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ECEB4" w14:textId="3335AD2F" w:rsidR="00811E0E" w:rsidRPr="00E96E9F" w:rsidRDefault="00143826" w:rsidP="006C5798">
      <w:pPr>
        <w:pStyle w:val="1-MainHeading"/>
      </w:pPr>
      <w:bookmarkStart w:id="0" w:name="_Toc93499807"/>
      <w:bookmarkStart w:id="1" w:name="_Toc22898842"/>
      <w:r w:rsidRPr="00E96E9F">
        <w:t xml:space="preserve">5.18 </w:t>
      </w:r>
      <w:r w:rsidR="00811E0E" w:rsidRPr="00E96E9F">
        <w:t>SOMATROGON,</w:t>
      </w:r>
      <w:r w:rsidR="006C5798">
        <w:br/>
      </w:r>
      <w:r w:rsidR="00671C7B" w:rsidRPr="00E96E9F">
        <w:t>Injection</w:t>
      </w:r>
      <w:r w:rsidR="00F96B2F" w:rsidRPr="00E96E9F">
        <w:t xml:space="preserve"> </w:t>
      </w:r>
      <w:r w:rsidR="00671C7B" w:rsidRPr="00E96E9F">
        <w:t>24</w:t>
      </w:r>
      <w:r w:rsidR="00703E69">
        <w:t xml:space="preserve"> </w:t>
      </w:r>
      <w:r w:rsidR="00671C7B" w:rsidRPr="00E96E9F">
        <w:t>mg</w:t>
      </w:r>
      <w:r w:rsidR="00F96B2F" w:rsidRPr="00E96E9F">
        <w:t xml:space="preserve"> </w:t>
      </w:r>
      <w:r w:rsidR="00671C7B" w:rsidRPr="00E96E9F">
        <w:t>in</w:t>
      </w:r>
      <w:r w:rsidR="00F96B2F" w:rsidRPr="00E96E9F">
        <w:t xml:space="preserve"> </w:t>
      </w:r>
      <w:r w:rsidR="00671C7B" w:rsidRPr="00E96E9F">
        <w:t>1.2</w:t>
      </w:r>
      <w:r w:rsidR="00703E69">
        <w:t xml:space="preserve"> </w:t>
      </w:r>
      <w:r w:rsidR="00671C7B" w:rsidRPr="00E96E9F">
        <w:t>mL</w:t>
      </w:r>
      <w:r w:rsidR="00F96B2F" w:rsidRPr="00E96E9F">
        <w:t xml:space="preserve"> </w:t>
      </w:r>
      <w:r w:rsidR="00811E0E" w:rsidRPr="00E96E9F">
        <w:t>pre-filled</w:t>
      </w:r>
      <w:r w:rsidR="00F96B2F" w:rsidRPr="00E96E9F">
        <w:t xml:space="preserve"> </w:t>
      </w:r>
      <w:r w:rsidR="00C91AFA" w:rsidRPr="00E96E9F">
        <w:t>single-use</w:t>
      </w:r>
      <w:r w:rsidR="00F96B2F" w:rsidRPr="00E96E9F">
        <w:t xml:space="preserve"> </w:t>
      </w:r>
      <w:r w:rsidR="00C91AFA" w:rsidRPr="00E96E9F">
        <w:t>pen</w:t>
      </w:r>
      <w:r w:rsidR="00671C7B" w:rsidRPr="00E96E9F">
        <w:t>,</w:t>
      </w:r>
      <w:bookmarkStart w:id="2" w:name="_Toc93499808"/>
      <w:bookmarkEnd w:id="0"/>
      <w:r w:rsidR="006C5798">
        <w:br/>
      </w:r>
      <w:r w:rsidR="00671C7B" w:rsidRPr="00E96E9F">
        <w:t>Injection</w:t>
      </w:r>
      <w:r w:rsidR="00F96B2F" w:rsidRPr="00E96E9F">
        <w:t xml:space="preserve"> </w:t>
      </w:r>
      <w:r w:rsidR="00671C7B" w:rsidRPr="00E96E9F">
        <w:t>60</w:t>
      </w:r>
      <w:r w:rsidR="00703E69">
        <w:t xml:space="preserve"> </w:t>
      </w:r>
      <w:r w:rsidR="00671C7B" w:rsidRPr="00E96E9F">
        <w:t>mg</w:t>
      </w:r>
      <w:r w:rsidR="00F96B2F" w:rsidRPr="00E96E9F">
        <w:t xml:space="preserve"> </w:t>
      </w:r>
      <w:r w:rsidR="00671C7B" w:rsidRPr="00E96E9F">
        <w:t>in</w:t>
      </w:r>
      <w:r w:rsidR="00F96B2F" w:rsidRPr="00E96E9F">
        <w:t xml:space="preserve"> </w:t>
      </w:r>
      <w:r w:rsidR="00671C7B" w:rsidRPr="00E96E9F">
        <w:t>1.2</w:t>
      </w:r>
      <w:r w:rsidR="00703E69">
        <w:t xml:space="preserve"> </w:t>
      </w:r>
      <w:r w:rsidR="00671C7B" w:rsidRPr="00E96E9F">
        <w:t>mL</w:t>
      </w:r>
      <w:r w:rsidR="00F96B2F" w:rsidRPr="00E96E9F">
        <w:t xml:space="preserve"> </w:t>
      </w:r>
      <w:r w:rsidR="00671C7B" w:rsidRPr="00E96E9F">
        <w:t>pre-filled</w:t>
      </w:r>
      <w:r w:rsidR="00F96B2F" w:rsidRPr="00E96E9F">
        <w:t xml:space="preserve"> </w:t>
      </w:r>
      <w:r w:rsidR="00C91AFA" w:rsidRPr="00E96E9F">
        <w:t>single-use</w:t>
      </w:r>
      <w:r w:rsidR="00F96B2F" w:rsidRPr="00E96E9F">
        <w:t xml:space="preserve"> </w:t>
      </w:r>
      <w:r w:rsidR="00C91AFA" w:rsidRPr="00E96E9F">
        <w:t>pen</w:t>
      </w:r>
      <w:bookmarkStart w:id="3" w:name="_Toc93499809"/>
      <w:bookmarkEnd w:id="2"/>
      <w:r w:rsidR="006C5798">
        <w:t>,</w:t>
      </w:r>
      <w:r w:rsidR="006C5798">
        <w:br/>
      </w:r>
      <w:proofErr w:type="spellStart"/>
      <w:r w:rsidR="00811E0E" w:rsidRPr="00E96E9F">
        <w:t>Ngenla</w:t>
      </w:r>
      <w:proofErr w:type="spellEnd"/>
      <w:r w:rsidR="00811E0E" w:rsidRPr="00E96E9F">
        <w:t>®,</w:t>
      </w:r>
      <w:bookmarkStart w:id="4" w:name="_Toc93499810"/>
      <w:bookmarkEnd w:id="3"/>
      <w:r w:rsidR="006C5798">
        <w:br/>
      </w:r>
      <w:r w:rsidR="00811E0E" w:rsidRPr="00E96E9F">
        <w:t>Pfizer</w:t>
      </w:r>
      <w:r w:rsidR="00F96B2F" w:rsidRPr="00E96E9F">
        <w:t xml:space="preserve"> </w:t>
      </w:r>
      <w:r w:rsidR="00811E0E" w:rsidRPr="00E96E9F">
        <w:t>Australia</w:t>
      </w:r>
      <w:bookmarkEnd w:id="1"/>
      <w:r w:rsidR="00F96B2F" w:rsidRPr="00E96E9F">
        <w:t xml:space="preserve"> </w:t>
      </w:r>
      <w:r w:rsidR="00671C7B" w:rsidRPr="00E96E9F">
        <w:t>Pty</w:t>
      </w:r>
      <w:r w:rsidR="00F96B2F" w:rsidRPr="00E96E9F">
        <w:t xml:space="preserve"> </w:t>
      </w:r>
      <w:r w:rsidR="00671C7B" w:rsidRPr="00E96E9F">
        <w:t>Ltd</w:t>
      </w:r>
      <w:bookmarkEnd w:id="4"/>
    </w:p>
    <w:p w14:paraId="48C068D3" w14:textId="169D8392" w:rsidR="00811E0E" w:rsidRPr="00E96E9F" w:rsidRDefault="00811E0E" w:rsidP="00811E0E">
      <w:pPr>
        <w:pStyle w:val="2-SectionHeading"/>
      </w:pPr>
      <w:bookmarkStart w:id="5" w:name="_Toc93499812"/>
      <w:bookmarkStart w:id="6" w:name="_Toc22897640"/>
      <w:r w:rsidRPr="00E96E9F">
        <w:t>Purpose</w:t>
      </w:r>
      <w:r w:rsidR="00F96B2F" w:rsidRPr="00E96E9F">
        <w:t xml:space="preserve"> </w:t>
      </w:r>
      <w:r w:rsidRPr="00E96E9F">
        <w:t>of</w:t>
      </w:r>
      <w:r w:rsidR="00F96B2F" w:rsidRPr="00E96E9F">
        <w:t xml:space="preserve"> </w:t>
      </w:r>
      <w:r w:rsidRPr="00E96E9F">
        <w:t>submission</w:t>
      </w:r>
      <w:bookmarkEnd w:id="5"/>
    </w:p>
    <w:p w14:paraId="47CF78AE" w14:textId="7E9AA053" w:rsidR="00E5129A" w:rsidRPr="00E96E9F" w:rsidRDefault="00811E0E" w:rsidP="00811E0E">
      <w:pPr>
        <w:pStyle w:val="3-BodyText"/>
      </w:pPr>
      <w:r w:rsidRPr="00E96E9F">
        <w:t>The</w:t>
      </w:r>
      <w:r w:rsidR="00F96B2F" w:rsidRPr="00E96E9F">
        <w:t xml:space="preserve"> </w:t>
      </w:r>
      <w:r w:rsidRPr="00E96E9F">
        <w:t>submission</w:t>
      </w:r>
      <w:r w:rsidR="00F96B2F" w:rsidRPr="00E96E9F">
        <w:t xml:space="preserve"> </w:t>
      </w:r>
      <w:r w:rsidRPr="00E96E9F">
        <w:t>requested</w:t>
      </w:r>
      <w:r w:rsidR="00F96B2F" w:rsidRPr="00E96E9F">
        <w:t xml:space="preserve"> </w:t>
      </w:r>
      <w:r w:rsidR="009461C0">
        <w:t xml:space="preserve">a </w:t>
      </w:r>
      <w:r w:rsidRPr="00E96E9F">
        <w:t>Section</w:t>
      </w:r>
      <w:r w:rsidR="00F96B2F" w:rsidRPr="00E96E9F">
        <w:t xml:space="preserve"> </w:t>
      </w:r>
      <w:r w:rsidRPr="00E96E9F">
        <w:t>100</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Program</w:t>
      </w:r>
      <w:r w:rsidR="00F96B2F" w:rsidRPr="00E96E9F">
        <w:t xml:space="preserve"> </w:t>
      </w:r>
      <w:r w:rsidRPr="00E96E9F">
        <w:t>listing</w:t>
      </w:r>
      <w:r w:rsidR="00F96B2F" w:rsidRPr="00E96E9F">
        <w:t xml:space="preserve"> </w:t>
      </w:r>
      <w:r w:rsidRPr="00E96E9F">
        <w:t>for</w:t>
      </w:r>
      <w:r w:rsidR="00F96B2F" w:rsidRPr="00E96E9F">
        <w:t xml:space="preserve"> </w:t>
      </w:r>
      <w:proofErr w:type="spellStart"/>
      <w:r w:rsidR="009157AC" w:rsidRPr="00E96E9F">
        <w:t>s</w:t>
      </w:r>
      <w:r w:rsidRPr="00E96E9F">
        <w:t>omatrogon</w:t>
      </w:r>
      <w:proofErr w:type="spellEnd"/>
      <w:r w:rsidR="00F96B2F" w:rsidRPr="00E96E9F">
        <w:t xml:space="preserve"> </w:t>
      </w:r>
      <w:r w:rsidRPr="00E96E9F">
        <w:t>for</w:t>
      </w:r>
      <w:r w:rsidR="00F96B2F" w:rsidRPr="00E96E9F">
        <w:t xml:space="preserve"> </w:t>
      </w:r>
      <w:r w:rsidRPr="00E96E9F">
        <w:t>the</w:t>
      </w:r>
      <w:r w:rsidR="00F96B2F" w:rsidRPr="00E96E9F">
        <w:t xml:space="preserve"> </w:t>
      </w:r>
      <w:r w:rsidRPr="00E96E9F">
        <w:t>treatment</w:t>
      </w:r>
      <w:r w:rsidR="00F96B2F" w:rsidRPr="00E96E9F">
        <w:t xml:space="preserve"> </w:t>
      </w:r>
      <w:r w:rsidRPr="00E96E9F">
        <w:t>of</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deficiency</w:t>
      </w:r>
      <w:r w:rsidR="00F96B2F" w:rsidRPr="00E96E9F">
        <w:t xml:space="preserve"> </w:t>
      </w:r>
      <w:r w:rsidR="00590743" w:rsidRPr="00E96E9F">
        <w:t xml:space="preserve">(GHD) </w:t>
      </w:r>
      <w:r w:rsidRPr="00E96E9F">
        <w:t>in</w:t>
      </w:r>
      <w:r w:rsidR="00F96B2F" w:rsidRPr="00E96E9F">
        <w:t xml:space="preserve"> </w:t>
      </w:r>
      <w:r w:rsidRPr="00E96E9F">
        <w:t>the</w:t>
      </w:r>
      <w:r w:rsidR="00F96B2F" w:rsidRPr="00E96E9F">
        <w:t xml:space="preserve"> </w:t>
      </w:r>
      <w:r w:rsidRPr="00E96E9F">
        <w:t>paediatric</w:t>
      </w:r>
      <w:r w:rsidR="00F96B2F" w:rsidRPr="00E96E9F">
        <w:t xml:space="preserve"> </w:t>
      </w:r>
      <w:r w:rsidRPr="00E96E9F">
        <w:t>population.</w:t>
      </w:r>
    </w:p>
    <w:p w14:paraId="55511038" w14:textId="4E61C46C" w:rsidR="00E5129A" w:rsidRPr="00E96E9F" w:rsidRDefault="009461C0" w:rsidP="00CF047E">
      <w:pPr>
        <w:pStyle w:val="3-BodyText"/>
      </w:pPr>
      <w:r>
        <w:t>The l</w:t>
      </w:r>
      <w:r w:rsidR="00811E0E" w:rsidRPr="00E96E9F">
        <w:t>isting</w:t>
      </w:r>
      <w:r w:rsidR="00F96B2F" w:rsidRPr="00E96E9F">
        <w:t xml:space="preserve"> </w:t>
      </w:r>
      <w:r w:rsidR="00811E0E" w:rsidRPr="00E96E9F">
        <w:t>was</w:t>
      </w:r>
      <w:r w:rsidR="00F96B2F" w:rsidRPr="00E96E9F">
        <w:t xml:space="preserve"> </w:t>
      </w:r>
      <w:r w:rsidR="00811E0E" w:rsidRPr="00E96E9F">
        <w:t>requested</w:t>
      </w:r>
      <w:r w:rsidR="00F96B2F" w:rsidRPr="00E96E9F">
        <w:t xml:space="preserve"> </w:t>
      </w:r>
      <w:r w:rsidR="0004005E" w:rsidRPr="00E96E9F">
        <w:t>based on</w:t>
      </w:r>
      <w:r w:rsidR="00F96B2F" w:rsidRPr="00E96E9F">
        <w:t xml:space="preserve"> </w:t>
      </w:r>
      <w:r w:rsidR="00811E0E" w:rsidRPr="00E96E9F">
        <w:t>a</w:t>
      </w:r>
      <w:r w:rsidR="00F96B2F" w:rsidRPr="00E96E9F">
        <w:t xml:space="preserve"> </w:t>
      </w:r>
      <w:r w:rsidR="00811E0E" w:rsidRPr="00E96E9F">
        <w:t>cost-minimisation</w:t>
      </w:r>
      <w:r w:rsidR="00F96B2F" w:rsidRPr="00E96E9F">
        <w:t xml:space="preserve"> </w:t>
      </w:r>
      <w:r w:rsidR="00811E0E" w:rsidRPr="00E96E9F">
        <w:t>analysis</w:t>
      </w:r>
      <w:r w:rsidR="00F96B2F" w:rsidRPr="00E96E9F">
        <w:t xml:space="preserve"> </w:t>
      </w:r>
      <w:r w:rsidR="00811E0E" w:rsidRPr="00E96E9F">
        <w:t>versus</w:t>
      </w:r>
      <w:r w:rsidR="00F96B2F" w:rsidRPr="00E96E9F">
        <w:t xml:space="preserve"> </w:t>
      </w:r>
      <w:r w:rsidR="009157AC" w:rsidRPr="00E96E9F">
        <w:t>s</w:t>
      </w:r>
      <w:r w:rsidR="00811E0E" w:rsidRPr="00E96E9F">
        <w:t>omatropin.</w:t>
      </w:r>
    </w:p>
    <w:p w14:paraId="6CD5231F" w14:textId="3A344F06" w:rsidR="00811E0E" w:rsidRPr="00ED40F2" w:rsidRDefault="00811E0E" w:rsidP="00ED40F2">
      <w:pPr>
        <w:pStyle w:val="TableFigureHeading"/>
        <w:rPr>
          <w:rStyle w:val="CommentReference"/>
          <w:b/>
          <w:szCs w:val="24"/>
        </w:rPr>
      </w:pPr>
      <w:r w:rsidRPr="00ED40F2">
        <w:rPr>
          <w:rStyle w:val="CommentReference"/>
          <w:b/>
          <w:szCs w:val="24"/>
        </w:rPr>
        <w:t>Table</w:t>
      </w:r>
      <w:r w:rsidR="00F96B2F" w:rsidRPr="00ED40F2">
        <w:rPr>
          <w:rStyle w:val="CommentReference"/>
          <w:b/>
          <w:szCs w:val="24"/>
        </w:rPr>
        <w:t xml:space="preserve"> </w:t>
      </w:r>
      <w:r w:rsidR="003F535F" w:rsidRPr="00ED40F2">
        <w:rPr>
          <w:rStyle w:val="CommentReference"/>
          <w:b/>
          <w:szCs w:val="24"/>
        </w:rPr>
        <w:fldChar w:fldCharType="begin"/>
      </w:r>
      <w:r w:rsidR="003F535F" w:rsidRPr="00ED40F2">
        <w:rPr>
          <w:rStyle w:val="CommentReference"/>
          <w:b/>
          <w:szCs w:val="24"/>
        </w:rPr>
        <w:instrText xml:space="preserve"> SEQ Table \* ARABIC </w:instrText>
      </w:r>
      <w:r w:rsidR="003F535F" w:rsidRPr="00ED40F2">
        <w:rPr>
          <w:rStyle w:val="CommentReference"/>
          <w:b/>
          <w:szCs w:val="24"/>
        </w:rPr>
        <w:fldChar w:fldCharType="separate"/>
      </w:r>
      <w:r w:rsidR="005C48AC">
        <w:rPr>
          <w:rStyle w:val="CommentReference"/>
          <w:b/>
          <w:noProof/>
          <w:szCs w:val="24"/>
        </w:rPr>
        <w:t>1</w:t>
      </w:r>
      <w:r w:rsidR="003F535F" w:rsidRPr="00ED40F2">
        <w:rPr>
          <w:rStyle w:val="CommentReference"/>
          <w:b/>
          <w:szCs w:val="24"/>
        </w:rPr>
        <w:fldChar w:fldCharType="end"/>
      </w:r>
      <w:r w:rsidR="00EA5AA2" w:rsidRPr="00ED40F2">
        <w:rPr>
          <w:rStyle w:val="CommentReference"/>
          <w:b/>
          <w:szCs w:val="24"/>
        </w:rPr>
        <w:t>:</w:t>
      </w:r>
      <w:r w:rsidR="00F96B2F" w:rsidRPr="00ED40F2">
        <w:rPr>
          <w:rStyle w:val="CommentReference"/>
          <w:b/>
          <w:szCs w:val="24"/>
        </w:rPr>
        <w:t xml:space="preserve"> </w:t>
      </w:r>
      <w:r w:rsidRPr="00ED40F2">
        <w:rPr>
          <w:rStyle w:val="CommentReference"/>
          <w:b/>
          <w:szCs w:val="24"/>
        </w:rPr>
        <w:t>Key</w:t>
      </w:r>
      <w:r w:rsidR="00F96B2F" w:rsidRPr="00ED40F2">
        <w:rPr>
          <w:rStyle w:val="CommentReference"/>
          <w:b/>
          <w:szCs w:val="24"/>
        </w:rPr>
        <w:t xml:space="preserve"> </w:t>
      </w:r>
      <w:r w:rsidRPr="00ED40F2">
        <w:rPr>
          <w:rStyle w:val="CommentReference"/>
          <w:b/>
          <w:szCs w:val="24"/>
        </w:rPr>
        <w:t>components</w:t>
      </w:r>
      <w:r w:rsidR="00F96B2F" w:rsidRPr="00ED40F2">
        <w:rPr>
          <w:rStyle w:val="CommentReference"/>
          <w:b/>
          <w:szCs w:val="24"/>
        </w:rPr>
        <w:t xml:space="preserve"> </w:t>
      </w:r>
      <w:r w:rsidRPr="00ED40F2">
        <w:rPr>
          <w:rStyle w:val="CommentReference"/>
          <w:b/>
          <w:szCs w:val="24"/>
        </w:rPr>
        <w:t>of</w:t>
      </w:r>
      <w:r w:rsidR="00F96B2F" w:rsidRPr="00ED40F2">
        <w:rPr>
          <w:rStyle w:val="CommentReference"/>
          <w:b/>
          <w:szCs w:val="24"/>
        </w:rPr>
        <w:t xml:space="preserve"> </w:t>
      </w:r>
      <w:r w:rsidRPr="00ED40F2">
        <w:rPr>
          <w:rStyle w:val="CommentReference"/>
          <w:b/>
          <w:szCs w:val="24"/>
        </w:rPr>
        <w:t>the</w:t>
      </w:r>
      <w:r w:rsidR="00F96B2F" w:rsidRPr="00ED40F2">
        <w:rPr>
          <w:rStyle w:val="CommentReference"/>
          <w:b/>
          <w:szCs w:val="24"/>
        </w:rPr>
        <w:t xml:space="preserve"> </w:t>
      </w:r>
      <w:r w:rsidRPr="00ED40F2">
        <w:rPr>
          <w:rStyle w:val="CommentReference"/>
          <w:b/>
          <w:szCs w:val="24"/>
        </w:rPr>
        <w:t>clinical</w:t>
      </w:r>
      <w:r w:rsidR="00F96B2F" w:rsidRPr="00ED40F2">
        <w:rPr>
          <w:rStyle w:val="CommentReference"/>
          <w:b/>
          <w:szCs w:val="24"/>
        </w:rPr>
        <w:t xml:space="preserve"> </w:t>
      </w:r>
      <w:r w:rsidRPr="00ED40F2">
        <w:rPr>
          <w:rStyle w:val="CommentReference"/>
          <w:b/>
          <w:szCs w:val="24"/>
        </w:rPr>
        <w:t>issue</w:t>
      </w:r>
      <w:r w:rsidR="00F96B2F" w:rsidRPr="00ED40F2">
        <w:rPr>
          <w:rStyle w:val="CommentReference"/>
          <w:b/>
          <w:szCs w:val="24"/>
        </w:rPr>
        <w:t xml:space="preserve"> </w:t>
      </w:r>
      <w:r w:rsidRPr="00ED40F2">
        <w:rPr>
          <w:rStyle w:val="CommentReference"/>
          <w:b/>
          <w:szCs w:val="24"/>
        </w:rPr>
        <w:t>addressed</w:t>
      </w:r>
      <w:r w:rsidR="00F96B2F" w:rsidRPr="00ED40F2">
        <w:rPr>
          <w:rStyle w:val="CommentReference"/>
          <w:b/>
          <w:szCs w:val="24"/>
        </w:rPr>
        <w:t xml:space="preserve"> </w:t>
      </w:r>
      <w:r w:rsidRPr="00ED40F2">
        <w:rPr>
          <w:rStyle w:val="CommentReference"/>
          <w:b/>
          <w:szCs w:val="24"/>
        </w:rPr>
        <w:t>by</w:t>
      </w:r>
      <w:r w:rsidR="00F96B2F" w:rsidRPr="00ED40F2">
        <w:rPr>
          <w:rStyle w:val="CommentReference"/>
          <w:b/>
          <w:szCs w:val="24"/>
        </w:rPr>
        <w:t xml:space="preserve"> </w:t>
      </w:r>
      <w:r w:rsidRPr="00ED40F2">
        <w:rPr>
          <w:rStyle w:val="CommentReference"/>
          <w:b/>
          <w:szCs w:val="24"/>
        </w:rPr>
        <w:t>the</w:t>
      </w:r>
      <w:r w:rsidR="00F96B2F" w:rsidRPr="00ED40F2">
        <w:rPr>
          <w:rStyle w:val="CommentReference"/>
          <w:b/>
          <w:szCs w:val="24"/>
        </w:rPr>
        <w:t xml:space="preserve"> </w:t>
      </w:r>
      <w:r w:rsidRPr="00ED40F2">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11E0E" w:rsidRPr="00E96E9F" w14:paraId="0A69F6D4" w14:textId="77777777" w:rsidTr="00CF047E">
        <w:trPr>
          <w:cantSplit/>
          <w:tblHeader/>
        </w:trPr>
        <w:tc>
          <w:tcPr>
            <w:tcW w:w="924" w:type="pct"/>
            <w:shd w:val="clear" w:color="auto" w:fill="auto"/>
          </w:tcPr>
          <w:p w14:paraId="47B15F89" w14:textId="77777777" w:rsidR="00811E0E" w:rsidRPr="00E96E9F" w:rsidRDefault="00811E0E" w:rsidP="009157AC">
            <w:pPr>
              <w:pStyle w:val="In-tableHeading"/>
              <w:keepNext w:val="0"/>
              <w:widowControl w:val="0"/>
              <w:rPr>
                <w:szCs w:val="20"/>
                <w:lang w:val="en-AU"/>
              </w:rPr>
            </w:pPr>
            <w:r w:rsidRPr="00E96E9F">
              <w:rPr>
                <w:lang w:val="en-AU"/>
              </w:rPr>
              <w:t>Component</w:t>
            </w:r>
          </w:p>
        </w:tc>
        <w:tc>
          <w:tcPr>
            <w:tcW w:w="4076" w:type="pct"/>
            <w:shd w:val="clear" w:color="auto" w:fill="auto"/>
          </w:tcPr>
          <w:p w14:paraId="7AAAED99" w14:textId="77777777" w:rsidR="00811E0E" w:rsidRPr="00E96E9F" w:rsidRDefault="00811E0E" w:rsidP="009157AC">
            <w:pPr>
              <w:pStyle w:val="In-tableHeading"/>
              <w:keepNext w:val="0"/>
              <w:widowControl w:val="0"/>
              <w:rPr>
                <w:lang w:val="en-AU"/>
              </w:rPr>
            </w:pPr>
            <w:r w:rsidRPr="00E96E9F">
              <w:rPr>
                <w:lang w:val="en-AU"/>
              </w:rPr>
              <w:t>Description</w:t>
            </w:r>
          </w:p>
        </w:tc>
      </w:tr>
      <w:tr w:rsidR="00811E0E" w:rsidRPr="00E96E9F" w14:paraId="6204269A" w14:textId="77777777" w:rsidTr="00CF047E">
        <w:trPr>
          <w:cantSplit/>
        </w:trPr>
        <w:tc>
          <w:tcPr>
            <w:tcW w:w="924" w:type="pct"/>
            <w:shd w:val="clear" w:color="auto" w:fill="auto"/>
          </w:tcPr>
          <w:p w14:paraId="1E2EDA64" w14:textId="77777777" w:rsidR="00811E0E" w:rsidRPr="00E96E9F" w:rsidRDefault="00811E0E" w:rsidP="0004005E">
            <w:pPr>
              <w:pStyle w:val="TableText0"/>
            </w:pPr>
            <w:r w:rsidRPr="00E96E9F">
              <w:t>Population</w:t>
            </w:r>
          </w:p>
        </w:tc>
        <w:tc>
          <w:tcPr>
            <w:tcW w:w="4076" w:type="pct"/>
            <w:shd w:val="clear" w:color="auto" w:fill="auto"/>
          </w:tcPr>
          <w:p w14:paraId="01457E1F" w14:textId="5761A2B2" w:rsidR="00811E0E" w:rsidRPr="00E96E9F" w:rsidRDefault="00811E0E" w:rsidP="00B60A4E">
            <w:pPr>
              <w:pStyle w:val="TableText0"/>
            </w:pPr>
            <w:r w:rsidRPr="00E96E9F">
              <w:t>Paediatric</w:t>
            </w:r>
            <w:r w:rsidR="00F96B2F" w:rsidRPr="00E96E9F">
              <w:t xml:space="preserve"> </w:t>
            </w:r>
            <w:r w:rsidRPr="00E96E9F">
              <w:t>patients</w:t>
            </w:r>
            <w:r w:rsidR="00F96B2F" w:rsidRPr="00E96E9F">
              <w:t xml:space="preserve"> </w:t>
            </w:r>
            <w:r w:rsidRPr="00E96E9F">
              <w:t>with</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deficiency</w:t>
            </w:r>
          </w:p>
        </w:tc>
      </w:tr>
      <w:tr w:rsidR="00811E0E" w:rsidRPr="00E96E9F" w14:paraId="06112ECD" w14:textId="77777777" w:rsidTr="00CF047E">
        <w:trPr>
          <w:cantSplit/>
        </w:trPr>
        <w:tc>
          <w:tcPr>
            <w:tcW w:w="924" w:type="pct"/>
            <w:shd w:val="clear" w:color="auto" w:fill="auto"/>
          </w:tcPr>
          <w:p w14:paraId="5449DCC1" w14:textId="77777777" w:rsidR="00811E0E" w:rsidRPr="00E96E9F" w:rsidRDefault="00811E0E" w:rsidP="0004005E">
            <w:pPr>
              <w:pStyle w:val="TableText0"/>
            </w:pPr>
            <w:r w:rsidRPr="00E96E9F">
              <w:t>Intervention</w:t>
            </w:r>
          </w:p>
        </w:tc>
        <w:tc>
          <w:tcPr>
            <w:tcW w:w="4076" w:type="pct"/>
            <w:shd w:val="clear" w:color="auto" w:fill="auto"/>
          </w:tcPr>
          <w:p w14:paraId="30A6B241" w14:textId="5BCC58CC" w:rsidR="00811E0E" w:rsidRPr="00E96E9F" w:rsidRDefault="00811E0E" w:rsidP="0004005E">
            <w:pPr>
              <w:pStyle w:val="TableText0"/>
            </w:pPr>
            <w:proofErr w:type="spellStart"/>
            <w:r w:rsidRPr="00E96E9F">
              <w:t>Somatrogon</w:t>
            </w:r>
            <w:proofErr w:type="spellEnd"/>
            <w:r w:rsidR="00F96B2F" w:rsidRPr="00E96E9F">
              <w:t xml:space="preserve"> </w:t>
            </w:r>
            <w:r w:rsidRPr="00E96E9F">
              <w:t>single-use</w:t>
            </w:r>
            <w:r w:rsidR="00F96B2F" w:rsidRPr="00E96E9F">
              <w:t xml:space="preserve"> </w:t>
            </w:r>
            <w:r w:rsidRPr="00E96E9F">
              <w:t>disposable</w:t>
            </w:r>
            <w:r w:rsidR="00F96B2F" w:rsidRPr="00E96E9F">
              <w:t xml:space="preserve"> </w:t>
            </w:r>
            <w:r w:rsidRPr="00E96E9F">
              <w:t>pen</w:t>
            </w:r>
            <w:r w:rsidR="00F96B2F" w:rsidRPr="00E96E9F">
              <w:t xml:space="preserve"> </w:t>
            </w:r>
            <w:r w:rsidRPr="00E96E9F">
              <w:t>24</w:t>
            </w:r>
            <w:r w:rsidR="00C0394E" w:rsidRPr="00E96E9F">
              <w:t> </w:t>
            </w:r>
            <w:r w:rsidRPr="00E96E9F">
              <w:t>mg/1.2</w:t>
            </w:r>
            <w:r w:rsidR="00C0394E" w:rsidRPr="00E96E9F">
              <w:t> </w:t>
            </w:r>
            <w:r w:rsidRPr="00E96E9F">
              <w:t>mL</w:t>
            </w:r>
            <w:r w:rsidR="00F96B2F" w:rsidRPr="00E96E9F">
              <w:t xml:space="preserve"> </w:t>
            </w:r>
            <w:r w:rsidRPr="00E96E9F">
              <w:t>or</w:t>
            </w:r>
            <w:r w:rsidR="00F96B2F" w:rsidRPr="00E96E9F">
              <w:t xml:space="preserve"> </w:t>
            </w:r>
            <w:r w:rsidRPr="00E96E9F">
              <w:t>60</w:t>
            </w:r>
            <w:r w:rsidR="00C0394E" w:rsidRPr="00E96E9F">
              <w:t> </w:t>
            </w:r>
            <w:r w:rsidRPr="00E96E9F">
              <w:t>mg/1.2</w:t>
            </w:r>
            <w:r w:rsidR="00C0394E" w:rsidRPr="00E96E9F">
              <w:t> </w:t>
            </w:r>
            <w:r w:rsidRPr="00E96E9F">
              <w:t>mL</w:t>
            </w:r>
            <w:r w:rsidR="009E37A2" w:rsidRPr="00E96E9F">
              <w:t>; weekly dosing</w:t>
            </w:r>
          </w:p>
        </w:tc>
      </w:tr>
      <w:tr w:rsidR="00811E0E" w:rsidRPr="00E96E9F" w14:paraId="1D082061" w14:textId="77777777" w:rsidTr="00CF047E">
        <w:trPr>
          <w:cantSplit/>
        </w:trPr>
        <w:tc>
          <w:tcPr>
            <w:tcW w:w="924" w:type="pct"/>
            <w:shd w:val="clear" w:color="auto" w:fill="auto"/>
          </w:tcPr>
          <w:p w14:paraId="5C3D1103" w14:textId="77777777" w:rsidR="00811E0E" w:rsidRPr="00E96E9F" w:rsidRDefault="00811E0E" w:rsidP="0004005E">
            <w:pPr>
              <w:pStyle w:val="TableText0"/>
            </w:pPr>
            <w:r w:rsidRPr="00E96E9F">
              <w:t>Comparator</w:t>
            </w:r>
          </w:p>
        </w:tc>
        <w:tc>
          <w:tcPr>
            <w:tcW w:w="4076" w:type="pct"/>
            <w:shd w:val="clear" w:color="auto" w:fill="auto"/>
          </w:tcPr>
          <w:p w14:paraId="2DC2962E" w14:textId="46A9E6D6" w:rsidR="00811E0E" w:rsidRPr="00E96E9F" w:rsidRDefault="00811E0E" w:rsidP="0004005E">
            <w:pPr>
              <w:pStyle w:val="TableText0"/>
            </w:pPr>
            <w:r w:rsidRPr="00E96E9F">
              <w:t>Somatropin</w:t>
            </w:r>
            <w:r w:rsidR="009E37A2" w:rsidRPr="00E96E9F">
              <w:t>; daily dosing</w:t>
            </w:r>
          </w:p>
        </w:tc>
      </w:tr>
      <w:tr w:rsidR="00811E0E" w:rsidRPr="00E96E9F" w14:paraId="02C5C61E" w14:textId="77777777" w:rsidTr="00CF047E">
        <w:trPr>
          <w:cantSplit/>
        </w:trPr>
        <w:tc>
          <w:tcPr>
            <w:tcW w:w="924" w:type="pct"/>
            <w:shd w:val="clear" w:color="auto" w:fill="auto"/>
          </w:tcPr>
          <w:p w14:paraId="5BCEEF85" w14:textId="77777777" w:rsidR="00811E0E" w:rsidRPr="00E96E9F" w:rsidRDefault="00811E0E" w:rsidP="0004005E">
            <w:pPr>
              <w:pStyle w:val="TableText0"/>
            </w:pPr>
            <w:r w:rsidRPr="00E96E9F">
              <w:t>Outcomes</w:t>
            </w:r>
          </w:p>
        </w:tc>
        <w:tc>
          <w:tcPr>
            <w:tcW w:w="4076" w:type="pct"/>
            <w:shd w:val="clear" w:color="auto" w:fill="auto"/>
          </w:tcPr>
          <w:p w14:paraId="2CC7A9B1" w14:textId="51290322" w:rsidR="00811E0E" w:rsidRPr="00E96E9F" w:rsidRDefault="00811E0E" w:rsidP="0004005E">
            <w:pPr>
              <w:pStyle w:val="TableText0"/>
            </w:pPr>
            <w:r w:rsidRPr="00E96E9F">
              <w:t>Annualised</w:t>
            </w:r>
            <w:r w:rsidR="00F96B2F" w:rsidRPr="00E96E9F">
              <w:t xml:space="preserve"> </w:t>
            </w:r>
            <w:r w:rsidRPr="00E96E9F">
              <w:t>height</w:t>
            </w:r>
            <w:r w:rsidR="00F96B2F" w:rsidRPr="00E96E9F">
              <w:t xml:space="preserve"> </w:t>
            </w:r>
            <w:r w:rsidRPr="00E96E9F">
              <w:t>velocity,</w:t>
            </w:r>
            <w:r w:rsidR="00F96B2F" w:rsidRPr="00E96E9F">
              <w:t xml:space="preserve"> </w:t>
            </w:r>
            <w:r w:rsidRPr="00E96E9F">
              <w:t>change</w:t>
            </w:r>
            <w:r w:rsidR="00F96B2F" w:rsidRPr="00E96E9F">
              <w:t xml:space="preserve"> </w:t>
            </w:r>
            <w:r w:rsidRPr="00E96E9F">
              <w:t>in</w:t>
            </w:r>
            <w:r w:rsidR="00F96B2F" w:rsidRPr="00E96E9F">
              <w:t xml:space="preserve"> </w:t>
            </w:r>
            <w:r w:rsidRPr="00E96E9F">
              <w:t>height</w:t>
            </w:r>
            <w:r w:rsidR="00F96B2F" w:rsidRPr="00E96E9F">
              <w:t xml:space="preserve"> </w:t>
            </w:r>
            <w:r w:rsidRPr="00E96E9F">
              <w:t>SDS,</w:t>
            </w:r>
            <w:r w:rsidR="00F96B2F" w:rsidRPr="00E96E9F">
              <w:t xml:space="preserve"> </w:t>
            </w:r>
            <w:r w:rsidRPr="00E96E9F">
              <w:t>absolute</w:t>
            </w:r>
            <w:r w:rsidR="00F96B2F" w:rsidRPr="00E96E9F">
              <w:t xml:space="preserve"> </w:t>
            </w:r>
            <w:r w:rsidRPr="00E96E9F">
              <w:t>IGF-1,</w:t>
            </w:r>
            <w:r w:rsidR="00F96B2F" w:rsidRPr="00E96E9F">
              <w:t xml:space="preserve"> </w:t>
            </w:r>
            <w:r w:rsidRPr="00E96E9F">
              <w:t>IGFBP-3</w:t>
            </w:r>
            <w:r w:rsidR="00F96B2F" w:rsidRPr="00E96E9F">
              <w:t xml:space="preserve"> </w:t>
            </w:r>
            <w:r w:rsidRPr="00E96E9F">
              <w:t>levels,</w:t>
            </w:r>
            <w:r w:rsidR="00F96B2F" w:rsidRPr="00E96E9F">
              <w:t xml:space="preserve"> </w:t>
            </w:r>
            <w:r w:rsidRPr="00E96E9F">
              <w:t>IGF-1</w:t>
            </w:r>
            <w:r w:rsidR="00F96B2F" w:rsidRPr="00E96E9F">
              <w:t xml:space="preserve"> </w:t>
            </w:r>
            <w:r w:rsidRPr="00E96E9F">
              <w:t>SDS,</w:t>
            </w:r>
            <w:r w:rsidR="00F96B2F" w:rsidRPr="00E96E9F">
              <w:t xml:space="preserve"> </w:t>
            </w:r>
            <w:r w:rsidRPr="00E96E9F">
              <w:t>IGFP-3</w:t>
            </w:r>
            <w:r w:rsidR="00F96B2F" w:rsidRPr="00E96E9F">
              <w:t xml:space="preserve"> </w:t>
            </w:r>
            <w:r w:rsidRPr="00E96E9F">
              <w:t>SDS,</w:t>
            </w:r>
            <w:r w:rsidR="00F96B2F" w:rsidRPr="00E96E9F">
              <w:t xml:space="preserve"> </w:t>
            </w:r>
            <w:r w:rsidRPr="00E96E9F">
              <w:t>Quality</w:t>
            </w:r>
            <w:r w:rsidR="00F96B2F" w:rsidRPr="00E96E9F">
              <w:t xml:space="preserve"> </w:t>
            </w:r>
            <w:r w:rsidRPr="00E96E9F">
              <w:t>of</w:t>
            </w:r>
            <w:r w:rsidR="00F96B2F" w:rsidRPr="00E96E9F">
              <w:t xml:space="preserve"> </w:t>
            </w:r>
            <w:r w:rsidRPr="00E96E9F">
              <w:t>life,</w:t>
            </w:r>
            <w:r w:rsidR="00F96B2F" w:rsidRPr="00E96E9F">
              <w:t xml:space="preserve"> </w:t>
            </w:r>
            <w:r w:rsidRPr="00E96E9F">
              <w:t>treatment</w:t>
            </w:r>
            <w:r w:rsidR="00F96B2F" w:rsidRPr="00E96E9F">
              <w:t xml:space="preserve"> </w:t>
            </w:r>
            <w:r w:rsidRPr="00E96E9F">
              <w:t>burden,</w:t>
            </w:r>
            <w:r w:rsidR="00F96B2F" w:rsidRPr="00E96E9F">
              <w:t xml:space="preserve"> </w:t>
            </w:r>
            <w:r w:rsidRPr="00E96E9F">
              <w:t>treatment</w:t>
            </w:r>
            <w:r w:rsidR="00F96B2F" w:rsidRPr="00E96E9F">
              <w:t xml:space="preserve"> </w:t>
            </w:r>
            <w:r w:rsidRPr="00E96E9F">
              <w:t>experience</w:t>
            </w:r>
            <w:r w:rsidR="00E5129A" w:rsidRPr="00E96E9F">
              <w:t xml:space="preserve"> </w:t>
            </w:r>
          </w:p>
        </w:tc>
      </w:tr>
      <w:tr w:rsidR="00811E0E" w:rsidRPr="00E96E9F" w14:paraId="3D9A5F05" w14:textId="77777777" w:rsidTr="00CF047E">
        <w:trPr>
          <w:cantSplit/>
        </w:trPr>
        <w:tc>
          <w:tcPr>
            <w:tcW w:w="924" w:type="pct"/>
            <w:shd w:val="clear" w:color="auto" w:fill="auto"/>
          </w:tcPr>
          <w:p w14:paraId="784E2611" w14:textId="588860D2" w:rsidR="00811E0E" w:rsidRPr="00E96E9F" w:rsidRDefault="00811E0E" w:rsidP="0004005E">
            <w:pPr>
              <w:pStyle w:val="TableText0"/>
            </w:pPr>
            <w:r w:rsidRPr="00E96E9F">
              <w:t>Clinical</w:t>
            </w:r>
            <w:r w:rsidR="00F96B2F" w:rsidRPr="00E96E9F">
              <w:t xml:space="preserve"> </w:t>
            </w:r>
            <w:r w:rsidRPr="00E96E9F">
              <w:t>claim</w:t>
            </w:r>
          </w:p>
        </w:tc>
        <w:tc>
          <w:tcPr>
            <w:tcW w:w="4076" w:type="pct"/>
            <w:shd w:val="clear" w:color="auto" w:fill="auto"/>
          </w:tcPr>
          <w:p w14:paraId="69174AB8" w14:textId="58B917A3" w:rsidR="00811E0E" w:rsidRPr="00E96E9F" w:rsidRDefault="00811E0E" w:rsidP="0004005E">
            <w:pPr>
              <w:pStyle w:val="TableText0"/>
            </w:pPr>
            <w:r w:rsidRPr="00E96E9F">
              <w:t>Non-inferior</w:t>
            </w:r>
            <w:r w:rsidR="00F96B2F" w:rsidRPr="00E96E9F">
              <w:t xml:space="preserve"> </w:t>
            </w:r>
            <w:r w:rsidRPr="00E96E9F">
              <w:t>effectiveness</w:t>
            </w:r>
            <w:r w:rsidR="00F96B2F" w:rsidRPr="00E96E9F">
              <w:t xml:space="preserve"> </w:t>
            </w:r>
            <w:r w:rsidRPr="00E96E9F">
              <w:t>and</w:t>
            </w:r>
            <w:r w:rsidR="00F96B2F" w:rsidRPr="00E96E9F">
              <w:t xml:space="preserve"> </w:t>
            </w:r>
            <w:r w:rsidRPr="00E96E9F">
              <w:t>safety</w:t>
            </w:r>
            <w:r w:rsidR="00F96B2F" w:rsidRPr="00E96E9F">
              <w:t xml:space="preserve"> </w:t>
            </w:r>
            <w:r w:rsidRPr="00E96E9F">
              <w:t>compared</w:t>
            </w:r>
            <w:r w:rsidR="00F96B2F" w:rsidRPr="00E96E9F">
              <w:t xml:space="preserve"> </w:t>
            </w:r>
            <w:r w:rsidRPr="00E96E9F">
              <w:t>with</w:t>
            </w:r>
            <w:r w:rsidR="00F96B2F" w:rsidRPr="00E96E9F">
              <w:t xml:space="preserve"> </w:t>
            </w:r>
            <w:r w:rsidRPr="00E96E9F">
              <w:t>somatropin</w:t>
            </w:r>
          </w:p>
        </w:tc>
      </w:tr>
    </w:tbl>
    <w:p w14:paraId="45A6C2B4" w14:textId="77777777" w:rsidR="00E5129A" w:rsidRPr="00ED40F2" w:rsidRDefault="00811E0E" w:rsidP="00ED40F2">
      <w:pPr>
        <w:pStyle w:val="TableFigureFooter"/>
        <w:rPr>
          <w:rFonts w:eastAsia="Arial Narrow"/>
        </w:rPr>
      </w:pPr>
      <w:r w:rsidRPr="00ED40F2">
        <w:rPr>
          <w:rFonts w:eastAsia="Arial Narrow"/>
        </w:rPr>
        <w:t>Source:</w:t>
      </w:r>
      <w:r w:rsidR="00F96B2F" w:rsidRPr="00ED40F2">
        <w:rPr>
          <w:rFonts w:eastAsia="Arial Narrow"/>
        </w:rPr>
        <w:t xml:space="preserve"> </w:t>
      </w:r>
      <w:r w:rsidRPr="00ED40F2">
        <w:rPr>
          <w:rFonts w:eastAsia="Arial Narrow"/>
        </w:rPr>
        <w:t>Table</w:t>
      </w:r>
      <w:r w:rsidR="00F96B2F" w:rsidRPr="00ED40F2">
        <w:rPr>
          <w:rFonts w:eastAsia="Arial Narrow"/>
        </w:rPr>
        <w:t xml:space="preserve"> </w:t>
      </w:r>
      <w:r w:rsidRPr="00ED40F2">
        <w:rPr>
          <w:rFonts w:eastAsia="Arial Narrow"/>
        </w:rPr>
        <w:t>1.1.1,</w:t>
      </w:r>
      <w:r w:rsidR="00F96B2F" w:rsidRPr="00ED40F2">
        <w:rPr>
          <w:rFonts w:eastAsia="Arial Narrow"/>
        </w:rPr>
        <w:t xml:space="preserve"> </w:t>
      </w:r>
      <w:r w:rsidRPr="00ED40F2">
        <w:rPr>
          <w:rFonts w:eastAsia="Arial Narrow"/>
        </w:rPr>
        <w:t>p.29</w:t>
      </w:r>
      <w:r w:rsidR="00F96B2F" w:rsidRPr="00ED40F2">
        <w:rPr>
          <w:rFonts w:eastAsia="Arial Narrow"/>
        </w:rPr>
        <w:t xml:space="preserve"> </w:t>
      </w:r>
      <w:r w:rsidRPr="00ED40F2">
        <w:rPr>
          <w:rFonts w:eastAsia="Arial Narrow"/>
        </w:rPr>
        <w:t>of</w:t>
      </w:r>
      <w:r w:rsidR="00F96B2F" w:rsidRPr="00ED40F2">
        <w:rPr>
          <w:rFonts w:eastAsia="Arial Narrow"/>
        </w:rPr>
        <w:t xml:space="preserve"> </w:t>
      </w:r>
      <w:r w:rsidRPr="00ED40F2">
        <w:rPr>
          <w:rFonts w:eastAsia="Arial Narrow"/>
        </w:rPr>
        <w:t>the</w:t>
      </w:r>
      <w:r w:rsidR="00F96B2F" w:rsidRPr="00ED40F2">
        <w:rPr>
          <w:rFonts w:eastAsia="Arial Narrow"/>
        </w:rPr>
        <w:t xml:space="preserve"> </w:t>
      </w:r>
      <w:r w:rsidRPr="00ED40F2">
        <w:rPr>
          <w:rFonts w:eastAsia="Arial Narrow"/>
        </w:rPr>
        <w:t>submission.</w:t>
      </w:r>
    </w:p>
    <w:p w14:paraId="74E2C938" w14:textId="217CA3DB" w:rsidR="00811E0E" w:rsidRPr="00ED40F2" w:rsidRDefault="00811E0E" w:rsidP="00ED40F2">
      <w:pPr>
        <w:pStyle w:val="TableFigureFooter"/>
      </w:pPr>
      <w:r w:rsidRPr="00ED40F2">
        <w:rPr>
          <w:rFonts w:eastAsia="Arial Narrow"/>
        </w:rPr>
        <w:t>Abbreviations:</w:t>
      </w:r>
      <w:r w:rsidR="00F96B2F" w:rsidRPr="00ED40F2">
        <w:rPr>
          <w:rFonts w:eastAsia="Arial Narrow"/>
        </w:rPr>
        <w:t xml:space="preserve"> </w:t>
      </w:r>
      <w:r w:rsidRPr="00ED40F2">
        <w:rPr>
          <w:rFonts w:eastAsia="Arial Narrow"/>
        </w:rPr>
        <w:t>IGF-1</w:t>
      </w:r>
      <w:r w:rsidR="00F96B2F" w:rsidRPr="00ED40F2">
        <w:rPr>
          <w:rFonts w:eastAsia="Arial Narrow"/>
        </w:rPr>
        <w:t xml:space="preserve"> </w:t>
      </w:r>
      <w:r w:rsidRPr="00ED40F2">
        <w:rPr>
          <w:rFonts w:eastAsia="Arial Narrow"/>
        </w:rPr>
        <w:t>insulin-like</w:t>
      </w:r>
      <w:r w:rsidR="00F96B2F" w:rsidRPr="00ED40F2">
        <w:rPr>
          <w:rFonts w:eastAsia="Arial Narrow"/>
        </w:rPr>
        <w:t xml:space="preserve"> </w:t>
      </w:r>
      <w:r w:rsidRPr="00ED40F2">
        <w:rPr>
          <w:rFonts w:eastAsia="Arial Narrow"/>
        </w:rPr>
        <w:t>growth</w:t>
      </w:r>
      <w:r w:rsidR="00F96B2F" w:rsidRPr="00ED40F2">
        <w:rPr>
          <w:rFonts w:eastAsia="Arial Narrow"/>
        </w:rPr>
        <w:t xml:space="preserve"> </w:t>
      </w:r>
      <w:r w:rsidRPr="00ED40F2">
        <w:rPr>
          <w:rFonts w:eastAsia="Arial Narrow"/>
        </w:rPr>
        <w:t>factor;</w:t>
      </w:r>
      <w:r w:rsidR="00F96B2F" w:rsidRPr="00ED40F2">
        <w:rPr>
          <w:rFonts w:eastAsia="Arial Narrow"/>
        </w:rPr>
        <w:t xml:space="preserve"> </w:t>
      </w:r>
      <w:r w:rsidRPr="00ED40F2">
        <w:rPr>
          <w:rFonts w:eastAsia="Arial Narrow"/>
        </w:rPr>
        <w:t>IGFBP-3</w:t>
      </w:r>
      <w:r w:rsidR="00F96B2F" w:rsidRPr="00ED40F2">
        <w:rPr>
          <w:rFonts w:eastAsia="Arial Narrow"/>
        </w:rPr>
        <w:t xml:space="preserve"> </w:t>
      </w:r>
      <w:r w:rsidRPr="00ED40F2">
        <w:rPr>
          <w:rFonts w:eastAsia="Arial Narrow"/>
        </w:rPr>
        <w:t>IGF</w:t>
      </w:r>
      <w:r w:rsidR="00F96B2F" w:rsidRPr="00ED40F2">
        <w:rPr>
          <w:rFonts w:eastAsia="Arial Narrow"/>
        </w:rPr>
        <w:t xml:space="preserve"> </w:t>
      </w:r>
      <w:r w:rsidRPr="00ED40F2">
        <w:rPr>
          <w:rFonts w:eastAsia="Arial Narrow"/>
        </w:rPr>
        <w:t>binding</w:t>
      </w:r>
      <w:r w:rsidR="00F96B2F" w:rsidRPr="00ED40F2">
        <w:rPr>
          <w:rFonts w:eastAsia="Arial Narrow"/>
        </w:rPr>
        <w:t xml:space="preserve"> </w:t>
      </w:r>
      <w:r w:rsidRPr="00ED40F2">
        <w:rPr>
          <w:rFonts w:eastAsia="Arial Narrow"/>
        </w:rPr>
        <w:t>protein-3;</w:t>
      </w:r>
      <w:r w:rsidR="00F96B2F" w:rsidRPr="00ED40F2">
        <w:rPr>
          <w:rFonts w:eastAsia="Arial Narrow"/>
        </w:rPr>
        <w:t xml:space="preserve"> </w:t>
      </w:r>
      <w:r w:rsidRPr="00ED40F2">
        <w:rPr>
          <w:rFonts w:eastAsia="Arial Narrow"/>
        </w:rPr>
        <w:t>SD</w:t>
      </w:r>
      <w:r w:rsidR="00F96B2F" w:rsidRPr="00ED40F2">
        <w:rPr>
          <w:rFonts w:eastAsia="Arial Narrow"/>
        </w:rPr>
        <w:t xml:space="preserve"> </w:t>
      </w:r>
      <w:r w:rsidRPr="00ED40F2">
        <w:rPr>
          <w:rFonts w:eastAsia="Arial Narrow"/>
        </w:rPr>
        <w:t>standard</w:t>
      </w:r>
      <w:r w:rsidR="00F96B2F" w:rsidRPr="00ED40F2">
        <w:rPr>
          <w:rFonts w:eastAsia="Arial Narrow"/>
        </w:rPr>
        <w:t xml:space="preserve"> </w:t>
      </w:r>
      <w:r w:rsidRPr="00ED40F2">
        <w:rPr>
          <w:rFonts w:eastAsia="Arial Narrow"/>
        </w:rPr>
        <w:t>deviation;</w:t>
      </w:r>
      <w:r w:rsidR="00F96B2F" w:rsidRPr="00ED40F2">
        <w:rPr>
          <w:rFonts w:eastAsia="Arial Narrow"/>
        </w:rPr>
        <w:t xml:space="preserve"> </w:t>
      </w:r>
      <w:r w:rsidRPr="00ED40F2">
        <w:rPr>
          <w:rFonts w:eastAsia="Arial Narrow"/>
        </w:rPr>
        <w:t>SDS</w:t>
      </w:r>
      <w:r w:rsidR="00F96B2F" w:rsidRPr="00ED40F2">
        <w:rPr>
          <w:rFonts w:eastAsia="Arial Narrow"/>
        </w:rPr>
        <w:t xml:space="preserve"> </w:t>
      </w:r>
      <w:r w:rsidRPr="00ED40F2">
        <w:rPr>
          <w:rFonts w:eastAsia="Arial Narrow"/>
        </w:rPr>
        <w:t>standard</w:t>
      </w:r>
      <w:r w:rsidR="00F96B2F" w:rsidRPr="00ED40F2">
        <w:rPr>
          <w:rFonts w:eastAsia="Arial Narrow"/>
        </w:rPr>
        <w:t xml:space="preserve"> </w:t>
      </w:r>
      <w:r w:rsidRPr="00ED40F2">
        <w:rPr>
          <w:rFonts w:eastAsia="Arial Narrow"/>
        </w:rPr>
        <w:t>deviation</w:t>
      </w:r>
      <w:r w:rsidR="00F96B2F" w:rsidRPr="00ED40F2">
        <w:rPr>
          <w:rFonts w:eastAsia="Arial Narrow"/>
        </w:rPr>
        <w:t xml:space="preserve"> </w:t>
      </w:r>
      <w:r w:rsidRPr="00ED40F2">
        <w:rPr>
          <w:rFonts w:eastAsia="Arial Narrow"/>
        </w:rPr>
        <w:t>score</w:t>
      </w:r>
    </w:p>
    <w:p w14:paraId="3B4E5B03" w14:textId="77777777" w:rsidR="00811E0E" w:rsidRPr="00E96E9F" w:rsidRDefault="00811E0E" w:rsidP="00811E0E">
      <w:pPr>
        <w:pStyle w:val="2-SectionHeading"/>
      </w:pPr>
      <w:bookmarkStart w:id="7" w:name="_Toc93499813"/>
      <w:r w:rsidRPr="00E96E9F">
        <w:t>Background</w:t>
      </w:r>
      <w:bookmarkEnd w:id="7"/>
    </w:p>
    <w:p w14:paraId="48064AB2" w14:textId="2D2E382A" w:rsidR="00811E0E" w:rsidRPr="00E96E9F" w:rsidRDefault="00811E0E" w:rsidP="00811E0E">
      <w:pPr>
        <w:pStyle w:val="4-SubsectionHeading"/>
      </w:pPr>
      <w:bookmarkStart w:id="8" w:name="_Toc22897638"/>
      <w:bookmarkStart w:id="9" w:name="_Toc93499814"/>
      <w:r w:rsidRPr="00E96E9F">
        <w:t>Registration</w:t>
      </w:r>
      <w:r w:rsidR="00F96B2F" w:rsidRPr="00E96E9F">
        <w:t xml:space="preserve"> </w:t>
      </w:r>
      <w:r w:rsidRPr="00E96E9F">
        <w:t>status</w:t>
      </w:r>
      <w:bookmarkEnd w:id="8"/>
      <w:bookmarkEnd w:id="9"/>
    </w:p>
    <w:p w14:paraId="0248D1D4" w14:textId="2EABB35A" w:rsidR="00E5129A" w:rsidRPr="00E96E9F" w:rsidRDefault="00811E0E" w:rsidP="0056428A">
      <w:pPr>
        <w:pStyle w:val="3-BodyText"/>
        <w:rPr>
          <w:rFonts w:eastAsia="Calibri"/>
        </w:rPr>
      </w:pPr>
      <w:proofErr w:type="spellStart"/>
      <w:r w:rsidRPr="00E96E9F">
        <w:rPr>
          <w:rFonts w:eastAsia="Calibri"/>
        </w:rPr>
        <w:t>Somatrogon</w:t>
      </w:r>
      <w:proofErr w:type="spellEnd"/>
      <w:r w:rsidR="00F96B2F" w:rsidRPr="00E96E9F">
        <w:rPr>
          <w:rFonts w:eastAsia="Calibri"/>
        </w:rPr>
        <w:t xml:space="preserve"> </w:t>
      </w:r>
      <w:r w:rsidR="2D33AAA8" w:rsidRPr="00E96E9F">
        <w:rPr>
          <w:rFonts w:eastAsia="Calibri"/>
        </w:rPr>
        <w:t xml:space="preserve">was registered </w:t>
      </w:r>
      <w:r w:rsidR="00DD6C04">
        <w:rPr>
          <w:rFonts w:eastAsia="Calibri"/>
        </w:rPr>
        <w:t>i</w:t>
      </w:r>
      <w:r w:rsidR="008420A9" w:rsidRPr="00E96E9F">
        <w:rPr>
          <w:rFonts w:eastAsia="Calibri"/>
        </w:rPr>
        <w:t>n the Australian Register of Therapeutic Goods on 30</w:t>
      </w:r>
      <w:r w:rsidR="00207F51">
        <w:rPr>
          <w:rFonts w:eastAsia="Calibri"/>
        </w:rPr>
        <w:t> </w:t>
      </w:r>
      <w:r w:rsidR="008420A9" w:rsidRPr="00E96E9F">
        <w:rPr>
          <w:rFonts w:eastAsia="Calibri"/>
        </w:rPr>
        <w:t>November 2021</w:t>
      </w:r>
      <w:r w:rsidRPr="00E96E9F">
        <w:rPr>
          <w:rFonts w:eastAsia="Calibri"/>
        </w:rPr>
        <w:t>.</w:t>
      </w:r>
    </w:p>
    <w:p w14:paraId="2CB8E89D" w14:textId="6CC2A535" w:rsidR="00811E0E" w:rsidRPr="00DB4C90" w:rsidRDefault="00811E0E" w:rsidP="00811E0E">
      <w:pPr>
        <w:pStyle w:val="2-SectionHeading"/>
      </w:pPr>
      <w:bookmarkStart w:id="10" w:name="_Toc93499815"/>
      <w:r w:rsidRPr="00DB4C90">
        <w:t>Requested</w:t>
      </w:r>
      <w:r w:rsidR="00F96B2F" w:rsidRPr="00DB4C90">
        <w:t xml:space="preserve"> </w:t>
      </w:r>
      <w:r w:rsidRPr="00DB4C90">
        <w:t>listing</w:t>
      </w:r>
      <w:bookmarkEnd w:id="10"/>
    </w:p>
    <w:p w14:paraId="28893106" w14:textId="27DF9D0D" w:rsidR="00DB4C90" w:rsidRPr="00DB4C90" w:rsidRDefault="00DB4C90" w:rsidP="00DB4C90">
      <w:pPr>
        <w:pStyle w:val="3-BodyText"/>
      </w:pPr>
      <w:r>
        <w:t xml:space="preserve">The submission requested the listing of </w:t>
      </w:r>
      <w:proofErr w:type="spellStart"/>
      <w:r>
        <w:t>somatrogon</w:t>
      </w:r>
      <w:proofErr w:type="spellEnd"/>
      <w:r>
        <w:t xml:space="preserve"> for the following indications:</w:t>
      </w:r>
    </w:p>
    <w:p w14:paraId="5F6ABAD4" w14:textId="41B3C314" w:rsidR="00DB4C90" w:rsidRDefault="00DB4C90" w:rsidP="00DB4C90">
      <w:pPr>
        <w:pStyle w:val="ListParagraph"/>
      </w:pPr>
      <w:r>
        <w:t>Short stature associated with biochemical growth hormone deficiency (SSABGHD)</w:t>
      </w:r>
    </w:p>
    <w:p w14:paraId="7FB65D71" w14:textId="4DDD07F6" w:rsidR="00DB4C90" w:rsidRPr="00DB4C90" w:rsidRDefault="00DB4C90" w:rsidP="00DB4C90">
      <w:pPr>
        <w:pStyle w:val="ListParagraph"/>
      </w:pPr>
      <w:r>
        <w:t>Short stature and slow growth (SSSG)</w:t>
      </w:r>
    </w:p>
    <w:p w14:paraId="2D882FB9" w14:textId="09A70600" w:rsidR="004E2E58" w:rsidRPr="000470C3" w:rsidRDefault="004E2E58" w:rsidP="00B96ECB">
      <w:pPr>
        <w:pStyle w:val="ListParagraph"/>
        <w:numPr>
          <w:ilvl w:val="1"/>
          <w:numId w:val="1"/>
        </w:numPr>
        <w:jc w:val="both"/>
        <w:rPr>
          <w:rFonts w:eastAsiaTheme="minorEastAsia"/>
        </w:rPr>
      </w:pPr>
      <w:r w:rsidRPr="00DB4C90">
        <w:t>The</w:t>
      </w:r>
      <w:r w:rsidR="00F96B2F" w:rsidRPr="00E96E9F">
        <w:t xml:space="preserve"> </w:t>
      </w:r>
      <w:r w:rsidRPr="00E96E9F">
        <w:t>requested</w:t>
      </w:r>
      <w:r w:rsidR="00F96B2F" w:rsidRPr="00E96E9F">
        <w:t xml:space="preserve"> </w:t>
      </w:r>
      <w:r w:rsidRPr="00E96E9F">
        <w:t>abridged</w:t>
      </w:r>
      <w:r w:rsidR="00F96B2F" w:rsidRPr="00E96E9F">
        <w:t xml:space="preserve"> </w:t>
      </w:r>
      <w:r w:rsidRPr="00E96E9F">
        <w:t>listing</w:t>
      </w:r>
      <w:r w:rsidR="00F96B2F" w:rsidRPr="00E96E9F">
        <w:t xml:space="preserve"> </w:t>
      </w:r>
      <w:r w:rsidR="00DB4C90">
        <w:t>of</w:t>
      </w:r>
      <w:r w:rsidR="00F96B2F" w:rsidRPr="00E96E9F">
        <w:t xml:space="preserve"> </w:t>
      </w:r>
      <w:proofErr w:type="spellStart"/>
      <w:r w:rsidRPr="00E96E9F">
        <w:t>somatrogon</w:t>
      </w:r>
      <w:proofErr w:type="spellEnd"/>
      <w:r w:rsidR="00F96B2F" w:rsidRPr="00E96E9F">
        <w:t xml:space="preserve"> </w:t>
      </w:r>
      <w:r w:rsidRPr="00E96E9F">
        <w:t>for</w:t>
      </w:r>
      <w:r w:rsidR="00F96B2F" w:rsidRPr="00E96E9F">
        <w:t xml:space="preserve"> </w:t>
      </w:r>
      <w:r w:rsidR="00DB4C90">
        <w:t xml:space="preserve">the </w:t>
      </w:r>
      <w:r w:rsidRPr="00E96E9F">
        <w:t>initial</w:t>
      </w:r>
      <w:r w:rsidR="00F96B2F" w:rsidRPr="00E96E9F">
        <w:t xml:space="preserve"> </w:t>
      </w:r>
      <w:r w:rsidRPr="00E96E9F">
        <w:t>and</w:t>
      </w:r>
      <w:r w:rsidR="00F96B2F" w:rsidRPr="00E96E9F">
        <w:t xml:space="preserve"> </w:t>
      </w:r>
      <w:r w:rsidRPr="00E96E9F">
        <w:t>continuing</w:t>
      </w:r>
      <w:r w:rsidR="00F96B2F" w:rsidRPr="00E96E9F">
        <w:t xml:space="preserve"> </w:t>
      </w:r>
      <w:r w:rsidRPr="00E96E9F">
        <w:t>treatment</w:t>
      </w:r>
      <w:r w:rsidR="00F96B2F" w:rsidRPr="00E96E9F">
        <w:t xml:space="preserve"> </w:t>
      </w:r>
      <w:r w:rsidR="00DB4C90">
        <w:t>of</w:t>
      </w:r>
      <w:r w:rsidR="00DB4C90" w:rsidRPr="00E96E9F">
        <w:t xml:space="preserve"> </w:t>
      </w:r>
      <w:r w:rsidRPr="00E96E9F">
        <w:t>patients</w:t>
      </w:r>
      <w:r w:rsidR="00F96B2F" w:rsidRPr="00E96E9F">
        <w:t xml:space="preserve"> </w:t>
      </w:r>
      <w:r w:rsidRPr="00E96E9F">
        <w:t>with</w:t>
      </w:r>
      <w:r w:rsidR="00F96B2F" w:rsidRPr="00E96E9F">
        <w:t xml:space="preserve"> </w:t>
      </w:r>
      <w:r w:rsidR="00DB4C90">
        <w:t>SSABGHD is presented below</w:t>
      </w:r>
      <w:r w:rsidR="00CD2845" w:rsidRPr="00E96E9F">
        <w:t>.</w:t>
      </w:r>
      <w:r w:rsidR="00F96B2F" w:rsidRPr="00E96E9F">
        <w:t xml:space="preserve"> </w:t>
      </w:r>
      <w:r w:rsidR="00E176B9" w:rsidRPr="00E96E9F">
        <w:t>The</w:t>
      </w:r>
      <w:r w:rsidR="00F96B2F" w:rsidRPr="00E96E9F">
        <w:t xml:space="preserve"> </w:t>
      </w:r>
      <w:r w:rsidR="00E176B9" w:rsidRPr="00E96E9F">
        <w:t>submission</w:t>
      </w:r>
      <w:r w:rsidR="00F96B2F" w:rsidRPr="00E96E9F">
        <w:t xml:space="preserve"> </w:t>
      </w:r>
      <w:r w:rsidR="00E176B9" w:rsidRPr="00E96E9F">
        <w:t>also</w:t>
      </w:r>
      <w:r w:rsidR="00F96B2F" w:rsidRPr="00E96E9F">
        <w:t xml:space="preserve"> </w:t>
      </w:r>
      <w:r w:rsidR="00E176B9" w:rsidRPr="00E96E9F">
        <w:t>requested</w:t>
      </w:r>
      <w:r w:rsidR="00F96B2F" w:rsidRPr="00E96E9F">
        <w:t xml:space="preserve"> </w:t>
      </w:r>
      <w:r w:rsidR="00DB4C90">
        <w:t xml:space="preserve">listing of </w:t>
      </w:r>
      <w:proofErr w:type="spellStart"/>
      <w:r w:rsidR="00DB4C90">
        <w:t>somatrogon</w:t>
      </w:r>
      <w:proofErr w:type="spellEnd"/>
      <w:r w:rsidR="00DB4C90">
        <w:t xml:space="preserve"> for the </w:t>
      </w:r>
      <w:r w:rsidR="00E176B9" w:rsidRPr="00E96E9F">
        <w:t>initial</w:t>
      </w:r>
      <w:r w:rsidR="00F96B2F" w:rsidRPr="00E96E9F">
        <w:t xml:space="preserve"> </w:t>
      </w:r>
      <w:r w:rsidR="00E176B9" w:rsidRPr="00E96E9F">
        <w:t>and</w:t>
      </w:r>
      <w:r w:rsidR="00F96B2F" w:rsidRPr="00E96E9F">
        <w:t xml:space="preserve"> </w:t>
      </w:r>
      <w:r w:rsidR="00E176B9" w:rsidRPr="00E96E9F">
        <w:t>continuing</w:t>
      </w:r>
      <w:r w:rsidR="00F96B2F" w:rsidRPr="00E96E9F">
        <w:t xml:space="preserve"> </w:t>
      </w:r>
      <w:r w:rsidR="00E176B9" w:rsidRPr="00E96E9F">
        <w:t>treatment</w:t>
      </w:r>
      <w:r w:rsidR="00F96B2F" w:rsidRPr="00E96E9F">
        <w:t xml:space="preserve"> </w:t>
      </w:r>
      <w:r w:rsidR="00DB4C90">
        <w:t>o</w:t>
      </w:r>
      <w:r w:rsidR="003F432A">
        <w:t>f</w:t>
      </w:r>
      <w:r w:rsidR="00DB4C90" w:rsidRPr="00E96E9F">
        <w:t xml:space="preserve"> </w:t>
      </w:r>
      <w:proofErr w:type="gramStart"/>
      <w:r w:rsidR="00DB4C90">
        <w:t>SSSG</w:t>
      </w:r>
      <w:proofErr w:type="gramEnd"/>
      <w:r w:rsidR="00B96ECB">
        <w:t xml:space="preserve"> but </w:t>
      </w:r>
      <w:r w:rsidR="00534E5B">
        <w:t xml:space="preserve">the restrictions are not </w:t>
      </w:r>
      <w:r w:rsidR="00B96ECB">
        <w:t xml:space="preserve">presented in the </w:t>
      </w:r>
      <w:r w:rsidR="00DE75C6">
        <w:t xml:space="preserve">public summary document </w:t>
      </w:r>
      <w:r w:rsidR="000611AE">
        <w:t>(PSD)</w:t>
      </w:r>
      <w:r w:rsidR="00B96ECB">
        <w:t xml:space="preserve">as they were consistent with the current restrictions for </w:t>
      </w:r>
      <w:r w:rsidR="00207F51">
        <w:t xml:space="preserve">the somatropin brand </w:t>
      </w:r>
      <w:r w:rsidR="00B96ECB">
        <w:t>Genotropin</w:t>
      </w:r>
      <w:r w:rsidR="00A03847" w:rsidRPr="00E96E9F">
        <w:t>.</w:t>
      </w:r>
    </w:p>
    <w:tbl>
      <w:tblPr>
        <w:tblW w:w="4977" w:type="pct"/>
        <w:tblInd w:w="28" w:type="dxa"/>
        <w:tblCellMar>
          <w:left w:w="28" w:type="dxa"/>
          <w:right w:w="28" w:type="dxa"/>
        </w:tblCellMar>
        <w:tblLook w:val="0000" w:firstRow="0" w:lastRow="0" w:firstColumn="0" w:lastColumn="0" w:noHBand="0" w:noVBand="0"/>
      </w:tblPr>
      <w:tblGrid>
        <w:gridCol w:w="2199"/>
        <w:gridCol w:w="165"/>
        <w:gridCol w:w="1950"/>
        <w:gridCol w:w="794"/>
        <w:gridCol w:w="1466"/>
        <w:gridCol w:w="968"/>
        <w:gridCol w:w="1443"/>
      </w:tblGrid>
      <w:tr w:rsidR="00811E0E" w:rsidRPr="00E96E9F" w14:paraId="116ECFB3" w14:textId="77777777" w:rsidTr="00CF047E">
        <w:trPr>
          <w:cantSplit/>
          <w:trHeight w:val="463"/>
        </w:trPr>
        <w:tc>
          <w:tcPr>
            <w:tcW w:w="2364" w:type="dxa"/>
            <w:gridSpan w:val="2"/>
            <w:tcBorders>
              <w:top w:val="single" w:sz="4" w:space="0" w:color="auto"/>
              <w:bottom w:val="single" w:sz="4" w:space="0" w:color="auto"/>
            </w:tcBorders>
            <w:vAlign w:val="center"/>
          </w:tcPr>
          <w:p w14:paraId="3524BEF7" w14:textId="6CF9B13B" w:rsidR="00811E0E" w:rsidRPr="00E96E9F" w:rsidRDefault="00811E0E" w:rsidP="00CF047E">
            <w:pPr>
              <w:keepNext/>
              <w:jc w:val="left"/>
              <w:rPr>
                <w:rFonts w:ascii="Arial Narrow" w:hAnsi="Arial Narrow"/>
                <w:b/>
                <w:sz w:val="20"/>
              </w:rPr>
            </w:pPr>
            <w:r w:rsidRPr="00E96E9F">
              <w:rPr>
                <w:rFonts w:ascii="Arial Narrow" w:hAnsi="Arial Narrow"/>
                <w:b/>
                <w:sz w:val="20"/>
              </w:rPr>
              <w:lastRenderedPageBreak/>
              <w:t>Name,</w:t>
            </w:r>
            <w:r w:rsidR="00F96B2F" w:rsidRPr="00E96E9F">
              <w:rPr>
                <w:rFonts w:ascii="Arial Narrow" w:hAnsi="Arial Narrow"/>
                <w:b/>
                <w:sz w:val="20"/>
              </w:rPr>
              <w:t xml:space="preserve"> </w:t>
            </w:r>
            <w:r w:rsidRPr="00E96E9F">
              <w:rPr>
                <w:rFonts w:ascii="Arial Narrow" w:hAnsi="Arial Narrow"/>
                <w:b/>
                <w:sz w:val="20"/>
              </w:rPr>
              <w:t>Restriction,</w:t>
            </w:r>
          </w:p>
          <w:p w14:paraId="5DBECD9D" w14:textId="51ECB369" w:rsidR="00811E0E" w:rsidRPr="00E96E9F" w:rsidRDefault="00811E0E" w:rsidP="00CF047E">
            <w:pPr>
              <w:keepNext/>
              <w:jc w:val="left"/>
              <w:rPr>
                <w:rFonts w:ascii="Arial Narrow" w:hAnsi="Arial Narrow"/>
                <w:b/>
                <w:sz w:val="20"/>
              </w:rPr>
            </w:pPr>
            <w:r w:rsidRPr="00E96E9F">
              <w:rPr>
                <w:rFonts w:ascii="Arial Narrow" w:hAnsi="Arial Narrow"/>
                <w:b/>
                <w:sz w:val="20"/>
              </w:rPr>
              <w:t>Manner</w:t>
            </w:r>
            <w:r w:rsidR="00F96B2F" w:rsidRPr="00E96E9F">
              <w:rPr>
                <w:rFonts w:ascii="Arial Narrow" w:hAnsi="Arial Narrow"/>
                <w:b/>
                <w:sz w:val="20"/>
              </w:rPr>
              <w:t xml:space="preserve"> </w:t>
            </w:r>
            <w:r w:rsidRPr="00E96E9F">
              <w:rPr>
                <w:rFonts w:ascii="Arial Narrow" w:hAnsi="Arial Narrow"/>
                <w:b/>
                <w:sz w:val="20"/>
              </w:rPr>
              <w:t>of</w:t>
            </w:r>
            <w:r w:rsidR="00F96B2F" w:rsidRPr="00E96E9F">
              <w:rPr>
                <w:rFonts w:ascii="Arial Narrow" w:hAnsi="Arial Narrow"/>
                <w:b/>
                <w:sz w:val="20"/>
              </w:rPr>
              <w:t xml:space="preserve"> </w:t>
            </w:r>
            <w:r w:rsidRPr="00E96E9F">
              <w:rPr>
                <w:rFonts w:ascii="Arial Narrow" w:hAnsi="Arial Narrow"/>
                <w:b/>
                <w:sz w:val="20"/>
              </w:rPr>
              <w:t>administration</w:t>
            </w:r>
            <w:r w:rsidR="00F96B2F" w:rsidRPr="00E96E9F">
              <w:rPr>
                <w:rFonts w:ascii="Arial Narrow" w:hAnsi="Arial Narrow"/>
                <w:b/>
                <w:sz w:val="20"/>
              </w:rPr>
              <w:t xml:space="preserve"> </w:t>
            </w:r>
            <w:r w:rsidRPr="00E96E9F">
              <w:rPr>
                <w:rFonts w:ascii="Arial Narrow" w:hAnsi="Arial Narrow"/>
                <w:b/>
                <w:sz w:val="20"/>
              </w:rPr>
              <w:t>and</w:t>
            </w:r>
            <w:r w:rsidR="00F96B2F" w:rsidRPr="00E96E9F">
              <w:rPr>
                <w:rFonts w:ascii="Arial Narrow" w:hAnsi="Arial Narrow"/>
                <w:b/>
                <w:sz w:val="20"/>
              </w:rPr>
              <w:t xml:space="preserve"> </w:t>
            </w:r>
            <w:r w:rsidRPr="00E96E9F">
              <w:rPr>
                <w:rFonts w:ascii="Arial Narrow" w:hAnsi="Arial Narrow"/>
                <w:b/>
                <w:sz w:val="20"/>
              </w:rPr>
              <w:t>form</w:t>
            </w:r>
          </w:p>
        </w:tc>
        <w:tc>
          <w:tcPr>
            <w:tcW w:w="1950" w:type="dxa"/>
            <w:tcBorders>
              <w:top w:val="single" w:sz="4" w:space="0" w:color="auto"/>
              <w:bottom w:val="single" w:sz="4" w:space="0" w:color="auto"/>
            </w:tcBorders>
            <w:vAlign w:val="center"/>
          </w:tcPr>
          <w:p w14:paraId="7BE2EF9A" w14:textId="77777777" w:rsidR="00811E0E" w:rsidRPr="00E96E9F" w:rsidRDefault="00811E0E" w:rsidP="00CF047E">
            <w:pPr>
              <w:keepNext/>
              <w:jc w:val="center"/>
              <w:rPr>
                <w:rFonts w:ascii="Arial Narrow" w:hAnsi="Arial Narrow"/>
                <w:b/>
                <w:sz w:val="20"/>
              </w:rPr>
            </w:pPr>
            <w:r w:rsidRPr="00E96E9F">
              <w:rPr>
                <w:rFonts w:ascii="Arial Narrow" w:hAnsi="Arial Narrow"/>
                <w:b/>
                <w:sz w:val="20"/>
              </w:rPr>
              <w:t>Max.</w:t>
            </w:r>
          </w:p>
          <w:p w14:paraId="4C0ED28B" w14:textId="5341FAC0" w:rsidR="00811E0E" w:rsidRPr="00E96E9F" w:rsidRDefault="00811E0E" w:rsidP="00CF047E">
            <w:pPr>
              <w:keepNext/>
              <w:jc w:val="center"/>
              <w:rPr>
                <w:rFonts w:ascii="Arial Narrow" w:hAnsi="Arial Narrow"/>
                <w:b/>
                <w:sz w:val="20"/>
              </w:rPr>
            </w:pPr>
            <w:r w:rsidRPr="00E96E9F">
              <w:rPr>
                <w:rFonts w:ascii="Arial Narrow" w:hAnsi="Arial Narrow"/>
                <w:b/>
                <w:sz w:val="20"/>
              </w:rPr>
              <w:t>Qty</w:t>
            </w:r>
            <w:r w:rsidR="00F96B2F" w:rsidRPr="00E96E9F">
              <w:rPr>
                <w:rFonts w:ascii="Arial Narrow" w:hAnsi="Arial Narrow"/>
                <w:b/>
                <w:sz w:val="20"/>
              </w:rPr>
              <w:t xml:space="preserve"> </w:t>
            </w:r>
          </w:p>
        </w:tc>
        <w:tc>
          <w:tcPr>
            <w:tcW w:w="794" w:type="dxa"/>
            <w:tcBorders>
              <w:top w:val="single" w:sz="4" w:space="0" w:color="auto"/>
              <w:bottom w:val="single" w:sz="4" w:space="0" w:color="auto"/>
            </w:tcBorders>
            <w:vAlign w:val="center"/>
          </w:tcPr>
          <w:p w14:paraId="6FAFF20A" w14:textId="77777777" w:rsidR="00811E0E" w:rsidRPr="00E96E9F" w:rsidRDefault="00811E0E" w:rsidP="00CF047E">
            <w:pPr>
              <w:keepNext/>
              <w:jc w:val="center"/>
              <w:rPr>
                <w:rFonts w:ascii="Arial Narrow" w:hAnsi="Arial Narrow"/>
                <w:b/>
                <w:sz w:val="20"/>
              </w:rPr>
            </w:pPr>
            <w:proofErr w:type="gramStart"/>
            <w:r w:rsidRPr="00E96E9F">
              <w:rPr>
                <w:rFonts w:ascii="Arial Narrow" w:hAnsi="Arial Narrow" w:cs="Times New Roman"/>
                <w:b/>
                <w:sz w:val="20"/>
              </w:rPr>
              <w:t>№</w:t>
            </w:r>
            <w:r w:rsidRPr="00E96E9F">
              <w:rPr>
                <w:rFonts w:ascii="Arial Narrow" w:hAnsi="Arial Narrow"/>
                <w:b/>
                <w:sz w:val="20"/>
              </w:rPr>
              <w:t>.of</w:t>
            </w:r>
            <w:proofErr w:type="gramEnd"/>
          </w:p>
          <w:p w14:paraId="4BE557C7" w14:textId="77777777" w:rsidR="00811E0E" w:rsidRPr="00E96E9F" w:rsidRDefault="00811E0E" w:rsidP="00CF047E">
            <w:pPr>
              <w:keepNext/>
              <w:jc w:val="center"/>
              <w:rPr>
                <w:rFonts w:ascii="Arial Narrow" w:hAnsi="Arial Narrow"/>
                <w:b/>
                <w:sz w:val="20"/>
              </w:rPr>
            </w:pPr>
            <w:proofErr w:type="spellStart"/>
            <w:r w:rsidRPr="00E96E9F">
              <w:rPr>
                <w:rFonts w:ascii="Arial Narrow" w:hAnsi="Arial Narrow"/>
                <w:b/>
                <w:sz w:val="20"/>
              </w:rPr>
              <w:t>Rpts</w:t>
            </w:r>
            <w:proofErr w:type="spellEnd"/>
          </w:p>
        </w:tc>
        <w:tc>
          <w:tcPr>
            <w:tcW w:w="1466" w:type="dxa"/>
            <w:tcBorders>
              <w:top w:val="single" w:sz="4" w:space="0" w:color="auto"/>
              <w:bottom w:val="single" w:sz="4" w:space="0" w:color="auto"/>
            </w:tcBorders>
            <w:vAlign w:val="center"/>
          </w:tcPr>
          <w:p w14:paraId="386547BB" w14:textId="5D2330B4" w:rsidR="00811E0E" w:rsidRPr="00E96E9F" w:rsidRDefault="00811E0E" w:rsidP="00CF047E">
            <w:pPr>
              <w:keepNext/>
              <w:jc w:val="center"/>
              <w:rPr>
                <w:rFonts w:ascii="Arial Narrow" w:hAnsi="Arial Narrow"/>
                <w:b/>
                <w:sz w:val="20"/>
              </w:rPr>
            </w:pPr>
            <w:r w:rsidRPr="00E96E9F">
              <w:rPr>
                <w:rFonts w:ascii="Arial Narrow" w:hAnsi="Arial Narrow"/>
                <w:b/>
                <w:sz w:val="20"/>
              </w:rPr>
              <w:t>Dispensed</w:t>
            </w:r>
            <w:r w:rsidR="00F96B2F" w:rsidRPr="00E96E9F">
              <w:rPr>
                <w:rFonts w:ascii="Arial Narrow" w:hAnsi="Arial Narrow"/>
                <w:b/>
                <w:sz w:val="20"/>
              </w:rPr>
              <w:t xml:space="preserve"> </w:t>
            </w:r>
            <w:r w:rsidRPr="00E96E9F">
              <w:rPr>
                <w:rFonts w:ascii="Arial Narrow" w:hAnsi="Arial Narrow"/>
                <w:b/>
                <w:sz w:val="20"/>
              </w:rPr>
              <w:t>Price</w:t>
            </w:r>
            <w:r w:rsidR="00F96B2F" w:rsidRPr="00E96E9F">
              <w:rPr>
                <w:rFonts w:ascii="Arial Narrow" w:hAnsi="Arial Narrow"/>
                <w:b/>
                <w:sz w:val="20"/>
              </w:rPr>
              <w:t xml:space="preserve"> </w:t>
            </w:r>
            <w:r w:rsidRPr="00E96E9F">
              <w:rPr>
                <w:rFonts w:ascii="Arial Narrow" w:hAnsi="Arial Narrow"/>
                <w:b/>
                <w:sz w:val="20"/>
              </w:rPr>
              <w:t>for</w:t>
            </w:r>
            <w:r w:rsidR="00F96B2F" w:rsidRPr="00E96E9F">
              <w:rPr>
                <w:rFonts w:ascii="Arial Narrow" w:hAnsi="Arial Narrow"/>
                <w:b/>
                <w:sz w:val="20"/>
              </w:rPr>
              <w:t xml:space="preserve"> </w:t>
            </w:r>
            <w:r w:rsidRPr="00E96E9F">
              <w:rPr>
                <w:rFonts w:ascii="Arial Narrow" w:hAnsi="Arial Narrow"/>
                <w:b/>
                <w:sz w:val="20"/>
              </w:rPr>
              <w:t>Max.</w:t>
            </w:r>
            <w:r w:rsidR="00F96B2F" w:rsidRPr="00E96E9F">
              <w:rPr>
                <w:rFonts w:ascii="Arial Narrow" w:hAnsi="Arial Narrow"/>
                <w:b/>
                <w:sz w:val="20"/>
              </w:rPr>
              <w:t xml:space="preserve"> </w:t>
            </w:r>
            <w:r w:rsidRPr="00E96E9F">
              <w:rPr>
                <w:rFonts w:ascii="Arial Narrow" w:hAnsi="Arial Narrow"/>
                <w:b/>
                <w:sz w:val="20"/>
              </w:rPr>
              <w:t>Qty</w:t>
            </w:r>
            <w:r w:rsidR="00F96B2F" w:rsidRPr="00E96E9F">
              <w:rPr>
                <w:rFonts w:ascii="Arial Narrow" w:hAnsi="Arial Narrow"/>
                <w:b/>
                <w:sz w:val="20"/>
              </w:rPr>
              <w:t xml:space="preserve"> </w:t>
            </w:r>
          </w:p>
        </w:tc>
        <w:tc>
          <w:tcPr>
            <w:tcW w:w="2411" w:type="dxa"/>
            <w:gridSpan w:val="2"/>
            <w:tcBorders>
              <w:top w:val="single" w:sz="4" w:space="0" w:color="auto"/>
              <w:bottom w:val="single" w:sz="4" w:space="0" w:color="auto"/>
            </w:tcBorders>
            <w:vAlign w:val="center"/>
          </w:tcPr>
          <w:p w14:paraId="207DB3FE" w14:textId="660E17BB" w:rsidR="00811E0E" w:rsidRPr="00E96E9F" w:rsidRDefault="00811E0E" w:rsidP="00CF047E">
            <w:pPr>
              <w:keepNext/>
              <w:jc w:val="center"/>
              <w:rPr>
                <w:rFonts w:ascii="Arial Narrow" w:hAnsi="Arial Narrow"/>
                <w:b/>
                <w:sz w:val="20"/>
              </w:rPr>
            </w:pPr>
            <w:r w:rsidRPr="00E96E9F">
              <w:rPr>
                <w:rFonts w:ascii="Arial Narrow" w:hAnsi="Arial Narrow"/>
                <w:b/>
                <w:sz w:val="20"/>
              </w:rPr>
              <w:t>Proprietary</w:t>
            </w:r>
            <w:r w:rsidR="00F96B2F" w:rsidRPr="00E96E9F">
              <w:rPr>
                <w:rFonts w:ascii="Arial Narrow" w:hAnsi="Arial Narrow"/>
                <w:b/>
                <w:sz w:val="20"/>
              </w:rPr>
              <w:t xml:space="preserve"> </w:t>
            </w:r>
            <w:r w:rsidRPr="00E96E9F">
              <w:rPr>
                <w:rFonts w:ascii="Arial Narrow" w:hAnsi="Arial Narrow"/>
                <w:b/>
                <w:sz w:val="20"/>
              </w:rPr>
              <w:t>Name</w:t>
            </w:r>
            <w:r w:rsidR="00F96B2F" w:rsidRPr="00E96E9F">
              <w:rPr>
                <w:rFonts w:ascii="Arial Narrow" w:hAnsi="Arial Narrow"/>
                <w:b/>
                <w:sz w:val="20"/>
              </w:rPr>
              <w:t xml:space="preserve"> </w:t>
            </w:r>
            <w:r w:rsidRPr="00E96E9F">
              <w:rPr>
                <w:rFonts w:ascii="Arial Narrow" w:hAnsi="Arial Narrow"/>
                <w:b/>
                <w:sz w:val="20"/>
              </w:rPr>
              <w:t>and</w:t>
            </w:r>
            <w:r w:rsidR="00F96B2F" w:rsidRPr="00E96E9F">
              <w:rPr>
                <w:rFonts w:ascii="Arial Narrow" w:hAnsi="Arial Narrow"/>
                <w:b/>
                <w:sz w:val="20"/>
              </w:rPr>
              <w:t xml:space="preserve"> </w:t>
            </w:r>
            <w:r w:rsidRPr="00E96E9F">
              <w:rPr>
                <w:rFonts w:ascii="Arial Narrow" w:hAnsi="Arial Narrow"/>
                <w:b/>
                <w:sz w:val="20"/>
              </w:rPr>
              <w:t>Manufacturer</w:t>
            </w:r>
          </w:p>
        </w:tc>
      </w:tr>
      <w:tr w:rsidR="00811E0E" w:rsidRPr="00E96E9F" w14:paraId="428D184F" w14:textId="77777777" w:rsidTr="00DD6C04">
        <w:trPr>
          <w:cantSplit/>
          <w:trHeight w:val="289"/>
        </w:trPr>
        <w:tc>
          <w:tcPr>
            <w:tcW w:w="2364" w:type="dxa"/>
            <w:gridSpan w:val="2"/>
            <w:vAlign w:val="center"/>
          </w:tcPr>
          <w:p w14:paraId="6322B0E2" w14:textId="77777777" w:rsidR="00811E0E" w:rsidRPr="00E96E9F" w:rsidRDefault="00811E0E" w:rsidP="003D33CE">
            <w:pPr>
              <w:keepNext/>
              <w:jc w:val="left"/>
              <w:rPr>
                <w:rFonts w:ascii="Arial Narrow" w:hAnsi="Arial Narrow"/>
                <w:sz w:val="20"/>
                <w:szCs w:val="20"/>
              </w:rPr>
            </w:pPr>
            <w:proofErr w:type="spellStart"/>
            <w:r w:rsidRPr="00E96E9F">
              <w:rPr>
                <w:rFonts w:ascii="Arial Narrow" w:hAnsi="Arial Narrow"/>
                <w:smallCaps/>
                <w:sz w:val="20"/>
                <w:szCs w:val="20"/>
              </w:rPr>
              <w:t>Somatrogon</w:t>
            </w:r>
            <w:proofErr w:type="spellEnd"/>
          </w:p>
          <w:p w14:paraId="16AFE895" w14:textId="49EF82E3" w:rsidR="00811E0E" w:rsidRPr="00E96E9F" w:rsidRDefault="00811E0E" w:rsidP="003D33CE">
            <w:pPr>
              <w:pStyle w:val="TableText0"/>
              <w:rPr>
                <w:rFonts w:eastAsia="Arial Narrow" w:cs="Arial Narrow"/>
                <w:color w:val="000000" w:themeColor="text1"/>
              </w:rPr>
            </w:pPr>
            <w:r w:rsidRPr="00E96E9F">
              <w:rPr>
                <w:rFonts w:eastAsia="Arial Narrow" w:cs="Arial Narrow"/>
                <w:color w:val="000000" w:themeColor="text1"/>
              </w:rPr>
              <w:t>prefilled</w:t>
            </w:r>
            <w:r w:rsidR="00F96B2F" w:rsidRPr="00E96E9F">
              <w:rPr>
                <w:rFonts w:eastAsia="Arial Narrow" w:cs="Arial Narrow"/>
                <w:color w:val="000000" w:themeColor="text1"/>
              </w:rPr>
              <w:t xml:space="preserve"> </w:t>
            </w:r>
            <w:r w:rsidRPr="00E96E9F">
              <w:rPr>
                <w:rFonts w:eastAsia="Arial Narrow" w:cs="Arial Narrow"/>
                <w:color w:val="000000" w:themeColor="text1"/>
              </w:rPr>
              <w:t>pen(s)</w:t>
            </w:r>
            <w:r w:rsidR="00F96B2F" w:rsidRPr="00E96E9F">
              <w:rPr>
                <w:rFonts w:eastAsia="Arial Narrow" w:cs="Arial Narrow"/>
                <w:color w:val="000000" w:themeColor="text1"/>
              </w:rPr>
              <w:t xml:space="preserve"> </w:t>
            </w:r>
            <w:r w:rsidRPr="00E96E9F">
              <w:rPr>
                <w:rFonts w:eastAsia="Arial Narrow" w:cs="Arial Narrow"/>
                <w:color w:val="000000" w:themeColor="text1"/>
              </w:rPr>
              <w:t>24</w:t>
            </w:r>
            <w:r w:rsidR="00C0394E" w:rsidRPr="00E96E9F">
              <w:rPr>
                <w:rFonts w:eastAsia="Arial Narrow" w:cs="Arial Narrow"/>
                <w:color w:val="000000" w:themeColor="text1"/>
              </w:rPr>
              <w:t> </w:t>
            </w:r>
            <w:r w:rsidRPr="00E96E9F">
              <w:rPr>
                <w:rFonts w:eastAsia="Arial Narrow" w:cs="Arial Narrow"/>
                <w:color w:val="000000" w:themeColor="text1"/>
              </w:rPr>
              <w:t>mg/1.2</w:t>
            </w:r>
            <w:r w:rsidR="00C0394E" w:rsidRPr="00E96E9F">
              <w:rPr>
                <w:rFonts w:eastAsia="Arial Narrow" w:cs="Arial Narrow"/>
                <w:color w:val="000000" w:themeColor="text1"/>
              </w:rPr>
              <w:t> </w:t>
            </w:r>
            <w:r w:rsidRPr="00E96E9F">
              <w:rPr>
                <w:rFonts w:eastAsia="Arial Narrow" w:cs="Arial Narrow"/>
                <w:color w:val="000000" w:themeColor="text1"/>
              </w:rPr>
              <w:t>mL</w:t>
            </w:r>
          </w:p>
        </w:tc>
        <w:tc>
          <w:tcPr>
            <w:tcW w:w="1950" w:type="dxa"/>
            <w:vAlign w:val="center"/>
          </w:tcPr>
          <w:p w14:paraId="475559A5" w14:textId="05C3C19F" w:rsidR="00811E0E" w:rsidRPr="00E96E9F" w:rsidRDefault="00811E0E" w:rsidP="003D33CE">
            <w:pPr>
              <w:keepNext/>
              <w:jc w:val="center"/>
            </w:pPr>
            <w:r w:rsidRPr="00E96E9F">
              <w:rPr>
                <w:rFonts w:ascii="Arial Narrow" w:hAnsi="Arial Narrow"/>
                <w:sz w:val="20"/>
                <w:szCs w:val="20"/>
              </w:rPr>
              <w:t>1</w:t>
            </w:r>
          </w:p>
        </w:tc>
        <w:tc>
          <w:tcPr>
            <w:tcW w:w="794" w:type="dxa"/>
            <w:vAlign w:val="center"/>
          </w:tcPr>
          <w:p w14:paraId="00D15832" w14:textId="6D1EDAA4" w:rsidR="00811E0E" w:rsidRPr="00E96E9F" w:rsidRDefault="00811E0E" w:rsidP="003D33CE">
            <w:pPr>
              <w:keepNext/>
              <w:jc w:val="center"/>
            </w:pPr>
            <w:r w:rsidRPr="00E96E9F">
              <w:rPr>
                <w:rFonts w:ascii="Arial Narrow" w:hAnsi="Arial Narrow"/>
                <w:sz w:val="20"/>
                <w:szCs w:val="20"/>
              </w:rPr>
              <w:t>1</w:t>
            </w:r>
          </w:p>
        </w:tc>
        <w:tc>
          <w:tcPr>
            <w:tcW w:w="1466" w:type="dxa"/>
            <w:vAlign w:val="center"/>
          </w:tcPr>
          <w:p w14:paraId="28EB9B0A" w14:textId="25895E82" w:rsidR="00811E0E" w:rsidRPr="004D48B4" w:rsidRDefault="00811E0E" w:rsidP="003D33CE">
            <w:pPr>
              <w:keepNext/>
              <w:jc w:val="center"/>
            </w:pPr>
            <w:r w:rsidRPr="004D48B4">
              <w:rPr>
                <w:rFonts w:ascii="Arial Narrow" w:hAnsi="Arial Narrow"/>
                <w:sz w:val="20"/>
                <w:szCs w:val="20"/>
              </w:rPr>
              <w:t>$382.03</w:t>
            </w:r>
          </w:p>
        </w:tc>
        <w:tc>
          <w:tcPr>
            <w:tcW w:w="968" w:type="dxa"/>
            <w:vAlign w:val="center"/>
          </w:tcPr>
          <w:p w14:paraId="6E6322FB" w14:textId="463A3D88" w:rsidR="00811E0E" w:rsidRPr="00E96E9F" w:rsidRDefault="00576176" w:rsidP="003D33CE">
            <w:pPr>
              <w:keepNext/>
              <w:jc w:val="center"/>
            </w:pPr>
            <w:proofErr w:type="spellStart"/>
            <w:r w:rsidRPr="00E96E9F">
              <w:rPr>
                <w:rFonts w:ascii="Arial Narrow" w:hAnsi="Arial Narrow"/>
                <w:sz w:val="20"/>
                <w:szCs w:val="20"/>
              </w:rPr>
              <w:t>Ngenla</w:t>
            </w:r>
            <w:proofErr w:type="spellEnd"/>
            <w:r w:rsidR="00472320" w:rsidRPr="00E96E9F">
              <w:rPr>
                <w:rFonts w:ascii="Arial Narrow" w:hAnsi="Arial Narrow"/>
                <w:sz w:val="20"/>
                <w:szCs w:val="20"/>
              </w:rPr>
              <w:t>®</w:t>
            </w:r>
          </w:p>
        </w:tc>
        <w:tc>
          <w:tcPr>
            <w:tcW w:w="1443" w:type="dxa"/>
            <w:vAlign w:val="center"/>
          </w:tcPr>
          <w:p w14:paraId="4900E63A" w14:textId="38BB17FA" w:rsidR="00811E0E" w:rsidRPr="00E96E9F" w:rsidRDefault="00811E0E" w:rsidP="003D33CE">
            <w:pPr>
              <w:keepNext/>
              <w:jc w:val="center"/>
            </w:pPr>
            <w:r w:rsidRPr="00E96E9F">
              <w:rPr>
                <w:rFonts w:ascii="Arial Narrow" w:hAnsi="Arial Narrow"/>
                <w:sz w:val="20"/>
                <w:szCs w:val="20"/>
              </w:rPr>
              <w:t>Pfizer</w:t>
            </w:r>
            <w:r w:rsidR="00F96B2F" w:rsidRPr="00E96E9F">
              <w:rPr>
                <w:rFonts w:ascii="Arial Narrow" w:hAnsi="Arial Narrow"/>
                <w:sz w:val="20"/>
                <w:szCs w:val="20"/>
              </w:rPr>
              <w:t xml:space="preserve"> </w:t>
            </w:r>
            <w:r w:rsidRPr="00E96E9F">
              <w:rPr>
                <w:rFonts w:ascii="Arial Narrow" w:hAnsi="Arial Narrow"/>
                <w:sz w:val="20"/>
                <w:szCs w:val="20"/>
              </w:rPr>
              <w:t>Australia</w:t>
            </w:r>
            <w:r w:rsidR="00F96B2F" w:rsidRPr="00E96E9F">
              <w:rPr>
                <w:rFonts w:ascii="Arial Narrow" w:hAnsi="Arial Narrow"/>
                <w:sz w:val="20"/>
                <w:szCs w:val="20"/>
              </w:rPr>
              <w:t xml:space="preserve"> </w:t>
            </w:r>
            <w:r w:rsidRPr="00E96E9F">
              <w:rPr>
                <w:rFonts w:ascii="Arial Narrow" w:hAnsi="Arial Narrow"/>
                <w:sz w:val="20"/>
                <w:szCs w:val="20"/>
              </w:rPr>
              <w:t>Pty</w:t>
            </w:r>
            <w:r w:rsidR="00F96B2F" w:rsidRPr="00E96E9F">
              <w:rPr>
                <w:rFonts w:ascii="Arial Narrow" w:hAnsi="Arial Narrow"/>
                <w:sz w:val="20"/>
                <w:szCs w:val="20"/>
              </w:rPr>
              <w:t xml:space="preserve"> </w:t>
            </w:r>
            <w:r w:rsidRPr="00E96E9F">
              <w:rPr>
                <w:rFonts w:ascii="Arial Narrow" w:hAnsi="Arial Narrow"/>
                <w:sz w:val="20"/>
                <w:szCs w:val="20"/>
              </w:rPr>
              <w:t>Ltd</w:t>
            </w:r>
          </w:p>
        </w:tc>
      </w:tr>
      <w:tr w:rsidR="003D33CE" w:rsidRPr="00E96E9F" w14:paraId="580B6DCE" w14:textId="77777777" w:rsidTr="00DD6C04">
        <w:trPr>
          <w:cantSplit/>
          <w:trHeight w:val="121"/>
        </w:trPr>
        <w:tc>
          <w:tcPr>
            <w:tcW w:w="2364" w:type="dxa"/>
            <w:gridSpan w:val="2"/>
            <w:vAlign w:val="center"/>
          </w:tcPr>
          <w:p w14:paraId="10BF9BBE" w14:textId="77777777" w:rsidR="003D33CE" w:rsidRPr="00E96E9F" w:rsidRDefault="003D33CE" w:rsidP="003D33CE">
            <w:pPr>
              <w:keepNext/>
              <w:jc w:val="left"/>
              <w:rPr>
                <w:rFonts w:ascii="Arial Narrow" w:hAnsi="Arial Narrow"/>
                <w:sz w:val="20"/>
                <w:szCs w:val="20"/>
              </w:rPr>
            </w:pPr>
            <w:proofErr w:type="spellStart"/>
            <w:r w:rsidRPr="00E96E9F">
              <w:rPr>
                <w:rFonts w:ascii="Arial Narrow" w:hAnsi="Arial Narrow"/>
                <w:smallCaps/>
                <w:sz w:val="20"/>
                <w:szCs w:val="20"/>
              </w:rPr>
              <w:t>Somatrogon</w:t>
            </w:r>
            <w:proofErr w:type="spellEnd"/>
          </w:p>
          <w:p w14:paraId="35AA1742" w14:textId="4EF7900D" w:rsidR="003D33CE" w:rsidRPr="00E96E9F" w:rsidRDefault="003D33CE" w:rsidP="003D33CE">
            <w:pPr>
              <w:pStyle w:val="TableText0"/>
              <w:spacing w:line="259" w:lineRule="auto"/>
              <w:rPr>
                <w:smallCaps/>
                <w:szCs w:val="20"/>
              </w:rPr>
            </w:pPr>
            <w:r w:rsidRPr="00E96E9F">
              <w:rPr>
                <w:rFonts w:eastAsia="Arial Narrow" w:cs="Arial Narrow"/>
                <w:color w:val="000000" w:themeColor="text1"/>
              </w:rPr>
              <w:t>Prefilled pen(s) 60</w:t>
            </w:r>
            <w:r w:rsidR="00C0394E" w:rsidRPr="00E96E9F">
              <w:rPr>
                <w:rFonts w:eastAsia="Arial Narrow" w:cs="Arial Narrow"/>
                <w:color w:val="000000" w:themeColor="text1"/>
              </w:rPr>
              <w:t> </w:t>
            </w:r>
            <w:r w:rsidRPr="00E96E9F">
              <w:rPr>
                <w:rFonts w:eastAsia="Arial Narrow" w:cs="Arial Narrow"/>
                <w:color w:val="000000" w:themeColor="text1"/>
              </w:rPr>
              <w:t>mg/1.2</w:t>
            </w:r>
            <w:r w:rsidR="00C0394E" w:rsidRPr="00E96E9F">
              <w:rPr>
                <w:rFonts w:eastAsia="Arial Narrow" w:cs="Arial Narrow"/>
                <w:color w:val="000000" w:themeColor="text1"/>
              </w:rPr>
              <w:t> </w:t>
            </w:r>
            <w:r w:rsidRPr="00E96E9F">
              <w:rPr>
                <w:rFonts w:eastAsia="Arial Narrow" w:cs="Arial Narrow"/>
                <w:color w:val="000000" w:themeColor="text1"/>
              </w:rPr>
              <w:t>mL</w:t>
            </w:r>
          </w:p>
        </w:tc>
        <w:tc>
          <w:tcPr>
            <w:tcW w:w="1950" w:type="dxa"/>
            <w:vAlign w:val="center"/>
          </w:tcPr>
          <w:p w14:paraId="594B0D5A" w14:textId="1CAEB206" w:rsidR="003D33CE" w:rsidRPr="00E96E9F" w:rsidRDefault="003D33CE" w:rsidP="003D33CE">
            <w:pPr>
              <w:keepNext/>
              <w:jc w:val="center"/>
              <w:rPr>
                <w:rFonts w:ascii="Arial Narrow" w:hAnsi="Arial Narrow"/>
                <w:sz w:val="20"/>
                <w:szCs w:val="20"/>
              </w:rPr>
            </w:pPr>
            <w:r w:rsidRPr="00E96E9F">
              <w:rPr>
                <w:rFonts w:ascii="Arial Narrow" w:hAnsi="Arial Narrow"/>
                <w:sz w:val="20"/>
                <w:szCs w:val="20"/>
              </w:rPr>
              <w:t>1</w:t>
            </w:r>
          </w:p>
        </w:tc>
        <w:tc>
          <w:tcPr>
            <w:tcW w:w="794" w:type="dxa"/>
            <w:vAlign w:val="center"/>
          </w:tcPr>
          <w:p w14:paraId="2F4C0F63" w14:textId="01271C8F" w:rsidR="003D33CE" w:rsidRPr="00E96E9F" w:rsidRDefault="003D33CE" w:rsidP="003D33CE">
            <w:pPr>
              <w:keepNext/>
              <w:jc w:val="center"/>
              <w:rPr>
                <w:rFonts w:ascii="Arial Narrow" w:hAnsi="Arial Narrow"/>
                <w:sz w:val="20"/>
                <w:szCs w:val="20"/>
              </w:rPr>
            </w:pPr>
            <w:r w:rsidRPr="00E96E9F">
              <w:rPr>
                <w:rFonts w:ascii="Arial Narrow" w:hAnsi="Arial Narrow"/>
                <w:sz w:val="20"/>
                <w:szCs w:val="20"/>
              </w:rPr>
              <w:t>1</w:t>
            </w:r>
          </w:p>
        </w:tc>
        <w:tc>
          <w:tcPr>
            <w:tcW w:w="1466" w:type="dxa"/>
            <w:vAlign w:val="center"/>
          </w:tcPr>
          <w:p w14:paraId="13F70CB4" w14:textId="598EF7EF" w:rsidR="003D33CE" w:rsidRPr="004D48B4" w:rsidRDefault="003D33CE" w:rsidP="003D33CE">
            <w:pPr>
              <w:keepNext/>
              <w:jc w:val="center"/>
              <w:rPr>
                <w:rFonts w:ascii="Arial Narrow" w:hAnsi="Arial Narrow"/>
                <w:sz w:val="20"/>
                <w:szCs w:val="20"/>
              </w:rPr>
            </w:pPr>
            <w:r w:rsidRPr="004D48B4">
              <w:rPr>
                <w:rFonts w:ascii="Arial Narrow" w:hAnsi="Arial Narrow"/>
                <w:sz w:val="20"/>
                <w:szCs w:val="20"/>
              </w:rPr>
              <w:t>$943.41</w:t>
            </w:r>
          </w:p>
        </w:tc>
        <w:tc>
          <w:tcPr>
            <w:tcW w:w="968" w:type="dxa"/>
            <w:vAlign w:val="center"/>
          </w:tcPr>
          <w:p w14:paraId="07AF10AA" w14:textId="4F1205CB" w:rsidR="003D33CE" w:rsidRPr="00E96E9F" w:rsidRDefault="003D33CE" w:rsidP="003D33CE">
            <w:pPr>
              <w:keepNext/>
              <w:jc w:val="center"/>
              <w:rPr>
                <w:rFonts w:ascii="Arial Narrow" w:hAnsi="Arial Narrow"/>
                <w:sz w:val="20"/>
                <w:szCs w:val="20"/>
              </w:rPr>
            </w:pPr>
            <w:proofErr w:type="spellStart"/>
            <w:r w:rsidRPr="00E96E9F">
              <w:rPr>
                <w:rFonts w:ascii="Arial Narrow" w:hAnsi="Arial Narrow"/>
                <w:sz w:val="20"/>
                <w:szCs w:val="20"/>
              </w:rPr>
              <w:t>Ngenla</w:t>
            </w:r>
            <w:proofErr w:type="spellEnd"/>
            <w:r w:rsidRPr="00E96E9F">
              <w:rPr>
                <w:rFonts w:ascii="Arial Narrow" w:hAnsi="Arial Narrow"/>
                <w:sz w:val="20"/>
                <w:szCs w:val="20"/>
              </w:rPr>
              <w:t>®</w:t>
            </w:r>
          </w:p>
        </w:tc>
        <w:tc>
          <w:tcPr>
            <w:tcW w:w="1443" w:type="dxa"/>
            <w:vAlign w:val="center"/>
          </w:tcPr>
          <w:p w14:paraId="621EF0DE" w14:textId="5CD874C3" w:rsidR="003D33CE" w:rsidRPr="00E96E9F" w:rsidRDefault="003D33CE" w:rsidP="003D33CE">
            <w:pPr>
              <w:keepNext/>
              <w:jc w:val="center"/>
              <w:rPr>
                <w:rFonts w:ascii="Arial Narrow" w:hAnsi="Arial Narrow"/>
                <w:sz w:val="20"/>
                <w:szCs w:val="20"/>
              </w:rPr>
            </w:pPr>
            <w:r w:rsidRPr="00E96E9F">
              <w:rPr>
                <w:rFonts w:ascii="Arial Narrow" w:hAnsi="Arial Narrow"/>
                <w:sz w:val="20"/>
                <w:szCs w:val="20"/>
              </w:rPr>
              <w:t>Pfizer Australia Pty Ltd</w:t>
            </w:r>
          </w:p>
        </w:tc>
      </w:tr>
      <w:tr w:rsidR="00811E0E" w:rsidRPr="00E96E9F" w14:paraId="380D3E88" w14:textId="77777777" w:rsidTr="00CF0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99" w:type="dxa"/>
            <w:tcBorders>
              <w:top w:val="single" w:sz="4" w:space="0" w:color="auto"/>
              <w:left w:val="single" w:sz="4" w:space="0" w:color="auto"/>
              <w:bottom w:val="single" w:sz="4" w:space="0" w:color="auto"/>
              <w:right w:val="single" w:sz="4" w:space="0" w:color="auto"/>
            </w:tcBorders>
            <w:hideMark/>
          </w:tcPr>
          <w:p w14:paraId="39EA755A" w14:textId="77777777" w:rsidR="00811E0E" w:rsidRPr="00E96E9F" w:rsidRDefault="00811E0E" w:rsidP="00CF047E">
            <w:pPr>
              <w:pStyle w:val="Tabletext"/>
            </w:pPr>
            <w:r w:rsidRPr="00E96E9F">
              <w:t>Category/Program:</w:t>
            </w:r>
          </w:p>
        </w:tc>
        <w:tc>
          <w:tcPr>
            <w:tcW w:w="6786" w:type="dxa"/>
            <w:gridSpan w:val="6"/>
            <w:tcBorders>
              <w:top w:val="single" w:sz="4" w:space="0" w:color="auto"/>
              <w:left w:val="single" w:sz="4" w:space="0" w:color="auto"/>
              <w:bottom w:val="single" w:sz="4" w:space="0" w:color="auto"/>
              <w:right w:val="single" w:sz="4" w:space="0" w:color="auto"/>
            </w:tcBorders>
          </w:tcPr>
          <w:p w14:paraId="72A4D1B0" w14:textId="18C4C9C9" w:rsidR="00811E0E" w:rsidRPr="00E96E9F" w:rsidRDefault="00811E0E" w:rsidP="00CF047E">
            <w:pPr>
              <w:pStyle w:val="Tabletext"/>
            </w:pPr>
            <w:r w:rsidRPr="00E96E9F">
              <w:t>Section</w:t>
            </w:r>
            <w:r w:rsidR="00F96B2F" w:rsidRPr="00E96E9F">
              <w:t xml:space="preserve"> </w:t>
            </w:r>
            <w:r w:rsidRPr="00E96E9F">
              <w:t>100</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Program</w:t>
            </w:r>
          </w:p>
        </w:tc>
      </w:tr>
      <w:tr w:rsidR="00811E0E" w:rsidRPr="00E96E9F" w14:paraId="143EC5EB" w14:textId="77777777" w:rsidTr="00CF0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99" w:type="dxa"/>
            <w:tcBorders>
              <w:top w:val="single" w:sz="4" w:space="0" w:color="auto"/>
              <w:left w:val="single" w:sz="4" w:space="0" w:color="auto"/>
              <w:bottom w:val="single" w:sz="4" w:space="0" w:color="auto"/>
              <w:right w:val="single" w:sz="4" w:space="0" w:color="auto"/>
            </w:tcBorders>
            <w:hideMark/>
          </w:tcPr>
          <w:p w14:paraId="6F24A8F7" w14:textId="0A7B49E0" w:rsidR="00811E0E" w:rsidRPr="00E96E9F" w:rsidRDefault="00811E0E" w:rsidP="00CF047E">
            <w:pPr>
              <w:pStyle w:val="Tabletext"/>
            </w:pPr>
            <w:r w:rsidRPr="00E96E9F">
              <w:t>PBS</w:t>
            </w:r>
            <w:r w:rsidR="00F96B2F" w:rsidRPr="00E96E9F">
              <w:t xml:space="preserve"> </w:t>
            </w:r>
            <w:r w:rsidRPr="00E96E9F">
              <w:t>indication:</w:t>
            </w:r>
          </w:p>
        </w:tc>
        <w:tc>
          <w:tcPr>
            <w:tcW w:w="6786" w:type="dxa"/>
            <w:gridSpan w:val="6"/>
            <w:tcBorders>
              <w:top w:val="single" w:sz="4" w:space="0" w:color="auto"/>
              <w:left w:val="single" w:sz="4" w:space="0" w:color="auto"/>
              <w:bottom w:val="single" w:sz="4" w:space="0" w:color="auto"/>
              <w:right w:val="single" w:sz="4" w:space="0" w:color="auto"/>
            </w:tcBorders>
          </w:tcPr>
          <w:p w14:paraId="6C730975" w14:textId="45584CB8" w:rsidR="00811E0E" w:rsidRPr="00E96E9F" w:rsidRDefault="00811E0E" w:rsidP="00CF047E">
            <w:pPr>
              <w:jc w:val="left"/>
            </w:pPr>
            <w:r w:rsidRPr="00E96E9F">
              <w:rPr>
                <w:rFonts w:ascii="Arial Narrow" w:eastAsia="Arial Narrow" w:hAnsi="Arial Narrow" w:cs="Arial Narrow"/>
                <w:color w:val="000000" w:themeColor="text1"/>
                <w:sz w:val="20"/>
                <w:szCs w:val="20"/>
              </w:rPr>
              <w:t>Short</w:t>
            </w:r>
            <w:r w:rsidR="00F96B2F" w:rsidRPr="00E96E9F">
              <w:rPr>
                <w:rFonts w:ascii="Arial Narrow" w:eastAsia="Arial Narrow" w:hAnsi="Arial Narrow" w:cs="Arial Narrow"/>
                <w:color w:val="000000" w:themeColor="text1"/>
                <w:sz w:val="20"/>
                <w:szCs w:val="20"/>
              </w:rPr>
              <w:t xml:space="preserve"> </w:t>
            </w:r>
            <w:r w:rsidRPr="00E96E9F">
              <w:rPr>
                <w:rFonts w:ascii="Arial Narrow" w:eastAsia="Arial Narrow" w:hAnsi="Arial Narrow" w:cs="Arial Narrow"/>
                <w:color w:val="000000" w:themeColor="text1"/>
                <w:sz w:val="20"/>
                <w:szCs w:val="20"/>
              </w:rPr>
              <w:t>stature</w:t>
            </w:r>
            <w:r w:rsidR="00F96B2F" w:rsidRPr="00E96E9F">
              <w:rPr>
                <w:rFonts w:ascii="Arial Narrow" w:eastAsia="Arial Narrow" w:hAnsi="Arial Narrow" w:cs="Arial Narrow"/>
                <w:color w:val="000000" w:themeColor="text1"/>
                <w:sz w:val="20"/>
                <w:szCs w:val="20"/>
              </w:rPr>
              <w:t xml:space="preserve"> </w:t>
            </w:r>
            <w:r w:rsidRPr="00E96E9F">
              <w:rPr>
                <w:rFonts w:ascii="Arial Narrow" w:eastAsia="Arial Narrow" w:hAnsi="Arial Narrow" w:cs="Arial Narrow"/>
                <w:color w:val="000000" w:themeColor="text1"/>
                <w:sz w:val="20"/>
                <w:szCs w:val="20"/>
              </w:rPr>
              <w:t>associated</w:t>
            </w:r>
            <w:r w:rsidR="00F96B2F" w:rsidRPr="00E96E9F">
              <w:rPr>
                <w:rFonts w:ascii="Arial Narrow" w:eastAsia="Arial Narrow" w:hAnsi="Arial Narrow" w:cs="Arial Narrow"/>
                <w:color w:val="000000" w:themeColor="text1"/>
                <w:sz w:val="20"/>
                <w:szCs w:val="20"/>
              </w:rPr>
              <w:t xml:space="preserve"> </w:t>
            </w:r>
            <w:r w:rsidRPr="00E96E9F">
              <w:rPr>
                <w:rFonts w:ascii="Arial Narrow" w:eastAsia="Arial Narrow" w:hAnsi="Arial Narrow" w:cs="Arial Narrow"/>
                <w:color w:val="000000" w:themeColor="text1"/>
                <w:sz w:val="20"/>
                <w:szCs w:val="20"/>
              </w:rPr>
              <w:t>with</w:t>
            </w:r>
            <w:r w:rsidR="00F96B2F" w:rsidRPr="00E96E9F">
              <w:rPr>
                <w:rFonts w:ascii="Arial Narrow" w:eastAsia="Arial Narrow" w:hAnsi="Arial Narrow" w:cs="Arial Narrow"/>
                <w:color w:val="000000" w:themeColor="text1"/>
                <w:sz w:val="20"/>
                <w:szCs w:val="20"/>
              </w:rPr>
              <w:t xml:space="preserve"> </w:t>
            </w:r>
            <w:r w:rsidRPr="00E96E9F">
              <w:rPr>
                <w:rFonts w:ascii="Arial Narrow" w:eastAsia="Arial Narrow" w:hAnsi="Arial Narrow" w:cs="Arial Narrow"/>
                <w:color w:val="000000" w:themeColor="text1"/>
                <w:sz w:val="20"/>
                <w:szCs w:val="20"/>
              </w:rPr>
              <w:t>biochemical</w:t>
            </w:r>
            <w:r w:rsidR="00F96B2F" w:rsidRPr="00E96E9F">
              <w:rPr>
                <w:rFonts w:ascii="Arial Narrow" w:eastAsia="Arial Narrow" w:hAnsi="Arial Narrow" w:cs="Arial Narrow"/>
                <w:color w:val="000000" w:themeColor="text1"/>
                <w:sz w:val="20"/>
                <w:szCs w:val="20"/>
              </w:rPr>
              <w:t xml:space="preserve"> </w:t>
            </w:r>
            <w:r w:rsidRPr="00E96E9F">
              <w:rPr>
                <w:rFonts w:ascii="Arial Narrow" w:eastAsia="Arial Narrow" w:hAnsi="Arial Narrow" w:cs="Arial Narrow"/>
                <w:color w:val="000000" w:themeColor="text1"/>
                <w:sz w:val="20"/>
                <w:szCs w:val="20"/>
              </w:rPr>
              <w:t>growth</w:t>
            </w:r>
            <w:r w:rsidR="00F96B2F" w:rsidRPr="00E96E9F">
              <w:rPr>
                <w:rFonts w:ascii="Arial Narrow" w:eastAsia="Arial Narrow" w:hAnsi="Arial Narrow" w:cs="Arial Narrow"/>
                <w:color w:val="000000" w:themeColor="text1"/>
                <w:sz w:val="20"/>
                <w:szCs w:val="20"/>
              </w:rPr>
              <w:t xml:space="preserve"> </w:t>
            </w:r>
            <w:r w:rsidRPr="00E96E9F">
              <w:rPr>
                <w:rFonts w:ascii="Arial Narrow" w:eastAsia="Arial Narrow" w:hAnsi="Arial Narrow" w:cs="Arial Narrow"/>
                <w:color w:val="000000" w:themeColor="text1"/>
                <w:sz w:val="20"/>
                <w:szCs w:val="20"/>
              </w:rPr>
              <w:t>hormone</w:t>
            </w:r>
            <w:r w:rsidR="00F96B2F" w:rsidRPr="00E96E9F">
              <w:rPr>
                <w:rFonts w:ascii="Arial Narrow" w:eastAsia="Arial Narrow" w:hAnsi="Arial Narrow" w:cs="Arial Narrow"/>
                <w:color w:val="000000" w:themeColor="text1"/>
                <w:sz w:val="20"/>
                <w:szCs w:val="20"/>
              </w:rPr>
              <w:t xml:space="preserve"> </w:t>
            </w:r>
            <w:r w:rsidRPr="00E96E9F">
              <w:rPr>
                <w:rFonts w:ascii="Arial Narrow" w:eastAsia="Arial Narrow" w:hAnsi="Arial Narrow" w:cs="Arial Narrow"/>
                <w:color w:val="000000" w:themeColor="text1"/>
                <w:sz w:val="20"/>
                <w:szCs w:val="20"/>
              </w:rPr>
              <w:t>deficiency</w:t>
            </w:r>
          </w:p>
        </w:tc>
      </w:tr>
      <w:tr w:rsidR="00811E0E" w:rsidRPr="00E96E9F" w14:paraId="6B917CF0" w14:textId="77777777" w:rsidTr="00CF0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99" w:type="dxa"/>
            <w:tcBorders>
              <w:top w:val="single" w:sz="4" w:space="0" w:color="auto"/>
              <w:left w:val="single" w:sz="4" w:space="0" w:color="auto"/>
              <w:bottom w:val="single" w:sz="4" w:space="0" w:color="auto"/>
              <w:right w:val="single" w:sz="4" w:space="0" w:color="auto"/>
            </w:tcBorders>
            <w:hideMark/>
          </w:tcPr>
          <w:p w14:paraId="473B77F3" w14:textId="51D4B626" w:rsidR="00811E0E" w:rsidRPr="00E96E9F" w:rsidRDefault="00811E0E" w:rsidP="00CF047E">
            <w:pPr>
              <w:pStyle w:val="Tabletext"/>
            </w:pPr>
            <w:r w:rsidRPr="00E96E9F">
              <w:t>Treatment</w:t>
            </w:r>
            <w:r w:rsidR="00F96B2F" w:rsidRPr="00E96E9F">
              <w:t xml:space="preserve"> </w:t>
            </w:r>
            <w:r w:rsidRPr="00E96E9F">
              <w:t>phase:</w:t>
            </w:r>
          </w:p>
        </w:tc>
        <w:tc>
          <w:tcPr>
            <w:tcW w:w="6786" w:type="dxa"/>
            <w:gridSpan w:val="6"/>
            <w:tcBorders>
              <w:top w:val="single" w:sz="4" w:space="0" w:color="auto"/>
              <w:left w:val="single" w:sz="4" w:space="0" w:color="auto"/>
              <w:bottom w:val="single" w:sz="4" w:space="0" w:color="auto"/>
              <w:right w:val="single" w:sz="4" w:space="0" w:color="auto"/>
            </w:tcBorders>
          </w:tcPr>
          <w:p w14:paraId="4F758C3A" w14:textId="77777777" w:rsidR="00811E0E" w:rsidRPr="00E96E9F" w:rsidRDefault="00811E0E" w:rsidP="00CF047E">
            <w:pPr>
              <w:spacing w:line="259" w:lineRule="auto"/>
              <w:jc w:val="left"/>
              <w:rPr>
                <w:color w:val="000000" w:themeColor="text1"/>
              </w:rPr>
            </w:pPr>
            <w:r w:rsidRPr="00E96E9F">
              <w:rPr>
                <w:rFonts w:ascii="Arial Narrow" w:eastAsia="Arial Narrow" w:hAnsi="Arial Narrow" w:cs="Arial Narrow"/>
                <w:color w:val="000000" w:themeColor="text1"/>
                <w:sz w:val="20"/>
                <w:szCs w:val="20"/>
              </w:rPr>
              <w:t>Initial</w:t>
            </w:r>
          </w:p>
        </w:tc>
      </w:tr>
      <w:tr w:rsidR="00811E0E" w:rsidRPr="00E96E9F" w14:paraId="101961C4" w14:textId="77777777" w:rsidTr="00CF0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99" w:type="dxa"/>
            <w:tcBorders>
              <w:top w:val="single" w:sz="4" w:space="0" w:color="auto"/>
              <w:left w:val="single" w:sz="4" w:space="0" w:color="auto"/>
              <w:bottom w:val="single" w:sz="4" w:space="0" w:color="auto"/>
              <w:right w:val="single" w:sz="4" w:space="0" w:color="auto"/>
            </w:tcBorders>
            <w:hideMark/>
          </w:tcPr>
          <w:p w14:paraId="4772E44B" w14:textId="77777777" w:rsidR="00811E0E" w:rsidRPr="00E96E9F" w:rsidRDefault="00811E0E" w:rsidP="00CF047E">
            <w:pPr>
              <w:pStyle w:val="Tabletext"/>
            </w:pPr>
            <w:r w:rsidRPr="00E96E9F">
              <w:t>Restriction:</w:t>
            </w:r>
          </w:p>
        </w:tc>
        <w:tc>
          <w:tcPr>
            <w:tcW w:w="6786" w:type="dxa"/>
            <w:gridSpan w:val="6"/>
            <w:tcBorders>
              <w:top w:val="single" w:sz="4" w:space="0" w:color="auto"/>
              <w:left w:val="single" w:sz="4" w:space="0" w:color="auto"/>
              <w:bottom w:val="single" w:sz="4" w:space="0" w:color="auto"/>
              <w:right w:val="single" w:sz="4" w:space="0" w:color="auto"/>
            </w:tcBorders>
          </w:tcPr>
          <w:p w14:paraId="1DACFAAC" w14:textId="32253DCC" w:rsidR="00811E0E" w:rsidRPr="00E96E9F" w:rsidRDefault="00811E0E" w:rsidP="00CF047E">
            <w:pPr>
              <w:pStyle w:val="Tabletext"/>
            </w:pPr>
            <w:r w:rsidRPr="00E96E9F">
              <w:t>Authority</w:t>
            </w:r>
            <w:r w:rsidR="00F96B2F" w:rsidRPr="00E96E9F">
              <w:t xml:space="preserve"> </w:t>
            </w:r>
            <w:r w:rsidRPr="00E96E9F">
              <w:t>Required-</w:t>
            </w:r>
            <w:r w:rsidR="00F96B2F" w:rsidRPr="00E96E9F">
              <w:t xml:space="preserve"> </w:t>
            </w:r>
            <w:r w:rsidRPr="00E96E9F">
              <w:t>In</w:t>
            </w:r>
            <w:r w:rsidR="00F96B2F" w:rsidRPr="00E96E9F">
              <w:t xml:space="preserve"> </w:t>
            </w:r>
            <w:r w:rsidRPr="00E96E9F">
              <w:t>Writing</w:t>
            </w:r>
          </w:p>
        </w:tc>
      </w:tr>
      <w:tr w:rsidR="00811E0E" w:rsidRPr="00E96E9F" w14:paraId="3C04DD64" w14:textId="77777777" w:rsidTr="00CF0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99" w:type="dxa"/>
            <w:tcBorders>
              <w:top w:val="single" w:sz="4" w:space="0" w:color="auto"/>
              <w:left w:val="single" w:sz="4" w:space="0" w:color="auto"/>
              <w:bottom w:val="single" w:sz="4" w:space="0" w:color="auto"/>
              <w:right w:val="single" w:sz="4" w:space="0" w:color="auto"/>
            </w:tcBorders>
            <w:hideMark/>
          </w:tcPr>
          <w:p w14:paraId="38C86868" w14:textId="1AC466C6" w:rsidR="00811E0E" w:rsidRPr="00E96E9F" w:rsidRDefault="00811E0E" w:rsidP="00CF047E">
            <w:pPr>
              <w:pStyle w:val="Tabletext"/>
            </w:pPr>
            <w:r w:rsidRPr="00E96E9F">
              <w:t>Treatment</w:t>
            </w:r>
            <w:r w:rsidR="00F96B2F" w:rsidRPr="00E96E9F">
              <w:t xml:space="preserve"> </w:t>
            </w:r>
            <w:r w:rsidRPr="00E96E9F">
              <w:t>criteria:</w:t>
            </w:r>
          </w:p>
        </w:tc>
        <w:tc>
          <w:tcPr>
            <w:tcW w:w="6786" w:type="dxa"/>
            <w:gridSpan w:val="6"/>
            <w:tcBorders>
              <w:top w:val="single" w:sz="4" w:space="0" w:color="auto"/>
              <w:left w:val="single" w:sz="4" w:space="0" w:color="auto"/>
              <w:bottom w:val="single" w:sz="4" w:space="0" w:color="auto"/>
              <w:right w:val="single" w:sz="4" w:space="0" w:color="auto"/>
            </w:tcBorders>
          </w:tcPr>
          <w:p w14:paraId="7B5A2D34" w14:textId="2B8D8536"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Treated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by</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specialist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consultant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physician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in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paediatric</w:t>
            </w:r>
            <w:r w:rsidR="00F96B2F" w:rsidRPr="00E96E9F">
              <w:rPr>
                <w:rFonts w:eastAsia="Arial Narrow" w:cs="Arial Narrow"/>
                <w:bCs w:val="0"/>
                <w:color w:val="000000" w:themeColor="text1"/>
                <w:szCs w:val="20"/>
              </w:rPr>
              <w:t xml:space="preserve"> </w:t>
            </w:r>
            <w:proofErr w:type="gramStart"/>
            <w:r w:rsidRPr="00E96E9F">
              <w:rPr>
                <w:rFonts w:eastAsia="Arial Narrow" w:cs="Arial Narrow"/>
                <w:bCs w:val="0"/>
                <w:color w:val="000000" w:themeColor="text1"/>
                <w:szCs w:val="20"/>
              </w:rPr>
              <w:t>endocrinology;</w:t>
            </w:r>
            <w:proofErr w:type="gramEnd"/>
          </w:p>
          <w:p w14:paraId="4D851269" w14:textId="77777777"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OR</w:t>
            </w:r>
          </w:p>
          <w:p w14:paraId="05201CFE" w14:textId="3BB39AC0"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Treated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by</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specialist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consultant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physician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in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general</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paediatrics</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in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consultation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with</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nominated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specialist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consultant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physician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in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paediatric</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endocrinology.</w:t>
            </w:r>
          </w:p>
        </w:tc>
      </w:tr>
      <w:tr w:rsidR="00811E0E" w:rsidRPr="00E96E9F" w14:paraId="50CB28AC" w14:textId="77777777" w:rsidTr="00CF0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99" w:type="dxa"/>
            <w:tcBorders>
              <w:top w:val="single" w:sz="4" w:space="0" w:color="auto"/>
              <w:left w:val="single" w:sz="4" w:space="0" w:color="auto"/>
              <w:bottom w:val="single" w:sz="4" w:space="0" w:color="auto"/>
              <w:right w:val="single" w:sz="4" w:space="0" w:color="auto"/>
            </w:tcBorders>
            <w:hideMark/>
          </w:tcPr>
          <w:p w14:paraId="21AE2A1C" w14:textId="03E0130F" w:rsidR="00811E0E" w:rsidRPr="00E96E9F" w:rsidRDefault="00811E0E" w:rsidP="00CF047E">
            <w:pPr>
              <w:pStyle w:val="Tabletext"/>
            </w:pPr>
            <w:r w:rsidRPr="00E96E9F">
              <w:t>Clinical</w:t>
            </w:r>
            <w:r w:rsidR="00F96B2F" w:rsidRPr="00E96E9F">
              <w:t xml:space="preserve"> </w:t>
            </w:r>
            <w:r w:rsidRPr="00E96E9F">
              <w:t>criteria:</w:t>
            </w:r>
          </w:p>
        </w:tc>
        <w:tc>
          <w:tcPr>
            <w:tcW w:w="6786" w:type="dxa"/>
            <w:gridSpan w:val="6"/>
            <w:tcBorders>
              <w:top w:val="single" w:sz="4" w:space="0" w:color="auto"/>
              <w:left w:val="single" w:sz="4" w:space="0" w:color="auto"/>
              <w:bottom w:val="single" w:sz="4" w:space="0" w:color="auto"/>
              <w:right w:val="single" w:sz="4" w:space="0" w:color="auto"/>
            </w:tcBorders>
          </w:tcPr>
          <w:p w14:paraId="3192336A" w14:textId="42686487"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Patient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must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have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evidence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of</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biochemical</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growth</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hormone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deficiency.</w:t>
            </w:r>
            <w:r w:rsidR="00F96B2F" w:rsidRPr="00E96E9F">
              <w:rPr>
                <w:rFonts w:eastAsia="Arial Narrow" w:cs="Arial Narrow"/>
                <w:bCs w:val="0"/>
                <w:color w:val="000000" w:themeColor="text1"/>
                <w:szCs w:val="20"/>
              </w:rPr>
              <w:t xml:space="preserve"> </w:t>
            </w:r>
          </w:p>
        </w:tc>
      </w:tr>
      <w:tr w:rsidR="00811E0E" w:rsidRPr="00E96E9F" w14:paraId="4F2A6356" w14:textId="77777777" w:rsidTr="00CF0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99" w:type="dxa"/>
            <w:tcBorders>
              <w:top w:val="single" w:sz="4" w:space="0" w:color="auto"/>
              <w:left w:val="single" w:sz="4" w:space="0" w:color="auto"/>
              <w:bottom w:val="single" w:sz="4" w:space="0" w:color="auto"/>
              <w:right w:val="single" w:sz="4" w:space="0" w:color="auto"/>
            </w:tcBorders>
          </w:tcPr>
          <w:p w14:paraId="1CE42D0C" w14:textId="2FDEA452" w:rsidR="00811E0E" w:rsidRPr="00E96E9F" w:rsidRDefault="00811E0E" w:rsidP="00CF047E">
            <w:pPr>
              <w:pStyle w:val="Tabletext"/>
            </w:pPr>
            <w:r w:rsidRPr="00E96E9F">
              <w:t>Population</w:t>
            </w:r>
            <w:r w:rsidR="00F96B2F" w:rsidRPr="00E96E9F">
              <w:t xml:space="preserve"> </w:t>
            </w:r>
            <w:r w:rsidRPr="00E96E9F">
              <w:t>criteria:</w:t>
            </w:r>
          </w:p>
        </w:tc>
        <w:tc>
          <w:tcPr>
            <w:tcW w:w="6786" w:type="dxa"/>
            <w:gridSpan w:val="6"/>
            <w:tcBorders>
              <w:top w:val="single" w:sz="4" w:space="0" w:color="auto"/>
              <w:left w:val="single" w:sz="4" w:space="0" w:color="auto"/>
              <w:bottom w:val="single" w:sz="4" w:space="0" w:color="auto"/>
              <w:right w:val="single" w:sz="4" w:space="0" w:color="auto"/>
            </w:tcBorders>
          </w:tcPr>
          <w:p w14:paraId="78A0E1AC" w14:textId="68644F68"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Patient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must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have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current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height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below</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the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1st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percentile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for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age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proofErr w:type="gramStart"/>
            <w:r w:rsidRPr="00E96E9F">
              <w:rPr>
                <w:rFonts w:eastAsia="Arial Narrow" w:cs="Arial Narrow"/>
                <w:bCs w:val="0"/>
                <w:color w:val="000000" w:themeColor="text1"/>
                <w:szCs w:val="20"/>
              </w:rPr>
              <w:t>sex;</w:t>
            </w:r>
            <w:proofErr w:type="gramEnd"/>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p>
          <w:p w14:paraId="4EFE8C27" w14:textId="6CF4A615"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Patient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must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have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current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height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above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the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1st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below</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the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25th</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percentiles</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for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age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sex</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growth</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velocity</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below</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the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25th</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percentile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for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bone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age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sex</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measured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over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proofErr w:type="gramStart"/>
            <w:r w:rsidRPr="00E96E9F">
              <w:rPr>
                <w:rFonts w:eastAsia="Arial Narrow" w:cs="Arial Narrow"/>
                <w:bCs w:val="0"/>
                <w:color w:val="000000" w:themeColor="text1"/>
                <w:szCs w:val="20"/>
              </w:rPr>
              <w:t>12</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month</w:t>
            </w:r>
            <w:proofErr w:type="gramEnd"/>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interval</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6</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month</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interval</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for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older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child);</w:t>
            </w:r>
          </w:p>
          <w:p w14:paraId="16539A00" w14:textId="77777777"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OR</w:t>
            </w:r>
          </w:p>
          <w:p w14:paraId="55ABED82" w14:textId="77777777" w:rsidR="00E5129A"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Patient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must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have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current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height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above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the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1st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below</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the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25th</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percentiles</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for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age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sex</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annual</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growth</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velocity</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of</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8</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cm</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per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year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less</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if</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the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patient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has</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bone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age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of</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2.5</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years</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proofErr w:type="gramStart"/>
            <w:r w:rsidRPr="00E96E9F">
              <w:rPr>
                <w:rFonts w:eastAsia="Arial Narrow" w:cs="Arial Narrow"/>
                <w:bCs w:val="0"/>
                <w:color w:val="000000" w:themeColor="text1"/>
                <w:szCs w:val="20"/>
              </w:rPr>
              <w:t>less;</w:t>
            </w:r>
            <w:proofErr w:type="gramEnd"/>
          </w:p>
          <w:p w14:paraId="76C6B4F2" w14:textId="00A5048B"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AND</w:t>
            </w:r>
          </w:p>
          <w:p w14:paraId="4018B215" w14:textId="0C234F61"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Patient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must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male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and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must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not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have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bone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age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of</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15.5</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years</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proofErr w:type="gramStart"/>
            <w:r w:rsidRPr="00E96E9F">
              <w:rPr>
                <w:rFonts w:eastAsia="Arial Narrow" w:cs="Arial Narrow"/>
                <w:bCs w:val="0"/>
                <w:color w:val="000000" w:themeColor="text1"/>
                <w:szCs w:val="20"/>
              </w:rPr>
              <w:t>more;</w:t>
            </w:r>
            <w:proofErr w:type="gramEnd"/>
          </w:p>
          <w:p w14:paraId="0E74A760" w14:textId="77777777"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AND</w:t>
            </w:r>
          </w:p>
          <w:p w14:paraId="2C45B5E3" w14:textId="23E6278A" w:rsidR="00811E0E" w:rsidRPr="00E96E9F" w:rsidRDefault="00811E0E" w:rsidP="00CF047E">
            <w:pPr>
              <w:pStyle w:val="TableText0"/>
              <w:rPr>
                <w:rFonts w:eastAsia="Arial Narrow" w:cs="Arial Narrow"/>
                <w:bCs w:val="0"/>
                <w:color w:val="333333"/>
                <w:szCs w:val="20"/>
              </w:rPr>
            </w:pPr>
            <w:r w:rsidRPr="00E96E9F">
              <w:rPr>
                <w:rFonts w:eastAsia="Arial Narrow" w:cs="Arial Narrow"/>
                <w:bCs w:val="0"/>
                <w:color w:val="333333"/>
                <w:szCs w:val="20"/>
              </w:rPr>
              <w:t>Patient</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must</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be</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female</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and</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must</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not</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have</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a</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bone</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age</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of</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13.5</w:t>
            </w:r>
            <w:r w:rsidR="00F96B2F" w:rsidRPr="00E96E9F">
              <w:rPr>
                <w:rFonts w:eastAsia="Arial Narrow" w:cs="Arial Narrow"/>
                <w:bCs w:val="0"/>
                <w:color w:val="333333"/>
                <w:szCs w:val="20"/>
              </w:rPr>
              <w:t xml:space="preserve"> </w:t>
            </w:r>
            <w:r w:rsidRPr="00E96E9F">
              <w:rPr>
                <w:rFonts w:eastAsia="Arial Narrow" w:cs="Arial Narrow"/>
                <w:bCs w:val="0"/>
                <w:color w:val="333333"/>
                <w:szCs w:val="20"/>
              </w:rPr>
              <w:t>or</w:t>
            </w:r>
            <w:r w:rsidR="00F96B2F" w:rsidRPr="00E96E9F">
              <w:rPr>
                <w:rFonts w:eastAsia="Arial Narrow" w:cs="Arial Narrow"/>
                <w:bCs w:val="0"/>
                <w:color w:val="333333"/>
                <w:szCs w:val="20"/>
              </w:rPr>
              <w:t xml:space="preserve"> </w:t>
            </w:r>
            <w:proofErr w:type="gramStart"/>
            <w:r w:rsidRPr="00E96E9F">
              <w:rPr>
                <w:rFonts w:eastAsia="Arial Narrow" w:cs="Arial Narrow"/>
                <w:bCs w:val="0"/>
                <w:color w:val="333333"/>
                <w:szCs w:val="20"/>
              </w:rPr>
              <w:t>more;</w:t>
            </w:r>
            <w:proofErr w:type="gramEnd"/>
          </w:p>
          <w:p w14:paraId="095F9F28" w14:textId="77777777" w:rsidR="00811E0E" w:rsidRPr="00E96E9F" w:rsidRDefault="00811E0E" w:rsidP="00CF047E">
            <w:pPr>
              <w:pStyle w:val="TableText0"/>
              <w:rPr>
                <w:rFonts w:eastAsia="Arial Narrow" w:cs="Arial Narrow"/>
                <w:bCs w:val="0"/>
                <w:color w:val="333333"/>
                <w:szCs w:val="20"/>
              </w:rPr>
            </w:pPr>
            <w:r w:rsidRPr="00E96E9F">
              <w:rPr>
                <w:rFonts w:eastAsia="Arial Narrow" w:cs="Arial Narrow"/>
                <w:bCs w:val="0"/>
                <w:color w:val="333333"/>
                <w:szCs w:val="20"/>
              </w:rPr>
              <w:t>AND</w:t>
            </w:r>
          </w:p>
          <w:p w14:paraId="34698544" w14:textId="63F9539B" w:rsidR="00811E0E" w:rsidRPr="00E96E9F" w:rsidRDefault="00811E0E" w:rsidP="00CF047E">
            <w:pPr>
              <w:pStyle w:val="TableText0"/>
              <w:rPr>
                <w:rFonts w:eastAsia="Arial Narrow" w:cs="Arial Narrow"/>
                <w:bCs w:val="0"/>
                <w:color w:val="000000" w:themeColor="text1"/>
                <w:szCs w:val="20"/>
              </w:rPr>
            </w:pPr>
            <w:r w:rsidRPr="00E96E9F">
              <w:rPr>
                <w:rFonts w:eastAsia="Arial Narrow" w:cs="Arial Narrow"/>
                <w:bCs w:val="0"/>
                <w:color w:val="000000" w:themeColor="text1"/>
                <w:szCs w:val="20"/>
              </w:rPr>
              <w:t>Patient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must</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be</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aged</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3</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years</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or</w:t>
            </w:r>
            <w:r w:rsidR="00F96B2F" w:rsidRPr="00E96E9F">
              <w:rPr>
                <w:rFonts w:eastAsia="Arial Narrow" w:cs="Arial Narrow"/>
                <w:bCs w:val="0"/>
                <w:color w:val="000000" w:themeColor="text1"/>
                <w:szCs w:val="20"/>
              </w:rPr>
              <w:t xml:space="preserve"> </w:t>
            </w:r>
            <w:r w:rsidRPr="00E96E9F">
              <w:rPr>
                <w:rFonts w:eastAsia="Arial Narrow" w:cs="Arial Narrow"/>
                <w:bCs w:val="0"/>
                <w:color w:val="000000" w:themeColor="text1"/>
                <w:szCs w:val="20"/>
              </w:rPr>
              <w:t>older</w:t>
            </w:r>
          </w:p>
        </w:tc>
      </w:tr>
      <w:tr w:rsidR="00811E0E" w:rsidRPr="00E96E9F" w14:paraId="48173267" w14:textId="77777777" w:rsidTr="00CF0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99" w:type="dxa"/>
            <w:tcBorders>
              <w:top w:val="single" w:sz="4" w:space="0" w:color="auto"/>
              <w:left w:val="single" w:sz="4" w:space="0" w:color="auto"/>
              <w:bottom w:val="single" w:sz="4" w:space="0" w:color="auto"/>
              <w:right w:val="single" w:sz="4" w:space="0" w:color="auto"/>
            </w:tcBorders>
            <w:hideMark/>
          </w:tcPr>
          <w:p w14:paraId="2831A7B8" w14:textId="516B2440" w:rsidR="00811E0E" w:rsidRPr="00E96E9F" w:rsidRDefault="00811E0E" w:rsidP="00CF047E">
            <w:pPr>
              <w:pStyle w:val="Tabletext"/>
            </w:pPr>
            <w:r w:rsidRPr="00E96E9F">
              <w:t>Prescriber</w:t>
            </w:r>
            <w:r w:rsidR="00F96B2F" w:rsidRPr="00E96E9F">
              <w:t xml:space="preserve"> </w:t>
            </w:r>
            <w:r w:rsidR="00BB6491" w:rsidRPr="00E96E9F">
              <w:t>instructions</w:t>
            </w:r>
            <w:r w:rsidRPr="00E96E9F">
              <w:t>:</w:t>
            </w:r>
          </w:p>
        </w:tc>
        <w:tc>
          <w:tcPr>
            <w:tcW w:w="6786" w:type="dxa"/>
            <w:gridSpan w:val="6"/>
            <w:tcBorders>
              <w:top w:val="single" w:sz="4" w:space="0" w:color="auto"/>
              <w:left w:val="single" w:sz="4" w:space="0" w:color="auto"/>
              <w:bottom w:val="single" w:sz="4" w:space="0" w:color="auto"/>
              <w:right w:val="single" w:sz="4" w:space="0" w:color="auto"/>
            </w:tcBorders>
          </w:tcPr>
          <w:p w14:paraId="5C565C26" w14:textId="56C998B0" w:rsidR="00811E0E" w:rsidRPr="00E96E9F" w:rsidRDefault="072F2C9C" w:rsidP="6D648542">
            <w:pPr>
              <w:pStyle w:val="TableText0"/>
            </w:pPr>
            <w:r w:rsidRPr="00E96E9F">
              <w:t>The</w:t>
            </w:r>
            <w:r w:rsidR="00F96B2F" w:rsidRPr="00E96E9F">
              <w:t xml:space="preserve"> </w:t>
            </w:r>
            <w:r w:rsidRPr="00E96E9F">
              <w:t>authority</w:t>
            </w:r>
            <w:r w:rsidR="00F96B2F" w:rsidRPr="00E96E9F">
              <w:t xml:space="preserve"> </w:t>
            </w:r>
            <w:r w:rsidRPr="00E96E9F">
              <w:t>application</w:t>
            </w:r>
            <w:r w:rsidR="00F96B2F" w:rsidRPr="00E96E9F">
              <w:t xml:space="preserve"> </w:t>
            </w:r>
            <w:r w:rsidRPr="00E96E9F">
              <w:t>must</w:t>
            </w:r>
            <w:r w:rsidR="00F96B2F" w:rsidRPr="00E96E9F">
              <w:t xml:space="preserve"> </w:t>
            </w:r>
            <w:r w:rsidRPr="00E96E9F">
              <w:t>be</w:t>
            </w:r>
            <w:r w:rsidR="00F96B2F" w:rsidRPr="00E96E9F">
              <w:t xml:space="preserve"> </w:t>
            </w:r>
            <w:r w:rsidRPr="00E96E9F">
              <w:t>made</w:t>
            </w:r>
            <w:r w:rsidR="00F96B2F" w:rsidRPr="00E96E9F">
              <w:t xml:space="preserve"> </w:t>
            </w:r>
            <w:r w:rsidRPr="00E96E9F">
              <w:t>in</w:t>
            </w:r>
            <w:r w:rsidR="00F96B2F" w:rsidRPr="00E96E9F">
              <w:t xml:space="preserve"> </w:t>
            </w:r>
            <w:r w:rsidRPr="00E96E9F">
              <w:t>writing</w:t>
            </w:r>
            <w:r w:rsidR="00F96B2F" w:rsidRPr="00E96E9F">
              <w:t xml:space="preserve"> </w:t>
            </w:r>
            <w:r w:rsidRPr="00E96E9F">
              <w:t>and</w:t>
            </w:r>
            <w:r w:rsidR="00F96B2F" w:rsidRPr="00E96E9F">
              <w:t xml:space="preserve"> </w:t>
            </w:r>
            <w:r w:rsidRPr="00E96E9F">
              <w:t>must</w:t>
            </w:r>
            <w:r w:rsidR="00F96B2F" w:rsidRPr="00E96E9F">
              <w:t xml:space="preserve"> </w:t>
            </w:r>
            <w:r w:rsidRPr="00E96E9F">
              <w:t>include:</w:t>
            </w:r>
          </w:p>
          <w:p w14:paraId="6082309D" w14:textId="6D9F6C30" w:rsidR="00811E0E" w:rsidRPr="00E96E9F" w:rsidRDefault="072F2C9C" w:rsidP="6D648542">
            <w:pPr>
              <w:pStyle w:val="TableText0"/>
            </w:pPr>
            <w:r w:rsidRPr="00E96E9F">
              <w:t>(1)</w:t>
            </w:r>
            <w:r w:rsidR="00F96B2F" w:rsidRPr="00E96E9F">
              <w:t xml:space="preserve"> </w:t>
            </w:r>
            <w:r w:rsidRPr="00E96E9F">
              <w:t>a</w:t>
            </w:r>
            <w:r w:rsidR="00F96B2F" w:rsidRPr="00E96E9F">
              <w:t xml:space="preserve"> </w:t>
            </w:r>
            <w:r w:rsidRPr="00E96E9F">
              <w:t>completed</w:t>
            </w:r>
            <w:r w:rsidR="00F96B2F" w:rsidRPr="00E96E9F">
              <w:t xml:space="preserve"> </w:t>
            </w:r>
            <w:r w:rsidRPr="00E96E9F">
              <w:t>authority</w:t>
            </w:r>
            <w:r w:rsidR="00F96B2F" w:rsidRPr="00E96E9F">
              <w:t xml:space="preserve"> </w:t>
            </w:r>
            <w:r w:rsidRPr="00E96E9F">
              <w:t>prescription</w:t>
            </w:r>
            <w:r w:rsidR="00F96B2F" w:rsidRPr="00E96E9F">
              <w:t xml:space="preserve"> </w:t>
            </w:r>
            <w:r w:rsidRPr="00E96E9F">
              <w:t>form;</w:t>
            </w:r>
            <w:r w:rsidR="00F96B2F" w:rsidRPr="00E96E9F">
              <w:t xml:space="preserve"> </w:t>
            </w:r>
            <w:r w:rsidRPr="00E96E9F">
              <w:t>and</w:t>
            </w:r>
          </w:p>
          <w:p w14:paraId="4B956EF2" w14:textId="77777777" w:rsidR="00E5129A" w:rsidRPr="00E96E9F" w:rsidRDefault="072F2C9C" w:rsidP="6D648542">
            <w:pPr>
              <w:pStyle w:val="TableText0"/>
            </w:pPr>
            <w:r w:rsidRPr="00E96E9F">
              <w:t>(2)</w:t>
            </w:r>
            <w:r w:rsidR="00F96B2F" w:rsidRPr="00E96E9F">
              <w:t xml:space="preserve"> </w:t>
            </w:r>
            <w:r w:rsidRPr="00E96E9F">
              <w:t>a</w:t>
            </w:r>
            <w:r w:rsidR="00F96B2F" w:rsidRPr="00E96E9F">
              <w:t xml:space="preserve"> </w:t>
            </w:r>
            <w:r w:rsidRPr="00E96E9F">
              <w:t>completed</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Authority</w:t>
            </w:r>
            <w:r w:rsidR="00F96B2F" w:rsidRPr="00E96E9F">
              <w:t xml:space="preserve"> </w:t>
            </w:r>
            <w:r w:rsidRPr="00E96E9F">
              <w:t>Application</w:t>
            </w:r>
            <w:r w:rsidR="00F96B2F" w:rsidRPr="00E96E9F">
              <w:t xml:space="preserve"> </w:t>
            </w:r>
            <w:r w:rsidRPr="00E96E9F">
              <w:t>Supporting</w:t>
            </w:r>
            <w:r w:rsidR="00F96B2F" w:rsidRPr="00E96E9F">
              <w:t xml:space="preserve"> </w:t>
            </w:r>
            <w:r w:rsidRPr="00E96E9F">
              <w:t>Information</w:t>
            </w:r>
            <w:r w:rsidR="00F96B2F" w:rsidRPr="00E96E9F">
              <w:t xml:space="preserve"> </w:t>
            </w:r>
            <w:r w:rsidRPr="00E96E9F">
              <w:t>Form</w:t>
            </w:r>
            <w:r w:rsidR="00F96B2F" w:rsidRPr="00E96E9F">
              <w:t xml:space="preserve"> </w:t>
            </w:r>
            <w:r w:rsidRPr="00E96E9F">
              <w:t>for</w:t>
            </w:r>
            <w:r w:rsidR="00F96B2F" w:rsidRPr="00E96E9F">
              <w:t xml:space="preserve"> </w:t>
            </w:r>
            <w:r w:rsidRPr="00E96E9F">
              <w:t>continuing</w:t>
            </w:r>
            <w:r w:rsidR="00F96B2F" w:rsidRPr="00E96E9F">
              <w:t xml:space="preserve"> </w:t>
            </w:r>
            <w:r w:rsidRPr="00E96E9F">
              <w:t>treatment;</w:t>
            </w:r>
            <w:r w:rsidR="00F96B2F" w:rsidRPr="00E96E9F">
              <w:t xml:space="preserve"> </w:t>
            </w:r>
            <w:r w:rsidRPr="00E96E9F">
              <w:t>and</w:t>
            </w:r>
          </w:p>
          <w:p w14:paraId="0604BF9C" w14:textId="3FC38A17" w:rsidR="00811E0E" w:rsidRPr="00E96E9F" w:rsidRDefault="072F2C9C" w:rsidP="6D648542">
            <w:pPr>
              <w:pStyle w:val="TableText0"/>
            </w:pPr>
            <w:r w:rsidRPr="00E96E9F">
              <w:t>(3)</w:t>
            </w:r>
            <w:r w:rsidR="00F96B2F" w:rsidRPr="00E96E9F">
              <w:t xml:space="preserve"> </w:t>
            </w:r>
            <w:r w:rsidRPr="00E96E9F">
              <w:t>Growth</w:t>
            </w:r>
            <w:r w:rsidR="00F96B2F" w:rsidRPr="00E96E9F">
              <w:t xml:space="preserve"> </w:t>
            </w:r>
            <w:r w:rsidRPr="00E96E9F">
              <w:t>data</w:t>
            </w:r>
            <w:r w:rsidR="00F96B2F" w:rsidRPr="00E96E9F">
              <w:t xml:space="preserve"> </w:t>
            </w:r>
            <w:r w:rsidRPr="00E96E9F">
              <w:t>(height</w:t>
            </w:r>
            <w:r w:rsidR="00F96B2F" w:rsidRPr="00E96E9F">
              <w:t xml:space="preserve"> </w:t>
            </w:r>
            <w:r w:rsidRPr="00E96E9F">
              <w:t>and</w:t>
            </w:r>
            <w:r w:rsidR="00F96B2F" w:rsidRPr="00E96E9F">
              <w:t xml:space="preserve"> </w:t>
            </w:r>
            <w:r w:rsidRPr="00E96E9F">
              <w:t>weight)</w:t>
            </w:r>
            <w:r w:rsidR="00F96B2F" w:rsidRPr="00E96E9F">
              <w:t xml:space="preserve"> </w:t>
            </w:r>
            <w:r w:rsidRPr="00E96E9F">
              <w:t>for</w:t>
            </w:r>
            <w:r w:rsidR="00F96B2F" w:rsidRPr="00E96E9F">
              <w:t xml:space="preserve"> </w:t>
            </w:r>
            <w:r w:rsidRPr="00E96E9F">
              <w:t>the</w:t>
            </w:r>
            <w:r w:rsidR="00F96B2F" w:rsidRPr="00E96E9F">
              <w:t xml:space="preserve"> </w:t>
            </w:r>
            <w:r w:rsidRPr="00E96E9F">
              <w:t>most</w:t>
            </w:r>
            <w:r w:rsidR="00F96B2F" w:rsidRPr="00E96E9F">
              <w:t xml:space="preserve"> </w:t>
            </w:r>
            <w:r w:rsidRPr="00E96E9F">
              <w:t>recent</w:t>
            </w:r>
            <w:r w:rsidR="00F96B2F" w:rsidRPr="00E96E9F">
              <w:t xml:space="preserve"> </w:t>
            </w:r>
            <w:proofErr w:type="gramStart"/>
            <w:r w:rsidRPr="00E96E9F">
              <w:t>6</w:t>
            </w:r>
            <w:r w:rsidR="00F96B2F" w:rsidRPr="00E96E9F">
              <w:t xml:space="preserve"> </w:t>
            </w:r>
            <w:r w:rsidRPr="00E96E9F">
              <w:t>month</w:t>
            </w:r>
            <w:proofErr w:type="gramEnd"/>
            <w:r w:rsidR="00F96B2F" w:rsidRPr="00E96E9F">
              <w:t xml:space="preserve"> </w:t>
            </w:r>
            <w:r w:rsidRPr="00E96E9F">
              <w:t>treatment</w:t>
            </w:r>
            <w:r w:rsidR="00F96B2F" w:rsidRPr="00E96E9F">
              <w:t xml:space="preserve"> </w:t>
            </w:r>
            <w:r w:rsidRPr="00E96E9F">
              <w:t>period,</w:t>
            </w:r>
            <w:r w:rsidR="00F96B2F" w:rsidRPr="00E96E9F">
              <w:t xml:space="preserve"> </w:t>
            </w:r>
            <w:r w:rsidRPr="00E96E9F">
              <w:t>including</w:t>
            </w:r>
            <w:r w:rsidR="00F96B2F" w:rsidRPr="00E96E9F">
              <w:t xml:space="preserve"> </w:t>
            </w:r>
            <w:r w:rsidRPr="00E96E9F">
              <w:t>data</w:t>
            </w:r>
            <w:r w:rsidR="00F96B2F" w:rsidRPr="00E96E9F">
              <w:t xml:space="preserve"> </w:t>
            </w:r>
            <w:r w:rsidRPr="00E96E9F">
              <w:t>at</w:t>
            </w:r>
            <w:r w:rsidR="00F96B2F" w:rsidRPr="00E96E9F">
              <w:t xml:space="preserve"> </w:t>
            </w:r>
            <w:r w:rsidRPr="00E96E9F">
              <w:t>both</w:t>
            </w:r>
            <w:r w:rsidR="00F96B2F" w:rsidRPr="00E96E9F">
              <w:t xml:space="preserve"> </w:t>
            </w:r>
            <w:r w:rsidRPr="00E96E9F">
              <w:t>the</w:t>
            </w:r>
            <w:r w:rsidR="00F96B2F" w:rsidRPr="00E96E9F">
              <w:t xml:space="preserve"> </w:t>
            </w:r>
            <w:r w:rsidRPr="00E96E9F">
              <w:t>start</w:t>
            </w:r>
            <w:r w:rsidR="00F96B2F" w:rsidRPr="00E96E9F">
              <w:t xml:space="preserve"> </w:t>
            </w:r>
            <w:r w:rsidRPr="00E96E9F">
              <w:t>and</w:t>
            </w:r>
            <w:r w:rsidR="00F96B2F" w:rsidRPr="00E96E9F">
              <w:t xml:space="preserve"> </w:t>
            </w:r>
            <w:r w:rsidRPr="00E96E9F">
              <w:t>end</w:t>
            </w:r>
            <w:r w:rsidR="00F96B2F" w:rsidRPr="00E96E9F">
              <w:t xml:space="preserve"> </w:t>
            </w:r>
            <w:r w:rsidRPr="00E96E9F">
              <w:t>of</w:t>
            </w:r>
            <w:r w:rsidR="00F96B2F" w:rsidRPr="00E96E9F">
              <w:t xml:space="preserve"> </w:t>
            </w:r>
            <w:r w:rsidRPr="00E96E9F">
              <w:t>the</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The</w:t>
            </w:r>
            <w:r w:rsidR="00F96B2F" w:rsidRPr="00E96E9F">
              <w:t xml:space="preserve"> </w:t>
            </w:r>
            <w:r w:rsidRPr="00E96E9F">
              <w:t>most</w:t>
            </w:r>
            <w:r w:rsidR="00F96B2F" w:rsidRPr="00E96E9F">
              <w:t xml:space="preserve"> </w:t>
            </w:r>
            <w:r w:rsidRPr="00E96E9F">
              <w:t>recent</w:t>
            </w:r>
            <w:r w:rsidR="00F96B2F" w:rsidRPr="00E96E9F">
              <w:t xml:space="preserve"> </w:t>
            </w:r>
            <w:r w:rsidRPr="00E96E9F">
              <w:t>data</w:t>
            </w:r>
            <w:r w:rsidR="00F96B2F" w:rsidRPr="00E96E9F">
              <w:t xml:space="preserve"> </w:t>
            </w:r>
            <w:r w:rsidRPr="00E96E9F">
              <w:t>must</w:t>
            </w:r>
            <w:r w:rsidR="00F96B2F" w:rsidRPr="00E96E9F">
              <w:t xml:space="preserve"> </w:t>
            </w:r>
            <w:r w:rsidRPr="00E96E9F">
              <w:t>not</w:t>
            </w:r>
            <w:r w:rsidR="00F96B2F" w:rsidRPr="00E96E9F">
              <w:t xml:space="preserve"> </w:t>
            </w:r>
            <w:r w:rsidRPr="00E96E9F">
              <w:t>be</w:t>
            </w:r>
            <w:r w:rsidR="00F96B2F" w:rsidRPr="00E96E9F">
              <w:t xml:space="preserve"> </w:t>
            </w:r>
            <w:r w:rsidRPr="00E96E9F">
              <w:t>older</w:t>
            </w:r>
            <w:r w:rsidR="00F96B2F" w:rsidRPr="00E96E9F">
              <w:t xml:space="preserve"> </w:t>
            </w:r>
            <w:r w:rsidRPr="00E96E9F">
              <w:t>than</w:t>
            </w:r>
            <w:r w:rsidR="00F96B2F" w:rsidRPr="00E96E9F">
              <w:t xml:space="preserve"> </w:t>
            </w:r>
            <w:r w:rsidRPr="00E96E9F">
              <w:t>three</w:t>
            </w:r>
            <w:r w:rsidR="00F96B2F" w:rsidRPr="00E96E9F">
              <w:t xml:space="preserve"> </w:t>
            </w:r>
            <w:r w:rsidRPr="00E96E9F">
              <w:t>months;</w:t>
            </w:r>
            <w:r w:rsidR="00F96B2F" w:rsidRPr="00E96E9F">
              <w:t xml:space="preserve"> </w:t>
            </w:r>
            <w:r w:rsidRPr="00E96E9F">
              <w:t>and</w:t>
            </w:r>
          </w:p>
          <w:p w14:paraId="0AA0F0CC" w14:textId="07812AAD" w:rsidR="00811E0E" w:rsidRPr="00E96E9F" w:rsidRDefault="072F2C9C" w:rsidP="6D648542">
            <w:pPr>
              <w:pStyle w:val="TableText0"/>
            </w:pPr>
            <w:r w:rsidRPr="00E96E9F">
              <w:t>(4)</w:t>
            </w:r>
            <w:r w:rsidR="00F96B2F" w:rsidRPr="00E96E9F">
              <w:t xml:space="preserve"> </w:t>
            </w:r>
            <w:r w:rsidRPr="00E96E9F">
              <w:t>A</w:t>
            </w:r>
            <w:r w:rsidR="00F96B2F" w:rsidRPr="00E96E9F">
              <w:t xml:space="preserve"> </w:t>
            </w:r>
            <w:r w:rsidRPr="00E96E9F">
              <w:t>bone</w:t>
            </w:r>
            <w:r w:rsidR="00F96B2F" w:rsidRPr="00E96E9F">
              <w:t xml:space="preserve"> </w:t>
            </w:r>
            <w:r w:rsidRPr="00E96E9F">
              <w:t>age</w:t>
            </w:r>
            <w:r w:rsidR="00F96B2F" w:rsidRPr="00E96E9F">
              <w:t xml:space="preserve"> </w:t>
            </w:r>
            <w:r w:rsidRPr="00E96E9F">
              <w:t>result</w:t>
            </w:r>
            <w:r w:rsidR="00F96B2F" w:rsidRPr="00E96E9F">
              <w:t xml:space="preserve"> </w:t>
            </w:r>
            <w:r w:rsidRPr="00E96E9F">
              <w:t>performed</w:t>
            </w:r>
            <w:r w:rsidR="00F96B2F" w:rsidRPr="00E96E9F">
              <w:t xml:space="preserve"> </w:t>
            </w:r>
            <w:r w:rsidRPr="00E96E9F">
              <w:t>within</w:t>
            </w:r>
            <w:r w:rsidR="00F96B2F" w:rsidRPr="00E96E9F">
              <w:t xml:space="preserve"> </w:t>
            </w:r>
            <w:r w:rsidRPr="00E96E9F">
              <w:t>the</w:t>
            </w:r>
            <w:r w:rsidR="00F96B2F" w:rsidRPr="00E96E9F">
              <w:t xml:space="preserve"> </w:t>
            </w:r>
            <w:r w:rsidRPr="00E96E9F">
              <w:t>last</w:t>
            </w:r>
            <w:r w:rsidR="00F96B2F" w:rsidRPr="00E96E9F">
              <w:t xml:space="preserve"> </w:t>
            </w:r>
            <w:r w:rsidRPr="00E96E9F">
              <w:t>12</w:t>
            </w:r>
            <w:r w:rsidR="00F96B2F" w:rsidRPr="00E96E9F">
              <w:t xml:space="preserve"> </w:t>
            </w:r>
            <w:r w:rsidRPr="00E96E9F">
              <w:t>months;</w:t>
            </w:r>
            <w:r w:rsidR="00F96B2F" w:rsidRPr="00E96E9F">
              <w:t xml:space="preserve"> </w:t>
            </w:r>
            <w:r w:rsidRPr="00E96E9F">
              <w:t>and</w:t>
            </w:r>
          </w:p>
          <w:p w14:paraId="13FC10A4" w14:textId="2472F022" w:rsidR="00811E0E" w:rsidRPr="00E96E9F" w:rsidRDefault="072F2C9C" w:rsidP="6D648542">
            <w:pPr>
              <w:pStyle w:val="TableText0"/>
              <w:rPr>
                <w:rFonts w:eastAsia="Arial Narrow" w:cs="Arial Narrow"/>
                <w:color w:val="000000"/>
              </w:rPr>
            </w:pPr>
            <w:r w:rsidRPr="00E96E9F">
              <w:t>(5)</w:t>
            </w:r>
            <w:r w:rsidR="00F96B2F" w:rsidRPr="00E96E9F">
              <w:t xml:space="preserve"> </w:t>
            </w:r>
            <w:r w:rsidRPr="00E96E9F">
              <w:t>The</w:t>
            </w:r>
            <w:r w:rsidR="00F96B2F" w:rsidRPr="00E96E9F">
              <w:t xml:space="preserve"> </w:t>
            </w:r>
            <w:r w:rsidRPr="00E96E9F">
              <w:t>final</w:t>
            </w:r>
            <w:r w:rsidR="00F96B2F" w:rsidRPr="00E96E9F">
              <w:t xml:space="preserve"> </w:t>
            </w:r>
            <w:r w:rsidRPr="00E96E9F">
              <w:t>adult</w:t>
            </w:r>
            <w:r w:rsidR="00F96B2F" w:rsidRPr="00E96E9F">
              <w:t xml:space="preserve"> </w:t>
            </w:r>
            <w:r w:rsidRPr="00E96E9F">
              <w:t>height</w:t>
            </w:r>
            <w:r w:rsidR="00F96B2F" w:rsidRPr="00E96E9F">
              <w:t xml:space="preserve"> </w:t>
            </w:r>
            <w:r w:rsidRPr="00E96E9F">
              <w:t>(in</w:t>
            </w:r>
            <w:r w:rsidR="00F96B2F" w:rsidRPr="00E96E9F">
              <w:t xml:space="preserve"> </w:t>
            </w:r>
            <w:r w:rsidRPr="00E96E9F">
              <w:t>cm)</w:t>
            </w:r>
            <w:r w:rsidR="00F96B2F" w:rsidRPr="00E96E9F">
              <w:t xml:space="preserve"> </w:t>
            </w:r>
            <w:r w:rsidRPr="00E96E9F">
              <w:t>of</w:t>
            </w:r>
            <w:r w:rsidR="00F96B2F" w:rsidRPr="00E96E9F">
              <w:t xml:space="preserve"> </w:t>
            </w:r>
            <w:r w:rsidRPr="00E96E9F">
              <w:t>the</w:t>
            </w:r>
            <w:r w:rsidR="00F96B2F" w:rsidRPr="00E96E9F">
              <w:t xml:space="preserve"> </w:t>
            </w:r>
            <w:r w:rsidRPr="00E96E9F">
              <w:t>patient's</w:t>
            </w:r>
            <w:r w:rsidR="00F96B2F" w:rsidRPr="00E96E9F">
              <w:t xml:space="preserve"> </w:t>
            </w:r>
            <w:r w:rsidRPr="00E96E9F">
              <w:t>mother</w:t>
            </w:r>
            <w:r w:rsidR="00F96B2F" w:rsidRPr="00E96E9F">
              <w:t xml:space="preserve"> </w:t>
            </w:r>
            <w:r w:rsidRPr="00E96E9F">
              <w:t>and</w:t>
            </w:r>
            <w:r w:rsidR="00F96B2F" w:rsidRPr="00E96E9F">
              <w:t xml:space="preserve"> </w:t>
            </w:r>
            <w:r w:rsidRPr="00E96E9F">
              <w:t>father</w:t>
            </w:r>
            <w:r w:rsidR="00F96B2F" w:rsidRPr="00E96E9F">
              <w:t xml:space="preserve"> </w:t>
            </w:r>
            <w:r w:rsidRPr="00E96E9F">
              <w:t>(where</w:t>
            </w:r>
            <w:r w:rsidR="00F96B2F" w:rsidRPr="00E96E9F">
              <w:t xml:space="preserve"> </w:t>
            </w:r>
            <w:r w:rsidRPr="00E96E9F">
              <w:t>available).</w:t>
            </w:r>
          </w:p>
        </w:tc>
      </w:tr>
    </w:tbl>
    <w:p w14:paraId="3CF5768E" w14:textId="77777777" w:rsidR="00811E0E" w:rsidRPr="00E96E9F" w:rsidRDefault="00811E0E" w:rsidP="00811E0E"/>
    <w:tbl>
      <w:tblPr>
        <w:tblW w:w="0" w:type="auto"/>
        <w:tblInd w:w="28" w:type="dxa"/>
        <w:tblLook w:val="0000" w:firstRow="0" w:lastRow="0" w:firstColumn="0" w:lastColumn="0" w:noHBand="0" w:noVBand="0"/>
      </w:tblPr>
      <w:tblGrid>
        <w:gridCol w:w="2199"/>
        <w:gridCol w:w="6786"/>
      </w:tblGrid>
      <w:tr w:rsidR="00811E0E" w:rsidRPr="00E96E9F" w14:paraId="333D8DC3" w14:textId="77777777" w:rsidTr="00CF047E">
        <w:trPr>
          <w:trHeight w:val="300"/>
        </w:trPr>
        <w:tc>
          <w:tcPr>
            <w:tcW w:w="2199" w:type="dxa"/>
            <w:tcBorders>
              <w:top w:val="single" w:sz="4" w:space="0" w:color="auto"/>
              <w:left w:val="single" w:sz="4" w:space="0" w:color="auto"/>
              <w:bottom w:val="single" w:sz="4" w:space="0" w:color="auto"/>
              <w:right w:val="single" w:sz="4" w:space="0" w:color="auto"/>
            </w:tcBorders>
          </w:tcPr>
          <w:p w14:paraId="3D394918" w14:textId="77777777" w:rsidR="00811E0E" w:rsidRPr="00E96E9F" w:rsidRDefault="00811E0E" w:rsidP="00CF047E">
            <w:pPr>
              <w:pStyle w:val="Tabletext"/>
            </w:pPr>
            <w:r w:rsidRPr="00E96E9F">
              <w:t>Category/Program:</w:t>
            </w:r>
          </w:p>
        </w:tc>
        <w:tc>
          <w:tcPr>
            <w:tcW w:w="6786" w:type="dxa"/>
            <w:tcBorders>
              <w:top w:val="single" w:sz="4" w:space="0" w:color="auto"/>
              <w:left w:val="single" w:sz="4" w:space="0" w:color="auto"/>
              <w:bottom w:val="single" w:sz="4" w:space="0" w:color="auto"/>
              <w:right w:val="single" w:sz="4" w:space="0" w:color="auto"/>
            </w:tcBorders>
          </w:tcPr>
          <w:p w14:paraId="59B5EC78" w14:textId="45C7461D" w:rsidR="00811E0E" w:rsidRPr="00E96E9F" w:rsidRDefault="00811E0E" w:rsidP="00CF047E">
            <w:pPr>
              <w:pStyle w:val="Tabletext"/>
            </w:pPr>
            <w:r w:rsidRPr="00E96E9F">
              <w:t>Section</w:t>
            </w:r>
            <w:r w:rsidR="00F96B2F" w:rsidRPr="00E96E9F">
              <w:t xml:space="preserve"> </w:t>
            </w:r>
            <w:r w:rsidRPr="00E96E9F">
              <w:t>100</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Program</w:t>
            </w:r>
          </w:p>
        </w:tc>
      </w:tr>
      <w:tr w:rsidR="00811E0E" w:rsidRPr="00E96E9F" w14:paraId="60E170D5" w14:textId="77777777" w:rsidTr="00CF047E">
        <w:trPr>
          <w:trHeight w:val="300"/>
        </w:trPr>
        <w:tc>
          <w:tcPr>
            <w:tcW w:w="2199" w:type="dxa"/>
            <w:tcBorders>
              <w:top w:val="single" w:sz="4" w:space="0" w:color="auto"/>
              <w:left w:val="single" w:sz="4" w:space="0" w:color="auto"/>
              <w:bottom w:val="single" w:sz="4" w:space="0" w:color="auto"/>
              <w:right w:val="single" w:sz="4" w:space="0" w:color="auto"/>
            </w:tcBorders>
          </w:tcPr>
          <w:p w14:paraId="5B744755" w14:textId="1D55324B" w:rsidR="00811E0E" w:rsidRPr="00E96E9F" w:rsidRDefault="00811E0E" w:rsidP="00CF047E">
            <w:pPr>
              <w:pStyle w:val="Tabletext"/>
            </w:pPr>
            <w:r w:rsidRPr="00E96E9F">
              <w:t>PBS</w:t>
            </w:r>
            <w:r w:rsidR="00F96B2F" w:rsidRPr="00E96E9F">
              <w:t xml:space="preserve"> </w:t>
            </w:r>
            <w:r w:rsidRPr="00E96E9F">
              <w:t>indication:</w:t>
            </w:r>
          </w:p>
        </w:tc>
        <w:tc>
          <w:tcPr>
            <w:tcW w:w="6786" w:type="dxa"/>
            <w:tcBorders>
              <w:top w:val="single" w:sz="4" w:space="0" w:color="auto"/>
              <w:left w:val="single" w:sz="4" w:space="0" w:color="auto"/>
              <w:bottom w:val="single" w:sz="4" w:space="0" w:color="auto"/>
              <w:right w:val="single" w:sz="4" w:space="0" w:color="auto"/>
            </w:tcBorders>
          </w:tcPr>
          <w:p w14:paraId="16E16B63" w14:textId="2F3AE429" w:rsidR="00811E0E" w:rsidRPr="00E96E9F" w:rsidRDefault="36C0877F" w:rsidP="6D648542">
            <w:pPr>
              <w:pStyle w:val="TableText0"/>
            </w:pPr>
            <w:r w:rsidRPr="00E96E9F">
              <w:t>Short</w:t>
            </w:r>
            <w:r w:rsidR="00F96B2F" w:rsidRPr="00E96E9F">
              <w:t xml:space="preserve"> </w:t>
            </w:r>
            <w:r w:rsidRPr="00E96E9F">
              <w:t>stature</w:t>
            </w:r>
            <w:r w:rsidR="00F96B2F" w:rsidRPr="00E96E9F">
              <w:t xml:space="preserve"> </w:t>
            </w:r>
            <w:r w:rsidRPr="00E96E9F">
              <w:t>associated</w:t>
            </w:r>
            <w:r w:rsidR="00F96B2F" w:rsidRPr="00E96E9F">
              <w:t xml:space="preserve"> </w:t>
            </w:r>
            <w:r w:rsidRPr="00E96E9F">
              <w:t>with</w:t>
            </w:r>
            <w:r w:rsidR="00F96B2F" w:rsidRPr="00E96E9F">
              <w:t xml:space="preserve"> </w:t>
            </w:r>
            <w:r w:rsidRPr="00E96E9F">
              <w:t>biochemical</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deficiency</w:t>
            </w:r>
          </w:p>
        </w:tc>
      </w:tr>
      <w:tr w:rsidR="00811E0E" w:rsidRPr="00E96E9F" w14:paraId="26B2A485" w14:textId="77777777" w:rsidTr="00CF047E">
        <w:trPr>
          <w:trHeight w:val="300"/>
        </w:trPr>
        <w:tc>
          <w:tcPr>
            <w:tcW w:w="2199" w:type="dxa"/>
            <w:tcBorders>
              <w:top w:val="single" w:sz="4" w:space="0" w:color="auto"/>
              <w:left w:val="single" w:sz="4" w:space="0" w:color="auto"/>
              <w:bottom w:val="single" w:sz="4" w:space="0" w:color="auto"/>
              <w:right w:val="single" w:sz="4" w:space="0" w:color="auto"/>
            </w:tcBorders>
          </w:tcPr>
          <w:p w14:paraId="43B27A3D" w14:textId="6A1898B9" w:rsidR="00811E0E" w:rsidRPr="00E96E9F" w:rsidRDefault="00811E0E" w:rsidP="00CF047E">
            <w:pPr>
              <w:pStyle w:val="Tabletext"/>
            </w:pPr>
            <w:r w:rsidRPr="00E96E9F">
              <w:t>Treatment</w:t>
            </w:r>
            <w:r w:rsidR="00F96B2F" w:rsidRPr="00E96E9F">
              <w:t xml:space="preserve"> </w:t>
            </w:r>
            <w:r w:rsidRPr="00E96E9F">
              <w:t>phase:</w:t>
            </w:r>
          </w:p>
        </w:tc>
        <w:tc>
          <w:tcPr>
            <w:tcW w:w="6786" w:type="dxa"/>
            <w:tcBorders>
              <w:top w:val="single" w:sz="4" w:space="0" w:color="auto"/>
              <w:left w:val="single" w:sz="4" w:space="0" w:color="auto"/>
              <w:bottom w:val="single" w:sz="4" w:space="0" w:color="auto"/>
              <w:right w:val="single" w:sz="4" w:space="0" w:color="auto"/>
            </w:tcBorders>
          </w:tcPr>
          <w:p w14:paraId="31084E5A" w14:textId="5EF1284B" w:rsidR="00811E0E" w:rsidRPr="00E96E9F" w:rsidRDefault="00811E0E" w:rsidP="00CF047E">
            <w:pPr>
              <w:pStyle w:val="Tabletext"/>
            </w:pPr>
            <w:r w:rsidRPr="00E96E9F">
              <w:t>Continuing</w:t>
            </w:r>
            <w:r w:rsidR="00F96B2F" w:rsidRPr="00E96E9F">
              <w:t xml:space="preserve"> </w:t>
            </w:r>
            <w:r w:rsidRPr="00E96E9F">
              <w:t>treatment</w:t>
            </w:r>
          </w:p>
        </w:tc>
      </w:tr>
      <w:tr w:rsidR="00811E0E" w:rsidRPr="00E96E9F" w14:paraId="6E7B1C94" w14:textId="77777777" w:rsidTr="00CF047E">
        <w:trPr>
          <w:trHeight w:val="300"/>
        </w:trPr>
        <w:tc>
          <w:tcPr>
            <w:tcW w:w="2199" w:type="dxa"/>
            <w:tcBorders>
              <w:top w:val="single" w:sz="4" w:space="0" w:color="auto"/>
              <w:left w:val="single" w:sz="4" w:space="0" w:color="auto"/>
              <w:bottom w:val="single" w:sz="4" w:space="0" w:color="auto"/>
              <w:right w:val="single" w:sz="4" w:space="0" w:color="auto"/>
            </w:tcBorders>
          </w:tcPr>
          <w:p w14:paraId="2E5E4348" w14:textId="77777777" w:rsidR="00811E0E" w:rsidRPr="00E96E9F" w:rsidRDefault="00811E0E" w:rsidP="00CF047E">
            <w:pPr>
              <w:pStyle w:val="Tabletext"/>
            </w:pPr>
            <w:r w:rsidRPr="00E96E9F">
              <w:t>Restriction:</w:t>
            </w:r>
          </w:p>
        </w:tc>
        <w:tc>
          <w:tcPr>
            <w:tcW w:w="6786" w:type="dxa"/>
            <w:tcBorders>
              <w:top w:val="single" w:sz="4" w:space="0" w:color="auto"/>
              <w:left w:val="single" w:sz="4" w:space="0" w:color="auto"/>
              <w:bottom w:val="single" w:sz="4" w:space="0" w:color="auto"/>
              <w:right w:val="single" w:sz="4" w:space="0" w:color="auto"/>
            </w:tcBorders>
          </w:tcPr>
          <w:p w14:paraId="7147E723" w14:textId="5D48FCC4" w:rsidR="00811E0E" w:rsidRPr="00E96E9F" w:rsidRDefault="00811E0E" w:rsidP="00CF047E">
            <w:pPr>
              <w:pStyle w:val="Tabletext"/>
            </w:pPr>
            <w:r w:rsidRPr="00E96E9F">
              <w:t>Authority</w:t>
            </w:r>
            <w:r w:rsidR="00F96B2F" w:rsidRPr="00E96E9F">
              <w:t xml:space="preserve"> </w:t>
            </w:r>
            <w:r w:rsidRPr="00E96E9F">
              <w:t>Required-</w:t>
            </w:r>
            <w:r w:rsidR="00F96B2F" w:rsidRPr="00E96E9F">
              <w:t xml:space="preserve"> </w:t>
            </w:r>
            <w:r w:rsidRPr="00E96E9F">
              <w:t>In</w:t>
            </w:r>
            <w:r w:rsidR="00F96B2F" w:rsidRPr="00E96E9F">
              <w:t xml:space="preserve"> </w:t>
            </w:r>
            <w:r w:rsidRPr="00E96E9F">
              <w:t>writing</w:t>
            </w:r>
          </w:p>
        </w:tc>
      </w:tr>
      <w:tr w:rsidR="00811E0E" w:rsidRPr="00E96E9F" w14:paraId="6B3F2ADB" w14:textId="77777777" w:rsidTr="00CF047E">
        <w:trPr>
          <w:trHeight w:val="300"/>
        </w:trPr>
        <w:tc>
          <w:tcPr>
            <w:tcW w:w="2199" w:type="dxa"/>
            <w:tcBorders>
              <w:top w:val="single" w:sz="4" w:space="0" w:color="auto"/>
              <w:left w:val="single" w:sz="4" w:space="0" w:color="auto"/>
              <w:bottom w:val="single" w:sz="4" w:space="0" w:color="auto"/>
              <w:right w:val="single" w:sz="4" w:space="0" w:color="auto"/>
            </w:tcBorders>
          </w:tcPr>
          <w:p w14:paraId="04044524" w14:textId="620FAA59" w:rsidR="00811E0E" w:rsidRPr="00E96E9F" w:rsidRDefault="00811E0E" w:rsidP="00CF047E">
            <w:pPr>
              <w:pStyle w:val="Tabletext"/>
            </w:pPr>
            <w:r w:rsidRPr="00E96E9F">
              <w:t>Treatment</w:t>
            </w:r>
            <w:r w:rsidR="00F96B2F" w:rsidRPr="00E96E9F">
              <w:t xml:space="preserve"> </w:t>
            </w:r>
            <w:r w:rsidRPr="00E96E9F">
              <w:t>criteria:</w:t>
            </w:r>
          </w:p>
        </w:tc>
        <w:tc>
          <w:tcPr>
            <w:tcW w:w="6786" w:type="dxa"/>
            <w:tcBorders>
              <w:top w:val="single" w:sz="4" w:space="0" w:color="auto"/>
              <w:left w:val="single" w:sz="4" w:space="0" w:color="auto"/>
              <w:bottom w:val="single" w:sz="4" w:space="0" w:color="auto"/>
              <w:right w:val="single" w:sz="4" w:space="0" w:color="auto"/>
            </w:tcBorders>
          </w:tcPr>
          <w:p w14:paraId="017318EA" w14:textId="36E38EC7" w:rsidR="00811E0E" w:rsidRPr="00E96E9F" w:rsidRDefault="63B70F8C" w:rsidP="6D648542">
            <w:pPr>
              <w:pStyle w:val="TableText0"/>
              <w:rPr>
                <w:rFonts w:eastAsia="Arial Narrow" w:cs="Arial Narrow"/>
                <w:color w:val="000000" w:themeColor="text1"/>
              </w:rPr>
            </w:pPr>
            <w:r w:rsidRPr="00E96E9F">
              <w:rPr>
                <w:rFonts w:eastAsia="Arial Narrow" w:cs="Arial Narrow"/>
                <w:color w:val="000000" w:themeColor="text1"/>
              </w:rPr>
              <w:t>Treated</w:t>
            </w:r>
            <w:r w:rsidR="00F96B2F" w:rsidRPr="00E96E9F">
              <w:rPr>
                <w:rFonts w:eastAsia="Arial Narrow" w:cs="Arial Narrow"/>
                <w:color w:val="000000" w:themeColor="text1"/>
              </w:rPr>
              <w:t xml:space="preserve"> </w:t>
            </w:r>
            <w:r w:rsidRPr="00E96E9F">
              <w:rPr>
                <w:rFonts w:eastAsia="Arial Narrow" w:cs="Arial Narrow"/>
                <w:color w:val="000000" w:themeColor="text1"/>
              </w:rPr>
              <w:t>by</w:t>
            </w:r>
            <w:r w:rsidR="00F96B2F" w:rsidRPr="00E96E9F">
              <w:rPr>
                <w:rFonts w:eastAsia="Arial Narrow" w:cs="Arial Narrow"/>
                <w:color w:val="000000" w:themeColor="text1"/>
              </w:rPr>
              <w:t xml:space="preserve"> </w:t>
            </w:r>
            <w:r w:rsidRPr="00E96E9F">
              <w:rPr>
                <w:rFonts w:eastAsia="Arial Narrow" w:cs="Arial Narrow"/>
                <w:color w:val="000000" w:themeColor="text1"/>
              </w:rPr>
              <w:t>a</w:t>
            </w:r>
            <w:r w:rsidR="00F96B2F" w:rsidRPr="00E96E9F">
              <w:rPr>
                <w:rFonts w:eastAsia="Arial Narrow" w:cs="Arial Narrow"/>
                <w:color w:val="000000" w:themeColor="text1"/>
              </w:rPr>
              <w:t xml:space="preserve"> </w:t>
            </w:r>
            <w:r w:rsidRPr="00E96E9F">
              <w:rPr>
                <w:rFonts w:eastAsia="Arial Narrow" w:cs="Arial Narrow"/>
                <w:color w:val="000000" w:themeColor="text1"/>
              </w:rPr>
              <w:t>specialist</w:t>
            </w:r>
            <w:r w:rsidR="00F96B2F" w:rsidRPr="00E96E9F">
              <w:rPr>
                <w:rFonts w:eastAsia="Arial Narrow" w:cs="Arial Narrow"/>
                <w:color w:val="000000" w:themeColor="text1"/>
              </w:rPr>
              <w:t xml:space="preserve"> </w:t>
            </w:r>
            <w:r w:rsidRPr="00E96E9F">
              <w:rPr>
                <w:rFonts w:eastAsia="Arial Narrow" w:cs="Arial Narrow"/>
                <w:color w:val="000000" w:themeColor="text1"/>
              </w:rPr>
              <w:t>or</w:t>
            </w:r>
            <w:r w:rsidR="00F96B2F" w:rsidRPr="00E96E9F">
              <w:rPr>
                <w:rFonts w:eastAsia="Arial Narrow" w:cs="Arial Narrow"/>
                <w:color w:val="000000" w:themeColor="text1"/>
              </w:rPr>
              <w:t xml:space="preserve"> </w:t>
            </w:r>
            <w:r w:rsidRPr="00E96E9F">
              <w:rPr>
                <w:rFonts w:eastAsia="Arial Narrow" w:cs="Arial Narrow"/>
                <w:color w:val="000000" w:themeColor="text1"/>
              </w:rPr>
              <w:t>consultant</w:t>
            </w:r>
            <w:r w:rsidR="00F96B2F" w:rsidRPr="00E96E9F">
              <w:rPr>
                <w:rFonts w:eastAsia="Arial Narrow" w:cs="Arial Narrow"/>
                <w:color w:val="000000" w:themeColor="text1"/>
              </w:rPr>
              <w:t xml:space="preserve"> </w:t>
            </w:r>
            <w:r w:rsidRPr="00E96E9F">
              <w:rPr>
                <w:rFonts w:eastAsia="Arial Narrow" w:cs="Arial Narrow"/>
                <w:color w:val="000000" w:themeColor="text1"/>
              </w:rPr>
              <w:t>physician</w:t>
            </w:r>
            <w:r w:rsidR="00F96B2F" w:rsidRPr="00E96E9F">
              <w:rPr>
                <w:rFonts w:eastAsia="Arial Narrow" w:cs="Arial Narrow"/>
                <w:color w:val="000000" w:themeColor="text1"/>
              </w:rPr>
              <w:t xml:space="preserve"> </w:t>
            </w:r>
            <w:r w:rsidRPr="00E96E9F">
              <w:rPr>
                <w:rFonts w:eastAsia="Arial Narrow" w:cs="Arial Narrow"/>
                <w:color w:val="000000" w:themeColor="text1"/>
              </w:rPr>
              <w:t>in</w:t>
            </w:r>
            <w:r w:rsidR="00F96B2F" w:rsidRPr="00E96E9F">
              <w:rPr>
                <w:rFonts w:eastAsia="Arial Narrow" w:cs="Arial Narrow"/>
                <w:color w:val="000000" w:themeColor="text1"/>
              </w:rPr>
              <w:t xml:space="preserve"> </w:t>
            </w:r>
            <w:r w:rsidRPr="00E96E9F">
              <w:rPr>
                <w:rFonts w:eastAsia="Arial Narrow" w:cs="Arial Narrow"/>
                <w:color w:val="000000" w:themeColor="text1"/>
              </w:rPr>
              <w:t>paediatric</w:t>
            </w:r>
            <w:r w:rsidR="00F96B2F" w:rsidRPr="00E96E9F">
              <w:rPr>
                <w:rFonts w:eastAsia="Arial Narrow" w:cs="Arial Narrow"/>
                <w:color w:val="000000" w:themeColor="text1"/>
              </w:rPr>
              <w:t xml:space="preserve"> </w:t>
            </w:r>
            <w:proofErr w:type="gramStart"/>
            <w:r w:rsidRPr="00E96E9F">
              <w:rPr>
                <w:rFonts w:eastAsia="Arial Narrow" w:cs="Arial Narrow"/>
                <w:color w:val="000000" w:themeColor="text1"/>
              </w:rPr>
              <w:t>endocrinology;</w:t>
            </w:r>
            <w:proofErr w:type="gramEnd"/>
          </w:p>
          <w:p w14:paraId="7F4FBE06" w14:textId="77777777" w:rsidR="00811E0E" w:rsidRPr="00E96E9F" w:rsidRDefault="63B70F8C" w:rsidP="6D648542">
            <w:pPr>
              <w:pStyle w:val="TableText0"/>
              <w:rPr>
                <w:rFonts w:eastAsia="Arial Narrow" w:cs="Arial Narrow"/>
                <w:color w:val="000000" w:themeColor="text1"/>
              </w:rPr>
            </w:pPr>
            <w:r w:rsidRPr="00E96E9F">
              <w:rPr>
                <w:rFonts w:eastAsia="Arial Narrow" w:cs="Arial Narrow"/>
                <w:color w:val="000000" w:themeColor="text1"/>
              </w:rPr>
              <w:t>OR</w:t>
            </w:r>
          </w:p>
          <w:p w14:paraId="32DD34CB" w14:textId="4B078AB0" w:rsidR="00811E0E" w:rsidRPr="00E96E9F" w:rsidRDefault="63B70F8C" w:rsidP="00CF047E">
            <w:pPr>
              <w:pStyle w:val="TableText0"/>
              <w:rPr>
                <w:rFonts w:eastAsia="Arial Narrow" w:cs="Arial Narrow"/>
                <w:color w:val="000000" w:themeColor="text1"/>
              </w:rPr>
            </w:pPr>
            <w:r w:rsidRPr="00E96E9F">
              <w:rPr>
                <w:rFonts w:eastAsia="Arial Narrow" w:cs="Arial Narrow"/>
                <w:color w:val="000000" w:themeColor="text1"/>
              </w:rPr>
              <w:t>Treated</w:t>
            </w:r>
            <w:r w:rsidR="00F96B2F" w:rsidRPr="00E96E9F">
              <w:rPr>
                <w:rFonts w:eastAsia="Arial Narrow" w:cs="Arial Narrow"/>
                <w:color w:val="000000" w:themeColor="text1"/>
              </w:rPr>
              <w:t xml:space="preserve"> </w:t>
            </w:r>
            <w:r w:rsidRPr="00E96E9F">
              <w:rPr>
                <w:rFonts w:eastAsia="Arial Narrow" w:cs="Arial Narrow"/>
                <w:color w:val="000000" w:themeColor="text1"/>
              </w:rPr>
              <w:t>by</w:t>
            </w:r>
            <w:r w:rsidR="00F96B2F" w:rsidRPr="00E96E9F">
              <w:rPr>
                <w:rFonts w:eastAsia="Arial Narrow" w:cs="Arial Narrow"/>
                <w:color w:val="000000" w:themeColor="text1"/>
              </w:rPr>
              <w:t xml:space="preserve"> </w:t>
            </w:r>
            <w:r w:rsidRPr="00E96E9F">
              <w:rPr>
                <w:rFonts w:eastAsia="Arial Narrow" w:cs="Arial Narrow"/>
                <w:color w:val="000000" w:themeColor="text1"/>
              </w:rPr>
              <w:t>a</w:t>
            </w:r>
            <w:r w:rsidR="00F96B2F" w:rsidRPr="00E96E9F">
              <w:rPr>
                <w:rFonts w:eastAsia="Arial Narrow" w:cs="Arial Narrow"/>
                <w:color w:val="000000" w:themeColor="text1"/>
              </w:rPr>
              <w:t xml:space="preserve"> </w:t>
            </w:r>
            <w:r w:rsidRPr="00E96E9F">
              <w:rPr>
                <w:rFonts w:eastAsia="Arial Narrow" w:cs="Arial Narrow"/>
                <w:color w:val="000000" w:themeColor="text1"/>
              </w:rPr>
              <w:t>specialist</w:t>
            </w:r>
            <w:r w:rsidR="00F96B2F" w:rsidRPr="00E96E9F">
              <w:rPr>
                <w:rFonts w:eastAsia="Arial Narrow" w:cs="Arial Narrow"/>
                <w:color w:val="000000" w:themeColor="text1"/>
              </w:rPr>
              <w:t xml:space="preserve"> </w:t>
            </w:r>
            <w:r w:rsidRPr="00E96E9F">
              <w:rPr>
                <w:rFonts w:eastAsia="Arial Narrow" w:cs="Arial Narrow"/>
                <w:color w:val="000000" w:themeColor="text1"/>
              </w:rPr>
              <w:t>or</w:t>
            </w:r>
            <w:r w:rsidR="00F96B2F" w:rsidRPr="00E96E9F">
              <w:rPr>
                <w:rFonts w:eastAsia="Arial Narrow" w:cs="Arial Narrow"/>
                <w:color w:val="000000" w:themeColor="text1"/>
              </w:rPr>
              <w:t xml:space="preserve"> </w:t>
            </w:r>
            <w:r w:rsidRPr="00E96E9F">
              <w:rPr>
                <w:rFonts w:eastAsia="Arial Narrow" w:cs="Arial Narrow"/>
                <w:color w:val="000000" w:themeColor="text1"/>
              </w:rPr>
              <w:t>consultant</w:t>
            </w:r>
            <w:r w:rsidR="00F96B2F" w:rsidRPr="00E96E9F">
              <w:rPr>
                <w:rFonts w:eastAsia="Arial Narrow" w:cs="Arial Narrow"/>
                <w:color w:val="000000" w:themeColor="text1"/>
              </w:rPr>
              <w:t xml:space="preserve"> </w:t>
            </w:r>
            <w:r w:rsidRPr="00E96E9F">
              <w:rPr>
                <w:rFonts w:eastAsia="Arial Narrow" w:cs="Arial Narrow"/>
                <w:color w:val="000000" w:themeColor="text1"/>
              </w:rPr>
              <w:t>physician</w:t>
            </w:r>
            <w:r w:rsidR="00F96B2F" w:rsidRPr="00E96E9F">
              <w:rPr>
                <w:rFonts w:eastAsia="Arial Narrow" w:cs="Arial Narrow"/>
                <w:color w:val="000000" w:themeColor="text1"/>
              </w:rPr>
              <w:t xml:space="preserve"> </w:t>
            </w:r>
            <w:r w:rsidRPr="00E96E9F">
              <w:rPr>
                <w:rFonts w:eastAsia="Arial Narrow" w:cs="Arial Narrow"/>
                <w:color w:val="000000" w:themeColor="text1"/>
              </w:rPr>
              <w:t>in</w:t>
            </w:r>
            <w:r w:rsidR="00F96B2F" w:rsidRPr="00E96E9F">
              <w:rPr>
                <w:rFonts w:eastAsia="Arial Narrow" w:cs="Arial Narrow"/>
                <w:color w:val="000000" w:themeColor="text1"/>
              </w:rPr>
              <w:t xml:space="preserve"> </w:t>
            </w:r>
            <w:r w:rsidRPr="00E96E9F">
              <w:rPr>
                <w:rFonts w:eastAsia="Arial Narrow" w:cs="Arial Narrow"/>
                <w:color w:val="000000" w:themeColor="text1"/>
              </w:rPr>
              <w:t>general</w:t>
            </w:r>
            <w:r w:rsidR="00F96B2F" w:rsidRPr="00E96E9F">
              <w:rPr>
                <w:rFonts w:eastAsia="Arial Narrow" w:cs="Arial Narrow"/>
                <w:color w:val="000000" w:themeColor="text1"/>
              </w:rPr>
              <w:t xml:space="preserve"> </w:t>
            </w:r>
            <w:r w:rsidRPr="00E96E9F">
              <w:rPr>
                <w:rFonts w:eastAsia="Arial Narrow" w:cs="Arial Narrow"/>
                <w:color w:val="000000" w:themeColor="text1"/>
              </w:rPr>
              <w:t>paediatrics</w:t>
            </w:r>
            <w:r w:rsidR="00F96B2F" w:rsidRPr="00E96E9F">
              <w:rPr>
                <w:rFonts w:eastAsia="Arial Narrow" w:cs="Arial Narrow"/>
                <w:color w:val="000000" w:themeColor="text1"/>
              </w:rPr>
              <w:t xml:space="preserve"> </w:t>
            </w:r>
            <w:r w:rsidRPr="00E96E9F">
              <w:rPr>
                <w:rFonts w:eastAsia="Arial Narrow" w:cs="Arial Narrow"/>
                <w:color w:val="000000" w:themeColor="text1"/>
              </w:rPr>
              <w:t>in</w:t>
            </w:r>
            <w:r w:rsidR="00F96B2F" w:rsidRPr="00E96E9F">
              <w:rPr>
                <w:rFonts w:eastAsia="Arial Narrow" w:cs="Arial Narrow"/>
                <w:color w:val="000000" w:themeColor="text1"/>
              </w:rPr>
              <w:t xml:space="preserve"> </w:t>
            </w:r>
            <w:r w:rsidRPr="00E96E9F">
              <w:rPr>
                <w:rFonts w:eastAsia="Arial Narrow" w:cs="Arial Narrow"/>
                <w:color w:val="000000" w:themeColor="text1"/>
              </w:rPr>
              <w:t>consultation</w:t>
            </w:r>
            <w:r w:rsidR="00F96B2F" w:rsidRPr="00E96E9F">
              <w:rPr>
                <w:rFonts w:eastAsia="Arial Narrow" w:cs="Arial Narrow"/>
                <w:color w:val="000000" w:themeColor="text1"/>
              </w:rPr>
              <w:t xml:space="preserve"> </w:t>
            </w:r>
            <w:r w:rsidRPr="00E96E9F">
              <w:rPr>
                <w:rFonts w:eastAsia="Arial Narrow" w:cs="Arial Narrow"/>
                <w:color w:val="000000" w:themeColor="text1"/>
              </w:rPr>
              <w:t>with</w:t>
            </w:r>
            <w:r w:rsidR="00F96B2F" w:rsidRPr="00E96E9F">
              <w:rPr>
                <w:rFonts w:eastAsia="Arial Narrow" w:cs="Arial Narrow"/>
                <w:color w:val="000000" w:themeColor="text1"/>
              </w:rPr>
              <w:t xml:space="preserve"> </w:t>
            </w:r>
            <w:r w:rsidRPr="00E96E9F">
              <w:rPr>
                <w:rFonts w:eastAsia="Arial Narrow" w:cs="Arial Narrow"/>
                <w:color w:val="000000" w:themeColor="text1"/>
              </w:rPr>
              <w:t>a</w:t>
            </w:r>
            <w:r w:rsidR="00F96B2F" w:rsidRPr="00E96E9F">
              <w:rPr>
                <w:rFonts w:eastAsia="Arial Narrow" w:cs="Arial Narrow"/>
                <w:color w:val="000000" w:themeColor="text1"/>
              </w:rPr>
              <w:t xml:space="preserve"> </w:t>
            </w:r>
            <w:r w:rsidRPr="00E96E9F">
              <w:rPr>
                <w:rFonts w:eastAsia="Arial Narrow" w:cs="Arial Narrow"/>
                <w:color w:val="000000" w:themeColor="text1"/>
              </w:rPr>
              <w:t>nominated</w:t>
            </w:r>
            <w:r w:rsidR="00F96B2F" w:rsidRPr="00E96E9F">
              <w:rPr>
                <w:rFonts w:eastAsia="Arial Narrow" w:cs="Arial Narrow"/>
                <w:color w:val="000000" w:themeColor="text1"/>
              </w:rPr>
              <w:t xml:space="preserve"> </w:t>
            </w:r>
            <w:r w:rsidRPr="00E96E9F">
              <w:rPr>
                <w:rFonts w:eastAsia="Arial Narrow" w:cs="Arial Narrow"/>
                <w:color w:val="000000" w:themeColor="text1"/>
              </w:rPr>
              <w:t>specialist</w:t>
            </w:r>
            <w:r w:rsidR="00F96B2F" w:rsidRPr="00E96E9F">
              <w:rPr>
                <w:rFonts w:eastAsia="Arial Narrow" w:cs="Arial Narrow"/>
                <w:color w:val="000000" w:themeColor="text1"/>
              </w:rPr>
              <w:t xml:space="preserve"> </w:t>
            </w:r>
            <w:r w:rsidRPr="00E96E9F">
              <w:rPr>
                <w:rFonts w:eastAsia="Arial Narrow" w:cs="Arial Narrow"/>
                <w:color w:val="000000" w:themeColor="text1"/>
              </w:rPr>
              <w:t>or</w:t>
            </w:r>
            <w:r w:rsidR="00F96B2F" w:rsidRPr="00E96E9F">
              <w:rPr>
                <w:rFonts w:eastAsia="Arial Narrow" w:cs="Arial Narrow"/>
                <w:color w:val="000000" w:themeColor="text1"/>
              </w:rPr>
              <w:t xml:space="preserve"> </w:t>
            </w:r>
            <w:r w:rsidRPr="00E96E9F">
              <w:rPr>
                <w:rFonts w:eastAsia="Arial Narrow" w:cs="Arial Narrow"/>
                <w:color w:val="000000" w:themeColor="text1"/>
              </w:rPr>
              <w:t>consultant</w:t>
            </w:r>
            <w:r w:rsidR="00F96B2F" w:rsidRPr="00E96E9F">
              <w:rPr>
                <w:rFonts w:eastAsia="Arial Narrow" w:cs="Arial Narrow"/>
                <w:color w:val="000000" w:themeColor="text1"/>
              </w:rPr>
              <w:t xml:space="preserve"> </w:t>
            </w:r>
            <w:r w:rsidRPr="00E96E9F">
              <w:rPr>
                <w:rFonts w:eastAsia="Arial Narrow" w:cs="Arial Narrow"/>
                <w:color w:val="000000" w:themeColor="text1"/>
              </w:rPr>
              <w:t>physician</w:t>
            </w:r>
            <w:r w:rsidR="00F96B2F" w:rsidRPr="00E96E9F">
              <w:rPr>
                <w:rFonts w:eastAsia="Arial Narrow" w:cs="Arial Narrow"/>
                <w:color w:val="000000" w:themeColor="text1"/>
              </w:rPr>
              <w:t xml:space="preserve"> </w:t>
            </w:r>
            <w:r w:rsidRPr="00E96E9F">
              <w:rPr>
                <w:rFonts w:eastAsia="Arial Narrow" w:cs="Arial Narrow"/>
                <w:color w:val="000000" w:themeColor="text1"/>
              </w:rPr>
              <w:t>in</w:t>
            </w:r>
            <w:r w:rsidR="00F96B2F" w:rsidRPr="00E96E9F">
              <w:rPr>
                <w:rFonts w:eastAsia="Arial Narrow" w:cs="Arial Narrow"/>
                <w:color w:val="000000" w:themeColor="text1"/>
              </w:rPr>
              <w:t xml:space="preserve"> </w:t>
            </w:r>
            <w:r w:rsidRPr="00E96E9F">
              <w:rPr>
                <w:rFonts w:eastAsia="Arial Narrow" w:cs="Arial Narrow"/>
                <w:color w:val="000000" w:themeColor="text1"/>
              </w:rPr>
              <w:t>paediatric</w:t>
            </w:r>
            <w:r w:rsidR="00F96B2F" w:rsidRPr="00E96E9F">
              <w:rPr>
                <w:rFonts w:eastAsia="Arial Narrow" w:cs="Arial Narrow"/>
                <w:color w:val="000000" w:themeColor="text1"/>
              </w:rPr>
              <w:t xml:space="preserve"> </w:t>
            </w:r>
            <w:r w:rsidRPr="00E96E9F">
              <w:rPr>
                <w:rFonts w:eastAsia="Arial Narrow" w:cs="Arial Narrow"/>
                <w:color w:val="000000" w:themeColor="text1"/>
              </w:rPr>
              <w:t>endocrinology.</w:t>
            </w:r>
          </w:p>
        </w:tc>
      </w:tr>
      <w:tr w:rsidR="00811E0E" w:rsidRPr="00E96E9F" w14:paraId="037AD157" w14:textId="77777777" w:rsidTr="00CF047E">
        <w:trPr>
          <w:trHeight w:val="300"/>
        </w:trPr>
        <w:tc>
          <w:tcPr>
            <w:tcW w:w="2199" w:type="dxa"/>
            <w:tcBorders>
              <w:top w:val="single" w:sz="4" w:space="0" w:color="auto"/>
              <w:left w:val="single" w:sz="4" w:space="0" w:color="auto"/>
              <w:bottom w:val="single" w:sz="4" w:space="0" w:color="auto"/>
              <w:right w:val="single" w:sz="4" w:space="0" w:color="auto"/>
            </w:tcBorders>
          </w:tcPr>
          <w:p w14:paraId="715C0EF6" w14:textId="3C098351" w:rsidR="00811E0E" w:rsidRPr="00E96E9F" w:rsidRDefault="00811E0E" w:rsidP="00CF047E">
            <w:pPr>
              <w:pStyle w:val="Tabletext"/>
            </w:pPr>
            <w:r w:rsidRPr="00E96E9F">
              <w:lastRenderedPageBreak/>
              <w:t>Clinical</w:t>
            </w:r>
            <w:r w:rsidR="00F96B2F" w:rsidRPr="00E96E9F">
              <w:t xml:space="preserve"> </w:t>
            </w:r>
            <w:r w:rsidRPr="00E96E9F">
              <w:t>criteria:</w:t>
            </w:r>
          </w:p>
        </w:tc>
        <w:tc>
          <w:tcPr>
            <w:tcW w:w="6786" w:type="dxa"/>
            <w:tcBorders>
              <w:top w:val="single" w:sz="4" w:space="0" w:color="auto"/>
              <w:left w:val="single" w:sz="4" w:space="0" w:color="auto"/>
              <w:bottom w:val="single" w:sz="4" w:space="0" w:color="auto"/>
              <w:right w:val="single" w:sz="4" w:space="0" w:color="auto"/>
            </w:tcBorders>
          </w:tcPr>
          <w:p w14:paraId="00911F0B" w14:textId="77777777" w:rsidR="00E5129A" w:rsidRPr="00E96E9F" w:rsidRDefault="688E0062" w:rsidP="00CF047E">
            <w:pPr>
              <w:pStyle w:val="TableText0"/>
            </w:pPr>
            <w:r w:rsidRPr="00E96E9F">
              <w:t>Patient</w:t>
            </w:r>
            <w:r w:rsidR="00F96B2F" w:rsidRPr="00E96E9F">
              <w:t xml:space="preserve"> </w:t>
            </w:r>
            <w:r w:rsidRPr="00E96E9F">
              <w:t>must</w:t>
            </w:r>
            <w:r w:rsidR="00F96B2F" w:rsidRPr="00E96E9F">
              <w:t xml:space="preserve"> </w:t>
            </w:r>
            <w:r w:rsidRPr="00E96E9F">
              <w:t>have</w:t>
            </w:r>
            <w:r w:rsidR="00F96B2F" w:rsidRPr="00E96E9F">
              <w:t xml:space="preserve"> </w:t>
            </w:r>
            <w:r w:rsidRPr="00E96E9F">
              <w:t>previously</w:t>
            </w:r>
            <w:r w:rsidR="00F96B2F" w:rsidRPr="00E96E9F">
              <w:t xml:space="preserve"> </w:t>
            </w:r>
            <w:r w:rsidRPr="00E96E9F">
              <w:t>received</w:t>
            </w:r>
            <w:r w:rsidR="00F96B2F" w:rsidRPr="00E96E9F">
              <w:t xml:space="preserve"> </w:t>
            </w:r>
            <w:r w:rsidRPr="00E96E9F">
              <w:t>treatment</w:t>
            </w:r>
            <w:r w:rsidR="00F96B2F" w:rsidRPr="00E96E9F">
              <w:t xml:space="preserve"> </w:t>
            </w:r>
            <w:r w:rsidRPr="00E96E9F">
              <w:t>under</w:t>
            </w:r>
            <w:r w:rsidR="00F96B2F" w:rsidRPr="00E96E9F">
              <w:t xml:space="preserve"> </w:t>
            </w:r>
            <w:r w:rsidRPr="00E96E9F">
              <w:t>the</w:t>
            </w:r>
            <w:r w:rsidR="00F96B2F" w:rsidRPr="00E96E9F">
              <w:t xml:space="preserve"> </w:t>
            </w:r>
            <w:r w:rsidRPr="00E96E9F">
              <w:t>PBS</w:t>
            </w:r>
            <w:r w:rsidR="00F96B2F" w:rsidRPr="00E96E9F">
              <w:t xml:space="preserve"> </w:t>
            </w:r>
            <w:r w:rsidRPr="00E96E9F">
              <w:t>S100</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Program</w:t>
            </w:r>
            <w:r w:rsidR="00F96B2F" w:rsidRPr="00E96E9F">
              <w:t xml:space="preserve"> </w:t>
            </w:r>
            <w:r w:rsidRPr="00E96E9F">
              <w:t>under</w:t>
            </w:r>
            <w:r w:rsidR="00F96B2F" w:rsidRPr="00E96E9F">
              <w:t xml:space="preserve"> </w:t>
            </w:r>
            <w:r w:rsidRPr="00E96E9F">
              <w:t>the</w:t>
            </w:r>
            <w:r w:rsidR="00F96B2F" w:rsidRPr="00E96E9F">
              <w:t xml:space="preserve"> </w:t>
            </w:r>
            <w:r w:rsidRPr="00E96E9F">
              <w:t>short</w:t>
            </w:r>
            <w:r w:rsidR="00F96B2F" w:rsidRPr="00E96E9F">
              <w:t xml:space="preserve"> </w:t>
            </w:r>
            <w:r w:rsidRPr="00E96E9F">
              <w:t>stature</w:t>
            </w:r>
            <w:r w:rsidR="00F96B2F" w:rsidRPr="00E96E9F">
              <w:t xml:space="preserve"> </w:t>
            </w:r>
            <w:r w:rsidRPr="00E96E9F">
              <w:t>associated</w:t>
            </w:r>
            <w:r w:rsidR="00F96B2F" w:rsidRPr="00E96E9F">
              <w:t xml:space="preserve"> </w:t>
            </w:r>
            <w:r w:rsidRPr="00E96E9F">
              <w:t>with</w:t>
            </w:r>
            <w:r w:rsidR="00F96B2F" w:rsidRPr="00E96E9F">
              <w:t xml:space="preserve"> </w:t>
            </w:r>
            <w:r w:rsidRPr="00E96E9F">
              <w:t>biochemical</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deficiency</w:t>
            </w:r>
            <w:r w:rsidR="00F96B2F" w:rsidRPr="00E96E9F">
              <w:t xml:space="preserve"> </w:t>
            </w:r>
            <w:proofErr w:type="gramStart"/>
            <w:r w:rsidRPr="00E96E9F">
              <w:t>category;</w:t>
            </w:r>
            <w:proofErr w:type="gramEnd"/>
          </w:p>
          <w:p w14:paraId="1DDC7865" w14:textId="3ECE048B" w:rsidR="00811E0E" w:rsidRPr="00E96E9F" w:rsidRDefault="00811E0E" w:rsidP="00CF047E">
            <w:pPr>
              <w:pStyle w:val="TableText0"/>
            </w:pPr>
            <w:r w:rsidRPr="00E96E9F">
              <w:t>AND</w:t>
            </w:r>
          </w:p>
          <w:p w14:paraId="6B81A105" w14:textId="2220BA19" w:rsidR="00811E0E" w:rsidRPr="00E96E9F" w:rsidRDefault="00811E0E" w:rsidP="00CF047E">
            <w:pPr>
              <w:pStyle w:val="TableText0"/>
            </w:pPr>
            <w:r w:rsidRPr="00E96E9F">
              <w:t>Patient</w:t>
            </w:r>
            <w:r w:rsidR="00F96B2F" w:rsidRPr="00E96E9F">
              <w:t xml:space="preserve"> </w:t>
            </w:r>
            <w:r w:rsidRPr="00E96E9F">
              <w:t>must</w:t>
            </w:r>
            <w:r w:rsidR="00F96B2F" w:rsidRPr="00E96E9F">
              <w:t xml:space="preserve"> </w:t>
            </w:r>
            <w:r w:rsidRPr="00E96E9F">
              <w:t>have</w:t>
            </w:r>
            <w:r w:rsidR="00F96B2F" w:rsidRPr="00E96E9F">
              <w:t xml:space="preserve"> </w:t>
            </w:r>
            <w:r w:rsidRPr="00E96E9F">
              <w:t>achieved</w:t>
            </w:r>
            <w:r w:rsidR="00F96B2F" w:rsidRPr="00E96E9F">
              <w:t xml:space="preserve"> </w:t>
            </w:r>
            <w:r w:rsidRPr="00E96E9F">
              <w:t>the</w:t>
            </w:r>
            <w:r w:rsidR="00F96B2F" w:rsidRPr="00E96E9F">
              <w:t xml:space="preserve"> </w:t>
            </w:r>
            <w:r w:rsidRPr="00E96E9F">
              <w:t>50th</w:t>
            </w:r>
            <w:r w:rsidR="00F96B2F" w:rsidRPr="00E96E9F">
              <w:t xml:space="preserve"> </w:t>
            </w:r>
            <w:r w:rsidRPr="00E96E9F">
              <w:t>percentile</w:t>
            </w:r>
            <w:r w:rsidR="00F96B2F" w:rsidRPr="00E96E9F">
              <w:t xml:space="preserve"> </w:t>
            </w:r>
            <w:r w:rsidRPr="00E96E9F">
              <w:t>growth</w:t>
            </w:r>
            <w:r w:rsidR="00F96B2F" w:rsidRPr="00E96E9F">
              <w:t xml:space="preserve"> </w:t>
            </w:r>
            <w:r w:rsidRPr="00E96E9F">
              <w:t>velocity</w:t>
            </w:r>
            <w:r w:rsidR="00F96B2F" w:rsidRPr="00E96E9F">
              <w:t xml:space="preserve"> </w:t>
            </w:r>
            <w:r w:rsidRPr="00E96E9F">
              <w:t>for</w:t>
            </w:r>
            <w:r w:rsidR="00F96B2F" w:rsidRPr="00E96E9F">
              <w:t xml:space="preserve"> </w:t>
            </w:r>
            <w:r w:rsidRPr="00E96E9F">
              <w:t>bone</w:t>
            </w:r>
            <w:r w:rsidR="00F96B2F" w:rsidRPr="00E96E9F">
              <w:t xml:space="preserve"> </w:t>
            </w:r>
            <w:r w:rsidRPr="00E96E9F">
              <w:t>age</w:t>
            </w:r>
            <w:r w:rsidR="00F96B2F" w:rsidRPr="00E96E9F">
              <w:t xml:space="preserve"> </w:t>
            </w:r>
            <w:r w:rsidRPr="00E96E9F">
              <w:t>and</w:t>
            </w:r>
            <w:r w:rsidR="00F96B2F" w:rsidRPr="00E96E9F">
              <w:t xml:space="preserve"> </w:t>
            </w:r>
            <w:r w:rsidRPr="00E96E9F">
              <w:t>sex</w:t>
            </w:r>
            <w:r w:rsidR="00F96B2F" w:rsidRPr="00E96E9F">
              <w:t xml:space="preserve"> </w:t>
            </w:r>
            <w:r w:rsidRPr="00E96E9F">
              <w:t>for</w:t>
            </w:r>
            <w:r w:rsidR="00F96B2F" w:rsidRPr="00E96E9F">
              <w:t xml:space="preserve"> </w:t>
            </w:r>
            <w:r w:rsidRPr="00E96E9F">
              <w:t>the</w:t>
            </w:r>
            <w:r w:rsidR="00F96B2F" w:rsidRPr="00E96E9F">
              <w:t xml:space="preserve"> </w:t>
            </w:r>
            <w:r w:rsidRPr="00E96E9F">
              <w:t>most</w:t>
            </w:r>
            <w:r w:rsidR="00F96B2F" w:rsidRPr="00E96E9F">
              <w:t xml:space="preserve"> </w:t>
            </w:r>
            <w:r w:rsidRPr="00E96E9F">
              <w:t>recent</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(32</w:t>
            </w:r>
            <w:r w:rsidR="00F96B2F" w:rsidRPr="00E96E9F">
              <w:t xml:space="preserve"> </w:t>
            </w:r>
            <w:r w:rsidRPr="00E96E9F">
              <w:t>weeks</w:t>
            </w:r>
            <w:r w:rsidR="00F96B2F" w:rsidRPr="00E96E9F">
              <w:t xml:space="preserve"> </w:t>
            </w:r>
            <w:r w:rsidRPr="00E96E9F">
              <w:t>for</w:t>
            </w:r>
            <w:r w:rsidR="00F96B2F" w:rsidRPr="00E96E9F">
              <w:t xml:space="preserve"> </w:t>
            </w:r>
            <w:r w:rsidRPr="00E96E9F">
              <w:t>an</w:t>
            </w:r>
            <w:r w:rsidR="00F96B2F" w:rsidRPr="00E96E9F">
              <w:t xml:space="preserve"> </w:t>
            </w:r>
            <w:r w:rsidRPr="00E96E9F">
              <w:t>initial</w:t>
            </w:r>
            <w:r w:rsidR="00F96B2F" w:rsidRPr="00E96E9F">
              <w:t xml:space="preserve"> </w:t>
            </w:r>
            <w:r w:rsidRPr="00E96E9F">
              <w:t>or</w:t>
            </w:r>
            <w:r w:rsidR="00F96B2F" w:rsidRPr="00E96E9F">
              <w:t xml:space="preserve"> </w:t>
            </w:r>
            <w:r w:rsidRPr="00E96E9F">
              <w:t>recommencement</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and</w:t>
            </w:r>
            <w:r w:rsidR="00F96B2F" w:rsidRPr="00E96E9F">
              <w:t xml:space="preserve"> </w:t>
            </w:r>
            <w:r w:rsidRPr="00E96E9F">
              <w:t>26</w:t>
            </w:r>
            <w:r w:rsidR="00F96B2F" w:rsidRPr="00E96E9F">
              <w:t xml:space="preserve"> </w:t>
            </w:r>
            <w:r w:rsidRPr="00E96E9F">
              <w:t>weeks</w:t>
            </w:r>
            <w:r w:rsidR="00F96B2F" w:rsidRPr="00E96E9F">
              <w:t xml:space="preserve"> </w:t>
            </w:r>
            <w:r w:rsidRPr="00E96E9F">
              <w:t>for</w:t>
            </w:r>
            <w:r w:rsidR="00F96B2F" w:rsidRPr="00E96E9F">
              <w:t xml:space="preserve"> </w:t>
            </w:r>
            <w:r w:rsidRPr="00E96E9F">
              <w:t>a</w:t>
            </w:r>
            <w:r w:rsidR="00F96B2F" w:rsidRPr="00E96E9F">
              <w:t xml:space="preserve"> </w:t>
            </w:r>
            <w:r w:rsidRPr="00E96E9F">
              <w:t>continuing</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whichever</w:t>
            </w:r>
            <w:r w:rsidR="00F96B2F" w:rsidRPr="00E96E9F">
              <w:t xml:space="preserve"> </w:t>
            </w:r>
            <w:r w:rsidRPr="00E96E9F">
              <w:t>applies</w:t>
            </w:r>
            <w:proofErr w:type="gramStart"/>
            <w:r w:rsidRPr="00E96E9F">
              <w:t>);</w:t>
            </w:r>
            <w:proofErr w:type="gramEnd"/>
          </w:p>
          <w:p w14:paraId="48CA40C0" w14:textId="77777777" w:rsidR="00811E0E" w:rsidRPr="00E96E9F" w:rsidRDefault="00811E0E" w:rsidP="00CF047E">
            <w:pPr>
              <w:pStyle w:val="TableText0"/>
            </w:pPr>
            <w:r w:rsidRPr="00E96E9F">
              <w:t>OR</w:t>
            </w:r>
          </w:p>
          <w:p w14:paraId="49BBB6CF" w14:textId="2F700241" w:rsidR="00811E0E" w:rsidRPr="00E96E9F" w:rsidRDefault="00811E0E" w:rsidP="00CF047E">
            <w:pPr>
              <w:pStyle w:val="TableText0"/>
            </w:pPr>
            <w:r w:rsidRPr="00E96E9F">
              <w:t>Patient</w:t>
            </w:r>
            <w:r w:rsidR="00F96B2F" w:rsidRPr="00E96E9F">
              <w:t xml:space="preserve"> </w:t>
            </w:r>
            <w:r w:rsidRPr="00E96E9F">
              <w:t>must</w:t>
            </w:r>
            <w:r w:rsidR="00F96B2F" w:rsidRPr="00E96E9F">
              <w:t xml:space="preserve"> </w:t>
            </w:r>
            <w:r w:rsidRPr="00E96E9F">
              <w:t>have</w:t>
            </w:r>
            <w:r w:rsidR="00F96B2F" w:rsidRPr="00E96E9F">
              <w:t xml:space="preserve"> </w:t>
            </w:r>
            <w:r w:rsidRPr="00E96E9F">
              <w:t>achieved</w:t>
            </w:r>
            <w:r w:rsidR="00F96B2F" w:rsidRPr="00E96E9F">
              <w:t xml:space="preserve"> </w:t>
            </w:r>
            <w:r w:rsidRPr="00E96E9F">
              <w:t>an</w:t>
            </w:r>
            <w:r w:rsidR="00F96B2F" w:rsidRPr="00E96E9F">
              <w:t xml:space="preserve"> </w:t>
            </w:r>
            <w:r w:rsidRPr="00E96E9F">
              <w:t>increase</w:t>
            </w:r>
            <w:r w:rsidR="00F96B2F" w:rsidRPr="00E96E9F">
              <w:t xml:space="preserve"> </w:t>
            </w:r>
            <w:r w:rsidRPr="00E96E9F">
              <w:t>in</w:t>
            </w:r>
            <w:r w:rsidR="00F96B2F" w:rsidRPr="00E96E9F">
              <w:t xml:space="preserve"> </w:t>
            </w:r>
            <w:r w:rsidRPr="00E96E9F">
              <w:t>height</w:t>
            </w:r>
            <w:r w:rsidR="00F96B2F" w:rsidRPr="00E96E9F">
              <w:t xml:space="preserve"> </w:t>
            </w:r>
            <w:r w:rsidRPr="00E96E9F">
              <w:t>standard</w:t>
            </w:r>
            <w:r w:rsidR="00F96B2F" w:rsidRPr="00E96E9F">
              <w:t xml:space="preserve"> </w:t>
            </w:r>
            <w:r w:rsidRPr="00E96E9F">
              <w:t>deviation</w:t>
            </w:r>
            <w:r w:rsidR="00F96B2F" w:rsidRPr="00E96E9F">
              <w:t xml:space="preserve"> </w:t>
            </w:r>
            <w:r w:rsidRPr="00E96E9F">
              <w:t>score</w:t>
            </w:r>
            <w:r w:rsidR="00F96B2F" w:rsidRPr="00E96E9F">
              <w:t xml:space="preserve"> </w:t>
            </w:r>
            <w:r w:rsidRPr="00E96E9F">
              <w:t>for</w:t>
            </w:r>
            <w:r w:rsidR="00F96B2F" w:rsidRPr="00E96E9F">
              <w:t xml:space="preserve"> </w:t>
            </w:r>
            <w:r w:rsidRPr="00E96E9F">
              <w:t>chronological</w:t>
            </w:r>
            <w:r w:rsidR="00F96B2F" w:rsidRPr="00E96E9F">
              <w:t xml:space="preserve"> </w:t>
            </w:r>
            <w:r w:rsidRPr="00E96E9F">
              <w:t>age</w:t>
            </w:r>
            <w:r w:rsidR="00F96B2F" w:rsidRPr="00E96E9F">
              <w:t xml:space="preserve"> </w:t>
            </w:r>
            <w:r w:rsidRPr="00E96E9F">
              <w:t>and</w:t>
            </w:r>
            <w:r w:rsidR="00F96B2F" w:rsidRPr="00E96E9F">
              <w:t xml:space="preserve"> </w:t>
            </w:r>
            <w:r w:rsidRPr="00E96E9F">
              <w:t>sex</w:t>
            </w:r>
            <w:r w:rsidR="00F96B2F" w:rsidRPr="00E96E9F">
              <w:t xml:space="preserve"> </w:t>
            </w:r>
            <w:r w:rsidRPr="00E96E9F">
              <w:t>for</w:t>
            </w:r>
            <w:r w:rsidR="00F96B2F" w:rsidRPr="00E96E9F">
              <w:t xml:space="preserve"> </w:t>
            </w:r>
            <w:r w:rsidRPr="00E96E9F">
              <w:t>the</w:t>
            </w:r>
            <w:r w:rsidR="00F96B2F" w:rsidRPr="00E96E9F">
              <w:t xml:space="preserve"> </w:t>
            </w:r>
            <w:r w:rsidRPr="00E96E9F">
              <w:t>most</w:t>
            </w:r>
            <w:r w:rsidR="00F96B2F" w:rsidRPr="00E96E9F">
              <w:t xml:space="preserve"> </w:t>
            </w:r>
            <w:r w:rsidRPr="00E96E9F">
              <w:t>recent</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(32</w:t>
            </w:r>
            <w:r w:rsidR="00F96B2F" w:rsidRPr="00E96E9F">
              <w:t xml:space="preserve"> </w:t>
            </w:r>
            <w:r w:rsidRPr="00E96E9F">
              <w:t>weeks</w:t>
            </w:r>
            <w:r w:rsidR="00F96B2F" w:rsidRPr="00E96E9F">
              <w:t xml:space="preserve"> </w:t>
            </w:r>
            <w:r w:rsidRPr="00E96E9F">
              <w:t>for</w:t>
            </w:r>
            <w:r w:rsidR="00F96B2F" w:rsidRPr="00E96E9F">
              <w:t xml:space="preserve"> </w:t>
            </w:r>
            <w:r w:rsidRPr="00E96E9F">
              <w:t>an</w:t>
            </w:r>
            <w:r w:rsidR="00F96B2F" w:rsidRPr="00E96E9F">
              <w:t xml:space="preserve"> </w:t>
            </w:r>
            <w:r w:rsidRPr="00E96E9F">
              <w:t>initial</w:t>
            </w:r>
            <w:r w:rsidR="00F96B2F" w:rsidRPr="00E96E9F">
              <w:t xml:space="preserve"> </w:t>
            </w:r>
            <w:r w:rsidRPr="00E96E9F">
              <w:t>or</w:t>
            </w:r>
            <w:r w:rsidR="00F96B2F" w:rsidRPr="00E96E9F">
              <w:t xml:space="preserve"> </w:t>
            </w:r>
            <w:r w:rsidRPr="00E96E9F">
              <w:t>recommencement</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and</w:t>
            </w:r>
            <w:r w:rsidR="00F96B2F" w:rsidRPr="00E96E9F">
              <w:t xml:space="preserve"> </w:t>
            </w:r>
            <w:r w:rsidRPr="00E96E9F">
              <w:t>26</w:t>
            </w:r>
            <w:r w:rsidR="00F96B2F" w:rsidRPr="00E96E9F">
              <w:t xml:space="preserve"> </w:t>
            </w:r>
            <w:r w:rsidRPr="00E96E9F">
              <w:t>weeks</w:t>
            </w:r>
            <w:r w:rsidR="00F96B2F" w:rsidRPr="00E96E9F">
              <w:t xml:space="preserve"> </w:t>
            </w:r>
            <w:r w:rsidRPr="00E96E9F">
              <w:t>for</w:t>
            </w:r>
            <w:r w:rsidR="00F96B2F" w:rsidRPr="00E96E9F">
              <w:t xml:space="preserve"> </w:t>
            </w:r>
            <w:r w:rsidRPr="00E96E9F">
              <w:t>a</w:t>
            </w:r>
            <w:r w:rsidR="00F96B2F" w:rsidRPr="00E96E9F">
              <w:t xml:space="preserve"> </w:t>
            </w:r>
            <w:r w:rsidRPr="00E96E9F">
              <w:t>continuing</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whichever</w:t>
            </w:r>
            <w:r w:rsidR="00F96B2F" w:rsidRPr="00E96E9F">
              <w:t xml:space="preserve"> </w:t>
            </w:r>
            <w:r w:rsidRPr="00E96E9F">
              <w:t>applies</w:t>
            </w:r>
            <w:proofErr w:type="gramStart"/>
            <w:r w:rsidRPr="00E96E9F">
              <w:t>);</w:t>
            </w:r>
            <w:proofErr w:type="gramEnd"/>
          </w:p>
          <w:p w14:paraId="6121521D" w14:textId="77777777" w:rsidR="00811E0E" w:rsidRPr="00E96E9F" w:rsidRDefault="00811E0E" w:rsidP="00CF047E">
            <w:pPr>
              <w:pStyle w:val="TableText0"/>
            </w:pPr>
            <w:r w:rsidRPr="00E96E9F">
              <w:t>OR</w:t>
            </w:r>
          </w:p>
          <w:p w14:paraId="3C3C6F0D" w14:textId="722FAC61" w:rsidR="00811E0E" w:rsidRPr="00E96E9F" w:rsidRDefault="00811E0E" w:rsidP="00CF047E">
            <w:pPr>
              <w:pStyle w:val="TableText0"/>
            </w:pPr>
            <w:r w:rsidRPr="00E96E9F">
              <w:t>Patient</w:t>
            </w:r>
            <w:r w:rsidR="00F96B2F" w:rsidRPr="00E96E9F">
              <w:t xml:space="preserve"> </w:t>
            </w:r>
            <w:r w:rsidRPr="00E96E9F">
              <w:t>must</w:t>
            </w:r>
            <w:r w:rsidR="00F96B2F" w:rsidRPr="00E96E9F">
              <w:t xml:space="preserve"> </w:t>
            </w:r>
            <w:r w:rsidRPr="00E96E9F">
              <w:t>have</w:t>
            </w:r>
            <w:r w:rsidR="00F96B2F" w:rsidRPr="00E96E9F">
              <w:t xml:space="preserve"> </w:t>
            </w:r>
            <w:r w:rsidRPr="00E96E9F">
              <w:t>achieved</w:t>
            </w:r>
            <w:r w:rsidR="00F96B2F" w:rsidRPr="00E96E9F">
              <w:t xml:space="preserve"> </w:t>
            </w:r>
            <w:r w:rsidRPr="00E96E9F">
              <w:t>a</w:t>
            </w:r>
            <w:r w:rsidR="00F96B2F" w:rsidRPr="00E96E9F">
              <w:t xml:space="preserve"> </w:t>
            </w:r>
            <w:r w:rsidRPr="00E96E9F">
              <w:t>minimum</w:t>
            </w:r>
            <w:r w:rsidR="00F96B2F" w:rsidRPr="00E96E9F">
              <w:t xml:space="preserve"> </w:t>
            </w:r>
            <w:r w:rsidRPr="00E96E9F">
              <w:t>growth</w:t>
            </w:r>
            <w:r w:rsidR="00F96B2F" w:rsidRPr="00E96E9F">
              <w:t xml:space="preserve"> </w:t>
            </w:r>
            <w:r w:rsidRPr="00E96E9F">
              <w:t>velocity</w:t>
            </w:r>
            <w:r w:rsidR="00F96B2F" w:rsidRPr="00E96E9F">
              <w:t xml:space="preserve"> </w:t>
            </w:r>
            <w:r w:rsidRPr="00E96E9F">
              <w:t>of</w:t>
            </w:r>
            <w:r w:rsidR="00F96B2F" w:rsidRPr="00E96E9F">
              <w:t xml:space="preserve"> </w:t>
            </w:r>
            <w:r w:rsidRPr="00E96E9F">
              <w:t>4cm/year</w:t>
            </w:r>
            <w:r w:rsidR="00F96B2F" w:rsidRPr="00E96E9F">
              <w:t xml:space="preserve"> </w:t>
            </w:r>
            <w:r w:rsidRPr="00E96E9F">
              <w:t>for</w:t>
            </w:r>
            <w:r w:rsidR="00F96B2F" w:rsidRPr="00E96E9F">
              <w:t xml:space="preserve"> </w:t>
            </w:r>
            <w:r w:rsidRPr="00E96E9F">
              <w:t>the</w:t>
            </w:r>
            <w:r w:rsidR="00F96B2F" w:rsidRPr="00E96E9F">
              <w:t xml:space="preserve"> </w:t>
            </w:r>
            <w:r w:rsidRPr="00E96E9F">
              <w:t>most</w:t>
            </w:r>
            <w:r w:rsidR="00F96B2F" w:rsidRPr="00E96E9F">
              <w:t xml:space="preserve"> </w:t>
            </w:r>
            <w:r w:rsidRPr="00E96E9F">
              <w:t>recent</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(32</w:t>
            </w:r>
            <w:r w:rsidR="00F96B2F" w:rsidRPr="00E96E9F">
              <w:t xml:space="preserve"> </w:t>
            </w:r>
            <w:r w:rsidRPr="00E96E9F">
              <w:t>weeks</w:t>
            </w:r>
            <w:r w:rsidR="00F96B2F" w:rsidRPr="00E96E9F">
              <w:t xml:space="preserve"> </w:t>
            </w:r>
            <w:r w:rsidRPr="00E96E9F">
              <w:t>for</w:t>
            </w:r>
            <w:r w:rsidR="00F96B2F" w:rsidRPr="00E96E9F">
              <w:t xml:space="preserve"> </w:t>
            </w:r>
            <w:r w:rsidRPr="00E96E9F">
              <w:t>an</w:t>
            </w:r>
            <w:r w:rsidR="00F96B2F" w:rsidRPr="00E96E9F">
              <w:t xml:space="preserve"> </w:t>
            </w:r>
            <w:r w:rsidRPr="00E96E9F">
              <w:t>initial</w:t>
            </w:r>
            <w:r w:rsidR="00F96B2F" w:rsidRPr="00E96E9F">
              <w:t xml:space="preserve"> </w:t>
            </w:r>
            <w:r w:rsidRPr="00E96E9F">
              <w:t>or</w:t>
            </w:r>
            <w:r w:rsidR="00F96B2F" w:rsidRPr="00E96E9F">
              <w:t xml:space="preserve"> </w:t>
            </w:r>
            <w:r w:rsidRPr="00E96E9F">
              <w:t>recommencement</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and</w:t>
            </w:r>
            <w:r w:rsidR="00F96B2F" w:rsidRPr="00E96E9F">
              <w:t xml:space="preserve"> </w:t>
            </w:r>
            <w:r w:rsidRPr="00E96E9F">
              <w:t>26</w:t>
            </w:r>
            <w:r w:rsidR="00F96B2F" w:rsidRPr="00E96E9F">
              <w:t xml:space="preserve"> </w:t>
            </w:r>
            <w:r w:rsidRPr="00E96E9F">
              <w:t>weeks</w:t>
            </w:r>
            <w:r w:rsidR="00F96B2F" w:rsidRPr="00E96E9F">
              <w:t xml:space="preserve"> </w:t>
            </w:r>
            <w:r w:rsidRPr="00E96E9F">
              <w:t>for</w:t>
            </w:r>
            <w:r w:rsidR="00F96B2F" w:rsidRPr="00E96E9F">
              <w:t xml:space="preserve"> </w:t>
            </w:r>
            <w:r w:rsidRPr="00E96E9F">
              <w:t>a</w:t>
            </w:r>
            <w:r w:rsidR="00F96B2F" w:rsidRPr="00E96E9F">
              <w:t xml:space="preserve"> </w:t>
            </w:r>
            <w:r w:rsidRPr="00E96E9F">
              <w:t>continuing</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whichever</w:t>
            </w:r>
            <w:r w:rsidR="00F96B2F" w:rsidRPr="00E96E9F">
              <w:t xml:space="preserve"> </w:t>
            </w:r>
            <w:r w:rsidRPr="00E96E9F">
              <w:t>applies</w:t>
            </w:r>
            <w:proofErr w:type="gramStart"/>
            <w:r w:rsidRPr="00E96E9F">
              <w:t>);</w:t>
            </w:r>
            <w:proofErr w:type="gramEnd"/>
          </w:p>
          <w:p w14:paraId="14D85EA6" w14:textId="77777777" w:rsidR="00811E0E" w:rsidRPr="00E96E9F" w:rsidRDefault="00811E0E" w:rsidP="00CF047E">
            <w:pPr>
              <w:pStyle w:val="TableText0"/>
            </w:pPr>
            <w:r w:rsidRPr="00E96E9F">
              <w:t>OR</w:t>
            </w:r>
          </w:p>
          <w:p w14:paraId="3B08C550" w14:textId="5C45DD53" w:rsidR="00811E0E" w:rsidRPr="00E96E9F" w:rsidRDefault="00811E0E" w:rsidP="00CF047E">
            <w:pPr>
              <w:pStyle w:val="TableText0"/>
            </w:pPr>
            <w:r w:rsidRPr="00E96E9F">
              <w:t>Patient</w:t>
            </w:r>
            <w:r w:rsidR="00F96B2F" w:rsidRPr="00E96E9F">
              <w:t xml:space="preserve"> </w:t>
            </w:r>
            <w:r w:rsidRPr="00E96E9F">
              <w:t>must</w:t>
            </w:r>
            <w:r w:rsidR="00F96B2F" w:rsidRPr="00E96E9F">
              <w:t xml:space="preserve"> </w:t>
            </w:r>
            <w:r w:rsidRPr="00E96E9F">
              <w:t>have</w:t>
            </w:r>
            <w:r w:rsidR="00F96B2F" w:rsidRPr="00E96E9F">
              <w:t xml:space="preserve"> </w:t>
            </w:r>
            <w:r w:rsidRPr="00E96E9F">
              <w:t>achieved</w:t>
            </w:r>
            <w:r w:rsidR="00F96B2F" w:rsidRPr="00E96E9F">
              <w:t xml:space="preserve"> </w:t>
            </w:r>
            <w:r w:rsidRPr="00E96E9F">
              <w:t>and</w:t>
            </w:r>
            <w:r w:rsidR="00F96B2F" w:rsidRPr="00E96E9F">
              <w:t xml:space="preserve"> </w:t>
            </w:r>
            <w:r w:rsidRPr="00E96E9F">
              <w:t>maintained</w:t>
            </w:r>
            <w:r w:rsidR="00F96B2F" w:rsidRPr="00E96E9F">
              <w:t xml:space="preserve"> </w:t>
            </w:r>
            <w:r w:rsidRPr="00E96E9F">
              <w:t>mid</w:t>
            </w:r>
            <w:r w:rsidR="00F96B2F" w:rsidRPr="00E96E9F">
              <w:t xml:space="preserve"> </w:t>
            </w:r>
            <w:r w:rsidRPr="00E96E9F">
              <w:t>parental</w:t>
            </w:r>
            <w:r w:rsidR="00F96B2F" w:rsidRPr="00E96E9F">
              <w:t xml:space="preserve"> </w:t>
            </w:r>
            <w:r w:rsidRPr="00E96E9F">
              <w:t>height</w:t>
            </w:r>
            <w:r w:rsidR="00F96B2F" w:rsidRPr="00E96E9F">
              <w:t xml:space="preserve"> </w:t>
            </w:r>
            <w:r w:rsidRPr="00E96E9F">
              <w:t>standard</w:t>
            </w:r>
            <w:r w:rsidR="00F96B2F" w:rsidRPr="00E96E9F">
              <w:t xml:space="preserve"> </w:t>
            </w:r>
            <w:r w:rsidRPr="00E96E9F">
              <w:t>deviation</w:t>
            </w:r>
            <w:r w:rsidR="00F96B2F" w:rsidRPr="00E96E9F">
              <w:t xml:space="preserve"> </w:t>
            </w:r>
            <w:r w:rsidRPr="00E96E9F">
              <w:t>score</w:t>
            </w:r>
            <w:r w:rsidR="00F96B2F" w:rsidRPr="00E96E9F">
              <w:t xml:space="preserve"> </w:t>
            </w:r>
            <w:r w:rsidRPr="00E96E9F">
              <w:t>for</w:t>
            </w:r>
            <w:r w:rsidR="00F96B2F" w:rsidRPr="00E96E9F">
              <w:t xml:space="preserve"> </w:t>
            </w:r>
            <w:r w:rsidRPr="00E96E9F">
              <w:t>the</w:t>
            </w:r>
            <w:r w:rsidR="00F96B2F" w:rsidRPr="00E96E9F">
              <w:t xml:space="preserve"> </w:t>
            </w:r>
            <w:r w:rsidRPr="00E96E9F">
              <w:t>most</w:t>
            </w:r>
            <w:r w:rsidR="00F96B2F" w:rsidRPr="00E96E9F">
              <w:t xml:space="preserve"> </w:t>
            </w:r>
            <w:r w:rsidRPr="00E96E9F">
              <w:t>recent</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(32</w:t>
            </w:r>
            <w:r w:rsidR="00F96B2F" w:rsidRPr="00E96E9F">
              <w:t xml:space="preserve"> </w:t>
            </w:r>
            <w:r w:rsidRPr="00E96E9F">
              <w:t>weeks</w:t>
            </w:r>
            <w:r w:rsidR="00F96B2F" w:rsidRPr="00E96E9F">
              <w:t xml:space="preserve"> </w:t>
            </w:r>
            <w:r w:rsidRPr="00E96E9F">
              <w:t>for</w:t>
            </w:r>
            <w:r w:rsidR="00F96B2F" w:rsidRPr="00E96E9F">
              <w:t xml:space="preserve"> </w:t>
            </w:r>
            <w:r w:rsidRPr="00E96E9F">
              <w:t>an</w:t>
            </w:r>
            <w:r w:rsidR="00F96B2F" w:rsidRPr="00E96E9F">
              <w:t xml:space="preserve"> </w:t>
            </w:r>
            <w:r w:rsidRPr="00E96E9F">
              <w:t>initial</w:t>
            </w:r>
            <w:r w:rsidR="00F96B2F" w:rsidRPr="00E96E9F">
              <w:t xml:space="preserve"> </w:t>
            </w:r>
            <w:r w:rsidRPr="00E96E9F">
              <w:t>or</w:t>
            </w:r>
            <w:r w:rsidR="00F96B2F" w:rsidRPr="00E96E9F">
              <w:t xml:space="preserve"> </w:t>
            </w:r>
            <w:r w:rsidRPr="00E96E9F">
              <w:t>recommencement</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and</w:t>
            </w:r>
            <w:r w:rsidR="00F96B2F" w:rsidRPr="00E96E9F">
              <w:t xml:space="preserve"> </w:t>
            </w:r>
            <w:r w:rsidRPr="00E96E9F">
              <w:t>26</w:t>
            </w:r>
            <w:r w:rsidR="00F96B2F" w:rsidRPr="00E96E9F">
              <w:t xml:space="preserve"> </w:t>
            </w:r>
            <w:r w:rsidRPr="00E96E9F">
              <w:t>weeks</w:t>
            </w:r>
            <w:r w:rsidR="00F96B2F" w:rsidRPr="00E96E9F">
              <w:t xml:space="preserve"> </w:t>
            </w:r>
            <w:r w:rsidRPr="00E96E9F">
              <w:t>for</w:t>
            </w:r>
            <w:r w:rsidR="00F96B2F" w:rsidRPr="00E96E9F">
              <w:t xml:space="preserve"> </w:t>
            </w:r>
            <w:r w:rsidRPr="00E96E9F">
              <w:t>a</w:t>
            </w:r>
            <w:r w:rsidR="00F96B2F" w:rsidRPr="00E96E9F">
              <w:t xml:space="preserve"> </w:t>
            </w:r>
            <w:r w:rsidRPr="00E96E9F">
              <w:t>continuing</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whichever</w:t>
            </w:r>
            <w:r w:rsidR="00F96B2F" w:rsidRPr="00E96E9F">
              <w:t xml:space="preserve"> </w:t>
            </w:r>
            <w:r w:rsidRPr="00E96E9F">
              <w:t>applies</w:t>
            </w:r>
            <w:proofErr w:type="gramStart"/>
            <w:r w:rsidRPr="00E96E9F">
              <w:t>);</w:t>
            </w:r>
            <w:proofErr w:type="gramEnd"/>
          </w:p>
          <w:p w14:paraId="3041B1B6" w14:textId="77777777" w:rsidR="00811E0E" w:rsidRPr="00E96E9F" w:rsidRDefault="00811E0E" w:rsidP="00CF047E">
            <w:pPr>
              <w:pStyle w:val="TableText0"/>
            </w:pPr>
            <w:r w:rsidRPr="00E96E9F">
              <w:t>AND</w:t>
            </w:r>
          </w:p>
          <w:p w14:paraId="2D3442BA" w14:textId="42C35332" w:rsidR="00811E0E" w:rsidRPr="00E96E9F" w:rsidRDefault="00811E0E" w:rsidP="00CF047E">
            <w:pPr>
              <w:pStyle w:val="TableText0"/>
            </w:pPr>
            <w:r w:rsidRPr="00E96E9F">
              <w:t>Patient</w:t>
            </w:r>
            <w:r w:rsidR="00F96B2F" w:rsidRPr="00E96E9F">
              <w:t xml:space="preserve"> </w:t>
            </w:r>
            <w:r w:rsidRPr="00E96E9F">
              <w:t>must</w:t>
            </w:r>
            <w:r w:rsidR="00F96B2F" w:rsidRPr="00E96E9F">
              <w:t xml:space="preserve"> </w:t>
            </w:r>
            <w:r w:rsidRPr="00E96E9F">
              <w:t>be</w:t>
            </w:r>
            <w:r w:rsidR="00F96B2F" w:rsidRPr="00E96E9F">
              <w:t xml:space="preserve"> </w:t>
            </w:r>
            <w:r w:rsidRPr="00E96E9F">
              <w:t>male</w:t>
            </w:r>
            <w:r w:rsidR="00F96B2F" w:rsidRPr="00E96E9F">
              <w:t xml:space="preserve"> </w:t>
            </w:r>
            <w:r w:rsidRPr="00E96E9F">
              <w:t>and</w:t>
            </w:r>
            <w:r w:rsidR="00F96B2F" w:rsidRPr="00E96E9F">
              <w:t xml:space="preserve"> </w:t>
            </w:r>
            <w:r w:rsidRPr="00E96E9F">
              <w:t>must</w:t>
            </w:r>
            <w:r w:rsidR="00F96B2F" w:rsidRPr="00E96E9F">
              <w:t xml:space="preserve"> </w:t>
            </w:r>
            <w:r w:rsidRPr="00E96E9F">
              <w:t>not</w:t>
            </w:r>
            <w:r w:rsidR="00F96B2F" w:rsidRPr="00E96E9F">
              <w:t xml:space="preserve"> </w:t>
            </w:r>
            <w:r w:rsidRPr="00E96E9F">
              <w:t>have</w:t>
            </w:r>
            <w:r w:rsidR="00F96B2F" w:rsidRPr="00E96E9F">
              <w:t xml:space="preserve"> </w:t>
            </w:r>
            <w:r w:rsidRPr="00E96E9F">
              <w:t>a</w:t>
            </w:r>
            <w:r w:rsidR="00F96B2F" w:rsidRPr="00E96E9F">
              <w:t xml:space="preserve"> </w:t>
            </w:r>
            <w:r w:rsidRPr="00E96E9F">
              <w:t>bone</w:t>
            </w:r>
            <w:r w:rsidR="00F96B2F" w:rsidRPr="00E96E9F">
              <w:t xml:space="preserve"> </w:t>
            </w:r>
            <w:r w:rsidRPr="00E96E9F">
              <w:t>age</w:t>
            </w:r>
            <w:r w:rsidR="00F96B2F" w:rsidRPr="00E96E9F">
              <w:t xml:space="preserve"> </w:t>
            </w:r>
            <w:r w:rsidRPr="00E96E9F">
              <w:t>of</w:t>
            </w:r>
            <w:r w:rsidR="00F96B2F" w:rsidRPr="00E96E9F">
              <w:t xml:space="preserve"> </w:t>
            </w:r>
            <w:r w:rsidRPr="00E96E9F">
              <w:t>15.5</w:t>
            </w:r>
            <w:r w:rsidR="00F96B2F" w:rsidRPr="00E96E9F">
              <w:t xml:space="preserve"> </w:t>
            </w:r>
            <w:r w:rsidRPr="00E96E9F">
              <w:t>years</w:t>
            </w:r>
            <w:r w:rsidR="00F96B2F" w:rsidRPr="00E96E9F">
              <w:t xml:space="preserve"> </w:t>
            </w:r>
            <w:r w:rsidRPr="00E96E9F">
              <w:t>or</w:t>
            </w:r>
            <w:r w:rsidR="00F96B2F" w:rsidRPr="00E96E9F">
              <w:t xml:space="preserve"> </w:t>
            </w:r>
            <w:proofErr w:type="gramStart"/>
            <w:r w:rsidRPr="00E96E9F">
              <w:t>more;</w:t>
            </w:r>
            <w:proofErr w:type="gramEnd"/>
          </w:p>
          <w:p w14:paraId="5C60AA86" w14:textId="49D41F3E" w:rsidR="00811E0E" w:rsidRPr="00E96E9F" w:rsidRDefault="00811E0E" w:rsidP="00CF047E">
            <w:pPr>
              <w:pStyle w:val="TableText0"/>
            </w:pPr>
            <w:r w:rsidRPr="00E96E9F">
              <w:t>OR</w:t>
            </w:r>
            <w:r w:rsidRPr="00E96E9F">
              <w:br/>
              <w:t>Patient</w:t>
            </w:r>
            <w:r w:rsidR="00F96B2F" w:rsidRPr="00E96E9F">
              <w:t xml:space="preserve"> </w:t>
            </w:r>
            <w:r w:rsidRPr="00E96E9F">
              <w:t>must</w:t>
            </w:r>
            <w:r w:rsidR="00F96B2F" w:rsidRPr="00E96E9F">
              <w:t xml:space="preserve"> </w:t>
            </w:r>
            <w:r w:rsidRPr="00E96E9F">
              <w:t>be</w:t>
            </w:r>
            <w:r w:rsidR="00F96B2F" w:rsidRPr="00E96E9F">
              <w:t xml:space="preserve"> </w:t>
            </w:r>
            <w:r w:rsidRPr="00E96E9F">
              <w:t>female</w:t>
            </w:r>
            <w:r w:rsidR="00F96B2F" w:rsidRPr="00E96E9F">
              <w:t xml:space="preserve"> </w:t>
            </w:r>
            <w:r w:rsidRPr="00E96E9F">
              <w:t>and</w:t>
            </w:r>
            <w:r w:rsidR="00F96B2F" w:rsidRPr="00E96E9F">
              <w:t xml:space="preserve"> </w:t>
            </w:r>
            <w:r w:rsidRPr="00E96E9F">
              <w:t>must</w:t>
            </w:r>
            <w:r w:rsidR="00F96B2F" w:rsidRPr="00E96E9F">
              <w:t xml:space="preserve"> </w:t>
            </w:r>
            <w:r w:rsidRPr="00E96E9F">
              <w:t>not</w:t>
            </w:r>
            <w:r w:rsidR="00F96B2F" w:rsidRPr="00E96E9F">
              <w:t xml:space="preserve"> </w:t>
            </w:r>
            <w:r w:rsidRPr="00E96E9F">
              <w:t>have</w:t>
            </w:r>
            <w:r w:rsidR="00F96B2F" w:rsidRPr="00E96E9F">
              <w:t xml:space="preserve"> </w:t>
            </w:r>
            <w:r w:rsidRPr="00E96E9F">
              <w:t>a</w:t>
            </w:r>
            <w:r w:rsidR="00F96B2F" w:rsidRPr="00E96E9F">
              <w:t xml:space="preserve"> </w:t>
            </w:r>
            <w:r w:rsidRPr="00E96E9F">
              <w:t>bone</w:t>
            </w:r>
            <w:r w:rsidR="00F96B2F" w:rsidRPr="00E96E9F">
              <w:t xml:space="preserve"> </w:t>
            </w:r>
            <w:r w:rsidRPr="00E96E9F">
              <w:t>age</w:t>
            </w:r>
            <w:r w:rsidR="00F96B2F" w:rsidRPr="00E96E9F">
              <w:t xml:space="preserve"> </w:t>
            </w:r>
            <w:r w:rsidRPr="00E96E9F">
              <w:t>of</w:t>
            </w:r>
            <w:r w:rsidR="00F96B2F" w:rsidRPr="00E96E9F">
              <w:t xml:space="preserve"> </w:t>
            </w:r>
            <w:r w:rsidRPr="00E96E9F">
              <w:t>13.5</w:t>
            </w:r>
            <w:r w:rsidR="00F96B2F" w:rsidRPr="00E96E9F">
              <w:t xml:space="preserve"> </w:t>
            </w:r>
            <w:r w:rsidRPr="00E96E9F">
              <w:t>years</w:t>
            </w:r>
            <w:r w:rsidR="00F96B2F" w:rsidRPr="00E96E9F">
              <w:t xml:space="preserve"> </w:t>
            </w:r>
            <w:r w:rsidRPr="00E96E9F">
              <w:t>or</w:t>
            </w:r>
            <w:r w:rsidR="00F96B2F" w:rsidRPr="00E96E9F">
              <w:t xml:space="preserve"> </w:t>
            </w:r>
            <w:r w:rsidRPr="00E96E9F">
              <w:t>more</w:t>
            </w:r>
          </w:p>
        </w:tc>
      </w:tr>
      <w:tr w:rsidR="00811E0E" w:rsidRPr="00E96E9F" w14:paraId="1FAACF03" w14:textId="77777777" w:rsidTr="00CF047E">
        <w:trPr>
          <w:trHeight w:val="300"/>
        </w:trPr>
        <w:tc>
          <w:tcPr>
            <w:tcW w:w="2199" w:type="dxa"/>
            <w:tcBorders>
              <w:top w:val="single" w:sz="4" w:space="0" w:color="auto"/>
              <w:left w:val="single" w:sz="4" w:space="0" w:color="auto"/>
              <w:bottom w:val="single" w:sz="4" w:space="0" w:color="auto"/>
              <w:right w:val="single" w:sz="4" w:space="0" w:color="auto"/>
            </w:tcBorders>
          </w:tcPr>
          <w:p w14:paraId="19BDB759" w14:textId="6E12B649" w:rsidR="00811E0E" w:rsidRPr="00E96E9F" w:rsidRDefault="00811E0E" w:rsidP="00CF047E">
            <w:pPr>
              <w:pStyle w:val="Tabletext"/>
            </w:pPr>
            <w:r w:rsidRPr="00E96E9F">
              <w:t>Population</w:t>
            </w:r>
            <w:r w:rsidR="00F96B2F" w:rsidRPr="00E96E9F">
              <w:t xml:space="preserve"> </w:t>
            </w:r>
            <w:r w:rsidRPr="00E96E9F">
              <w:t>criteria:</w:t>
            </w:r>
          </w:p>
        </w:tc>
        <w:tc>
          <w:tcPr>
            <w:tcW w:w="6786" w:type="dxa"/>
            <w:tcBorders>
              <w:top w:val="single" w:sz="4" w:space="0" w:color="auto"/>
              <w:left w:val="single" w:sz="4" w:space="0" w:color="auto"/>
              <w:bottom w:val="single" w:sz="4" w:space="0" w:color="auto"/>
              <w:right w:val="single" w:sz="4" w:space="0" w:color="auto"/>
            </w:tcBorders>
          </w:tcPr>
          <w:p w14:paraId="1E2F826A" w14:textId="27368421" w:rsidR="00811E0E" w:rsidRPr="00E96E9F" w:rsidRDefault="00811E0E" w:rsidP="00CF047E">
            <w:pPr>
              <w:pStyle w:val="Tabletext"/>
              <w:rPr>
                <w:szCs w:val="20"/>
              </w:rPr>
            </w:pPr>
            <w:r w:rsidRPr="00E96E9F">
              <w:rPr>
                <w:szCs w:val="20"/>
              </w:rPr>
              <w:t>Patient</w:t>
            </w:r>
            <w:r w:rsidR="00F96B2F" w:rsidRPr="00E96E9F">
              <w:rPr>
                <w:szCs w:val="20"/>
              </w:rPr>
              <w:t xml:space="preserve"> </w:t>
            </w:r>
            <w:r w:rsidRPr="00E96E9F">
              <w:rPr>
                <w:szCs w:val="20"/>
              </w:rPr>
              <w:t>must</w:t>
            </w:r>
            <w:r w:rsidR="00F96B2F" w:rsidRPr="00E96E9F">
              <w:rPr>
                <w:szCs w:val="20"/>
              </w:rPr>
              <w:t xml:space="preserve"> </w:t>
            </w:r>
            <w:r w:rsidRPr="00E96E9F">
              <w:rPr>
                <w:szCs w:val="20"/>
              </w:rPr>
              <w:t>be</w:t>
            </w:r>
            <w:r w:rsidR="00F96B2F" w:rsidRPr="00E96E9F">
              <w:rPr>
                <w:szCs w:val="20"/>
              </w:rPr>
              <w:t xml:space="preserve"> </w:t>
            </w:r>
            <w:r w:rsidRPr="00E96E9F">
              <w:rPr>
                <w:szCs w:val="20"/>
              </w:rPr>
              <w:t>aged</w:t>
            </w:r>
            <w:r w:rsidR="00F96B2F" w:rsidRPr="00E96E9F">
              <w:rPr>
                <w:szCs w:val="20"/>
              </w:rPr>
              <w:t xml:space="preserve"> </w:t>
            </w:r>
            <w:r w:rsidRPr="00E96E9F">
              <w:rPr>
                <w:szCs w:val="20"/>
              </w:rPr>
              <w:t>3</w:t>
            </w:r>
            <w:r w:rsidR="00F96B2F" w:rsidRPr="00E96E9F">
              <w:rPr>
                <w:szCs w:val="20"/>
              </w:rPr>
              <w:t xml:space="preserve"> </w:t>
            </w:r>
            <w:r w:rsidRPr="00E96E9F">
              <w:rPr>
                <w:szCs w:val="20"/>
              </w:rPr>
              <w:t>years</w:t>
            </w:r>
            <w:r w:rsidR="00F96B2F" w:rsidRPr="00E96E9F">
              <w:rPr>
                <w:szCs w:val="20"/>
              </w:rPr>
              <w:t xml:space="preserve"> </w:t>
            </w:r>
            <w:r w:rsidRPr="00E96E9F">
              <w:rPr>
                <w:szCs w:val="20"/>
              </w:rPr>
              <w:t>or</w:t>
            </w:r>
            <w:r w:rsidR="00F96B2F" w:rsidRPr="00E96E9F">
              <w:rPr>
                <w:szCs w:val="20"/>
              </w:rPr>
              <w:t xml:space="preserve"> </w:t>
            </w:r>
            <w:r w:rsidRPr="00E96E9F">
              <w:rPr>
                <w:szCs w:val="20"/>
              </w:rPr>
              <w:t>older</w:t>
            </w:r>
          </w:p>
        </w:tc>
      </w:tr>
      <w:tr w:rsidR="00811E0E" w:rsidRPr="00E96E9F" w14:paraId="78D418E2" w14:textId="77777777" w:rsidTr="00CF047E">
        <w:trPr>
          <w:trHeight w:val="300"/>
        </w:trPr>
        <w:tc>
          <w:tcPr>
            <w:tcW w:w="2199" w:type="dxa"/>
            <w:tcBorders>
              <w:top w:val="single" w:sz="4" w:space="0" w:color="auto"/>
              <w:left w:val="single" w:sz="4" w:space="0" w:color="auto"/>
              <w:bottom w:val="single" w:sz="4" w:space="0" w:color="auto"/>
              <w:right w:val="single" w:sz="4" w:space="0" w:color="auto"/>
            </w:tcBorders>
          </w:tcPr>
          <w:p w14:paraId="76D469E6" w14:textId="18212F8C" w:rsidR="00811E0E" w:rsidRPr="00E96E9F" w:rsidRDefault="00811E0E" w:rsidP="00CF047E">
            <w:pPr>
              <w:pStyle w:val="Tabletext"/>
            </w:pPr>
            <w:r w:rsidRPr="00E96E9F">
              <w:t>Prescriber</w:t>
            </w:r>
            <w:r w:rsidR="00F96B2F" w:rsidRPr="00E96E9F">
              <w:t xml:space="preserve"> </w:t>
            </w:r>
            <w:r w:rsidR="00BB6491" w:rsidRPr="00E96E9F">
              <w:t>instructions</w:t>
            </w:r>
            <w:r w:rsidRPr="00E96E9F">
              <w:t>:</w:t>
            </w:r>
          </w:p>
        </w:tc>
        <w:tc>
          <w:tcPr>
            <w:tcW w:w="6786" w:type="dxa"/>
            <w:tcBorders>
              <w:top w:val="single" w:sz="4" w:space="0" w:color="auto"/>
              <w:left w:val="single" w:sz="4" w:space="0" w:color="auto"/>
              <w:bottom w:val="single" w:sz="4" w:space="0" w:color="auto"/>
              <w:right w:val="single" w:sz="4" w:space="0" w:color="auto"/>
            </w:tcBorders>
          </w:tcPr>
          <w:p w14:paraId="74D0624C" w14:textId="2EBF0DB9" w:rsidR="00811E0E" w:rsidRPr="00E96E9F" w:rsidRDefault="28868690" w:rsidP="6D648542">
            <w:pPr>
              <w:pStyle w:val="TableText0"/>
            </w:pPr>
            <w:r w:rsidRPr="00E96E9F">
              <w:t>The</w:t>
            </w:r>
            <w:r w:rsidR="00F96B2F" w:rsidRPr="00E96E9F">
              <w:t xml:space="preserve"> </w:t>
            </w:r>
            <w:r w:rsidRPr="00E96E9F">
              <w:t>authority</w:t>
            </w:r>
            <w:r w:rsidR="00F96B2F" w:rsidRPr="00E96E9F">
              <w:t xml:space="preserve"> </w:t>
            </w:r>
            <w:r w:rsidRPr="00E96E9F">
              <w:t>application</w:t>
            </w:r>
            <w:r w:rsidR="00F96B2F" w:rsidRPr="00E96E9F">
              <w:t xml:space="preserve"> </w:t>
            </w:r>
            <w:r w:rsidRPr="00E96E9F">
              <w:t>must</w:t>
            </w:r>
            <w:r w:rsidR="00F96B2F" w:rsidRPr="00E96E9F">
              <w:t xml:space="preserve"> </w:t>
            </w:r>
            <w:r w:rsidRPr="00E96E9F">
              <w:t>be</w:t>
            </w:r>
            <w:r w:rsidR="00F96B2F" w:rsidRPr="00E96E9F">
              <w:t xml:space="preserve"> </w:t>
            </w:r>
            <w:r w:rsidRPr="00E96E9F">
              <w:t>made</w:t>
            </w:r>
            <w:r w:rsidR="00F96B2F" w:rsidRPr="00E96E9F">
              <w:t xml:space="preserve"> </w:t>
            </w:r>
            <w:r w:rsidRPr="00E96E9F">
              <w:t>in</w:t>
            </w:r>
            <w:r w:rsidR="00F96B2F" w:rsidRPr="00E96E9F">
              <w:t xml:space="preserve"> </w:t>
            </w:r>
            <w:r w:rsidRPr="00E96E9F">
              <w:t>writing</w:t>
            </w:r>
            <w:r w:rsidR="00F96B2F" w:rsidRPr="00E96E9F">
              <w:t xml:space="preserve"> </w:t>
            </w:r>
            <w:r w:rsidRPr="00E96E9F">
              <w:t>and</w:t>
            </w:r>
            <w:r w:rsidR="00F96B2F" w:rsidRPr="00E96E9F">
              <w:t xml:space="preserve"> </w:t>
            </w:r>
            <w:r w:rsidRPr="00E96E9F">
              <w:t>must</w:t>
            </w:r>
            <w:r w:rsidR="00F96B2F" w:rsidRPr="00E96E9F">
              <w:t xml:space="preserve"> </w:t>
            </w:r>
            <w:r w:rsidRPr="00E96E9F">
              <w:t>include:</w:t>
            </w:r>
          </w:p>
          <w:p w14:paraId="24645EF1" w14:textId="2650A39B" w:rsidR="00811E0E" w:rsidRPr="00E96E9F" w:rsidRDefault="28868690" w:rsidP="6D648542">
            <w:pPr>
              <w:pStyle w:val="TableText0"/>
            </w:pPr>
            <w:r w:rsidRPr="00E96E9F">
              <w:t>(1)</w:t>
            </w:r>
            <w:r w:rsidR="00F96B2F" w:rsidRPr="00E96E9F">
              <w:t xml:space="preserve"> </w:t>
            </w:r>
            <w:r w:rsidRPr="00E96E9F">
              <w:t>a</w:t>
            </w:r>
            <w:r w:rsidR="00F96B2F" w:rsidRPr="00E96E9F">
              <w:t xml:space="preserve"> </w:t>
            </w:r>
            <w:r w:rsidRPr="00E96E9F">
              <w:t>completed</w:t>
            </w:r>
            <w:r w:rsidR="00F96B2F" w:rsidRPr="00E96E9F">
              <w:t xml:space="preserve"> </w:t>
            </w:r>
            <w:r w:rsidRPr="00E96E9F">
              <w:t>authority</w:t>
            </w:r>
            <w:r w:rsidR="00F96B2F" w:rsidRPr="00E96E9F">
              <w:t xml:space="preserve"> </w:t>
            </w:r>
            <w:r w:rsidRPr="00E96E9F">
              <w:t>prescription</w:t>
            </w:r>
            <w:r w:rsidR="00F96B2F" w:rsidRPr="00E96E9F">
              <w:t xml:space="preserve"> </w:t>
            </w:r>
            <w:r w:rsidRPr="00E96E9F">
              <w:t>form;</w:t>
            </w:r>
            <w:r w:rsidR="00F96B2F" w:rsidRPr="00E96E9F">
              <w:t xml:space="preserve"> </w:t>
            </w:r>
            <w:r w:rsidRPr="00E96E9F">
              <w:t>and</w:t>
            </w:r>
          </w:p>
          <w:p w14:paraId="4631CD36" w14:textId="77777777" w:rsidR="00E5129A" w:rsidRPr="00E96E9F" w:rsidRDefault="28868690" w:rsidP="6D648542">
            <w:pPr>
              <w:pStyle w:val="TableText0"/>
            </w:pPr>
            <w:r w:rsidRPr="00E96E9F">
              <w:t>(2)</w:t>
            </w:r>
            <w:r w:rsidR="00F96B2F" w:rsidRPr="00E96E9F">
              <w:t xml:space="preserve"> </w:t>
            </w:r>
            <w:r w:rsidRPr="00E96E9F">
              <w:t>a</w:t>
            </w:r>
            <w:r w:rsidR="00F96B2F" w:rsidRPr="00E96E9F">
              <w:t xml:space="preserve"> </w:t>
            </w:r>
            <w:r w:rsidRPr="00E96E9F">
              <w:t>completed</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Authority</w:t>
            </w:r>
            <w:r w:rsidR="00F96B2F" w:rsidRPr="00E96E9F">
              <w:t xml:space="preserve"> </w:t>
            </w:r>
            <w:r w:rsidRPr="00E96E9F">
              <w:t>Application</w:t>
            </w:r>
            <w:r w:rsidR="00F96B2F" w:rsidRPr="00E96E9F">
              <w:t xml:space="preserve"> </w:t>
            </w:r>
            <w:r w:rsidRPr="00E96E9F">
              <w:t>Supporting</w:t>
            </w:r>
            <w:r w:rsidR="00F96B2F" w:rsidRPr="00E96E9F">
              <w:t xml:space="preserve"> </w:t>
            </w:r>
            <w:r w:rsidRPr="00E96E9F">
              <w:t>Information</w:t>
            </w:r>
            <w:r w:rsidR="00F96B2F" w:rsidRPr="00E96E9F">
              <w:t xml:space="preserve"> </w:t>
            </w:r>
            <w:r w:rsidRPr="00E96E9F">
              <w:t>Form</w:t>
            </w:r>
            <w:r w:rsidR="00F96B2F" w:rsidRPr="00E96E9F">
              <w:t xml:space="preserve"> </w:t>
            </w:r>
            <w:r w:rsidRPr="00E96E9F">
              <w:t>for</w:t>
            </w:r>
            <w:r w:rsidR="00F96B2F" w:rsidRPr="00E96E9F">
              <w:t xml:space="preserve"> </w:t>
            </w:r>
            <w:r w:rsidRPr="00E96E9F">
              <w:t>continuing</w:t>
            </w:r>
            <w:r w:rsidR="00F96B2F" w:rsidRPr="00E96E9F">
              <w:t xml:space="preserve"> </w:t>
            </w:r>
            <w:r w:rsidRPr="00E96E9F">
              <w:t>treatment;</w:t>
            </w:r>
            <w:r w:rsidR="00F96B2F" w:rsidRPr="00E96E9F">
              <w:t xml:space="preserve"> </w:t>
            </w:r>
            <w:r w:rsidRPr="00E96E9F">
              <w:t>and</w:t>
            </w:r>
          </w:p>
          <w:p w14:paraId="0CC705E5" w14:textId="5A60949A" w:rsidR="00811E0E" w:rsidRPr="00E96E9F" w:rsidRDefault="28868690" w:rsidP="6D648542">
            <w:pPr>
              <w:pStyle w:val="TableText0"/>
            </w:pPr>
            <w:r w:rsidRPr="00E96E9F">
              <w:t>(3)</w:t>
            </w:r>
            <w:r w:rsidR="00F96B2F" w:rsidRPr="00E96E9F">
              <w:t xml:space="preserve"> </w:t>
            </w:r>
            <w:r w:rsidRPr="00E96E9F">
              <w:t>Growth</w:t>
            </w:r>
            <w:r w:rsidR="00F96B2F" w:rsidRPr="00E96E9F">
              <w:t xml:space="preserve"> </w:t>
            </w:r>
            <w:r w:rsidRPr="00E96E9F">
              <w:t>data</w:t>
            </w:r>
            <w:r w:rsidR="00F96B2F" w:rsidRPr="00E96E9F">
              <w:t xml:space="preserve"> </w:t>
            </w:r>
            <w:r w:rsidRPr="00E96E9F">
              <w:t>(height</w:t>
            </w:r>
            <w:r w:rsidR="00F96B2F" w:rsidRPr="00E96E9F">
              <w:t xml:space="preserve"> </w:t>
            </w:r>
            <w:r w:rsidRPr="00E96E9F">
              <w:t>and</w:t>
            </w:r>
            <w:r w:rsidR="00F96B2F" w:rsidRPr="00E96E9F">
              <w:t xml:space="preserve"> </w:t>
            </w:r>
            <w:r w:rsidRPr="00E96E9F">
              <w:t>weight)</w:t>
            </w:r>
            <w:r w:rsidR="00F96B2F" w:rsidRPr="00E96E9F">
              <w:t xml:space="preserve"> </w:t>
            </w:r>
            <w:r w:rsidRPr="00E96E9F">
              <w:t>for</w:t>
            </w:r>
            <w:r w:rsidR="00F96B2F" w:rsidRPr="00E96E9F">
              <w:t xml:space="preserve"> </w:t>
            </w:r>
            <w:r w:rsidRPr="00E96E9F">
              <w:t>the</w:t>
            </w:r>
            <w:r w:rsidR="00F96B2F" w:rsidRPr="00E96E9F">
              <w:t xml:space="preserve"> </w:t>
            </w:r>
            <w:r w:rsidRPr="00E96E9F">
              <w:t>most</w:t>
            </w:r>
            <w:r w:rsidR="00F96B2F" w:rsidRPr="00E96E9F">
              <w:t xml:space="preserve"> </w:t>
            </w:r>
            <w:r w:rsidRPr="00E96E9F">
              <w:t>recent</w:t>
            </w:r>
            <w:r w:rsidR="00F96B2F" w:rsidRPr="00E96E9F">
              <w:t xml:space="preserve"> </w:t>
            </w:r>
            <w:proofErr w:type="gramStart"/>
            <w:r w:rsidRPr="00E96E9F">
              <w:t>6</w:t>
            </w:r>
            <w:r w:rsidR="00F96B2F" w:rsidRPr="00E96E9F">
              <w:t xml:space="preserve"> </w:t>
            </w:r>
            <w:r w:rsidRPr="00E96E9F">
              <w:t>month</w:t>
            </w:r>
            <w:proofErr w:type="gramEnd"/>
            <w:r w:rsidR="00F96B2F" w:rsidRPr="00E96E9F">
              <w:t xml:space="preserve"> </w:t>
            </w:r>
            <w:r w:rsidRPr="00E96E9F">
              <w:t>treatment</w:t>
            </w:r>
            <w:r w:rsidR="00F96B2F" w:rsidRPr="00E96E9F">
              <w:t xml:space="preserve"> </w:t>
            </w:r>
            <w:r w:rsidRPr="00E96E9F">
              <w:t>period,</w:t>
            </w:r>
            <w:r w:rsidR="00F96B2F" w:rsidRPr="00E96E9F">
              <w:t xml:space="preserve"> </w:t>
            </w:r>
            <w:r w:rsidRPr="00E96E9F">
              <w:t>including</w:t>
            </w:r>
            <w:r w:rsidR="00F96B2F" w:rsidRPr="00E96E9F">
              <w:t xml:space="preserve"> </w:t>
            </w:r>
            <w:r w:rsidRPr="00E96E9F">
              <w:t>data</w:t>
            </w:r>
            <w:r w:rsidR="00F96B2F" w:rsidRPr="00E96E9F">
              <w:t xml:space="preserve"> </w:t>
            </w:r>
            <w:r w:rsidRPr="00E96E9F">
              <w:t>at</w:t>
            </w:r>
            <w:r w:rsidR="00F96B2F" w:rsidRPr="00E96E9F">
              <w:t xml:space="preserve"> </w:t>
            </w:r>
            <w:r w:rsidRPr="00E96E9F">
              <w:t>both</w:t>
            </w:r>
            <w:r w:rsidR="00F96B2F" w:rsidRPr="00E96E9F">
              <w:t xml:space="preserve"> </w:t>
            </w:r>
            <w:r w:rsidRPr="00E96E9F">
              <w:t>the</w:t>
            </w:r>
            <w:r w:rsidR="00F96B2F" w:rsidRPr="00E96E9F">
              <w:t xml:space="preserve"> </w:t>
            </w:r>
            <w:r w:rsidRPr="00E96E9F">
              <w:t>start</w:t>
            </w:r>
            <w:r w:rsidR="00F96B2F" w:rsidRPr="00E96E9F">
              <w:t xml:space="preserve"> </w:t>
            </w:r>
            <w:r w:rsidRPr="00E96E9F">
              <w:t>and</w:t>
            </w:r>
            <w:r w:rsidR="00F96B2F" w:rsidRPr="00E96E9F">
              <w:t xml:space="preserve"> </w:t>
            </w:r>
            <w:r w:rsidRPr="00E96E9F">
              <w:t>end</w:t>
            </w:r>
            <w:r w:rsidR="00F96B2F" w:rsidRPr="00E96E9F">
              <w:t xml:space="preserve"> </w:t>
            </w:r>
            <w:r w:rsidRPr="00E96E9F">
              <w:t>of</w:t>
            </w:r>
            <w:r w:rsidR="00F96B2F" w:rsidRPr="00E96E9F">
              <w:t xml:space="preserve"> </w:t>
            </w:r>
            <w:r w:rsidRPr="00E96E9F">
              <w:t>the</w:t>
            </w:r>
            <w:r w:rsidR="00F96B2F" w:rsidRPr="00E96E9F">
              <w:t xml:space="preserve"> </w:t>
            </w:r>
            <w:r w:rsidRPr="00E96E9F">
              <w:t>treatment</w:t>
            </w:r>
            <w:r w:rsidR="00F96B2F" w:rsidRPr="00E96E9F">
              <w:t xml:space="preserve"> </w:t>
            </w:r>
            <w:r w:rsidRPr="00E96E9F">
              <w:t>period.</w:t>
            </w:r>
            <w:r w:rsidR="00F96B2F" w:rsidRPr="00E96E9F">
              <w:t xml:space="preserve"> </w:t>
            </w:r>
            <w:r w:rsidRPr="00E96E9F">
              <w:t>The</w:t>
            </w:r>
            <w:r w:rsidR="00F96B2F" w:rsidRPr="00E96E9F">
              <w:t xml:space="preserve"> </w:t>
            </w:r>
            <w:r w:rsidRPr="00E96E9F">
              <w:t>most</w:t>
            </w:r>
            <w:r w:rsidR="00F96B2F" w:rsidRPr="00E96E9F">
              <w:t xml:space="preserve"> </w:t>
            </w:r>
            <w:r w:rsidRPr="00E96E9F">
              <w:t>recent</w:t>
            </w:r>
            <w:r w:rsidR="00F96B2F" w:rsidRPr="00E96E9F">
              <w:t xml:space="preserve"> </w:t>
            </w:r>
            <w:r w:rsidRPr="00E96E9F">
              <w:t>data</w:t>
            </w:r>
            <w:r w:rsidR="00F96B2F" w:rsidRPr="00E96E9F">
              <w:t xml:space="preserve"> </w:t>
            </w:r>
            <w:r w:rsidRPr="00E96E9F">
              <w:t>must</w:t>
            </w:r>
            <w:r w:rsidR="00F96B2F" w:rsidRPr="00E96E9F">
              <w:t xml:space="preserve"> </w:t>
            </w:r>
            <w:r w:rsidRPr="00E96E9F">
              <w:t>not</w:t>
            </w:r>
            <w:r w:rsidR="00F96B2F" w:rsidRPr="00E96E9F">
              <w:t xml:space="preserve"> </w:t>
            </w:r>
            <w:r w:rsidRPr="00E96E9F">
              <w:t>be</w:t>
            </w:r>
            <w:r w:rsidR="00F96B2F" w:rsidRPr="00E96E9F">
              <w:t xml:space="preserve"> </w:t>
            </w:r>
            <w:r w:rsidRPr="00E96E9F">
              <w:t>older</w:t>
            </w:r>
            <w:r w:rsidR="00F96B2F" w:rsidRPr="00E96E9F">
              <w:t xml:space="preserve"> </w:t>
            </w:r>
            <w:r w:rsidRPr="00E96E9F">
              <w:t>than</w:t>
            </w:r>
            <w:r w:rsidR="00F96B2F" w:rsidRPr="00E96E9F">
              <w:t xml:space="preserve"> </w:t>
            </w:r>
            <w:r w:rsidRPr="00E96E9F">
              <w:t>three</w:t>
            </w:r>
            <w:r w:rsidR="00F96B2F" w:rsidRPr="00E96E9F">
              <w:t xml:space="preserve"> </w:t>
            </w:r>
            <w:r w:rsidRPr="00E96E9F">
              <w:t>months;</w:t>
            </w:r>
            <w:r w:rsidR="00F96B2F" w:rsidRPr="00E96E9F">
              <w:t xml:space="preserve"> </w:t>
            </w:r>
            <w:r w:rsidRPr="00E96E9F">
              <w:t>and</w:t>
            </w:r>
          </w:p>
          <w:p w14:paraId="71F27F62" w14:textId="6B5779F8" w:rsidR="00811E0E" w:rsidRPr="00E96E9F" w:rsidRDefault="28868690" w:rsidP="6D648542">
            <w:pPr>
              <w:pStyle w:val="TableText0"/>
            </w:pPr>
            <w:r w:rsidRPr="00E96E9F">
              <w:t>(4)</w:t>
            </w:r>
            <w:r w:rsidR="00F96B2F" w:rsidRPr="00E96E9F">
              <w:t xml:space="preserve"> </w:t>
            </w:r>
            <w:r w:rsidRPr="00E96E9F">
              <w:t>A</w:t>
            </w:r>
            <w:r w:rsidR="00F96B2F" w:rsidRPr="00E96E9F">
              <w:t xml:space="preserve"> </w:t>
            </w:r>
            <w:r w:rsidRPr="00E96E9F">
              <w:t>bone</w:t>
            </w:r>
            <w:r w:rsidR="00F96B2F" w:rsidRPr="00E96E9F">
              <w:t xml:space="preserve"> </w:t>
            </w:r>
            <w:r w:rsidRPr="00E96E9F">
              <w:t>age</w:t>
            </w:r>
            <w:r w:rsidR="00F96B2F" w:rsidRPr="00E96E9F">
              <w:t xml:space="preserve"> </w:t>
            </w:r>
            <w:r w:rsidRPr="00E96E9F">
              <w:t>result</w:t>
            </w:r>
            <w:r w:rsidR="00F96B2F" w:rsidRPr="00E96E9F">
              <w:t xml:space="preserve"> </w:t>
            </w:r>
            <w:r w:rsidRPr="00E96E9F">
              <w:t>performed</w:t>
            </w:r>
            <w:r w:rsidR="00F96B2F" w:rsidRPr="00E96E9F">
              <w:t xml:space="preserve"> </w:t>
            </w:r>
            <w:r w:rsidRPr="00E96E9F">
              <w:t>within</w:t>
            </w:r>
            <w:r w:rsidR="00F96B2F" w:rsidRPr="00E96E9F">
              <w:t xml:space="preserve"> </w:t>
            </w:r>
            <w:r w:rsidRPr="00E96E9F">
              <w:t>the</w:t>
            </w:r>
            <w:r w:rsidR="00F96B2F" w:rsidRPr="00E96E9F">
              <w:t xml:space="preserve"> </w:t>
            </w:r>
            <w:r w:rsidRPr="00E96E9F">
              <w:t>last</w:t>
            </w:r>
            <w:r w:rsidR="00F96B2F" w:rsidRPr="00E96E9F">
              <w:t xml:space="preserve"> </w:t>
            </w:r>
            <w:r w:rsidRPr="00E96E9F">
              <w:t>12</w:t>
            </w:r>
            <w:r w:rsidR="00F96B2F" w:rsidRPr="00E96E9F">
              <w:t xml:space="preserve"> </w:t>
            </w:r>
            <w:r w:rsidRPr="00E96E9F">
              <w:t>months;</w:t>
            </w:r>
            <w:r w:rsidR="00F96B2F" w:rsidRPr="00E96E9F">
              <w:t xml:space="preserve"> </w:t>
            </w:r>
            <w:r w:rsidRPr="00E96E9F">
              <w:t>and</w:t>
            </w:r>
          </w:p>
          <w:p w14:paraId="47B4FBD2" w14:textId="2707888D" w:rsidR="00811E0E" w:rsidRPr="00E96E9F" w:rsidRDefault="28868690" w:rsidP="6D648542">
            <w:pPr>
              <w:pStyle w:val="TableText0"/>
              <w:rPr>
                <w:rFonts w:eastAsia="Arial Narrow" w:cs="Arial Narrow"/>
                <w:color w:val="000000" w:themeColor="text1"/>
              </w:rPr>
            </w:pPr>
            <w:r w:rsidRPr="00E96E9F">
              <w:t>(5)</w:t>
            </w:r>
            <w:r w:rsidR="00F96B2F" w:rsidRPr="00E96E9F">
              <w:t xml:space="preserve"> </w:t>
            </w:r>
            <w:r w:rsidRPr="00E96E9F">
              <w:t>The</w:t>
            </w:r>
            <w:r w:rsidR="00F96B2F" w:rsidRPr="00E96E9F">
              <w:t xml:space="preserve"> </w:t>
            </w:r>
            <w:r w:rsidRPr="00E96E9F">
              <w:t>final</w:t>
            </w:r>
            <w:r w:rsidR="00F96B2F" w:rsidRPr="00E96E9F">
              <w:t xml:space="preserve"> </w:t>
            </w:r>
            <w:r w:rsidRPr="00E96E9F">
              <w:t>adult</w:t>
            </w:r>
            <w:r w:rsidR="00F96B2F" w:rsidRPr="00E96E9F">
              <w:t xml:space="preserve"> </w:t>
            </w:r>
            <w:r w:rsidRPr="00E96E9F">
              <w:t>height</w:t>
            </w:r>
            <w:r w:rsidR="00F96B2F" w:rsidRPr="00E96E9F">
              <w:t xml:space="preserve"> </w:t>
            </w:r>
            <w:r w:rsidRPr="00E96E9F">
              <w:t>(in</w:t>
            </w:r>
            <w:r w:rsidR="00F96B2F" w:rsidRPr="00E96E9F">
              <w:t xml:space="preserve"> </w:t>
            </w:r>
            <w:r w:rsidRPr="00E96E9F">
              <w:t>cm)</w:t>
            </w:r>
            <w:r w:rsidR="00F96B2F" w:rsidRPr="00E96E9F">
              <w:t xml:space="preserve"> </w:t>
            </w:r>
            <w:r w:rsidRPr="00E96E9F">
              <w:t>of</w:t>
            </w:r>
            <w:r w:rsidR="00F96B2F" w:rsidRPr="00E96E9F">
              <w:t xml:space="preserve"> </w:t>
            </w:r>
            <w:r w:rsidRPr="00E96E9F">
              <w:t>the</w:t>
            </w:r>
            <w:r w:rsidR="00F96B2F" w:rsidRPr="00E96E9F">
              <w:t xml:space="preserve"> </w:t>
            </w:r>
            <w:r w:rsidRPr="00E96E9F">
              <w:t>patient's</w:t>
            </w:r>
            <w:r w:rsidR="00F96B2F" w:rsidRPr="00E96E9F">
              <w:t xml:space="preserve"> </w:t>
            </w:r>
            <w:r w:rsidRPr="00E96E9F">
              <w:t>mother</w:t>
            </w:r>
            <w:r w:rsidR="00F96B2F" w:rsidRPr="00E96E9F">
              <w:t xml:space="preserve"> </w:t>
            </w:r>
            <w:r w:rsidRPr="00E96E9F">
              <w:t>and</w:t>
            </w:r>
            <w:r w:rsidR="00F96B2F" w:rsidRPr="00E96E9F">
              <w:t xml:space="preserve"> </w:t>
            </w:r>
            <w:r w:rsidRPr="00E96E9F">
              <w:t>father</w:t>
            </w:r>
            <w:r w:rsidR="00F96B2F" w:rsidRPr="00E96E9F">
              <w:t xml:space="preserve"> </w:t>
            </w:r>
            <w:r w:rsidRPr="00E96E9F">
              <w:t>(where</w:t>
            </w:r>
            <w:r w:rsidR="00F96B2F" w:rsidRPr="00E96E9F">
              <w:t xml:space="preserve"> </w:t>
            </w:r>
            <w:r w:rsidRPr="00E96E9F">
              <w:t>available).</w:t>
            </w:r>
          </w:p>
          <w:p w14:paraId="4DEF8527" w14:textId="0E2F709F" w:rsidR="00811E0E" w:rsidRPr="00E96E9F" w:rsidRDefault="00811E0E" w:rsidP="00CF047E">
            <w:pPr>
              <w:pStyle w:val="Tabletext"/>
              <w:rPr>
                <w:color w:val="000000" w:themeColor="text1"/>
                <w:szCs w:val="20"/>
              </w:rPr>
            </w:pPr>
          </w:p>
        </w:tc>
      </w:tr>
    </w:tbl>
    <w:p w14:paraId="7BCB8FA2" w14:textId="77777777" w:rsidR="00811E0E" w:rsidRPr="00E96E9F" w:rsidRDefault="00811E0E" w:rsidP="00811E0E"/>
    <w:p w14:paraId="2C342E6B" w14:textId="493C8B76" w:rsidR="006E7D07" w:rsidRPr="00E96E9F" w:rsidRDefault="00AE09DF" w:rsidP="00AE09DF">
      <w:pPr>
        <w:pStyle w:val="3-BodyText"/>
        <w:rPr>
          <w:color w:val="0066FF"/>
        </w:rPr>
      </w:pPr>
      <w:r w:rsidRPr="00BF1BFB">
        <w:t xml:space="preserve">The requested restrictions for </w:t>
      </w:r>
      <w:proofErr w:type="spellStart"/>
      <w:r w:rsidRPr="00BF1BFB">
        <w:t>somatrogon</w:t>
      </w:r>
      <w:proofErr w:type="spellEnd"/>
      <w:r w:rsidRPr="00BF1BFB">
        <w:t xml:space="preserve"> are consistent with the restrictions for somatropin</w:t>
      </w:r>
      <w:r>
        <w:t xml:space="preserve"> brand Genotropin,</w:t>
      </w:r>
      <w:r w:rsidRPr="00BF1BFB">
        <w:t xml:space="preserve"> </w:t>
      </w:r>
      <w:proofErr w:type="gramStart"/>
      <w:r w:rsidRPr="00BF1BFB">
        <w:t xml:space="preserve">with the exception </w:t>
      </w:r>
      <w:r w:rsidR="00E31543">
        <w:t>of</w:t>
      </w:r>
      <w:proofErr w:type="gramEnd"/>
      <w:r w:rsidR="00E31543">
        <w:t xml:space="preserve"> prescriber restrictions in the continuing treatment phase, the omission of a maximum dose criterion, and </w:t>
      </w:r>
      <w:r w:rsidR="00E31543" w:rsidRPr="00BF1BFB">
        <w:t xml:space="preserve">that children must be aged 3 years and older for </w:t>
      </w:r>
      <w:proofErr w:type="spellStart"/>
      <w:r w:rsidR="00E31543" w:rsidRPr="00BF1BFB">
        <w:t>somatrogon</w:t>
      </w:r>
      <w:proofErr w:type="spellEnd"/>
      <w:r w:rsidR="00E31543">
        <w:t xml:space="preserve"> (whereas c</w:t>
      </w:r>
      <w:r w:rsidR="00E31543" w:rsidRPr="00BF1BFB">
        <w:rPr>
          <w:iCs/>
        </w:rPr>
        <w:t>hildren must have a bone age more than 2.5 years to be eligibl</w:t>
      </w:r>
      <w:r w:rsidR="00E31543">
        <w:rPr>
          <w:iCs/>
        </w:rPr>
        <w:t>e for PBS Genotropin)</w:t>
      </w:r>
      <w:r w:rsidR="00E31543" w:rsidRPr="00BF1BFB">
        <w:t>. Th</w:t>
      </w:r>
      <w:r w:rsidR="00E31543">
        <w:t>e age criterion</w:t>
      </w:r>
      <w:r w:rsidRPr="00BF1BFB">
        <w:t xml:space="preserve"> was requested to align with the TGA approved indication. </w:t>
      </w:r>
      <w:r>
        <w:rPr>
          <w:iCs/>
        </w:rPr>
        <w:t>T</w:t>
      </w:r>
      <w:r w:rsidR="000E0DDE" w:rsidRPr="0077130E">
        <w:rPr>
          <w:iCs/>
        </w:rPr>
        <w:t xml:space="preserve">he TGA approved </w:t>
      </w:r>
      <w:r w:rsidR="0077130E" w:rsidRPr="0077130E">
        <w:rPr>
          <w:iCs/>
        </w:rPr>
        <w:t>Product Information states “The efficacy and safety of NGENLA have not been established in patients under 3 years of age. Data on the efficacy and safety</w:t>
      </w:r>
      <w:r w:rsidR="0077130E">
        <w:rPr>
          <w:iCs/>
        </w:rPr>
        <w:t xml:space="preserve"> </w:t>
      </w:r>
      <w:r w:rsidR="0077130E" w:rsidRPr="0077130E">
        <w:rPr>
          <w:iCs/>
        </w:rPr>
        <w:t>of NGENLA in patients 12 to under 18 years of age are limited</w:t>
      </w:r>
      <w:r w:rsidR="0077130E">
        <w:rPr>
          <w:iCs/>
        </w:rPr>
        <w:t>”</w:t>
      </w:r>
      <w:r w:rsidR="0077130E" w:rsidRPr="0077130E">
        <w:rPr>
          <w:iCs/>
        </w:rPr>
        <w:t>.</w:t>
      </w:r>
      <w:r w:rsidR="000E0DDE" w:rsidRPr="000E0DDE">
        <w:t xml:space="preserve"> </w:t>
      </w:r>
    </w:p>
    <w:p w14:paraId="63357EB8" w14:textId="77777777" w:rsidR="00E31543" w:rsidRDefault="00E41735" w:rsidP="00E31543">
      <w:pPr>
        <w:pStyle w:val="3-BodyText"/>
        <w:numPr>
          <w:ilvl w:val="1"/>
          <w:numId w:val="1"/>
        </w:numPr>
      </w:pPr>
      <w:r>
        <w:t xml:space="preserve">In addition to patients having to have a </w:t>
      </w:r>
      <w:r w:rsidR="0077130E">
        <w:t>chronological age of 3 years and above</w:t>
      </w:r>
      <w:r>
        <w:t xml:space="preserve"> to be eligible for treatment with </w:t>
      </w:r>
      <w:proofErr w:type="spellStart"/>
      <w:r>
        <w:t>somatrogon</w:t>
      </w:r>
      <w:proofErr w:type="spellEnd"/>
      <w:r w:rsidR="0077130E">
        <w:t xml:space="preserve">, </w:t>
      </w:r>
      <w:r>
        <w:t xml:space="preserve">it was proposed that patients should have </w:t>
      </w:r>
      <w:r w:rsidR="0077130E">
        <w:t>a bone age no greater than</w:t>
      </w:r>
      <w:r w:rsidR="0030740F">
        <w:t xml:space="preserve"> or equal to</w:t>
      </w:r>
      <w:r w:rsidR="0077130E">
        <w:t xml:space="preserve"> </w:t>
      </w:r>
      <w:r w:rsidR="00811E0E" w:rsidRPr="00E96E9F">
        <w:t>13.5</w:t>
      </w:r>
      <w:r w:rsidR="00F96B2F" w:rsidRPr="00E96E9F">
        <w:t xml:space="preserve"> </w:t>
      </w:r>
      <w:r w:rsidR="00811E0E" w:rsidRPr="00E96E9F">
        <w:t>years</w:t>
      </w:r>
      <w:r w:rsidR="0077130E">
        <w:t xml:space="preserve"> for females and </w:t>
      </w:r>
      <w:r w:rsidR="00811E0E" w:rsidRPr="00E96E9F">
        <w:t>15.5</w:t>
      </w:r>
      <w:r w:rsidR="00F96B2F" w:rsidRPr="00E96E9F">
        <w:t xml:space="preserve"> </w:t>
      </w:r>
      <w:r w:rsidR="00811E0E" w:rsidRPr="00E96E9F">
        <w:t>years</w:t>
      </w:r>
      <w:r w:rsidR="00081CE4">
        <w:t xml:space="preserve"> for </w:t>
      </w:r>
      <w:r w:rsidR="0077130E">
        <w:t>males</w:t>
      </w:r>
      <w:r>
        <w:t xml:space="preserve">, </w:t>
      </w:r>
      <w:r w:rsidR="00811E0E" w:rsidRPr="00BF1BFB">
        <w:t>which</w:t>
      </w:r>
      <w:r w:rsidR="00F96B2F" w:rsidRPr="00BF1BFB">
        <w:t xml:space="preserve"> </w:t>
      </w:r>
      <w:r w:rsidR="00962018" w:rsidRPr="00BF1BFB">
        <w:t xml:space="preserve">are </w:t>
      </w:r>
      <w:r w:rsidR="00811E0E" w:rsidRPr="00BF1BFB">
        <w:t>not</w:t>
      </w:r>
      <w:r w:rsidR="00F96B2F" w:rsidRPr="00BF1BFB">
        <w:t xml:space="preserve"> </w:t>
      </w:r>
      <w:r w:rsidR="00214882" w:rsidRPr="00BF1BFB">
        <w:t>the</w:t>
      </w:r>
      <w:r w:rsidR="00F96B2F" w:rsidRPr="00BF1BFB">
        <w:t xml:space="preserve"> </w:t>
      </w:r>
      <w:r w:rsidR="00811E0E" w:rsidRPr="00BF1BFB">
        <w:t>demographics</w:t>
      </w:r>
      <w:r w:rsidR="00F96B2F" w:rsidRPr="00BF1BFB">
        <w:t xml:space="preserve"> </w:t>
      </w:r>
      <w:r w:rsidR="00811E0E" w:rsidRPr="00BF1BFB">
        <w:t>reflected</w:t>
      </w:r>
      <w:r w:rsidR="00F96B2F" w:rsidRPr="00BF1BFB">
        <w:t xml:space="preserve"> </w:t>
      </w:r>
      <w:r w:rsidR="00811E0E" w:rsidRPr="00BF1BFB">
        <w:t>in</w:t>
      </w:r>
      <w:r w:rsidR="00F96B2F" w:rsidRPr="00BF1BFB">
        <w:t xml:space="preserve"> </w:t>
      </w:r>
      <w:r w:rsidR="00811E0E" w:rsidRPr="00BF1BFB">
        <w:t>the</w:t>
      </w:r>
      <w:r w:rsidR="00F96B2F" w:rsidRPr="00BF1BFB">
        <w:t xml:space="preserve"> </w:t>
      </w:r>
      <w:r w:rsidR="00811E0E" w:rsidRPr="00BF1BFB">
        <w:t>clinical</w:t>
      </w:r>
      <w:r w:rsidR="00F96B2F" w:rsidRPr="00BF1BFB">
        <w:t xml:space="preserve"> </w:t>
      </w:r>
      <w:r w:rsidR="00811E0E" w:rsidRPr="00BF1BFB">
        <w:t>trial</w:t>
      </w:r>
      <w:r w:rsidR="00F96B2F" w:rsidRPr="00BF1BFB">
        <w:t xml:space="preserve"> </w:t>
      </w:r>
      <w:r w:rsidR="00811E0E" w:rsidRPr="00BF1BFB">
        <w:t>data.</w:t>
      </w:r>
      <w:r w:rsidR="00F96B2F" w:rsidRPr="00BF1BFB">
        <w:t xml:space="preserve"> </w:t>
      </w:r>
      <w:r w:rsidR="003E32CF">
        <w:t>The d</w:t>
      </w:r>
      <w:r w:rsidR="27DDAD43" w:rsidRPr="00BF1BFB">
        <w:t xml:space="preserve">emographics from </w:t>
      </w:r>
      <w:r w:rsidR="66829274" w:rsidRPr="00BF1BFB">
        <w:t xml:space="preserve">the main </w:t>
      </w:r>
      <w:r w:rsidR="27DDAD43" w:rsidRPr="00BF1BFB">
        <w:t xml:space="preserve">study 4006 </w:t>
      </w:r>
      <w:r w:rsidR="5F437C40" w:rsidRPr="00BF1BFB">
        <w:t xml:space="preserve">for the total </w:t>
      </w:r>
      <w:r w:rsidR="662E44C6" w:rsidRPr="00BF1BFB">
        <w:t>cohorts (</w:t>
      </w:r>
      <w:proofErr w:type="spellStart"/>
      <w:r w:rsidR="662E44C6" w:rsidRPr="00BF1BFB">
        <w:t>s</w:t>
      </w:r>
      <w:r w:rsidR="5F437C40" w:rsidRPr="00BF1BFB">
        <w:t>omatrogon</w:t>
      </w:r>
      <w:proofErr w:type="spellEnd"/>
      <w:r w:rsidR="5F437C40" w:rsidRPr="00BF1BFB">
        <w:t xml:space="preserve"> and </w:t>
      </w:r>
      <w:r w:rsidR="00CB4E93" w:rsidRPr="00BF1BFB">
        <w:t>Genotropin</w:t>
      </w:r>
      <w:r w:rsidR="49C9CA47" w:rsidRPr="00BF1BFB">
        <w:t>)</w:t>
      </w:r>
      <w:r w:rsidR="5F437C40" w:rsidRPr="00BF1BFB">
        <w:t xml:space="preserve"> </w:t>
      </w:r>
      <w:r w:rsidR="27DDAD43" w:rsidRPr="00BF1BFB">
        <w:t xml:space="preserve">reported </w:t>
      </w:r>
      <w:r w:rsidR="27DDAD43" w:rsidRPr="00BF1BFB">
        <w:lastRenderedPageBreak/>
        <w:t xml:space="preserve">a </w:t>
      </w:r>
      <w:r w:rsidR="3FBE4669" w:rsidRPr="00BF1BFB">
        <w:t xml:space="preserve">median </w:t>
      </w:r>
      <w:r w:rsidR="000E0DDE">
        <w:t xml:space="preserve">chronological </w:t>
      </w:r>
      <w:r w:rsidR="3FBE4669" w:rsidRPr="00BF1BFB">
        <w:t>age of 7.87</w:t>
      </w:r>
      <w:r w:rsidR="1B4064EF" w:rsidRPr="00BF1BFB">
        <w:t xml:space="preserve"> years, mean age of 7.72 years, minimum </w:t>
      </w:r>
      <w:r w:rsidR="3903FE69" w:rsidRPr="00BF1BFB">
        <w:t xml:space="preserve">age </w:t>
      </w:r>
      <w:r w:rsidR="1B4064EF" w:rsidRPr="00BF1BFB">
        <w:t>of 3.01 years</w:t>
      </w:r>
      <w:r w:rsidR="00962018" w:rsidRPr="00BF1BFB">
        <w:t>, and a</w:t>
      </w:r>
      <w:r w:rsidR="1B4064EF" w:rsidRPr="00BF1BFB">
        <w:t xml:space="preserve"> </w:t>
      </w:r>
      <w:r w:rsidR="604AB6E2" w:rsidRPr="00BF1BFB">
        <w:t>maximum</w:t>
      </w:r>
      <w:r w:rsidR="6F225CB1" w:rsidRPr="00BF1BFB">
        <w:t xml:space="preserve"> age</w:t>
      </w:r>
      <w:r w:rsidR="604AB6E2" w:rsidRPr="00BF1BFB">
        <w:t xml:space="preserve"> of </w:t>
      </w:r>
      <w:r w:rsidR="6B1C45A1" w:rsidRPr="00BF1BFB">
        <w:t xml:space="preserve">11.96 </w:t>
      </w:r>
      <w:r w:rsidR="604AB6E2" w:rsidRPr="00BF1BFB">
        <w:t>years.</w:t>
      </w:r>
      <w:r w:rsidR="006C5206" w:rsidRPr="00BF1BFB">
        <w:t xml:space="preserve"> </w:t>
      </w:r>
      <w:r w:rsidR="008A1313">
        <w:t xml:space="preserve">The PBAC noted that there was limited data available for the usage of </w:t>
      </w:r>
      <w:proofErr w:type="spellStart"/>
      <w:r w:rsidR="008A1313">
        <w:t>somatrogon</w:t>
      </w:r>
      <w:proofErr w:type="spellEnd"/>
      <w:r w:rsidR="008A1313">
        <w:t xml:space="preserve"> in patients aged 12-18, and that there was no data for children under 3 years of age. The PBAC </w:t>
      </w:r>
      <w:r w:rsidR="000C04C5">
        <w:t xml:space="preserve">noted the limitations of the data </w:t>
      </w:r>
      <w:r w:rsidR="001B54D2">
        <w:t xml:space="preserve">but </w:t>
      </w:r>
      <w:r w:rsidR="00342390">
        <w:t xml:space="preserve">discussed </w:t>
      </w:r>
      <w:r w:rsidR="008A1313">
        <w:t xml:space="preserve">that </w:t>
      </w:r>
      <w:r w:rsidR="00342390">
        <w:t xml:space="preserve">it was important </w:t>
      </w:r>
      <w:r w:rsidR="000A1D13">
        <w:t xml:space="preserve">that a </w:t>
      </w:r>
      <w:r w:rsidR="00342390">
        <w:t xml:space="preserve">weekly </w:t>
      </w:r>
      <w:r w:rsidR="000A1D13">
        <w:t xml:space="preserve">form of </w:t>
      </w:r>
      <w:r w:rsidR="00C3608F">
        <w:t>GH</w:t>
      </w:r>
      <w:r w:rsidR="000A1D13">
        <w:t xml:space="preserve"> injection </w:t>
      </w:r>
      <w:r w:rsidR="00EC3087">
        <w:t>i</w:t>
      </w:r>
      <w:r w:rsidR="000A1D13">
        <w:t>s available to patients</w:t>
      </w:r>
      <w:r w:rsidR="00342390">
        <w:t xml:space="preserve">. Therefore, the PBAC considered that </w:t>
      </w:r>
      <w:r w:rsidR="008A1313">
        <w:t>patients who do not have a mature skeleton</w:t>
      </w:r>
      <w:r w:rsidR="00342390">
        <w:t xml:space="preserve"> </w:t>
      </w:r>
      <w:r w:rsidR="006B7E08">
        <w:t>sh</w:t>
      </w:r>
      <w:r w:rsidR="00C3608F">
        <w:t xml:space="preserve">ould be eligible for </w:t>
      </w:r>
      <w:proofErr w:type="spellStart"/>
      <w:r w:rsidR="00C3608F">
        <w:t>somatrogon</w:t>
      </w:r>
      <w:proofErr w:type="spellEnd"/>
      <w:r w:rsidR="008A1313">
        <w:t>.</w:t>
      </w:r>
    </w:p>
    <w:p w14:paraId="77DE14E4" w14:textId="3E5F25AF" w:rsidR="00E31543" w:rsidRDefault="00E31543" w:rsidP="00E31543">
      <w:pPr>
        <w:pStyle w:val="3-BodyText"/>
        <w:numPr>
          <w:ilvl w:val="1"/>
          <w:numId w:val="1"/>
        </w:numPr>
      </w:pPr>
      <w:r>
        <w:t xml:space="preserve">The submission requested that the continuing treatment phase be restricted to prescribing by a specialist or consultant physician in paediatric endocrinology or a specialist or consultant physician in general paediatrics in consultation with a nominated specialist or consultant physician in paediatric endocrinology. The PBAC noted that the continuing treatment phase of the comparator is not restricted to just specialists but to all medical practitioners and considered that </w:t>
      </w:r>
      <w:proofErr w:type="spellStart"/>
      <w:r>
        <w:t>somatrogon</w:t>
      </w:r>
      <w:proofErr w:type="spellEnd"/>
      <w:r>
        <w:t xml:space="preserve"> should likewise be open to prescribing by all medical practitioners.</w:t>
      </w:r>
    </w:p>
    <w:p w14:paraId="1DD460A6" w14:textId="77777777" w:rsidR="00E31543" w:rsidRDefault="00E31543" w:rsidP="00E31543">
      <w:pPr>
        <w:pStyle w:val="3-BodyText"/>
        <w:numPr>
          <w:ilvl w:val="1"/>
          <w:numId w:val="1"/>
        </w:numPr>
      </w:pPr>
      <w:r>
        <w:t xml:space="preserve">The submission requested continuing clinical criteria of achieving the 50th percentile growth velocity for bone age and sex or achieving an increase in height standard deviation score for chronological age and sex or achieving a minimum growth velocity of 4cm/year or achieving and maintaining mid parental height standard deviation score for the most recent treatment period, consistent with that of somatropin. However, somatropin also has the additional criterion of the patient not being on the upper dose limit or greater, such that a patient would need to at least be dosed at the upper limit and not meet any of the other continuing criteria to be deemed to have an inadequate response growth hormone and not continue PBS treatment. Without a specified upper dose limit, a patient who is on a sub-optimal dose of </w:t>
      </w:r>
      <w:proofErr w:type="spellStart"/>
      <w:r>
        <w:t>somatrogon</w:t>
      </w:r>
      <w:proofErr w:type="spellEnd"/>
      <w:r>
        <w:t xml:space="preserve"> that does not meet any of the </w:t>
      </w:r>
      <w:proofErr w:type="spellStart"/>
      <w:r>
        <w:t>somatrogon</w:t>
      </w:r>
      <w:proofErr w:type="spellEnd"/>
      <w:r>
        <w:t xml:space="preserve"> continuing criteria would be deemed to have an inadequate response to growth hormone without having had an opportunity to increase their dose. The PBAC therefore considered that an upper dose limit should be included in the </w:t>
      </w:r>
      <w:proofErr w:type="spellStart"/>
      <w:r>
        <w:t>somatrogon</w:t>
      </w:r>
      <w:proofErr w:type="spellEnd"/>
      <w:r>
        <w:t xml:space="preserve"> restriction and recommended an upper dose limit of </w:t>
      </w:r>
      <w:r w:rsidRPr="009405D8">
        <w:t>20.73</w:t>
      </w:r>
      <w:r>
        <w:t xml:space="preserve"> </w:t>
      </w:r>
      <w:r w:rsidRPr="009405D8">
        <w:t>mg/m</w:t>
      </w:r>
      <w:r w:rsidRPr="00826DBE">
        <w:rPr>
          <w:vertAlign w:val="superscript"/>
        </w:rPr>
        <w:t>2</w:t>
      </w:r>
      <w:r w:rsidRPr="009405D8">
        <w:t>/week</w:t>
      </w:r>
      <w:r>
        <w:t xml:space="preserve">, which was calculated using the upper dose limit of somatropin multiplied by the </w:t>
      </w:r>
      <w:proofErr w:type="spellStart"/>
      <w:r>
        <w:t>equi</w:t>
      </w:r>
      <w:proofErr w:type="spellEnd"/>
      <w:r>
        <w:t xml:space="preserve">-effective dose ratio of </w:t>
      </w:r>
      <w:proofErr w:type="spellStart"/>
      <w:r>
        <w:t>somatrogon</w:t>
      </w:r>
      <w:proofErr w:type="spellEnd"/>
      <w:r>
        <w:t xml:space="preserve"> to somatropin.</w:t>
      </w:r>
    </w:p>
    <w:p w14:paraId="47213D33" w14:textId="3661D243" w:rsidR="000470C3" w:rsidRPr="000E0DDE" w:rsidRDefault="000470C3" w:rsidP="00AE4FFF">
      <w:pPr>
        <w:pStyle w:val="3-BodyText"/>
      </w:pPr>
      <w:r w:rsidRPr="000E0DDE">
        <w:t xml:space="preserve">The submission requested that patients be able to </w:t>
      </w:r>
      <w:r w:rsidR="000C04C5">
        <w:t>switch</w:t>
      </w:r>
      <w:r w:rsidR="000C04C5" w:rsidRPr="000E0DDE">
        <w:t xml:space="preserve"> </w:t>
      </w:r>
      <w:r w:rsidRPr="000E0DDE">
        <w:t xml:space="preserve">from </w:t>
      </w:r>
      <w:r w:rsidR="00CA7055">
        <w:t xml:space="preserve">daily </w:t>
      </w:r>
      <w:r w:rsidRPr="000E0DDE">
        <w:t>somatropin</w:t>
      </w:r>
      <w:r w:rsidR="00CA7055">
        <w:t xml:space="preserve"> </w:t>
      </w:r>
      <w:r w:rsidRPr="000E0DDE">
        <w:t xml:space="preserve">to </w:t>
      </w:r>
      <w:r w:rsidR="00CA7055">
        <w:t xml:space="preserve">weekly </w:t>
      </w:r>
      <w:proofErr w:type="spellStart"/>
      <w:r w:rsidRPr="000E0DDE">
        <w:t>somatrogon</w:t>
      </w:r>
      <w:proofErr w:type="spellEnd"/>
      <w:r w:rsidRPr="000E0DDE">
        <w:t xml:space="preserve">, however, </w:t>
      </w:r>
      <w:r w:rsidR="00E345E4">
        <w:t xml:space="preserve">did </w:t>
      </w:r>
      <w:r w:rsidRPr="000E0DDE">
        <w:t xml:space="preserve">not present any restriction criteria to this effect. </w:t>
      </w:r>
      <w:r w:rsidR="00AE4FFF">
        <w:t xml:space="preserve">The PBAC considered that switching between </w:t>
      </w:r>
      <w:r w:rsidR="00E31543">
        <w:t xml:space="preserve">somatropin and </w:t>
      </w:r>
      <w:proofErr w:type="spellStart"/>
      <w:r w:rsidR="00E31543">
        <w:t>somatrogon</w:t>
      </w:r>
      <w:proofErr w:type="spellEnd"/>
      <w:r w:rsidR="00E31543">
        <w:t xml:space="preserve"> should only be initiated by a specialist or consultant physician in paediatric endocrinology or a specialist or consultant physician in general paediatrics in consultation with a nominated specialist or consultant physician in paediatric endocrinology. Further the PBAC considered that switching should </w:t>
      </w:r>
      <w:r w:rsidR="00AE4FFF">
        <w:t xml:space="preserve">only occur when the patient is stable, has previously met the initial restriction criteria of </w:t>
      </w:r>
      <w:proofErr w:type="spellStart"/>
      <w:r w:rsidR="00AE4FFF">
        <w:t>somatrogon</w:t>
      </w:r>
      <w:proofErr w:type="spellEnd"/>
      <w:r w:rsidR="00AE4FFF">
        <w:t xml:space="preserve"> or somatropin, and is not concurrently taking any other PBS subsidised therapy for the same indication (</w:t>
      </w:r>
      <w:proofErr w:type="gramStart"/>
      <w:r w:rsidR="00AE4FFF">
        <w:t>i.e.</w:t>
      </w:r>
      <w:proofErr w:type="gramEnd"/>
      <w:r w:rsidR="00AE4FFF">
        <w:t xml:space="preserve"> is not taking both somatropin and </w:t>
      </w:r>
      <w:proofErr w:type="spellStart"/>
      <w:r w:rsidR="00AE4FFF">
        <w:t>somatrogon</w:t>
      </w:r>
      <w:proofErr w:type="spellEnd"/>
      <w:r w:rsidR="00AE4FFF">
        <w:t xml:space="preserve">). The PBAC </w:t>
      </w:r>
      <w:r w:rsidR="00534E5B">
        <w:t xml:space="preserve">noted </w:t>
      </w:r>
      <w:r w:rsidR="00534E5B" w:rsidRPr="000E0DDE">
        <w:t>that</w:t>
      </w:r>
      <w:r w:rsidR="00AE4FFF">
        <w:t xml:space="preserve"> the </w:t>
      </w:r>
      <w:r w:rsidRPr="000E0DDE">
        <w:t>concurrent</w:t>
      </w:r>
      <w:r w:rsidR="00AE4FFF">
        <w:t xml:space="preserve"> use of both therapies</w:t>
      </w:r>
      <w:r w:rsidRPr="000E0DDE">
        <w:t xml:space="preserve"> </w:t>
      </w:r>
      <w:proofErr w:type="gramStart"/>
      <w:r w:rsidRPr="000E0DDE">
        <w:t>or</w:t>
      </w:r>
      <w:proofErr w:type="gramEnd"/>
      <w:r w:rsidRPr="000E0DDE">
        <w:t xml:space="preserve"> frequently </w:t>
      </w:r>
      <w:r w:rsidR="00AE4FFF" w:rsidRPr="000E0DDE">
        <w:t>interchang</w:t>
      </w:r>
      <w:r w:rsidR="00AE4FFF">
        <w:t>ing</w:t>
      </w:r>
      <w:r w:rsidR="00AE4FFF" w:rsidRPr="000E0DDE">
        <w:t xml:space="preserve"> </w:t>
      </w:r>
      <w:r w:rsidRPr="000E0DDE">
        <w:t>between them</w:t>
      </w:r>
      <w:r w:rsidR="00AE4FFF">
        <w:t xml:space="preserve"> may represent</w:t>
      </w:r>
      <w:r w:rsidRPr="000E0DDE">
        <w:t xml:space="preserve"> a </w:t>
      </w:r>
      <w:r w:rsidRPr="000E0DDE">
        <w:lastRenderedPageBreak/>
        <w:t xml:space="preserve">Quality Use of Medicines </w:t>
      </w:r>
      <w:r w:rsidR="00AE4FFF">
        <w:t>(QUM) issue but considered that this should be left to the discretion of the treating endocrinologist</w:t>
      </w:r>
      <w:r w:rsidRPr="000E0DDE">
        <w:t xml:space="preserve">. </w:t>
      </w:r>
    </w:p>
    <w:p w14:paraId="274916EA" w14:textId="5103F923" w:rsidR="000470C3" w:rsidRPr="000E0DDE" w:rsidRDefault="00E17B04" w:rsidP="008317EC">
      <w:pPr>
        <w:pStyle w:val="3-BodyText"/>
      </w:pPr>
      <w:r>
        <w:t>The PBAC noted that s</w:t>
      </w:r>
      <w:r w:rsidR="000470C3" w:rsidRPr="000E0DDE">
        <w:t xml:space="preserve">everal updates are expected to be made to all the somatropin restrictions </w:t>
      </w:r>
      <w:proofErr w:type="gramStart"/>
      <w:r w:rsidR="000470C3" w:rsidRPr="000E0DDE">
        <w:t>subsequent to</w:t>
      </w:r>
      <w:proofErr w:type="gramEnd"/>
      <w:r w:rsidR="000470C3" w:rsidRPr="000E0DDE">
        <w:t xml:space="preserve"> the September 2021 PBAC consideration of somatropin. </w:t>
      </w:r>
      <w:r>
        <w:t>T</w:t>
      </w:r>
      <w:r w:rsidR="008317EC">
        <w:rPr>
          <w:iCs/>
        </w:rPr>
        <w:t xml:space="preserve">he PBAC considered that the relevant outcomes from its September 2021 consideration of somatropin should apply to </w:t>
      </w:r>
      <w:proofErr w:type="spellStart"/>
      <w:r w:rsidR="008317EC">
        <w:rPr>
          <w:iCs/>
        </w:rPr>
        <w:t>somatrogon</w:t>
      </w:r>
      <w:proofErr w:type="spellEnd"/>
      <w:r w:rsidR="008317EC">
        <w:rPr>
          <w:iCs/>
        </w:rPr>
        <w:t>.</w:t>
      </w:r>
    </w:p>
    <w:p w14:paraId="3A00D18B" w14:textId="7C9B2359" w:rsidR="000470C3" w:rsidRDefault="000470C3" w:rsidP="000470C3">
      <w:pPr>
        <w:pStyle w:val="3-BodyText"/>
      </w:pPr>
      <w:r w:rsidRPr="000E0DDE">
        <w:t>The submission requested a grandfathering restriction</w:t>
      </w:r>
      <w:r w:rsidR="00B93AAA">
        <w:t xml:space="preserve"> for the </w:t>
      </w:r>
      <w:r w:rsidR="001D53A8">
        <w:t>treatment</w:t>
      </w:r>
      <w:r w:rsidR="00B93AAA">
        <w:t xml:space="preserve"> of SSABGHD </w:t>
      </w:r>
      <w:r w:rsidRPr="000E0DDE">
        <w:t xml:space="preserve">for 3 patients who are still on a </w:t>
      </w:r>
      <w:proofErr w:type="spellStart"/>
      <w:r w:rsidRPr="000E0DDE">
        <w:t>somatrogon</w:t>
      </w:r>
      <w:proofErr w:type="spellEnd"/>
      <w:r w:rsidRPr="000E0DDE">
        <w:t xml:space="preserve"> drug trial and are expected to continue treatment using PBS subsidised therapy. </w:t>
      </w:r>
      <w:r w:rsidR="000C04C5">
        <w:t>The PBAC noted that a</w:t>
      </w:r>
      <w:r w:rsidRPr="000E0DDE">
        <w:t xml:space="preserve"> grandfathering restriction </w:t>
      </w:r>
      <w:r w:rsidR="000C04C5">
        <w:t>would be</w:t>
      </w:r>
      <w:r w:rsidRPr="000E0DDE">
        <w:t xml:space="preserve"> required </w:t>
      </w:r>
      <w:r w:rsidR="000C04C5">
        <w:t>as</w:t>
      </w:r>
      <w:r w:rsidRPr="000E0DDE">
        <w:t xml:space="preserve"> patients on the trial </w:t>
      </w:r>
      <w:r w:rsidR="00B93AAA">
        <w:t>would not</w:t>
      </w:r>
      <w:r w:rsidR="000C04C5">
        <w:t xml:space="preserve"> </w:t>
      </w:r>
      <w:r w:rsidR="00E235C6">
        <w:t xml:space="preserve">be eligible to </w:t>
      </w:r>
      <w:r w:rsidR="00925A4C">
        <w:t>initiate</w:t>
      </w:r>
      <w:r w:rsidR="000C04C5">
        <w:t xml:space="preserve"> </w:t>
      </w:r>
      <w:r w:rsidR="00E235C6">
        <w:t xml:space="preserve">under the </w:t>
      </w:r>
      <w:r w:rsidR="00B93AAA">
        <w:t>proposed initial</w:t>
      </w:r>
      <w:r w:rsidR="00E235C6">
        <w:t xml:space="preserve"> restriction</w:t>
      </w:r>
      <w:r w:rsidRPr="000E0DDE">
        <w:t>.</w:t>
      </w:r>
      <w:r w:rsidR="001D53A8">
        <w:t xml:space="preserve"> The PBAC considered that patients who initiate under a grandfather restriction must have documented evidence that they have previously met the PBS initial criteria.</w:t>
      </w:r>
    </w:p>
    <w:p w14:paraId="0BCFF043" w14:textId="3400EE98" w:rsidR="000470C3" w:rsidRPr="000E0DDE" w:rsidRDefault="000470C3" w:rsidP="000470C3">
      <w:pPr>
        <w:pStyle w:val="3-BodyText"/>
      </w:pPr>
      <w:r w:rsidRPr="000E0DDE">
        <w:t xml:space="preserve">The requested restriction </w:t>
      </w:r>
      <w:r w:rsidR="007F077D">
        <w:t>wa</w:t>
      </w:r>
      <w:r w:rsidRPr="000E0DDE">
        <w:t>s considered complex in terms of the time required for finalisation.</w:t>
      </w:r>
    </w:p>
    <w:p w14:paraId="0F2492DF" w14:textId="421A035C" w:rsidR="0038201B" w:rsidRPr="006C5798" w:rsidRDefault="0038201B" w:rsidP="0038201B">
      <w:pPr>
        <w:pStyle w:val="3-BodyText"/>
        <w:numPr>
          <w:ilvl w:val="0"/>
          <w:numId w:val="0"/>
        </w:numPr>
        <w:ind w:left="720"/>
        <w:rPr>
          <w:color w:val="0066FF"/>
        </w:rPr>
      </w:pPr>
      <w:r w:rsidRPr="00C33D30">
        <w:rPr>
          <w:i/>
        </w:rPr>
        <w:t xml:space="preserve">For more </w:t>
      </w:r>
      <w:r w:rsidR="00DB6618">
        <w:rPr>
          <w:i/>
        </w:rPr>
        <w:t>detail on the PBAC’s</w:t>
      </w:r>
      <w:r w:rsidRPr="00C33D30">
        <w:rPr>
          <w:i/>
        </w:rPr>
        <w:t xml:space="preserve"> view, see section 7 PBAC outcome.</w:t>
      </w:r>
    </w:p>
    <w:p w14:paraId="20224FDE" w14:textId="243CD178" w:rsidR="00811E0E" w:rsidRPr="00E96E9F" w:rsidRDefault="00811E0E" w:rsidP="00811E0E">
      <w:pPr>
        <w:pStyle w:val="2-SectionHeading"/>
      </w:pPr>
      <w:bookmarkStart w:id="11" w:name="_Toc93499816"/>
      <w:r w:rsidRPr="00E96E9F">
        <w:t>Population</w:t>
      </w:r>
      <w:r w:rsidR="00F96B2F" w:rsidRPr="00E96E9F">
        <w:t xml:space="preserve"> </w:t>
      </w:r>
      <w:r w:rsidRPr="00E96E9F">
        <w:t>and</w:t>
      </w:r>
      <w:r w:rsidR="00F96B2F" w:rsidRPr="00E96E9F">
        <w:t xml:space="preserve"> </w:t>
      </w:r>
      <w:r w:rsidRPr="00E96E9F">
        <w:t>disease</w:t>
      </w:r>
      <w:bookmarkEnd w:id="11"/>
    </w:p>
    <w:p w14:paraId="559E2ADF" w14:textId="4430E61A" w:rsidR="00E5129A" w:rsidRPr="00E96E9F" w:rsidRDefault="00811E0E" w:rsidP="00811E0E">
      <w:pPr>
        <w:pStyle w:val="3-BodyText"/>
        <w:rPr>
          <w:rFonts w:eastAsia="Calibri"/>
        </w:rPr>
      </w:pPr>
      <w:r w:rsidRPr="00E96E9F">
        <w:rPr>
          <w:rFonts w:eastAsia="Calibri"/>
        </w:rPr>
        <w:t>Paediatric</w:t>
      </w:r>
      <w:r w:rsidR="00F96B2F" w:rsidRPr="00E96E9F">
        <w:rPr>
          <w:rFonts w:eastAsia="Calibri"/>
        </w:rPr>
        <w:t xml:space="preserve"> </w:t>
      </w:r>
      <w:r w:rsidRPr="00E96E9F">
        <w:rPr>
          <w:rFonts w:eastAsia="Calibri"/>
        </w:rPr>
        <w:t>growth</w:t>
      </w:r>
      <w:r w:rsidR="00F96B2F" w:rsidRPr="00E96E9F">
        <w:rPr>
          <w:rFonts w:eastAsia="Calibri"/>
        </w:rPr>
        <w:t xml:space="preserve"> </w:t>
      </w:r>
      <w:r w:rsidRPr="00E96E9F">
        <w:rPr>
          <w:rFonts w:eastAsia="Calibri"/>
        </w:rPr>
        <w:t>hormone</w:t>
      </w:r>
      <w:r w:rsidR="00F96B2F" w:rsidRPr="00E96E9F">
        <w:rPr>
          <w:rFonts w:eastAsia="Calibri"/>
        </w:rPr>
        <w:t xml:space="preserve"> </w:t>
      </w:r>
      <w:r w:rsidRPr="00E96E9F">
        <w:rPr>
          <w:rFonts w:eastAsia="Calibri"/>
        </w:rPr>
        <w:t>deficiency</w:t>
      </w:r>
      <w:r w:rsidR="00F96B2F" w:rsidRPr="00E96E9F">
        <w:rPr>
          <w:rFonts w:eastAsia="Calibri"/>
        </w:rPr>
        <w:t xml:space="preserve"> </w:t>
      </w:r>
      <w:r w:rsidRPr="00E96E9F">
        <w:rPr>
          <w:rFonts w:eastAsia="Calibri"/>
        </w:rPr>
        <w:t>(</w:t>
      </w:r>
      <w:proofErr w:type="spellStart"/>
      <w:r w:rsidRPr="00E96E9F">
        <w:rPr>
          <w:rFonts w:eastAsia="Calibri"/>
        </w:rPr>
        <w:t>pGHD</w:t>
      </w:r>
      <w:proofErr w:type="spellEnd"/>
      <w:r w:rsidRPr="00E96E9F">
        <w:rPr>
          <w:rFonts w:eastAsia="Calibri"/>
        </w:rPr>
        <w:t>)</w:t>
      </w:r>
      <w:r w:rsidR="00F96B2F" w:rsidRPr="00E96E9F">
        <w:rPr>
          <w:rFonts w:eastAsia="Calibri"/>
        </w:rPr>
        <w:t xml:space="preserve"> </w:t>
      </w:r>
      <w:r w:rsidRPr="00E96E9F">
        <w:rPr>
          <w:rFonts w:eastAsia="Calibri"/>
        </w:rPr>
        <w:t>is</w:t>
      </w:r>
      <w:r w:rsidR="00F96B2F" w:rsidRPr="00E96E9F">
        <w:rPr>
          <w:rFonts w:eastAsia="Calibri"/>
        </w:rPr>
        <w:t xml:space="preserve"> </w:t>
      </w:r>
      <w:r w:rsidRPr="00E96E9F">
        <w:rPr>
          <w:rFonts w:eastAsia="Calibri"/>
        </w:rPr>
        <w:t>a</w:t>
      </w:r>
      <w:r w:rsidR="00F96B2F" w:rsidRPr="00E96E9F">
        <w:rPr>
          <w:rFonts w:eastAsia="Calibri"/>
        </w:rPr>
        <w:t xml:space="preserve"> </w:t>
      </w:r>
      <w:r w:rsidRPr="00E96E9F">
        <w:rPr>
          <w:rFonts w:eastAsia="Calibri"/>
        </w:rPr>
        <w:t>rare</w:t>
      </w:r>
      <w:r w:rsidR="00F96B2F" w:rsidRPr="00E96E9F">
        <w:rPr>
          <w:rFonts w:eastAsia="Calibri"/>
        </w:rPr>
        <w:t xml:space="preserve"> </w:t>
      </w:r>
      <w:r w:rsidRPr="00E96E9F">
        <w:rPr>
          <w:rFonts w:eastAsia="Calibri"/>
        </w:rPr>
        <w:t>condition.</w:t>
      </w:r>
      <w:r w:rsidR="00F96B2F" w:rsidRPr="00E96E9F">
        <w:rPr>
          <w:rFonts w:eastAsia="Calibri"/>
        </w:rPr>
        <w:t xml:space="preserve"> </w:t>
      </w:r>
      <w:r w:rsidRPr="00E96E9F">
        <w:rPr>
          <w:rFonts w:eastAsia="Calibri"/>
        </w:rPr>
        <w:t>It</w:t>
      </w:r>
      <w:r w:rsidR="00F96B2F" w:rsidRPr="00E96E9F">
        <w:rPr>
          <w:rFonts w:eastAsia="Calibri"/>
        </w:rPr>
        <w:t xml:space="preserve"> </w:t>
      </w:r>
      <w:r w:rsidRPr="00E96E9F">
        <w:rPr>
          <w:rFonts w:eastAsia="Calibri"/>
        </w:rPr>
        <w:t>affects</w:t>
      </w:r>
      <w:r w:rsidR="00F96B2F" w:rsidRPr="00E96E9F">
        <w:rPr>
          <w:rFonts w:eastAsia="Calibri"/>
        </w:rPr>
        <w:t xml:space="preserve"> </w:t>
      </w:r>
      <w:r w:rsidRPr="00E96E9F">
        <w:rPr>
          <w:rFonts w:eastAsia="Calibri"/>
        </w:rPr>
        <w:t>the</w:t>
      </w:r>
      <w:r w:rsidR="00F96B2F" w:rsidRPr="00E96E9F">
        <w:rPr>
          <w:rFonts w:eastAsia="Calibri"/>
        </w:rPr>
        <w:t xml:space="preserve"> </w:t>
      </w:r>
      <w:r w:rsidRPr="00E96E9F">
        <w:rPr>
          <w:rFonts w:eastAsia="Calibri"/>
        </w:rPr>
        <w:t>bone,</w:t>
      </w:r>
      <w:r w:rsidR="00F96B2F" w:rsidRPr="00E96E9F">
        <w:rPr>
          <w:rFonts w:eastAsia="Calibri"/>
        </w:rPr>
        <w:t xml:space="preserve"> </w:t>
      </w:r>
      <w:r w:rsidRPr="00E96E9F">
        <w:rPr>
          <w:rFonts w:eastAsia="Calibri"/>
        </w:rPr>
        <w:t>lipids,</w:t>
      </w:r>
      <w:r w:rsidR="00F96B2F" w:rsidRPr="00E96E9F">
        <w:rPr>
          <w:rFonts w:eastAsia="Calibri"/>
        </w:rPr>
        <w:t xml:space="preserve"> </w:t>
      </w:r>
      <w:r w:rsidRPr="00E96E9F">
        <w:rPr>
          <w:rFonts w:eastAsia="Calibri"/>
        </w:rPr>
        <w:t>protein</w:t>
      </w:r>
      <w:r w:rsidR="00A120F8" w:rsidRPr="00E96E9F">
        <w:rPr>
          <w:rFonts w:eastAsia="Calibri"/>
        </w:rPr>
        <w:t>,</w:t>
      </w:r>
      <w:r w:rsidR="00F96B2F" w:rsidRPr="00E96E9F">
        <w:rPr>
          <w:rFonts w:eastAsia="Calibri"/>
        </w:rPr>
        <w:t xml:space="preserve"> </w:t>
      </w:r>
      <w:r w:rsidRPr="00E96E9F">
        <w:rPr>
          <w:rFonts w:eastAsia="Calibri"/>
        </w:rPr>
        <w:t>and</w:t>
      </w:r>
      <w:r w:rsidR="00F96B2F" w:rsidRPr="00E96E9F">
        <w:rPr>
          <w:rFonts w:eastAsia="Calibri"/>
        </w:rPr>
        <w:t xml:space="preserve"> </w:t>
      </w:r>
      <w:r w:rsidRPr="00E96E9F">
        <w:rPr>
          <w:rFonts w:eastAsia="Calibri"/>
        </w:rPr>
        <w:t>glucose</w:t>
      </w:r>
      <w:r w:rsidR="00F96B2F" w:rsidRPr="00E96E9F">
        <w:rPr>
          <w:rFonts w:eastAsia="Calibri"/>
        </w:rPr>
        <w:t xml:space="preserve"> </w:t>
      </w:r>
      <w:r w:rsidRPr="00E96E9F">
        <w:rPr>
          <w:rFonts w:eastAsia="Calibri"/>
        </w:rPr>
        <w:t>metabolism</w:t>
      </w:r>
      <w:r w:rsidR="00F96B2F" w:rsidRPr="00E96E9F">
        <w:rPr>
          <w:rFonts w:eastAsia="Calibri"/>
        </w:rPr>
        <w:t xml:space="preserve"> </w:t>
      </w:r>
      <w:r w:rsidRPr="00E96E9F">
        <w:rPr>
          <w:rFonts w:eastAsia="Calibri"/>
        </w:rPr>
        <w:t>which</w:t>
      </w:r>
      <w:r w:rsidR="00F96B2F" w:rsidRPr="00E96E9F">
        <w:rPr>
          <w:rFonts w:eastAsia="Calibri"/>
        </w:rPr>
        <w:t xml:space="preserve"> </w:t>
      </w:r>
      <w:r w:rsidRPr="00E96E9F">
        <w:rPr>
          <w:rFonts w:eastAsia="Calibri"/>
        </w:rPr>
        <w:t>results</w:t>
      </w:r>
      <w:r w:rsidR="00F96B2F" w:rsidRPr="00E96E9F">
        <w:rPr>
          <w:rFonts w:eastAsia="Calibri"/>
        </w:rPr>
        <w:t xml:space="preserve"> </w:t>
      </w:r>
      <w:r w:rsidRPr="00E96E9F">
        <w:rPr>
          <w:rFonts w:eastAsia="Calibri"/>
        </w:rPr>
        <w:t>in</w:t>
      </w:r>
      <w:r w:rsidR="00F96B2F" w:rsidRPr="00E96E9F">
        <w:rPr>
          <w:rFonts w:eastAsia="Calibri"/>
        </w:rPr>
        <w:t xml:space="preserve"> </w:t>
      </w:r>
      <w:r w:rsidRPr="00E96E9F">
        <w:rPr>
          <w:rFonts w:eastAsia="Calibri"/>
        </w:rPr>
        <w:t>abnormal</w:t>
      </w:r>
      <w:r w:rsidR="00F96B2F" w:rsidRPr="00E96E9F">
        <w:rPr>
          <w:rFonts w:eastAsia="Calibri"/>
        </w:rPr>
        <w:t xml:space="preserve"> </w:t>
      </w:r>
      <w:r w:rsidRPr="00E96E9F">
        <w:rPr>
          <w:rFonts w:eastAsia="Calibri"/>
        </w:rPr>
        <w:t>growth</w:t>
      </w:r>
      <w:r w:rsidR="00F96B2F" w:rsidRPr="00E96E9F">
        <w:rPr>
          <w:rFonts w:eastAsia="Calibri"/>
        </w:rPr>
        <w:t xml:space="preserve"> </w:t>
      </w:r>
      <w:r w:rsidRPr="00E96E9F">
        <w:rPr>
          <w:rFonts w:eastAsia="Calibri"/>
        </w:rPr>
        <w:t>height</w:t>
      </w:r>
      <w:r w:rsidR="00F96B2F" w:rsidRPr="00E96E9F">
        <w:rPr>
          <w:rFonts w:eastAsia="Calibri"/>
        </w:rPr>
        <w:t xml:space="preserve"> </w:t>
      </w:r>
      <w:r w:rsidRPr="00E96E9F">
        <w:rPr>
          <w:rFonts w:eastAsia="Calibri"/>
        </w:rPr>
        <w:t>in</w:t>
      </w:r>
      <w:r w:rsidR="00F96B2F" w:rsidRPr="00E96E9F">
        <w:rPr>
          <w:rFonts w:eastAsia="Calibri"/>
        </w:rPr>
        <w:t xml:space="preserve"> </w:t>
      </w:r>
      <w:r w:rsidRPr="00E96E9F">
        <w:rPr>
          <w:rFonts w:eastAsia="Calibri"/>
        </w:rPr>
        <w:t>children,</w:t>
      </w:r>
      <w:r w:rsidR="00F96B2F" w:rsidRPr="00E96E9F">
        <w:rPr>
          <w:rFonts w:eastAsia="Calibri"/>
        </w:rPr>
        <w:t xml:space="preserve"> </w:t>
      </w:r>
      <w:r w:rsidRPr="00E96E9F">
        <w:rPr>
          <w:rFonts w:eastAsia="Calibri"/>
        </w:rPr>
        <w:t>and</w:t>
      </w:r>
      <w:r w:rsidR="00F96B2F" w:rsidRPr="00E96E9F">
        <w:rPr>
          <w:rFonts w:eastAsia="Calibri"/>
        </w:rPr>
        <w:t xml:space="preserve"> </w:t>
      </w:r>
      <w:r w:rsidRPr="00E96E9F">
        <w:rPr>
          <w:rFonts w:eastAsia="Calibri"/>
        </w:rPr>
        <w:t>it</w:t>
      </w:r>
      <w:r w:rsidR="00F96B2F" w:rsidRPr="00E96E9F">
        <w:rPr>
          <w:rFonts w:eastAsia="Calibri"/>
        </w:rPr>
        <w:t xml:space="preserve"> </w:t>
      </w:r>
      <w:r w:rsidRPr="00E96E9F">
        <w:rPr>
          <w:rFonts w:eastAsia="Calibri"/>
        </w:rPr>
        <w:t>may</w:t>
      </w:r>
      <w:r w:rsidR="00F96B2F" w:rsidRPr="00E96E9F">
        <w:rPr>
          <w:rFonts w:eastAsia="Calibri"/>
        </w:rPr>
        <w:t xml:space="preserve"> </w:t>
      </w:r>
      <w:r w:rsidRPr="00E96E9F">
        <w:rPr>
          <w:rFonts w:eastAsia="Calibri"/>
        </w:rPr>
        <w:t>be</w:t>
      </w:r>
      <w:r w:rsidR="00F96B2F" w:rsidRPr="00E96E9F">
        <w:rPr>
          <w:rFonts w:eastAsia="Calibri"/>
        </w:rPr>
        <w:t xml:space="preserve"> </w:t>
      </w:r>
      <w:r w:rsidRPr="00E96E9F">
        <w:rPr>
          <w:rFonts w:eastAsia="Calibri"/>
        </w:rPr>
        <w:t>congenital,</w:t>
      </w:r>
      <w:r w:rsidR="00F96B2F" w:rsidRPr="00E96E9F">
        <w:rPr>
          <w:rFonts w:eastAsia="Calibri"/>
        </w:rPr>
        <w:t xml:space="preserve"> </w:t>
      </w:r>
      <w:r w:rsidRPr="00E96E9F">
        <w:rPr>
          <w:rFonts w:eastAsia="Calibri"/>
        </w:rPr>
        <w:t>acquired,</w:t>
      </w:r>
      <w:r w:rsidR="00F96B2F" w:rsidRPr="00E96E9F">
        <w:rPr>
          <w:rFonts w:eastAsia="Calibri"/>
        </w:rPr>
        <w:t xml:space="preserve"> </w:t>
      </w:r>
      <w:r w:rsidRPr="00E96E9F">
        <w:rPr>
          <w:rFonts w:eastAsia="Calibri"/>
        </w:rPr>
        <w:t>or</w:t>
      </w:r>
      <w:r w:rsidR="00F96B2F" w:rsidRPr="00E96E9F">
        <w:rPr>
          <w:rFonts w:eastAsia="Calibri"/>
        </w:rPr>
        <w:t xml:space="preserve"> </w:t>
      </w:r>
      <w:r w:rsidRPr="00E96E9F">
        <w:rPr>
          <w:rFonts w:eastAsia="Calibri"/>
        </w:rPr>
        <w:t>idiopathic.</w:t>
      </w:r>
      <w:r w:rsidR="00F96B2F" w:rsidRPr="00E96E9F">
        <w:rPr>
          <w:rFonts w:eastAsia="Calibri"/>
        </w:rPr>
        <w:t xml:space="preserve"> </w:t>
      </w:r>
      <w:r w:rsidRPr="00E96E9F">
        <w:rPr>
          <w:rFonts w:eastAsia="Calibri"/>
        </w:rPr>
        <w:t>Causes</w:t>
      </w:r>
      <w:r w:rsidR="00F96B2F" w:rsidRPr="00E96E9F">
        <w:rPr>
          <w:rFonts w:eastAsia="Calibri"/>
        </w:rPr>
        <w:t xml:space="preserve"> </w:t>
      </w:r>
      <w:r w:rsidRPr="00E96E9F">
        <w:rPr>
          <w:rFonts w:eastAsia="Calibri"/>
        </w:rPr>
        <w:t>for</w:t>
      </w:r>
      <w:r w:rsidR="00F96B2F" w:rsidRPr="00E96E9F">
        <w:rPr>
          <w:rFonts w:eastAsia="Calibri"/>
        </w:rPr>
        <w:t xml:space="preserve"> </w:t>
      </w:r>
      <w:r w:rsidRPr="00E96E9F">
        <w:rPr>
          <w:rFonts w:eastAsia="Calibri"/>
        </w:rPr>
        <w:t>acquired</w:t>
      </w:r>
      <w:r w:rsidR="00F96B2F" w:rsidRPr="00E96E9F">
        <w:rPr>
          <w:rFonts w:eastAsia="Calibri"/>
        </w:rPr>
        <w:t xml:space="preserve"> </w:t>
      </w:r>
      <w:r w:rsidRPr="00E96E9F">
        <w:rPr>
          <w:rFonts w:eastAsia="Calibri"/>
        </w:rPr>
        <w:t>GHD</w:t>
      </w:r>
      <w:r w:rsidR="00F96B2F" w:rsidRPr="00E96E9F">
        <w:rPr>
          <w:rFonts w:eastAsia="Calibri"/>
        </w:rPr>
        <w:t xml:space="preserve"> </w:t>
      </w:r>
      <w:r w:rsidRPr="00E96E9F">
        <w:rPr>
          <w:rFonts w:eastAsia="Calibri"/>
        </w:rPr>
        <w:t>include</w:t>
      </w:r>
      <w:r w:rsidR="00F96B2F" w:rsidRPr="00E96E9F">
        <w:rPr>
          <w:rFonts w:eastAsia="Calibri"/>
        </w:rPr>
        <w:t xml:space="preserve"> </w:t>
      </w:r>
      <w:r w:rsidRPr="00E96E9F">
        <w:rPr>
          <w:rFonts w:eastAsia="Calibri"/>
        </w:rPr>
        <w:t>brain</w:t>
      </w:r>
      <w:r w:rsidR="00F96B2F" w:rsidRPr="00E96E9F">
        <w:rPr>
          <w:rFonts w:eastAsia="Calibri"/>
        </w:rPr>
        <w:t xml:space="preserve"> </w:t>
      </w:r>
      <w:r w:rsidRPr="00E96E9F">
        <w:rPr>
          <w:rFonts w:eastAsia="Calibri"/>
        </w:rPr>
        <w:t>tumours</w:t>
      </w:r>
      <w:r w:rsidR="00F96B2F" w:rsidRPr="00E96E9F">
        <w:rPr>
          <w:rFonts w:eastAsia="Calibri"/>
        </w:rPr>
        <w:t xml:space="preserve"> </w:t>
      </w:r>
      <w:r w:rsidRPr="00E96E9F">
        <w:rPr>
          <w:rFonts w:eastAsia="Calibri"/>
        </w:rPr>
        <w:t>in</w:t>
      </w:r>
      <w:r w:rsidR="00F96B2F" w:rsidRPr="00E96E9F">
        <w:rPr>
          <w:rFonts w:eastAsia="Calibri"/>
        </w:rPr>
        <w:t xml:space="preserve"> </w:t>
      </w:r>
      <w:r w:rsidRPr="00E96E9F">
        <w:rPr>
          <w:rFonts w:eastAsia="Calibri"/>
        </w:rPr>
        <w:t>the</w:t>
      </w:r>
      <w:r w:rsidR="00F96B2F" w:rsidRPr="00E96E9F">
        <w:rPr>
          <w:rFonts w:eastAsia="Calibri"/>
        </w:rPr>
        <w:t xml:space="preserve"> </w:t>
      </w:r>
      <w:r w:rsidRPr="00E96E9F">
        <w:rPr>
          <w:rFonts w:eastAsia="Calibri"/>
        </w:rPr>
        <w:t>hypothalamic</w:t>
      </w:r>
      <w:r w:rsidR="00F96B2F" w:rsidRPr="00E96E9F">
        <w:rPr>
          <w:rFonts w:eastAsia="Calibri"/>
        </w:rPr>
        <w:t xml:space="preserve"> </w:t>
      </w:r>
      <w:r w:rsidRPr="00E96E9F">
        <w:rPr>
          <w:rFonts w:eastAsia="Calibri"/>
        </w:rPr>
        <w:t>region,</w:t>
      </w:r>
      <w:r w:rsidR="00F96B2F" w:rsidRPr="00E96E9F">
        <w:rPr>
          <w:rFonts w:eastAsia="Calibri"/>
        </w:rPr>
        <w:t xml:space="preserve"> </w:t>
      </w:r>
      <w:r w:rsidRPr="00E96E9F">
        <w:rPr>
          <w:rFonts w:eastAsia="Calibri"/>
        </w:rPr>
        <w:t>traumatic</w:t>
      </w:r>
      <w:r w:rsidR="00F96B2F" w:rsidRPr="00E96E9F">
        <w:rPr>
          <w:rFonts w:eastAsia="Calibri"/>
        </w:rPr>
        <w:t xml:space="preserve"> </w:t>
      </w:r>
      <w:r w:rsidRPr="00E96E9F">
        <w:rPr>
          <w:rFonts w:eastAsia="Calibri"/>
        </w:rPr>
        <w:t>brain</w:t>
      </w:r>
      <w:r w:rsidR="00F96B2F" w:rsidRPr="00E96E9F">
        <w:rPr>
          <w:rFonts w:eastAsia="Calibri"/>
        </w:rPr>
        <w:t xml:space="preserve"> </w:t>
      </w:r>
      <w:r w:rsidRPr="00E96E9F">
        <w:rPr>
          <w:rFonts w:eastAsia="Calibri"/>
        </w:rPr>
        <w:t>injury,</w:t>
      </w:r>
      <w:r w:rsidR="00F96B2F" w:rsidRPr="00E96E9F">
        <w:rPr>
          <w:rFonts w:eastAsia="Calibri"/>
        </w:rPr>
        <w:t xml:space="preserve"> </w:t>
      </w:r>
      <w:r w:rsidRPr="00E96E9F">
        <w:rPr>
          <w:rFonts w:eastAsia="Calibri"/>
        </w:rPr>
        <w:t>infiltrative</w:t>
      </w:r>
      <w:r w:rsidR="00F96B2F" w:rsidRPr="00E96E9F">
        <w:rPr>
          <w:rFonts w:eastAsia="Calibri"/>
        </w:rPr>
        <w:t xml:space="preserve"> </w:t>
      </w:r>
      <w:r w:rsidRPr="00E96E9F">
        <w:rPr>
          <w:rFonts w:eastAsia="Calibri"/>
        </w:rPr>
        <w:t>disease,</w:t>
      </w:r>
      <w:r w:rsidR="00F96B2F" w:rsidRPr="00E96E9F">
        <w:rPr>
          <w:rFonts w:eastAsia="Calibri"/>
        </w:rPr>
        <w:t xml:space="preserve"> </w:t>
      </w:r>
      <w:r w:rsidRPr="00E96E9F">
        <w:rPr>
          <w:rFonts w:eastAsia="Calibri"/>
        </w:rPr>
        <w:t>cranial</w:t>
      </w:r>
      <w:r w:rsidR="00F96B2F" w:rsidRPr="00E96E9F">
        <w:rPr>
          <w:rFonts w:eastAsia="Calibri"/>
        </w:rPr>
        <w:t xml:space="preserve"> </w:t>
      </w:r>
      <w:r w:rsidRPr="00E96E9F">
        <w:rPr>
          <w:rFonts w:eastAsia="Calibri"/>
        </w:rPr>
        <w:t>irradiation</w:t>
      </w:r>
      <w:r w:rsidR="00A120F8" w:rsidRPr="00E96E9F">
        <w:rPr>
          <w:rFonts w:eastAsia="Calibri"/>
        </w:rPr>
        <w:t>,</w:t>
      </w:r>
      <w:r w:rsidR="00F96B2F" w:rsidRPr="00E96E9F">
        <w:rPr>
          <w:rFonts w:eastAsia="Calibri"/>
        </w:rPr>
        <w:t xml:space="preserve"> </w:t>
      </w:r>
      <w:r w:rsidRPr="00E96E9F">
        <w:rPr>
          <w:rFonts w:eastAsia="Calibri"/>
        </w:rPr>
        <w:t>and</w:t>
      </w:r>
      <w:r w:rsidR="00F96B2F" w:rsidRPr="00E96E9F">
        <w:rPr>
          <w:rFonts w:eastAsia="Calibri"/>
        </w:rPr>
        <w:t xml:space="preserve"> </w:t>
      </w:r>
      <w:r w:rsidRPr="00E96E9F">
        <w:rPr>
          <w:rFonts w:eastAsia="Calibri"/>
        </w:rPr>
        <w:t>surgical</w:t>
      </w:r>
      <w:r w:rsidR="00F96B2F" w:rsidRPr="00E96E9F">
        <w:rPr>
          <w:rFonts w:eastAsia="Calibri"/>
        </w:rPr>
        <w:t xml:space="preserve"> </w:t>
      </w:r>
      <w:r w:rsidRPr="00E96E9F">
        <w:rPr>
          <w:rFonts w:eastAsia="Calibri"/>
        </w:rPr>
        <w:t>intervention.</w:t>
      </w:r>
      <w:r w:rsidR="00F96B2F" w:rsidRPr="00E96E9F">
        <w:rPr>
          <w:rFonts w:eastAsia="Calibri"/>
        </w:rPr>
        <w:t xml:space="preserve"> </w:t>
      </w:r>
      <w:r w:rsidRPr="00E96E9F">
        <w:rPr>
          <w:rFonts w:eastAsia="Calibri"/>
        </w:rPr>
        <w:t>The</w:t>
      </w:r>
      <w:r w:rsidR="00F96B2F" w:rsidRPr="00E96E9F">
        <w:rPr>
          <w:rFonts w:eastAsia="Calibri"/>
        </w:rPr>
        <w:t xml:space="preserve"> </w:t>
      </w:r>
      <w:r w:rsidRPr="00E96E9F">
        <w:rPr>
          <w:rFonts w:eastAsia="Calibri"/>
        </w:rPr>
        <w:t>idiopathic</w:t>
      </w:r>
      <w:r w:rsidR="00F96B2F" w:rsidRPr="00E96E9F">
        <w:rPr>
          <w:rFonts w:eastAsia="Calibri"/>
        </w:rPr>
        <w:t xml:space="preserve"> </w:t>
      </w:r>
      <w:r w:rsidRPr="00E96E9F">
        <w:rPr>
          <w:rFonts w:eastAsia="Calibri"/>
        </w:rPr>
        <w:t>origin</w:t>
      </w:r>
      <w:r w:rsidR="00F96B2F" w:rsidRPr="00E96E9F">
        <w:rPr>
          <w:rFonts w:eastAsia="Calibri"/>
        </w:rPr>
        <w:t xml:space="preserve"> </w:t>
      </w:r>
      <w:r w:rsidRPr="00E96E9F">
        <w:rPr>
          <w:rFonts w:eastAsia="Calibri"/>
        </w:rPr>
        <w:t>of</w:t>
      </w:r>
      <w:r w:rsidR="00F96B2F" w:rsidRPr="00E96E9F">
        <w:rPr>
          <w:rFonts w:eastAsia="Calibri"/>
        </w:rPr>
        <w:t xml:space="preserve"> </w:t>
      </w:r>
      <w:r w:rsidRPr="00E96E9F">
        <w:rPr>
          <w:rFonts w:eastAsia="Calibri"/>
        </w:rPr>
        <w:t>GHD</w:t>
      </w:r>
      <w:r w:rsidR="00F96B2F" w:rsidRPr="00E96E9F">
        <w:rPr>
          <w:rFonts w:eastAsia="Calibri"/>
        </w:rPr>
        <w:t xml:space="preserve"> </w:t>
      </w:r>
      <w:r w:rsidRPr="00E96E9F">
        <w:rPr>
          <w:rFonts w:eastAsia="Calibri"/>
        </w:rPr>
        <w:t>is</w:t>
      </w:r>
      <w:r w:rsidR="00F96B2F" w:rsidRPr="00E96E9F">
        <w:rPr>
          <w:rFonts w:eastAsia="Calibri"/>
        </w:rPr>
        <w:t xml:space="preserve"> </w:t>
      </w:r>
      <w:r w:rsidRPr="00E96E9F">
        <w:rPr>
          <w:rFonts w:eastAsia="Calibri"/>
        </w:rPr>
        <w:t>poorly</w:t>
      </w:r>
      <w:r w:rsidR="00F96B2F" w:rsidRPr="00E96E9F">
        <w:rPr>
          <w:rFonts w:eastAsia="Calibri"/>
        </w:rPr>
        <w:t xml:space="preserve"> </w:t>
      </w:r>
      <w:r w:rsidRPr="00E96E9F">
        <w:rPr>
          <w:rFonts w:eastAsia="Calibri"/>
        </w:rPr>
        <w:t>understood</w:t>
      </w:r>
      <w:r w:rsidR="00F96B2F" w:rsidRPr="00E96E9F">
        <w:rPr>
          <w:rFonts w:eastAsia="Calibri"/>
        </w:rPr>
        <w:t xml:space="preserve"> </w:t>
      </w:r>
      <w:r w:rsidRPr="00E96E9F">
        <w:rPr>
          <w:rFonts w:eastAsia="Calibri"/>
        </w:rPr>
        <w:t>but</w:t>
      </w:r>
      <w:r w:rsidR="00F96B2F" w:rsidRPr="00E96E9F">
        <w:rPr>
          <w:rFonts w:eastAsia="Calibri"/>
        </w:rPr>
        <w:t xml:space="preserve"> </w:t>
      </w:r>
      <w:r w:rsidRPr="00E96E9F">
        <w:rPr>
          <w:rFonts w:eastAsia="Calibri"/>
        </w:rPr>
        <w:t>appears</w:t>
      </w:r>
      <w:r w:rsidR="00F96B2F" w:rsidRPr="00E96E9F">
        <w:rPr>
          <w:rFonts w:eastAsia="Calibri"/>
        </w:rPr>
        <w:t xml:space="preserve"> </w:t>
      </w:r>
      <w:r w:rsidRPr="00E96E9F">
        <w:rPr>
          <w:rFonts w:eastAsia="Calibri"/>
        </w:rPr>
        <w:t>to</w:t>
      </w:r>
      <w:r w:rsidR="00F96B2F" w:rsidRPr="00E96E9F">
        <w:rPr>
          <w:rFonts w:eastAsia="Calibri"/>
        </w:rPr>
        <w:t xml:space="preserve"> </w:t>
      </w:r>
      <w:r w:rsidRPr="00E96E9F">
        <w:rPr>
          <w:rFonts w:eastAsia="Calibri"/>
        </w:rPr>
        <w:t>be</w:t>
      </w:r>
      <w:r w:rsidR="00F96B2F" w:rsidRPr="00E96E9F">
        <w:rPr>
          <w:rFonts w:eastAsia="Calibri"/>
        </w:rPr>
        <w:t xml:space="preserve"> </w:t>
      </w:r>
      <w:r w:rsidRPr="00E96E9F">
        <w:rPr>
          <w:rFonts w:eastAsia="Calibri"/>
        </w:rPr>
        <w:t>caused</w:t>
      </w:r>
      <w:r w:rsidR="00F96B2F" w:rsidRPr="00E96E9F">
        <w:rPr>
          <w:rFonts w:eastAsia="Calibri"/>
        </w:rPr>
        <w:t xml:space="preserve"> </w:t>
      </w:r>
      <w:r w:rsidRPr="00E96E9F">
        <w:rPr>
          <w:rFonts w:eastAsia="Calibri"/>
        </w:rPr>
        <w:t>by</w:t>
      </w:r>
      <w:r w:rsidR="00F96B2F" w:rsidRPr="00E96E9F">
        <w:rPr>
          <w:rFonts w:eastAsia="Calibri"/>
        </w:rPr>
        <w:t xml:space="preserve"> </w:t>
      </w:r>
      <w:r w:rsidRPr="00E96E9F">
        <w:rPr>
          <w:rFonts w:eastAsia="Calibri"/>
        </w:rPr>
        <w:t>multiple</w:t>
      </w:r>
      <w:r w:rsidR="00F96B2F" w:rsidRPr="00E96E9F">
        <w:rPr>
          <w:rFonts w:eastAsia="Calibri"/>
        </w:rPr>
        <w:t xml:space="preserve"> </w:t>
      </w:r>
      <w:r w:rsidRPr="00E96E9F">
        <w:rPr>
          <w:rFonts w:eastAsia="Calibri"/>
        </w:rPr>
        <w:t>factors.</w:t>
      </w:r>
    </w:p>
    <w:p w14:paraId="5E5F0D76" w14:textId="02501448" w:rsidR="00D17724" w:rsidRPr="00E96E9F" w:rsidRDefault="00DB6618" w:rsidP="00811E0E">
      <w:pPr>
        <w:pStyle w:val="3-BodyText"/>
        <w:rPr>
          <w:rFonts w:eastAsia="Calibri"/>
        </w:rPr>
      </w:pPr>
      <w:r>
        <w:rPr>
          <w:rFonts w:eastAsia="Calibri" w:cs="Calibri"/>
          <w:color w:val="000000" w:themeColor="text1"/>
        </w:rPr>
        <w:t>G</w:t>
      </w:r>
      <w:r w:rsidR="00811E0E" w:rsidRPr="00E96E9F">
        <w:rPr>
          <w:rFonts w:eastAsia="Calibri" w:cs="Calibri"/>
          <w:color w:val="000000" w:themeColor="text1"/>
        </w:rPr>
        <w:t>rowth</w:t>
      </w:r>
      <w:r w:rsidR="00F96B2F" w:rsidRPr="00E96E9F">
        <w:rPr>
          <w:rFonts w:eastAsia="Calibri" w:cs="Calibri"/>
          <w:color w:val="000000" w:themeColor="text1"/>
        </w:rPr>
        <w:t xml:space="preserve"> </w:t>
      </w:r>
      <w:r w:rsidR="00811E0E" w:rsidRPr="00E96E9F">
        <w:rPr>
          <w:rFonts w:eastAsia="Calibri" w:cs="Calibri"/>
          <w:color w:val="000000" w:themeColor="text1"/>
        </w:rPr>
        <w:t>hormone</w:t>
      </w:r>
      <w:r w:rsidR="00F96B2F" w:rsidRPr="00E96E9F">
        <w:rPr>
          <w:rFonts w:eastAsia="Calibri" w:cs="Calibri"/>
          <w:color w:val="000000" w:themeColor="text1"/>
        </w:rPr>
        <w:t xml:space="preserve"> </w:t>
      </w:r>
      <w:r>
        <w:rPr>
          <w:rFonts w:eastAsia="Calibri" w:cs="Calibri"/>
          <w:color w:val="000000" w:themeColor="text1"/>
        </w:rPr>
        <w:t xml:space="preserve">usually </w:t>
      </w:r>
      <w:r w:rsidR="00811E0E" w:rsidRPr="00E96E9F">
        <w:rPr>
          <w:rFonts w:eastAsia="Calibri" w:cs="Calibri"/>
          <w:color w:val="000000" w:themeColor="text1"/>
        </w:rPr>
        <w:t>increases</w:t>
      </w:r>
      <w:r w:rsidR="00F96B2F" w:rsidRPr="00E96E9F">
        <w:rPr>
          <w:rFonts w:eastAsia="Calibri" w:cs="Calibri"/>
          <w:color w:val="000000" w:themeColor="text1"/>
        </w:rPr>
        <w:t xml:space="preserve"> </w:t>
      </w:r>
      <w:r w:rsidR="00811E0E" w:rsidRPr="00E96E9F">
        <w:rPr>
          <w:rFonts w:eastAsia="Calibri" w:cs="Calibri"/>
          <w:color w:val="000000" w:themeColor="text1"/>
        </w:rPr>
        <w:t>levels</w:t>
      </w:r>
      <w:r w:rsidR="00F96B2F" w:rsidRPr="00E96E9F">
        <w:rPr>
          <w:rFonts w:eastAsia="Calibri" w:cs="Calibri"/>
          <w:color w:val="000000" w:themeColor="text1"/>
        </w:rPr>
        <w:t xml:space="preserve"> </w:t>
      </w:r>
      <w:r w:rsidR="00811E0E" w:rsidRPr="00E96E9F">
        <w:rPr>
          <w:rFonts w:eastAsia="Calibri" w:cs="Calibri"/>
          <w:color w:val="000000" w:themeColor="text1"/>
        </w:rPr>
        <w:t>of</w:t>
      </w:r>
      <w:r>
        <w:rPr>
          <w:rFonts w:eastAsia="Calibri" w:cs="Calibri"/>
          <w:color w:val="000000" w:themeColor="text1"/>
        </w:rPr>
        <w:t>,</w:t>
      </w:r>
      <w:r w:rsidR="00F96B2F" w:rsidRPr="00E96E9F">
        <w:rPr>
          <w:rFonts w:eastAsia="Calibri" w:cs="Calibri"/>
          <w:color w:val="000000" w:themeColor="text1"/>
        </w:rPr>
        <w:t xml:space="preserve"> </w:t>
      </w:r>
      <w:r w:rsidR="00811E0E" w:rsidRPr="00E96E9F">
        <w:rPr>
          <w:rFonts w:eastAsia="Calibri" w:cs="Calibri"/>
          <w:color w:val="000000" w:themeColor="text1"/>
        </w:rPr>
        <w:t>the</w:t>
      </w:r>
      <w:r w:rsidR="00F96B2F" w:rsidRPr="00E96E9F">
        <w:rPr>
          <w:rFonts w:eastAsia="Calibri" w:cs="Calibri"/>
          <w:color w:val="000000" w:themeColor="text1"/>
        </w:rPr>
        <w:t xml:space="preserve"> </w:t>
      </w:r>
      <w:r w:rsidR="00811E0E" w:rsidRPr="00E96E9F">
        <w:rPr>
          <w:rFonts w:eastAsia="Calibri" w:cs="Calibri"/>
          <w:color w:val="000000" w:themeColor="text1"/>
        </w:rPr>
        <w:t>hormone</w:t>
      </w:r>
      <w:r w:rsidR="00F96B2F" w:rsidRPr="00E96E9F">
        <w:rPr>
          <w:rFonts w:eastAsia="Calibri" w:cs="Calibri"/>
          <w:color w:val="000000" w:themeColor="text1"/>
        </w:rPr>
        <w:t xml:space="preserve"> </w:t>
      </w:r>
      <w:r w:rsidR="00811E0E" w:rsidRPr="00E96E9F">
        <w:rPr>
          <w:rFonts w:eastAsia="Calibri" w:cs="Calibri"/>
          <w:color w:val="000000" w:themeColor="text1"/>
        </w:rPr>
        <w:t>insulin-like</w:t>
      </w:r>
      <w:r w:rsidR="00F96B2F" w:rsidRPr="00E96E9F">
        <w:rPr>
          <w:rFonts w:eastAsia="Calibri" w:cs="Calibri"/>
          <w:color w:val="000000" w:themeColor="text1"/>
        </w:rPr>
        <w:t xml:space="preserve"> </w:t>
      </w:r>
      <w:r w:rsidR="00811E0E" w:rsidRPr="00E96E9F">
        <w:rPr>
          <w:rFonts w:eastAsia="Calibri" w:cs="Calibri"/>
          <w:color w:val="000000" w:themeColor="text1"/>
        </w:rPr>
        <w:t>growth</w:t>
      </w:r>
      <w:r w:rsidR="00F96B2F" w:rsidRPr="00E96E9F">
        <w:rPr>
          <w:rFonts w:eastAsia="Calibri" w:cs="Calibri"/>
          <w:color w:val="000000" w:themeColor="text1"/>
        </w:rPr>
        <w:t xml:space="preserve"> </w:t>
      </w:r>
      <w:r w:rsidR="00811E0E" w:rsidRPr="00E96E9F">
        <w:rPr>
          <w:rFonts w:eastAsia="Calibri" w:cs="Calibri"/>
          <w:color w:val="000000" w:themeColor="text1"/>
        </w:rPr>
        <w:t>factor-1</w:t>
      </w:r>
      <w:r w:rsidR="00F96B2F" w:rsidRPr="00E96E9F">
        <w:rPr>
          <w:rFonts w:eastAsia="Calibri" w:cs="Calibri"/>
          <w:color w:val="000000" w:themeColor="text1"/>
        </w:rPr>
        <w:t xml:space="preserve"> </w:t>
      </w:r>
      <w:r w:rsidR="00811E0E" w:rsidRPr="00E96E9F">
        <w:rPr>
          <w:rFonts w:eastAsia="Calibri" w:cs="Calibri"/>
          <w:color w:val="000000" w:themeColor="text1"/>
        </w:rPr>
        <w:t>(IGF-1),</w:t>
      </w:r>
      <w:r w:rsidR="00F96B2F" w:rsidRPr="00E96E9F">
        <w:rPr>
          <w:rFonts w:eastAsia="Calibri" w:cs="Calibri"/>
          <w:color w:val="000000" w:themeColor="text1"/>
        </w:rPr>
        <w:t xml:space="preserve"> </w:t>
      </w:r>
      <w:r w:rsidR="00811E0E" w:rsidRPr="00E96E9F">
        <w:rPr>
          <w:rFonts w:eastAsia="Calibri" w:cs="Calibri"/>
          <w:color w:val="000000" w:themeColor="text1"/>
        </w:rPr>
        <w:t>and</w:t>
      </w:r>
      <w:r w:rsidR="00F96B2F" w:rsidRPr="00E96E9F">
        <w:rPr>
          <w:rFonts w:eastAsia="Calibri" w:cs="Calibri"/>
          <w:color w:val="000000" w:themeColor="text1"/>
        </w:rPr>
        <w:t xml:space="preserve"> </w:t>
      </w:r>
      <w:r w:rsidR="00811E0E" w:rsidRPr="00E96E9F">
        <w:rPr>
          <w:rFonts w:eastAsia="Calibri" w:cs="Calibri"/>
          <w:color w:val="000000" w:themeColor="text1"/>
        </w:rPr>
        <w:t>IGF</w:t>
      </w:r>
      <w:r w:rsidR="00F96B2F" w:rsidRPr="00E96E9F">
        <w:rPr>
          <w:rFonts w:eastAsia="Calibri" w:cs="Calibri"/>
          <w:color w:val="000000" w:themeColor="text1"/>
        </w:rPr>
        <w:t xml:space="preserve"> </w:t>
      </w:r>
      <w:r w:rsidR="00811E0E" w:rsidRPr="00E96E9F">
        <w:rPr>
          <w:rFonts w:eastAsia="Calibri" w:cs="Calibri"/>
          <w:color w:val="000000" w:themeColor="text1"/>
        </w:rPr>
        <w:t>binding</w:t>
      </w:r>
      <w:r w:rsidR="00F96B2F" w:rsidRPr="00E96E9F">
        <w:rPr>
          <w:rFonts w:eastAsia="Calibri" w:cs="Calibri"/>
          <w:color w:val="000000" w:themeColor="text1"/>
        </w:rPr>
        <w:t xml:space="preserve"> </w:t>
      </w:r>
      <w:r w:rsidR="00811E0E" w:rsidRPr="00E96E9F">
        <w:rPr>
          <w:rFonts w:eastAsia="Calibri" w:cs="Calibri"/>
          <w:color w:val="000000" w:themeColor="text1"/>
        </w:rPr>
        <w:t>protein-3</w:t>
      </w:r>
      <w:r w:rsidR="00F96B2F" w:rsidRPr="00E96E9F">
        <w:rPr>
          <w:rFonts w:eastAsia="Calibri" w:cs="Calibri"/>
          <w:color w:val="000000" w:themeColor="text1"/>
        </w:rPr>
        <w:t xml:space="preserve"> </w:t>
      </w:r>
      <w:r w:rsidR="00811E0E" w:rsidRPr="00E96E9F">
        <w:rPr>
          <w:rFonts w:eastAsia="Calibri" w:cs="Calibri"/>
          <w:color w:val="000000" w:themeColor="text1"/>
        </w:rPr>
        <w:t>(IGFBP-3),</w:t>
      </w:r>
      <w:r w:rsidR="00F96B2F" w:rsidRPr="00E96E9F">
        <w:rPr>
          <w:rFonts w:eastAsia="Calibri" w:cs="Calibri"/>
          <w:color w:val="000000" w:themeColor="text1"/>
        </w:rPr>
        <w:t xml:space="preserve"> </w:t>
      </w:r>
      <w:r w:rsidR="00811E0E" w:rsidRPr="00E96E9F">
        <w:rPr>
          <w:rFonts w:eastAsia="Calibri" w:cs="Calibri"/>
          <w:color w:val="000000" w:themeColor="text1"/>
        </w:rPr>
        <w:t>in</w:t>
      </w:r>
      <w:r w:rsidR="00F96B2F" w:rsidRPr="00E96E9F">
        <w:rPr>
          <w:rFonts w:eastAsia="Calibri" w:cs="Calibri"/>
          <w:color w:val="000000" w:themeColor="text1"/>
        </w:rPr>
        <w:t xml:space="preserve"> </w:t>
      </w:r>
      <w:r w:rsidR="00811E0E" w:rsidRPr="00E96E9F">
        <w:rPr>
          <w:rFonts w:eastAsia="Calibri" w:cs="Calibri"/>
          <w:color w:val="000000" w:themeColor="text1"/>
        </w:rPr>
        <w:t>the</w:t>
      </w:r>
      <w:r w:rsidR="00F96B2F" w:rsidRPr="00E96E9F">
        <w:rPr>
          <w:rFonts w:eastAsia="Calibri" w:cs="Calibri"/>
          <w:color w:val="000000" w:themeColor="text1"/>
        </w:rPr>
        <w:t xml:space="preserve"> </w:t>
      </w:r>
      <w:r w:rsidR="00811E0E" w:rsidRPr="00E96E9F">
        <w:rPr>
          <w:rFonts w:eastAsia="Calibri" w:cs="Calibri"/>
          <w:color w:val="000000" w:themeColor="text1"/>
        </w:rPr>
        <w:t>blood</w:t>
      </w:r>
      <w:r w:rsidR="00F96B2F" w:rsidRPr="00E96E9F">
        <w:rPr>
          <w:rFonts w:eastAsia="Calibri" w:cs="Calibri"/>
          <w:color w:val="000000" w:themeColor="text1"/>
        </w:rPr>
        <w:t xml:space="preserve"> </w:t>
      </w:r>
      <w:r w:rsidR="00811E0E" w:rsidRPr="00E96E9F">
        <w:rPr>
          <w:rFonts w:eastAsia="Calibri" w:cs="Calibri"/>
          <w:color w:val="000000" w:themeColor="text1"/>
        </w:rPr>
        <w:t>which</w:t>
      </w:r>
      <w:r w:rsidR="00F96B2F" w:rsidRPr="00E96E9F">
        <w:rPr>
          <w:rFonts w:eastAsia="Calibri" w:cs="Calibri"/>
          <w:color w:val="000000" w:themeColor="text1"/>
        </w:rPr>
        <w:t xml:space="preserve"> </w:t>
      </w:r>
      <w:r w:rsidR="00811E0E" w:rsidRPr="00E96E9F">
        <w:rPr>
          <w:rFonts w:eastAsia="Calibri" w:cs="Calibri"/>
          <w:color w:val="000000" w:themeColor="text1"/>
        </w:rPr>
        <w:t>results</w:t>
      </w:r>
      <w:r w:rsidR="00F96B2F" w:rsidRPr="00E96E9F">
        <w:rPr>
          <w:rFonts w:eastAsia="Calibri" w:cs="Calibri"/>
          <w:color w:val="000000" w:themeColor="text1"/>
        </w:rPr>
        <w:t xml:space="preserve"> </w:t>
      </w:r>
      <w:r w:rsidR="00811E0E" w:rsidRPr="00E96E9F">
        <w:rPr>
          <w:rFonts w:eastAsia="Calibri" w:cs="Calibri"/>
          <w:color w:val="000000" w:themeColor="text1"/>
        </w:rPr>
        <w:t>in</w:t>
      </w:r>
      <w:r w:rsidR="00F96B2F" w:rsidRPr="00E96E9F">
        <w:rPr>
          <w:rFonts w:eastAsia="Calibri" w:cs="Calibri"/>
          <w:color w:val="000000" w:themeColor="text1"/>
        </w:rPr>
        <w:t xml:space="preserve"> </w:t>
      </w:r>
      <w:r w:rsidR="00811E0E" w:rsidRPr="00E96E9F">
        <w:rPr>
          <w:rFonts w:eastAsia="Calibri" w:cs="Calibri"/>
          <w:color w:val="000000" w:themeColor="text1"/>
        </w:rPr>
        <w:t>bone</w:t>
      </w:r>
      <w:r w:rsidR="00F96B2F" w:rsidRPr="00E96E9F">
        <w:rPr>
          <w:rFonts w:eastAsia="Calibri" w:cs="Calibri"/>
          <w:color w:val="000000" w:themeColor="text1"/>
        </w:rPr>
        <w:t xml:space="preserve"> </w:t>
      </w:r>
      <w:r w:rsidR="00811E0E" w:rsidRPr="00E96E9F">
        <w:rPr>
          <w:rFonts w:eastAsia="Calibri" w:cs="Calibri"/>
          <w:color w:val="000000" w:themeColor="text1"/>
        </w:rPr>
        <w:t>and</w:t>
      </w:r>
      <w:r w:rsidR="00F96B2F" w:rsidRPr="00E96E9F">
        <w:rPr>
          <w:rFonts w:eastAsia="Calibri" w:cs="Calibri"/>
          <w:color w:val="000000" w:themeColor="text1"/>
        </w:rPr>
        <w:t xml:space="preserve"> </w:t>
      </w:r>
      <w:r w:rsidR="00811E0E" w:rsidRPr="00E96E9F">
        <w:rPr>
          <w:rFonts w:eastAsia="Calibri" w:cs="Calibri"/>
          <w:color w:val="000000" w:themeColor="text1"/>
        </w:rPr>
        <w:t>height</w:t>
      </w:r>
      <w:r w:rsidR="00F96B2F" w:rsidRPr="00E96E9F">
        <w:rPr>
          <w:rFonts w:eastAsia="Calibri" w:cs="Calibri"/>
          <w:color w:val="000000" w:themeColor="text1"/>
        </w:rPr>
        <w:t xml:space="preserve"> </w:t>
      </w:r>
      <w:r w:rsidR="00811E0E" w:rsidRPr="00E96E9F">
        <w:rPr>
          <w:rFonts w:eastAsia="Calibri" w:cs="Calibri"/>
          <w:color w:val="000000" w:themeColor="text1"/>
        </w:rPr>
        <w:t>growth.</w:t>
      </w:r>
      <w:r w:rsidR="00F96B2F" w:rsidRPr="00E96E9F">
        <w:rPr>
          <w:rFonts w:eastAsia="Calibri" w:cs="Calibri"/>
          <w:color w:val="000000" w:themeColor="text1"/>
        </w:rPr>
        <w:t xml:space="preserve"> </w:t>
      </w:r>
      <w:r w:rsidR="00811E0E" w:rsidRPr="00E96E9F">
        <w:rPr>
          <w:rFonts w:eastAsia="Calibri" w:cs="Calibri"/>
          <w:color w:val="000000" w:themeColor="text1"/>
        </w:rPr>
        <w:t>Where</w:t>
      </w:r>
      <w:r w:rsidR="00F96B2F" w:rsidRPr="00E96E9F">
        <w:rPr>
          <w:rFonts w:eastAsia="Calibri" w:cs="Calibri"/>
          <w:color w:val="000000" w:themeColor="text1"/>
        </w:rPr>
        <w:t xml:space="preserve"> </w:t>
      </w:r>
      <w:proofErr w:type="spellStart"/>
      <w:r w:rsidR="00811E0E" w:rsidRPr="00E96E9F">
        <w:rPr>
          <w:rFonts w:eastAsia="Calibri" w:cs="Calibri"/>
          <w:color w:val="000000" w:themeColor="text1"/>
        </w:rPr>
        <w:t>pGHD</w:t>
      </w:r>
      <w:proofErr w:type="spellEnd"/>
      <w:r w:rsidR="00F96B2F" w:rsidRPr="00E96E9F">
        <w:rPr>
          <w:rFonts w:eastAsia="Calibri" w:cs="Calibri"/>
          <w:color w:val="000000" w:themeColor="text1"/>
        </w:rPr>
        <w:t xml:space="preserve"> </w:t>
      </w:r>
      <w:r w:rsidR="00811E0E" w:rsidRPr="00E96E9F">
        <w:rPr>
          <w:rFonts w:eastAsia="Calibri" w:cs="Calibri"/>
          <w:color w:val="000000" w:themeColor="text1"/>
        </w:rPr>
        <w:t>is</w:t>
      </w:r>
      <w:r w:rsidR="00F96B2F" w:rsidRPr="00E96E9F">
        <w:rPr>
          <w:rFonts w:eastAsia="Calibri" w:cs="Calibri"/>
          <w:color w:val="000000" w:themeColor="text1"/>
        </w:rPr>
        <w:t xml:space="preserve"> </w:t>
      </w:r>
      <w:r w:rsidR="00811E0E" w:rsidRPr="00E96E9F">
        <w:rPr>
          <w:rFonts w:eastAsia="Calibri" w:cs="Calibri"/>
          <w:color w:val="000000" w:themeColor="text1"/>
        </w:rPr>
        <w:t>diagnosed</w:t>
      </w:r>
      <w:r w:rsidR="00F96B2F" w:rsidRPr="00E96E9F">
        <w:rPr>
          <w:rFonts w:eastAsia="Calibri" w:cs="Calibri"/>
          <w:color w:val="000000" w:themeColor="text1"/>
        </w:rPr>
        <w:t xml:space="preserve"> </w:t>
      </w:r>
      <w:r w:rsidR="00811E0E" w:rsidRPr="00E96E9F">
        <w:rPr>
          <w:rFonts w:eastAsia="Calibri" w:cs="Calibri"/>
          <w:color w:val="000000" w:themeColor="text1"/>
        </w:rPr>
        <w:t>this</w:t>
      </w:r>
      <w:r w:rsidR="00F96B2F" w:rsidRPr="00E96E9F">
        <w:rPr>
          <w:rFonts w:eastAsia="Calibri" w:cs="Calibri"/>
          <w:color w:val="000000" w:themeColor="text1"/>
        </w:rPr>
        <w:t xml:space="preserve"> </w:t>
      </w:r>
      <w:r w:rsidR="00811E0E" w:rsidRPr="00E96E9F">
        <w:rPr>
          <w:rFonts w:eastAsia="Calibri" w:cs="Calibri"/>
          <w:color w:val="000000" w:themeColor="text1"/>
        </w:rPr>
        <w:t>does</w:t>
      </w:r>
      <w:r w:rsidR="00F96B2F" w:rsidRPr="00E96E9F">
        <w:rPr>
          <w:rFonts w:eastAsia="Calibri" w:cs="Calibri"/>
          <w:color w:val="000000" w:themeColor="text1"/>
        </w:rPr>
        <w:t xml:space="preserve"> </w:t>
      </w:r>
      <w:r w:rsidR="00811E0E" w:rsidRPr="00E96E9F">
        <w:rPr>
          <w:rFonts w:eastAsia="Calibri" w:cs="Calibri"/>
          <w:color w:val="000000" w:themeColor="text1"/>
        </w:rPr>
        <w:t>not</w:t>
      </w:r>
      <w:r w:rsidR="00F96B2F" w:rsidRPr="00E96E9F">
        <w:rPr>
          <w:rFonts w:eastAsia="Calibri" w:cs="Calibri"/>
          <w:color w:val="000000" w:themeColor="text1"/>
        </w:rPr>
        <w:t xml:space="preserve"> </w:t>
      </w:r>
      <w:r w:rsidR="00811E0E" w:rsidRPr="00E96E9F">
        <w:rPr>
          <w:rFonts w:eastAsia="Calibri" w:cs="Calibri"/>
          <w:color w:val="000000" w:themeColor="text1"/>
        </w:rPr>
        <w:t>occur</w:t>
      </w:r>
      <w:r w:rsidR="00F96B2F" w:rsidRPr="00E96E9F">
        <w:rPr>
          <w:rFonts w:eastAsia="Calibri" w:cs="Calibri"/>
          <w:color w:val="000000" w:themeColor="text1"/>
        </w:rPr>
        <w:t xml:space="preserve"> </w:t>
      </w:r>
      <w:r w:rsidR="00811E0E" w:rsidRPr="00E96E9F">
        <w:rPr>
          <w:rFonts w:eastAsia="Calibri" w:cs="Calibri"/>
          <w:color w:val="000000" w:themeColor="text1"/>
        </w:rPr>
        <w:t>and</w:t>
      </w:r>
      <w:r w:rsidR="00F96B2F" w:rsidRPr="00E96E9F">
        <w:rPr>
          <w:rFonts w:eastAsia="Calibri" w:cs="Calibri"/>
          <w:color w:val="000000" w:themeColor="text1"/>
        </w:rPr>
        <w:t xml:space="preserve"> </w:t>
      </w:r>
      <w:r>
        <w:rPr>
          <w:rFonts w:eastAsia="Calibri" w:cs="Calibri"/>
          <w:color w:val="000000" w:themeColor="text1"/>
        </w:rPr>
        <w:t xml:space="preserve">the </w:t>
      </w:r>
      <w:r w:rsidR="00811E0E" w:rsidRPr="00E96E9F">
        <w:rPr>
          <w:rFonts w:eastAsia="Calibri" w:cs="Calibri"/>
          <w:color w:val="000000" w:themeColor="text1"/>
        </w:rPr>
        <w:t>recommended</w:t>
      </w:r>
      <w:r w:rsidR="00F96B2F" w:rsidRPr="00E96E9F">
        <w:rPr>
          <w:rFonts w:eastAsia="Calibri" w:cs="Calibri"/>
          <w:color w:val="000000" w:themeColor="text1"/>
        </w:rPr>
        <w:t xml:space="preserve"> </w:t>
      </w:r>
      <w:r w:rsidR="00811E0E" w:rsidRPr="00E96E9F">
        <w:rPr>
          <w:rFonts w:eastAsia="Calibri" w:cs="Calibri"/>
          <w:color w:val="000000" w:themeColor="text1"/>
        </w:rPr>
        <w:t>treatment</w:t>
      </w:r>
      <w:r w:rsidR="00F96B2F" w:rsidRPr="00E96E9F">
        <w:rPr>
          <w:rFonts w:eastAsia="Calibri" w:cs="Calibri"/>
          <w:color w:val="000000" w:themeColor="text1"/>
        </w:rPr>
        <w:t xml:space="preserve"> </w:t>
      </w:r>
      <w:r w:rsidR="00811E0E" w:rsidRPr="00E96E9F">
        <w:rPr>
          <w:rFonts w:eastAsia="Calibri" w:cs="Calibri"/>
          <w:color w:val="000000" w:themeColor="text1"/>
        </w:rPr>
        <w:t>is</w:t>
      </w:r>
      <w:r w:rsidR="00F96B2F" w:rsidRPr="00E96E9F">
        <w:rPr>
          <w:rFonts w:eastAsia="Calibri" w:cs="Calibri"/>
          <w:color w:val="000000" w:themeColor="text1"/>
        </w:rPr>
        <w:t xml:space="preserve"> </w:t>
      </w:r>
      <w:r w:rsidR="00811E0E" w:rsidRPr="00E96E9F">
        <w:rPr>
          <w:rFonts w:eastAsia="Calibri" w:cs="Calibri"/>
          <w:color w:val="000000" w:themeColor="text1"/>
        </w:rPr>
        <w:t>recombinant</w:t>
      </w:r>
      <w:r w:rsidR="00F96B2F" w:rsidRPr="00E96E9F">
        <w:rPr>
          <w:rFonts w:eastAsia="Calibri" w:cs="Calibri"/>
          <w:color w:val="000000" w:themeColor="text1"/>
        </w:rPr>
        <w:t xml:space="preserve"> </w:t>
      </w:r>
      <w:r w:rsidR="00811E0E" w:rsidRPr="00E96E9F">
        <w:rPr>
          <w:rFonts w:eastAsia="Calibri" w:cs="Calibri"/>
          <w:color w:val="000000" w:themeColor="text1"/>
        </w:rPr>
        <w:t>human</w:t>
      </w:r>
      <w:r w:rsidR="00F96B2F" w:rsidRPr="00E96E9F">
        <w:rPr>
          <w:rFonts w:eastAsia="Calibri" w:cs="Calibri"/>
          <w:color w:val="000000" w:themeColor="text1"/>
        </w:rPr>
        <w:t xml:space="preserve"> </w:t>
      </w:r>
      <w:r w:rsidR="00811E0E" w:rsidRPr="00E96E9F">
        <w:rPr>
          <w:rFonts w:eastAsia="Calibri" w:cs="Calibri"/>
          <w:color w:val="000000" w:themeColor="text1"/>
        </w:rPr>
        <w:t>growth</w:t>
      </w:r>
      <w:r w:rsidR="00F96B2F" w:rsidRPr="00E96E9F">
        <w:rPr>
          <w:rFonts w:eastAsia="Calibri" w:cs="Calibri"/>
          <w:color w:val="000000" w:themeColor="text1"/>
        </w:rPr>
        <w:t xml:space="preserve"> </w:t>
      </w:r>
      <w:r w:rsidR="00811E0E" w:rsidRPr="00E96E9F">
        <w:rPr>
          <w:rFonts w:eastAsia="Calibri" w:cs="Calibri"/>
          <w:color w:val="000000" w:themeColor="text1"/>
        </w:rPr>
        <w:t>hormone</w:t>
      </w:r>
      <w:r w:rsidR="00F96B2F" w:rsidRPr="00E96E9F">
        <w:rPr>
          <w:rFonts w:eastAsia="Calibri" w:cs="Calibri"/>
          <w:color w:val="000000" w:themeColor="text1"/>
        </w:rPr>
        <w:t xml:space="preserve"> </w:t>
      </w:r>
      <w:r w:rsidR="00811E0E" w:rsidRPr="00E96E9F">
        <w:rPr>
          <w:rFonts w:eastAsia="Calibri" w:cs="Calibri"/>
          <w:color w:val="000000" w:themeColor="text1"/>
        </w:rPr>
        <w:t>(r</w:t>
      </w:r>
      <w:r w:rsidR="007B2913">
        <w:rPr>
          <w:rFonts w:eastAsia="Calibri" w:cs="Calibri"/>
          <w:color w:val="000000" w:themeColor="text1"/>
        </w:rPr>
        <w:t>-</w:t>
      </w:r>
      <w:proofErr w:type="spellStart"/>
      <w:r w:rsidR="00811E0E" w:rsidRPr="00E96E9F">
        <w:rPr>
          <w:rFonts w:eastAsia="Calibri" w:cs="Calibri"/>
          <w:color w:val="000000" w:themeColor="text1"/>
        </w:rPr>
        <w:t>hGH</w:t>
      </w:r>
      <w:proofErr w:type="spellEnd"/>
      <w:r w:rsidR="00811E0E" w:rsidRPr="00E96E9F">
        <w:rPr>
          <w:rFonts w:eastAsia="Calibri" w:cs="Calibri"/>
          <w:color w:val="000000" w:themeColor="text1"/>
        </w:rPr>
        <w:t>)</w:t>
      </w:r>
      <w:r w:rsidR="00F96B2F" w:rsidRPr="00E96E9F">
        <w:rPr>
          <w:rFonts w:eastAsia="Calibri" w:cs="Calibri"/>
          <w:color w:val="000000" w:themeColor="text1"/>
        </w:rPr>
        <w:t xml:space="preserve"> </w:t>
      </w:r>
      <w:r w:rsidR="00811E0E" w:rsidRPr="00E96E9F">
        <w:rPr>
          <w:rFonts w:eastAsia="Calibri" w:cs="Calibri"/>
          <w:color w:val="000000" w:themeColor="text1"/>
        </w:rPr>
        <w:t>to</w:t>
      </w:r>
      <w:r w:rsidR="00F96B2F" w:rsidRPr="00E96E9F">
        <w:rPr>
          <w:rFonts w:eastAsia="Calibri" w:cs="Calibri"/>
          <w:color w:val="000000" w:themeColor="text1"/>
        </w:rPr>
        <w:t xml:space="preserve"> </w:t>
      </w:r>
      <w:r w:rsidR="00811E0E" w:rsidRPr="00E96E9F">
        <w:rPr>
          <w:rFonts w:eastAsia="Calibri" w:cs="Calibri"/>
          <w:color w:val="000000" w:themeColor="text1"/>
        </w:rPr>
        <w:t>achieve</w:t>
      </w:r>
      <w:r w:rsidR="00F96B2F" w:rsidRPr="00E96E9F">
        <w:rPr>
          <w:rFonts w:eastAsia="Calibri" w:cs="Calibri"/>
          <w:color w:val="000000" w:themeColor="text1"/>
        </w:rPr>
        <w:t xml:space="preserve"> </w:t>
      </w:r>
      <w:r w:rsidR="00811E0E" w:rsidRPr="00E96E9F">
        <w:rPr>
          <w:rFonts w:eastAsia="Calibri" w:cs="Calibri"/>
          <w:color w:val="000000" w:themeColor="text1"/>
        </w:rPr>
        <w:t>normalisation</w:t>
      </w:r>
      <w:r w:rsidR="00F96B2F" w:rsidRPr="00E96E9F">
        <w:rPr>
          <w:rFonts w:eastAsia="Calibri" w:cs="Calibri"/>
          <w:color w:val="000000" w:themeColor="text1"/>
        </w:rPr>
        <w:t xml:space="preserve"> </w:t>
      </w:r>
      <w:r w:rsidR="00811E0E" w:rsidRPr="00E96E9F">
        <w:rPr>
          <w:rFonts w:eastAsia="Calibri" w:cs="Calibri"/>
          <w:color w:val="000000" w:themeColor="text1"/>
        </w:rPr>
        <w:t>of</w:t>
      </w:r>
      <w:r w:rsidR="00F96B2F" w:rsidRPr="00E96E9F">
        <w:rPr>
          <w:rFonts w:eastAsia="Calibri" w:cs="Calibri"/>
          <w:color w:val="000000" w:themeColor="text1"/>
        </w:rPr>
        <w:t xml:space="preserve"> </w:t>
      </w:r>
      <w:r w:rsidR="00811E0E" w:rsidRPr="00E96E9F">
        <w:rPr>
          <w:rFonts w:eastAsia="Calibri" w:cs="Calibri"/>
          <w:color w:val="000000" w:themeColor="text1"/>
        </w:rPr>
        <w:t>height</w:t>
      </w:r>
      <w:r w:rsidR="00F96B2F" w:rsidRPr="00E96E9F">
        <w:rPr>
          <w:rFonts w:eastAsia="Calibri" w:cs="Calibri"/>
          <w:color w:val="000000" w:themeColor="text1"/>
        </w:rPr>
        <w:t xml:space="preserve"> </w:t>
      </w:r>
      <w:r w:rsidR="00811E0E" w:rsidRPr="00E96E9F">
        <w:rPr>
          <w:rFonts w:eastAsia="Calibri" w:cs="Calibri"/>
          <w:color w:val="000000" w:themeColor="text1"/>
        </w:rPr>
        <w:t>(GH</w:t>
      </w:r>
      <w:r w:rsidR="00F96B2F" w:rsidRPr="00E96E9F">
        <w:rPr>
          <w:rFonts w:eastAsia="Calibri" w:cs="Calibri"/>
          <w:color w:val="000000" w:themeColor="text1"/>
        </w:rPr>
        <w:t xml:space="preserve"> </w:t>
      </w:r>
      <w:r w:rsidR="00811E0E" w:rsidRPr="00E96E9F">
        <w:rPr>
          <w:rFonts w:eastAsia="Calibri" w:cs="Calibri"/>
          <w:color w:val="000000" w:themeColor="text1"/>
        </w:rPr>
        <w:t>Research</w:t>
      </w:r>
      <w:r w:rsidR="00F96B2F" w:rsidRPr="00E96E9F">
        <w:rPr>
          <w:rFonts w:eastAsia="Calibri" w:cs="Calibri"/>
          <w:color w:val="000000" w:themeColor="text1"/>
        </w:rPr>
        <w:t xml:space="preserve"> </w:t>
      </w:r>
      <w:r w:rsidR="00811E0E" w:rsidRPr="00E96E9F">
        <w:rPr>
          <w:rFonts w:eastAsia="Calibri" w:cs="Calibri"/>
          <w:color w:val="000000" w:themeColor="text1"/>
        </w:rPr>
        <w:t>Society,</w:t>
      </w:r>
      <w:r w:rsidR="00F96B2F" w:rsidRPr="00E96E9F">
        <w:rPr>
          <w:rFonts w:eastAsia="Calibri" w:cs="Calibri"/>
          <w:color w:val="000000" w:themeColor="text1"/>
        </w:rPr>
        <w:t xml:space="preserve"> </w:t>
      </w:r>
      <w:r w:rsidR="00811E0E" w:rsidRPr="00E96E9F">
        <w:rPr>
          <w:rFonts w:eastAsia="Calibri" w:cs="Calibri"/>
          <w:color w:val="000000" w:themeColor="text1"/>
        </w:rPr>
        <w:t>2000</w:t>
      </w:r>
      <w:r w:rsidR="00811E0E" w:rsidRPr="00E96E9F">
        <w:rPr>
          <w:rStyle w:val="FootnoteReference"/>
          <w:rFonts w:eastAsia="Calibri" w:cs="Calibri"/>
          <w:color w:val="000000" w:themeColor="text1"/>
        </w:rPr>
        <w:footnoteReference w:id="2"/>
      </w:r>
      <w:r w:rsidR="00811E0E" w:rsidRPr="00E96E9F">
        <w:rPr>
          <w:rFonts w:eastAsia="Calibri" w:cs="Calibri"/>
          <w:color w:val="000000" w:themeColor="text1"/>
        </w:rPr>
        <w:t>).</w:t>
      </w:r>
      <w:r w:rsidR="00F96B2F" w:rsidRPr="00E96E9F">
        <w:rPr>
          <w:rFonts w:eastAsia="Calibri" w:cs="Calibri"/>
          <w:color w:val="000000" w:themeColor="text1"/>
        </w:rPr>
        <w:t xml:space="preserve"> </w:t>
      </w:r>
      <w:r w:rsidR="00811E0E" w:rsidRPr="00E96E9F">
        <w:rPr>
          <w:rFonts w:eastAsia="Calibri" w:cs="Calibri"/>
          <w:color w:val="000000" w:themeColor="text1"/>
        </w:rPr>
        <w:t>Growth</w:t>
      </w:r>
      <w:r w:rsidR="00F96B2F" w:rsidRPr="00E96E9F">
        <w:rPr>
          <w:rFonts w:eastAsia="Calibri" w:cs="Calibri"/>
          <w:color w:val="000000" w:themeColor="text1"/>
        </w:rPr>
        <w:t xml:space="preserve"> </w:t>
      </w:r>
      <w:r w:rsidR="00811E0E" w:rsidRPr="00E96E9F">
        <w:rPr>
          <w:rFonts w:eastAsia="Calibri" w:cs="Calibri"/>
          <w:color w:val="000000" w:themeColor="text1"/>
        </w:rPr>
        <w:t>hormone</w:t>
      </w:r>
      <w:r w:rsidR="00F96B2F" w:rsidRPr="00E96E9F">
        <w:rPr>
          <w:rFonts w:eastAsia="Calibri" w:cs="Calibri"/>
          <w:color w:val="000000" w:themeColor="text1"/>
        </w:rPr>
        <w:t xml:space="preserve"> </w:t>
      </w:r>
      <w:r w:rsidR="00811E0E" w:rsidRPr="00E96E9F">
        <w:rPr>
          <w:rFonts w:eastAsia="Calibri" w:cs="Calibri"/>
          <w:color w:val="000000" w:themeColor="text1"/>
        </w:rPr>
        <w:t>therapy</w:t>
      </w:r>
      <w:r w:rsidR="00F96B2F" w:rsidRPr="00E96E9F">
        <w:rPr>
          <w:rFonts w:eastAsia="Calibri" w:cs="Calibri"/>
          <w:color w:val="000000" w:themeColor="text1"/>
        </w:rPr>
        <w:t xml:space="preserve"> </w:t>
      </w:r>
      <w:r w:rsidR="00811E0E" w:rsidRPr="00E96E9F">
        <w:rPr>
          <w:rFonts w:eastAsia="Calibri" w:cs="Calibri"/>
          <w:color w:val="000000" w:themeColor="text1"/>
        </w:rPr>
        <w:t>reduces</w:t>
      </w:r>
      <w:r w:rsidR="00F96B2F" w:rsidRPr="00E96E9F">
        <w:rPr>
          <w:rFonts w:eastAsia="Calibri" w:cs="Calibri"/>
          <w:color w:val="000000" w:themeColor="text1"/>
        </w:rPr>
        <w:t xml:space="preserve"> </w:t>
      </w:r>
      <w:r w:rsidR="00811E0E" w:rsidRPr="00E96E9F">
        <w:rPr>
          <w:rFonts w:eastAsia="Calibri" w:cs="Calibri"/>
          <w:color w:val="000000" w:themeColor="text1"/>
        </w:rPr>
        <w:t>body</w:t>
      </w:r>
      <w:r w:rsidR="00F96B2F" w:rsidRPr="00E96E9F">
        <w:rPr>
          <w:rFonts w:eastAsia="Calibri" w:cs="Calibri"/>
          <w:color w:val="000000" w:themeColor="text1"/>
        </w:rPr>
        <w:t xml:space="preserve"> </w:t>
      </w:r>
      <w:r w:rsidR="00811E0E" w:rsidRPr="00E96E9F">
        <w:rPr>
          <w:rFonts w:eastAsia="Calibri" w:cs="Calibri"/>
          <w:color w:val="000000" w:themeColor="text1"/>
        </w:rPr>
        <w:t>fat,</w:t>
      </w:r>
      <w:r w:rsidR="00F96B2F" w:rsidRPr="00E96E9F">
        <w:rPr>
          <w:rFonts w:eastAsia="Calibri" w:cs="Calibri"/>
          <w:color w:val="000000" w:themeColor="text1"/>
        </w:rPr>
        <w:t xml:space="preserve"> </w:t>
      </w:r>
      <w:r w:rsidR="00811E0E" w:rsidRPr="00E96E9F">
        <w:rPr>
          <w:rFonts w:eastAsia="Calibri" w:cs="Calibri"/>
          <w:color w:val="000000" w:themeColor="text1"/>
        </w:rPr>
        <w:t>reverses</w:t>
      </w:r>
      <w:r w:rsidR="00F96B2F" w:rsidRPr="00E96E9F">
        <w:rPr>
          <w:rFonts w:eastAsia="Calibri" w:cs="Calibri"/>
          <w:color w:val="000000" w:themeColor="text1"/>
        </w:rPr>
        <w:t xml:space="preserve"> </w:t>
      </w:r>
      <w:r w:rsidR="00811E0E" w:rsidRPr="00E96E9F">
        <w:rPr>
          <w:rFonts w:eastAsia="Calibri" w:cs="Calibri"/>
          <w:color w:val="000000" w:themeColor="text1"/>
        </w:rPr>
        <w:t>insulin</w:t>
      </w:r>
      <w:r w:rsidR="00F96B2F" w:rsidRPr="00E96E9F">
        <w:rPr>
          <w:rFonts w:eastAsia="Calibri" w:cs="Calibri"/>
          <w:color w:val="000000" w:themeColor="text1"/>
        </w:rPr>
        <w:t xml:space="preserve"> </w:t>
      </w:r>
      <w:r w:rsidR="00811E0E" w:rsidRPr="00E96E9F">
        <w:rPr>
          <w:rFonts w:eastAsia="Calibri" w:cs="Calibri"/>
          <w:color w:val="000000" w:themeColor="text1"/>
        </w:rPr>
        <w:t>insensitivity</w:t>
      </w:r>
      <w:r w:rsidR="00D17724" w:rsidRPr="00E96E9F">
        <w:rPr>
          <w:rFonts w:eastAsia="Calibri" w:cs="Calibri"/>
          <w:color w:val="000000" w:themeColor="text1"/>
        </w:rPr>
        <w:t>,</w:t>
      </w:r>
      <w:r w:rsidR="00F96B2F" w:rsidRPr="00E96E9F">
        <w:rPr>
          <w:rFonts w:eastAsia="Calibri" w:cs="Calibri"/>
          <w:color w:val="000000" w:themeColor="text1"/>
        </w:rPr>
        <w:t xml:space="preserve"> </w:t>
      </w:r>
      <w:r w:rsidR="00811E0E" w:rsidRPr="00E96E9F">
        <w:rPr>
          <w:rFonts w:eastAsia="Calibri" w:cs="Calibri"/>
          <w:color w:val="000000" w:themeColor="text1"/>
        </w:rPr>
        <w:t>and</w:t>
      </w:r>
      <w:r w:rsidR="00F96B2F" w:rsidRPr="00E96E9F">
        <w:rPr>
          <w:rFonts w:eastAsia="Calibri" w:cs="Calibri"/>
          <w:color w:val="000000" w:themeColor="text1"/>
        </w:rPr>
        <w:t xml:space="preserve"> </w:t>
      </w:r>
      <w:r w:rsidR="00811E0E" w:rsidRPr="00E96E9F">
        <w:rPr>
          <w:rFonts w:eastAsia="Calibri" w:cs="Calibri"/>
          <w:color w:val="000000" w:themeColor="text1"/>
        </w:rPr>
        <w:t>increases</w:t>
      </w:r>
      <w:r w:rsidR="00F96B2F" w:rsidRPr="00E96E9F">
        <w:rPr>
          <w:rFonts w:eastAsia="Calibri" w:cs="Calibri"/>
          <w:color w:val="000000" w:themeColor="text1"/>
        </w:rPr>
        <w:t xml:space="preserve"> </w:t>
      </w:r>
      <w:r w:rsidR="00811E0E" w:rsidRPr="00E96E9F">
        <w:rPr>
          <w:rFonts w:eastAsia="Calibri" w:cs="Calibri"/>
          <w:color w:val="000000" w:themeColor="text1"/>
        </w:rPr>
        <w:t>bone</w:t>
      </w:r>
      <w:r w:rsidR="00F96B2F" w:rsidRPr="00E96E9F">
        <w:rPr>
          <w:rFonts w:eastAsia="Calibri" w:cs="Calibri"/>
          <w:color w:val="000000" w:themeColor="text1"/>
        </w:rPr>
        <w:t xml:space="preserve"> </w:t>
      </w:r>
      <w:r w:rsidR="00811E0E" w:rsidRPr="00E96E9F">
        <w:rPr>
          <w:rFonts w:eastAsia="Calibri" w:cs="Calibri"/>
          <w:color w:val="000000" w:themeColor="text1"/>
        </w:rPr>
        <w:t>mineral</w:t>
      </w:r>
      <w:r w:rsidR="00F96B2F" w:rsidRPr="00E96E9F">
        <w:rPr>
          <w:rFonts w:eastAsia="Calibri" w:cs="Calibri"/>
          <w:color w:val="000000" w:themeColor="text1"/>
        </w:rPr>
        <w:t xml:space="preserve"> </w:t>
      </w:r>
      <w:r w:rsidR="00811E0E" w:rsidRPr="00E96E9F">
        <w:rPr>
          <w:rFonts w:eastAsia="Calibri" w:cs="Calibri"/>
          <w:color w:val="000000" w:themeColor="text1"/>
        </w:rPr>
        <w:t>mass.</w:t>
      </w:r>
    </w:p>
    <w:p w14:paraId="01F4637E" w14:textId="73AB1F82" w:rsidR="00E5129A" w:rsidRDefault="00C31A06" w:rsidP="00D17724">
      <w:pPr>
        <w:pStyle w:val="3-BodyText"/>
        <w:rPr>
          <w:rFonts w:eastAsia="Calibri" w:cs="Calibri"/>
          <w:color w:val="000000" w:themeColor="text1"/>
        </w:rPr>
      </w:pPr>
      <w:proofErr w:type="spellStart"/>
      <w:r w:rsidRPr="00E96E9F">
        <w:rPr>
          <w:rFonts w:eastAsia="Calibri" w:cs="Calibri"/>
          <w:color w:val="000000" w:themeColor="text1"/>
        </w:rPr>
        <w:t>S</w:t>
      </w:r>
      <w:r w:rsidR="00811E0E" w:rsidRPr="00E96E9F">
        <w:rPr>
          <w:rFonts w:eastAsia="Calibri" w:cs="Calibri"/>
          <w:color w:val="000000" w:themeColor="text1"/>
        </w:rPr>
        <w:t>omatrogon</w:t>
      </w:r>
      <w:proofErr w:type="spellEnd"/>
      <w:r w:rsidR="00F96B2F" w:rsidRPr="00E96E9F">
        <w:rPr>
          <w:rFonts w:eastAsia="Calibri" w:cs="Calibri"/>
          <w:color w:val="000000" w:themeColor="text1"/>
        </w:rPr>
        <w:t xml:space="preserve"> </w:t>
      </w:r>
      <w:r w:rsidR="00811E0E" w:rsidRPr="00E96E9F">
        <w:rPr>
          <w:rFonts w:eastAsia="Calibri" w:cs="Calibri"/>
          <w:color w:val="000000" w:themeColor="text1"/>
        </w:rPr>
        <w:t>is</w:t>
      </w:r>
      <w:r w:rsidR="00F96B2F" w:rsidRPr="00E96E9F">
        <w:rPr>
          <w:rFonts w:eastAsia="Calibri" w:cs="Calibri"/>
          <w:color w:val="000000" w:themeColor="text1"/>
        </w:rPr>
        <w:t xml:space="preserve"> </w:t>
      </w:r>
      <w:r w:rsidR="00811E0E" w:rsidRPr="00E96E9F">
        <w:rPr>
          <w:rFonts w:eastAsia="Calibri" w:cs="Calibri"/>
          <w:color w:val="000000" w:themeColor="text1"/>
        </w:rPr>
        <w:t>a</w:t>
      </w:r>
      <w:r w:rsidR="00F96B2F" w:rsidRPr="00E96E9F">
        <w:rPr>
          <w:rFonts w:eastAsia="Calibri" w:cs="Calibri"/>
          <w:color w:val="000000" w:themeColor="text1"/>
        </w:rPr>
        <w:t xml:space="preserve"> </w:t>
      </w:r>
      <w:r w:rsidR="00811E0E" w:rsidRPr="00E96E9F">
        <w:rPr>
          <w:rFonts w:eastAsia="Calibri" w:cs="Calibri"/>
          <w:color w:val="000000" w:themeColor="text1"/>
        </w:rPr>
        <w:t>glycoprotein</w:t>
      </w:r>
      <w:r w:rsidR="00F96B2F" w:rsidRPr="00E96E9F">
        <w:rPr>
          <w:rFonts w:eastAsia="Calibri" w:cs="Calibri"/>
          <w:color w:val="000000" w:themeColor="text1"/>
        </w:rPr>
        <w:t xml:space="preserve"> </w:t>
      </w:r>
      <w:r w:rsidR="00811E0E" w:rsidRPr="00E96E9F">
        <w:rPr>
          <w:rFonts w:eastAsia="Calibri" w:cs="Calibri"/>
          <w:color w:val="000000" w:themeColor="text1"/>
        </w:rPr>
        <w:t>that</w:t>
      </w:r>
      <w:r w:rsidR="00F96B2F" w:rsidRPr="00E96E9F">
        <w:rPr>
          <w:rFonts w:eastAsia="Calibri" w:cs="Calibri"/>
          <w:color w:val="000000" w:themeColor="text1"/>
        </w:rPr>
        <w:t xml:space="preserve"> </w:t>
      </w:r>
      <w:r w:rsidR="00811E0E" w:rsidRPr="00E96E9F">
        <w:rPr>
          <w:rFonts w:eastAsia="Calibri" w:cs="Calibri"/>
          <w:color w:val="000000" w:themeColor="text1"/>
        </w:rPr>
        <w:t>binds</w:t>
      </w:r>
      <w:r w:rsidR="00F96B2F" w:rsidRPr="00E96E9F">
        <w:rPr>
          <w:rFonts w:eastAsia="Calibri" w:cs="Calibri"/>
          <w:color w:val="000000" w:themeColor="text1"/>
        </w:rPr>
        <w:t xml:space="preserve"> </w:t>
      </w:r>
      <w:r w:rsidR="00811E0E" w:rsidRPr="00E96E9F">
        <w:rPr>
          <w:rFonts w:eastAsia="Calibri" w:cs="Calibri"/>
          <w:color w:val="000000" w:themeColor="text1"/>
        </w:rPr>
        <w:t>to</w:t>
      </w:r>
      <w:r w:rsidR="00F96B2F" w:rsidRPr="00E96E9F">
        <w:rPr>
          <w:rFonts w:eastAsia="Calibri" w:cs="Calibri"/>
          <w:color w:val="000000" w:themeColor="text1"/>
        </w:rPr>
        <w:t xml:space="preserve"> </w:t>
      </w:r>
      <w:r w:rsidR="00811E0E" w:rsidRPr="00E96E9F">
        <w:rPr>
          <w:rFonts w:eastAsia="Calibri" w:cs="Calibri"/>
          <w:color w:val="000000" w:themeColor="text1"/>
        </w:rPr>
        <w:t>the</w:t>
      </w:r>
      <w:r w:rsidR="00F96B2F" w:rsidRPr="00E96E9F">
        <w:rPr>
          <w:rFonts w:eastAsia="Calibri" w:cs="Calibri"/>
          <w:color w:val="000000" w:themeColor="text1"/>
        </w:rPr>
        <w:t xml:space="preserve"> </w:t>
      </w:r>
      <w:r w:rsidR="00811E0E" w:rsidRPr="00E96E9F">
        <w:rPr>
          <w:rFonts w:eastAsia="Calibri" w:cs="Calibri"/>
          <w:color w:val="000000" w:themeColor="text1"/>
        </w:rPr>
        <w:t>growth</w:t>
      </w:r>
      <w:r w:rsidR="00F96B2F" w:rsidRPr="00E96E9F">
        <w:rPr>
          <w:rFonts w:eastAsia="Calibri" w:cs="Calibri"/>
          <w:color w:val="000000" w:themeColor="text1"/>
        </w:rPr>
        <w:t xml:space="preserve"> </w:t>
      </w:r>
      <w:r w:rsidR="00811E0E" w:rsidRPr="00E96E9F">
        <w:rPr>
          <w:rFonts w:eastAsia="Calibri" w:cs="Calibri"/>
          <w:color w:val="000000" w:themeColor="text1"/>
        </w:rPr>
        <w:t>hormone</w:t>
      </w:r>
      <w:r w:rsidR="00F96B2F" w:rsidRPr="00E96E9F">
        <w:rPr>
          <w:rFonts w:eastAsia="Calibri" w:cs="Calibri"/>
          <w:color w:val="000000" w:themeColor="text1"/>
        </w:rPr>
        <w:t xml:space="preserve"> </w:t>
      </w:r>
      <w:r w:rsidR="00811E0E" w:rsidRPr="00E96E9F">
        <w:rPr>
          <w:rFonts w:eastAsia="Calibri" w:cs="Calibri"/>
          <w:color w:val="000000" w:themeColor="text1"/>
        </w:rPr>
        <w:t>receptor</w:t>
      </w:r>
      <w:r w:rsidR="00F96B2F" w:rsidRPr="00E96E9F">
        <w:rPr>
          <w:rFonts w:eastAsia="Calibri" w:cs="Calibri"/>
          <w:color w:val="000000" w:themeColor="text1"/>
        </w:rPr>
        <w:t xml:space="preserve"> </w:t>
      </w:r>
      <w:r w:rsidR="00811E0E" w:rsidRPr="00E96E9F">
        <w:rPr>
          <w:rFonts w:eastAsia="Calibri" w:cs="Calibri"/>
          <w:color w:val="000000" w:themeColor="text1"/>
        </w:rPr>
        <w:t>and</w:t>
      </w:r>
      <w:r w:rsidR="00F96B2F" w:rsidRPr="00E96E9F">
        <w:rPr>
          <w:rFonts w:eastAsia="Calibri" w:cs="Calibri"/>
          <w:color w:val="000000" w:themeColor="text1"/>
        </w:rPr>
        <w:t xml:space="preserve"> </w:t>
      </w:r>
      <w:r w:rsidR="00811E0E" w:rsidRPr="00E96E9F">
        <w:rPr>
          <w:rFonts w:eastAsia="Calibri" w:cs="Calibri"/>
          <w:color w:val="000000" w:themeColor="text1"/>
        </w:rPr>
        <w:t>initiates</w:t>
      </w:r>
      <w:r w:rsidR="00F96B2F" w:rsidRPr="00E96E9F">
        <w:rPr>
          <w:rFonts w:eastAsia="Calibri" w:cs="Calibri"/>
          <w:color w:val="000000" w:themeColor="text1"/>
        </w:rPr>
        <w:t xml:space="preserve"> </w:t>
      </w:r>
      <w:r w:rsidR="00811E0E" w:rsidRPr="00E96E9F">
        <w:rPr>
          <w:rFonts w:eastAsia="Calibri" w:cs="Calibri"/>
          <w:color w:val="000000" w:themeColor="text1"/>
        </w:rPr>
        <w:t>a</w:t>
      </w:r>
      <w:r w:rsidR="00F96B2F" w:rsidRPr="00E96E9F">
        <w:rPr>
          <w:rFonts w:eastAsia="Calibri" w:cs="Calibri"/>
          <w:color w:val="000000" w:themeColor="text1"/>
        </w:rPr>
        <w:t xml:space="preserve"> </w:t>
      </w:r>
      <w:r w:rsidR="00811E0E" w:rsidRPr="00E96E9F">
        <w:rPr>
          <w:rFonts w:eastAsia="Calibri" w:cs="Calibri"/>
          <w:color w:val="000000" w:themeColor="text1"/>
        </w:rPr>
        <w:t>transduction</w:t>
      </w:r>
      <w:r w:rsidR="00F96B2F" w:rsidRPr="00E96E9F">
        <w:rPr>
          <w:rFonts w:eastAsia="Calibri" w:cs="Calibri"/>
          <w:color w:val="000000" w:themeColor="text1"/>
        </w:rPr>
        <w:t xml:space="preserve"> </w:t>
      </w:r>
      <w:r w:rsidR="00811E0E" w:rsidRPr="00E96E9F">
        <w:rPr>
          <w:rFonts w:eastAsia="Calibri" w:cs="Calibri"/>
          <w:color w:val="000000" w:themeColor="text1"/>
        </w:rPr>
        <w:t>cascade</w:t>
      </w:r>
      <w:r w:rsidR="00F96B2F" w:rsidRPr="00E96E9F">
        <w:rPr>
          <w:rFonts w:eastAsia="Calibri" w:cs="Calibri"/>
          <w:color w:val="000000" w:themeColor="text1"/>
        </w:rPr>
        <w:t xml:space="preserve"> </w:t>
      </w:r>
      <w:r w:rsidR="00811E0E" w:rsidRPr="00E96E9F">
        <w:rPr>
          <w:rFonts w:eastAsia="Calibri" w:cs="Calibri"/>
          <w:color w:val="000000" w:themeColor="text1"/>
        </w:rPr>
        <w:t>culminating</w:t>
      </w:r>
      <w:r w:rsidR="00F96B2F" w:rsidRPr="00E96E9F">
        <w:rPr>
          <w:rFonts w:eastAsia="Calibri" w:cs="Calibri"/>
          <w:color w:val="000000" w:themeColor="text1"/>
        </w:rPr>
        <w:t xml:space="preserve"> </w:t>
      </w:r>
      <w:r w:rsidR="00811E0E" w:rsidRPr="00E96E9F">
        <w:rPr>
          <w:rFonts w:eastAsia="Calibri" w:cs="Calibri"/>
          <w:color w:val="000000" w:themeColor="text1"/>
        </w:rPr>
        <w:t>in</w:t>
      </w:r>
      <w:r w:rsidR="00F96B2F" w:rsidRPr="00E96E9F">
        <w:rPr>
          <w:rFonts w:eastAsia="Calibri" w:cs="Calibri"/>
          <w:color w:val="000000" w:themeColor="text1"/>
        </w:rPr>
        <w:t xml:space="preserve"> </w:t>
      </w:r>
      <w:r w:rsidR="00811E0E" w:rsidRPr="00E96E9F">
        <w:rPr>
          <w:rFonts w:eastAsia="Calibri" w:cs="Calibri"/>
          <w:color w:val="000000" w:themeColor="text1"/>
        </w:rPr>
        <w:t>changes</w:t>
      </w:r>
      <w:r w:rsidR="00F96B2F" w:rsidRPr="00E96E9F">
        <w:rPr>
          <w:rFonts w:eastAsia="Calibri" w:cs="Calibri"/>
          <w:color w:val="000000" w:themeColor="text1"/>
        </w:rPr>
        <w:t xml:space="preserve"> </w:t>
      </w:r>
      <w:r w:rsidR="00811E0E" w:rsidRPr="00E96E9F">
        <w:rPr>
          <w:rFonts w:eastAsia="Calibri" w:cs="Calibri"/>
          <w:color w:val="000000" w:themeColor="text1"/>
        </w:rPr>
        <w:t>in</w:t>
      </w:r>
      <w:r w:rsidR="00F96B2F" w:rsidRPr="00E96E9F">
        <w:rPr>
          <w:rFonts w:eastAsia="Calibri" w:cs="Calibri"/>
          <w:color w:val="000000" w:themeColor="text1"/>
        </w:rPr>
        <w:t xml:space="preserve"> </w:t>
      </w:r>
      <w:r w:rsidR="00811E0E" w:rsidRPr="00E96E9F">
        <w:rPr>
          <w:rFonts w:eastAsia="Calibri" w:cs="Calibri"/>
          <w:color w:val="000000" w:themeColor="text1"/>
        </w:rPr>
        <w:t>growth</w:t>
      </w:r>
      <w:r w:rsidR="00F96B2F" w:rsidRPr="00E96E9F">
        <w:rPr>
          <w:rFonts w:eastAsia="Calibri" w:cs="Calibri"/>
          <w:color w:val="000000" w:themeColor="text1"/>
        </w:rPr>
        <w:t xml:space="preserve"> </w:t>
      </w:r>
      <w:r w:rsidR="00811E0E" w:rsidRPr="00E96E9F">
        <w:rPr>
          <w:rFonts w:eastAsia="Calibri" w:cs="Calibri"/>
          <w:color w:val="000000" w:themeColor="text1"/>
        </w:rPr>
        <w:t>and</w:t>
      </w:r>
      <w:r w:rsidR="00F96B2F" w:rsidRPr="00E96E9F">
        <w:rPr>
          <w:rFonts w:eastAsia="Calibri" w:cs="Calibri"/>
          <w:color w:val="000000" w:themeColor="text1"/>
        </w:rPr>
        <w:t xml:space="preserve"> </w:t>
      </w:r>
      <w:r w:rsidR="00811E0E" w:rsidRPr="00E96E9F">
        <w:rPr>
          <w:rFonts w:eastAsia="Calibri" w:cs="Calibri"/>
          <w:color w:val="000000" w:themeColor="text1"/>
        </w:rPr>
        <w:t>metabolism.</w:t>
      </w:r>
    </w:p>
    <w:p w14:paraId="138286F0" w14:textId="13E637B9" w:rsidR="00811E0E" w:rsidRPr="00E96E9F" w:rsidRDefault="00811E0E" w:rsidP="00811E0E">
      <w:pPr>
        <w:pStyle w:val="2-SectionHeading"/>
      </w:pPr>
      <w:bookmarkStart w:id="12" w:name="_Toc93499817"/>
      <w:r w:rsidRPr="00E96E9F">
        <w:lastRenderedPageBreak/>
        <w:t>Comparator</w:t>
      </w:r>
      <w:bookmarkEnd w:id="12"/>
    </w:p>
    <w:p w14:paraId="7609ACAB" w14:textId="23369D50" w:rsidR="00D17724" w:rsidRPr="0038201B" w:rsidRDefault="00811E0E" w:rsidP="00A83811">
      <w:pPr>
        <w:pStyle w:val="3-BodyText"/>
        <w:rPr>
          <w:rFonts w:eastAsia="Calibri"/>
        </w:rPr>
      </w:pPr>
      <w:r w:rsidRPr="009F529F">
        <w:rPr>
          <w:rFonts w:eastAsia="Calibri"/>
        </w:rPr>
        <w:t>The</w:t>
      </w:r>
      <w:r w:rsidR="00F96B2F" w:rsidRPr="009F529F">
        <w:rPr>
          <w:rFonts w:eastAsia="Calibri"/>
        </w:rPr>
        <w:t xml:space="preserve"> </w:t>
      </w:r>
      <w:r w:rsidRPr="009F529F">
        <w:rPr>
          <w:rFonts w:eastAsia="Calibri"/>
        </w:rPr>
        <w:t>submission</w:t>
      </w:r>
      <w:r w:rsidR="00F96B2F" w:rsidRPr="009F529F">
        <w:rPr>
          <w:rFonts w:eastAsia="Calibri"/>
        </w:rPr>
        <w:t xml:space="preserve"> </w:t>
      </w:r>
      <w:r w:rsidRPr="009F529F">
        <w:rPr>
          <w:rFonts w:eastAsia="Calibri"/>
        </w:rPr>
        <w:t>nominated</w:t>
      </w:r>
      <w:r w:rsidR="00F96B2F" w:rsidRPr="009F529F">
        <w:rPr>
          <w:rFonts w:eastAsia="Calibri"/>
        </w:rPr>
        <w:t xml:space="preserve"> </w:t>
      </w:r>
      <w:r w:rsidRPr="009F529F">
        <w:rPr>
          <w:rFonts w:eastAsia="Calibri"/>
        </w:rPr>
        <w:t>somatropin</w:t>
      </w:r>
      <w:r w:rsidR="00F96B2F" w:rsidRPr="009F529F">
        <w:rPr>
          <w:rFonts w:eastAsia="Calibri"/>
        </w:rPr>
        <w:t xml:space="preserve"> </w:t>
      </w:r>
      <w:r w:rsidRPr="009F529F">
        <w:rPr>
          <w:rFonts w:eastAsia="Calibri"/>
        </w:rPr>
        <w:t>as</w:t>
      </w:r>
      <w:r w:rsidR="00F96B2F" w:rsidRPr="009F529F">
        <w:rPr>
          <w:rFonts w:eastAsia="Calibri"/>
        </w:rPr>
        <w:t xml:space="preserve"> </w:t>
      </w:r>
      <w:r w:rsidRPr="009F529F">
        <w:rPr>
          <w:rFonts w:eastAsia="Calibri"/>
        </w:rPr>
        <w:t>the</w:t>
      </w:r>
      <w:r w:rsidR="00F96B2F" w:rsidRPr="009F529F">
        <w:rPr>
          <w:rFonts w:eastAsia="Calibri"/>
        </w:rPr>
        <w:t xml:space="preserve"> </w:t>
      </w:r>
      <w:r w:rsidRPr="009F529F">
        <w:rPr>
          <w:rFonts w:eastAsia="Calibri"/>
        </w:rPr>
        <w:t>main</w:t>
      </w:r>
      <w:r w:rsidR="00F96B2F" w:rsidRPr="009F529F">
        <w:rPr>
          <w:rFonts w:eastAsia="Calibri"/>
        </w:rPr>
        <w:t xml:space="preserve"> </w:t>
      </w:r>
      <w:r w:rsidRPr="009F529F">
        <w:rPr>
          <w:rFonts w:eastAsia="Calibri"/>
        </w:rPr>
        <w:t>comparator.</w:t>
      </w:r>
      <w:r w:rsidR="00F96B2F" w:rsidRPr="009F529F">
        <w:rPr>
          <w:rFonts w:eastAsia="Calibri"/>
        </w:rPr>
        <w:t xml:space="preserve"> </w:t>
      </w:r>
      <w:r w:rsidR="00843C87">
        <w:rPr>
          <w:rFonts w:eastAsia="Calibri"/>
        </w:rPr>
        <w:t xml:space="preserve">The main argument provided in support of this nomination was that somatropin is the formulation of recombinant human GH currently reimbursed via the Section 100 Growth Hormone Program of the PBS for a range of indications including </w:t>
      </w:r>
      <w:r w:rsidRPr="009F529F">
        <w:rPr>
          <w:rFonts w:eastAsia="Calibri"/>
        </w:rPr>
        <w:t>the</w:t>
      </w:r>
      <w:r w:rsidR="00F96B2F" w:rsidRPr="009F529F">
        <w:rPr>
          <w:rFonts w:eastAsia="Calibri"/>
        </w:rPr>
        <w:t xml:space="preserve"> </w:t>
      </w:r>
      <w:r w:rsidRPr="009F529F">
        <w:rPr>
          <w:rFonts w:eastAsia="Calibri"/>
        </w:rPr>
        <w:t>treatment</w:t>
      </w:r>
      <w:r w:rsidR="00F96B2F" w:rsidRPr="009F529F">
        <w:rPr>
          <w:rFonts w:eastAsia="Calibri"/>
        </w:rPr>
        <w:t xml:space="preserve"> </w:t>
      </w:r>
      <w:r w:rsidRPr="009F529F">
        <w:rPr>
          <w:rFonts w:eastAsia="Calibri"/>
        </w:rPr>
        <w:t>of</w:t>
      </w:r>
      <w:r w:rsidR="00F96B2F" w:rsidRPr="009F529F">
        <w:rPr>
          <w:rFonts w:eastAsia="Calibri"/>
        </w:rPr>
        <w:t xml:space="preserve"> </w:t>
      </w:r>
      <w:r w:rsidRPr="009F529F">
        <w:rPr>
          <w:rFonts w:eastAsia="Calibri"/>
        </w:rPr>
        <w:t>short</w:t>
      </w:r>
      <w:r w:rsidR="00F96B2F" w:rsidRPr="009F529F">
        <w:rPr>
          <w:rFonts w:eastAsia="Calibri"/>
        </w:rPr>
        <w:t xml:space="preserve"> </w:t>
      </w:r>
      <w:r w:rsidRPr="009F529F">
        <w:rPr>
          <w:rFonts w:eastAsia="Calibri"/>
        </w:rPr>
        <w:t>stature</w:t>
      </w:r>
      <w:r w:rsidR="00F96B2F" w:rsidRPr="009F529F">
        <w:rPr>
          <w:rFonts w:eastAsia="Calibri"/>
        </w:rPr>
        <w:t xml:space="preserve"> </w:t>
      </w:r>
      <w:r w:rsidRPr="009F529F">
        <w:rPr>
          <w:rFonts w:eastAsia="Calibri"/>
        </w:rPr>
        <w:t>due</w:t>
      </w:r>
      <w:r w:rsidR="00F96B2F" w:rsidRPr="009F529F">
        <w:rPr>
          <w:rFonts w:eastAsia="Calibri"/>
        </w:rPr>
        <w:t xml:space="preserve"> </w:t>
      </w:r>
      <w:r w:rsidRPr="009F529F">
        <w:rPr>
          <w:rFonts w:eastAsia="Calibri"/>
        </w:rPr>
        <w:t>to</w:t>
      </w:r>
      <w:r w:rsidR="00F96B2F" w:rsidRPr="009F529F">
        <w:rPr>
          <w:rFonts w:eastAsia="Calibri"/>
        </w:rPr>
        <w:t xml:space="preserve"> </w:t>
      </w:r>
      <w:r w:rsidRPr="009F529F">
        <w:rPr>
          <w:rFonts w:eastAsia="Calibri"/>
        </w:rPr>
        <w:t>decreased</w:t>
      </w:r>
      <w:r w:rsidR="00F96B2F" w:rsidRPr="009F529F">
        <w:rPr>
          <w:rFonts w:eastAsia="Calibri"/>
        </w:rPr>
        <w:t xml:space="preserve"> </w:t>
      </w:r>
      <w:r w:rsidRPr="009F529F">
        <w:rPr>
          <w:rFonts w:eastAsia="Calibri"/>
        </w:rPr>
        <w:t>or</w:t>
      </w:r>
      <w:r w:rsidR="00F96B2F" w:rsidRPr="009F529F">
        <w:rPr>
          <w:rFonts w:eastAsia="Calibri"/>
        </w:rPr>
        <w:t xml:space="preserve"> </w:t>
      </w:r>
      <w:r w:rsidRPr="009F529F">
        <w:rPr>
          <w:rFonts w:eastAsia="Calibri"/>
        </w:rPr>
        <w:t>failed</w:t>
      </w:r>
      <w:r w:rsidR="00F96B2F" w:rsidRPr="009F529F">
        <w:rPr>
          <w:rFonts w:eastAsia="Calibri"/>
        </w:rPr>
        <w:t xml:space="preserve"> </w:t>
      </w:r>
      <w:r w:rsidRPr="009F529F">
        <w:rPr>
          <w:rFonts w:eastAsia="Calibri"/>
        </w:rPr>
        <w:t>secretion</w:t>
      </w:r>
      <w:r w:rsidR="00F96B2F" w:rsidRPr="009F529F">
        <w:rPr>
          <w:rFonts w:eastAsia="Calibri"/>
        </w:rPr>
        <w:t xml:space="preserve"> </w:t>
      </w:r>
      <w:r w:rsidRPr="009F529F">
        <w:rPr>
          <w:rFonts w:eastAsia="Calibri"/>
        </w:rPr>
        <w:t>of</w:t>
      </w:r>
      <w:r w:rsidR="00F96B2F" w:rsidRPr="009F529F">
        <w:rPr>
          <w:rFonts w:eastAsia="Calibri"/>
        </w:rPr>
        <w:t xml:space="preserve"> </w:t>
      </w:r>
      <w:r w:rsidRPr="009F529F">
        <w:rPr>
          <w:rFonts w:eastAsia="Calibri"/>
        </w:rPr>
        <w:t>pituitary</w:t>
      </w:r>
      <w:r w:rsidR="00F96B2F" w:rsidRPr="009F529F">
        <w:rPr>
          <w:rFonts w:eastAsia="Calibri"/>
        </w:rPr>
        <w:t xml:space="preserve"> </w:t>
      </w:r>
      <w:r w:rsidRPr="009F529F">
        <w:rPr>
          <w:rFonts w:eastAsia="Calibri"/>
        </w:rPr>
        <w:t>growth</w:t>
      </w:r>
      <w:r w:rsidR="00F96B2F" w:rsidRPr="009F529F">
        <w:rPr>
          <w:rFonts w:eastAsia="Calibri"/>
        </w:rPr>
        <w:t xml:space="preserve"> </w:t>
      </w:r>
      <w:r w:rsidRPr="009F529F">
        <w:rPr>
          <w:rFonts w:eastAsia="Calibri"/>
        </w:rPr>
        <w:t>hormone.</w:t>
      </w:r>
      <w:r w:rsidR="00F96B2F" w:rsidRPr="009F529F">
        <w:rPr>
          <w:rFonts w:eastAsia="Calibri"/>
        </w:rPr>
        <w:t xml:space="preserve"> </w:t>
      </w:r>
      <w:r w:rsidRPr="009F529F">
        <w:rPr>
          <w:rFonts w:eastAsia="Calibri"/>
        </w:rPr>
        <w:t>Somatropin</w:t>
      </w:r>
      <w:r w:rsidR="00F96B2F" w:rsidRPr="009F529F">
        <w:rPr>
          <w:rFonts w:eastAsia="Calibri"/>
        </w:rPr>
        <w:t xml:space="preserve"> </w:t>
      </w:r>
      <w:r w:rsidRPr="009F529F">
        <w:rPr>
          <w:rFonts w:eastAsia="Calibri"/>
        </w:rPr>
        <w:t>is</w:t>
      </w:r>
      <w:r w:rsidR="00F96B2F" w:rsidRPr="009F529F">
        <w:rPr>
          <w:rFonts w:eastAsia="Calibri"/>
        </w:rPr>
        <w:t xml:space="preserve"> </w:t>
      </w:r>
      <w:r w:rsidRPr="009F529F">
        <w:rPr>
          <w:rFonts w:eastAsia="Calibri"/>
        </w:rPr>
        <w:t>currently</w:t>
      </w:r>
      <w:r w:rsidR="00F96B2F" w:rsidRPr="00E96E9F">
        <w:rPr>
          <w:rFonts w:eastAsia="Calibri"/>
        </w:rPr>
        <w:t xml:space="preserve"> </w:t>
      </w:r>
      <w:r w:rsidR="00843C87">
        <w:rPr>
          <w:rFonts w:eastAsia="Calibri"/>
        </w:rPr>
        <w:t>subsidised</w:t>
      </w:r>
      <w:r w:rsidR="00843C87" w:rsidRPr="00E96E9F">
        <w:rPr>
          <w:rFonts w:eastAsia="Calibri"/>
        </w:rPr>
        <w:t xml:space="preserve"> </w:t>
      </w:r>
      <w:r w:rsidRPr="00E96E9F">
        <w:rPr>
          <w:rFonts w:eastAsia="Calibri"/>
        </w:rPr>
        <w:t>for</w:t>
      </w:r>
      <w:r w:rsidR="00F96B2F" w:rsidRPr="00E96E9F">
        <w:rPr>
          <w:rFonts w:eastAsia="Calibri"/>
        </w:rPr>
        <w:t xml:space="preserve"> </w:t>
      </w:r>
      <w:r w:rsidRPr="00E96E9F">
        <w:rPr>
          <w:rFonts w:eastAsia="Calibri"/>
        </w:rPr>
        <w:t>children</w:t>
      </w:r>
      <w:r w:rsidR="00F96B2F" w:rsidRPr="00E96E9F">
        <w:rPr>
          <w:rFonts w:eastAsia="Calibri"/>
        </w:rPr>
        <w:t xml:space="preserve"> </w:t>
      </w:r>
      <w:r w:rsidRPr="00E96E9F">
        <w:rPr>
          <w:rFonts w:eastAsia="Calibri"/>
        </w:rPr>
        <w:t>and</w:t>
      </w:r>
      <w:r w:rsidR="00F96B2F" w:rsidRPr="00E96E9F">
        <w:rPr>
          <w:rFonts w:eastAsia="Calibri"/>
        </w:rPr>
        <w:t xml:space="preserve"> </w:t>
      </w:r>
      <w:r w:rsidRPr="00E96E9F">
        <w:rPr>
          <w:rFonts w:eastAsia="Calibri"/>
        </w:rPr>
        <w:t>adults</w:t>
      </w:r>
      <w:r w:rsidR="00F96B2F" w:rsidRPr="00E96E9F">
        <w:rPr>
          <w:rFonts w:eastAsia="Calibri"/>
        </w:rPr>
        <w:t xml:space="preserve"> </w:t>
      </w:r>
      <w:r w:rsidRPr="00E96E9F">
        <w:rPr>
          <w:rFonts w:eastAsia="Calibri"/>
        </w:rPr>
        <w:t>who</w:t>
      </w:r>
      <w:r w:rsidR="00F96B2F" w:rsidRPr="00E96E9F">
        <w:rPr>
          <w:rFonts w:eastAsia="Calibri"/>
        </w:rPr>
        <w:t xml:space="preserve"> </w:t>
      </w:r>
      <w:r w:rsidRPr="00E96E9F">
        <w:rPr>
          <w:rFonts w:eastAsia="Calibri"/>
        </w:rPr>
        <w:t>fulfill</w:t>
      </w:r>
      <w:r w:rsidR="00F96B2F" w:rsidRPr="00E96E9F">
        <w:rPr>
          <w:rFonts w:eastAsia="Calibri"/>
        </w:rPr>
        <w:t xml:space="preserve"> </w:t>
      </w:r>
      <w:r w:rsidRPr="00E96E9F">
        <w:rPr>
          <w:rFonts w:eastAsia="Calibri"/>
        </w:rPr>
        <w:t>PBS</w:t>
      </w:r>
      <w:r w:rsidR="00F96B2F" w:rsidRPr="00E96E9F">
        <w:rPr>
          <w:rFonts w:eastAsia="Calibri"/>
        </w:rPr>
        <w:t xml:space="preserve"> </w:t>
      </w:r>
      <w:r w:rsidRPr="00E96E9F">
        <w:rPr>
          <w:rFonts w:eastAsia="Calibri"/>
        </w:rPr>
        <w:t>criteria</w:t>
      </w:r>
      <w:r w:rsidR="00F96B2F" w:rsidRPr="00E96E9F">
        <w:rPr>
          <w:rFonts w:eastAsia="Calibri"/>
        </w:rPr>
        <w:t xml:space="preserve"> </w:t>
      </w:r>
      <w:r w:rsidR="00C31A06" w:rsidRPr="00E96E9F">
        <w:rPr>
          <w:rFonts w:eastAsia="Calibri"/>
        </w:rPr>
        <w:t>under</w:t>
      </w:r>
      <w:r w:rsidR="00F96B2F" w:rsidRPr="00E96E9F">
        <w:rPr>
          <w:rFonts w:eastAsia="Calibri"/>
        </w:rPr>
        <w:t xml:space="preserve"> </w:t>
      </w:r>
      <w:r w:rsidR="00C31A06" w:rsidRPr="00E96E9F">
        <w:rPr>
          <w:rFonts w:eastAsia="Calibri"/>
        </w:rPr>
        <w:t>Section</w:t>
      </w:r>
      <w:r w:rsidR="00F96B2F" w:rsidRPr="00E96E9F">
        <w:rPr>
          <w:rFonts w:eastAsia="Calibri"/>
        </w:rPr>
        <w:t xml:space="preserve"> </w:t>
      </w:r>
      <w:r w:rsidR="00C31A06" w:rsidRPr="00E96E9F">
        <w:rPr>
          <w:rFonts w:eastAsia="Calibri"/>
        </w:rPr>
        <w:t>100</w:t>
      </w:r>
      <w:r w:rsidR="00F96B2F" w:rsidRPr="00E96E9F">
        <w:rPr>
          <w:rFonts w:eastAsia="Calibri"/>
        </w:rPr>
        <w:t xml:space="preserve"> </w:t>
      </w:r>
      <w:r w:rsidR="00C31A06" w:rsidRPr="00E96E9F">
        <w:t>(</w:t>
      </w:r>
      <w:r w:rsidRPr="00E96E9F">
        <w:rPr>
          <w:rFonts w:eastAsia="Calibri"/>
        </w:rPr>
        <w:t>Growth</w:t>
      </w:r>
      <w:r w:rsidR="00F96B2F" w:rsidRPr="00E96E9F">
        <w:rPr>
          <w:rFonts w:eastAsia="Calibri"/>
        </w:rPr>
        <w:t xml:space="preserve"> </w:t>
      </w:r>
      <w:r w:rsidRPr="00E96E9F">
        <w:rPr>
          <w:rFonts w:eastAsia="Calibri"/>
        </w:rPr>
        <w:t>Hormone</w:t>
      </w:r>
      <w:r w:rsidR="00F96B2F" w:rsidRPr="00E96E9F">
        <w:rPr>
          <w:rFonts w:eastAsia="Calibri"/>
        </w:rPr>
        <w:t xml:space="preserve"> </w:t>
      </w:r>
      <w:r w:rsidRPr="00E96E9F">
        <w:rPr>
          <w:rFonts w:eastAsia="Calibri"/>
        </w:rPr>
        <w:t>Program</w:t>
      </w:r>
      <w:r w:rsidR="00C31A06" w:rsidRPr="00E96E9F">
        <w:rPr>
          <w:rFonts w:eastAsia="Calibri"/>
        </w:rPr>
        <w:t>).</w:t>
      </w:r>
      <w:r w:rsidR="00A83811" w:rsidRPr="00E96E9F">
        <w:rPr>
          <w:rFonts w:eastAsia="Calibri"/>
        </w:rPr>
        <w:t xml:space="preserve"> </w:t>
      </w:r>
      <w:r w:rsidR="00DB6618">
        <w:rPr>
          <w:rFonts w:eastAsia="Calibri"/>
          <w:iCs/>
        </w:rPr>
        <w:t>The PBAC considered somatropin as an appropriate comparator.</w:t>
      </w:r>
    </w:p>
    <w:p w14:paraId="1D898A73" w14:textId="78E23033" w:rsidR="0038201B" w:rsidRPr="00E96E9F" w:rsidRDefault="0038201B" w:rsidP="0038201B">
      <w:pPr>
        <w:pStyle w:val="3-BodyText"/>
        <w:numPr>
          <w:ilvl w:val="0"/>
          <w:numId w:val="0"/>
        </w:numPr>
        <w:ind w:left="720"/>
        <w:rPr>
          <w:rFonts w:eastAsia="Calibri"/>
        </w:rPr>
      </w:pPr>
      <w:r w:rsidRPr="00C33D30">
        <w:rPr>
          <w:i/>
        </w:rPr>
        <w:t xml:space="preserve">For more </w:t>
      </w:r>
      <w:r w:rsidR="00DB6618">
        <w:rPr>
          <w:i/>
        </w:rPr>
        <w:t>detail on the PBAC’s</w:t>
      </w:r>
      <w:r w:rsidRPr="00C33D30">
        <w:rPr>
          <w:i/>
        </w:rPr>
        <w:t xml:space="preserve"> view, see section 7 PBAC outcome.</w:t>
      </w:r>
    </w:p>
    <w:p w14:paraId="0CB992B8" w14:textId="73B61080" w:rsidR="00811E0E" w:rsidRPr="00E96E9F" w:rsidRDefault="00811E0E" w:rsidP="00811E0E">
      <w:pPr>
        <w:pStyle w:val="2-SectionHeading"/>
      </w:pPr>
      <w:bookmarkStart w:id="13" w:name="_Toc93499818"/>
      <w:r w:rsidRPr="00E96E9F">
        <w:t>Consideration</w:t>
      </w:r>
      <w:r w:rsidR="00F96B2F" w:rsidRPr="00E96E9F">
        <w:t xml:space="preserve"> </w:t>
      </w:r>
      <w:r w:rsidRPr="00E96E9F">
        <w:t>of</w:t>
      </w:r>
      <w:r w:rsidR="00F96B2F" w:rsidRPr="00E96E9F">
        <w:t xml:space="preserve"> </w:t>
      </w:r>
      <w:r w:rsidRPr="00E96E9F">
        <w:t>the</w:t>
      </w:r>
      <w:r w:rsidR="00F96B2F" w:rsidRPr="00E96E9F">
        <w:t xml:space="preserve"> </w:t>
      </w:r>
      <w:r w:rsidRPr="00E96E9F">
        <w:t>evidence</w:t>
      </w:r>
      <w:bookmarkEnd w:id="13"/>
    </w:p>
    <w:p w14:paraId="54E17FD6" w14:textId="504805C4" w:rsidR="0038201B" w:rsidRDefault="0038201B" w:rsidP="00811E0E">
      <w:pPr>
        <w:pStyle w:val="4-SubsectionHeading"/>
      </w:pPr>
      <w:bookmarkStart w:id="14" w:name="_Toc93499819"/>
      <w:r>
        <w:t>Sponsor hearing</w:t>
      </w:r>
    </w:p>
    <w:p w14:paraId="71A8A91B" w14:textId="21D38BDC" w:rsidR="00D25EC8" w:rsidRDefault="0038201B" w:rsidP="00D25EC8">
      <w:pPr>
        <w:pStyle w:val="3-BodyText"/>
      </w:pPr>
      <w:r w:rsidRPr="00F91542">
        <w:rPr>
          <w:snapToGrid w:val="0"/>
        </w:rPr>
        <w:t>There was no hearing for this item</w:t>
      </w:r>
      <w:r w:rsidR="00D25EC8">
        <w:t>.</w:t>
      </w:r>
    </w:p>
    <w:p w14:paraId="6182CFD8" w14:textId="5D9D2BDD" w:rsidR="0038201B" w:rsidRDefault="0038201B" w:rsidP="00D25EC8">
      <w:pPr>
        <w:pStyle w:val="4-SubsectionHeading"/>
      </w:pPr>
      <w:r>
        <w:t>Consumer comments</w:t>
      </w:r>
    </w:p>
    <w:p w14:paraId="543F913F" w14:textId="1CC6017C" w:rsidR="00DF7543" w:rsidRDefault="00DF7543" w:rsidP="00DF7543">
      <w:pPr>
        <w:pStyle w:val="3-BodyText"/>
        <w:rPr>
          <w:snapToGrid w:val="0"/>
        </w:rPr>
      </w:pPr>
      <w:r>
        <w:rPr>
          <w:snapToGrid w:val="0"/>
        </w:rPr>
        <w:t>The PBAC noted and welcomed the input from individuals (</w:t>
      </w:r>
      <w:r w:rsidR="00515789">
        <w:rPr>
          <w:snapToGrid w:val="0"/>
        </w:rPr>
        <w:t>12</w:t>
      </w:r>
      <w:r>
        <w:rPr>
          <w:snapToGrid w:val="0"/>
        </w:rPr>
        <w:t>), health care professionals (</w:t>
      </w:r>
      <w:r w:rsidR="00515789">
        <w:rPr>
          <w:snapToGrid w:val="0"/>
        </w:rPr>
        <w:t>2</w:t>
      </w:r>
      <w:r>
        <w:rPr>
          <w:snapToGrid w:val="0"/>
        </w:rPr>
        <w:t xml:space="preserve">) and organisations (1) via the Consumer Comments facility on the PBS website. </w:t>
      </w:r>
      <w:r w:rsidRPr="00CE6053">
        <w:rPr>
          <w:snapToGrid w:val="0"/>
        </w:rPr>
        <w:t xml:space="preserve">The comments from carers described the benefits of a once-weekly GHD treatment, including improved compliance, </w:t>
      </w:r>
      <w:r w:rsidR="00496A7A">
        <w:rPr>
          <w:snapToGrid w:val="0"/>
        </w:rPr>
        <w:t xml:space="preserve">increased flexibility, </w:t>
      </w:r>
      <w:r>
        <w:rPr>
          <w:snapToGrid w:val="0"/>
        </w:rPr>
        <w:t>fewer injection site effects and reduced damage to skin, and an overall reduced disease burden and improved quality of life.</w:t>
      </w:r>
      <w:r w:rsidR="00CE6053">
        <w:rPr>
          <w:snapToGrid w:val="0"/>
        </w:rPr>
        <w:t xml:space="preserve"> Many comments addressed the notion that weekly dosing would enable children to attend school excursions and camps, have sleep overs, and be able to enjoy a more normal childhood.</w:t>
      </w:r>
    </w:p>
    <w:p w14:paraId="37BBAE20" w14:textId="4BA93CFB" w:rsidR="0079471E" w:rsidRDefault="00DF7543" w:rsidP="00E30550">
      <w:pPr>
        <w:pStyle w:val="3-BodyText"/>
        <w:rPr>
          <w:snapToGrid w:val="0"/>
        </w:rPr>
      </w:pPr>
      <w:r>
        <w:rPr>
          <w:snapToGrid w:val="0"/>
        </w:rPr>
        <w:t xml:space="preserve">The PBAC noted the advice received from the Australian Pituitary Foundation (APF) clarifying the likely use of </w:t>
      </w:r>
      <w:proofErr w:type="spellStart"/>
      <w:r>
        <w:rPr>
          <w:snapToGrid w:val="0"/>
        </w:rPr>
        <w:t>somatrogon</w:t>
      </w:r>
      <w:proofErr w:type="spellEnd"/>
      <w:r>
        <w:rPr>
          <w:snapToGrid w:val="0"/>
        </w:rPr>
        <w:t xml:space="preserve"> in clinical practice.</w:t>
      </w:r>
      <w:r w:rsidR="000D6A4B">
        <w:rPr>
          <w:snapToGrid w:val="0"/>
        </w:rPr>
        <w:t xml:space="preserve"> </w:t>
      </w:r>
      <w:r>
        <w:rPr>
          <w:snapToGrid w:val="0"/>
        </w:rPr>
        <w:t xml:space="preserve">The PBAC specifically noted the advice that the use of </w:t>
      </w:r>
      <w:proofErr w:type="spellStart"/>
      <w:r>
        <w:rPr>
          <w:snapToGrid w:val="0"/>
        </w:rPr>
        <w:t>somatrogon</w:t>
      </w:r>
      <w:proofErr w:type="spellEnd"/>
      <w:r>
        <w:rPr>
          <w:snapToGrid w:val="0"/>
        </w:rPr>
        <w:t xml:space="preserve"> may reduce physical irritation and damage at the injection site, </w:t>
      </w:r>
      <w:r w:rsidR="00E30550">
        <w:rPr>
          <w:snapToGrid w:val="0"/>
        </w:rPr>
        <w:t xml:space="preserve">reduce the emotional and psychological burden that both children and their parents/carers experience with daily injections, and minimise the impact on family dynamics. </w:t>
      </w:r>
      <w:r w:rsidRPr="00E30550">
        <w:rPr>
          <w:snapToGrid w:val="0"/>
        </w:rPr>
        <w:t xml:space="preserve">The APF advised that a weekly injection would provide </w:t>
      </w:r>
      <w:r w:rsidR="00E30550" w:rsidRPr="00E30550">
        <w:rPr>
          <w:snapToGrid w:val="0"/>
        </w:rPr>
        <w:t xml:space="preserve">greater </w:t>
      </w:r>
      <w:r w:rsidRPr="00E30550">
        <w:rPr>
          <w:snapToGrid w:val="0"/>
        </w:rPr>
        <w:t>flexibility</w:t>
      </w:r>
      <w:r w:rsidR="00E30550" w:rsidRPr="00E30550">
        <w:rPr>
          <w:snapToGrid w:val="0"/>
        </w:rPr>
        <w:t xml:space="preserve"> </w:t>
      </w:r>
      <w:r w:rsidRPr="00E30550">
        <w:rPr>
          <w:snapToGrid w:val="0"/>
        </w:rPr>
        <w:t>and add a positive impact on quality of life which would flow on to the</w:t>
      </w:r>
      <w:r w:rsidR="004F756B">
        <w:rPr>
          <w:snapToGrid w:val="0"/>
        </w:rPr>
        <w:t xml:space="preserve"> patient’s</w:t>
      </w:r>
      <w:r w:rsidRPr="00E30550">
        <w:rPr>
          <w:snapToGrid w:val="0"/>
        </w:rPr>
        <w:t xml:space="preserve"> family.</w:t>
      </w:r>
    </w:p>
    <w:p w14:paraId="463E673F" w14:textId="2C26A488" w:rsidR="00811E0E" w:rsidRPr="00E96E9F" w:rsidRDefault="00811E0E" w:rsidP="00811E0E">
      <w:pPr>
        <w:pStyle w:val="4-SubsectionHeading"/>
      </w:pPr>
      <w:r w:rsidRPr="00E96E9F">
        <w:t>Clinical</w:t>
      </w:r>
      <w:r w:rsidR="00F96B2F" w:rsidRPr="00E96E9F">
        <w:t xml:space="preserve"> </w:t>
      </w:r>
      <w:r w:rsidRPr="00E96E9F">
        <w:t>trials</w:t>
      </w:r>
      <w:bookmarkEnd w:id="6"/>
      <w:bookmarkEnd w:id="14"/>
    </w:p>
    <w:p w14:paraId="488B3230" w14:textId="7AAB41FD" w:rsidR="00E5129A" w:rsidRPr="00E96E9F" w:rsidRDefault="00811E0E" w:rsidP="00811E0E">
      <w:pPr>
        <w:pStyle w:val="3-BodyText"/>
        <w:rPr>
          <w:shd w:val="clear" w:color="auto" w:fill="FFFFFF"/>
          <w:lang w:eastAsia="zh-CN"/>
        </w:rPr>
      </w:pP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submission</w:t>
      </w:r>
      <w:r w:rsidR="00F96B2F" w:rsidRPr="00E96E9F">
        <w:rPr>
          <w:shd w:val="clear" w:color="auto" w:fill="FFFFFF"/>
          <w:lang w:eastAsia="zh-CN"/>
        </w:rPr>
        <w:t xml:space="preserve"> </w:t>
      </w:r>
      <w:r w:rsidRPr="00E96E9F">
        <w:rPr>
          <w:shd w:val="clear" w:color="auto" w:fill="FFFFFF"/>
          <w:lang w:eastAsia="zh-CN"/>
        </w:rPr>
        <w:t>was</w:t>
      </w:r>
      <w:r w:rsidR="00F96B2F" w:rsidRPr="00E96E9F">
        <w:rPr>
          <w:shd w:val="clear" w:color="auto" w:fill="FFFFFF"/>
          <w:lang w:eastAsia="zh-CN"/>
        </w:rPr>
        <w:t xml:space="preserve"> </w:t>
      </w:r>
      <w:r w:rsidRPr="00E96E9F">
        <w:rPr>
          <w:shd w:val="clear" w:color="auto" w:fill="FFFFFF"/>
          <w:lang w:eastAsia="zh-CN"/>
        </w:rPr>
        <w:t>based</w:t>
      </w:r>
      <w:r w:rsidR="00F96B2F" w:rsidRPr="00E96E9F">
        <w:rPr>
          <w:shd w:val="clear" w:color="auto" w:fill="FFFFFF"/>
          <w:lang w:eastAsia="zh-CN"/>
        </w:rPr>
        <w:t xml:space="preserve"> </w:t>
      </w:r>
      <w:r w:rsidRPr="00E96E9F">
        <w:rPr>
          <w:shd w:val="clear" w:color="auto" w:fill="FFFFFF"/>
          <w:lang w:eastAsia="zh-CN"/>
        </w:rPr>
        <w:t>on</w:t>
      </w:r>
      <w:r w:rsidR="00F96B2F" w:rsidRPr="00E96E9F">
        <w:rPr>
          <w:shd w:val="clear" w:color="auto" w:fill="FFFFFF"/>
          <w:lang w:eastAsia="zh-CN"/>
        </w:rPr>
        <w:t xml:space="preserve"> </w:t>
      </w:r>
      <w:r w:rsidRPr="00E96E9F">
        <w:rPr>
          <w:shd w:val="clear" w:color="auto" w:fill="FFFFFF"/>
          <w:lang w:eastAsia="zh-CN"/>
        </w:rPr>
        <w:t>data</w:t>
      </w:r>
      <w:r w:rsidR="00F96B2F" w:rsidRPr="00E96E9F">
        <w:rPr>
          <w:shd w:val="clear" w:color="auto" w:fill="FFFFFF"/>
          <w:lang w:eastAsia="zh-CN"/>
        </w:rPr>
        <w:t xml:space="preserve"> </w:t>
      </w:r>
      <w:r w:rsidRPr="00E96E9F">
        <w:rPr>
          <w:shd w:val="clear" w:color="auto" w:fill="FFFFFF"/>
          <w:lang w:eastAsia="zh-CN"/>
        </w:rPr>
        <w:t>from</w:t>
      </w:r>
      <w:r w:rsidR="00F96B2F" w:rsidRPr="00E96E9F">
        <w:rPr>
          <w:shd w:val="clear" w:color="auto" w:fill="FFFFFF"/>
          <w:lang w:eastAsia="zh-CN"/>
        </w:rPr>
        <w:t xml:space="preserve"> </w:t>
      </w:r>
      <w:r w:rsidRPr="00E96E9F">
        <w:rPr>
          <w:shd w:val="clear" w:color="auto" w:fill="FFFFFF"/>
          <w:lang w:eastAsia="zh-CN"/>
        </w:rPr>
        <w:t>four</w:t>
      </w:r>
      <w:r w:rsidR="00F96B2F" w:rsidRPr="00E96E9F">
        <w:rPr>
          <w:shd w:val="clear" w:color="auto" w:fill="FFFFFF"/>
          <w:lang w:eastAsia="zh-CN"/>
        </w:rPr>
        <w:t xml:space="preserve"> </w:t>
      </w:r>
      <w:r w:rsidRPr="00E96E9F">
        <w:rPr>
          <w:shd w:val="clear" w:color="auto" w:fill="FFFFFF"/>
          <w:lang w:eastAsia="zh-CN"/>
        </w:rPr>
        <w:t>studies:</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4006</w:t>
      </w:r>
      <w:r w:rsidR="00F96B2F" w:rsidRPr="00E96E9F">
        <w:rPr>
          <w:shd w:val="clear" w:color="auto" w:fill="FFFFFF"/>
          <w:lang w:eastAsia="zh-CN"/>
        </w:rPr>
        <w:t xml:space="preserve"> </w:t>
      </w:r>
      <w:r w:rsidRPr="00E96E9F">
        <w:rPr>
          <w:shd w:val="clear" w:color="auto" w:fill="FFFFFF"/>
          <w:lang w:eastAsia="zh-CN"/>
        </w:rPr>
        <w:t>(12</w:t>
      </w:r>
      <w:r w:rsidR="00F96B2F" w:rsidRPr="00E96E9F">
        <w:rPr>
          <w:shd w:val="clear" w:color="auto" w:fill="FFFFFF"/>
          <w:lang w:eastAsia="zh-CN"/>
        </w:rPr>
        <w:t xml:space="preserve"> </w:t>
      </w:r>
      <w:r w:rsidRPr="00E96E9F">
        <w:rPr>
          <w:shd w:val="clear" w:color="auto" w:fill="FFFFFF"/>
          <w:lang w:eastAsia="zh-CN"/>
        </w:rPr>
        <w:t>months,</w:t>
      </w:r>
      <w:r w:rsidR="00F96B2F" w:rsidRPr="00E96E9F">
        <w:rPr>
          <w:shd w:val="clear" w:color="auto" w:fill="FFFFFF"/>
          <w:lang w:eastAsia="zh-CN"/>
        </w:rPr>
        <w:t xml:space="preserve"> </w:t>
      </w:r>
      <w:r w:rsidRPr="00E96E9F">
        <w:rPr>
          <w:shd w:val="clear" w:color="auto" w:fill="FFFFFF"/>
          <w:lang w:eastAsia="zh-CN"/>
        </w:rPr>
        <w:t>N=224);</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4004</w:t>
      </w:r>
      <w:r w:rsidR="00F96B2F" w:rsidRPr="00E96E9F">
        <w:rPr>
          <w:shd w:val="clear" w:color="auto" w:fill="FFFFFF"/>
          <w:lang w:eastAsia="zh-CN"/>
        </w:rPr>
        <w:t xml:space="preserve"> </w:t>
      </w:r>
      <w:r w:rsidRPr="00E96E9F">
        <w:rPr>
          <w:shd w:val="clear" w:color="auto" w:fill="FFFFFF"/>
          <w:lang w:eastAsia="zh-CN"/>
        </w:rPr>
        <w:t>(12</w:t>
      </w:r>
      <w:r w:rsidR="00F96B2F" w:rsidRPr="00E96E9F">
        <w:rPr>
          <w:shd w:val="clear" w:color="auto" w:fill="FFFFFF"/>
          <w:lang w:eastAsia="zh-CN"/>
        </w:rPr>
        <w:t xml:space="preserve"> </w:t>
      </w:r>
      <w:r w:rsidRPr="00E96E9F">
        <w:rPr>
          <w:shd w:val="clear" w:color="auto" w:fill="FFFFFF"/>
          <w:lang w:eastAsia="zh-CN"/>
        </w:rPr>
        <w:t>months,</w:t>
      </w:r>
      <w:r w:rsidR="00F96B2F" w:rsidRPr="00E96E9F">
        <w:rPr>
          <w:shd w:val="clear" w:color="auto" w:fill="FFFFFF"/>
          <w:lang w:eastAsia="zh-CN"/>
        </w:rPr>
        <w:t xml:space="preserve"> </w:t>
      </w:r>
      <w:r w:rsidRPr="00E96E9F">
        <w:rPr>
          <w:shd w:val="clear" w:color="auto" w:fill="FFFFFF"/>
          <w:lang w:eastAsia="zh-CN"/>
        </w:rPr>
        <w:t>N=53</w:t>
      </w:r>
      <w:r w:rsidR="00F96B2F" w:rsidRPr="00E96E9F">
        <w:rPr>
          <w:shd w:val="clear" w:color="auto" w:fill="FFFFFF"/>
          <w:lang w:eastAsia="zh-CN"/>
        </w:rPr>
        <w:t xml:space="preserve"> </w:t>
      </w:r>
      <w:r w:rsidRPr="00E96E9F">
        <w:rPr>
          <w:shd w:val="clear" w:color="auto" w:fill="FFFFFF"/>
          <w:lang w:eastAsia="zh-CN"/>
        </w:rPr>
        <w:t>but</w:t>
      </w:r>
      <w:r w:rsidR="00F96B2F" w:rsidRPr="00E96E9F">
        <w:rPr>
          <w:shd w:val="clear" w:color="auto" w:fill="FFFFFF"/>
          <w:lang w:eastAsia="zh-CN"/>
        </w:rPr>
        <w:t xml:space="preserve"> </w:t>
      </w:r>
      <w:r w:rsidRPr="00E96E9F">
        <w:rPr>
          <w:shd w:val="clear" w:color="auto" w:fill="FFFFFF"/>
          <w:lang w:eastAsia="zh-CN"/>
        </w:rPr>
        <w:t>only</w:t>
      </w:r>
      <w:r w:rsidR="00F96B2F" w:rsidRPr="00E96E9F">
        <w:rPr>
          <w:shd w:val="clear" w:color="auto" w:fill="FFFFFF"/>
          <w:lang w:eastAsia="zh-CN"/>
        </w:rPr>
        <w:t xml:space="preserve"> </w:t>
      </w:r>
      <w:r w:rsidRPr="00E96E9F">
        <w:rPr>
          <w:shd w:val="clear" w:color="auto" w:fill="FFFFFF"/>
          <w:lang w:eastAsia="zh-CN"/>
        </w:rPr>
        <w:t>used</w:t>
      </w:r>
      <w:r w:rsidR="00F96B2F" w:rsidRPr="00E96E9F">
        <w:rPr>
          <w:shd w:val="clear" w:color="auto" w:fill="FFFFFF"/>
          <w:lang w:eastAsia="zh-CN"/>
        </w:rPr>
        <w:t xml:space="preserve"> </w:t>
      </w:r>
      <w:r w:rsidRPr="00E96E9F">
        <w:rPr>
          <w:shd w:val="clear" w:color="auto" w:fill="FFFFFF"/>
          <w:lang w:eastAsia="zh-CN"/>
        </w:rPr>
        <w:t>subset</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data,</w:t>
      </w:r>
      <w:r w:rsidR="00F96B2F" w:rsidRPr="00E96E9F">
        <w:rPr>
          <w:shd w:val="clear" w:color="auto" w:fill="FFFFFF"/>
          <w:lang w:eastAsia="zh-CN"/>
        </w:rPr>
        <w:t xml:space="preserve"> </w:t>
      </w:r>
      <w:r w:rsidRPr="00E96E9F">
        <w:rPr>
          <w:shd w:val="clear" w:color="auto" w:fill="FFFFFF"/>
          <w:lang w:eastAsia="zh-CN"/>
        </w:rPr>
        <w:t>n=25);</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4009</w:t>
      </w:r>
      <w:r w:rsidR="00F96B2F" w:rsidRPr="00E96E9F">
        <w:rPr>
          <w:shd w:val="clear" w:color="auto" w:fill="FFFFFF"/>
          <w:lang w:eastAsia="zh-CN"/>
        </w:rPr>
        <w:t xml:space="preserve"> </w:t>
      </w:r>
      <w:r w:rsidRPr="00E96E9F">
        <w:rPr>
          <w:shd w:val="clear" w:color="auto" w:fill="FFFFFF"/>
          <w:lang w:eastAsia="zh-CN"/>
        </w:rPr>
        <w:t>(12</w:t>
      </w:r>
      <w:r w:rsidR="00F96B2F" w:rsidRPr="00E96E9F">
        <w:rPr>
          <w:shd w:val="clear" w:color="auto" w:fill="FFFFFF"/>
          <w:lang w:eastAsia="zh-CN"/>
        </w:rPr>
        <w:t xml:space="preserve"> </w:t>
      </w:r>
      <w:r w:rsidRPr="00E96E9F">
        <w:rPr>
          <w:shd w:val="clear" w:color="auto" w:fill="FFFFFF"/>
          <w:lang w:eastAsia="zh-CN"/>
        </w:rPr>
        <w:t>months,</w:t>
      </w:r>
      <w:r w:rsidR="00F96B2F" w:rsidRPr="00E96E9F">
        <w:rPr>
          <w:shd w:val="clear" w:color="auto" w:fill="FFFFFF"/>
          <w:lang w:eastAsia="zh-CN"/>
        </w:rPr>
        <w:t xml:space="preserve"> </w:t>
      </w:r>
      <w:r w:rsidRPr="00E96E9F">
        <w:rPr>
          <w:shd w:val="clear" w:color="auto" w:fill="FFFFFF"/>
          <w:lang w:eastAsia="zh-CN"/>
        </w:rPr>
        <w:t>N=44</w:t>
      </w:r>
      <w:r w:rsidR="00D17724" w:rsidRPr="00E96E9F">
        <w:rPr>
          <w:shd w:val="clear" w:color="auto" w:fill="FFFFFF"/>
          <w:lang w:eastAsia="zh-CN"/>
        </w:rPr>
        <w:t xml:space="preserve">); and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1002</w:t>
      </w:r>
      <w:r w:rsidR="00F96B2F" w:rsidRPr="00E96E9F">
        <w:rPr>
          <w:shd w:val="clear" w:color="auto" w:fill="FFFFFF"/>
          <w:lang w:eastAsia="zh-CN"/>
        </w:rPr>
        <w:t xml:space="preserve"> </w:t>
      </w:r>
      <w:r w:rsidRPr="00E96E9F">
        <w:rPr>
          <w:shd w:val="clear" w:color="auto" w:fill="FFFFFF"/>
          <w:lang w:eastAsia="zh-CN"/>
        </w:rPr>
        <w:t>(6</w:t>
      </w:r>
      <w:r w:rsidR="00F96B2F" w:rsidRPr="00E96E9F">
        <w:rPr>
          <w:shd w:val="clear" w:color="auto" w:fill="FFFFFF"/>
          <w:lang w:eastAsia="zh-CN"/>
        </w:rPr>
        <w:t xml:space="preserve"> </w:t>
      </w:r>
      <w:r w:rsidRPr="00E96E9F">
        <w:rPr>
          <w:shd w:val="clear" w:color="auto" w:fill="FFFFFF"/>
          <w:lang w:eastAsia="zh-CN"/>
        </w:rPr>
        <w:t>months,</w:t>
      </w:r>
      <w:r w:rsidR="00F96B2F" w:rsidRPr="00E96E9F">
        <w:rPr>
          <w:shd w:val="clear" w:color="auto" w:fill="FFFFFF"/>
          <w:lang w:eastAsia="zh-CN"/>
        </w:rPr>
        <w:t xml:space="preserve"> </w:t>
      </w:r>
      <w:r w:rsidRPr="00E96E9F">
        <w:rPr>
          <w:shd w:val="clear" w:color="auto" w:fill="FFFFFF"/>
          <w:lang w:eastAsia="zh-CN"/>
        </w:rPr>
        <w:t>N=87).</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4006</w:t>
      </w:r>
      <w:r w:rsidR="00F96B2F" w:rsidRPr="00E96E9F">
        <w:rPr>
          <w:shd w:val="clear" w:color="auto" w:fill="FFFFFF"/>
          <w:lang w:eastAsia="zh-CN"/>
        </w:rPr>
        <w:t xml:space="preserve"> </w:t>
      </w:r>
      <w:r w:rsidR="00F30E7D">
        <w:rPr>
          <w:shd w:val="clear" w:color="auto" w:fill="FFFFFF"/>
          <w:lang w:eastAsia="zh-CN"/>
        </w:rPr>
        <w:t>wa</w:t>
      </w:r>
      <w:r w:rsidR="00F30E7D" w:rsidRPr="00E96E9F">
        <w:rPr>
          <w:shd w:val="clear" w:color="auto" w:fill="FFFFFF"/>
          <w:lang w:eastAsia="zh-CN"/>
        </w:rPr>
        <w:t xml:space="preserve">s </w:t>
      </w: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main</w:t>
      </w:r>
      <w:r w:rsidR="00F96B2F" w:rsidRPr="00E96E9F">
        <w:rPr>
          <w:shd w:val="clear" w:color="auto" w:fill="FFFFFF"/>
          <w:lang w:eastAsia="zh-CN"/>
        </w:rPr>
        <w:t xml:space="preserve"> </w:t>
      </w:r>
      <w:r w:rsidRPr="00E96E9F">
        <w:rPr>
          <w:shd w:val="clear" w:color="auto" w:fill="FFFFFF"/>
          <w:lang w:eastAsia="zh-CN"/>
        </w:rPr>
        <w:t>trial,</w:t>
      </w:r>
      <w:r w:rsidR="00F96B2F" w:rsidRPr="00E96E9F">
        <w:rPr>
          <w:shd w:val="clear" w:color="auto" w:fill="FFFFFF"/>
          <w:lang w:eastAsia="zh-CN"/>
        </w:rPr>
        <w:t xml:space="preserve"> </w:t>
      </w:r>
      <w:r w:rsidRPr="00E96E9F">
        <w:rPr>
          <w:shd w:val="clear" w:color="auto" w:fill="FFFFFF"/>
          <w:lang w:eastAsia="zh-CN"/>
        </w:rPr>
        <w:t>a</w:t>
      </w:r>
      <w:r w:rsidR="00F96B2F" w:rsidRPr="00E96E9F">
        <w:rPr>
          <w:shd w:val="clear" w:color="auto" w:fill="FFFFFF"/>
          <w:lang w:eastAsia="zh-CN"/>
        </w:rPr>
        <w:t xml:space="preserve"> </w:t>
      </w:r>
      <w:r w:rsidRPr="00E96E9F">
        <w:rPr>
          <w:shd w:val="clear" w:color="auto" w:fill="FFFFFF"/>
          <w:lang w:eastAsia="zh-CN"/>
        </w:rPr>
        <w:t>direct</w:t>
      </w:r>
      <w:r w:rsidR="00F96B2F" w:rsidRPr="00E96E9F">
        <w:rPr>
          <w:shd w:val="clear" w:color="auto" w:fill="FFFFFF"/>
          <w:lang w:eastAsia="zh-CN"/>
        </w:rPr>
        <w:t xml:space="preserve"> </w:t>
      </w:r>
      <w:r w:rsidRPr="00E96E9F">
        <w:rPr>
          <w:shd w:val="clear" w:color="auto" w:fill="FFFFFF"/>
          <w:lang w:eastAsia="zh-CN"/>
        </w:rPr>
        <w:t>randomised</w:t>
      </w:r>
      <w:r w:rsidR="00F96B2F" w:rsidRPr="00E96E9F">
        <w:rPr>
          <w:shd w:val="clear" w:color="auto" w:fill="FFFFFF"/>
          <w:lang w:eastAsia="zh-CN"/>
        </w:rPr>
        <w:t xml:space="preserve"> </w:t>
      </w:r>
      <w:r w:rsidRPr="00E96E9F">
        <w:rPr>
          <w:shd w:val="clear" w:color="auto" w:fill="FFFFFF"/>
          <w:lang w:eastAsia="zh-CN"/>
        </w:rPr>
        <w:t>trial</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compared</w:t>
      </w:r>
      <w:r w:rsidR="00F96B2F" w:rsidRPr="00E96E9F">
        <w:rPr>
          <w:shd w:val="clear" w:color="auto" w:fill="FFFFFF"/>
          <w:lang w:eastAsia="zh-CN"/>
        </w:rPr>
        <w:t xml:space="preserve"> </w:t>
      </w:r>
      <w:r w:rsidRPr="00E96E9F">
        <w:rPr>
          <w:shd w:val="clear" w:color="auto" w:fill="FFFFFF"/>
          <w:lang w:eastAsia="zh-CN"/>
        </w:rPr>
        <w:t>with</w:t>
      </w:r>
      <w:r w:rsidR="00F96B2F" w:rsidRPr="00E96E9F">
        <w:rPr>
          <w:shd w:val="clear" w:color="auto" w:fill="FFFFFF"/>
          <w:lang w:eastAsia="zh-CN"/>
        </w:rPr>
        <w:t xml:space="preserve"> </w:t>
      </w:r>
      <w:r w:rsidRPr="00E96E9F">
        <w:rPr>
          <w:shd w:val="clear" w:color="auto" w:fill="FFFFFF"/>
          <w:lang w:eastAsia="zh-CN"/>
        </w:rPr>
        <w:t>somatropin</w:t>
      </w:r>
      <w:r w:rsidR="00F96B2F" w:rsidRPr="00E96E9F">
        <w:rPr>
          <w:shd w:val="clear" w:color="auto" w:fill="FFFFFF"/>
          <w:lang w:eastAsia="zh-CN"/>
        </w:rPr>
        <w:t xml:space="preserve"> </w:t>
      </w:r>
      <w:r w:rsidRPr="00E96E9F">
        <w:rPr>
          <w:shd w:val="clear" w:color="auto" w:fill="FFFFFF"/>
          <w:lang w:eastAsia="zh-CN"/>
        </w:rPr>
        <w:t>for</w:t>
      </w:r>
      <w:r w:rsidR="00F96B2F" w:rsidRPr="00E96E9F">
        <w:rPr>
          <w:shd w:val="clear" w:color="auto" w:fill="FFFFFF"/>
          <w:lang w:eastAsia="zh-CN"/>
        </w:rPr>
        <w:t xml:space="preserve"> </w:t>
      </w:r>
      <w:r w:rsidRPr="00E96E9F">
        <w:rPr>
          <w:shd w:val="clear" w:color="auto" w:fill="FFFFFF"/>
          <w:lang w:eastAsia="zh-CN"/>
        </w:rPr>
        <w:t>prepubertal</w:t>
      </w:r>
      <w:r w:rsidR="00F96B2F" w:rsidRPr="00E96E9F">
        <w:rPr>
          <w:shd w:val="clear" w:color="auto" w:fill="FFFFFF"/>
          <w:lang w:eastAsia="zh-CN"/>
        </w:rPr>
        <w:t xml:space="preserve"> </w:t>
      </w:r>
      <w:r w:rsidRPr="00E96E9F">
        <w:rPr>
          <w:shd w:val="clear" w:color="auto" w:fill="FFFFFF"/>
          <w:lang w:eastAsia="zh-CN"/>
        </w:rPr>
        <w:t>children</w:t>
      </w:r>
      <w:r w:rsidR="00F96B2F" w:rsidRPr="00E96E9F">
        <w:rPr>
          <w:shd w:val="clear" w:color="auto" w:fill="FFFFFF"/>
          <w:lang w:eastAsia="zh-CN"/>
        </w:rPr>
        <w:t xml:space="preserve"> </w:t>
      </w:r>
      <w:r w:rsidRPr="00E96E9F">
        <w:rPr>
          <w:shd w:val="clear" w:color="auto" w:fill="FFFFFF"/>
          <w:lang w:eastAsia="zh-CN"/>
        </w:rPr>
        <w:t>with</w:t>
      </w:r>
      <w:r w:rsidR="00F96B2F" w:rsidRPr="00E96E9F">
        <w:rPr>
          <w:shd w:val="clear" w:color="auto" w:fill="FFFFFF"/>
          <w:lang w:eastAsia="zh-CN"/>
        </w:rPr>
        <w:t xml:space="preserve"> </w:t>
      </w:r>
      <w:r w:rsidRPr="00E96E9F">
        <w:rPr>
          <w:shd w:val="clear" w:color="auto" w:fill="FFFFFF"/>
          <w:lang w:eastAsia="zh-CN"/>
        </w:rPr>
        <w:t>GHD.</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4004</w:t>
      </w:r>
      <w:r w:rsidR="00F96B2F" w:rsidRPr="00E96E9F">
        <w:rPr>
          <w:shd w:val="clear" w:color="auto" w:fill="FFFFFF"/>
          <w:lang w:eastAsia="zh-CN"/>
        </w:rPr>
        <w:t xml:space="preserve"> </w:t>
      </w:r>
      <w:r w:rsidR="007F077D">
        <w:rPr>
          <w:shd w:val="clear" w:color="auto" w:fill="FFFFFF"/>
          <w:lang w:eastAsia="zh-CN"/>
        </w:rPr>
        <w:t>wa</w:t>
      </w:r>
      <w:r w:rsidR="007F077D" w:rsidRPr="00E96E9F">
        <w:rPr>
          <w:shd w:val="clear" w:color="auto" w:fill="FFFFFF"/>
          <w:lang w:eastAsia="zh-CN"/>
        </w:rPr>
        <w:t xml:space="preserve">s </w:t>
      </w:r>
      <w:r w:rsidRPr="00E96E9F">
        <w:rPr>
          <w:shd w:val="clear" w:color="auto" w:fill="FFFFFF"/>
          <w:lang w:eastAsia="zh-CN"/>
        </w:rPr>
        <w:t>a</w:t>
      </w:r>
      <w:r w:rsidR="00F96B2F" w:rsidRPr="00E96E9F">
        <w:rPr>
          <w:shd w:val="clear" w:color="auto" w:fill="FFFFFF"/>
          <w:lang w:eastAsia="zh-CN"/>
        </w:rPr>
        <w:t xml:space="preserve"> </w:t>
      </w:r>
      <w:r w:rsidRPr="00E96E9F">
        <w:rPr>
          <w:shd w:val="clear" w:color="auto" w:fill="FFFFFF"/>
          <w:lang w:eastAsia="zh-CN"/>
        </w:rPr>
        <w:t>Phase</w:t>
      </w:r>
      <w:r w:rsidR="00F96B2F" w:rsidRPr="00E96E9F">
        <w:rPr>
          <w:shd w:val="clear" w:color="auto" w:fill="FFFFFF"/>
          <w:lang w:eastAsia="zh-CN"/>
        </w:rPr>
        <w:t xml:space="preserve"> </w:t>
      </w:r>
      <w:r w:rsidRPr="00E96E9F">
        <w:rPr>
          <w:shd w:val="clear" w:color="auto" w:fill="FFFFFF"/>
          <w:lang w:eastAsia="zh-CN"/>
        </w:rPr>
        <w:t>2</w:t>
      </w:r>
      <w:r w:rsidR="00F96B2F" w:rsidRPr="00E96E9F">
        <w:rPr>
          <w:shd w:val="clear" w:color="auto" w:fill="FFFFFF"/>
          <w:lang w:eastAsia="zh-CN"/>
        </w:rPr>
        <w:t xml:space="preserve"> </w:t>
      </w:r>
      <w:r w:rsidRPr="00E96E9F">
        <w:rPr>
          <w:shd w:val="clear" w:color="auto" w:fill="FFFFFF"/>
          <w:lang w:eastAsia="zh-CN"/>
        </w:rPr>
        <w:t>dose-finding</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prepubertal</w:t>
      </w:r>
      <w:r w:rsidR="00F96B2F" w:rsidRPr="00E96E9F">
        <w:rPr>
          <w:shd w:val="clear" w:color="auto" w:fill="FFFFFF"/>
          <w:lang w:eastAsia="zh-CN"/>
        </w:rPr>
        <w:t xml:space="preserve"> </w:t>
      </w:r>
      <w:r w:rsidRPr="00E96E9F">
        <w:rPr>
          <w:shd w:val="clear" w:color="auto" w:fill="FFFFFF"/>
          <w:lang w:eastAsia="zh-CN"/>
        </w:rPr>
        <w:t>children,</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4009</w:t>
      </w:r>
      <w:r w:rsidR="00F96B2F" w:rsidRPr="00E96E9F">
        <w:rPr>
          <w:shd w:val="clear" w:color="auto" w:fill="FFFFFF"/>
          <w:lang w:eastAsia="zh-CN"/>
        </w:rPr>
        <w:t xml:space="preserve"> </w:t>
      </w:r>
      <w:r w:rsidR="007F077D">
        <w:rPr>
          <w:shd w:val="clear" w:color="auto" w:fill="FFFFFF"/>
          <w:lang w:eastAsia="zh-CN"/>
        </w:rPr>
        <w:t>wa</w:t>
      </w:r>
      <w:r w:rsidR="007F077D" w:rsidRPr="00E96E9F">
        <w:rPr>
          <w:shd w:val="clear" w:color="auto" w:fill="FFFFFF"/>
          <w:lang w:eastAsia="zh-CN"/>
        </w:rPr>
        <w:t xml:space="preserve">s </w:t>
      </w:r>
      <w:r w:rsidRPr="00E96E9F">
        <w:rPr>
          <w:shd w:val="clear" w:color="auto" w:fill="FFFFFF"/>
          <w:lang w:eastAsia="zh-CN"/>
        </w:rPr>
        <w:t>a</w:t>
      </w:r>
      <w:r w:rsidR="00F96B2F" w:rsidRPr="00E96E9F">
        <w:rPr>
          <w:shd w:val="clear" w:color="auto" w:fill="FFFFFF"/>
          <w:lang w:eastAsia="zh-CN"/>
        </w:rPr>
        <w:t xml:space="preserve"> </w:t>
      </w:r>
      <w:r w:rsidRPr="00E96E9F">
        <w:rPr>
          <w:shd w:val="clear" w:color="auto" w:fill="FFFFFF"/>
          <w:lang w:eastAsia="zh-CN"/>
        </w:rPr>
        <w:t>Phase</w:t>
      </w:r>
      <w:r w:rsidR="00F96B2F" w:rsidRPr="00E96E9F">
        <w:rPr>
          <w:shd w:val="clear" w:color="auto" w:fill="FFFFFF"/>
          <w:lang w:eastAsia="zh-CN"/>
        </w:rPr>
        <w:t xml:space="preserve"> </w:t>
      </w:r>
      <w:r w:rsidRPr="00E96E9F">
        <w:rPr>
          <w:shd w:val="clear" w:color="auto" w:fill="FFFFFF"/>
          <w:lang w:eastAsia="zh-CN"/>
        </w:rPr>
        <w:t>3</w:t>
      </w:r>
      <w:r w:rsidR="00F96B2F" w:rsidRPr="00E96E9F">
        <w:rPr>
          <w:shd w:val="clear" w:color="auto" w:fill="FFFFFF"/>
          <w:lang w:eastAsia="zh-CN"/>
        </w:rPr>
        <w:t xml:space="preserve"> </w:t>
      </w:r>
      <w:r w:rsidRPr="00E96E9F">
        <w:rPr>
          <w:shd w:val="clear" w:color="auto" w:fill="FFFFFF"/>
          <w:lang w:eastAsia="zh-CN"/>
        </w:rPr>
        <w:t>randomised</w:t>
      </w:r>
      <w:r w:rsidR="00F96B2F" w:rsidRPr="00E96E9F">
        <w:rPr>
          <w:shd w:val="clear" w:color="auto" w:fill="FFFFFF"/>
          <w:lang w:eastAsia="zh-CN"/>
        </w:rPr>
        <w:t xml:space="preserve"> </w:t>
      </w:r>
      <w:r w:rsidRPr="00E96E9F">
        <w:rPr>
          <w:shd w:val="clear" w:color="auto" w:fill="FFFFFF"/>
          <w:lang w:eastAsia="zh-CN"/>
        </w:rPr>
        <w:t>trial</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Japanese</w:t>
      </w:r>
      <w:r w:rsidR="00F96B2F" w:rsidRPr="00E96E9F">
        <w:rPr>
          <w:shd w:val="clear" w:color="auto" w:fill="FFFFFF"/>
          <w:lang w:eastAsia="zh-CN"/>
        </w:rPr>
        <w:t xml:space="preserve"> </w:t>
      </w:r>
      <w:r w:rsidRPr="00E96E9F">
        <w:rPr>
          <w:shd w:val="clear" w:color="auto" w:fill="FFFFFF"/>
          <w:lang w:eastAsia="zh-CN"/>
        </w:rPr>
        <w:t>pre-pubertal</w:t>
      </w:r>
      <w:r w:rsidR="00F96B2F" w:rsidRPr="00E96E9F">
        <w:rPr>
          <w:shd w:val="clear" w:color="auto" w:fill="FFFFFF"/>
          <w:lang w:eastAsia="zh-CN"/>
        </w:rPr>
        <w:t xml:space="preserve"> </w:t>
      </w:r>
      <w:r w:rsidRPr="00E96E9F">
        <w:rPr>
          <w:shd w:val="clear" w:color="auto" w:fill="FFFFFF"/>
          <w:lang w:eastAsia="zh-CN"/>
        </w:rPr>
        <w:t>children,</w:t>
      </w:r>
      <w:r w:rsidR="00F96B2F" w:rsidRPr="00E96E9F">
        <w:rPr>
          <w:shd w:val="clear" w:color="auto" w:fill="FFFFFF"/>
          <w:lang w:eastAsia="zh-CN"/>
        </w:rPr>
        <w:t xml:space="preserve"> </w:t>
      </w:r>
      <w:r w:rsidRPr="00E96E9F">
        <w:rPr>
          <w:shd w:val="clear" w:color="auto" w:fill="FFFFFF"/>
          <w:lang w:eastAsia="zh-CN"/>
        </w:rPr>
        <w:lastRenderedPageBreak/>
        <w:t>and</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1002</w:t>
      </w:r>
      <w:r w:rsidR="00F96B2F" w:rsidRPr="00E96E9F">
        <w:rPr>
          <w:shd w:val="clear" w:color="auto" w:fill="FFFFFF"/>
          <w:lang w:eastAsia="zh-CN"/>
        </w:rPr>
        <w:t xml:space="preserve"> </w:t>
      </w:r>
      <w:r w:rsidR="007F077D">
        <w:rPr>
          <w:shd w:val="clear" w:color="auto" w:fill="FFFFFF"/>
          <w:lang w:eastAsia="zh-CN"/>
        </w:rPr>
        <w:t>wa</w:t>
      </w:r>
      <w:r w:rsidR="007F077D" w:rsidRPr="00E96E9F">
        <w:rPr>
          <w:shd w:val="clear" w:color="auto" w:fill="FFFFFF"/>
          <w:lang w:eastAsia="zh-CN"/>
        </w:rPr>
        <w:t xml:space="preserve">s </w:t>
      </w:r>
      <w:r w:rsidRPr="00E96E9F">
        <w:rPr>
          <w:shd w:val="clear" w:color="auto" w:fill="FFFFFF"/>
          <w:lang w:eastAsia="zh-CN"/>
        </w:rPr>
        <w:t>a</w:t>
      </w:r>
      <w:r w:rsidR="00F96B2F" w:rsidRPr="00E96E9F">
        <w:rPr>
          <w:shd w:val="clear" w:color="auto" w:fill="FFFFFF"/>
          <w:lang w:eastAsia="zh-CN"/>
        </w:rPr>
        <w:t xml:space="preserve"> </w:t>
      </w:r>
      <w:r w:rsidRPr="00E96E9F">
        <w:rPr>
          <w:shd w:val="clear" w:color="auto" w:fill="FFFFFF"/>
          <w:lang w:eastAsia="zh-CN"/>
        </w:rPr>
        <w:t>randomised,</w:t>
      </w:r>
      <w:r w:rsidR="00F96B2F" w:rsidRPr="00E96E9F">
        <w:rPr>
          <w:shd w:val="clear" w:color="auto" w:fill="FFFFFF"/>
          <w:lang w:eastAsia="zh-CN"/>
        </w:rPr>
        <w:t xml:space="preserve"> </w:t>
      </w:r>
      <w:r w:rsidRPr="00E96E9F">
        <w:rPr>
          <w:shd w:val="clear" w:color="auto" w:fill="FFFFFF"/>
          <w:lang w:eastAsia="zh-CN"/>
        </w:rPr>
        <w:t>open-label,</w:t>
      </w:r>
      <w:r w:rsidR="00F96B2F" w:rsidRPr="00E96E9F">
        <w:rPr>
          <w:shd w:val="clear" w:color="auto" w:fill="FFFFFF"/>
          <w:lang w:eastAsia="zh-CN"/>
        </w:rPr>
        <w:t xml:space="preserve"> </w:t>
      </w:r>
      <w:r w:rsidRPr="00E96E9F">
        <w:rPr>
          <w:shd w:val="clear" w:color="auto" w:fill="FFFFFF"/>
          <w:lang w:eastAsia="zh-CN"/>
        </w:rPr>
        <w:t>2-period</w:t>
      </w:r>
      <w:r w:rsidR="00F96B2F" w:rsidRPr="00E96E9F">
        <w:rPr>
          <w:shd w:val="clear" w:color="auto" w:fill="FFFFFF"/>
          <w:lang w:eastAsia="zh-CN"/>
        </w:rPr>
        <w:t xml:space="preserve"> </w:t>
      </w:r>
      <w:r w:rsidRPr="00E96E9F">
        <w:rPr>
          <w:shd w:val="clear" w:color="auto" w:fill="FFFFFF"/>
          <w:lang w:eastAsia="zh-CN"/>
        </w:rPr>
        <w:t>cross-over</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that</w:t>
      </w:r>
      <w:r w:rsidR="00F96B2F" w:rsidRPr="00E96E9F">
        <w:rPr>
          <w:shd w:val="clear" w:color="auto" w:fill="FFFFFF"/>
          <w:lang w:eastAsia="zh-CN"/>
        </w:rPr>
        <w:t xml:space="preserve"> </w:t>
      </w:r>
      <w:r w:rsidRPr="00E96E9F">
        <w:rPr>
          <w:shd w:val="clear" w:color="auto" w:fill="FFFFFF"/>
          <w:lang w:eastAsia="zh-CN"/>
        </w:rPr>
        <w:t>assesses</w:t>
      </w:r>
      <w:r w:rsidR="00F96B2F" w:rsidRPr="00E96E9F">
        <w:rPr>
          <w:shd w:val="clear" w:color="auto" w:fill="FFFFFF"/>
          <w:lang w:eastAsia="zh-CN"/>
        </w:rPr>
        <w:t xml:space="preserve"> </w:t>
      </w: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treatment</w:t>
      </w:r>
      <w:r w:rsidR="00F96B2F" w:rsidRPr="00E96E9F">
        <w:rPr>
          <w:shd w:val="clear" w:color="auto" w:fill="FFFFFF"/>
          <w:lang w:eastAsia="zh-CN"/>
        </w:rPr>
        <w:t xml:space="preserve"> </w:t>
      </w:r>
      <w:r w:rsidRPr="00E96E9F">
        <w:rPr>
          <w:shd w:val="clear" w:color="auto" w:fill="FFFFFF"/>
          <w:lang w:eastAsia="zh-CN"/>
        </w:rPr>
        <w:t>burden</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versus</w:t>
      </w:r>
      <w:r w:rsidR="00F96B2F" w:rsidRPr="00E96E9F">
        <w:rPr>
          <w:shd w:val="clear" w:color="auto" w:fill="FFFFFF"/>
          <w:lang w:eastAsia="zh-CN"/>
        </w:rPr>
        <w:t xml:space="preserve"> </w:t>
      </w:r>
      <w:r w:rsidRPr="00E96E9F">
        <w:rPr>
          <w:shd w:val="clear" w:color="auto" w:fill="FFFFFF"/>
          <w:lang w:eastAsia="zh-CN"/>
        </w:rPr>
        <w:t>somatropin</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children</w:t>
      </w:r>
      <w:r w:rsidR="00F96B2F" w:rsidRPr="00E96E9F">
        <w:rPr>
          <w:shd w:val="clear" w:color="auto" w:fill="FFFFFF"/>
          <w:lang w:eastAsia="zh-CN"/>
        </w:rPr>
        <w:t xml:space="preserve"> </w:t>
      </w:r>
      <w:r w:rsidRPr="00E96E9F">
        <w:rPr>
          <w:shd w:val="clear" w:color="auto" w:fill="FFFFFF"/>
          <w:lang w:eastAsia="zh-CN"/>
        </w:rPr>
        <w:t>aged</w:t>
      </w:r>
      <w:r w:rsidR="00F96B2F" w:rsidRPr="00E96E9F">
        <w:rPr>
          <w:shd w:val="clear" w:color="auto" w:fill="FFFFFF"/>
          <w:lang w:eastAsia="zh-CN"/>
        </w:rPr>
        <w:t xml:space="preserve"> </w:t>
      </w:r>
      <w:r w:rsidRPr="00E96E9F">
        <w:rPr>
          <w:shd w:val="clear" w:color="auto" w:fill="FFFFFF"/>
          <w:lang w:eastAsia="zh-CN"/>
        </w:rPr>
        <w:t>3</w:t>
      </w:r>
      <w:r w:rsidR="00F96B2F" w:rsidRPr="00E96E9F">
        <w:rPr>
          <w:shd w:val="clear" w:color="auto" w:fill="FFFFFF"/>
          <w:lang w:eastAsia="zh-CN"/>
        </w:rPr>
        <w:t xml:space="preserve"> </w:t>
      </w:r>
      <w:r w:rsidRPr="00E96E9F">
        <w:rPr>
          <w:shd w:val="clear" w:color="auto" w:fill="FFFFFF"/>
          <w:lang w:eastAsia="zh-CN"/>
        </w:rPr>
        <w:t>to</w:t>
      </w:r>
      <w:r w:rsidR="00F96B2F" w:rsidRPr="00E96E9F">
        <w:rPr>
          <w:shd w:val="clear" w:color="auto" w:fill="FFFFFF"/>
          <w:lang w:eastAsia="zh-CN"/>
        </w:rPr>
        <w:t xml:space="preserve"> </w:t>
      </w:r>
      <w:r w:rsidRPr="00E96E9F">
        <w:rPr>
          <w:shd w:val="clear" w:color="auto" w:fill="FFFFFF"/>
          <w:lang w:eastAsia="zh-CN"/>
        </w:rPr>
        <w:t>18</w:t>
      </w:r>
      <w:r w:rsidR="00F96B2F" w:rsidRPr="00E96E9F">
        <w:rPr>
          <w:shd w:val="clear" w:color="auto" w:fill="FFFFFF"/>
          <w:lang w:eastAsia="zh-CN"/>
        </w:rPr>
        <w:t xml:space="preserve"> </w:t>
      </w:r>
      <w:r w:rsidRPr="00E96E9F">
        <w:rPr>
          <w:shd w:val="clear" w:color="auto" w:fill="FFFFFF"/>
          <w:lang w:eastAsia="zh-CN"/>
        </w:rPr>
        <w:t>years</w:t>
      </w:r>
      <w:r w:rsidR="00F96B2F" w:rsidRPr="00E96E9F">
        <w:rPr>
          <w:shd w:val="clear" w:color="auto" w:fill="FFFFFF"/>
          <w:lang w:eastAsia="zh-CN"/>
        </w:rPr>
        <w:t xml:space="preserve"> </w:t>
      </w:r>
      <w:r w:rsidRPr="00E96E9F">
        <w:rPr>
          <w:shd w:val="clear" w:color="auto" w:fill="FFFFFF"/>
          <w:lang w:eastAsia="zh-CN"/>
        </w:rPr>
        <w:t>with</w:t>
      </w:r>
      <w:r w:rsidR="00F96B2F" w:rsidRPr="00E96E9F">
        <w:rPr>
          <w:shd w:val="clear" w:color="auto" w:fill="FFFFFF"/>
          <w:lang w:eastAsia="zh-CN"/>
        </w:rPr>
        <w:t xml:space="preserve"> </w:t>
      </w:r>
      <w:r w:rsidRPr="00E96E9F">
        <w:rPr>
          <w:shd w:val="clear" w:color="auto" w:fill="FFFFFF"/>
          <w:lang w:eastAsia="zh-CN"/>
        </w:rPr>
        <w:t>GHD.</w:t>
      </w:r>
      <w:r w:rsidR="00E5129A" w:rsidRPr="00E96E9F">
        <w:rPr>
          <w:shd w:val="clear" w:color="auto" w:fill="FFFFFF"/>
          <w:lang w:eastAsia="zh-CN"/>
        </w:rPr>
        <w:t xml:space="preserve"> </w:t>
      </w:r>
      <w:r w:rsidRPr="00E96E9F">
        <w:rPr>
          <w:shd w:val="clear" w:color="auto" w:fill="FFFFFF"/>
          <w:lang w:eastAsia="zh-CN"/>
        </w:rPr>
        <w:t>Two</w:t>
      </w:r>
      <w:r w:rsidR="00F96B2F" w:rsidRPr="00E96E9F">
        <w:rPr>
          <w:shd w:val="clear" w:color="auto" w:fill="FFFFFF"/>
          <w:lang w:eastAsia="zh-CN"/>
        </w:rPr>
        <w:t xml:space="preserve"> </w:t>
      </w:r>
      <w:r w:rsidRPr="00E96E9F">
        <w:rPr>
          <w:shd w:val="clear" w:color="auto" w:fill="FFFFFF"/>
          <w:lang w:eastAsia="zh-CN"/>
        </w:rPr>
        <w:t>open</w:t>
      </w:r>
      <w:r w:rsidR="00F96B2F" w:rsidRPr="00E96E9F">
        <w:rPr>
          <w:shd w:val="clear" w:color="auto" w:fill="FFFFFF"/>
          <w:lang w:eastAsia="zh-CN"/>
        </w:rPr>
        <w:t xml:space="preserve"> </w:t>
      </w:r>
      <w:r w:rsidRPr="00E96E9F">
        <w:rPr>
          <w:shd w:val="clear" w:color="auto" w:fill="FFFFFF"/>
          <w:lang w:eastAsia="zh-CN"/>
        </w:rPr>
        <w:t>label</w:t>
      </w:r>
      <w:r w:rsidR="00F96B2F" w:rsidRPr="00E96E9F">
        <w:rPr>
          <w:shd w:val="clear" w:color="auto" w:fill="FFFFFF"/>
          <w:lang w:eastAsia="zh-CN"/>
        </w:rPr>
        <w:t xml:space="preserve"> </w:t>
      </w:r>
      <w:r w:rsidRPr="00E96E9F">
        <w:rPr>
          <w:shd w:val="clear" w:color="auto" w:fill="FFFFFF"/>
          <w:lang w:eastAsia="zh-CN"/>
        </w:rPr>
        <w:t>extension</w:t>
      </w:r>
      <w:r w:rsidR="00F96B2F" w:rsidRPr="00E96E9F">
        <w:rPr>
          <w:shd w:val="clear" w:color="auto" w:fill="FFFFFF"/>
          <w:lang w:eastAsia="zh-CN"/>
        </w:rPr>
        <w:t xml:space="preserve"> </w:t>
      </w:r>
      <w:r w:rsidRPr="00E96E9F">
        <w:rPr>
          <w:shd w:val="clear" w:color="auto" w:fill="FFFFFF"/>
          <w:lang w:eastAsia="zh-CN"/>
        </w:rPr>
        <w:t>(OLE)</w:t>
      </w:r>
      <w:r w:rsidR="00F96B2F" w:rsidRPr="00E96E9F">
        <w:rPr>
          <w:shd w:val="clear" w:color="auto" w:fill="FFFFFF"/>
          <w:lang w:eastAsia="zh-CN"/>
        </w:rPr>
        <w:t xml:space="preserve"> </w:t>
      </w:r>
      <w:r w:rsidRPr="00E96E9F">
        <w:rPr>
          <w:shd w:val="clear" w:color="auto" w:fill="FFFFFF"/>
          <w:lang w:eastAsia="zh-CN"/>
        </w:rPr>
        <w:t>studies</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4006</w:t>
      </w:r>
      <w:r w:rsidR="00F96B2F" w:rsidRPr="00E96E9F">
        <w:rPr>
          <w:shd w:val="clear" w:color="auto" w:fill="FFFFFF"/>
          <w:lang w:eastAsia="zh-CN"/>
        </w:rPr>
        <w:t xml:space="preserve"> </w:t>
      </w:r>
      <w:r w:rsidRPr="00E96E9F">
        <w:rPr>
          <w:shd w:val="clear" w:color="auto" w:fill="FFFFFF"/>
          <w:lang w:eastAsia="zh-CN"/>
        </w:rPr>
        <w:t>and</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4004)</w:t>
      </w:r>
      <w:r w:rsidR="00F96B2F" w:rsidRPr="00E96E9F">
        <w:rPr>
          <w:shd w:val="clear" w:color="auto" w:fill="FFFFFF"/>
          <w:lang w:eastAsia="zh-CN"/>
        </w:rPr>
        <w:t xml:space="preserve"> </w:t>
      </w:r>
      <w:r w:rsidRPr="00E96E9F">
        <w:rPr>
          <w:shd w:val="clear" w:color="auto" w:fill="FFFFFF"/>
          <w:lang w:eastAsia="zh-CN"/>
        </w:rPr>
        <w:t>were</w:t>
      </w:r>
      <w:r w:rsidR="00F96B2F" w:rsidRPr="00E96E9F">
        <w:rPr>
          <w:shd w:val="clear" w:color="auto" w:fill="FFFFFF"/>
          <w:lang w:eastAsia="zh-CN"/>
        </w:rPr>
        <w:t xml:space="preserve"> </w:t>
      </w:r>
      <w:r w:rsidRPr="00E96E9F">
        <w:rPr>
          <w:shd w:val="clear" w:color="auto" w:fill="FFFFFF"/>
          <w:lang w:eastAsia="zh-CN"/>
        </w:rPr>
        <w:t>also</w:t>
      </w:r>
      <w:r w:rsidR="00F96B2F" w:rsidRPr="00E96E9F">
        <w:rPr>
          <w:shd w:val="clear" w:color="auto" w:fill="FFFFFF"/>
          <w:lang w:eastAsia="zh-CN"/>
        </w:rPr>
        <w:t xml:space="preserve"> </w:t>
      </w:r>
      <w:r w:rsidRPr="00E96E9F">
        <w:rPr>
          <w:shd w:val="clear" w:color="auto" w:fill="FFFFFF"/>
          <w:lang w:eastAsia="zh-CN"/>
        </w:rPr>
        <w:t>identified,</w:t>
      </w:r>
      <w:r w:rsidR="00F96B2F" w:rsidRPr="00E96E9F">
        <w:rPr>
          <w:shd w:val="clear" w:color="auto" w:fill="FFFFFF"/>
          <w:lang w:eastAsia="zh-CN"/>
        </w:rPr>
        <w:t xml:space="preserve"> </w:t>
      </w:r>
      <w:r w:rsidRPr="00E96E9F">
        <w:rPr>
          <w:shd w:val="clear" w:color="auto" w:fill="FFFFFF"/>
          <w:lang w:eastAsia="zh-CN"/>
        </w:rPr>
        <w:t>which</w:t>
      </w:r>
      <w:r w:rsidR="00F96B2F" w:rsidRPr="00E96E9F">
        <w:rPr>
          <w:shd w:val="clear" w:color="auto" w:fill="FFFFFF"/>
          <w:lang w:eastAsia="zh-CN"/>
        </w:rPr>
        <w:t xml:space="preserve"> </w:t>
      </w:r>
      <w:r w:rsidRPr="00E96E9F">
        <w:rPr>
          <w:shd w:val="clear" w:color="auto" w:fill="FFFFFF"/>
          <w:lang w:eastAsia="zh-CN"/>
        </w:rPr>
        <w:t>provide</w:t>
      </w:r>
      <w:r w:rsidR="00F96B2F" w:rsidRPr="00E96E9F">
        <w:rPr>
          <w:shd w:val="clear" w:color="auto" w:fill="FFFFFF"/>
          <w:lang w:eastAsia="zh-CN"/>
        </w:rPr>
        <w:t xml:space="preserve"> </w:t>
      </w:r>
      <w:r w:rsidRPr="00E96E9F">
        <w:rPr>
          <w:shd w:val="clear" w:color="auto" w:fill="FFFFFF"/>
          <w:lang w:eastAsia="zh-CN"/>
        </w:rPr>
        <w:t>longer</w:t>
      </w:r>
      <w:r w:rsidR="00F96B2F" w:rsidRPr="00E96E9F">
        <w:rPr>
          <w:shd w:val="clear" w:color="auto" w:fill="FFFFFF"/>
          <w:lang w:eastAsia="zh-CN"/>
        </w:rPr>
        <w:t xml:space="preserve"> </w:t>
      </w:r>
      <w:r w:rsidRPr="00E96E9F">
        <w:rPr>
          <w:shd w:val="clear" w:color="auto" w:fill="FFFFFF"/>
          <w:lang w:eastAsia="zh-CN"/>
        </w:rPr>
        <w:t>term</w:t>
      </w:r>
      <w:r w:rsidR="00F96B2F" w:rsidRPr="00E96E9F">
        <w:rPr>
          <w:shd w:val="clear" w:color="auto" w:fill="FFFFFF"/>
          <w:lang w:eastAsia="zh-CN"/>
        </w:rPr>
        <w:t xml:space="preserve"> </w:t>
      </w:r>
      <w:r w:rsidRPr="00E96E9F">
        <w:rPr>
          <w:shd w:val="clear" w:color="auto" w:fill="FFFFFF"/>
          <w:lang w:eastAsia="zh-CN"/>
        </w:rPr>
        <w:t>efficacy</w:t>
      </w:r>
      <w:r w:rsidR="00F96B2F" w:rsidRPr="00E96E9F">
        <w:rPr>
          <w:shd w:val="clear" w:color="auto" w:fill="FFFFFF"/>
          <w:lang w:eastAsia="zh-CN"/>
        </w:rPr>
        <w:t xml:space="preserve"> </w:t>
      </w:r>
      <w:r w:rsidRPr="00E96E9F">
        <w:rPr>
          <w:shd w:val="clear" w:color="auto" w:fill="FFFFFF"/>
          <w:lang w:eastAsia="zh-CN"/>
        </w:rPr>
        <w:t>and</w:t>
      </w:r>
      <w:r w:rsidR="00F96B2F" w:rsidRPr="00E96E9F">
        <w:rPr>
          <w:shd w:val="clear" w:color="auto" w:fill="FFFFFF"/>
          <w:lang w:eastAsia="zh-CN"/>
        </w:rPr>
        <w:t xml:space="preserve"> </w:t>
      </w:r>
      <w:r w:rsidRPr="00E96E9F">
        <w:rPr>
          <w:shd w:val="clear" w:color="auto" w:fill="FFFFFF"/>
          <w:lang w:eastAsia="zh-CN"/>
        </w:rPr>
        <w:t>safety</w:t>
      </w:r>
      <w:r w:rsidR="00F96B2F" w:rsidRPr="00E96E9F">
        <w:rPr>
          <w:shd w:val="clear" w:color="auto" w:fill="FFFFFF"/>
          <w:lang w:eastAsia="zh-CN"/>
        </w:rPr>
        <w:t xml:space="preserve"> </w:t>
      </w:r>
      <w:r w:rsidRPr="00E96E9F">
        <w:rPr>
          <w:shd w:val="clear" w:color="auto" w:fill="FFFFFF"/>
          <w:lang w:eastAsia="zh-CN"/>
        </w:rPr>
        <w:t>data</w:t>
      </w:r>
      <w:r w:rsidR="00F96B2F" w:rsidRPr="00E96E9F">
        <w:rPr>
          <w:shd w:val="clear" w:color="auto" w:fill="FFFFFF"/>
          <w:lang w:eastAsia="zh-CN"/>
        </w:rPr>
        <w:t xml:space="preserve"> </w:t>
      </w:r>
      <w:r w:rsidRPr="00E96E9F">
        <w:rPr>
          <w:shd w:val="clear" w:color="auto" w:fill="FFFFFF"/>
          <w:lang w:eastAsia="zh-CN"/>
        </w:rPr>
        <w:t>for</w:t>
      </w:r>
      <w:r w:rsidR="00F96B2F" w:rsidRPr="00E96E9F">
        <w:rPr>
          <w:shd w:val="clear" w:color="auto" w:fill="FFFFFF"/>
          <w:lang w:eastAsia="zh-CN"/>
        </w:rPr>
        <w:t xml:space="preserve"> </w:t>
      </w:r>
      <w:proofErr w:type="spellStart"/>
      <w:r w:rsidRPr="00E96E9F">
        <w:rPr>
          <w:shd w:val="clear" w:color="auto" w:fill="FFFFFF"/>
          <w:lang w:eastAsia="zh-CN"/>
        </w:rPr>
        <w:t>somatrogon</w:t>
      </w:r>
      <w:proofErr w:type="spellEnd"/>
      <w:r w:rsidRPr="00E96E9F">
        <w:rPr>
          <w:shd w:val="clear" w:color="auto" w:fill="FFFFFF"/>
          <w:lang w:eastAsia="zh-CN"/>
        </w:rPr>
        <w:t>.</w:t>
      </w:r>
      <w:r w:rsidR="0025363B" w:rsidRPr="00E96E9F">
        <w:rPr>
          <w:shd w:val="clear" w:color="auto" w:fill="FFFFFF"/>
          <w:lang w:eastAsia="zh-CN"/>
        </w:rPr>
        <w:t xml:space="preserve"> </w:t>
      </w:r>
      <w:r w:rsidR="00F30E7D">
        <w:rPr>
          <w:rFonts w:eastAsia="Calibri"/>
          <w:iCs/>
        </w:rPr>
        <w:t>The evaluation noted</w:t>
      </w:r>
      <w:r w:rsidR="00F30E7D" w:rsidRPr="00BF1BFB">
        <w:rPr>
          <w:rFonts w:eastAsia="Calibri"/>
          <w:iCs/>
        </w:rPr>
        <w:t xml:space="preserve"> </w:t>
      </w:r>
      <w:r w:rsidR="0025363B" w:rsidRPr="00BF1BFB">
        <w:rPr>
          <w:rFonts w:eastAsia="Calibri"/>
          <w:iCs/>
        </w:rPr>
        <w:t xml:space="preserve">that an OLE </w:t>
      </w:r>
      <w:r w:rsidR="00D0420F">
        <w:rPr>
          <w:rFonts w:eastAsia="Calibri"/>
          <w:iCs/>
        </w:rPr>
        <w:t>wa</w:t>
      </w:r>
      <w:r w:rsidR="00D0420F" w:rsidRPr="00BF1BFB">
        <w:rPr>
          <w:rFonts w:eastAsia="Calibri"/>
          <w:iCs/>
        </w:rPr>
        <w:t xml:space="preserve">s </w:t>
      </w:r>
      <w:r w:rsidR="0025363B" w:rsidRPr="00BF1BFB">
        <w:rPr>
          <w:rFonts w:eastAsia="Calibri"/>
          <w:iCs/>
        </w:rPr>
        <w:t>ongoing for Study 4009 but</w:t>
      </w:r>
      <w:r w:rsidR="00F30E7D">
        <w:rPr>
          <w:rFonts w:eastAsia="Calibri"/>
          <w:iCs/>
        </w:rPr>
        <w:t xml:space="preserve"> that</w:t>
      </w:r>
      <w:r w:rsidR="0025363B" w:rsidRPr="00BF1BFB">
        <w:rPr>
          <w:rFonts w:eastAsia="Calibri"/>
          <w:iCs/>
        </w:rPr>
        <w:t xml:space="preserve"> no results </w:t>
      </w:r>
      <w:r w:rsidR="00F30E7D">
        <w:rPr>
          <w:rFonts w:eastAsia="Calibri"/>
          <w:iCs/>
        </w:rPr>
        <w:t>were</w:t>
      </w:r>
      <w:r w:rsidR="0025363B" w:rsidRPr="00BF1BFB">
        <w:rPr>
          <w:rFonts w:eastAsia="Calibri"/>
          <w:iCs/>
        </w:rPr>
        <w:t xml:space="preserve"> available</w:t>
      </w:r>
      <w:r w:rsidR="00F30E7D">
        <w:rPr>
          <w:rFonts w:eastAsia="Calibri"/>
          <w:iCs/>
        </w:rPr>
        <w:t xml:space="preserve"> at the time of submission</w:t>
      </w:r>
      <w:r w:rsidR="0025363B" w:rsidRPr="00BF1BFB">
        <w:rPr>
          <w:rFonts w:eastAsia="Calibri"/>
          <w:iCs/>
        </w:rPr>
        <w:t>.</w:t>
      </w:r>
    </w:p>
    <w:p w14:paraId="1CC84A18" w14:textId="7FDA7673" w:rsidR="7E1E87F9" w:rsidRPr="00BF1BFB" w:rsidRDefault="00F30E7D" w:rsidP="7E1E87F9">
      <w:pPr>
        <w:pStyle w:val="3-BodyText"/>
        <w:rPr>
          <w:rFonts w:eastAsiaTheme="minorEastAsia"/>
          <w:color w:val="0066FF"/>
        </w:rPr>
      </w:pPr>
      <w:r>
        <w:rPr>
          <w:rFonts w:ascii="Calibri" w:eastAsia="Calibri" w:hAnsi="Calibri" w:cs="Calibri"/>
        </w:rPr>
        <w:t xml:space="preserve">The </w:t>
      </w:r>
      <w:r w:rsidR="000D4CB8">
        <w:rPr>
          <w:rFonts w:ascii="Calibri" w:eastAsia="Calibri" w:hAnsi="Calibri" w:cs="Calibri"/>
        </w:rPr>
        <w:t>patien</w:t>
      </w:r>
      <w:r w:rsidRPr="00E96E9F">
        <w:rPr>
          <w:rFonts w:ascii="Calibri" w:eastAsia="Calibri" w:hAnsi="Calibri" w:cs="Calibri"/>
        </w:rPr>
        <w:t xml:space="preserve">ts </w:t>
      </w:r>
      <w:r w:rsidR="6FDAF393" w:rsidRPr="00E96E9F">
        <w:rPr>
          <w:rFonts w:ascii="Calibri" w:eastAsia="Calibri" w:hAnsi="Calibri" w:cs="Calibri"/>
        </w:rPr>
        <w:t xml:space="preserve">in the pivotal clinical trial </w:t>
      </w:r>
      <w:r w:rsidR="4E158F97" w:rsidRPr="00E96E9F">
        <w:rPr>
          <w:rFonts w:ascii="Calibri" w:eastAsia="Calibri" w:hAnsi="Calibri" w:cs="Calibri"/>
        </w:rPr>
        <w:t>(Study 3006) had</w:t>
      </w:r>
      <w:r w:rsidR="6FDAF393" w:rsidRPr="00E96E9F">
        <w:rPr>
          <w:rFonts w:ascii="Calibri" w:eastAsia="Calibri" w:hAnsi="Calibri" w:cs="Calibri"/>
        </w:rPr>
        <w:t xml:space="preserve"> an upper</w:t>
      </w:r>
      <w:r w:rsidR="004B534B">
        <w:rPr>
          <w:rFonts w:ascii="Calibri" w:eastAsia="Calibri" w:hAnsi="Calibri" w:cs="Calibri"/>
        </w:rPr>
        <w:t xml:space="preserve"> age</w:t>
      </w:r>
      <w:r w:rsidR="6FDAF393" w:rsidRPr="00E96E9F">
        <w:rPr>
          <w:rFonts w:ascii="Calibri" w:eastAsia="Calibri" w:hAnsi="Calibri" w:cs="Calibri"/>
        </w:rPr>
        <w:t xml:space="preserve"> limit of 12 years. </w:t>
      </w:r>
      <w:r w:rsidR="6FDAF393" w:rsidRPr="00BF1BFB">
        <w:rPr>
          <w:rFonts w:ascii="Calibri" w:eastAsia="Calibri" w:hAnsi="Calibri" w:cs="Calibri"/>
          <w:iCs/>
        </w:rPr>
        <w:t xml:space="preserve">The restriction </w:t>
      </w:r>
      <w:r w:rsidRPr="00BF1BFB">
        <w:rPr>
          <w:rFonts w:ascii="Calibri" w:eastAsia="Calibri" w:hAnsi="Calibri" w:cs="Calibri"/>
          <w:iCs/>
        </w:rPr>
        <w:t>propose</w:t>
      </w:r>
      <w:r>
        <w:rPr>
          <w:rFonts w:ascii="Calibri" w:eastAsia="Calibri" w:hAnsi="Calibri" w:cs="Calibri"/>
          <w:iCs/>
        </w:rPr>
        <w:t>d</w:t>
      </w:r>
      <w:r w:rsidRPr="00BF1BFB">
        <w:rPr>
          <w:rFonts w:ascii="Calibri" w:eastAsia="Calibri" w:hAnsi="Calibri" w:cs="Calibri"/>
          <w:iCs/>
        </w:rPr>
        <w:t xml:space="preserve"> </w:t>
      </w:r>
      <w:r w:rsidR="6FDAF393" w:rsidRPr="00BF1BFB">
        <w:rPr>
          <w:rFonts w:ascii="Calibri" w:eastAsia="Calibri" w:hAnsi="Calibri" w:cs="Calibri"/>
          <w:iCs/>
        </w:rPr>
        <w:t>use in the Australian setting until</w:t>
      </w:r>
      <w:r w:rsidR="000931BF">
        <w:rPr>
          <w:rFonts w:ascii="Calibri" w:eastAsia="Calibri" w:hAnsi="Calibri" w:cs="Calibri"/>
          <w:iCs/>
        </w:rPr>
        <w:t xml:space="preserve"> a bone age of</w:t>
      </w:r>
      <w:r w:rsidR="6FDAF393" w:rsidRPr="00BF1BFB">
        <w:rPr>
          <w:rFonts w:ascii="Calibri" w:eastAsia="Calibri" w:hAnsi="Calibri" w:cs="Calibri"/>
          <w:iCs/>
        </w:rPr>
        <w:t xml:space="preserve"> 15.5 years for males and 13.5 years for females.</w:t>
      </w:r>
      <w:r w:rsidR="3D0789BA" w:rsidRPr="00BF1BFB">
        <w:rPr>
          <w:rFonts w:ascii="Calibri" w:eastAsia="Calibri" w:hAnsi="Calibri" w:cs="Calibri"/>
          <w:iCs/>
        </w:rPr>
        <w:t xml:space="preserve"> </w:t>
      </w:r>
      <w:r w:rsidR="008870B5">
        <w:rPr>
          <w:rFonts w:ascii="Calibri" w:eastAsia="Calibri" w:hAnsi="Calibri" w:cs="Calibri"/>
          <w:iCs/>
        </w:rPr>
        <w:t>The PBAC noted t</w:t>
      </w:r>
      <w:r w:rsidR="3D0789BA" w:rsidRPr="00BF1BFB">
        <w:rPr>
          <w:rFonts w:ascii="Calibri" w:eastAsia="Calibri" w:hAnsi="Calibri" w:cs="Calibri"/>
          <w:iCs/>
        </w:rPr>
        <w:t xml:space="preserve">here </w:t>
      </w:r>
      <w:r w:rsidR="0012188F">
        <w:rPr>
          <w:rFonts w:ascii="Calibri" w:eastAsia="Calibri" w:hAnsi="Calibri" w:cs="Calibri"/>
          <w:iCs/>
        </w:rPr>
        <w:t>wa</w:t>
      </w:r>
      <w:r w:rsidR="0012188F" w:rsidRPr="00BF1BFB">
        <w:rPr>
          <w:rFonts w:ascii="Calibri" w:eastAsia="Calibri" w:hAnsi="Calibri" w:cs="Calibri"/>
          <w:iCs/>
        </w:rPr>
        <w:t xml:space="preserve">s </w:t>
      </w:r>
      <w:r w:rsidR="3D0789BA" w:rsidRPr="00BF1BFB">
        <w:rPr>
          <w:rFonts w:ascii="Calibri" w:eastAsia="Calibri" w:hAnsi="Calibri" w:cs="Calibri"/>
          <w:iCs/>
        </w:rPr>
        <w:t>l</w:t>
      </w:r>
      <w:r w:rsidR="00576D00" w:rsidRPr="00BF1BFB">
        <w:rPr>
          <w:rFonts w:ascii="Calibri" w:eastAsia="Calibri" w:hAnsi="Calibri" w:cs="Calibri"/>
          <w:iCs/>
        </w:rPr>
        <w:t>imited</w:t>
      </w:r>
      <w:r w:rsidR="3D0789BA" w:rsidRPr="00BF1BFB">
        <w:rPr>
          <w:rFonts w:ascii="Calibri" w:eastAsia="Calibri" w:hAnsi="Calibri" w:cs="Calibri"/>
          <w:iCs/>
        </w:rPr>
        <w:t xml:space="preserve"> evidence regarding whether the drug is beneficial to those &gt; 12 years of age or those who are post-pubertal.</w:t>
      </w:r>
    </w:p>
    <w:p w14:paraId="19F2902B" w14:textId="04555E70" w:rsidR="483A2B52" w:rsidRPr="00E96E9F" w:rsidRDefault="4635AFF4" w:rsidP="483A2B52">
      <w:pPr>
        <w:pStyle w:val="3-BodyText"/>
        <w:rPr>
          <w:rFonts w:eastAsiaTheme="minorEastAsia"/>
          <w:color w:val="0066FF"/>
        </w:rPr>
      </w:pPr>
      <w:r w:rsidRPr="00E96E9F">
        <w:rPr>
          <w:rFonts w:ascii="Calibri" w:eastAsia="Calibri" w:hAnsi="Calibri" w:cs="Calibri"/>
        </w:rPr>
        <w:t>Three studies (Study 4006, 4004, 4009) include</w:t>
      </w:r>
      <w:r w:rsidR="007B2913">
        <w:rPr>
          <w:rFonts w:ascii="Calibri" w:eastAsia="Calibri" w:hAnsi="Calibri" w:cs="Calibri"/>
        </w:rPr>
        <w:t>d</w:t>
      </w:r>
      <w:r w:rsidRPr="00E96E9F">
        <w:rPr>
          <w:rFonts w:ascii="Calibri" w:eastAsia="Calibri" w:hAnsi="Calibri" w:cs="Calibri"/>
        </w:rPr>
        <w:t xml:space="preserve"> treatment naïve (</w:t>
      </w:r>
      <w:proofErr w:type="gramStart"/>
      <w:r w:rsidRPr="00E96E9F">
        <w:rPr>
          <w:rFonts w:ascii="Calibri" w:eastAsia="Calibri" w:hAnsi="Calibri" w:cs="Calibri"/>
        </w:rPr>
        <w:t>i.e.</w:t>
      </w:r>
      <w:proofErr w:type="gramEnd"/>
      <w:r w:rsidRPr="00E96E9F">
        <w:rPr>
          <w:rFonts w:ascii="Calibri" w:eastAsia="Calibri" w:hAnsi="Calibri" w:cs="Calibri"/>
        </w:rPr>
        <w:t xml:space="preserve"> no prior exposure to any r-</w:t>
      </w:r>
      <w:proofErr w:type="spellStart"/>
      <w:r w:rsidR="007B2913">
        <w:rPr>
          <w:rFonts w:ascii="Calibri" w:eastAsia="Calibri" w:hAnsi="Calibri" w:cs="Calibri"/>
        </w:rPr>
        <w:t>h</w:t>
      </w:r>
      <w:r w:rsidRPr="00E96E9F">
        <w:rPr>
          <w:rFonts w:ascii="Calibri" w:eastAsia="Calibri" w:hAnsi="Calibri" w:cs="Calibri"/>
        </w:rPr>
        <w:t>GH</w:t>
      </w:r>
      <w:proofErr w:type="spellEnd"/>
      <w:r w:rsidRPr="00E96E9F">
        <w:rPr>
          <w:rFonts w:ascii="Calibri" w:eastAsia="Calibri" w:hAnsi="Calibri" w:cs="Calibri"/>
        </w:rPr>
        <w:t xml:space="preserve">) therapy. Only Study 1002 included children who </w:t>
      </w:r>
      <w:r w:rsidR="007B2913" w:rsidRPr="00E96E9F">
        <w:rPr>
          <w:rFonts w:ascii="Calibri" w:eastAsia="Calibri" w:hAnsi="Calibri" w:cs="Calibri"/>
        </w:rPr>
        <w:t>ha</w:t>
      </w:r>
      <w:r w:rsidR="007B2913">
        <w:rPr>
          <w:rFonts w:ascii="Calibri" w:eastAsia="Calibri" w:hAnsi="Calibri" w:cs="Calibri"/>
        </w:rPr>
        <w:t>d</w:t>
      </w:r>
      <w:r w:rsidR="007B2913" w:rsidRPr="00E96E9F">
        <w:rPr>
          <w:rFonts w:ascii="Calibri" w:eastAsia="Calibri" w:hAnsi="Calibri" w:cs="Calibri"/>
        </w:rPr>
        <w:t xml:space="preserve"> </w:t>
      </w:r>
      <w:r w:rsidRPr="00E96E9F">
        <w:rPr>
          <w:rFonts w:ascii="Calibri" w:eastAsia="Calibri" w:hAnsi="Calibri" w:cs="Calibri"/>
        </w:rPr>
        <w:t xml:space="preserve">been on a stable dose of somatropin for </w:t>
      </w:r>
      <w:r w:rsidRPr="00E96E9F">
        <w:rPr>
          <w:rFonts w:ascii="Calibri" w:eastAsia="Calibri" w:hAnsi="Calibri" w:cs="Calibri"/>
          <w:u w:val="single"/>
        </w:rPr>
        <w:t>&gt;</w:t>
      </w:r>
      <w:r w:rsidRPr="00E96E9F">
        <w:rPr>
          <w:rFonts w:ascii="Calibri" w:eastAsia="Calibri" w:hAnsi="Calibri" w:cs="Calibri"/>
        </w:rPr>
        <w:t xml:space="preserve"> 3 months and </w:t>
      </w:r>
      <w:r w:rsidR="007B2913">
        <w:rPr>
          <w:rFonts w:ascii="Calibri" w:eastAsia="Calibri" w:hAnsi="Calibri" w:cs="Calibri"/>
        </w:rPr>
        <w:t xml:space="preserve">who were </w:t>
      </w:r>
      <w:r w:rsidRPr="00E96E9F">
        <w:rPr>
          <w:rFonts w:ascii="Calibri" w:eastAsia="Calibri" w:hAnsi="Calibri" w:cs="Calibri"/>
        </w:rPr>
        <w:t xml:space="preserve">compliant on a stable dose for at least 3 months prior to screening. </w:t>
      </w:r>
      <w:r w:rsidR="00CB4E93" w:rsidRPr="00BF1BFB">
        <w:rPr>
          <w:rFonts w:ascii="Calibri" w:eastAsia="Calibri" w:hAnsi="Calibri" w:cs="Calibri"/>
          <w:iCs/>
        </w:rPr>
        <w:t>Thus,</w:t>
      </w:r>
      <w:r w:rsidRPr="00BF1BFB">
        <w:rPr>
          <w:rFonts w:ascii="Calibri" w:eastAsia="Calibri" w:hAnsi="Calibri" w:cs="Calibri"/>
          <w:iCs/>
        </w:rPr>
        <w:t xml:space="preserve"> the</w:t>
      </w:r>
      <w:r w:rsidR="00576D00" w:rsidRPr="00BF1BFB">
        <w:rPr>
          <w:rFonts w:ascii="Calibri" w:eastAsia="Calibri" w:hAnsi="Calibri" w:cs="Calibri"/>
          <w:iCs/>
        </w:rPr>
        <w:t xml:space="preserve">re </w:t>
      </w:r>
      <w:r w:rsidR="0012188F">
        <w:rPr>
          <w:rFonts w:ascii="Calibri" w:eastAsia="Calibri" w:hAnsi="Calibri" w:cs="Calibri"/>
          <w:iCs/>
        </w:rPr>
        <w:t>wa</w:t>
      </w:r>
      <w:r w:rsidR="0012188F" w:rsidRPr="00BF1BFB">
        <w:rPr>
          <w:rFonts w:ascii="Calibri" w:eastAsia="Calibri" w:hAnsi="Calibri" w:cs="Calibri"/>
          <w:iCs/>
        </w:rPr>
        <w:t xml:space="preserve">s </w:t>
      </w:r>
      <w:r w:rsidR="00576D00" w:rsidRPr="00BF1BFB">
        <w:rPr>
          <w:rFonts w:ascii="Calibri" w:eastAsia="Calibri" w:hAnsi="Calibri" w:cs="Calibri"/>
          <w:iCs/>
        </w:rPr>
        <w:t>limited</w:t>
      </w:r>
      <w:r w:rsidRPr="00BF1BFB">
        <w:rPr>
          <w:rFonts w:ascii="Calibri" w:eastAsia="Calibri" w:hAnsi="Calibri" w:cs="Calibri"/>
          <w:iCs/>
        </w:rPr>
        <w:t xml:space="preserve"> evidence for</w:t>
      </w:r>
      <w:r w:rsidR="007B2913">
        <w:rPr>
          <w:rFonts w:ascii="Calibri" w:eastAsia="Calibri" w:hAnsi="Calibri" w:cs="Calibri"/>
          <w:iCs/>
        </w:rPr>
        <w:t xml:space="preserve"> patients</w:t>
      </w:r>
      <w:r w:rsidRPr="00BF1BFB">
        <w:rPr>
          <w:rFonts w:ascii="Calibri" w:eastAsia="Calibri" w:hAnsi="Calibri" w:cs="Calibri"/>
          <w:iCs/>
        </w:rPr>
        <w:t xml:space="preserve"> “switching” from somatropin to </w:t>
      </w:r>
      <w:proofErr w:type="spellStart"/>
      <w:r w:rsidRPr="00BF1BFB">
        <w:rPr>
          <w:rFonts w:ascii="Calibri" w:eastAsia="Calibri" w:hAnsi="Calibri" w:cs="Calibri"/>
          <w:iCs/>
        </w:rPr>
        <w:t>somatrogon</w:t>
      </w:r>
      <w:proofErr w:type="spellEnd"/>
      <w:r w:rsidRPr="00BF1BFB">
        <w:rPr>
          <w:rFonts w:ascii="Calibri" w:eastAsia="Calibri" w:hAnsi="Calibri" w:cs="Calibri"/>
          <w:iCs/>
        </w:rPr>
        <w:t xml:space="preserve"> </w:t>
      </w:r>
      <w:r w:rsidR="00576D00" w:rsidRPr="00BF1BFB">
        <w:rPr>
          <w:rFonts w:ascii="Calibri" w:eastAsia="Calibri" w:hAnsi="Calibri" w:cs="Calibri"/>
          <w:iCs/>
        </w:rPr>
        <w:t xml:space="preserve">compared to the </w:t>
      </w:r>
      <w:r w:rsidR="007B2913">
        <w:rPr>
          <w:rFonts w:ascii="Calibri" w:eastAsia="Calibri" w:hAnsi="Calibri" w:cs="Calibri"/>
          <w:iCs/>
        </w:rPr>
        <w:t xml:space="preserve">evidence for the </w:t>
      </w:r>
      <w:r w:rsidR="00576D00" w:rsidRPr="00BF1BFB">
        <w:rPr>
          <w:rFonts w:ascii="Calibri" w:eastAsia="Calibri" w:hAnsi="Calibri" w:cs="Calibri"/>
          <w:iCs/>
        </w:rPr>
        <w:t xml:space="preserve">treatment </w:t>
      </w:r>
      <w:r w:rsidRPr="00BF1BFB">
        <w:rPr>
          <w:rFonts w:ascii="Calibri" w:eastAsia="Calibri" w:hAnsi="Calibri" w:cs="Calibri"/>
          <w:iCs/>
        </w:rPr>
        <w:t>naïve population.</w:t>
      </w:r>
    </w:p>
    <w:p w14:paraId="0EF3E938" w14:textId="332DD448" w:rsidR="1192AE8D" w:rsidRPr="00E96E9F" w:rsidRDefault="1192AE8D" w:rsidP="2309DEAC">
      <w:pPr>
        <w:pStyle w:val="3-BodyText"/>
        <w:rPr>
          <w:color w:val="0066FF"/>
        </w:rPr>
      </w:pPr>
      <w:r w:rsidRPr="00BF1BFB">
        <w:rPr>
          <w:rFonts w:ascii="Calibri" w:eastAsia="Calibri" w:hAnsi="Calibri" w:cs="Calibri"/>
          <w:iCs/>
        </w:rPr>
        <w:t xml:space="preserve">The included clinical trials all </w:t>
      </w:r>
      <w:r w:rsidR="007B2913" w:rsidRPr="00BF1BFB">
        <w:rPr>
          <w:rFonts w:ascii="Calibri" w:eastAsia="Calibri" w:hAnsi="Calibri" w:cs="Calibri"/>
          <w:iCs/>
        </w:rPr>
        <w:t>ha</w:t>
      </w:r>
      <w:r w:rsidR="007B2913">
        <w:rPr>
          <w:rFonts w:ascii="Calibri" w:eastAsia="Calibri" w:hAnsi="Calibri" w:cs="Calibri"/>
          <w:iCs/>
        </w:rPr>
        <w:t>d</w:t>
      </w:r>
      <w:r w:rsidR="007B2913" w:rsidRPr="00BF1BFB">
        <w:rPr>
          <w:rFonts w:ascii="Calibri" w:eastAsia="Calibri" w:hAnsi="Calibri" w:cs="Calibri"/>
          <w:iCs/>
        </w:rPr>
        <w:t xml:space="preserve"> </w:t>
      </w:r>
      <w:r w:rsidRPr="00BF1BFB">
        <w:rPr>
          <w:rFonts w:ascii="Calibri" w:eastAsia="Calibri" w:hAnsi="Calibri" w:cs="Calibri"/>
          <w:iCs/>
        </w:rPr>
        <w:t xml:space="preserve">open label study designs so there </w:t>
      </w:r>
      <w:r w:rsidR="007B2913">
        <w:rPr>
          <w:rFonts w:ascii="Calibri" w:eastAsia="Calibri" w:hAnsi="Calibri" w:cs="Calibri"/>
          <w:iCs/>
        </w:rPr>
        <w:t>wa</w:t>
      </w:r>
      <w:r w:rsidR="007B2913" w:rsidRPr="00BF1BFB">
        <w:rPr>
          <w:rFonts w:ascii="Calibri" w:eastAsia="Calibri" w:hAnsi="Calibri" w:cs="Calibri"/>
          <w:iCs/>
        </w:rPr>
        <w:t xml:space="preserve">s </w:t>
      </w:r>
      <w:r w:rsidRPr="00BF1BFB">
        <w:rPr>
          <w:rFonts w:ascii="Calibri" w:eastAsia="Calibri" w:hAnsi="Calibri" w:cs="Calibri"/>
          <w:iCs/>
        </w:rPr>
        <w:t xml:space="preserve">a risk of performance and detection bias, particularly for subjective outcomes. This </w:t>
      </w:r>
      <w:r w:rsidR="00E9243B" w:rsidRPr="00BF1BFB">
        <w:rPr>
          <w:rFonts w:ascii="Calibri" w:eastAsia="Calibri" w:hAnsi="Calibri" w:cs="Calibri"/>
          <w:iCs/>
        </w:rPr>
        <w:t>wa</w:t>
      </w:r>
      <w:r w:rsidRPr="00BF1BFB">
        <w:rPr>
          <w:rFonts w:ascii="Calibri" w:eastAsia="Calibri" w:hAnsi="Calibri" w:cs="Calibri"/>
          <w:iCs/>
        </w:rPr>
        <w:t xml:space="preserve">s reasonable as it </w:t>
      </w:r>
      <w:r w:rsidR="007B2913">
        <w:rPr>
          <w:rFonts w:ascii="Calibri" w:eastAsia="Calibri" w:hAnsi="Calibri" w:cs="Calibri"/>
          <w:iCs/>
        </w:rPr>
        <w:t>wa</w:t>
      </w:r>
      <w:r w:rsidR="007B2913" w:rsidRPr="00BF1BFB">
        <w:rPr>
          <w:rFonts w:ascii="Calibri" w:eastAsia="Calibri" w:hAnsi="Calibri" w:cs="Calibri"/>
          <w:iCs/>
        </w:rPr>
        <w:t xml:space="preserve">s </w:t>
      </w:r>
      <w:r w:rsidRPr="00BF1BFB">
        <w:rPr>
          <w:rFonts w:ascii="Calibri" w:eastAsia="Calibri" w:hAnsi="Calibri" w:cs="Calibri"/>
          <w:iCs/>
        </w:rPr>
        <w:t xml:space="preserve">not practical to blind participants randomised to </w:t>
      </w:r>
      <w:proofErr w:type="spellStart"/>
      <w:r w:rsidRPr="00BF1BFB">
        <w:rPr>
          <w:rFonts w:ascii="Calibri" w:eastAsia="Calibri" w:hAnsi="Calibri" w:cs="Calibri"/>
          <w:iCs/>
        </w:rPr>
        <w:t>somatrogon</w:t>
      </w:r>
      <w:proofErr w:type="spellEnd"/>
      <w:r w:rsidRPr="00BF1BFB">
        <w:rPr>
          <w:rFonts w:ascii="Calibri" w:eastAsia="Calibri" w:hAnsi="Calibri" w:cs="Calibri"/>
          <w:iCs/>
        </w:rPr>
        <w:t xml:space="preserve"> (</w:t>
      </w:r>
      <w:r w:rsidR="007B2913">
        <w:rPr>
          <w:rFonts w:ascii="Calibri" w:eastAsia="Calibri" w:hAnsi="Calibri" w:cs="Calibri"/>
          <w:iCs/>
        </w:rPr>
        <w:t xml:space="preserve">dosed </w:t>
      </w:r>
      <w:r w:rsidRPr="00BF1BFB">
        <w:rPr>
          <w:rFonts w:ascii="Calibri" w:eastAsia="Calibri" w:hAnsi="Calibri" w:cs="Calibri"/>
          <w:iCs/>
        </w:rPr>
        <w:t>weekly) or somatropin (</w:t>
      </w:r>
      <w:r w:rsidR="007B2913">
        <w:rPr>
          <w:rFonts w:ascii="Calibri" w:eastAsia="Calibri" w:hAnsi="Calibri" w:cs="Calibri"/>
          <w:iCs/>
        </w:rPr>
        <w:t xml:space="preserve">dosed </w:t>
      </w:r>
      <w:r w:rsidRPr="00BF1BFB">
        <w:rPr>
          <w:rFonts w:ascii="Calibri" w:eastAsia="Calibri" w:hAnsi="Calibri" w:cs="Calibri"/>
          <w:iCs/>
        </w:rPr>
        <w:t>daily).</w:t>
      </w:r>
    </w:p>
    <w:p w14:paraId="62AFA93F" w14:textId="77777777" w:rsidR="00E40DB8" w:rsidRPr="00E40DB8" w:rsidRDefault="00811E0E" w:rsidP="004C584D">
      <w:pPr>
        <w:pStyle w:val="3-BodyText"/>
        <w:rPr>
          <w:rFonts w:ascii="Arial Narrow" w:hAnsi="Arial Narrow"/>
          <w:b/>
          <w:sz w:val="20"/>
          <w:szCs w:val="24"/>
        </w:rPr>
      </w:pPr>
      <w:r w:rsidRPr="00E96E9F">
        <w:t>Details</w:t>
      </w:r>
      <w:r w:rsidR="00F96B2F" w:rsidRPr="00E96E9F">
        <w:t xml:space="preserve"> </w:t>
      </w:r>
      <w:r w:rsidRPr="00E96E9F">
        <w:t>of</w:t>
      </w:r>
      <w:r w:rsidR="00F96B2F" w:rsidRPr="00E96E9F">
        <w:t xml:space="preserve"> </w:t>
      </w:r>
      <w:r w:rsidRPr="00E96E9F">
        <w:t>the</w:t>
      </w:r>
      <w:r w:rsidR="00F96B2F" w:rsidRPr="00E96E9F">
        <w:t xml:space="preserve"> </w:t>
      </w:r>
      <w:r w:rsidRPr="00E96E9F">
        <w:t>trials</w:t>
      </w:r>
      <w:r w:rsidR="00F96B2F" w:rsidRPr="00E96E9F">
        <w:t xml:space="preserve"> </w:t>
      </w:r>
      <w:r w:rsidRPr="00E96E9F">
        <w:t>presented</w:t>
      </w:r>
      <w:r w:rsidR="00F96B2F" w:rsidRPr="00E96E9F">
        <w:t xml:space="preserve"> </w:t>
      </w:r>
      <w:r w:rsidRPr="00E96E9F">
        <w:t>in</w:t>
      </w:r>
      <w:r w:rsidR="00F96B2F" w:rsidRPr="00E96E9F">
        <w:t xml:space="preserve"> </w:t>
      </w:r>
      <w:r w:rsidRPr="00E96E9F">
        <w:t>the</w:t>
      </w:r>
      <w:r w:rsidR="00F96B2F" w:rsidRPr="00E96E9F">
        <w:t xml:space="preserve"> </w:t>
      </w:r>
      <w:r w:rsidRPr="00E96E9F">
        <w:t>submission</w:t>
      </w:r>
      <w:r w:rsidR="00F96B2F" w:rsidRPr="00E96E9F">
        <w:t xml:space="preserve"> </w:t>
      </w:r>
      <w:r w:rsidRPr="00E96E9F">
        <w:t>are</w:t>
      </w:r>
      <w:r w:rsidR="00F96B2F" w:rsidRPr="00E96E9F">
        <w:t xml:space="preserve"> </w:t>
      </w:r>
      <w:r w:rsidRPr="00E96E9F">
        <w:t>provided</w:t>
      </w:r>
      <w:r w:rsidR="00F96B2F" w:rsidRPr="00E96E9F">
        <w:t xml:space="preserve"> </w:t>
      </w:r>
      <w:r w:rsidRPr="00E96E9F">
        <w:t>in</w:t>
      </w:r>
      <w:r w:rsidR="00F96B2F" w:rsidRPr="00E96E9F">
        <w:t xml:space="preserve"> </w:t>
      </w:r>
      <w:r w:rsidRPr="00E96E9F">
        <w:t>the</w:t>
      </w:r>
      <w:r w:rsidR="00F96B2F" w:rsidRPr="00E96E9F">
        <w:t xml:space="preserve"> </w:t>
      </w:r>
      <w:r w:rsidRPr="00E96E9F">
        <w:t>table</w:t>
      </w:r>
      <w:r w:rsidR="00F96B2F" w:rsidRPr="00E96E9F">
        <w:t xml:space="preserve"> </w:t>
      </w:r>
      <w:r w:rsidRPr="00E96E9F">
        <w:t>below.</w:t>
      </w:r>
    </w:p>
    <w:p w14:paraId="60F2BB3F" w14:textId="17BBCE3D" w:rsidR="00811E0E" w:rsidRPr="00057B36" w:rsidRDefault="00811E0E" w:rsidP="00057B36">
      <w:pPr>
        <w:pStyle w:val="TableFigureHeading"/>
        <w:rPr>
          <w:rStyle w:val="CommentReference"/>
          <w:b/>
          <w:bCs w:val="0"/>
          <w:szCs w:val="24"/>
        </w:rPr>
      </w:pPr>
      <w:r w:rsidRPr="00057B36">
        <w:rPr>
          <w:rStyle w:val="CommentReference"/>
          <w:b/>
          <w:bCs w:val="0"/>
          <w:szCs w:val="24"/>
        </w:rPr>
        <w:t>Table</w:t>
      </w:r>
      <w:r w:rsidR="00F96B2F" w:rsidRPr="00057B36">
        <w:rPr>
          <w:rStyle w:val="CommentReference"/>
          <w:b/>
          <w:bCs w:val="0"/>
          <w:szCs w:val="24"/>
        </w:rPr>
        <w:t xml:space="preserve"> </w:t>
      </w:r>
      <w:r w:rsidR="003F535F" w:rsidRPr="00057B36">
        <w:rPr>
          <w:rStyle w:val="CommentReference"/>
          <w:b/>
          <w:bCs w:val="0"/>
          <w:szCs w:val="24"/>
        </w:rPr>
        <w:fldChar w:fldCharType="begin"/>
      </w:r>
      <w:r w:rsidR="003F535F" w:rsidRPr="00057B36">
        <w:rPr>
          <w:rStyle w:val="CommentReference"/>
          <w:b/>
          <w:bCs w:val="0"/>
          <w:szCs w:val="24"/>
        </w:rPr>
        <w:instrText xml:space="preserve"> SEQ Table \* ARABIC </w:instrText>
      </w:r>
      <w:r w:rsidR="003F535F" w:rsidRPr="00057B36">
        <w:rPr>
          <w:rStyle w:val="CommentReference"/>
          <w:b/>
          <w:bCs w:val="0"/>
          <w:szCs w:val="24"/>
        </w:rPr>
        <w:fldChar w:fldCharType="separate"/>
      </w:r>
      <w:r w:rsidR="005C48AC">
        <w:rPr>
          <w:rStyle w:val="CommentReference"/>
          <w:b/>
          <w:bCs w:val="0"/>
          <w:noProof/>
          <w:szCs w:val="24"/>
        </w:rPr>
        <w:t>2</w:t>
      </w:r>
      <w:r w:rsidR="003F535F" w:rsidRPr="00057B36">
        <w:rPr>
          <w:rStyle w:val="CommentReference"/>
          <w:b/>
          <w:bCs w:val="0"/>
          <w:szCs w:val="24"/>
        </w:rPr>
        <w:fldChar w:fldCharType="end"/>
      </w:r>
      <w:r w:rsidRPr="00057B36">
        <w:rPr>
          <w:rStyle w:val="CommentReference"/>
          <w:b/>
          <w:bCs w:val="0"/>
          <w:szCs w:val="24"/>
        </w:rPr>
        <w:t>:</w:t>
      </w:r>
      <w:r w:rsidR="00F96B2F" w:rsidRPr="00057B36">
        <w:rPr>
          <w:rStyle w:val="CommentReference"/>
          <w:b/>
          <w:bCs w:val="0"/>
          <w:szCs w:val="24"/>
        </w:rPr>
        <w:t xml:space="preserve"> </w:t>
      </w:r>
      <w:r w:rsidRPr="00057B36">
        <w:rPr>
          <w:rStyle w:val="CommentReference"/>
          <w:b/>
          <w:bCs w:val="0"/>
          <w:szCs w:val="24"/>
        </w:rPr>
        <w:t>Trials</w:t>
      </w:r>
      <w:r w:rsidR="00F96B2F" w:rsidRPr="00057B36">
        <w:rPr>
          <w:rStyle w:val="CommentReference"/>
          <w:b/>
          <w:bCs w:val="0"/>
          <w:szCs w:val="24"/>
        </w:rPr>
        <w:t xml:space="preserve"> </w:t>
      </w:r>
      <w:r w:rsidRPr="00057B36">
        <w:rPr>
          <w:rStyle w:val="CommentReference"/>
          <w:b/>
          <w:bCs w:val="0"/>
          <w:szCs w:val="24"/>
        </w:rPr>
        <w:t>and</w:t>
      </w:r>
      <w:r w:rsidR="00F96B2F" w:rsidRPr="00057B36">
        <w:rPr>
          <w:rStyle w:val="CommentReference"/>
          <w:b/>
          <w:bCs w:val="0"/>
          <w:szCs w:val="24"/>
        </w:rPr>
        <w:t xml:space="preserve"> </w:t>
      </w:r>
      <w:r w:rsidRPr="00057B36">
        <w:rPr>
          <w:rStyle w:val="CommentReference"/>
          <w:b/>
          <w:bCs w:val="0"/>
          <w:szCs w:val="24"/>
        </w:rPr>
        <w:t>associated</w:t>
      </w:r>
      <w:r w:rsidR="00F96B2F" w:rsidRPr="00057B36">
        <w:rPr>
          <w:rStyle w:val="CommentReference"/>
          <w:b/>
          <w:bCs w:val="0"/>
          <w:szCs w:val="24"/>
        </w:rPr>
        <w:t xml:space="preserve"> </w:t>
      </w:r>
      <w:r w:rsidRPr="00057B36">
        <w:rPr>
          <w:rStyle w:val="CommentReference"/>
          <w:b/>
          <w:bCs w:val="0"/>
          <w:szCs w:val="24"/>
        </w:rPr>
        <w:t>reports</w:t>
      </w:r>
      <w:r w:rsidR="00F96B2F" w:rsidRPr="00057B36">
        <w:rPr>
          <w:rStyle w:val="CommentReference"/>
          <w:b/>
          <w:bCs w:val="0"/>
          <w:szCs w:val="24"/>
        </w:rPr>
        <w:t xml:space="preserve"> </w:t>
      </w:r>
      <w:r w:rsidRPr="00057B36">
        <w:rPr>
          <w:rStyle w:val="CommentReference"/>
          <w:b/>
          <w:bCs w:val="0"/>
          <w:szCs w:val="24"/>
        </w:rPr>
        <w:t>presented</w:t>
      </w:r>
      <w:r w:rsidR="00F96B2F" w:rsidRPr="00057B36">
        <w:rPr>
          <w:rStyle w:val="CommentReference"/>
          <w:b/>
          <w:bCs w:val="0"/>
          <w:szCs w:val="24"/>
        </w:rPr>
        <w:t xml:space="preserve"> </w:t>
      </w:r>
      <w:r w:rsidRPr="00057B36">
        <w:rPr>
          <w:rStyle w:val="CommentReference"/>
          <w:b/>
          <w:bCs w:val="0"/>
          <w:szCs w:val="24"/>
        </w:rPr>
        <w:t>in</w:t>
      </w:r>
      <w:r w:rsidR="00F96B2F" w:rsidRPr="00057B36">
        <w:rPr>
          <w:rStyle w:val="CommentReference"/>
          <w:b/>
          <w:bCs w:val="0"/>
          <w:szCs w:val="24"/>
        </w:rPr>
        <w:t xml:space="preserve"> </w:t>
      </w:r>
      <w:r w:rsidRPr="00057B36">
        <w:rPr>
          <w:rStyle w:val="CommentReference"/>
          <w:b/>
          <w:bCs w:val="0"/>
          <w:szCs w:val="24"/>
        </w:rPr>
        <w:t>the</w:t>
      </w:r>
      <w:r w:rsidR="00F96B2F" w:rsidRPr="00057B36">
        <w:rPr>
          <w:rStyle w:val="CommentReference"/>
          <w:b/>
          <w:bCs w:val="0"/>
          <w:szCs w:val="24"/>
        </w:rPr>
        <w:t xml:space="preserve"> </w:t>
      </w:r>
      <w:r w:rsidRPr="00057B36">
        <w:rPr>
          <w:rStyle w:val="CommentReference"/>
          <w:b/>
          <w:bCs w:val="0"/>
          <w:szCs w:val="24"/>
        </w:rPr>
        <w:t>submission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2: Trials and associated reports presented in the submission"/>
      </w:tblPr>
      <w:tblGrid>
        <w:gridCol w:w="1314"/>
        <w:gridCol w:w="4981"/>
        <w:gridCol w:w="2716"/>
      </w:tblGrid>
      <w:tr w:rsidR="00811E0E" w:rsidRPr="00E96E9F" w14:paraId="5B92C49A" w14:textId="77777777" w:rsidTr="002D5BA0">
        <w:tc>
          <w:tcPr>
            <w:tcW w:w="7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064E8E" w14:textId="50999AF0" w:rsidR="00811E0E" w:rsidRPr="00E96E9F" w:rsidRDefault="00811E0E" w:rsidP="00057B36">
            <w:pPr>
              <w:pStyle w:val="In-tableHeading"/>
              <w:keepNext w:val="0"/>
              <w:rPr>
                <w:rFonts w:ascii="Segoe UI" w:hAnsi="Segoe UI"/>
                <w:sz w:val="18"/>
                <w:szCs w:val="18"/>
                <w:lang w:eastAsia="zh-CN"/>
              </w:rPr>
            </w:pPr>
            <w:r w:rsidRPr="00E96E9F">
              <w:rPr>
                <w:lang w:eastAsia="zh-CN"/>
              </w:rPr>
              <w:t>Trial</w:t>
            </w:r>
            <w:r w:rsidR="00F96B2F" w:rsidRPr="00E96E9F">
              <w:rPr>
                <w:lang w:eastAsia="zh-CN"/>
              </w:rPr>
              <w:t xml:space="preserve"> </w:t>
            </w:r>
            <w:r w:rsidRPr="00E96E9F">
              <w:rPr>
                <w:lang w:eastAsia="zh-CN"/>
              </w:rPr>
              <w:t>ID</w:t>
            </w:r>
          </w:p>
        </w:tc>
        <w:tc>
          <w:tcPr>
            <w:tcW w:w="27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00824B" w14:textId="1AFA7B39" w:rsidR="00811E0E" w:rsidRPr="00E96E9F" w:rsidRDefault="00811E0E" w:rsidP="00057B36">
            <w:pPr>
              <w:pStyle w:val="In-tableHeading"/>
              <w:keepNext w:val="0"/>
              <w:rPr>
                <w:rFonts w:ascii="Segoe UI" w:hAnsi="Segoe UI"/>
                <w:sz w:val="18"/>
                <w:szCs w:val="18"/>
                <w:lang w:eastAsia="zh-CN"/>
              </w:rPr>
            </w:pPr>
            <w:r w:rsidRPr="00E96E9F">
              <w:rPr>
                <w:lang w:eastAsia="zh-CN"/>
              </w:rPr>
              <w:t>Protocol</w:t>
            </w:r>
            <w:r w:rsidR="00F96B2F" w:rsidRPr="00E96E9F">
              <w:rPr>
                <w:lang w:eastAsia="zh-CN"/>
              </w:rPr>
              <w:t xml:space="preserve"> </w:t>
            </w:r>
            <w:r w:rsidRPr="00E96E9F">
              <w:rPr>
                <w:lang w:eastAsia="zh-CN"/>
              </w:rPr>
              <w:t>title/</w:t>
            </w:r>
            <w:r w:rsidR="00F96B2F" w:rsidRPr="00E96E9F">
              <w:rPr>
                <w:lang w:eastAsia="zh-CN"/>
              </w:rPr>
              <w:t xml:space="preserve"> </w:t>
            </w:r>
            <w:r w:rsidRPr="00E96E9F">
              <w:rPr>
                <w:lang w:eastAsia="zh-CN"/>
              </w:rPr>
              <w:t>Publication</w:t>
            </w:r>
            <w:r w:rsidR="00F96B2F" w:rsidRPr="00E96E9F">
              <w:rPr>
                <w:lang w:eastAsia="zh-CN"/>
              </w:rPr>
              <w:t xml:space="preserve"> </w:t>
            </w:r>
            <w:r w:rsidRPr="00E96E9F">
              <w:rPr>
                <w:lang w:eastAsia="zh-CN"/>
              </w:rPr>
              <w:t>title</w:t>
            </w:r>
            <w:r w:rsidR="00F96B2F" w:rsidRPr="00E96E9F">
              <w:rPr>
                <w:lang w:eastAsia="zh-CN"/>
              </w:rPr>
              <w:t xml:space="preserve"> </w:t>
            </w:r>
          </w:p>
        </w:tc>
        <w:tc>
          <w:tcPr>
            <w:tcW w:w="150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932F84" w14:textId="327BA692" w:rsidR="00811E0E" w:rsidRPr="00E96E9F" w:rsidRDefault="00811E0E" w:rsidP="00057B36">
            <w:pPr>
              <w:pStyle w:val="In-tableHeading"/>
              <w:keepNext w:val="0"/>
              <w:rPr>
                <w:rFonts w:ascii="Segoe UI" w:hAnsi="Segoe UI"/>
                <w:sz w:val="18"/>
                <w:szCs w:val="18"/>
                <w:lang w:eastAsia="zh-CN"/>
              </w:rPr>
            </w:pPr>
            <w:r w:rsidRPr="00E96E9F">
              <w:rPr>
                <w:lang w:eastAsia="zh-CN"/>
              </w:rPr>
              <w:t>Publication</w:t>
            </w:r>
            <w:r w:rsidR="00F96B2F" w:rsidRPr="00E96E9F">
              <w:rPr>
                <w:lang w:eastAsia="zh-CN"/>
              </w:rPr>
              <w:t xml:space="preserve"> </w:t>
            </w:r>
            <w:r w:rsidRPr="00E96E9F">
              <w:rPr>
                <w:lang w:eastAsia="zh-CN"/>
              </w:rPr>
              <w:t>citation</w:t>
            </w:r>
            <w:r w:rsidR="00F96B2F" w:rsidRPr="00E96E9F">
              <w:rPr>
                <w:lang w:eastAsia="zh-CN"/>
              </w:rPr>
              <w:t xml:space="preserve"> </w:t>
            </w:r>
          </w:p>
        </w:tc>
      </w:tr>
      <w:tr w:rsidR="00811E0E" w:rsidRPr="00E96E9F" w14:paraId="67491849" w14:textId="77777777" w:rsidTr="002D5BA0">
        <w:tc>
          <w:tcPr>
            <w:tcW w:w="729" w:type="pct"/>
            <w:tcBorders>
              <w:top w:val="single" w:sz="6" w:space="0" w:color="auto"/>
              <w:left w:val="single" w:sz="6" w:space="0" w:color="auto"/>
              <w:bottom w:val="nil"/>
              <w:right w:val="single" w:sz="6" w:space="0" w:color="auto"/>
            </w:tcBorders>
            <w:shd w:val="clear" w:color="auto" w:fill="auto"/>
            <w:vAlign w:val="center"/>
            <w:hideMark/>
          </w:tcPr>
          <w:p w14:paraId="288D2622" w14:textId="6325A744"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single" w:sz="6" w:space="0" w:color="auto"/>
              <w:left w:val="single" w:sz="6" w:space="0" w:color="auto"/>
              <w:bottom w:val="nil"/>
              <w:right w:val="single" w:sz="6" w:space="0" w:color="auto"/>
            </w:tcBorders>
            <w:shd w:val="clear" w:color="auto" w:fill="auto"/>
            <w:vAlign w:val="center"/>
            <w:hideMark/>
          </w:tcPr>
          <w:p w14:paraId="49FCA631" w14:textId="4F98D40E" w:rsidR="00811E0E" w:rsidRPr="00E96E9F" w:rsidRDefault="00811E0E" w:rsidP="00057B36">
            <w:pPr>
              <w:pStyle w:val="TableText0"/>
              <w:keepNext w:val="0"/>
              <w:rPr>
                <w:rFonts w:ascii="Segoe UI" w:hAnsi="Segoe UI"/>
                <w:sz w:val="18"/>
                <w:szCs w:val="18"/>
                <w:lang w:eastAsia="zh-CN"/>
              </w:rPr>
            </w:pPr>
            <w:r w:rsidRPr="00E96E9F">
              <w:rPr>
                <w:lang w:eastAsia="zh-CN"/>
              </w:rPr>
              <w:t>CSR:</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3,</w:t>
            </w:r>
            <w:r w:rsidR="00F96B2F" w:rsidRPr="00E96E9F">
              <w:rPr>
                <w:lang w:eastAsia="zh-CN"/>
              </w:rPr>
              <w:t xml:space="preserve"> </w:t>
            </w:r>
            <w:r w:rsidRPr="00E96E9F">
              <w:rPr>
                <w:lang w:eastAsia="zh-CN"/>
              </w:rPr>
              <w:t>open-label,</w:t>
            </w:r>
            <w:r w:rsidR="00F96B2F" w:rsidRPr="00E96E9F">
              <w:rPr>
                <w:lang w:eastAsia="zh-CN"/>
              </w:rPr>
              <w:t xml:space="preserve"> </w:t>
            </w:r>
            <w:r w:rsidRPr="00E96E9F">
              <w:rPr>
                <w:lang w:eastAsia="zh-CN"/>
              </w:rPr>
              <w:t>randomized,</w:t>
            </w:r>
            <w:r w:rsidR="00F96B2F" w:rsidRPr="00E96E9F">
              <w:rPr>
                <w:lang w:eastAsia="zh-CN"/>
              </w:rPr>
              <w:t xml:space="preserve"> </w:t>
            </w:r>
            <w:proofErr w:type="spellStart"/>
            <w:r w:rsidRPr="00E96E9F">
              <w:rPr>
                <w:lang w:eastAsia="zh-CN"/>
              </w:rPr>
              <w:t>multicenter</w:t>
            </w:r>
            <w:proofErr w:type="spellEnd"/>
            <w:r w:rsidRPr="00E96E9F">
              <w:rPr>
                <w:lang w:eastAsia="zh-CN"/>
              </w:rPr>
              <w:t>,</w:t>
            </w:r>
            <w:r w:rsidR="00F96B2F" w:rsidRPr="00E96E9F">
              <w:rPr>
                <w:lang w:eastAsia="zh-CN"/>
              </w:rPr>
              <w:t xml:space="preserve"> </w:t>
            </w:r>
            <w:r w:rsidRPr="00E96E9F">
              <w:rPr>
                <w:lang w:eastAsia="zh-CN"/>
              </w:rPr>
              <w:t>12</w:t>
            </w:r>
            <w:r w:rsidR="00F96B2F" w:rsidRPr="00E96E9F">
              <w:rPr>
                <w:lang w:eastAsia="zh-CN"/>
              </w:rPr>
              <w:t xml:space="preserve"> </w:t>
            </w:r>
            <w:r w:rsidRPr="00E96E9F">
              <w:rPr>
                <w:lang w:eastAsia="zh-CN"/>
              </w:rPr>
              <w:t>months,</w:t>
            </w:r>
            <w:r w:rsidR="00F96B2F" w:rsidRPr="00E96E9F">
              <w:rPr>
                <w:lang w:eastAsia="zh-CN"/>
              </w:rPr>
              <w:t xml:space="preserve"> </w:t>
            </w:r>
            <w:proofErr w:type="gramStart"/>
            <w:r w:rsidRPr="00E96E9F">
              <w:rPr>
                <w:lang w:eastAsia="zh-CN"/>
              </w:rPr>
              <w:t>efficacy</w:t>
            </w:r>
            <w:proofErr w:type="gramEnd"/>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weekly</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compared</w:t>
            </w:r>
            <w:r w:rsidR="00F96B2F" w:rsidRPr="00E96E9F">
              <w:rPr>
                <w:lang w:eastAsia="zh-CN"/>
              </w:rPr>
              <w:t xml:space="preserve"> </w:t>
            </w:r>
            <w:r w:rsidRPr="00E96E9F">
              <w:rPr>
                <w:lang w:eastAsia="zh-CN"/>
              </w:rPr>
              <w:t>to</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Genotropin®</w:t>
            </w:r>
            <w:r w:rsidR="00F96B2F" w:rsidRPr="00E96E9F">
              <w:rPr>
                <w:lang w:eastAsia="zh-CN"/>
              </w:rPr>
              <w:t xml:space="preserve"> </w:t>
            </w:r>
            <w:r w:rsidRPr="00E96E9F">
              <w:rPr>
                <w:lang w:eastAsia="zh-CN"/>
              </w:rPr>
              <w:t>therapy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pre-pubertal</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single" w:sz="6" w:space="0" w:color="auto"/>
              <w:left w:val="single" w:sz="6" w:space="0" w:color="auto"/>
              <w:bottom w:val="nil"/>
              <w:right w:val="single" w:sz="6" w:space="0" w:color="auto"/>
            </w:tcBorders>
            <w:shd w:val="clear" w:color="auto" w:fill="auto"/>
            <w:vAlign w:val="center"/>
            <w:hideMark/>
          </w:tcPr>
          <w:p w14:paraId="7C807658" w14:textId="7A897225" w:rsidR="00811E0E" w:rsidRPr="00E96E9F" w:rsidRDefault="00811E0E" w:rsidP="00057B36">
            <w:pPr>
              <w:pStyle w:val="TableText0"/>
              <w:keepNext w:val="0"/>
              <w:rPr>
                <w:rFonts w:ascii="Segoe UI" w:hAnsi="Segoe UI"/>
                <w:sz w:val="18"/>
                <w:szCs w:val="18"/>
                <w:lang w:eastAsia="zh-CN"/>
              </w:rPr>
            </w:pPr>
            <w:r w:rsidRPr="00E96E9F">
              <w:rPr>
                <w:lang w:eastAsia="zh-CN"/>
              </w:rPr>
              <w:t>24</w:t>
            </w:r>
            <w:r w:rsidR="00F96B2F" w:rsidRPr="00E96E9F">
              <w:rPr>
                <w:lang w:eastAsia="zh-CN"/>
              </w:rPr>
              <w:t xml:space="preserve"> </w:t>
            </w:r>
            <w:r w:rsidRPr="00E96E9F">
              <w:rPr>
                <w:lang w:eastAsia="zh-CN"/>
              </w:rPr>
              <w:t>August</w:t>
            </w:r>
            <w:r w:rsidR="00F96B2F" w:rsidRPr="00E96E9F">
              <w:rPr>
                <w:lang w:eastAsia="zh-CN"/>
              </w:rPr>
              <w:t xml:space="preserve"> </w:t>
            </w:r>
            <w:r w:rsidRPr="00E96E9F">
              <w:rPr>
                <w:lang w:eastAsia="zh-CN"/>
              </w:rPr>
              <w:t>2020</w:t>
            </w:r>
            <w:r w:rsidR="00F96B2F" w:rsidRPr="00E96E9F">
              <w:rPr>
                <w:lang w:eastAsia="zh-CN"/>
              </w:rPr>
              <w:t xml:space="preserve"> </w:t>
            </w:r>
          </w:p>
        </w:tc>
      </w:tr>
      <w:tr w:rsidR="00811E0E" w:rsidRPr="00E96E9F" w14:paraId="080D0E81"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7A358E58" w14:textId="6FF45CF6"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799BF8C8" w14:textId="77777777" w:rsidR="00E5129A" w:rsidRPr="00E96E9F" w:rsidRDefault="00E5129A" w:rsidP="00057B36">
            <w:pPr>
              <w:pStyle w:val="TableText0"/>
              <w:keepNext w:val="0"/>
              <w:rPr>
                <w:lang w:eastAsia="zh-CN"/>
              </w:rPr>
            </w:pPr>
          </w:p>
          <w:p w14:paraId="45BC01C4" w14:textId="5B7325FE" w:rsidR="00811E0E" w:rsidRPr="00E96E9F" w:rsidRDefault="00811E0E" w:rsidP="00057B36">
            <w:pPr>
              <w:pStyle w:val="TableText0"/>
              <w:keepNext w:val="0"/>
              <w:rPr>
                <w:rFonts w:ascii="Segoe UI" w:hAnsi="Segoe UI"/>
                <w:sz w:val="18"/>
                <w:szCs w:val="18"/>
                <w:lang w:eastAsia="zh-CN"/>
              </w:rPr>
            </w:pPr>
            <w:r w:rsidRPr="00E96E9F">
              <w:rPr>
                <w:lang w:eastAsia="zh-CN"/>
              </w:rPr>
              <w:t>Deal</w:t>
            </w:r>
            <w:r w:rsidR="00F96B2F" w:rsidRPr="00E96E9F">
              <w:rPr>
                <w:lang w:eastAsia="zh-CN"/>
              </w:rPr>
              <w:t xml:space="preserve"> </w:t>
            </w:r>
            <w:r w:rsidRPr="00E96E9F">
              <w:rPr>
                <w:lang w:eastAsia="zh-CN"/>
              </w:rPr>
              <w:t>C</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E5129A" w:rsidRPr="00E96E9F">
              <w:rPr>
                <w:lang w:eastAsia="zh-CN"/>
              </w:rPr>
              <w:t xml:space="preserve"> </w:t>
            </w:r>
            <w:proofErr w:type="spellStart"/>
            <w:r w:rsidRPr="00E96E9F">
              <w:rPr>
                <w:lang w:eastAsia="zh-CN"/>
              </w:rPr>
              <w:t>Somatrogon</w:t>
            </w:r>
            <w:proofErr w:type="spellEnd"/>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treatment</w:t>
            </w:r>
            <w:r w:rsidR="00F96B2F" w:rsidRPr="00E96E9F">
              <w:rPr>
                <w:lang w:eastAsia="zh-CN"/>
              </w:rPr>
              <w:t xml:space="preserve"> </w:t>
            </w:r>
            <w:r w:rsidRPr="00E96E9F">
              <w:rPr>
                <w:lang w:eastAsia="zh-CN"/>
              </w:rPr>
              <w:t>of</w:t>
            </w:r>
            <w:r w:rsidR="00F96B2F" w:rsidRPr="00E96E9F">
              <w:rPr>
                <w:lang w:eastAsia="zh-CN"/>
              </w:rPr>
              <w:t xml:space="preserve"> </w:t>
            </w:r>
            <w:proofErr w:type="spellStart"/>
            <w:r w:rsidRPr="00E96E9F">
              <w:rPr>
                <w:lang w:eastAsia="zh-CN"/>
              </w:rPr>
              <w:t>pediatric</w:t>
            </w:r>
            <w:proofErr w:type="spellEnd"/>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pivotal</w:t>
            </w:r>
            <w:r w:rsidR="00F96B2F" w:rsidRPr="00E96E9F">
              <w:rPr>
                <w:lang w:eastAsia="zh-CN"/>
              </w:rPr>
              <w:t xml:space="preserve"> </w:t>
            </w:r>
            <w:proofErr w:type="spellStart"/>
            <w:r w:rsidRPr="00E96E9F">
              <w:rPr>
                <w:lang w:eastAsia="zh-CN"/>
              </w:rPr>
              <w:t>pediatric</w:t>
            </w:r>
            <w:proofErr w:type="spellEnd"/>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3</w:t>
            </w:r>
            <w:r w:rsidR="00F96B2F" w:rsidRPr="00E96E9F">
              <w:rPr>
                <w:lang w:eastAsia="zh-CN"/>
              </w:rPr>
              <w:t xml:space="preserve"> </w:t>
            </w:r>
            <w:r w:rsidRPr="00E96E9F">
              <w:rPr>
                <w:lang w:eastAsia="zh-CN"/>
              </w:rPr>
              <w:t>clinical</w:t>
            </w:r>
            <w:r w:rsidR="00F96B2F" w:rsidRPr="00E96E9F">
              <w:rPr>
                <w:lang w:eastAsia="zh-CN"/>
              </w:rPr>
              <w:t xml:space="preserve"> </w:t>
            </w:r>
            <w:r w:rsidRPr="00E96E9F">
              <w:rPr>
                <w:lang w:eastAsia="zh-CN"/>
              </w:rPr>
              <w:t>trial</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589C87A8" w14:textId="78068423" w:rsidR="00811E0E" w:rsidRPr="00E96E9F" w:rsidRDefault="00811E0E" w:rsidP="00057B36">
            <w:pPr>
              <w:pStyle w:val="TableText0"/>
              <w:keepNext w:val="0"/>
              <w:rPr>
                <w:rFonts w:ascii="Segoe UI" w:hAnsi="Segoe UI"/>
                <w:sz w:val="18"/>
                <w:szCs w:val="18"/>
                <w:lang w:eastAsia="zh-CN"/>
              </w:rPr>
            </w:pPr>
            <w:r w:rsidRPr="00E96E9F">
              <w:rPr>
                <w:lang w:eastAsia="zh-CN"/>
              </w:rPr>
              <w:t>Rev</w:t>
            </w:r>
            <w:r w:rsidR="00F96B2F" w:rsidRPr="00E96E9F">
              <w:rPr>
                <w:lang w:eastAsia="zh-CN"/>
              </w:rPr>
              <w:t xml:space="preserve"> </w:t>
            </w:r>
            <w:r w:rsidRPr="00E96E9F">
              <w:rPr>
                <w:lang w:eastAsia="zh-CN"/>
              </w:rPr>
              <w:t>Argent</w:t>
            </w:r>
            <w:r w:rsidR="00F96B2F" w:rsidRPr="00E96E9F">
              <w:rPr>
                <w:lang w:eastAsia="zh-CN"/>
              </w:rPr>
              <w:t xml:space="preserve"> </w:t>
            </w:r>
            <w:r w:rsidRPr="00E96E9F">
              <w:rPr>
                <w:lang w:eastAsia="zh-CN"/>
              </w:rPr>
              <w:t>Endocrinol</w:t>
            </w:r>
            <w:r w:rsidR="00F96B2F" w:rsidRPr="00E96E9F">
              <w:rPr>
                <w:lang w:eastAsia="zh-CN"/>
              </w:rPr>
              <w:t xml:space="preserve"> </w:t>
            </w:r>
            <w:proofErr w:type="spellStart"/>
            <w:r w:rsidRPr="00E96E9F">
              <w:rPr>
                <w:lang w:eastAsia="zh-CN"/>
              </w:rPr>
              <w:t>Metab</w:t>
            </w:r>
            <w:proofErr w:type="spellEnd"/>
            <w:r w:rsidRPr="00E96E9F">
              <w:rPr>
                <w:lang w:eastAsia="zh-CN"/>
              </w:rPr>
              <w:t>,</w:t>
            </w:r>
            <w:r w:rsidR="00F96B2F" w:rsidRPr="00E96E9F">
              <w:rPr>
                <w:lang w:eastAsia="zh-CN"/>
              </w:rPr>
              <w:t xml:space="preserve"> </w:t>
            </w:r>
            <w:r w:rsidRPr="00E96E9F">
              <w:rPr>
                <w:lang w:eastAsia="zh-CN"/>
              </w:rPr>
              <w:t>2021;</w:t>
            </w:r>
            <w:r w:rsidR="00F96B2F" w:rsidRPr="00E96E9F">
              <w:rPr>
                <w:lang w:eastAsia="zh-CN"/>
              </w:rPr>
              <w:t xml:space="preserve"> </w:t>
            </w:r>
            <w:r w:rsidRPr="00E96E9F">
              <w:rPr>
                <w:lang w:eastAsia="zh-CN"/>
              </w:rPr>
              <w:t>58</w:t>
            </w:r>
            <w:r w:rsidR="00F96B2F" w:rsidRPr="00E96E9F">
              <w:rPr>
                <w:lang w:eastAsia="zh-CN"/>
              </w:rPr>
              <w:t xml:space="preserve"> </w:t>
            </w:r>
            <w:r w:rsidRPr="00E96E9F">
              <w:rPr>
                <w:lang w:eastAsia="zh-CN"/>
              </w:rPr>
              <w:t>(Suppl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p.247.</w:t>
            </w:r>
            <w:r w:rsidR="00F96B2F" w:rsidRPr="00E96E9F">
              <w:rPr>
                <w:lang w:eastAsia="zh-CN"/>
              </w:rPr>
              <w:t xml:space="preserve"> </w:t>
            </w:r>
          </w:p>
        </w:tc>
      </w:tr>
      <w:tr w:rsidR="00811E0E" w:rsidRPr="00E96E9F" w14:paraId="752D81A9"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77F20F80" w14:textId="2D40226F" w:rsidR="00811E0E" w:rsidRPr="00E96E9F" w:rsidRDefault="00811E0E" w:rsidP="00057B36">
            <w:pPr>
              <w:pStyle w:val="TableText0"/>
              <w:keepNext w:val="0"/>
              <w:rPr>
                <w:rFonts w:ascii="Segoe UI" w:hAnsi="Segoe UI"/>
                <w:sz w:val="18"/>
                <w:szCs w:val="18"/>
                <w:lang w:eastAsia="zh-CN"/>
              </w:rPr>
            </w:pPr>
            <w:r w:rsidRPr="00E96E9F">
              <w:rPr>
                <w:lang w:eastAsia="zh-CN"/>
              </w:rPr>
              <w:t>4006</w:t>
            </w:r>
            <w:r w:rsidR="00F96B2F"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1C499AE3" w14:textId="752F912B" w:rsidR="00811E0E" w:rsidRPr="00E96E9F" w:rsidRDefault="00811E0E" w:rsidP="00057B36">
            <w:pPr>
              <w:pStyle w:val="TableText0"/>
              <w:keepNext w:val="0"/>
              <w:rPr>
                <w:rFonts w:ascii="Segoe UI" w:hAnsi="Segoe UI"/>
                <w:sz w:val="18"/>
                <w:szCs w:val="18"/>
                <w:lang w:eastAsia="zh-CN"/>
              </w:rPr>
            </w:pPr>
            <w:r w:rsidRPr="00E96E9F">
              <w:rPr>
                <w:lang w:eastAsia="zh-CN"/>
              </w:rPr>
              <w:t>Deal</w:t>
            </w:r>
            <w:r w:rsidR="00F96B2F" w:rsidRPr="00E96E9F">
              <w:rPr>
                <w:lang w:eastAsia="zh-CN"/>
              </w:rPr>
              <w:t xml:space="preserve"> </w:t>
            </w:r>
            <w:r w:rsidRPr="00E96E9F">
              <w:rPr>
                <w:lang w:eastAsia="zh-CN"/>
              </w:rPr>
              <w:t>C</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Pivotal</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3</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evaluating</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non-inferiority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t>
            </w:r>
            <w:r w:rsidR="00F96B2F" w:rsidRPr="00E96E9F">
              <w:rPr>
                <w:lang w:eastAsia="zh-CN"/>
              </w:rPr>
              <w:t xml:space="preserve"> </w:t>
            </w:r>
            <w:r w:rsidRPr="00E96E9F">
              <w:rPr>
                <w:lang w:eastAsia="zh-CN"/>
              </w:rPr>
              <w:t>weekly</w:t>
            </w:r>
            <w:r w:rsidR="00F96B2F" w:rsidRPr="00E96E9F">
              <w:rPr>
                <w:lang w:eastAsia="zh-CN"/>
              </w:rPr>
              <w:t xml:space="preserve"> </w:t>
            </w:r>
            <w:proofErr w:type="spellStart"/>
            <w:r w:rsidRPr="00E96E9F">
              <w:rPr>
                <w:lang w:eastAsia="zh-CN"/>
              </w:rPr>
              <w:t>somatrogon</w:t>
            </w:r>
            <w:proofErr w:type="spellEnd"/>
            <w:r w:rsidR="00F96B2F" w:rsidRPr="00E96E9F">
              <w:rPr>
                <w:lang w:eastAsia="zh-CN"/>
              </w:rPr>
              <w:t xml:space="preserve"> </w:t>
            </w:r>
            <w:r w:rsidRPr="00E96E9F">
              <w:rPr>
                <w:lang w:eastAsia="zh-CN"/>
              </w:rPr>
              <w:t>compared</w:t>
            </w:r>
            <w:r w:rsidR="00F96B2F" w:rsidRPr="00E96E9F">
              <w:rPr>
                <w:lang w:eastAsia="zh-CN"/>
              </w:rPr>
              <w:t xml:space="preserve"> </w:t>
            </w:r>
            <w:r w:rsidRPr="00E96E9F">
              <w:rPr>
                <w:lang w:eastAsia="zh-CN"/>
              </w:rPr>
              <w:t>to</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somatropin</w:t>
            </w:r>
            <w:r w:rsidR="00F96B2F" w:rsidRPr="00E96E9F">
              <w:rPr>
                <w:lang w:eastAsia="zh-CN"/>
              </w:rPr>
              <w:t xml:space="preserve"> </w:t>
            </w:r>
            <w:r w:rsidRPr="00E96E9F">
              <w:rPr>
                <w:lang w:eastAsia="zh-CN"/>
              </w:rPr>
              <w:t>in</w:t>
            </w:r>
            <w:r w:rsidR="00F96B2F" w:rsidRPr="00E96E9F">
              <w:rPr>
                <w:lang w:eastAsia="zh-CN"/>
              </w:rPr>
              <w:t xml:space="preserve"> </w:t>
            </w:r>
            <w:proofErr w:type="spellStart"/>
            <w:r w:rsidRPr="00E96E9F">
              <w:rPr>
                <w:lang w:eastAsia="zh-CN"/>
              </w:rPr>
              <w:t>pediatric</w:t>
            </w:r>
            <w:proofErr w:type="spellEnd"/>
            <w:r w:rsidR="00F96B2F" w:rsidRPr="00E96E9F">
              <w:rPr>
                <w:lang w:eastAsia="zh-CN"/>
              </w:rPr>
              <w:t xml:space="preserve"> </w:t>
            </w:r>
            <w:r w:rsidRPr="00E96E9F">
              <w:rPr>
                <w:lang w:eastAsia="zh-CN"/>
              </w:rPr>
              <w:t>patients</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r w:rsidRPr="00E96E9F">
              <w:rPr>
                <w:lang w:eastAsia="zh-CN"/>
              </w:rPr>
              <w:t>(</w:t>
            </w:r>
            <w:proofErr w:type="spellStart"/>
            <w:r w:rsidRPr="00E96E9F">
              <w:rPr>
                <w:lang w:eastAsia="zh-CN"/>
              </w:rPr>
              <w:t>pGHD</w:t>
            </w:r>
            <w:proofErr w:type="spellEnd"/>
            <w:r w:rsidRPr="00E96E9F">
              <w:rPr>
                <w:lang w:eastAsia="zh-CN"/>
              </w:rPr>
              <w:t>).</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6FA40A43" w14:textId="77777777" w:rsidR="00E5129A" w:rsidRPr="00E96E9F" w:rsidRDefault="00E5129A" w:rsidP="00057B36">
            <w:pPr>
              <w:pStyle w:val="TableText0"/>
              <w:keepNext w:val="0"/>
              <w:rPr>
                <w:lang w:eastAsia="zh-CN"/>
              </w:rPr>
            </w:pPr>
          </w:p>
          <w:p w14:paraId="5E4AC326" w14:textId="65A5EABE" w:rsidR="00811E0E" w:rsidRPr="00E96E9F" w:rsidRDefault="00811E0E" w:rsidP="00057B36">
            <w:pPr>
              <w:pStyle w:val="TableText0"/>
              <w:keepNext w:val="0"/>
              <w:rPr>
                <w:rFonts w:ascii="Segoe UI" w:hAnsi="Segoe UI"/>
                <w:sz w:val="18"/>
                <w:szCs w:val="18"/>
                <w:lang w:eastAsia="zh-CN"/>
              </w:rPr>
            </w:pPr>
            <w:r w:rsidRPr="00E96E9F">
              <w:rPr>
                <w:lang w:eastAsia="zh-CN"/>
              </w:rPr>
              <w:t>Conference:</w:t>
            </w:r>
            <w:r w:rsidR="00F96B2F" w:rsidRPr="00E96E9F">
              <w:rPr>
                <w:lang w:eastAsia="zh-CN"/>
              </w:rPr>
              <w:t xml:space="preserve"> </w:t>
            </w:r>
            <w:r w:rsidRPr="00E96E9F">
              <w:rPr>
                <w:lang w:eastAsia="zh-CN"/>
              </w:rPr>
              <w:t>2020</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proofErr w:type="spellStart"/>
            <w:r w:rsidRPr="00E96E9F">
              <w:rPr>
                <w:lang w:eastAsia="zh-CN"/>
              </w:rPr>
              <w:t>Pediatric</w:t>
            </w:r>
            <w:proofErr w:type="spellEnd"/>
            <w:r w:rsidR="00F96B2F" w:rsidRPr="00E96E9F">
              <w:rPr>
                <w:lang w:eastAsia="zh-CN"/>
              </w:rPr>
              <w:t xml:space="preserve"> </w:t>
            </w:r>
            <w:r w:rsidRPr="00E96E9F">
              <w:rPr>
                <w:lang w:eastAsia="zh-CN"/>
              </w:rPr>
              <w:t>Endocrine</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PES</w:t>
            </w:r>
            <w:r w:rsidR="00F96B2F" w:rsidRPr="00E96E9F">
              <w:rPr>
                <w:lang w:eastAsia="zh-CN"/>
              </w:rPr>
              <w:t xml:space="preserve"> </w:t>
            </w:r>
            <w:r w:rsidRPr="00E96E9F">
              <w:rPr>
                <w:lang w:eastAsia="zh-CN"/>
              </w:rPr>
              <w:t>2020.</w:t>
            </w:r>
            <w:r w:rsidR="00F96B2F" w:rsidRPr="00E96E9F">
              <w:rPr>
                <w:lang w:eastAsia="zh-CN"/>
              </w:rPr>
              <w:t xml:space="preserve"> </w:t>
            </w:r>
            <w:r w:rsidRPr="00E96E9F">
              <w:rPr>
                <w:lang w:eastAsia="zh-CN"/>
              </w:rPr>
              <w:t>93(SUPPL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(pp</w:t>
            </w:r>
            <w:r w:rsidR="00F96B2F" w:rsidRPr="00E96E9F">
              <w:rPr>
                <w:lang w:eastAsia="zh-CN"/>
              </w:rPr>
              <w:t xml:space="preserve"> </w:t>
            </w:r>
            <w:r w:rsidRPr="00E96E9F">
              <w:rPr>
                <w:lang w:eastAsia="zh-CN"/>
              </w:rPr>
              <w:t>69-70),</w:t>
            </w:r>
            <w:r w:rsidR="00F96B2F" w:rsidRPr="00E96E9F">
              <w:rPr>
                <w:lang w:eastAsia="zh-CN"/>
              </w:rPr>
              <w:t xml:space="preserve"> </w:t>
            </w:r>
            <w:r w:rsidRPr="00E96E9F">
              <w:rPr>
                <w:lang w:eastAsia="zh-CN"/>
              </w:rPr>
              <w:t>2020.</w:t>
            </w:r>
            <w:r w:rsidR="00F96B2F" w:rsidRPr="00E96E9F">
              <w:rPr>
                <w:lang w:eastAsia="zh-CN"/>
              </w:rPr>
              <w:t xml:space="preserve"> </w:t>
            </w:r>
          </w:p>
        </w:tc>
      </w:tr>
      <w:tr w:rsidR="00811E0E" w:rsidRPr="00E96E9F" w14:paraId="219E1F4E"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6DD43012" w14:textId="7EFBCD19"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032AA50E" w14:textId="77777777" w:rsidR="00E5129A" w:rsidRPr="00E96E9F" w:rsidRDefault="00E5129A" w:rsidP="00057B36">
            <w:pPr>
              <w:pStyle w:val="TableText0"/>
              <w:keepNext w:val="0"/>
              <w:rPr>
                <w:lang w:eastAsia="zh-CN"/>
              </w:rPr>
            </w:pPr>
          </w:p>
          <w:p w14:paraId="7489C4D7" w14:textId="6504D1F9" w:rsidR="00811E0E" w:rsidRPr="00E96E9F" w:rsidRDefault="00811E0E" w:rsidP="00057B36">
            <w:pPr>
              <w:pStyle w:val="TableText0"/>
              <w:keepNext w:val="0"/>
              <w:rPr>
                <w:rFonts w:ascii="Segoe UI" w:hAnsi="Segoe UI"/>
                <w:sz w:val="18"/>
                <w:szCs w:val="18"/>
                <w:lang w:eastAsia="zh-CN"/>
              </w:rPr>
            </w:pPr>
            <w:r w:rsidRPr="00E96E9F">
              <w:rPr>
                <w:lang w:eastAsia="zh-CN"/>
              </w:rPr>
              <w:t>Loftus</w:t>
            </w:r>
            <w:r w:rsidR="00F96B2F" w:rsidRPr="00E96E9F">
              <w:rPr>
                <w:lang w:eastAsia="zh-CN"/>
              </w:rPr>
              <w:t xml:space="preserve"> </w:t>
            </w:r>
            <w:r w:rsidRPr="00E96E9F">
              <w:rPr>
                <w:lang w:eastAsia="zh-CN"/>
              </w:rPr>
              <w:t>J</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PDB4</w:t>
            </w:r>
            <w:r w:rsidR="00F96B2F" w:rsidRPr="00E96E9F">
              <w:rPr>
                <w:lang w:eastAsia="zh-CN"/>
              </w:rPr>
              <w:t xml:space="preserve"> </w:t>
            </w:r>
            <w:r w:rsidRPr="00E96E9F">
              <w:rPr>
                <w:lang w:eastAsia="zh-CN"/>
              </w:rPr>
              <w:t>Evaluation</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Quality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Life</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PRE-Pubertal</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Using</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Quality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Life</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Short</w:t>
            </w:r>
            <w:r w:rsidR="00F96B2F" w:rsidRPr="00E96E9F">
              <w:rPr>
                <w:lang w:eastAsia="zh-CN"/>
              </w:rPr>
              <w:t xml:space="preserve"> </w:t>
            </w:r>
            <w:r w:rsidRPr="00E96E9F">
              <w:rPr>
                <w:lang w:eastAsia="zh-CN"/>
              </w:rPr>
              <w:t>Stature</w:t>
            </w:r>
            <w:r w:rsidR="00F96B2F" w:rsidRPr="00E96E9F">
              <w:rPr>
                <w:lang w:eastAsia="zh-CN"/>
              </w:rPr>
              <w:t xml:space="preserve"> </w:t>
            </w:r>
            <w:r w:rsidRPr="00E96E9F">
              <w:rPr>
                <w:lang w:eastAsia="zh-CN"/>
              </w:rPr>
              <w:t>Youth</w:t>
            </w:r>
            <w:r w:rsidR="00F96B2F" w:rsidRPr="00E96E9F">
              <w:rPr>
                <w:lang w:eastAsia="zh-CN"/>
              </w:rPr>
              <w:t xml:space="preserve"> </w:t>
            </w:r>
            <w:r w:rsidRPr="00E96E9F">
              <w:rPr>
                <w:lang w:eastAsia="zh-CN"/>
              </w:rPr>
              <w:t>(QOLISSY)</w:t>
            </w:r>
            <w:r w:rsidR="00F96B2F" w:rsidRPr="00E96E9F">
              <w:rPr>
                <w:lang w:eastAsia="zh-CN"/>
              </w:rPr>
              <w:t xml:space="preserve"> </w:t>
            </w:r>
            <w:r w:rsidRPr="00E96E9F">
              <w:rPr>
                <w:lang w:eastAsia="zh-CN"/>
              </w:rPr>
              <w:t>Questionnaire,</w:t>
            </w:r>
            <w:r w:rsidR="00F96B2F" w:rsidRPr="00E96E9F">
              <w:rPr>
                <w:lang w:eastAsia="zh-CN"/>
              </w:rPr>
              <w:t xml:space="preserve"> </w:t>
            </w:r>
            <w:r w:rsidRPr="00E96E9F">
              <w:rPr>
                <w:lang w:eastAsia="zh-CN"/>
              </w:rPr>
              <w:t>Following</w:t>
            </w:r>
            <w:r w:rsidR="00F96B2F" w:rsidRPr="00E96E9F">
              <w:rPr>
                <w:lang w:eastAsia="zh-CN"/>
              </w:rPr>
              <w:t xml:space="preserve"> </w:t>
            </w:r>
            <w:r w:rsidRPr="00E96E9F">
              <w:rPr>
                <w:lang w:eastAsia="zh-CN"/>
              </w:rPr>
              <w:t>12</w:t>
            </w:r>
            <w:r w:rsidR="00F96B2F" w:rsidRPr="00E96E9F">
              <w:rPr>
                <w:lang w:eastAsia="zh-CN"/>
              </w:rPr>
              <w:t xml:space="preserve"> </w:t>
            </w:r>
            <w:r w:rsidRPr="00E96E9F">
              <w:rPr>
                <w:lang w:eastAsia="zh-CN"/>
              </w:rPr>
              <w:t>Months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Treatment</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Either</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Weekly</w:t>
            </w:r>
            <w:r w:rsidR="00F96B2F" w:rsidRPr="00E96E9F">
              <w:rPr>
                <w:lang w:eastAsia="zh-CN"/>
              </w:rPr>
              <w:t xml:space="preserve"> </w:t>
            </w:r>
            <w:proofErr w:type="spellStart"/>
            <w:r w:rsidRPr="00E96E9F">
              <w:rPr>
                <w:lang w:eastAsia="zh-CN"/>
              </w:rPr>
              <w:t>Somatrogon</w:t>
            </w:r>
            <w:proofErr w:type="spellEnd"/>
            <w:r w:rsidR="00F96B2F" w:rsidRPr="00E96E9F">
              <w:rPr>
                <w:lang w:eastAsia="zh-CN"/>
              </w:rPr>
              <w:t xml:space="preserve"> </w:t>
            </w:r>
            <w:r w:rsidRPr="00E96E9F">
              <w:rPr>
                <w:lang w:eastAsia="zh-CN"/>
              </w:rPr>
              <w:t>or</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Genotropin</w:t>
            </w:r>
            <w:r w:rsidR="00F96B2F" w:rsidRPr="00E96E9F">
              <w:rPr>
                <w:lang w:eastAsia="zh-CN"/>
              </w:rPr>
              <w:t xml:space="preserve"> </w:t>
            </w:r>
            <w:r w:rsidRPr="00E96E9F">
              <w:rPr>
                <w:lang w:eastAsia="zh-CN"/>
              </w:rPr>
              <w:t>Injection</w:t>
            </w:r>
            <w:r w:rsidR="00F96B2F" w:rsidRPr="00E96E9F">
              <w:rPr>
                <w:lang w:eastAsia="zh-CN"/>
              </w:rPr>
              <w:t xml:space="preserve"> </w:t>
            </w:r>
            <w:r w:rsidRPr="00E96E9F">
              <w:rPr>
                <w:lang w:eastAsia="zh-CN"/>
              </w:rPr>
              <w:t>Schedule</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6451650A" w14:textId="1860947E" w:rsidR="00811E0E" w:rsidRPr="00E96E9F" w:rsidRDefault="00811E0E" w:rsidP="00057B36">
            <w:pPr>
              <w:pStyle w:val="TableText0"/>
              <w:keepNext w:val="0"/>
              <w:rPr>
                <w:rFonts w:ascii="Segoe UI" w:hAnsi="Segoe UI"/>
                <w:sz w:val="18"/>
                <w:szCs w:val="18"/>
                <w:lang w:eastAsia="zh-CN"/>
              </w:rPr>
            </w:pPr>
            <w:r w:rsidRPr="00E96E9F">
              <w:rPr>
                <w:lang w:eastAsia="zh-CN"/>
              </w:rPr>
              <w:t>Value</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Health,</w:t>
            </w:r>
            <w:r w:rsidR="00F96B2F" w:rsidRPr="00E96E9F">
              <w:rPr>
                <w:lang w:eastAsia="zh-CN"/>
              </w:rPr>
              <w:t xml:space="preserve"> </w:t>
            </w:r>
            <w:r w:rsidRPr="00E96E9F">
              <w:rPr>
                <w:lang w:eastAsia="zh-CN"/>
              </w:rPr>
              <w:t>2020,</w:t>
            </w:r>
            <w:proofErr w:type="gramStart"/>
            <w:r w:rsidRPr="00E96E9F">
              <w:rPr>
                <w:lang w:eastAsia="zh-CN"/>
              </w:rPr>
              <w:t>12:S</w:t>
            </w:r>
            <w:proofErr w:type="gramEnd"/>
            <w:r w:rsidRPr="00E96E9F">
              <w:rPr>
                <w:lang w:eastAsia="zh-CN"/>
              </w:rPr>
              <w:t>506.</w:t>
            </w:r>
            <w:r w:rsidR="00F96B2F" w:rsidRPr="00E96E9F">
              <w:rPr>
                <w:lang w:eastAsia="zh-CN"/>
              </w:rPr>
              <w:t xml:space="preserve"> </w:t>
            </w:r>
          </w:p>
        </w:tc>
      </w:tr>
      <w:tr w:rsidR="00811E0E" w:rsidRPr="00E96E9F" w14:paraId="3EDB6B10"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4A23B1AD" w14:textId="030ABAD2"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5664187B" w14:textId="0D9CB6C4" w:rsidR="00811E0E" w:rsidRPr="00E96E9F" w:rsidRDefault="00811E0E" w:rsidP="00057B36">
            <w:pPr>
              <w:pStyle w:val="TableText0"/>
              <w:keepNext w:val="0"/>
              <w:rPr>
                <w:rFonts w:ascii="Segoe UI" w:hAnsi="Segoe UI"/>
                <w:sz w:val="18"/>
                <w:szCs w:val="18"/>
                <w:lang w:eastAsia="zh-CN"/>
              </w:rPr>
            </w:pPr>
            <w:r w:rsidRPr="00E96E9F">
              <w:rPr>
                <w:lang w:eastAsia="zh-CN"/>
              </w:rPr>
              <w:t>Fisher</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Impact</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post-dose</w:t>
            </w:r>
            <w:r w:rsidR="00F96B2F" w:rsidRPr="00E96E9F">
              <w:rPr>
                <w:lang w:eastAsia="zh-CN"/>
              </w:rPr>
              <w:t xml:space="preserve"> </w:t>
            </w:r>
            <w:r w:rsidRPr="00E96E9F">
              <w:rPr>
                <w:lang w:eastAsia="zh-CN"/>
              </w:rPr>
              <w:t>sampling</w:t>
            </w:r>
            <w:r w:rsidR="00F96B2F" w:rsidRPr="00E96E9F">
              <w:rPr>
                <w:lang w:eastAsia="zh-CN"/>
              </w:rPr>
              <w:t xml:space="preserve"> </w:t>
            </w:r>
            <w:r w:rsidRPr="00E96E9F">
              <w:rPr>
                <w:lang w:eastAsia="zh-CN"/>
              </w:rPr>
              <w:t>time</w:t>
            </w:r>
            <w:r w:rsidR="00F96B2F" w:rsidRPr="00E96E9F">
              <w:rPr>
                <w:lang w:eastAsia="zh-CN"/>
              </w:rPr>
              <w:t xml:space="preserve"> </w:t>
            </w:r>
            <w:r w:rsidRPr="00E96E9F">
              <w:rPr>
                <w:lang w:eastAsia="zh-CN"/>
              </w:rPr>
              <w:t>on</w:t>
            </w:r>
            <w:r w:rsidR="00F96B2F" w:rsidRPr="00E96E9F">
              <w:rPr>
                <w:lang w:eastAsia="zh-CN"/>
              </w:rPr>
              <w:t xml:space="preserve"> </w:t>
            </w:r>
            <w:r w:rsidRPr="00E96E9F">
              <w:rPr>
                <w:lang w:eastAsia="zh-CN"/>
              </w:rPr>
              <w:t>IGF-1</w:t>
            </w:r>
            <w:r w:rsidR="00F96B2F" w:rsidRPr="00E96E9F">
              <w:rPr>
                <w:lang w:eastAsia="zh-CN"/>
              </w:rPr>
              <w:t xml:space="preserve"> </w:t>
            </w:r>
            <w:r w:rsidRPr="00E96E9F">
              <w:rPr>
                <w:lang w:eastAsia="zh-CN"/>
              </w:rPr>
              <w:t>SDS</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long-acting</w:t>
            </w:r>
            <w:r w:rsidR="00F96B2F" w:rsidRPr="00E96E9F">
              <w:rPr>
                <w:lang w:eastAsia="zh-CN"/>
              </w:rPr>
              <w:t xml:space="preserve"> </w:t>
            </w:r>
            <w:proofErr w:type="spellStart"/>
            <w:r w:rsidRPr="00E96E9F">
              <w:rPr>
                <w:lang w:eastAsia="zh-CN"/>
              </w:rPr>
              <w:t>somatrogon</w:t>
            </w:r>
            <w:proofErr w:type="spellEnd"/>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hormone-HGH-CTP)</w:t>
            </w:r>
            <w:r w:rsidR="00F96B2F" w:rsidRPr="00E96E9F">
              <w:rPr>
                <w:lang w:eastAsia="zh-CN"/>
              </w:rPr>
              <w:t xml:space="preserve"> </w:t>
            </w:r>
            <w:r w:rsidRPr="00E96E9F">
              <w:rPr>
                <w:lang w:eastAsia="zh-CN"/>
              </w:rPr>
              <w:t>therapy.</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590C1055" w14:textId="17526F14" w:rsidR="00811E0E" w:rsidRPr="00E96E9F" w:rsidRDefault="00811E0E" w:rsidP="00057B36">
            <w:pPr>
              <w:pStyle w:val="TableText0"/>
              <w:keepNext w:val="0"/>
              <w:rPr>
                <w:rFonts w:ascii="Segoe UI" w:hAnsi="Segoe UI"/>
                <w:sz w:val="18"/>
                <w:szCs w:val="18"/>
                <w:lang w:eastAsia="zh-CN"/>
              </w:rPr>
            </w:pPr>
            <w:r w:rsidRPr="00E96E9F">
              <w:rPr>
                <w:lang w:eastAsia="zh-CN"/>
              </w:rPr>
              <w:t>Conference:</w:t>
            </w:r>
            <w:r w:rsidR="00F96B2F" w:rsidRPr="00E96E9F">
              <w:rPr>
                <w:lang w:eastAsia="zh-CN"/>
              </w:rPr>
              <w:t xml:space="preserve"> </w:t>
            </w:r>
            <w:r w:rsidRPr="00E96E9F">
              <w:rPr>
                <w:lang w:eastAsia="zh-CN"/>
              </w:rPr>
              <w:t>19th</w:t>
            </w:r>
            <w:r w:rsidR="00F96B2F" w:rsidRPr="00E96E9F">
              <w:rPr>
                <w:lang w:eastAsia="zh-CN"/>
              </w:rPr>
              <w:t xml:space="preserve"> </w:t>
            </w:r>
            <w:r w:rsidRPr="00E96E9F">
              <w:rPr>
                <w:lang w:eastAsia="zh-CN"/>
              </w:rPr>
              <w:t>International</w:t>
            </w:r>
            <w:r w:rsidR="00F96B2F" w:rsidRPr="00E96E9F">
              <w:rPr>
                <w:lang w:eastAsia="zh-CN"/>
              </w:rPr>
              <w:t xml:space="preserve"> </w:t>
            </w:r>
            <w:r w:rsidRPr="00E96E9F">
              <w:rPr>
                <w:lang w:eastAsia="zh-CN"/>
              </w:rPr>
              <w:t>Congress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Endocrinology,</w:t>
            </w:r>
            <w:r w:rsidR="00F96B2F" w:rsidRPr="00E96E9F">
              <w:rPr>
                <w:lang w:eastAsia="zh-CN"/>
              </w:rPr>
              <w:t xml:space="preserve"> </w:t>
            </w:r>
            <w:r w:rsidRPr="00E96E9F">
              <w:rPr>
                <w:lang w:eastAsia="zh-CN"/>
              </w:rPr>
              <w:t>4th</w:t>
            </w:r>
            <w:r w:rsidR="00F96B2F" w:rsidRPr="00E96E9F">
              <w:rPr>
                <w:lang w:eastAsia="zh-CN"/>
              </w:rPr>
              <w:t xml:space="preserve"> </w:t>
            </w:r>
            <w:r w:rsidRPr="00E96E9F">
              <w:rPr>
                <w:lang w:eastAsia="zh-CN"/>
              </w:rPr>
              <w:t>Latin</w:t>
            </w:r>
            <w:r w:rsidR="00F96B2F" w:rsidRPr="00E96E9F">
              <w:rPr>
                <w:lang w:eastAsia="zh-CN"/>
              </w:rPr>
              <w:t xml:space="preserve"> </w:t>
            </w:r>
            <w:r w:rsidRPr="00E96E9F">
              <w:rPr>
                <w:lang w:eastAsia="zh-CN"/>
              </w:rPr>
              <w:t>American</w:t>
            </w:r>
            <w:r w:rsidR="00F96B2F" w:rsidRPr="00E96E9F">
              <w:rPr>
                <w:lang w:eastAsia="zh-CN"/>
              </w:rPr>
              <w:t xml:space="preserve"> </w:t>
            </w:r>
            <w:r w:rsidRPr="00E96E9F">
              <w:rPr>
                <w:lang w:eastAsia="zh-CN"/>
              </w:rPr>
              <w:t>Congress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lastRenderedPageBreak/>
              <w:t>Endocrinology,</w:t>
            </w:r>
            <w:r w:rsidR="00F96B2F" w:rsidRPr="00E96E9F">
              <w:rPr>
                <w:lang w:eastAsia="zh-CN"/>
              </w:rPr>
              <w:t xml:space="preserve"> </w:t>
            </w:r>
            <w:r w:rsidRPr="00E96E9F">
              <w:rPr>
                <w:lang w:eastAsia="zh-CN"/>
              </w:rPr>
              <w:t>CONLAEN</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13th</w:t>
            </w:r>
            <w:r w:rsidR="00F96B2F" w:rsidRPr="00E96E9F">
              <w:rPr>
                <w:lang w:eastAsia="zh-CN"/>
              </w:rPr>
              <w:t xml:space="preserve"> </w:t>
            </w:r>
            <w:r w:rsidRPr="00E96E9F">
              <w:rPr>
                <w:lang w:eastAsia="zh-CN"/>
              </w:rPr>
              <w:t>Congress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proofErr w:type="spellStart"/>
            <w:r w:rsidRPr="00E96E9F">
              <w:rPr>
                <w:lang w:eastAsia="zh-CN"/>
              </w:rPr>
              <w:t>Argrntine</w:t>
            </w:r>
            <w:proofErr w:type="spellEnd"/>
            <w:r w:rsidR="00F96B2F" w:rsidRPr="00E96E9F">
              <w:rPr>
                <w:lang w:eastAsia="zh-CN"/>
              </w:rPr>
              <w:t xml:space="preserve"> </w:t>
            </w:r>
            <w:r w:rsidRPr="00E96E9F">
              <w:rPr>
                <w:lang w:eastAsia="zh-CN"/>
              </w:rPr>
              <w:t>Federation</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Endocrinology</w:t>
            </w:r>
            <w:r w:rsidR="00F96B2F" w:rsidRPr="00E96E9F">
              <w:rPr>
                <w:lang w:eastAsia="zh-CN"/>
              </w:rPr>
              <w:t xml:space="preserve"> </w:t>
            </w:r>
            <w:r w:rsidRPr="00E96E9F">
              <w:rPr>
                <w:lang w:eastAsia="zh-CN"/>
              </w:rPr>
              <w:t>Societies,</w:t>
            </w:r>
            <w:r w:rsidR="00F96B2F" w:rsidRPr="00E96E9F">
              <w:rPr>
                <w:lang w:eastAsia="zh-CN"/>
              </w:rPr>
              <w:t xml:space="preserve"> </w:t>
            </w:r>
            <w:r w:rsidRPr="00E96E9F">
              <w:rPr>
                <w:lang w:eastAsia="zh-CN"/>
              </w:rPr>
              <w:t>FASEN.</w:t>
            </w:r>
            <w:r w:rsidR="00F96B2F" w:rsidRPr="00E96E9F">
              <w:rPr>
                <w:lang w:eastAsia="zh-CN"/>
              </w:rPr>
              <w:t xml:space="preserve"> </w:t>
            </w:r>
            <w:r w:rsidRPr="00E96E9F">
              <w:rPr>
                <w:lang w:eastAsia="zh-CN"/>
              </w:rPr>
              <w:t>Virtual.</w:t>
            </w:r>
            <w:r w:rsidR="00F96B2F" w:rsidRPr="00E96E9F">
              <w:rPr>
                <w:lang w:eastAsia="zh-CN"/>
              </w:rPr>
              <w:t xml:space="preserve"> </w:t>
            </w:r>
            <w:r w:rsidRPr="00E96E9F">
              <w:rPr>
                <w:lang w:eastAsia="zh-CN"/>
              </w:rPr>
              <w:t>58(SUPPL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(pp</w:t>
            </w:r>
            <w:r w:rsidR="00F96B2F" w:rsidRPr="00E96E9F">
              <w:rPr>
                <w:lang w:eastAsia="zh-CN"/>
              </w:rPr>
              <w:t xml:space="preserve"> </w:t>
            </w:r>
            <w:r w:rsidRPr="00E96E9F">
              <w:rPr>
                <w:lang w:eastAsia="zh-CN"/>
              </w:rPr>
              <w:t>246),</w:t>
            </w:r>
            <w:r w:rsidR="00F96B2F" w:rsidRPr="00E96E9F">
              <w:rPr>
                <w:lang w:eastAsia="zh-CN"/>
              </w:rPr>
              <w:t xml:space="preserve"> </w:t>
            </w:r>
            <w:r w:rsidRPr="00E96E9F">
              <w:rPr>
                <w:lang w:eastAsia="zh-CN"/>
              </w:rPr>
              <w:t>2021</w:t>
            </w:r>
            <w:r w:rsidR="00F96B2F" w:rsidRPr="00E96E9F">
              <w:rPr>
                <w:lang w:eastAsia="zh-CN"/>
              </w:rPr>
              <w:t xml:space="preserve"> </w:t>
            </w:r>
          </w:p>
        </w:tc>
      </w:tr>
      <w:tr w:rsidR="00811E0E" w:rsidRPr="00E96E9F" w14:paraId="2196CE39" w14:textId="77777777" w:rsidTr="002D5BA0">
        <w:tc>
          <w:tcPr>
            <w:tcW w:w="729" w:type="pct"/>
            <w:tcBorders>
              <w:top w:val="single" w:sz="6" w:space="0" w:color="auto"/>
              <w:left w:val="single" w:sz="6" w:space="0" w:color="auto"/>
              <w:bottom w:val="nil"/>
              <w:right w:val="single" w:sz="6" w:space="0" w:color="auto"/>
            </w:tcBorders>
            <w:shd w:val="clear" w:color="auto" w:fill="auto"/>
            <w:vAlign w:val="center"/>
            <w:hideMark/>
          </w:tcPr>
          <w:p w14:paraId="02A72B05" w14:textId="4464B41F" w:rsidR="00811E0E" w:rsidRPr="00E96E9F" w:rsidRDefault="00F96B2F" w:rsidP="00057B36">
            <w:pPr>
              <w:pStyle w:val="TableText0"/>
              <w:keepNext w:val="0"/>
              <w:rPr>
                <w:rFonts w:ascii="Segoe UI" w:hAnsi="Segoe UI"/>
                <w:sz w:val="18"/>
                <w:szCs w:val="18"/>
                <w:lang w:eastAsia="zh-CN"/>
              </w:rPr>
            </w:pPr>
            <w:r w:rsidRPr="00E96E9F">
              <w:rPr>
                <w:lang w:eastAsia="zh-CN"/>
              </w:rPr>
              <w:lastRenderedPageBreak/>
              <w:t xml:space="preserve"> </w:t>
            </w:r>
          </w:p>
        </w:tc>
        <w:tc>
          <w:tcPr>
            <w:tcW w:w="2764" w:type="pct"/>
            <w:tcBorders>
              <w:top w:val="single" w:sz="6" w:space="0" w:color="auto"/>
              <w:left w:val="single" w:sz="6" w:space="0" w:color="auto"/>
              <w:bottom w:val="nil"/>
              <w:right w:val="single" w:sz="6" w:space="0" w:color="auto"/>
            </w:tcBorders>
            <w:shd w:val="clear" w:color="auto" w:fill="auto"/>
            <w:vAlign w:val="center"/>
            <w:hideMark/>
          </w:tcPr>
          <w:p w14:paraId="32EF27D2" w14:textId="77777777" w:rsidR="00E5129A" w:rsidRPr="00E96E9F" w:rsidRDefault="00811E0E" w:rsidP="00057B36">
            <w:pPr>
              <w:pStyle w:val="TableText0"/>
              <w:keepNext w:val="0"/>
              <w:rPr>
                <w:lang w:eastAsia="zh-CN"/>
              </w:rPr>
            </w:pPr>
            <w:r w:rsidRPr="00E96E9F">
              <w:rPr>
                <w:lang w:eastAsia="zh-CN"/>
              </w:rPr>
              <w:t>CSR:</w:t>
            </w:r>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dose</w:t>
            </w:r>
            <w:r w:rsidR="00F96B2F" w:rsidRPr="00E96E9F">
              <w:rPr>
                <w:lang w:eastAsia="zh-CN"/>
              </w:rPr>
              <w:t xml:space="preserve"> </w:t>
            </w:r>
            <w:r w:rsidRPr="00E96E9F">
              <w:rPr>
                <w:lang w:eastAsia="zh-CN"/>
              </w:rPr>
              <w:t>finding</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different</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dose</w:t>
            </w:r>
            <w:r w:rsidR="00F96B2F" w:rsidRPr="00E96E9F">
              <w:rPr>
                <w:lang w:eastAsia="zh-CN"/>
              </w:rPr>
              <w:t xml:space="preserve"> </w:t>
            </w:r>
            <w:r w:rsidRPr="00E96E9F">
              <w:rPr>
                <w:lang w:eastAsia="zh-CN"/>
              </w:rPr>
              <w:t>levels</w:t>
            </w:r>
            <w:r w:rsidR="00F96B2F" w:rsidRPr="00E96E9F">
              <w:rPr>
                <w:lang w:eastAsia="zh-CN"/>
              </w:rPr>
              <w:t xml:space="preserve"> </w:t>
            </w:r>
            <w:r w:rsidRPr="00E96E9F">
              <w:rPr>
                <w:lang w:eastAsia="zh-CN"/>
              </w:rPr>
              <w:t>compared</w:t>
            </w:r>
            <w:r w:rsidR="00F96B2F" w:rsidRPr="00E96E9F">
              <w:rPr>
                <w:lang w:eastAsia="zh-CN"/>
              </w:rPr>
              <w:t xml:space="preserve"> </w:t>
            </w:r>
            <w:r w:rsidRPr="00E96E9F">
              <w:rPr>
                <w:lang w:eastAsia="zh-CN"/>
              </w:rPr>
              <w:t>to</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r-</w:t>
            </w:r>
            <w:proofErr w:type="spellStart"/>
            <w:r w:rsidRPr="00E96E9F">
              <w:rPr>
                <w:lang w:eastAsia="zh-CN"/>
              </w:rPr>
              <w:t>hGH</w:t>
            </w:r>
            <w:proofErr w:type="spellEnd"/>
            <w:r w:rsidR="00F96B2F" w:rsidRPr="00E96E9F">
              <w:rPr>
                <w:lang w:eastAsia="zh-CN"/>
              </w:rPr>
              <w:t xml:space="preserve"> </w:t>
            </w:r>
            <w:r w:rsidRPr="00E96E9F">
              <w:rPr>
                <w:lang w:eastAsia="zh-CN"/>
              </w:rPr>
              <w:t>therapy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pre-pubertal</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deficient</w:t>
            </w:r>
            <w:r w:rsidR="00F96B2F" w:rsidRPr="00E96E9F">
              <w:rPr>
                <w:lang w:eastAsia="zh-CN"/>
              </w:rPr>
              <w:t xml:space="preserve"> </w:t>
            </w:r>
            <w:r w:rsidRPr="00E96E9F">
              <w:rPr>
                <w:lang w:eastAsia="zh-CN"/>
              </w:rPr>
              <w:t>children.</w:t>
            </w:r>
          </w:p>
          <w:p w14:paraId="01A828F6" w14:textId="160AAF2E"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1508" w:type="pct"/>
            <w:tcBorders>
              <w:top w:val="single" w:sz="6" w:space="0" w:color="auto"/>
              <w:left w:val="single" w:sz="6" w:space="0" w:color="auto"/>
              <w:bottom w:val="nil"/>
              <w:right w:val="single" w:sz="6" w:space="0" w:color="auto"/>
            </w:tcBorders>
            <w:shd w:val="clear" w:color="auto" w:fill="auto"/>
            <w:vAlign w:val="center"/>
            <w:hideMark/>
          </w:tcPr>
          <w:p w14:paraId="2B381553" w14:textId="14A51FA3" w:rsidR="00811E0E" w:rsidRPr="00E96E9F" w:rsidRDefault="00811E0E" w:rsidP="00057B36">
            <w:pPr>
              <w:pStyle w:val="TableText0"/>
              <w:keepNext w:val="0"/>
              <w:rPr>
                <w:rFonts w:ascii="Segoe UI" w:hAnsi="Segoe UI"/>
                <w:sz w:val="18"/>
                <w:szCs w:val="18"/>
                <w:lang w:eastAsia="zh-CN"/>
              </w:rPr>
            </w:pPr>
            <w:r w:rsidRPr="00E96E9F">
              <w:rPr>
                <w:lang w:eastAsia="zh-CN"/>
              </w:rPr>
              <w:t>15</w:t>
            </w:r>
            <w:r w:rsidR="00F96B2F" w:rsidRPr="00E96E9F">
              <w:rPr>
                <w:lang w:eastAsia="zh-CN"/>
              </w:rPr>
              <w:t xml:space="preserve"> </w:t>
            </w:r>
            <w:r w:rsidRPr="00E96E9F">
              <w:rPr>
                <w:lang w:eastAsia="zh-CN"/>
              </w:rPr>
              <w:t>May</w:t>
            </w:r>
            <w:r w:rsidR="00F96B2F" w:rsidRPr="00E96E9F">
              <w:rPr>
                <w:lang w:eastAsia="zh-CN"/>
              </w:rPr>
              <w:t xml:space="preserve"> </w:t>
            </w:r>
            <w:r w:rsidRPr="00E96E9F">
              <w:rPr>
                <w:lang w:eastAsia="zh-CN"/>
              </w:rPr>
              <w:t>2017</w:t>
            </w:r>
            <w:r w:rsidR="00F96B2F" w:rsidRPr="00E96E9F">
              <w:rPr>
                <w:lang w:eastAsia="zh-CN"/>
              </w:rPr>
              <w:t xml:space="preserve"> </w:t>
            </w:r>
          </w:p>
        </w:tc>
      </w:tr>
      <w:tr w:rsidR="00811E0E" w:rsidRPr="00E96E9F" w14:paraId="6156E839"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3172211C" w14:textId="39342BBD" w:rsidR="00811E0E" w:rsidRPr="00E96E9F" w:rsidRDefault="00811E0E" w:rsidP="00057B36">
            <w:pPr>
              <w:pStyle w:val="TableText0"/>
              <w:keepNext w:val="0"/>
              <w:rPr>
                <w:rFonts w:ascii="Segoe UI" w:hAnsi="Segoe UI"/>
                <w:sz w:val="18"/>
                <w:szCs w:val="18"/>
                <w:lang w:eastAsia="zh-CN"/>
              </w:rPr>
            </w:pPr>
            <w:r w:rsidRPr="00E96E9F">
              <w:rPr>
                <w:lang w:eastAsia="zh-CN"/>
              </w:rPr>
              <w:t>4004</w:t>
            </w:r>
            <w:r w:rsidR="00F96B2F"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3061C0C8" w14:textId="77777777" w:rsidR="00E5129A" w:rsidRPr="00E96E9F" w:rsidRDefault="00811E0E" w:rsidP="00057B36">
            <w:pPr>
              <w:pStyle w:val="TableText0"/>
              <w:keepNext w:val="0"/>
              <w:rPr>
                <w:lang w:eastAsia="zh-CN"/>
              </w:rPr>
            </w:pPr>
            <w:proofErr w:type="spellStart"/>
            <w:r w:rsidRPr="00E96E9F">
              <w:rPr>
                <w:lang w:eastAsia="zh-CN"/>
              </w:rPr>
              <w:t>Zelinska</w:t>
            </w:r>
            <w:proofErr w:type="spellEnd"/>
            <w:r w:rsidR="00F96B2F" w:rsidRPr="00E96E9F">
              <w:rPr>
                <w:lang w:eastAsia="zh-CN"/>
              </w:rPr>
              <w:t xml:space="preserve"> </w:t>
            </w:r>
            <w:r w:rsidRPr="00E96E9F">
              <w:rPr>
                <w:lang w:eastAsia="zh-CN"/>
              </w:rPr>
              <w:t>N</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Long-Acting</w:t>
            </w:r>
            <w:r w:rsidR="00F96B2F" w:rsidRPr="00E96E9F">
              <w:rPr>
                <w:lang w:eastAsia="zh-CN"/>
              </w:rPr>
              <w:t xml:space="preserve"> </w:t>
            </w:r>
            <w:r w:rsidRPr="00E96E9F">
              <w:rPr>
                <w:lang w:eastAsia="zh-CN"/>
              </w:rPr>
              <w:t>C-Terminal</w:t>
            </w:r>
            <w:r w:rsidR="00F96B2F" w:rsidRPr="00E96E9F">
              <w:rPr>
                <w:lang w:eastAsia="zh-CN"/>
              </w:rPr>
              <w:t xml:space="preserve"> </w:t>
            </w:r>
            <w:r w:rsidRPr="00E96E9F">
              <w:rPr>
                <w:lang w:eastAsia="zh-CN"/>
              </w:rPr>
              <w:t>Peptide-Modified</w:t>
            </w:r>
            <w:r w:rsidR="00F96B2F" w:rsidRPr="00E96E9F">
              <w:rPr>
                <w:lang w:eastAsia="zh-CN"/>
              </w:rPr>
              <w:t xml:space="preserve"> </w:t>
            </w:r>
            <w:proofErr w:type="spellStart"/>
            <w:r w:rsidRPr="00E96E9F">
              <w:rPr>
                <w:lang w:eastAsia="zh-CN"/>
              </w:rPr>
              <w:t>hGH</w:t>
            </w:r>
            <w:proofErr w:type="spellEnd"/>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Dose-Finding</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GHD</w:t>
            </w:r>
            <w:r w:rsidR="00F96B2F" w:rsidRPr="00E96E9F">
              <w:rPr>
                <w:lang w:eastAsia="zh-CN"/>
              </w:rPr>
              <w:t xml:space="preserve"> </w:t>
            </w:r>
            <w:r w:rsidRPr="00E96E9F">
              <w:rPr>
                <w:lang w:eastAsia="zh-CN"/>
              </w:rPr>
              <w:t>Children</w:t>
            </w:r>
          </w:p>
          <w:p w14:paraId="29D072EB" w14:textId="1BD75EEF"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3CD56380" w14:textId="0B281DDE" w:rsidR="00811E0E" w:rsidRPr="00E96E9F" w:rsidRDefault="00811E0E" w:rsidP="00057B36">
            <w:pPr>
              <w:pStyle w:val="TableText0"/>
              <w:keepNext w:val="0"/>
              <w:rPr>
                <w:rFonts w:ascii="Segoe UI" w:hAnsi="Segoe UI"/>
                <w:sz w:val="18"/>
                <w:szCs w:val="18"/>
                <w:lang w:eastAsia="zh-CN"/>
              </w:rPr>
            </w:pPr>
            <w:r w:rsidRPr="00E96E9F">
              <w:rPr>
                <w:lang w:eastAsia="zh-CN"/>
              </w:rPr>
              <w:t>J</w:t>
            </w:r>
            <w:r w:rsidR="00F96B2F" w:rsidRPr="00E96E9F">
              <w:rPr>
                <w:lang w:eastAsia="zh-CN"/>
              </w:rPr>
              <w:t xml:space="preserve"> </w:t>
            </w:r>
            <w:r w:rsidRPr="00E96E9F">
              <w:rPr>
                <w:lang w:eastAsia="zh-CN"/>
              </w:rPr>
              <w:t>Clin</w:t>
            </w:r>
            <w:r w:rsidR="00F96B2F" w:rsidRPr="00E96E9F">
              <w:rPr>
                <w:lang w:eastAsia="zh-CN"/>
              </w:rPr>
              <w:t xml:space="preserve"> </w:t>
            </w:r>
            <w:r w:rsidRPr="00E96E9F">
              <w:rPr>
                <w:lang w:eastAsia="zh-CN"/>
              </w:rPr>
              <w:t>Endocrinol</w:t>
            </w:r>
            <w:r w:rsidR="00F96B2F" w:rsidRPr="00E96E9F">
              <w:rPr>
                <w:lang w:eastAsia="zh-CN"/>
              </w:rPr>
              <w:t xml:space="preserve"> </w:t>
            </w:r>
            <w:proofErr w:type="spellStart"/>
            <w:r w:rsidRPr="00E96E9F">
              <w:rPr>
                <w:lang w:eastAsia="zh-CN"/>
              </w:rPr>
              <w:t>Metab</w:t>
            </w:r>
            <w:proofErr w:type="spellEnd"/>
            <w:r w:rsidRPr="00E96E9F">
              <w:rPr>
                <w:lang w:eastAsia="zh-CN"/>
              </w:rPr>
              <w:t>.</w:t>
            </w:r>
            <w:r w:rsidR="00F96B2F" w:rsidRPr="00E96E9F">
              <w:rPr>
                <w:lang w:eastAsia="zh-CN"/>
              </w:rPr>
              <w:t xml:space="preserve"> </w:t>
            </w:r>
            <w:r w:rsidRPr="00E96E9F">
              <w:rPr>
                <w:lang w:eastAsia="zh-CN"/>
              </w:rPr>
              <w:t>102(5):1578-1587,</w:t>
            </w:r>
            <w:r w:rsidR="00F96B2F" w:rsidRPr="00E96E9F">
              <w:rPr>
                <w:lang w:eastAsia="zh-CN"/>
              </w:rPr>
              <w:t xml:space="preserve"> </w:t>
            </w:r>
            <w:r w:rsidRPr="00E96E9F">
              <w:rPr>
                <w:lang w:eastAsia="zh-CN"/>
              </w:rPr>
              <w:t>2017</w:t>
            </w:r>
            <w:r w:rsidR="00F96B2F" w:rsidRPr="00E96E9F">
              <w:rPr>
                <w:lang w:eastAsia="zh-CN"/>
              </w:rPr>
              <w:t xml:space="preserve"> </w:t>
            </w:r>
            <w:r w:rsidRPr="00E96E9F">
              <w:rPr>
                <w:lang w:eastAsia="zh-CN"/>
              </w:rPr>
              <w:t>05</w:t>
            </w:r>
            <w:r w:rsidR="00F96B2F" w:rsidRPr="00E96E9F">
              <w:rPr>
                <w:lang w:eastAsia="zh-CN"/>
              </w:rPr>
              <w:t xml:space="preserve"> </w:t>
            </w:r>
            <w:r w:rsidRPr="00E96E9F">
              <w:rPr>
                <w:lang w:eastAsia="zh-CN"/>
              </w:rPr>
              <w:t>01.</w:t>
            </w:r>
            <w:r w:rsidR="00F96B2F" w:rsidRPr="00E96E9F">
              <w:rPr>
                <w:lang w:eastAsia="zh-CN"/>
              </w:rPr>
              <w:t xml:space="preserve"> </w:t>
            </w:r>
          </w:p>
        </w:tc>
      </w:tr>
      <w:tr w:rsidR="00811E0E" w:rsidRPr="00E96E9F" w14:paraId="1C49647E"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5E17B636" w14:textId="4E90F069"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4EB617D9" w14:textId="47CA8942" w:rsidR="00811E0E" w:rsidRPr="00E96E9F" w:rsidRDefault="00811E0E" w:rsidP="00057B36">
            <w:pPr>
              <w:pStyle w:val="TableText0"/>
              <w:keepNext w:val="0"/>
              <w:rPr>
                <w:rFonts w:ascii="Segoe UI" w:hAnsi="Segoe UI"/>
                <w:sz w:val="18"/>
                <w:szCs w:val="18"/>
                <w:lang w:eastAsia="zh-CN"/>
              </w:rPr>
            </w:pPr>
            <w:proofErr w:type="spellStart"/>
            <w:r w:rsidRPr="00E96E9F">
              <w:rPr>
                <w:lang w:eastAsia="zh-CN"/>
              </w:rPr>
              <w:t>Zelinska</w:t>
            </w:r>
            <w:proofErr w:type="spellEnd"/>
            <w:r w:rsidR="00F96B2F" w:rsidRPr="00E96E9F">
              <w:rPr>
                <w:lang w:eastAsia="zh-CN"/>
              </w:rPr>
              <w:t xml:space="preserve"> </w:t>
            </w:r>
            <w:r w:rsidRPr="00E96E9F">
              <w:rPr>
                <w:lang w:eastAsia="zh-CN"/>
              </w:rPr>
              <w:t>N</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Efficacy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once-weekly</w:t>
            </w:r>
            <w:r w:rsidR="00F96B2F" w:rsidRPr="00E96E9F">
              <w:rPr>
                <w:lang w:eastAsia="zh-CN"/>
              </w:rPr>
              <w:t xml:space="preserve"> </w:t>
            </w:r>
            <w:r w:rsidRPr="00E96E9F">
              <w:rPr>
                <w:lang w:eastAsia="zh-CN"/>
              </w:rPr>
              <w:t>administration</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CTP-modified</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24-month</w:t>
            </w:r>
            <w:r w:rsidR="00F96B2F" w:rsidRPr="00E96E9F">
              <w:rPr>
                <w:lang w:eastAsia="zh-CN"/>
              </w:rPr>
              <w:t xml:space="preserve"> </w:t>
            </w:r>
            <w:r w:rsidRPr="00E96E9F">
              <w:rPr>
                <w:lang w:eastAsia="zh-CN"/>
              </w:rPr>
              <w:t>complete</w:t>
            </w:r>
            <w:r w:rsidR="00F96B2F" w:rsidRPr="00E96E9F">
              <w:rPr>
                <w:lang w:eastAsia="zh-CN"/>
              </w:rPr>
              <w:t xml:space="preserve"> </w:t>
            </w:r>
            <w:r w:rsidRPr="00E96E9F">
              <w:rPr>
                <w:lang w:eastAsia="zh-CN"/>
              </w:rPr>
              <w:t>database</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3ABDBEB1" w14:textId="0BEF0AA6" w:rsidR="00811E0E" w:rsidRPr="00E96E9F" w:rsidRDefault="00811E0E" w:rsidP="00057B36">
            <w:pPr>
              <w:pStyle w:val="TableText0"/>
              <w:keepNext w:val="0"/>
              <w:rPr>
                <w:rFonts w:ascii="Segoe UI" w:hAnsi="Segoe UI"/>
                <w:sz w:val="18"/>
                <w:szCs w:val="18"/>
                <w:lang w:eastAsia="zh-CN"/>
              </w:rPr>
            </w:pPr>
            <w:r w:rsidRPr="00E96E9F">
              <w:rPr>
                <w:lang w:eastAsia="zh-CN"/>
              </w:rPr>
              <w:t>Conference:</w:t>
            </w:r>
            <w:r w:rsidR="00F96B2F" w:rsidRPr="00E96E9F">
              <w:rPr>
                <w:lang w:eastAsia="zh-CN"/>
              </w:rPr>
              <w:t xml:space="preserve"> </w:t>
            </w:r>
            <w:r w:rsidRPr="00E96E9F">
              <w:rPr>
                <w:lang w:eastAsia="zh-CN"/>
              </w:rPr>
              <w:t>55th</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European</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for</w:t>
            </w:r>
            <w:r w:rsidR="00F96B2F" w:rsidRPr="00E96E9F">
              <w:rPr>
                <w:lang w:eastAsia="zh-CN"/>
              </w:rPr>
              <w:t xml:space="preserve"> </w:t>
            </w:r>
            <w:r w:rsidRPr="00E96E9F">
              <w:rPr>
                <w:lang w:eastAsia="zh-CN"/>
              </w:rPr>
              <w:t>Paediatric</w:t>
            </w:r>
            <w:r w:rsidR="00F96B2F" w:rsidRPr="00E96E9F">
              <w:rPr>
                <w:lang w:eastAsia="zh-CN"/>
              </w:rPr>
              <w:t xml:space="preserve"> </w:t>
            </w:r>
            <w:r w:rsidRPr="00E96E9F">
              <w:rPr>
                <w:lang w:eastAsia="zh-CN"/>
              </w:rPr>
              <w:t>Endocrinology,</w:t>
            </w:r>
            <w:r w:rsidR="00F96B2F" w:rsidRPr="00E96E9F">
              <w:rPr>
                <w:lang w:eastAsia="zh-CN"/>
              </w:rPr>
              <w:t xml:space="preserve"> </w:t>
            </w:r>
            <w:r w:rsidRPr="00E96E9F">
              <w:rPr>
                <w:lang w:eastAsia="zh-CN"/>
              </w:rPr>
              <w:t>ESPE</w:t>
            </w:r>
            <w:r w:rsidR="00F96B2F" w:rsidRPr="00E96E9F">
              <w:rPr>
                <w:lang w:eastAsia="zh-CN"/>
              </w:rPr>
              <w:t xml:space="preserve"> </w:t>
            </w:r>
            <w:r w:rsidRPr="00E96E9F">
              <w:rPr>
                <w:lang w:eastAsia="zh-CN"/>
              </w:rPr>
              <w:t>2016.</w:t>
            </w:r>
            <w:r w:rsidR="00F96B2F" w:rsidRPr="00E96E9F">
              <w:rPr>
                <w:lang w:eastAsia="zh-CN"/>
              </w:rPr>
              <w:t xml:space="preserve"> </w:t>
            </w:r>
            <w:r w:rsidRPr="00E96E9F">
              <w:rPr>
                <w:lang w:eastAsia="zh-CN"/>
              </w:rPr>
              <w:t>86(Suppl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(pp</w:t>
            </w:r>
            <w:r w:rsidR="00F96B2F" w:rsidRPr="00E96E9F">
              <w:rPr>
                <w:lang w:eastAsia="zh-CN"/>
              </w:rPr>
              <w:t xml:space="preserve"> </w:t>
            </w:r>
            <w:r w:rsidRPr="00E96E9F">
              <w:rPr>
                <w:lang w:eastAsia="zh-CN"/>
              </w:rPr>
              <w:t>97-98),</w:t>
            </w:r>
            <w:r w:rsidR="00F96B2F" w:rsidRPr="00E96E9F">
              <w:rPr>
                <w:lang w:eastAsia="zh-CN"/>
              </w:rPr>
              <w:t xml:space="preserve"> </w:t>
            </w:r>
            <w:r w:rsidRPr="00E96E9F">
              <w:rPr>
                <w:lang w:eastAsia="zh-CN"/>
              </w:rPr>
              <w:t>2016a</w:t>
            </w:r>
            <w:r w:rsidR="00F96B2F" w:rsidRPr="00E96E9F">
              <w:rPr>
                <w:lang w:eastAsia="zh-CN"/>
              </w:rPr>
              <w:t xml:space="preserve"> </w:t>
            </w:r>
          </w:p>
        </w:tc>
      </w:tr>
      <w:tr w:rsidR="00811E0E" w:rsidRPr="00E96E9F" w14:paraId="3EE6BE5D"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46A10798" w14:textId="593E5C24"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312D76D9" w14:textId="77777777" w:rsidR="00E5129A" w:rsidRPr="00E96E9F" w:rsidRDefault="00E5129A" w:rsidP="00057B36">
            <w:pPr>
              <w:pStyle w:val="TableText0"/>
              <w:keepNext w:val="0"/>
              <w:rPr>
                <w:lang w:eastAsia="zh-CN"/>
              </w:rPr>
            </w:pPr>
          </w:p>
          <w:p w14:paraId="528575D7" w14:textId="20A02194" w:rsidR="00811E0E" w:rsidRPr="00E96E9F" w:rsidRDefault="00811E0E" w:rsidP="00057B36">
            <w:pPr>
              <w:pStyle w:val="TableText0"/>
              <w:keepNext w:val="0"/>
              <w:rPr>
                <w:rFonts w:ascii="Segoe UI" w:hAnsi="Segoe UI"/>
                <w:sz w:val="18"/>
                <w:szCs w:val="18"/>
                <w:lang w:eastAsia="zh-CN"/>
              </w:rPr>
            </w:pPr>
            <w:proofErr w:type="spellStart"/>
            <w:r w:rsidRPr="00E96E9F">
              <w:rPr>
                <w:lang w:eastAsia="zh-CN"/>
              </w:rPr>
              <w:t>Zelinska</w:t>
            </w:r>
            <w:proofErr w:type="spellEnd"/>
            <w:r w:rsidR="00F96B2F" w:rsidRPr="00E96E9F">
              <w:rPr>
                <w:lang w:eastAsia="zh-CN"/>
              </w:rPr>
              <w:t xml:space="preserve"> </w:t>
            </w:r>
            <w:r w:rsidRPr="00E96E9F">
              <w:rPr>
                <w:lang w:eastAsia="zh-CN"/>
              </w:rPr>
              <w:t>N</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tolerability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once-weekly</w:t>
            </w:r>
            <w:r w:rsidR="00F96B2F" w:rsidRPr="00E96E9F">
              <w:rPr>
                <w:lang w:eastAsia="zh-CN"/>
              </w:rPr>
              <w:t xml:space="preserve"> </w:t>
            </w:r>
            <w:r w:rsidRPr="00E96E9F">
              <w:rPr>
                <w:lang w:eastAsia="zh-CN"/>
              </w:rPr>
              <w:t>administration</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CTP-modified</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38353388" w14:textId="77777777" w:rsidR="00E5129A" w:rsidRPr="00E96E9F" w:rsidRDefault="00E5129A" w:rsidP="00057B36">
            <w:pPr>
              <w:pStyle w:val="TableText0"/>
              <w:keepNext w:val="0"/>
              <w:rPr>
                <w:lang w:eastAsia="zh-CN"/>
              </w:rPr>
            </w:pPr>
          </w:p>
          <w:p w14:paraId="4C003464" w14:textId="3ABAA3C1" w:rsidR="00811E0E" w:rsidRPr="00E96E9F" w:rsidRDefault="00811E0E" w:rsidP="00057B36">
            <w:pPr>
              <w:pStyle w:val="TableText0"/>
              <w:keepNext w:val="0"/>
              <w:rPr>
                <w:rFonts w:ascii="Segoe UI" w:hAnsi="Segoe UI"/>
                <w:sz w:val="18"/>
                <w:szCs w:val="18"/>
                <w:lang w:eastAsia="zh-CN"/>
              </w:rPr>
            </w:pPr>
            <w:r w:rsidRPr="00E96E9F">
              <w:rPr>
                <w:lang w:eastAsia="zh-CN"/>
              </w:rPr>
              <w:t>Conference:</w:t>
            </w:r>
            <w:r w:rsidR="00F96B2F" w:rsidRPr="00E96E9F">
              <w:rPr>
                <w:lang w:eastAsia="zh-CN"/>
              </w:rPr>
              <w:t xml:space="preserve"> </w:t>
            </w:r>
            <w:r w:rsidRPr="00E96E9F">
              <w:rPr>
                <w:lang w:eastAsia="zh-CN"/>
              </w:rPr>
              <w:t>98th</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Expo</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Endocrine</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ENDO</w:t>
            </w:r>
            <w:r w:rsidR="00F96B2F" w:rsidRPr="00E96E9F">
              <w:rPr>
                <w:lang w:eastAsia="zh-CN"/>
              </w:rPr>
              <w:t xml:space="preserve"> </w:t>
            </w:r>
            <w:r w:rsidRPr="00E96E9F">
              <w:rPr>
                <w:lang w:eastAsia="zh-CN"/>
              </w:rPr>
              <w:t>2016.</w:t>
            </w:r>
            <w:r w:rsidR="00F96B2F" w:rsidRPr="00E96E9F">
              <w:rPr>
                <w:lang w:eastAsia="zh-CN"/>
              </w:rPr>
              <w:t xml:space="preserve"> </w:t>
            </w:r>
            <w:r w:rsidRPr="00E96E9F">
              <w:rPr>
                <w:lang w:eastAsia="zh-CN"/>
              </w:rPr>
              <w:t>37(2</w:t>
            </w:r>
            <w:r w:rsidR="00F96B2F" w:rsidRPr="00E96E9F">
              <w:rPr>
                <w:lang w:eastAsia="zh-CN"/>
              </w:rPr>
              <w:t xml:space="preserve"> </w:t>
            </w:r>
            <w:r w:rsidRPr="00E96E9F">
              <w:rPr>
                <w:lang w:eastAsia="zh-CN"/>
              </w:rPr>
              <w:t>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2016b.</w:t>
            </w:r>
            <w:r w:rsidR="00F96B2F" w:rsidRPr="00E96E9F">
              <w:rPr>
                <w:lang w:eastAsia="zh-CN"/>
              </w:rPr>
              <w:t xml:space="preserve"> </w:t>
            </w:r>
          </w:p>
        </w:tc>
      </w:tr>
      <w:tr w:rsidR="00811E0E" w:rsidRPr="00E96E9F" w14:paraId="307F3D7B"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3521CE0D" w14:textId="2E830513"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6C06B3EE" w14:textId="77777777" w:rsidR="00E5129A" w:rsidRPr="00E96E9F" w:rsidRDefault="00E5129A" w:rsidP="00057B36">
            <w:pPr>
              <w:pStyle w:val="TableText0"/>
              <w:keepNext w:val="0"/>
              <w:rPr>
                <w:lang w:eastAsia="zh-CN"/>
              </w:rPr>
            </w:pPr>
          </w:p>
          <w:p w14:paraId="004301CD" w14:textId="4257A103" w:rsidR="00811E0E" w:rsidRPr="00E96E9F" w:rsidRDefault="00811E0E" w:rsidP="00057B36">
            <w:pPr>
              <w:pStyle w:val="TableText0"/>
              <w:keepNext w:val="0"/>
              <w:rPr>
                <w:rFonts w:ascii="Segoe UI" w:hAnsi="Segoe UI"/>
                <w:sz w:val="18"/>
                <w:szCs w:val="18"/>
                <w:lang w:eastAsia="zh-CN"/>
              </w:rPr>
            </w:pPr>
            <w:proofErr w:type="spellStart"/>
            <w:r w:rsidRPr="00E96E9F">
              <w:rPr>
                <w:lang w:eastAsia="zh-CN"/>
              </w:rPr>
              <w:t>Zelinska</w:t>
            </w:r>
            <w:proofErr w:type="spellEnd"/>
            <w:r w:rsidR="00F96B2F" w:rsidRPr="00E96E9F">
              <w:rPr>
                <w:lang w:eastAsia="zh-CN"/>
              </w:rPr>
              <w:t xml:space="preserve"> </w:t>
            </w:r>
            <w:r w:rsidRPr="00E96E9F">
              <w:rPr>
                <w:lang w:eastAsia="zh-CN"/>
              </w:rPr>
              <w:t>N</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2nd</w:t>
            </w:r>
            <w:r w:rsidR="00F96B2F" w:rsidRPr="00E96E9F">
              <w:rPr>
                <w:lang w:eastAsia="zh-CN"/>
              </w:rPr>
              <w:t xml:space="preserve"> </w:t>
            </w:r>
            <w:r w:rsidRPr="00E96E9F">
              <w:rPr>
                <w:lang w:eastAsia="zh-CN"/>
              </w:rPr>
              <w:t>year</w:t>
            </w:r>
            <w:r w:rsidR="00F96B2F" w:rsidRPr="00E96E9F">
              <w:rPr>
                <w:lang w:eastAsia="zh-CN"/>
              </w:rPr>
              <w:t xml:space="preserve"> </w:t>
            </w:r>
            <w:r w:rsidRPr="00E96E9F">
              <w:rPr>
                <w:lang w:eastAsia="zh-CN"/>
              </w:rPr>
              <w:t>efficacy</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once-weekly</w:t>
            </w:r>
            <w:r w:rsidR="00F96B2F" w:rsidRPr="00E96E9F">
              <w:rPr>
                <w:lang w:eastAsia="zh-CN"/>
              </w:rPr>
              <w:t xml:space="preserve"> </w:t>
            </w:r>
            <w:r w:rsidRPr="00E96E9F">
              <w:rPr>
                <w:lang w:eastAsia="zh-CN"/>
              </w:rPr>
              <w:t>administration</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CTP-modified</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5831B542" w14:textId="77777777" w:rsidR="00E5129A" w:rsidRPr="00E96E9F" w:rsidRDefault="00E5129A" w:rsidP="00057B36">
            <w:pPr>
              <w:pStyle w:val="TableText0"/>
              <w:keepNext w:val="0"/>
              <w:rPr>
                <w:lang w:eastAsia="zh-CN"/>
              </w:rPr>
            </w:pPr>
          </w:p>
          <w:p w14:paraId="54468593" w14:textId="7B07AC1A" w:rsidR="00811E0E" w:rsidRPr="00E96E9F" w:rsidRDefault="00811E0E" w:rsidP="00057B36">
            <w:pPr>
              <w:pStyle w:val="TableText0"/>
              <w:keepNext w:val="0"/>
              <w:rPr>
                <w:rFonts w:ascii="Segoe UI" w:hAnsi="Segoe UI"/>
                <w:sz w:val="18"/>
                <w:szCs w:val="18"/>
                <w:lang w:eastAsia="zh-CN"/>
              </w:rPr>
            </w:pPr>
            <w:r w:rsidRPr="00E96E9F">
              <w:rPr>
                <w:lang w:eastAsia="zh-CN"/>
              </w:rPr>
              <w:t>Conference:</w:t>
            </w:r>
            <w:r w:rsidR="00F96B2F" w:rsidRPr="00E96E9F">
              <w:rPr>
                <w:lang w:eastAsia="zh-CN"/>
              </w:rPr>
              <w:t xml:space="preserve"> </w:t>
            </w:r>
            <w:r w:rsidRPr="00E96E9F">
              <w:rPr>
                <w:lang w:eastAsia="zh-CN"/>
              </w:rPr>
              <w:t>98th</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Expo</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Endocrine</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ENDO</w:t>
            </w:r>
            <w:r w:rsidR="00F96B2F" w:rsidRPr="00E96E9F">
              <w:rPr>
                <w:lang w:eastAsia="zh-CN"/>
              </w:rPr>
              <w:t xml:space="preserve"> </w:t>
            </w:r>
            <w:r w:rsidRPr="00E96E9F">
              <w:rPr>
                <w:lang w:eastAsia="zh-CN"/>
              </w:rPr>
              <w:t>2016.</w:t>
            </w:r>
            <w:r w:rsidR="00F96B2F" w:rsidRPr="00E96E9F">
              <w:rPr>
                <w:lang w:eastAsia="zh-CN"/>
              </w:rPr>
              <w:t xml:space="preserve"> </w:t>
            </w:r>
            <w:r w:rsidRPr="00E96E9F">
              <w:rPr>
                <w:lang w:eastAsia="zh-CN"/>
              </w:rPr>
              <w:t>37(2</w:t>
            </w:r>
            <w:r w:rsidR="00F96B2F" w:rsidRPr="00E96E9F">
              <w:rPr>
                <w:lang w:eastAsia="zh-CN"/>
              </w:rPr>
              <w:t xml:space="preserve"> </w:t>
            </w:r>
            <w:r w:rsidRPr="00E96E9F">
              <w:rPr>
                <w:lang w:eastAsia="zh-CN"/>
              </w:rPr>
              <w:t>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2016c.</w:t>
            </w:r>
            <w:r w:rsidR="00F96B2F" w:rsidRPr="00E96E9F">
              <w:rPr>
                <w:lang w:eastAsia="zh-CN"/>
              </w:rPr>
              <w:t xml:space="preserve"> </w:t>
            </w:r>
          </w:p>
        </w:tc>
      </w:tr>
      <w:tr w:rsidR="00811E0E" w:rsidRPr="00E96E9F" w14:paraId="7C12345E"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1C6672CD" w14:textId="075A854D"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0603924D" w14:textId="77777777" w:rsidR="00E5129A" w:rsidRPr="00E96E9F" w:rsidRDefault="00E5129A" w:rsidP="00057B36">
            <w:pPr>
              <w:pStyle w:val="TableText0"/>
              <w:keepNext w:val="0"/>
              <w:rPr>
                <w:lang w:eastAsia="zh-CN"/>
              </w:rPr>
            </w:pPr>
          </w:p>
          <w:p w14:paraId="67BAA539" w14:textId="08E98614" w:rsidR="00811E0E" w:rsidRPr="00E96E9F" w:rsidRDefault="00811E0E" w:rsidP="00057B36">
            <w:pPr>
              <w:pStyle w:val="TableText0"/>
              <w:keepNext w:val="0"/>
              <w:rPr>
                <w:rFonts w:ascii="Segoe UI" w:hAnsi="Segoe UI"/>
                <w:sz w:val="18"/>
                <w:szCs w:val="18"/>
                <w:lang w:eastAsia="zh-CN"/>
              </w:rPr>
            </w:pPr>
            <w:r w:rsidRPr="00E96E9F">
              <w:rPr>
                <w:lang w:eastAsia="zh-CN"/>
              </w:rPr>
              <w:t>Zadik</w:t>
            </w:r>
            <w:r w:rsidR="00F96B2F" w:rsidRPr="00E96E9F">
              <w:rPr>
                <w:lang w:eastAsia="zh-CN"/>
              </w:rPr>
              <w:t xml:space="preserve"> </w:t>
            </w:r>
            <w:r w:rsidRPr="00E96E9F">
              <w:rPr>
                <w:lang w:eastAsia="zh-CN"/>
              </w:rPr>
              <w:t>Z</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E5129A" w:rsidRPr="00E96E9F">
              <w:rPr>
                <w:lang w:eastAsia="zh-CN"/>
              </w:rPr>
              <w:t xml:space="preserve"> </w:t>
            </w:r>
            <w:r w:rsidRPr="00E96E9F">
              <w:rPr>
                <w:lang w:eastAsia="zh-CN"/>
              </w:rPr>
              <w:t>Top</w:t>
            </w:r>
            <w:r w:rsidR="00F96B2F" w:rsidRPr="00E96E9F">
              <w:rPr>
                <w:lang w:eastAsia="zh-CN"/>
              </w:rPr>
              <w:t xml:space="preserve"> </w:t>
            </w:r>
            <w:r w:rsidRPr="00E96E9F">
              <w:rPr>
                <w:lang w:eastAsia="zh-CN"/>
              </w:rPr>
              <w:t>line</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12</w:t>
            </w:r>
            <w:r w:rsidR="00F96B2F" w:rsidRPr="00E96E9F">
              <w:rPr>
                <w:lang w:eastAsia="zh-CN"/>
              </w:rPr>
              <w:t xml:space="preserve"> </w:t>
            </w:r>
            <w:r w:rsidRPr="00E96E9F">
              <w:rPr>
                <w:lang w:eastAsia="zh-CN"/>
              </w:rPr>
              <w:t>months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once-weekly</w:t>
            </w:r>
            <w:r w:rsidR="00F96B2F" w:rsidRPr="00E96E9F">
              <w:rPr>
                <w:lang w:eastAsia="zh-CN"/>
              </w:rPr>
              <w:t xml:space="preserve"> </w:t>
            </w:r>
            <w:r w:rsidRPr="00E96E9F">
              <w:rPr>
                <w:lang w:eastAsia="zh-CN"/>
              </w:rPr>
              <w:t>administration</w:t>
            </w:r>
            <w:r w:rsidR="00F96B2F" w:rsidRPr="00E96E9F">
              <w:rPr>
                <w:lang w:eastAsia="zh-CN"/>
              </w:rPr>
              <w:t xml:space="preserve"> </w:t>
            </w:r>
            <w:r w:rsidRPr="00E96E9F">
              <w:rPr>
                <w:lang w:eastAsia="zh-CN"/>
              </w:rPr>
              <w:t>of</w:t>
            </w:r>
            <w:r w:rsidR="00F96B2F" w:rsidRPr="00E96E9F">
              <w:rPr>
                <w:lang w:eastAsia="zh-CN"/>
              </w:rPr>
              <w:t xml:space="preserve"> </w:t>
            </w:r>
            <w:proofErr w:type="spellStart"/>
            <w:r w:rsidRPr="00E96E9F">
              <w:rPr>
                <w:lang w:eastAsia="zh-CN"/>
              </w:rPr>
              <w:t>ctp</w:t>
            </w:r>
            <w:proofErr w:type="spellEnd"/>
            <w:r w:rsidRPr="00E96E9F">
              <w:rPr>
                <w:lang w:eastAsia="zh-CN"/>
              </w:rPr>
              <w:t>-modified</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dose</w:t>
            </w:r>
            <w:r w:rsidR="00F96B2F" w:rsidRPr="00E96E9F">
              <w:rPr>
                <w:lang w:eastAsia="zh-CN"/>
              </w:rPr>
              <w:t xml:space="preserve"> </w:t>
            </w:r>
            <w:r w:rsidRPr="00E96E9F">
              <w:rPr>
                <w:lang w:eastAsia="zh-CN"/>
              </w:rPr>
              <w:t>finding</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r w:rsidRPr="00E96E9F">
              <w:rPr>
                <w:lang w:eastAsia="zh-CN"/>
              </w:rPr>
              <w:t>(GHD).</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7E6176A9" w14:textId="7BF188F3" w:rsidR="00811E0E" w:rsidRPr="00E96E9F" w:rsidRDefault="00811E0E" w:rsidP="00057B36">
            <w:pPr>
              <w:pStyle w:val="TableText0"/>
              <w:keepNext w:val="0"/>
              <w:rPr>
                <w:rFonts w:ascii="Segoe UI" w:hAnsi="Segoe UI"/>
                <w:sz w:val="18"/>
                <w:szCs w:val="18"/>
                <w:lang w:eastAsia="zh-CN"/>
              </w:rPr>
            </w:pPr>
            <w:r w:rsidRPr="00E96E9F">
              <w:rPr>
                <w:lang w:eastAsia="zh-CN"/>
              </w:rPr>
              <w:t>Conference:</w:t>
            </w:r>
            <w:r w:rsidR="00F96B2F" w:rsidRPr="00E96E9F">
              <w:rPr>
                <w:lang w:eastAsia="zh-CN"/>
              </w:rPr>
              <w:t xml:space="preserve"> </w:t>
            </w:r>
            <w:r w:rsidRPr="00E96E9F">
              <w:rPr>
                <w:lang w:eastAsia="zh-CN"/>
              </w:rPr>
              <w:t>97th</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Expo</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Endocrine</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ENDO</w:t>
            </w:r>
            <w:r w:rsidR="00F96B2F" w:rsidRPr="00E96E9F">
              <w:rPr>
                <w:lang w:eastAsia="zh-CN"/>
              </w:rPr>
              <w:t xml:space="preserve"> </w:t>
            </w:r>
            <w:r w:rsidRPr="00E96E9F">
              <w:rPr>
                <w:lang w:eastAsia="zh-CN"/>
              </w:rPr>
              <w:t>2015.</w:t>
            </w:r>
            <w:r w:rsidR="00F96B2F" w:rsidRPr="00E96E9F">
              <w:rPr>
                <w:lang w:eastAsia="zh-CN"/>
              </w:rPr>
              <w:t xml:space="preserve"> </w:t>
            </w:r>
            <w:r w:rsidRPr="00E96E9F">
              <w:rPr>
                <w:lang w:eastAsia="zh-CN"/>
              </w:rPr>
              <w:t>36(Suppl</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2015a.</w:t>
            </w:r>
            <w:r w:rsidR="00F96B2F" w:rsidRPr="00E96E9F">
              <w:rPr>
                <w:lang w:eastAsia="zh-CN"/>
              </w:rPr>
              <w:t xml:space="preserve"> </w:t>
            </w:r>
          </w:p>
        </w:tc>
      </w:tr>
      <w:tr w:rsidR="00811E0E" w:rsidRPr="00E96E9F" w14:paraId="1FB23765"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616FE778" w14:textId="6C3C4608"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1D0FC109" w14:textId="085AC974" w:rsidR="00811E0E" w:rsidRPr="00E96E9F" w:rsidRDefault="00811E0E" w:rsidP="00057B36">
            <w:pPr>
              <w:pStyle w:val="TableText0"/>
              <w:keepNext w:val="0"/>
              <w:rPr>
                <w:rFonts w:ascii="Segoe UI" w:hAnsi="Segoe UI"/>
                <w:sz w:val="18"/>
                <w:szCs w:val="18"/>
                <w:lang w:eastAsia="zh-CN"/>
              </w:rPr>
            </w:pPr>
            <w:r w:rsidRPr="00E96E9F">
              <w:rPr>
                <w:lang w:eastAsia="zh-CN"/>
              </w:rPr>
              <w:t>Zadik</w:t>
            </w:r>
            <w:r w:rsidR="00F96B2F" w:rsidRPr="00E96E9F">
              <w:rPr>
                <w:lang w:eastAsia="zh-CN"/>
              </w:rPr>
              <w:t xml:space="preserve"> </w:t>
            </w:r>
            <w:r w:rsidRPr="00E96E9F">
              <w:rPr>
                <w:lang w:eastAsia="zh-CN"/>
              </w:rPr>
              <w:t>Z</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12-month</w:t>
            </w:r>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efficacy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weekly</w:t>
            </w:r>
            <w:r w:rsidR="00F96B2F" w:rsidRPr="00E96E9F">
              <w:rPr>
                <w:lang w:eastAsia="zh-CN"/>
              </w:rPr>
              <w:t xml:space="preserve"> </w:t>
            </w:r>
            <w:r w:rsidRPr="00E96E9F">
              <w:rPr>
                <w:lang w:eastAsia="zh-CN"/>
              </w:rPr>
              <w:t>long-acting</w:t>
            </w:r>
            <w:r w:rsidR="00F96B2F" w:rsidRPr="00E96E9F">
              <w:rPr>
                <w:lang w:eastAsia="zh-CN"/>
              </w:rPr>
              <w:t xml:space="preserve"> </w:t>
            </w:r>
            <w:r w:rsidRPr="00E96E9F">
              <w:rPr>
                <w:lang w:eastAsia="zh-CN"/>
              </w:rPr>
              <w:t>GH</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compared</w:t>
            </w:r>
            <w:r w:rsidR="00F96B2F" w:rsidRPr="00E96E9F">
              <w:rPr>
                <w:lang w:eastAsia="zh-CN"/>
              </w:rPr>
              <w:t xml:space="preserve"> </w:t>
            </w:r>
            <w:r w:rsidRPr="00E96E9F">
              <w:rPr>
                <w:lang w:eastAsia="zh-CN"/>
              </w:rPr>
              <w:t>to</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recombinant</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GH</w:t>
            </w:r>
            <w:r w:rsidR="00F96B2F" w:rsidRPr="00E96E9F">
              <w:rPr>
                <w:lang w:eastAsia="zh-CN"/>
              </w:rPr>
              <w:t xml:space="preserve"> </w:t>
            </w:r>
            <w:r w:rsidRPr="00E96E9F">
              <w:rPr>
                <w:lang w:eastAsia="zh-CN"/>
              </w:rPr>
              <w:t>therapy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pre-pubertal</w:t>
            </w:r>
            <w:r w:rsidR="00F96B2F" w:rsidRPr="00E96E9F">
              <w:rPr>
                <w:lang w:eastAsia="zh-CN"/>
              </w:rPr>
              <w:t xml:space="preserve"> </w:t>
            </w:r>
            <w:r w:rsidRPr="00E96E9F">
              <w:rPr>
                <w:lang w:eastAsia="zh-CN"/>
              </w:rPr>
              <w:t>GH-deficient</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CP-4-004</w:t>
            </w:r>
            <w:r w:rsidR="00F96B2F" w:rsidRPr="00E96E9F">
              <w:rPr>
                <w:lang w:eastAsia="zh-CN"/>
              </w:rPr>
              <w:t xml:space="preserve"> </w:t>
            </w:r>
            <w:r w:rsidRPr="00E96E9F">
              <w:rPr>
                <w:lang w:eastAsia="zh-CN"/>
              </w:rPr>
              <w:t>summary</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521047F9" w14:textId="77777777" w:rsidR="00E5129A" w:rsidRPr="00E96E9F" w:rsidRDefault="00E5129A" w:rsidP="00057B36">
            <w:pPr>
              <w:pStyle w:val="TableText0"/>
              <w:keepNext w:val="0"/>
              <w:rPr>
                <w:lang w:eastAsia="zh-CN"/>
              </w:rPr>
            </w:pPr>
          </w:p>
          <w:p w14:paraId="7848E626" w14:textId="3955CF83" w:rsidR="00811E0E" w:rsidRPr="00E96E9F" w:rsidRDefault="00811E0E" w:rsidP="00057B36">
            <w:pPr>
              <w:pStyle w:val="TableText0"/>
              <w:keepNext w:val="0"/>
              <w:rPr>
                <w:rFonts w:ascii="Segoe UI" w:hAnsi="Segoe UI"/>
                <w:sz w:val="18"/>
                <w:szCs w:val="18"/>
                <w:lang w:eastAsia="zh-CN"/>
              </w:rPr>
            </w:pPr>
            <w:r w:rsidRPr="00E96E9F">
              <w:rPr>
                <w:lang w:eastAsia="zh-CN"/>
              </w:rPr>
              <w:t>Hormone</w:t>
            </w:r>
            <w:r w:rsidR="00F96B2F" w:rsidRPr="00E96E9F">
              <w:rPr>
                <w:lang w:eastAsia="zh-CN"/>
              </w:rPr>
              <w:t xml:space="preserve"> </w:t>
            </w:r>
            <w:r w:rsidRPr="00E96E9F">
              <w:rPr>
                <w:lang w:eastAsia="zh-CN"/>
              </w:rPr>
              <w:t>Research</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Paediatrics.</w:t>
            </w:r>
            <w:r w:rsidR="00F96B2F" w:rsidRPr="00E96E9F">
              <w:rPr>
                <w:lang w:eastAsia="zh-CN"/>
              </w:rPr>
              <w:t xml:space="preserve"> </w:t>
            </w:r>
            <w:r w:rsidRPr="00E96E9F">
              <w:rPr>
                <w:lang w:eastAsia="zh-CN"/>
              </w:rPr>
              <w:t>Conference:</w:t>
            </w:r>
            <w:r w:rsidR="00F96B2F" w:rsidRPr="00E96E9F">
              <w:rPr>
                <w:lang w:eastAsia="zh-CN"/>
              </w:rPr>
              <w:t xml:space="preserve"> </w:t>
            </w:r>
            <w:r w:rsidRPr="00E96E9F">
              <w:rPr>
                <w:lang w:eastAsia="zh-CN"/>
              </w:rPr>
              <w:t>54th</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European</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for</w:t>
            </w:r>
            <w:r w:rsidR="00F96B2F" w:rsidRPr="00E96E9F">
              <w:rPr>
                <w:lang w:eastAsia="zh-CN"/>
              </w:rPr>
              <w:t xml:space="preserve"> </w:t>
            </w:r>
            <w:r w:rsidRPr="00E96E9F">
              <w:rPr>
                <w:lang w:eastAsia="zh-CN"/>
              </w:rPr>
              <w:t>Paediatric</w:t>
            </w:r>
            <w:r w:rsidR="00F96B2F" w:rsidRPr="00E96E9F">
              <w:rPr>
                <w:lang w:eastAsia="zh-CN"/>
              </w:rPr>
              <w:t xml:space="preserve"> </w:t>
            </w:r>
            <w:r w:rsidRPr="00E96E9F">
              <w:rPr>
                <w:lang w:eastAsia="zh-CN"/>
              </w:rPr>
              <w:t>Endocrinology,</w:t>
            </w:r>
            <w:r w:rsidR="00F96B2F" w:rsidRPr="00E96E9F">
              <w:rPr>
                <w:lang w:eastAsia="zh-CN"/>
              </w:rPr>
              <w:t xml:space="preserve"> </w:t>
            </w:r>
            <w:r w:rsidRPr="00E96E9F">
              <w:rPr>
                <w:lang w:eastAsia="zh-CN"/>
              </w:rPr>
              <w:t>ESPE</w:t>
            </w:r>
            <w:r w:rsidR="00F96B2F" w:rsidRPr="00E96E9F">
              <w:rPr>
                <w:lang w:eastAsia="zh-CN"/>
              </w:rPr>
              <w:t xml:space="preserve"> </w:t>
            </w:r>
            <w:r w:rsidRPr="00E96E9F">
              <w:rPr>
                <w:lang w:eastAsia="zh-CN"/>
              </w:rPr>
              <w:t>2015.</w:t>
            </w:r>
            <w:r w:rsidR="00F96B2F" w:rsidRPr="00E96E9F">
              <w:rPr>
                <w:lang w:eastAsia="zh-CN"/>
              </w:rPr>
              <w:t xml:space="preserve"> </w:t>
            </w:r>
            <w:r w:rsidRPr="00E96E9F">
              <w:rPr>
                <w:lang w:eastAsia="zh-CN"/>
              </w:rPr>
              <w:t>84(SUPPL.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(pp</w:t>
            </w:r>
            <w:r w:rsidR="00F96B2F" w:rsidRPr="00E96E9F">
              <w:rPr>
                <w:lang w:eastAsia="zh-CN"/>
              </w:rPr>
              <w:t xml:space="preserve"> </w:t>
            </w:r>
            <w:r w:rsidRPr="00E96E9F">
              <w:rPr>
                <w:lang w:eastAsia="zh-CN"/>
              </w:rPr>
              <w:t>45),</w:t>
            </w:r>
            <w:r w:rsidR="00F96B2F" w:rsidRPr="00E96E9F">
              <w:rPr>
                <w:lang w:eastAsia="zh-CN"/>
              </w:rPr>
              <w:t xml:space="preserve"> </w:t>
            </w:r>
            <w:r w:rsidRPr="00E96E9F">
              <w:rPr>
                <w:lang w:eastAsia="zh-CN"/>
              </w:rPr>
              <w:t>2015b.</w:t>
            </w:r>
            <w:r w:rsidR="00F96B2F" w:rsidRPr="00E96E9F">
              <w:rPr>
                <w:lang w:eastAsia="zh-CN"/>
              </w:rPr>
              <w:t xml:space="preserve"> </w:t>
            </w:r>
          </w:p>
        </w:tc>
      </w:tr>
      <w:tr w:rsidR="00811E0E" w:rsidRPr="00E96E9F" w14:paraId="347E9616"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1303D8D0" w14:textId="18F99124"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15A1631B" w14:textId="70DAC1EF" w:rsidR="00811E0E" w:rsidRPr="00E96E9F" w:rsidRDefault="00811E0E" w:rsidP="00057B36">
            <w:pPr>
              <w:pStyle w:val="TableText0"/>
              <w:keepNext w:val="0"/>
              <w:rPr>
                <w:rFonts w:ascii="Segoe UI" w:hAnsi="Segoe UI"/>
                <w:sz w:val="18"/>
                <w:szCs w:val="18"/>
                <w:lang w:eastAsia="zh-CN"/>
              </w:rPr>
            </w:pPr>
          </w:p>
          <w:p w14:paraId="6B63B77B" w14:textId="5E360D3B" w:rsidR="00811E0E" w:rsidRPr="00E96E9F" w:rsidRDefault="00811E0E" w:rsidP="00057B36">
            <w:pPr>
              <w:pStyle w:val="TableText0"/>
              <w:keepNext w:val="0"/>
              <w:rPr>
                <w:rFonts w:ascii="Segoe UI" w:hAnsi="Segoe UI"/>
                <w:sz w:val="18"/>
                <w:szCs w:val="18"/>
                <w:lang w:eastAsia="zh-CN"/>
              </w:rPr>
            </w:pPr>
            <w:r w:rsidRPr="00E96E9F">
              <w:rPr>
                <w:lang w:eastAsia="zh-CN"/>
              </w:rPr>
              <w:t>Hart</w:t>
            </w:r>
            <w:r w:rsidR="00F96B2F" w:rsidRPr="00E96E9F">
              <w:rPr>
                <w:lang w:eastAsia="zh-CN"/>
              </w:rPr>
              <w:t xml:space="preserve"> </w:t>
            </w:r>
            <w:r w:rsidRPr="00E96E9F">
              <w:rPr>
                <w:lang w:eastAsia="zh-CN"/>
              </w:rPr>
              <w:t>G</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Pharmacokinetics</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pharmacodynamics</w:t>
            </w:r>
            <w:r w:rsidR="00F96B2F" w:rsidRPr="00E96E9F">
              <w:rPr>
                <w:lang w:eastAsia="zh-CN"/>
              </w:rPr>
              <w:t xml:space="preserve"> </w:t>
            </w:r>
            <w:r w:rsidRPr="00E96E9F">
              <w:rPr>
                <w:lang w:eastAsia="zh-CN"/>
              </w:rPr>
              <w:t>profile</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once-weekly,</w:t>
            </w:r>
            <w:r w:rsidR="00F96B2F" w:rsidRPr="00E96E9F">
              <w:rPr>
                <w:lang w:eastAsia="zh-CN"/>
              </w:rPr>
              <w:t xml:space="preserve"> </w:t>
            </w:r>
            <w:r w:rsidRPr="00E96E9F">
              <w:rPr>
                <w:lang w:eastAsia="zh-CN"/>
              </w:rPr>
              <w:t>CTP-modified</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dose</w:t>
            </w:r>
            <w:r w:rsidR="00F96B2F" w:rsidRPr="00E96E9F">
              <w:rPr>
                <w:lang w:eastAsia="zh-CN"/>
              </w:rPr>
              <w:t xml:space="preserve"> </w:t>
            </w:r>
            <w:r w:rsidRPr="00E96E9F">
              <w:rPr>
                <w:lang w:eastAsia="zh-CN"/>
              </w:rPr>
              <w:t>finding</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GHD</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55A5F78B" w14:textId="77777777" w:rsidR="00E5129A" w:rsidRPr="00E96E9F" w:rsidRDefault="00E5129A" w:rsidP="00057B36">
            <w:pPr>
              <w:pStyle w:val="TableText0"/>
              <w:keepNext w:val="0"/>
              <w:rPr>
                <w:lang w:eastAsia="zh-CN"/>
              </w:rPr>
            </w:pPr>
          </w:p>
          <w:p w14:paraId="16902F98" w14:textId="6A31CEE6" w:rsidR="00811E0E" w:rsidRPr="00E96E9F" w:rsidRDefault="00811E0E" w:rsidP="00057B36">
            <w:pPr>
              <w:pStyle w:val="TableText0"/>
              <w:keepNext w:val="0"/>
              <w:rPr>
                <w:rFonts w:ascii="Segoe UI" w:hAnsi="Segoe UI"/>
                <w:sz w:val="18"/>
                <w:szCs w:val="18"/>
                <w:lang w:eastAsia="zh-CN"/>
              </w:rPr>
            </w:pPr>
            <w:r w:rsidRPr="00E96E9F">
              <w:rPr>
                <w:lang w:eastAsia="zh-CN"/>
              </w:rPr>
              <w:t>Conference:</w:t>
            </w:r>
            <w:r w:rsidR="00F96B2F" w:rsidRPr="00E96E9F">
              <w:rPr>
                <w:lang w:eastAsia="zh-CN"/>
              </w:rPr>
              <w:t xml:space="preserve"> </w:t>
            </w:r>
            <w:r w:rsidRPr="00E96E9F">
              <w:rPr>
                <w:lang w:eastAsia="zh-CN"/>
              </w:rPr>
              <w:t>96th</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Expo</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Endocrine</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ENDO</w:t>
            </w:r>
            <w:r w:rsidR="00F96B2F" w:rsidRPr="00E96E9F">
              <w:rPr>
                <w:lang w:eastAsia="zh-CN"/>
              </w:rPr>
              <w:t xml:space="preserve"> </w:t>
            </w:r>
            <w:r w:rsidRPr="00E96E9F">
              <w:rPr>
                <w:lang w:eastAsia="zh-CN"/>
              </w:rPr>
              <w:t>2014.</w:t>
            </w:r>
            <w:r w:rsidR="00F96B2F" w:rsidRPr="00E96E9F">
              <w:rPr>
                <w:lang w:eastAsia="zh-CN"/>
              </w:rPr>
              <w:t xml:space="preserve"> </w:t>
            </w:r>
            <w:r w:rsidRPr="00E96E9F">
              <w:rPr>
                <w:lang w:eastAsia="zh-CN"/>
              </w:rPr>
              <w:t>35(SUPPL.</w:t>
            </w:r>
            <w:r w:rsidR="00F96B2F" w:rsidRPr="00E96E9F">
              <w:rPr>
                <w:lang w:eastAsia="zh-CN"/>
              </w:rPr>
              <w:t xml:space="preserve"> </w:t>
            </w:r>
            <w:r w:rsidRPr="00E96E9F">
              <w:rPr>
                <w:lang w:eastAsia="zh-CN"/>
              </w:rPr>
              <w:t>3),</w:t>
            </w:r>
            <w:r w:rsidR="00F96B2F" w:rsidRPr="00E96E9F">
              <w:rPr>
                <w:lang w:eastAsia="zh-CN"/>
              </w:rPr>
              <w:t xml:space="preserve"> </w:t>
            </w:r>
            <w:r w:rsidRPr="00E96E9F">
              <w:rPr>
                <w:lang w:eastAsia="zh-CN"/>
              </w:rPr>
              <w:t>2014a.</w:t>
            </w:r>
            <w:r w:rsidR="00F96B2F" w:rsidRPr="00E96E9F">
              <w:rPr>
                <w:lang w:eastAsia="zh-CN"/>
              </w:rPr>
              <w:t xml:space="preserve"> </w:t>
            </w:r>
          </w:p>
        </w:tc>
      </w:tr>
      <w:tr w:rsidR="00811E0E" w:rsidRPr="00E96E9F" w14:paraId="5F704A05"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7750A8D9" w14:textId="5EC182F7"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5B167266" w14:textId="77777777" w:rsidR="00E5129A" w:rsidRPr="00E96E9F" w:rsidRDefault="00E5129A" w:rsidP="00057B36">
            <w:pPr>
              <w:pStyle w:val="TableText0"/>
              <w:keepNext w:val="0"/>
              <w:rPr>
                <w:lang w:eastAsia="zh-CN"/>
              </w:rPr>
            </w:pPr>
          </w:p>
          <w:p w14:paraId="4E7226DC" w14:textId="06D19AD1" w:rsidR="00811E0E" w:rsidRPr="00E96E9F" w:rsidRDefault="00811E0E" w:rsidP="00057B36">
            <w:pPr>
              <w:pStyle w:val="TableText0"/>
              <w:keepNext w:val="0"/>
              <w:rPr>
                <w:rFonts w:ascii="Segoe UI" w:hAnsi="Segoe UI"/>
                <w:sz w:val="18"/>
                <w:szCs w:val="18"/>
                <w:lang w:eastAsia="zh-CN"/>
              </w:rPr>
            </w:pPr>
            <w:r w:rsidRPr="00E96E9F">
              <w:rPr>
                <w:lang w:eastAsia="zh-CN"/>
              </w:rPr>
              <w:t>Hart</w:t>
            </w:r>
            <w:r w:rsidR="00F96B2F" w:rsidRPr="00E96E9F">
              <w:rPr>
                <w:lang w:eastAsia="zh-CN"/>
              </w:rPr>
              <w:t xml:space="preserve"> </w:t>
            </w:r>
            <w:r w:rsidRPr="00E96E9F">
              <w:rPr>
                <w:lang w:eastAsia="zh-CN"/>
              </w:rPr>
              <w:t>G</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Six</w:t>
            </w:r>
            <w:r w:rsidR="00F96B2F" w:rsidRPr="00E96E9F">
              <w:rPr>
                <w:lang w:eastAsia="zh-CN"/>
              </w:rPr>
              <w:t xml:space="preserve"> </w:t>
            </w:r>
            <w:r w:rsidRPr="00E96E9F">
              <w:rPr>
                <w:lang w:eastAsia="zh-CN"/>
              </w:rPr>
              <w:t>months</w:t>
            </w:r>
            <w:r w:rsidR="00F96B2F" w:rsidRPr="00E96E9F">
              <w:rPr>
                <w:lang w:eastAsia="zh-CN"/>
              </w:rPr>
              <w:t xml:space="preserve"> </w:t>
            </w:r>
            <w:r w:rsidRPr="00E96E9F">
              <w:rPr>
                <w:lang w:eastAsia="zh-CN"/>
              </w:rPr>
              <w:t>follow-up</w:t>
            </w:r>
            <w:r w:rsidR="00F96B2F" w:rsidRPr="00E96E9F">
              <w:rPr>
                <w:lang w:eastAsia="zh-CN"/>
              </w:rPr>
              <w:t xml:space="preserve"> </w:t>
            </w:r>
            <w:r w:rsidRPr="00E96E9F">
              <w:rPr>
                <w:lang w:eastAsia="zh-CN"/>
              </w:rPr>
              <w:t>pharmacokinetics</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pharmacodynamics</w:t>
            </w:r>
            <w:r w:rsidR="00F96B2F" w:rsidRPr="00E96E9F">
              <w:rPr>
                <w:lang w:eastAsia="zh-CN"/>
              </w:rPr>
              <w:t xml:space="preserve"> </w:t>
            </w:r>
            <w:r w:rsidRPr="00E96E9F">
              <w:rPr>
                <w:lang w:eastAsia="zh-CN"/>
              </w:rPr>
              <w:t>profile</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once-weekly,</w:t>
            </w:r>
            <w:r w:rsidR="00F96B2F" w:rsidRPr="00E96E9F">
              <w:rPr>
                <w:lang w:eastAsia="zh-CN"/>
              </w:rPr>
              <w:t xml:space="preserve"> </w:t>
            </w:r>
            <w:r w:rsidRPr="00E96E9F">
              <w:rPr>
                <w:lang w:eastAsia="zh-CN"/>
              </w:rPr>
              <w:t>CTP-modified</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GH</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dose</w:t>
            </w:r>
            <w:r w:rsidR="00F96B2F" w:rsidRPr="00E96E9F">
              <w:rPr>
                <w:lang w:eastAsia="zh-CN"/>
              </w:rPr>
              <w:t xml:space="preserve"> </w:t>
            </w:r>
            <w:r w:rsidRPr="00E96E9F">
              <w:rPr>
                <w:lang w:eastAsia="zh-CN"/>
              </w:rPr>
              <w:t>finding</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GHD</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072FAA45" w14:textId="77777777" w:rsidR="00E5129A" w:rsidRPr="00E96E9F" w:rsidRDefault="00E5129A" w:rsidP="00057B36">
            <w:pPr>
              <w:pStyle w:val="TableText0"/>
              <w:keepNext w:val="0"/>
              <w:rPr>
                <w:lang w:eastAsia="zh-CN"/>
              </w:rPr>
            </w:pPr>
          </w:p>
          <w:p w14:paraId="02966A15" w14:textId="558CA323" w:rsidR="00811E0E" w:rsidRPr="00E96E9F" w:rsidRDefault="00811E0E" w:rsidP="00057B36">
            <w:pPr>
              <w:pStyle w:val="TableText0"/>
              <w:keepNext w:val="0"/>
              <w:rPr>
                <w:rFonts w:ascii="Segoe UI" w:hAnsi="Segoe UI"/>
                <w:sz w:val="18"/>
                <w:szCs w:val="18"/>
                <w:lang w:eastAsia="zh-CN"/>
              </w:rPr>
            </w:pPr>
            <w:r w:rsidRPr="00E96E9F">
              <w:rPr>
                <w:lang w:eastAsia="zh-CN"/>
              </w:rPr>
              <w:t>Conference:</w:t>
            </w:r>
            <w:r w:rsidR="00F96B2F" w:rsidRPr="00E96E9F">
              <w:rPr>
                <w:lang w:eastAsia="zh-CN"/>
              </w:rPr>
              <w:t xml:space="preserve"> </w:t>
            </w:r>
            <w:r w:rsidRPr="00E96E9F">
              <w:rPr>
                <w:lang w:eastAsia="zh-CN"/>
              </w:rPr>
              <w:t>53rd</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European</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for</w:t>
            </w:r>
            <w:r w:rsidR="00F96B2F" w:rsidRPr="00E96E9F">
              <w:rPr>
                <w:lang w:eastAsia="zh-CN"/>
              </w:rPr>
              <w:t xml:space="preserve"> </w:t>
            </w:r>
            <w:r w:rsidRPr="00E96E9F">
              <w:rPr>
                <w:lang w:eastAsia="zh-CN"/>
              </w:rPr>
              <w:t>Paediatric</w:t>
            </w:r>
            <w:r w:rsidR="00F96B2F" w:rsidRPr="00E96E9F">
              <w:rPr>
                <w:lang w:eastAsia="zh-CN"/>
              </w:rPr>
              <w:t xml:space="preserve"> </w:t>
            </w:r>
            <w:r w:rsidRPr="00E96E9F">
              <w:rPr>
                <w:lang w:eastAsia="zh-CN"/>
              </w:rPr>
              <w:t>Endocrinology,</w:t>
            </w:r>
            <w:r w:rsidR="00F96B2F" w:rsidRPr="00E96E9F">
              <w:rPr>
                <w:lang w:eastAsia="zh-CN"/>
              </w:rPr>
              <w:t xml:space="preserve"> </w:t>
            </w:r>
            <w:r w:rsidRPr="00E96E9F">
              <w:rPr>
                <w:lang w:eastAsia="zh-CN"/>
              </w:rPr>
              <w:t>ESPE</w:t>
            </w:r>
            <w:r w:rsidR="00F96B2F" w:rsidRPr="00E96E9F">
              <w:rPr>
                <w:lang w:eastAsia="zh-CN"/>
              </w:rPr>
              <w:t xml:space="preserve"> </w:t>
            </w:r>
            <w:r w:rsidRPr="00E96E9F">
              <w:rPr>
                <w:lang w:eastAsia="zh-CN"/>
              </w:rPr>
              <w:t>2014.</w:t>
            </w:r>
            <w:r w:rsidR="00F96B2F" w:rsidRPr="00E96E9F">
              <w:rPr>
                <w:lang w:eastAsia="zh-CN"/>
              </w:rPr>
              <w:t xml:space="preserve"> </w:t>
            </w:r>
            <w:r w:rsidRPr="00E96E9F">
              <w:rPr>
                <w:lang w:eastAsia="zh-CN"/>
              </w:rPr>
              <w:t>82(SUPPL.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(pp</w:t>
            </w:r>
            <w:r w:rsidR="00F96B2F" w:rsidRPr="00E96E9F">
              <w:rPr>
                <w:lang w:eastAsia="zh-CN"/>
              </w:rPr>
              <w:t xml:space="preserve"> </w:t>
            </w:r>
            <w:r w:rsidRPr="00E96E9F">
              <w:rPr>
                <w:lang w:eastAsia="zh-CN"/>
              </w:rPr>
              <w:t>135-136),</w:t>
            </w:r>
            <w:r w:rsidR="00F96B2F" w:rsidRPr="00E96E9F">
              <w:rPr>
                <w:lang w:eastAsia="zh-CN"/>
              </w:rPr>
              <w:t xml:space="preserve"> </w:t>
            </w:r>
            <w:r w:rsidRPr="00E96E9F">
              <w:rPr>
                <w:lang w:eastAsia="zh-CN"/>
              </w:rPr>
              <w:t>2014b</w:t>
            </w:r>
            <w:r w:rsidR="00F96B2F" w:rsidRPr="00E96E9F">
              <w:rPr>
                <w:lang w:eastAsia="zh-CN"/>
              </w:rPr>
              <w:t xml:space="preserve"> </w:t>
            </w:r>
          </w:p>
        </w:tc>
      </w:tr>
      <w:tr w:rsidR="00811E0E" w:rsidRPr="00E96E9F" w14:paraId="7C12CF95"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71D489F7" w14:textId="3D190B7B"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01BDCC02" w14:textId="32E56F92" w:rsidR="00811E0E" w:rsidRPr="00E96E9F" w:rsidRDefault="00811E0E" w:rsidP="00057B36">
            <w:pPr>
              <w:pStyle w:val="TableText0"/>
              <w:keepNext w:val="0"/>
              <w:rPr>
                <w:rFonts w:ascii="Segoe UI" w:hAnsi="Segoe UI"/>
                <w:sz w:val="18"/>
                <w:szCs w:val="18"/>
                <w:lang w:eastAsia="zh-CN"/>
              </w:rPr>
            </w:pPr>
            <w:r w:rsidRPr="00E96E9F">
              <w:rPr>
                <w:lang w:eastAsia="zh-CN"/>
              </w:rPr>
              <w:t>Zadik</w:t>
            </w:r>
            <w:r w:rsidR="00F96B2F" w:rsidRPr="00E96E9F">
              <w:rPr>
                <w:lang w:eastAsia="zh-CN"/>
              </w:rPr>
              <w:t xml:space="preserve"> </w:t>
            </w:r>
            <w:r w:rsidRPr="00E96E9F">
              <w:rPr>
                <w:lang w:eastAsia="zh-CN"/>
              </w:rPr>
              <w:t>Z</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Top</w:t>
            </w:r>
            <w:r w:rsidR="00F96B2F" w:rsidRPr="00E96E9F">
              <w:rPr>
                <w:lang w:eastAsia="zh-CN"/>
              </w:rPr>
              <w:t xml:space="preserve"> </w:t>
            </w:r>
            <w:r w:rsidRPr="00E96E9F">
              <w:rPr>
                <w:lang w:eastAsia="zh-CN"/>
              </w:rPr>
              <w:t>line</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once-weekly,</w:t>
            </w:r>
            <w:r w:rsidR="00F96B2F" w:rsidRPr="00E96E9F">
              <w:rPr>
                <w:lang w:eastAsia="zh-CN"/>
              </w:rPr>
              <w:t xml:space="preserve"> </w:t>
            </w:r>
            <w:r w:rsidRPr="00E96E9F">
              <w:rPr>
                <w:lang w:eastAsia="zh-CN"/>
              </w:rPr>
              <w:t>CTP-modified</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GH</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dose</w:t>
            </w:r>
            <w:r w:rsidR="00F96B2F" w:rsidRPr="00E96E9F">
              <w:rPr>
                <w:lang w:eastAsia="zh-CN"/>
              </w:rPr>
              <w:t xml:space="preserve"> </w:t>
            </w:r>
            <w:r w:rsidRPr="00E96E9F">
              <w:rPr>
                <w:lang w:eastAsia="zh-CN"/>
              </w:rPr>
              <w:t>finding</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GH</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4AA3CC2B" w14:textId="77777777" w:rsidR="00E5129A" w:rsidRPr="00E96E9F" w:rsidRDefault="00E5129A" w:rsidP="00057B36">
            <w:pPr>
              <w:pStyle w:val="TableText0"/>
              <w:keepNext w:val="0"/>
              <w:rPr>
                <w:lang w:eastAsia="zh-CN"/>
              </w:rPr>
            </w:pPr>
          </w:p>
          <w:p w14:paraId="0FC7B90D" w14:textId="28BD755E" w:rsidR="00811E0E" w:rsidRPr="00E96E9F" w:rsidRDefault="00811E0E" w:rsidP="00057B36">
            <w:pPr>
              <w:pStyle w:val="TableText0"/>
              <w:keepNext w:val="0"/>
              <w:rPr>
                <w:rFonts w:ascii="Segoe UI" w:hAnsi="Segoe UI"/>
                <w:sz w:val="18"/>
                <w:szCs w:val="18"/>
                <w:lang w:eastAsia="zh-CN"/>
              </w:rPr>
            </w:pPr>
            <w:r w:rsidRPr="00E96E9F">
              <w:rPr>
                <w:lang w:eastAsia="zh-CN"/>
              </w:rPr>
              <w:t>Hormone</w:t>
            </w:r>
            <w:r w:rsidR="00F96B2F" w:rsidRPr="00E96E9F">
              <w:rPr>
                <w:lang w:eastAsia="zh-CN"/>
              </w:rPr>
              <w:t xml:space="preserve"> </w:t>
            </w:r>
            <w:r w:rsidRPr="00E96E9F">
              <w:rPr>
                <w:lang w:eastAsia="zh-CN"/>
              </w:rPr>
              <w:t>Research</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Paediatrics.</w:t>
            </w:r>
            <w:r w:rsidR="00F96B2F" w:rsidRPr="00E96E9F">
              <w:rPr>
                <w:lang w:eastAsia="zh-CN"/>
              </w:rPr>
              <w:t xml:space="preserve"> </w:t>
            </w:r>
            <w:r w:rsidRPr="00E96E9F">
              <w:rPr>
                <w:lang w:eastAsia="zh-CN"/>
              </w:rPr>
              <w:t>Conference:</w:t>
            </w:r>
            <w:r w:rsidR="00F96B2F" w:rsidRPr="00E96E9F">
              <w:rPr>
                <w:lang w:eastAsia="zh-CN"/>
              </w:rPr>
              <w:t xml:space="preserve"> </w:t>
            </w:r>
            <w:r w:rsidRPr="00E96E9F">
              <w:rPr>
                <w:lang w:eastAsia="zh-CN"/>
              </w:rPr>
              <w:t>53rd</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European</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for</w:t>
            </w:r>
            <w:r w:rsidR="00F96B2F" w:rsidRPr="00E96E9F">
              <w:rPr>
                <w:lang w:eastAsia="zh-CN"/>
              </w:rPr>
              <w:t xml:space="preserve"> </w:t>
            </w:r>
            <w:r w:rsidRPr="00E96E9F">
              <w:rPr>
                <w:lang w:eastAsia="zh-CN"/>
              </w:rPr>
              <w:t>Paediatric</w:t>
            </w:r>
            <w:r w:rsidR="00F96B2F" w:rsidRPr="00E96E9F">
              <w:rPr>
                <w:lang w:eastAsia="zh-CN"/>
              </w:rPr>
              <w:t xml:space="preserve"> </w:t>
            </w:r>
            <w:r w:rsidRPr="00E96E9F">
              <w:rPr>
                <w:lang w:eastAsia="zh-CN"/>
              </w:rPr>
              <w:t>Endocrinology,</w:t>
            </w:r>
            <w:r w:rsidR="00F96B2F" w:rsidRPr="00E96E9F">
              <w:rPr>
                <w:lang w:eastAsia="zh-CN"/>
              </w:rPr>
              <w:t xml:space="preserve"> </w:t>
            </w:r>
            <w:r w:rsidRPr="00E96E9F">
              <w:rPr>
                <w:lang w:eastAsia="zh-CN"/>
              </w:rPr>
              <w:t>ESPE</w:t>
            </w:r>
            <w:r w:rsidR="00F96B2F" w:rsidRPr="00E96E9F">
              <w:rPr>
                <w:lang w:eastAsia="zh-CN"/>
              </w:rPr>
              <w:t xml:space="preserve"> </w:t>
            </w:r>
            <w:r w:rsidRPr="00E96E9F">
              <w:rPr>
                <w:lang w:eastAsia="zh-CN"/>
              </w:rPr>
              <w:t>2014.</w:t>
            </w:r>
            <w:r w:rsidR="00F96B2F" w:rsidRPr="00E96E9F">
              <w:rPr>
                <w:lang w:eastAsia="zh-CN"/>
              </w:rPr>
              <w:t xml:space="preserve"> </w:t>
            </w:r>
            <w:r w:rsidRPr="00E96E9F">
              <w:rPr>
                <w:lang w:eastAsia="zh-CN"/>
              </w:rPr>
              <w:t>82(SUPPL.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(pp</w:t>
            </w:r>
            <w:r w:rsidR="00F96B2F" w:rsidRPr="00E96E9F">
              <w:rPr>
                <w:lang w:eastAsia="zh-CN"/>
              </w:rPr>
              <w:t xml:space="preserve"> </w:t>
            </w:r>
            <w:r w:rsidRPr="00E96E9F">
              <w:rPr>
                <w:lang w:eastAsia="zh-CN"/>
              </w:rPr>
              <w:t>63),</w:t>
            </w:r>
            <w:r w:rsidR="00F96B2F" w:rsidRPr="00E96E9F">
              <w:rPr>
                <w:lang w:eastAsia="zh-CN"/>
              </w:rPr>
              <w:t xml:space="preserve"> </w:t>
            </w:r>
            <w:r w:rsidRPr="00E96E9F">
              <w:rPr>
                <w:lang w:eastAsia="zh-CN"/>
              </w:rPr>
              <w:t>2014.</w:t>
            </w:r>
            <w:r w:rsidR="00F96B2F" w:rsidRPr="00E96E9F">
              <w:rPr>
                <w:lang w:eastAsia="zh-CN"/>
              </w:rPr>
              <w:t xml:space="preserve"> </w:t>
            </w:r>
          </w:p>
        </w:tc>
      </w:tr>
      <w:tr w:rsidR="00811E0E" w:rsidRPr="00E96E9F" w14:paraId="1F1F6EB0" w14:textId="77777777" w:rsidTr="002D5BA0">
        <w:tc>
          <w:tcPr>
            <w:tcW w:w="729" w:type="pct"/>
            <w:tcBorders>
              <w:top w:val="nil"/>
              <w:left w:val="single" w:sz="6" w:space="0" w:color="auto"/>
              <w:bottom w:val="single" w:sz="6" w:space="0" w:color="auto"/>
              <w:right w:val="single" w:sz="6" w:space="0" w:color="auto"/>
            </w:tcBorders>
            <w:shd w:val="clear" w:color="auto" w:fill="auto"/>
            <w:vAlign w:val="center"/>
            <w:hideMark/>
          </w:tcPr>
          <w:p w14:paraId="78B2793E" w14:textId="1949FA96"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single" w:sz="6" w:space="0" w:color="auto"/>
              <w:right w:val="single" w:sz="6" w:space="0" w:color="auto"/>
            </w:tcBorders>
            <w:shd w:val="clear" w:color="auto" w:fill="auto"/>
            <w:vAlign w:val="center"/>
            <w:hideMark/>
          </w:tcPr>
          <w:p w14:paraId="71E231F0" w14:textId="298CE684" w:rsidR="00811E0E" w:rsidRPr="00E96E9F" w:rsidRDefault="00811E0E" w:rsidP="00057B36">
            <w:pPr>
              <w:pStyle w:val="TableText0"/>
              <w:keepNext w:val="0"/>
              <w:rPr>
                <w:rFonts w:ascii="Segoe UI" w:hAnsi="Segoe UI"/>
                <w:sz w:val="18"/>
                <w:szCs w:val="18"/>
                <w:lang w:eastAsia="zh-CN"/>
              </w:rPr>
            </w:pPr>
            <w:r w:rsidRPr="00E96E9F">
              <w:rPr>
                <w:lang w:eastAsia="zh-CN"/>
              </w:rPr>
              <w:t>Hart</w:t>
            </w:r>
            <w:r w:rsidR="00F96B2F" w:rsidRPr="00E96E9F">
              <w:rPr>
                <w:lang w:eastAsia="zh-CN"/>
              </w:rPr>
              <w:t xml:space="preserve"> </w:t>
            </w:r>
            <w:r w:rsidRPr="00E96E9F">
              <w:rPr>
                <w:lang w:eastAsia="zh-CN"/>
              </w:rPr>
              <w:t>G</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Metabolic</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parameters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once-weekly,</w:t>
            </w:r>
            <w:r w:rsidR="00F96B2F" w:rsidRPr="00E96E9F">
              <w:rPr>
                <w:lang w:eastAsia="zh-CN"/>
              </w:rPr>
              <w:t xml:space="preserve"> </w:t>
            </w:r>
            <w:r w:rsidRPr="00E96E9F">
              <w:rPr>
                <w:lang w:eastAsia="zh-CN"/>
              </w:rPr>
              <w:t>CTP-modified</w:t>
            </w:r>
            <w:r w:rsidR="00F96B2F" w:rsidRPr="00E96E9F">
              <w:rPr>
                <w:lang w:eastAsia="zh-CN"/>
              </w:rPr>
              <w:t xml:space="preserve"> </w:t>
            </w:r>
            <w:r w:rsidRPr="00E96E9F">
              <w:rPr>
                <w:lang w:eastAsia="zh-CN"/>
              </w:rPr>
              <w:t>human</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dose</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frequency</w:t>
            </w:r>
            <w:r w:rsidR="00F96B2F" w:rsidRPr="00E96E9F">
              <w:rPr>
                <w:lang w:eastAsia="zh-CN"/>
              </w:rPr>
              <w:t xml:space="preserve"> </w:t>
            </w:r>
            <w:r w:rsidRPr="00E96E9F">
              <w:rPr>
                <w:lang w:eastAsia="zh-CN"/>
              </w:rPr>
              <w:t>finding</w:t>
            </w:r>
            <w:r w:rsidR="00F96B2F" w:rsidRPr="00E96E9F">
              <w:rPr>
                <w:lang w:eastAsia="zh-CN"/>
              </w:rPr>
              <w:t xml:space="preserve"> </w:t>
            </w:r>
            <w:r w:rsidRPr="00E96E9F">
              <w:rPr>
                <w:lang w:eastAsia="zh-CN"/>
              </w:rPr>
              <w:t>study.</w:t>
            </w:r>
            <w:r w:rsidR="00F96B2F" w:rsidRPr="00E96E9F">
              <w:rPr>
                <w:lang w:eastAsia="zh-CN"/>
              </w:rPr>
              <w:t xml:space="preserve"> </w:t>
            </w:r>
          </w:p>
        </w:tc>
        <w:tc>
          <w:tcPr>
            <w:tcW w:w="1508" w:type="pct"/>
            <w:tcBorders>
              <w:top w:val="nil"/>
              <w:left w:val="single" w:sz="6" w:space="0" w:color="auto"/>
              <w:bottom w:val="single" w:sz="6" w:space="0" w:color="auto"/>
              <w:right w:val="single" w:sz="6" w:space="0" w:color="auto"/>
            </w:tcBorders>
            <w:shd w:val="clear" w:color="auto" w:fill="auto"/>
            <w:vAlign w:val="center"/>
            <w:hideMark/>
          </w:tcPr>
          <w:p w14:paraId="08DC62D1" w14:textId="77777777" w:rsidR="00E5129A" w:rsidRPr="00E96E9F" w:rsidRDefault="00E5129A" w:rsidP="00057B36">
            <w:pPr>
              <w:pStyle w:val="TableText0"/>
              <w:keepNext w:val="0"/>
              <w:rPr>
                <w:lang w:eastAsia="zh-CN"/>
              </w:rPr>
            </w:pPr>
          </w:p>
          <w:p w14:paraId="34B1ABFA" w14:textId="4AA69D28" w:rsidR="00811E0E" w:rsidRPr="00E96E9F" w:rsidRDefault="00811E0E" w:rsidP="00057B36">
            <w:pPr>
              <w:pStyle w:val="TableText0"/>
              <w:keepNext w:val="0"/>
              <w:rPr>
                <w:rFonts w:ascii="Segoe UI" w:hAnsi="Segoe UI"/>
                <w:sz w:val="18"/>
                <w:szCs w:val="18"/>
                <w:lang w:eastAsia="zh-CN"/>
              </w:rPr>
            </w:pPr>
            <w:r w:rsidRPr="00E96E9F">
              <w:rPr>
                <w:lang w:eastAsia="zh-CN"/>
              </w:rPr>
              <w:t>Endocrine</w:t>
            </w:r>
            <w:r w:rsidR="00F96B2F" w:rsidRPr="00E96E9F">
              <w:rPr>
                <w:lang w:eastAsia="zh-CN"/>
              </w:rPr>
              <w:t xml:space="preserve"> </w:t>
            </w:r>
            <w:r w:rsidRPr="00E96E9F">
              <w:rPr>
                <w:lang w:eastAsia="zh-CN"/>
              </w:rPr>
              <w:t>Reviews.</w:t>
            </w:r>
            <w:r w:rsidR="00F96B2F" w:rsidRPr="00E96E9F">
              <w:rPr>
                <w:lang w:eastAsia="zh-CN"/>
              </w:rPr>
              <w:t xml:space="preserve"> </w:t>
            </w:r>
            <w:r w:rsidRPr="00E96E9F">
              <w:rPr>
                <w:lang w:eastAsia="zh-CN"/>
              </w:rPr>
              <w:t>Conference:</w:t>
            </w:r>
            <w:r w:rsidR="00F96B2F" w:rsidRPr="00E96E9F">
              <w:rPr>
                <w:lang w:eastAsia="zh-CN"/>
              </w:rPr>
              <w:t xml:space="preserve"> </w:t>
            </w:r>
            <w:r w:rsidRPr="00E96E9F">
              <w:rPr>
                <w:lang w:eastAsia="zh-CN"/>
              </w:rPr>
              <w:t>95th</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Expo</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Endocrine</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ENDO</w:t>
            </w:r>
            <w:r w:rsidR="00F96B2F" w:rsidRPr="00E96E9F">
              <w:rPr>
                <w:lang w:eastAsia="zh-CN"/>
              </w:rPr>
              <w:t xml:space="preserve"> </w:t>
            </w:r>
            <w:r w:rsidRPr="00E96E9F">
              <w:rPr>
                <w:lang w:eastAsia="zh-CN"/>
              </w:rPr>
              <w:t>2013.</w:t>
            </w:r>
            <w:r w:rsidR="00F96B2F" w:rsidRPr="00E96E9F">
              <w:rPr>
                <w:lang w:eastAsia="zh-CN"/>
              </w:rPr>
              <w:t xml:space="preserve"> </w:t>
            </w:r>
            <w:r w:rsidRPr="00E96E9F">
              <w:rPr>
                <w:lang w:eastAsia="zh-CN"/>
              </w:rPr>
              <w:t>34(3</w:t>
            </w:r>
            <w:r w:rsidR="00F96B2F" w:rsidRPr="00E96E9F">
              <w:rPr>
                <w:lang w:eastAsia="zh-CN"/>
              </w:rPr>
              <w:t xml:space="preserve"> </w:t>
            </w:r>
            <w:r w:rsidRPr="00E96E9F">
              <w:rPr>
                <w:lang w:eastAsia="zh-CN"/>
              </w:rPr>
              <w:t>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2013.</w:t>
            </w:r>
            <w:r w:rsidR="00F96B2F" w:rsidRPr="00E96E9F">
              <w:rPr>
                <w:lang w:eastAsia="zh-CN"/>
              </w:rPr>
              <w:t xml:space="preserve"> </w:t>
            </w:r>
          </w:p>
        </w:tc>
      </w:tr>
      <w:tr w:rsidR="00811E0E" w:rsidRPr="00E96E9F" w14:paraId="7A6086F2" w14:textId="77777777" w:rsidTr="002D5BA0">
        <w:tc>
          <w:tcPr>
            <w:tcW w:w="7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E619C0" w14:textId="0158AD2F" w:rsidR="00811E0E" w:rsidRPr="00E96E9F" w:rsidRDefault="00811E0E" w:rsidP="00057B36">
            <w:pPr>
              <w:pStyle w:val="TableText0"/>
              <w:keepNext w:val="0"/>
              <w:rPr>
                <w:rFonts w:ascii="Segoe UI" w:hAnsi="Segoe UI"/>
                <w:sz w:val="18"/>
                <w:szCs w:val="18"/>
                <w:lang w:eastAsia="zh-CN"/>
              </w:rPr>
            </w:pPr>
            <w:r w:rsidRPr="00E96E9F">
              <w:rPr>
                <w:lang w:eastAsia="zh-CN"/>
              </w:rPr>
              <w:lastRenderedPageBreak/>
              <w:t>4009</w:t>
            </w:r>
            <w:r w:rsidR="00F96B2F" w:rsidRPr="00E96E9F">
              <w:rPr>
                <w:lang w:eastAsia="zh-CN"/>
              </w:rPr>
              <w:t xml:space="preserve"> </w:t>
            </w:r>
          </w:p>
        </w:tc>
        <w:tc>
          <w:tcPr>
            <w:tcW w:w="27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769CFC" w14:textId="26E60159" w:rsidR="00811E0E" w:rsidRPr="00E96E9F" w:rsidRDefault="00811E0E" w:rsidP="00057B36">
            <w:pPr>
              <w:pStyle w:val="TableText0"/>
              <w:keepNext w:val="0"/>
              <w:rPr>
                <w:rFonts w:ascii="Segoe UI" w:hAnsi="Segoe UI"/>
                <w:sz w:val="18"/>
                <w:szCs w:val="18"/>
                <w:lang w:eastAsia="zh-CN"/>
              </w:rPr>
            </w:pPr>
            <w:r w:rsidRPr="00E96E9F">
              <w:rPr>
                <w:lang w:eastAsia="zh-CN"/>
              </w:rPr>
              <w:t>CSR:</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3,</w:t>
            </w:r>
            <w:r w:rsidR="00F96B2F" w:rsidRPr="00E96E9F">
              <w:rPr>
                <w:lang w:eastAsia="zh-CN"/>
              </w:rPr>
              <w:t xml:space="preserve"> </w:t>
            </w:r>
            <w:r w:rsidRPr="00E96E9F">
              <w:rPr>
                <w:lang w:eastAsia="zh-CN"/>
              </w:rPr>
              <w:t>open-label,</w:t>
            </w:r>
            <w:r w:rsidR="00F96B2F" w:rsidRPr="00E96E9F">
              <w:rPr>
                <w:lang w:eastAsia="zh-CN"/>
              </w:rPr>
              <w:t xml:space="preserve"> </w:t>
            </w:r>
            <w:r w:rsidRPr="00E96E9F">
              <w:rPr>
                <w:lang w:eastAsia="zh-CN"/>
              </w:rPr>
              <w:t>randomized,</w:t>
            </w:r>
            <w:r w:rsidR="00F96B2F" w:rsidRPr="00E96E9F">
              <w:rPr>
                <w:lang w:eastAsia="zh-CN"/>
              </w:rPr>
              <w:t xml:space="preserve"> </w:t>
            </w:r>
            <w:proofErr w:type="spellStart"/>
            <w:r w:rsidRPr="00E96E9F">
              <w:rPr>
                <w:lang w:eastAsia="zh-CN"/>
              </w:rPr>
              <w:t>multicenter</w:t>
            </w:r>
            <w:proofErr w:type="spellEnd"/>
            <w:r w:rsidRPr="00E96E9F">
              <w:rPr>
                <w:lang w:eastAsia="zh-CN"/>
              </w:rPr>
              <w:t>,</w:t>
            </w:r>
            <w:r w:rsidR="00F96B2F" w:rsidRPr="00E96E9F">
              <w:rPr>
                <w:lang w:eastAsia="zh-CN"/>
              </w:rPr>
              <w:t xml:space="preserve"> </w:t>
            </w:r>
            <w:r w:rsidRPr="00E96E9F">
              <w:rPr>
                <w:lang w:eastAsia="zh-CN"/>
              </w:rPr>
              <w:t>12-month,</w:t>
            </w:r>
            <w:r w:rsidR="00F96B2F" w:rsidRPr="00E96E9F">
              <w:rPr>
                <w:lang w:eastAsia="zh-CN"/>
              </w:rPr>
              <w:t xml:space="preserve"> </w:t>
            </w:r>
            <w:proofErr w:type="gramStart"/>
            <w:r w:rsidRPr="00E96E9F">
              <w:rPr>
                <w:lang w:eastAsia="zh-CN"/>
              </w:rPr>
              <w:t>efficacy</w:t>
            </w:r>
            <w:proofErr w:type="gramEnd"/>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weekly</w:t>
            </w:r>
            <w:r w:rsidR="00F96B2F" w:rsidRPr="00E96E9F">
              <w:rPr>
                <w:lang w:eastAsia="zh-CN"/>
              </w:rPr>
              <w:t xml:space="preserve"> </w:t>
            </w:r>
            <w:r w:rsidRPr="00E96E9F">
              <w:rPr>
                <w:lang w:eastAsia="zh-CN"/>
              </w:rPr>
              <w:t>mod-4023</w:t>
            </w:r>
            <w:r w:rsidR="00F96B2F" w:rsidRPr="00E96E9F">
              <w:rPr>
                <w:lang w:eastAsia="zh-CN"/>
              </w:rPr>
              <w:t xml:space="preserve"> </w:t>
            </w:r>
            <w:r w:rsidRPr="00E96E9F">
              <w:rPr>
                <w:lang w:eastAsia="zh-CN"/>
              </w:rPr>
              <w:t>compared</w:t>
            </w:r>
            <w:r w:rsidR="00F96B2F" w:rsidRPr="00E96E9F">
              <w:rPr>
                <w:lang w:eastAsia="zh-CN"/>
              </w:rPr>
              <w:t xml:space="preserve"> </w:t>
            </w:r>
            <w:r w:rsidRPr="00E96E9F">
              <w:rPr>
                <w:lang w:eastAsia="zh-CN"/>
              </w:rPr>
              <w:t>to</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Genotropin®</w:t>
            </w:r>
            <w:r w:rsidR="00F96B2F" w:rsidRPr="00E96E9F">
              <w:rPr>
                <w:lang w:eastAsia="zh-CN"/>
              </w:rPr>
              <w:t xml:space="preserve"> </w:t>
            </w:r>
            <w:r w:rsidRPr="00E96E9F">
              <w:rPr>
                <w:lang w:eastAsia="zh-CN"/>
              </w:rPr>
              <w:t>therapy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Japanese</w:t>
            </w:r>
            <w:r w:rsidR="00F96B2F" w:rsidRPr="00E96E9F">
              <w:rPr>
                <w:lang w:eastAsia="zh-CN"/>
              </w:rPr>
              <w:t xml:space="preserve"> </w:t>
            </w:r>
            <w:r w:rsidRPr="00E96E9F">
              <w:rPr>
                <w:lang w:eastAsia="zh-CN"/>
              </w:rPr>
              <w:t>pre-pubertal</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715F44" w14:textId="0AC7608A" w:rsidR="00811E0E" w:rsidRPr="00E96E9F" w:rsidRDefault="00811E0E" w:rsidP="00057B36">
            <w:pPr>
              <w:pStyle w:val="TableText0"/>
              <w:keepNext w:val="0"/>
              <w:rPr>
                <w:rFonts w:ascii="Segoe UI" w:hAnsi="Segoe UI"/>
                <w:sz w:val="18"/>
                <w:szCs w:val="18"/>
                <w:lang w:eastAsia="zh-CN"/>
              </w:rPr>
            </w:pPr>
            <w:r w:rsidRPr="00E96E9F">
              <w:rPr>
                <w:lang w:eastAsia="zh-CN"/>
              </w:rPr>
              <w:t>10</w:t>
            </w:r>
            <w:r w:rsidR="00F96B2F" w:rsidRPr="00E96E9F">
              <w:rPr>
                <w:lang w:eastAsia="zh-CN"/>
              </w:rPr>
              <w:t xml:space="preserve"> </w:t>
            </w:r>
            <w:r w:rsidRPr="00E96E9F">
              <w:rPr>
                <w:lang w:eastAsia="zh-CN"/>
              </w:rPr>
              <w:t>December</w:t>
            </w:r>
            <w:r w:rsidR="00F96B2F" w:rsidRPr="00E96E9F">
              <w:rPr>
                <w:lang w:eastAsia="zh-CN"/>
              </w:rPr>
              <w:t xml:space="preserve"> </w:t>
            </w:r>
            <w:r w:rsidRPr="00E96E9F">
              <w:rPr>
                <w:lang w:eastAsia="zh-CN"/>
              </w:rPr>
              <w:t>2020.</w:t>
            </w:r>
            <w:r w:rsidR="00F96B2F" w:rsidRPr="00E96E9F">
              <w:rPr>
                <w:lang w:eastAsia="zh-CN"/>
              </w:rPr>
              <w:t xml:space="preserve"> </w:t>
            </w:r>
          </w:p>
        </w:tc>
      </w:tr>
      <w:tr w:rsidR="00811E0E" w:rsidRPr="00E96E9F" w14:paraId="763D957C" w14:textId="77777777" w:rsidTr="002D5BA0">
        <w:tc>
          <w:tcPr>
            <w:tcW w:w="729" w:type="pct"/>
            <w:tcBorders>
              <w:top w:val="nil"/>
              <w:left w:val="single" w:sz="6" w:space="0" w:color="auto"/>
              <w:bottom w:val="single" w:sz="6" w:space="0" w:color="auto"/>
              <w:right w:val="single" w:sz="6" w:space="0" w:color="auto"/>
            </w:tcBorders>
            <w:shd w:val="clear" w:color="auto" w:fill="auto"/>
            <w:vAlign w:val="center"/>
            <w:hideMark/>
          </w:tcPr>
          <w:p w14:paraId="6425EA8C" w14:textId="35B57115" w:rsidR="00811E0E" w:rsidRPr="00E96E9F" w:rsidRDefault="00811E0E" w:rsidP="00057B36">
            <w:pPr>
              <w:pStyle w:val="TableText0"/>
              <w:keepNext w:val="0"/>
              <w:rPr>
                <w:rFonts w:ascii="Segoe UI" w:hAnsi="Segoe UI"/>
                <w:sz w:val="18"/>
                <w:szCs w:val="18"/>
                <w:lang w:eastAsia="zh-CN"/>
              </w:rPr>
            </w:pPr>
            <w:r w:rsidRPr="00E96E9F">
              <w:rPr>
                <w:lang w:eastAsia="zh-CN"/>
              </w:rPr>
              <w:t>1002</w:t>
            </w:r>
            <w:r w:rsidR="00F96B2F" w:rsidRPr="00E96E9F">
              <w:rPr>
                <w:lang w:eastAsia="zh-CN"/>
              </w:rPr>
              <w:t xml:space="preserve"> </w:t>
            </w:r>
          </w:p>
        </w:tc>
        <w:tc>
          <w:tcPr>
            <w:tcW w:w="2764" w:type="pct"/>
            <w:tcBorders>
              <w:top w:val="nil"/>
              <w:left w:val="single" w:sz="6" w:space="0" w:color="auto"/>
              <w:bottom w:val="single" w:sz="6" w:space="0" w:color="auto"/>
              <w:right w:val="single" w:sz="6" w:space="0" w:color="auto"/>
            </w:tcBorders>
            <w:shd w:val="clear" w:color="auto" w:fill="auto"/>
            <w:vAlign w:val="center"/>
            <w:hideMark/>
          </w:tcPr>
          <w:p w14:paraId="1DA3E7C9" w14:textId="568C4BFD" w:rsidR="00811E0E" w:rsidRPr="00E96E9F" w:rsidRDefault="00811E0E" w:rsidP="00057B36">
            <w:pPr>
              <w:pStyle w:val="TableText0"/>
              <w:keepNext w:val="0"/>
              <w:rPr>
                <w:rFonts w:ascii="Segoe UI" w:hAnsi="Segoe UI"/>
                <w:sz w:val="18"/>
                <w:szCs w:val="18"/>
                <w:lang w:eastAsia="zh-CN"/>
              </w:rPr>
            </w:pPr>
            <w:r w:rsidRPr="00E96E9F">
              <w:rPr>
                <w:lang w:eastAsia="zh-CN"/>
              </w:rPr>
              <w:t>CSR:</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3,</w:t>
            </w:r>
            <w:r w:rsidR="00F96B2F" w:rsidRPr="00E96E9F">
              <w:rPr>
                <w:lang w:eastAsia="zh-CN"/>
              </w:rPr>
              <w:t xml:space="preserve"> </w:t>
            </w:r>
            <w:r w:rsidRPr="00E96E9F">
              <w:rPr>
                <w:lang w:eastAsia="zh-CN"/>
              </w:rPr>
              <w:t>randomized,</w:t>
            </w:r>
            <w:r w:rsidR="00F96B2F" w:rsidRPr="00E96E9F">
              <w:rPr>
                <w:lang w:eastAsia="zh-CN"/>
              </w:rPr>
              <w:t xml:space="preserve"> </w:t>
            </w:r>
            <w:proofErr w:type="spellStart"/>
            <w:r w:rsidRPr="00E96E9F">
              <w:rPr>
                <w:lang w:eastAsia="zh-CN"/>
              </w:rPr>
              <w:t>multicenter</w:t>
            </w:r>
            <w:proofErr w:type="spellEnd"/>
            <w:r w:rsidRPr="00E96E9F">
              <w:rPr>
                <w:lang w:eastAsia="zh-CN"/>
              </w:rPr>
              <w:t>,</w:t>
            </w:r>
            <w:r w:rsidR="00F96B2F" w:rsidRPr="00E96E9F">
              <w:rPr>
                <w:lang w:eastAsia="zh-CN"/>
              </w:rPr>
              <w:t xml:space="preserve"> </w:t>
            </w:r>
            <w:r w:rsidRPr="00E96E9F">
              <w:rPr>
                <w:lang w:eastAsia="zh-CN"/>
              </w:rPr>
              <w:t>open-label,</w:t>
            </w:r>
            <w:r w:rsidR="00F96B2F" w:rsidRPr="00E96E9F">
              <w:rPr>
                <w:lang w:eastAsia="zh-CN"/>
              </w:rPr>
              <w:t xml:space="preserve"> </w:t>
            </w:r>
            <w:r w:rsidRPr="00E96E9F">
              <w:rPr>
                <w:lang w:eastAsia="zh-CN"/>
              </w:rPr>
              <w:t>crossover</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assessing</w:t>
            </w:r>
            <w:r w:rsidR="00F96B2F" w:rsidRPr="00E96E9F">
              <w:rPr>
                <w:lang w:eastAsia="zh-CN"/>
              </w:rPr>
              <w:t xml:space="preserve"> </w:t>
            </w:r>
            <w:r w:rsidRPr="00E96E9F">
              <w:rPr>
                <w:lang w:eastAsia="zh-CN"/>
              </w:rPr>
              <w:t>subject</w:t>
            </w:r>
            <w:r w:rsidR="00F96B2F" w:rsidRPr="00E96E9F">
              <w:rPr>
                <w:lang w:eastAsia="zh-CN"/>
              </w:rPr>
              <w:t xml:space="preserve"> </w:t>
            </w:r>
            <w:r w:rsidRPr="00E96E9F">
              <w:rPr>
                <w:lang w:eastAsia="zh-CN"/>
              </w:rPr>
              <w:t>perception</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treatment</w:t>
            </w:r>
            <w:r w:rsidR="00F96B2F" w:rsidRPr="00E96E9F">
              <w:rPr>
                <w:lang w:eastAsia="zh-CN"/>
              </w:rPr>
              <w:t xml:space="preserve"> </w:t>
            </w:r>
            <w:r w:rsidRPr="00E96E9F">
              <w:rPr>
                <w:lang w:eastAsia="zh-CN"/>
              </w:rPr>
              <w:t>burden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use</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weekly</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w:t>
            </w:r>
            <w:proofErr w:type="spellStart"/>
            <w:r w:rsidRPr="00E96E9F">
              <w:rPr>
                <w:lang w:eastAsia="zh-CN"/>
              </w:rPr>
              <w:t>Somatrogon</w:t>
            </w:r>
            <w:proofErr w:type="spellEnd"/>
            <w:r w:rsidRPr="00E96E9F">
              <w:rPr>
                <w:lang w:eastAsia="zh-CN"/>
              </w:rPr>
              <w:t>)</w:t>
            </w:r>
            <w:r w:rsidR="00F96B2F" w:rsidRPr="00E96E9F">
              <w:rPr>
                <w:lang w:eastAsia="zh-CN"/>
              </w:rPr>
              <w:t xml:space="preserve"> </w:t>
            </w:r>
            <w:r w:rsidRPr="00E96E9F">
              <w:rPr>
                <w:lang w:eastAsia="zh-CN"/>
              </w:rPr>
              <w:t>versus</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(Genotropin®)</w:t>
            </w:r>
            <w:r w:rsidR="00F96B2F" w:rsidRPr="00E96E9F">
              <w:rPr>
                <w:lang w:eastAsia="zh-CN"/>
              </w:rPr>
              <w:t xml:space="preserve"> </w:t>
            </w:r>
            <w:r w:rsidRPr="00E96E9F">
              <w:rPr>
                <w:lang w:eastAsia="zh-CN"/>
              </w:rPr>
              <w:t>injections</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nil"/>
              <w:left w:val="single" w:sz="6" w:space="0" w:color="auto"/>
              <w:bottom w:val="single" w:sz="6" w:space="0" w:color="auto"/>
              <w:right w:val="single" w:sz="6" w:space="0" w:color="auto"/>
            </w:tcBorders>
            <w:shd w:val="clear" w:color="auto" w:fill="auto"/>
            <w:vAlign w:val="center"/>
            <w:hideMark/>
          </w:tcPr>
          <w:p w14:paraId="33FFC537" w14:textId="1EB7F78C" w:rsidR="00811E0E" w:rsidRPr="00E96E9F" w:rsidRDefault="00811E0E" w:rsidP="00057B36">
            <w:pPr>
              <w:pStyle w:val="TableText0"/>
              <w:keepNext w:val="0"/>
              <w:rPr>
                <w:rFonts w:ascii="Segoe UI" w:hAnsi="Segoe UI"/>
                <w:sz w:val="18"/>
                <w:szCs w:val="18"/>
                <w:lang w:eastAsia="zh-CN"/>
              </w:rPr>
            </w:pPr>
            <w:r w:rsidRPr="00E96E9F">
              <w:rPr>
                <w:lang w:eastAsia="zh-CN"/>
              </w:rPr>
              <w:t>17</w:t>
            </w:r>
            <w:r w:rsidR="00F96B2F" w:rsidRPr="00E96E9F">
              <w:rPr>
                <w:lang w:eastAsia="zh-CN"/>
              </w:rPr>
              <w:t xml:space="preserve"> </w:t>
            </w:r>
            <w:r w:rsidRPr="00E96E9F">
              <w:rPr>
                <w:lang w:eastAsia="zh-CN"/>
              </w:rPr>
              <w:t>December</w:t>
            </w:r>
            <w:r w:rsidR="00F96B2F" w:rsidRPr="00E96E9F">
              <w:rPr>
                <w:lang w:eastAsia="zh-CN"/>
              </w:rPr>
              <w:t xml:space="preserve"> </w:t>
            </w:r>
            <w:r w:rsidRPr="00E96E9F">
              <w:rPr>
                <w:lang w:eastAsia="zh-CN"/>
              </w:rPr>
              <w:t>2020.</w:t>
            </w:r>
            <w:r w:rsidR="00F96B2F" w:rsidRPr="00E96E9F">
              <w:rPr>
                <w:lang w:eastAsia="zh-CN"/>
              </w:rPr>
              <w:t xml:space="preserve"> </w:t>
            </w:r>
          </w:p>
        </w:tc>
      </w:tr>
      <w:tr w:rsidR="00811E0E" w:rsidRPr="00E96E9F" w14:paraId="7CBE92F0" w14:textId="77777777" w:rsidTr="002D5BA0">
        <w:tc>
          <w:tcPr>
            <w:tcW w:w="7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9CB354" w14:textId="4D9340C9" w:rsidR="00811E0E" w:rsidRPr="00E96E9F" w:rsidRDefault="00811E0E" w:rsidP="00057B36">
            <w:pPr>
              <w:pStyle w:val="TableText0"/>
              <w:keepNext w:val="0"/>
              <w:rPr>
                <w:rFonts w:ascii="Segoe UI" w:hAnsi="Segoe UI"/>
                <w:sz w:val="18"/>
                <w:szCs w:val="18"/>
                <w:lang w:eastAsia="zh-CN"/>
              </w:rPr>
            </w:pPr>
            <w:r w:rsidRPr="00E96E9F">
              <w:rPr>
                <w:lang w:eastAsia="zh-CN"/>
              </w:rPr>
              <w:t>4006</w:t>
            </w:r>
            <w:r w:rsidR="00F96B2F" w:rsidRPr="00E96E9F">
              <w:rPr>
                <w:lang w:eastAsia="zh-CN"/>
              </w:rPr>
              <w:t xml:space="preserve"> </w:t>
            </w:r>
            <w:r w:rsidRPr="00E96E9F">
              <w:rPr>
                <w:lang w:eastAsia="zh-CN"/>
              </w:rPr>
              <w:t>OLE</w:t>
            </w:r>
            <w:r w:rsidR="00F96B2F" w:rsidRPr="00E96E9F">
              <w:rPr>
                <w:lang w:eastAsia="zh-CN"/>
              </w:rPr>
              <w:t xml:space="preserve"> </w:t>
            </w:r>
          </w:p>
        </w:tc>
        <w:tc>
          <w:tcPr>
            <w:tcW w:w="27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986BF8" w14:textId="26C4B77E" w:rsidR="00811E0E" w:rsidRPr="00E96E9F" w:rsidRDefault="00811E0E" w:rsidP="00057B36">
            <w:pPr>
              <w:pStyle w:val="TableText0"/>
              <w:keepNext w:val="0"/>
              <w:rPr>
                <w:rFonts w:ascii="Segoe UI" w:hAnsi="Segoe UI"/>
                <w:sz w:val="18"/>
                <w:szCs w:val="18"/>
                <w:lang w:eastAsia="zh-CN"/>
              </w:rPr>
            </w:pPr>
            <w:proofErr w:type="spellStart"/>
            <w:r w:rsidRPr="00E96E9F">
              <w:rPr>
                <w:lang w:eastAsia="zh-CN"/>
              </w:rPr>
              <w:t>Wajnrajch</w:t>
            </w:r>
            <w:proofErr w:type="spellEnd"/>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Poster</w:t>
            </w:r>
            <w:r w:rsidR="00F96B2F" w:rsidRPr="00E96E9F">
              <w:rPr>
                <w:lang w:eastAsia="zh-CN"/>
              </w:rPr>
              <w:t xml:space="preserve"> </w:t>
            </w:r>
            <w:r w:rsidRPr="00E96E9F">
              <w:rPr>
                <w:lang w:eastAsia="zh-CN"/>
              </w:rPr>
              <w:t>7129:</w:t>
            </w:r>
            <w:r w:rsidR="00F96B2F" w:rsidRPr="00E96E9F">
              <w:rPr>
                <w:lang w:eastAsia="zh-CN"/>
              </w:rPr>
              <w:t xml:space="preserve"> </w:t>
            </w:r>
            <w:r w:rsidRPr="00E96E9F">
              <w:rPr>
                <w:lang w:eastAsia="zh-CN"/>
              </w:rPr>
              <w:t>Switch</w:t>
            </w:r>
            <w:r w:rsidR="00F96B2F" w:rsidRPr="00E96E9F">
              <w:rPr>
                <w:lang w:eastAsia="zh-CN"/>
              </w:rPr>
              <w:t xml:space="preserve"> </w:t>
            </w:r>
            <w:r w:rsidRPr="00E96E9F">
              <w:rPr>
                <w:lang w:eastAsia="zh-CN"/>
              </w:rPr>
              <w:t>Data</w:t>
            </w:r>
            <w:r w:rsidR="00F96B2F" w:rsidRPr="00E96E9F">
              <w:rPr>
                <w:lang w:eastAsia="zh-CN"/>
              </w:rPr>
              <w:t xml:space="preserve"> </w:t>
            </w:r>
            <w:proofErr w:type="gramStart"/>
            <w:r w:rsidRPr="00E96E9F">
              <w:rPr>
                <w:lang w:eastAsia="zh-CN"/>
              </w:rPr>
              <w:t>From</w:t>
            </w:r>
            <w:proofErr w:type="gramEnd"/>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Open-Label</w:t>
            </w:r>
            <w:r w:rsidR="00F96B2F" w:rsidRPr="00E96E9F">
              <w:rPr>
                <w:lang w:eastAsia="zh-CN"/>
              </w:rPr>
              <w:t xml:space="preserve"> </w:t>
            </w:r>
            <w:r w:rsidRPr="00E96E9F">
              <w:rPr>
                <w:lang w:eastAsia="zh-CN"/>
              </w:rPr>
              <w:t>Extension</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Pivotal</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3</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t>
            </w:r>
            <w:r w:rsidR="00F96B2F" w:rsidRPr="00E96E9F">
              <w:rPr>
                <w:lang w:eastAsia="zh-CN"/>
              </w:rPr>
              <w:t xml:space="preserve"> </w:t>
            </w:r>
            <w:r w:rsidRPr="00E96E9F">
              <w:rPr>
                <w:lang w:eastAsia="zh-CN"/>
              </w:rPr>
              <w:t>Weekly</w:t>
            </w:r>
            <w:r w:rsidR="00F96B2F" w:rsidRPr="00E96E9F">
              <w:rPr>
                <w:lang w:eastAsia="zh-CN"/>
              </w:rPr>
              <w:t xml:space="preserve"> </w:t>
            </w:r>
            <w:proofErr w:type="spellStart"/>
            <w:r w:rsidRPr="00E96E9F">
              <w:rPr>
                <w:lang w:eastAsia="zh-CN"/>
              </w:rPr>
              <w:t>Somatrogon</w:t>
            </w:r>
            <w:proofErr w:type="spellEnd"/>
            <w:r w:rsidR="00F96B2F" w:rsidRPr="00E96E9F">
              <w:rPr>
                <w:lang w:eastAsia="zh-CN"/>
              </w:rPr>
              <w:t xml:space="preserve"> </w:t>
            </w:r>
            <w:r w:rsidRPr="00E96E9F">
              <w:rPr>
                <w:lang w:eastAsia="zh-CN"/>
              </w:rPr>
              <w:t>Compared</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Somatropin</w:t>
            </w:r>
            <w:r w:rsidR="00F96B2F" w:rsidRPr="00E96E9F">
              <w:rPr>
                <w:lang w:eastAsia="zh-CN"/>
              </w:rPr>
              <w:t xml:space="preserve"> </w:t>
            </w:r>
            <w:r w:rsidRPr="00E96E9F">
              <w:rPr>
                <w:lang w:eastAsia="zh-CN"/>
              </w:rPr>
              <w:t>in</w:t>
            </w:r>
            <w:r w:rsidR="00F96B2F" w:rsidRPr="00E96E9F">
              <w:rPr>
                <w:lang w:eastAsia="zh-CN"/>
              </w:rPr>
              <w:t xml:space="preserve"> </w:t>
            </w:r>
            <w:proofErr w:type="spellStart"/>
            <w:r w:rsidRPr="00E96E9F">
              <w:rPr>
                <w:lang w:eastAsia="zh-CN"/>
              </w:rPr>
              <w:t>Pediatric</w:t>
            </w:r>
            <w:proofErr w:type="spellEnd"/>
            <w:r w:rsidR="00F96B2F" w:rsidRPr="00E96E9F">
              <w:rPr>
                <w:lang w:eastAsia="zh-CN"/>
              </w:rPr>
              <w:t xml:space="preserve"> </w:t>
            </w:r>
            <w:r w:rsidRPr="00E96E9F">
              <w:rPr>
                <w:lang w:eastAsia="zh-CN"/>
              </w:rPr>
              <w:t>Patients</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r w:rsidRPr="00E96E9F">
              <w:rPr>
                <w:lang w:eastAsia="zh-CN"/>
              </w:rPr>
              <w:t>(GHD).</w:t>
            </w:r>
            <w:r w:rsidR="00F96B2F" w:rsidRPr="00E96E9F">
              <w:rPr>
                <w:lang w:eastAsia="zh-CN"/>
              </w:rPr>
              <w:t xml:space="preserve"> </w:t>
            </w:r>
          </w:p>
        </w:tc>
        <w:tc>
          <w:tcPr>
            <w:tcW w:w="150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72C362" w14:textId="16BF8496" w:rsidR="00811E0E" w:rsidRPr="00E96E9F" w:rsidRDefault="00811E0E" w:rsidP="00057B36">
            <w:pPr>
              <w:pStyle w:val="TableText0"/>
              <w:keepNext w:val="0"/>
              <w:rPr>
                <w:rFonts w:ascii="Segoe UI" w:hAnsi="Segoe UI"/>
                <w:sz w:val="18"/>
                <w:szCs w:val="18"/>
                <w:lang w:eastAsia="zh-CN"/>
              </w:rPr>
            </w:pPr>
            <w:r w:rsidRPr="00E96E9F">
              <w:rPr>
                <w:lang w:eastAsia="zh-CN"/>
              </w:rPr>
              <w:t>Presented</w:t>
            </w:r>
            <w:r w:rsidR="00F96B2F" w:rsidRPr="00E96E9F">
              <w:rPr>
                <w:lang w:eastAsia="zh-CN"/>
              </w:rPr>
              <w:t xml:space="preserve"> </w:t>
            </w:r>
            <w:r w:rsidRPr="00E96E9F">
              <w:rPr>
                <w:lang w:eastAsia="zh-CN"/>
              </w:rPr>
              <w:t>at</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Endocrine</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(ENDO</w:t>
            </w:r>
            <w:r w:rsidR="00F96B2F" w:rsidRPr="00E96E9F">
              <w:rPr>
                <w:lang w:eastAsia="zh-CN"/>
              </w:rPr>
              <w:t xml:space="preserve"> </w:t>
            </w:r>
            <w:r w:rsidRPr="00E96E9F">
              <w:rPr>
                <w:lang w:eastAsia="zh-CN"/>
              </w:rPr>
              <w:t>2021);</w:t>
            </w:r>
            <w:r w:rsidR="00F96B2F" w:rsidRPr="00E96E9F">
              <w:rPr>
                <w:lang w:eastAsia="zh-CN"/>
              </w:rPr>
              <w:t xml:space="preserve"> </w:t>
            </w:r>
            <w:r w:rsidRPr="00E96E9F">
              <w:rPr>
                <w:lang w:eastAsia="zh-CN"/>
              </w:rPr>
              <w:t>March</w:t>
            </w:r>
            <w:r w:rsidR="00F96B2F" w:rsidRPr="00E96E9F">
              <w:rPr>
                <w:lang w:eastAsia="zh-CN"/>
              </w:rPr>
              <w:t xml:space="preserve"> </w:t>
            </w:r>
            <w:r w:rsidRPr="00E96E9F">
              <w:rPr>
                <w:lang w:eastAsia="zh-CN"/>
              </w:rPr>
              <w:t>20–23,</w:t>
            </w:r>
            <w:r w:rsidR="00F96B2F" w:rsidRPr="00E96E9F">
              <w:rPr>
                <w:lang w:eastAsia="zh-CN"/>
              </w:rPr>
              <w:t xml:space="preserve"> </w:t>
            </w:r>
            <w:r w:rsidRPr="00E96E9F">
              <w:rPr>
                <w:lang w:eastAsia="zh-CN"/>
              </w:rPr>
              <w:t>2021.</w:t>
            </w:r>
            <w:r w:rsidR="00F96B2F" w:rsidRPr="00E96E9F">
              <w:rPr>
                <w:lang w:eastAsia="zh-CN"/>
              </w:rPr>
              <w:t xml:space="preserve"> </w:t>
            </w:r>
          </w:p>
        </w:tc>
      </w:tr>
      <w:tr w:rsidR="00811E0E" w:rsidRPr="00E96E9F" w14:paraId="0D658822" w14:textId="77777777" w:rsidTr="002D5BA0">
        <w:tc>
          <w:tcPr>
            <w:tcW w:w="729" w:type="pct"/>
            <w:tcBorders>
              <w:top w:val="single" w:sz="6" w:space="0" w:color="auto"/>
              <w:left w:val="single" w:sz="6" w:space="0" w:color="auto"/>
              <w:bottom w:val="nil"/>
              <w:right w:val="single" w:sz="6" w:space="0" w:color="auto"/>
            </w:tcBorders>
            <w:shd w:val="clear" w:color="auto" w:fill="auto"/>
            <w:vAlign w:val="center"/>
            <w:hideMark/>
          </w:tcPr>
          <w:p w14:paraId="361809A2" w14:textId="70C6E73B"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single" w:sz="6" w:space="0" w:color="auto"/>
              <w:left w:val="single" w:sz="6" w:space="0" w:color="auto"/>
              <w:bottom w:val="nil"/>
              <w:right w:val="single" w:sz="6" w:space="0" w:color="auto"/>
            </w:tcBorders>
            <w:shd w:val="clear" w:color="auto" w:fill="auto"/>
            <w:vAlign w:val="center"/>
            <w:hideMark/>
          </w:tcPr>
          <w:p w14:paraId="53365CD9" w14:textId="5D491528" w:rsidR="00811E0E" w:rsidRPr="00E96E9F" w:rsidRDefault="00811E0E" w:rsidP="00057B36">
            <w:pPr>
              <w:pStyle w:val="TableText0"/>
              <w:keepNext w:val="0"/>
              <w:rPr>
                <w:rFonts w:ascii="Segoe UI" w:hAnsi="Segoe UI"/>
                <w:sz w:val="18"/>
                <w:szCs w:val="18"/>
                <w:lang w:eastAsia="zh-CN"/>
              </w:rPr>
            </w:pPr>
            <w:proofErr w:type="spellStart"/>
            <w:r w:rsidRPr="00E96E9F">
              <w:rPr>
                <w:lang w:eastAsia="zh-CN"/>
              </w:rPr>
              <w:t>Pastrak</w:t>
            </w:r>
            <w:proofErr w:type="spellEnd"/>
            <w:r w:rsidR="00F96B2F" w:rsidRPr="00E96E9F">
              <w:rPr>
                <w:lang w:eastAsia="zh-CN"/>
              </w:rPr>
              <w:t xml:space="preserve"> </w:t>
            </w:r>
            <w:r w:rsidRPr="00BF1BFB">
              <w:rPr>
                <w:iCs/>
                <w:lang w:eastAsia="zh-CN"/>
              </w:rPr>
              <w:t>et</w:t>
            </w:r>
            <w:r w:rsidR="00F96B2F" w:rsidRPr="00BF1BFB">
              <w:rPr>
                <w:iCs/>
                <w:lang w:eastAsia="zh-CN"/>
              </w:rPr>
              <w:t xml:space="preserve"> </w:t>
            </w:r>
            <w:r w:rsidRPr="00BF1BFB">
              <w:rPr>
                <w:iCs/>
                <w:lang w:eastAsia="zh-CN"/>
              </w:rPr>
              <w:t>al.</w:t>
            </w:r>
            <w:r w:rsidR="00F96B2F" w:rsidRPr="00E96E9F">
              <w:rPr>
                <w:lang w:eastAsia="zh-CN"/>
              </w:rPr>
              <w:t xml:space="preserve"> </w:t>
            </w:r>
            <w:proofErr w:type="gramStart"/>
            <w:r w:rsidRPr="00E96E9F">
              <w:rPr>
                <w:lang w:eastAsia="zh-CN"/>
              </w:rPr>
              <w:t>Long</w:t>
            </w:r>
            <w:r w:rsidR="00F96B2F" w:rsidRPr="00E96E9F">
              <w:rPr>
                <w:lang w:eastAsia="zh-CN"/>
              </w:rPr>
              <w:t xml:space="preserve"> </w:t>
            </w:r>
            <w:r w:rsidRPr="00E96E9F">
              <w:rPr>
                <w:lang w:eastAsia="zh-CN"/>
              </w:rPr>
              <w:t>Term</w:t>
            </w:r>
            <w:proofErr w:type="gramEnd"/>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and</w:t>
            </w:r>
            <w:r w:rsidR="00F96B2F" w:rsidRPr="00E96E9F">
              <w:rPr>
                <w:lang w:eastAsia="zh-CN"/>
              </w:rPr>
              <w:t xml:space="preserve"> </w:t>
            </w:r>
            <w:r w:rsidRPr="00E96E9F">
              <w:rPr>
                <w:lang w:eastAsia="zh-CN"/>
              </w:rPr>
              <w:t>Efficacy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once-weekly</w:t>
            </w:r>
            <w:r w:rsidR="00F96B2F" w:rsidRPr="00E96E9F">
              <w:rPr>
                <w:lang w:eastAsia="zh-CN"/>
              </w:rPr>
              <w:t xml:space="preserve"> </w:t>
            </w:r>
            <w:proofErr w:type="spellStart"/>
            <w:r w:rsidRPr="00E96E9F">
              <w:rPr>
                <w:lang w:eastAsia="zh-CN"/>
              </w:rPr>
              <w:t>Somatrogon</w:t>
            </w:r>
            <w:proofErr w:type="spellEnd"/>
            <w:r w:rsidR="00F96B2F" w:rsidRPr="00E96E9F">
              <w:rPr>
                <w:lang w:eastAsia="zh-CN"/>
              </w:rPr>
              <w:t xml:space="preserve"> </w:t>
            </w:r>
            <w:r w:rsidRPr="00E96E9F">
              <w:rPr>
                <w:lang w:eastAsia="zh-CN"/>
              </w:rPr>
              <w:t>(</w:t>
            </w:r>
            <w:proofErr w:type="spellStart"/>
            <w:r w:rsidRPr="00E96E9F">
              <w:rPr>
                <w:lang w:eastAsia="zh-CN"/>
              </w:rPr>
              <w:t>hGH</w:t>
            </w:r>
            <w:proofErr w:type="spellEnd"/>
            <w:r w:rsidRPr="00E96E9F">
              <w:rPr>
                <w:lang w:eastAsia="zh-CN"/>
              </w:rPr>
              <w:t>-CTP):</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5-year</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Extension</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single" w:sz="6" w:space="0" w:color="auto"/>
              <w:left w:val="single" w:sz="6" w:space="0" w:color="auto"/>
              <w:bottom w:val="nil"/>
              <w:right w:val="single" w:sz="6" w:space="0" w:color="auto"/>
            </w:tcBorders>
            <w:shd w:val="clear" w:color="auto" w:fill="auto"/>
            <w:vAlign w:val="center"/>
            <w:hideMark/>
          </w:tcPr>
          <w:p w14:paraId="4D40414D" w14:textId="77777777" w:rsidR="00E5129A" w:rsidRPr="00E96E9F" w:rsidRDefault="00811E0E" w:rsidP="00057B36">
            <w:pPr>
              <w:pStyle w:val="TableText0"/>
              <w:keepNext w:val="0"/>
              <w:rPr>
                <w:lang w:eastAsia="zh-CN"/>
              </w:rPr>
            </w:pPr>
            <w:proofErr w:type="spellStart"/>
            <w:r w:rsidRPr="00E96E9F">
              <w:rPr>
                <w:lang w:eastAsia="zh-CN"/>
              </w:rPr>
              <w:t>Horm</w:t>
            </w:r>
            <w:proofErr w:type="spellEnd"/>
            <w:r w:rsidR="00F96B2F" w:rsidRPr="00E96E9F">
              <w:rPr>
                <w:lang w:eastAsia="zh-CN"/>
              </w:rPr>
              <w:t xml:space="preserve"> </w:t>
            </w:r>
            <w:r w:rsidRPr="00E96E9F">
              <w:rPr>
                <w:lang w:eastAsia="zh-CN"/>
              </w:rPr>
              <w:t>Res</w:t>
            </w:r>
            <w:r w:rsidR="00F96B2F" w:rsidRPr="00E96E9F">
              <w:rPr>
                <w:lang w:eastAsia="zh-CN"/>
              </w:rPr>
              <w:t xml:space="preserve"> </w:t>
            </w:r>
            <w:proofErr w:type="spellStart"/>
            <w:r w:rsidRPr="00E96E9F">
              <w:rPr>
                <w:lang w:eastAsia="zh-CN"/>
              </w:rPr>
              <w:t>Paediatr</w:t>
            </w:r>
            <w:proofErr w:type="spellEnd"/>
            <w:r w:rsidR="00F96B2F" w:rsidRPr="00E96E9F">
              <w:rPr>
                <w:lang w:eastAsia="zh-CN"/>
              </w:rPr>
              <w:t xml:space="preserve"> </w:t>
            </w:r>
            <w:r w:rsidRPr="00E96E9F">
              <w:rPr>
                <w:lang w:eastAsia="zh-CN"/>
              </w:rPr>
              <w:t>2020;</w:t>
            </w:r>
            <w:r w:rsidR="00F96B2F" w:rsidRPr="00E96E9F">
              <w:rPr>
                <w:lang w:eastAsia="zh-CN"/>
              </w:rPr>
              <w:t xml:space="preserve"> </w:t>
            </w:r>
            <w:r w:rsidRPr="00E96E9F">
              <w:rPr>
                <w:lang w:eastAsia="zh-CN"/>
              </w:rPr>
              <w:t>93</w:t>
            </w:r>
            <w:r w:rsidR="00F96B2F" w:rsidRPr="00E96E9F">
              <w:rPr>
                <w:lang w:eastAsia="zh-CN"/>
              </w:rPr>
              <w:t xml:space="preserve"> </w:t>
            </w:r>
            <w:r w:rsidRPr="00E96E9F">
              <w:rPr>
                <w:lang w:eastAsia="zh-CN"/>
              </w:rPr>
              <w:t>(suppl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p68.</w:t>
            </w:r>
          </w:p>
          <w:p w14:paraId="543842BF" w14:textId="09C7B390"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r>
      <w:tr w:rsidR="00811E0E" w:rsidRPr="00E96E9F" w14:paraId="76E6FCB5" w14:textId="77777777" w:rsidTr="002D5BA0">
        <w:tc>
          <w:tcPr>
            <w:tcW w:w="729" w:type="pct"/>
            <w:tcBorders>
              <w:top w:val="nil"/>
              <w:left w:val="single" w:sz="6" w:space="0" w:color="auto"/>
              <w:bottom w:val="nil"/>
              <w:right w:val="single" w:sz="6" w:space="0" w:color="auto"/>
            </w:tcBorders>
            <w:shd w:val="clear" w:color="auto" w:fill="auto"/>
            <w:vAlign w:val="center"/>
            <w:hideMark/>
          </w:tcPr>
          <w:p w14:paraId="0B2445AA" w14:textId="454C282E" w:rsidR="00811E0E" w:rsidRPr="00E96E9F" w:rsidRDefault="00811E0E" w:rsidP="00057B36">
            <w:pPr>
              <w:pStyle w:val="TableText0"/>
              <w:keepNext w:val="0"/>
              <w:rPr>
                <w:rFonts w:ascii="Segoe UI" w:hAnsi="Segoe UI"/>
                <w:sz w:val="18"/>
                <w:szCs w:val="18"/>
                <w:lang w:eastAsia="zh-CN"/>
              </w:rPr>
            </w:pPr>
            <w:r w:rsidRPr="00E96E9F">
              <w:rPr>
                <w:lang w:eastAsia="zh-CN"/>
              </w:rPr>
              <w:t>4004</w:t>
            </w:r>
            <w:r w:rsidR="00F96B2F" w:rsidRPr="00E96E9F">
              <w:rPr>
                <w:lang w:eastAsia="zh-CN"/>
              </w:rPr>
              <w:t xml:space="preserve"> </w:t>
            </w:r>
            <w:r w:rsidRPr="00E96E9F">
              <w:rPr>
                <w:lang w:eastAsia="zh-CN"/>
              </w:rPr>
              <w:t>OLE</w:t>
            </w:r>
            <w:r w:rsidR="00F96B2F" w:rsidRPr="00E96E9F">
              <w:rPr>
                <w:lang w:eastAsia="zh-CN"/>
              </w:rPr>
              <w:t xml:space="preserve"> </w:t>
            </w:r>
          </w:p>
        </w:tc>
        <w:tc>
          <w:tcPr>
            <w:tcW w:w="2764" w:type="pct"/>
            <w:tcBorders>
              <w:top w:val="nil"/>
              <w:left w:val="single" w:sz="6" w:space="0" w:color="auto"/>
              <w:bottom w:val="nil"/>
              <w:right w:val="single" w:sz="6" w:space="0" w:color="auto"/>
            </w:tcBorders>
            <w:shd w:val="clear" w:color="auto" w:fill="auto"/>
            <w:vAlign w:val="center"/>
            <w:hideMark/>
          </w:tcPr>
          <w:p w14:paraId="35160456" w14:textId="77777777" w:rsidR="00E5129A" w:rsidRPr="00E96E9F" w:rsidRDefault="00E5129A" w:rsidP="00057B36">
            <w:pPr>
              <w:pStyle w:val="TableText0"/>
              <w:keepNext w:val="0"/>
              <w:rPr>
                <w:lang w:eastAsia="zh-CN"/>
              </w:rPr>
            </w:pPr>
          </w:p>
          <w:p w14:paraId="2427344F" w14:textId="25F333EA" w:rsidR="00811E0E" w:rsidRPr="00E96E9F" w:rsidRDefault="00811E0E" w:rsidP="00057B36">
            <w:pPr>
              <w:pStyle w:val="TableText0"/>
              <w:keepNext w:val="0"/>
              <w:rPr>
                <w:rFonts w:ascii="Segoe UI" w:hAnsi="Segoe UI"/>
                <w:sz w:val="18"/>
                <w:szCs w:val="18"/>
                <w:lang w:eastAsia="zh-CN"/>
              </w:rPr>
            </w:pPr>
            <w:r w:rsidRPr="00E96E9F">
              <w:rPr>
                <w:lang w:eastAsia="zh-CN"/>
              </w:rPr>
              <w:t>Zadik</w:t>
            </w:r>
            <w:r w:rsidR="00F96B2F" w:rsidRPr="00E96E9F">
              <w:rPr>
                <w:lang w:eastAsia="zh-CN"/>
              </w:rPr>
              <w:t xml:space="preserve"> </w:t>
            </w:r>
            <w:r w:rsidRPr="00E96E9F">
              <w:rPr>
                <w:lang w:eastAsia="zh-CN"/>
              </w:rPr>
              <w:t>et</w:t>
            </w:r>
            <w:r w:rsidR="00F96B2F" w:rsidRPr="00E96E9F">
              <w:rPr>
                <w:lang w:eastAsia="zh-CN"/>
              </w:rPr>
              <w:t xml:space="preserve"> </w:t>
            </w:r>
            <w:r w:rsidRPr="00E96E9F">
              <w:rPr>
                <w:lang w:eastAsia="zh-CN"/>
              </w:rPr>
              <w:t>al.</w:t>
            </w:r>
            <w:r w:rsidR="00F96B2F" w:rsidRPr="00E96E9F">
              <w:rPr>
                <w:lang w:eastAsia="zh-CN"/>
              </w:rPr>
              <w:t xml:space="preserve"> </w:t>
            </w:r>
            <w:r w:rsidRPr="00E96E9F">
              <w:rPr>
                <w:lang w:eastAsia="zh-CN"/>
              </w:rPr>
              <w:t>Poster</w:t>
            </w:r>
            <w:r w:rsidR="00F96B2F" w:rsidRPr="00E96E9F">
              <w:rPr>
                <w:lang w:eastAsia="zh-CN"/>
              </w:rPr>
              <w:t xml:space="preserve"> </w:t>
            </w:r>
            <w:r w:rsidRPr="00E96E9F">
              <w:rPr>
                <w:lang w:eastAsia="zh-CN"/>
              </w:rPr>
              <w:t>6887:</w:t>
            </w:r>
            <w:r w:rsidR="00F96B2F" w:rsidRPr="00E96E9F">
              <w:rPr>
                <w:lang w:eastAsia="zh-CN"/>
              </w:rPr>
              <w:t xml:space="preserve"> </w:t>
            </w:r>
            <w:r w:rsidRPr="00E96E9F">
              <w:rPr>
                <w:lang w:eastAsia="zh-CN"/>
              </w:rPr>
              <w:t>Results</w:t>
            </w:r>
            <w:r w:rsidR="00F96B2F" w:rsidRPr="00E96E9F">
              <w:rPr>
                <w:lang w:eastAsia="zh-CN"/>
              </w:rPr>
              <w:t xml:space="preserve"> </w:t>
            </w:r>
            <w:proofErr w:type="gramStart"/>
            <w:r w:rsidRPr="00E96E9F">
              <w:rPr>
                <w:lang w:eastAsia="zh-CN"/>
              </w:rPr>
              <w:t>From</w:t>
            </w:r>
            <w:proofErr w:type="gramEnd"/>
            <w:r w:rsidR="00F96B2F" w:rsidRPr="00E96E9F">
              <w:rPr>
                <w:lang w:eastAsia="zh-CN"/>
              </w:rPr>
              <w:t xml:space="preserve"> </w:t>
            </w:r>
            <w:r w:rsidRPr="00E96E9F">
              <w:rPr>
                <w:lang w:eastAsia="zh-CN"/>
              </w:rPr>
              <w:t>an</w:t>
            </w:r>
            <w:r w:rsidR="00F96B2F" w:rsidRPr="00E96E9F">
              <w:rPr>
                <w:lang w:eastAsia="zh-CN"/>
              </w:rPr>
              <w:t xml:space="preserve"> </w:t>
            </w:r>
            <w:r w:rsidRPr="00E96E9F">
              <w:rPr>
                <w:lang w:eastAsia="zh-CN"/>
              </w:rPr>
              <w:t>Open-Label</w:t>
            </w:r>
            <w:r w:rsidR="00F96B2F" w:rsidRPr="00E96E9F">
              <w:rPr>
                <w:lang w:eastAsia="zh-CN"/>
              </w:rPr>
              <w:t xml:space="preserve"> </w:t>
            </w:r>
            <w:r w:rsidRPr="00E96E9F">
              <w:rPr>
                <w:lang w:eastAsia="zh-CN"/>
              </w:rPr>
              <w:t>Extension</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Dose-Finding</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Once</w:t>
            </w:r>
            <w:r w:rsidR="00F96B2F" w:rsidRPr="00E96E9F">
              <w:rPr>
                <w:lang w:eastAsia="zh-CN"/>
              </w:rPr>
              <w:t xml:space="preserve"> </w:t>
            </w:r>
            <w:r w:rsidRPr="00E96E9F">
              <w:rPr>
                <w:lang w:eastAsia="zh-CN"/>
              </w:rPr>
              <w:t>Weekly</w:t>
            </w:r>
            <w:r w:rsidR="00F96B2F" w:rsidRPr="00E96E9F">
              <w:rPr>
                <w:lang w:eastAsia="zh-CN"/>
              </w:rPr>
              <w:t xml:space="preserve"> </w:t>
            </w:r>
            <w:proofErr w:type="spellStart"/>
            <w:r w:rsidRPr="00E96E9F">
              <w:rPr>
                <w:lang w:eastAsia="zh-CN"/>
              </w:rPr>
              <w:t>Somatrogon</w:t>
            </w:r>
            <w:proofErr w:type="spellEnd"/>
            <w:r w:rsidR="00F96B2F" w:rsidRPr="00E96E9F">
              <w:rPr>
                <w:lang w:eastAsia="zh-CN"/>
              </w:rPr>
              <w:t xml:space="preserve"> </w:t>
            </w:r>
            <w:r w:rsidRPr="00E96E9F">
              <w:rPr>
                <w:lang w:eastAsia="zh-CN"/>
              </w:rPr>
              <w:t>vs</w:t>
            </w:r>
            <w:r w:rsidR="00F96B2F" w:rsidRPr="00E96E9F">
              <w:rPr>
                <w:lang w:eastAsia="zh-CN"/>
              </w:rPr>
              <w:t xml:space="preserve"> </w:t>
            </w:r>
            <w:r w:rsidRPr="00E96E9F">
              <w:rPr>
                <w:lang w:eastAsia="zh-CN"/>
              </w:rPr>
              <w:t>Daily</w:t>
            </w:r>
            <w:r w:rsidR="00F96B2F" w:rsidRPr="00E96E9F">
              <w:rPr>
                <w:lang w:eastAsia="zh-CN"/>
              </w:rPr>
              <w:t xml:space="preserve"> </w:t>
            </w:r>
            <w:r w:rsidRPr="00E96E9F">
              <w:rPr>
                <w:lang w:eastAsia="zh-CN"/>
              </w:rPr>
              <w:t>Genotropin</w:t>
            </w:r>
            <w:r w:rsidR="00F96B2F" w:rsidRPr="00E96E9F">
              <w:rPr>
                <w:lang w:eastAsia="zh-CN"/>
              </w:rPr>
              <w:t xml:space="preserve"> </w:t>
            </w:r>
            <w:r w:rsidRPr="00E96E9F">
              <w:rPr>
                <w:lang w:eastAsia="zh-CN"/>
              </w:rPr>
              <w:t>in</w:t>
            </w:r>
            <w:r w:rsidR="00F96B2F" w:rsidRPr="00E96E9F">
              <w:rPr>
                <w:lang w:eastAsia="zh-CN"/>
              </w:rPr>
              <w:t xml:space="preserve"> </w:t>
            </w:r>
            <w:proofErr w:type="spellStart"/>
            <w:r w:rsidRPr="00E96E9F">
              <w:rPr>
                <w:lang w:eastAsia="zh-CN"/>
              </w:rPr>
              <w:t>Pediatric</w:t>
            </w:r>
            <w:proofErr w:type="spellEnd"/>
            <w:r w:rsidR="00F96B2F" w:rsidRPr="00E96E9F">
              <w:rPr>
                <w:lang w:eastAsia="zh-CN"/>
              </w:rPr>
              <w:t xml:space="preserve"> </w:t>
            </w:r>
            <w:r w:rsidRPr="00E96E9F">
              <w:rPr>
                <w:lang w:eastAsia="zh-CN"/>
              </w:rPr>
              <w:t>Patients</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r w:rsidRPr="00E96E9F">
              <w:rPr>
                <w:lang w:eastAsia="zh-CN"/>
              </w:rPr>
              <w:t>(GHD).</w:t>
            </w:r>
            <w:r w:rsidR="00F96B2F" w:rsidRPr="00E96E9F">
              <w:rPr>
                <w:lang w:eastAsia="zh-CN"/>
              </w:rPr>
              <w:t xml:space="preserve"> </w:t>
            </w:r>
          </w:p>
        </w:tc>
        <w:tc>
          <w:tcPr>
            <w:tcW w:w="1508" w:type="pct"/>
            <w:tcBorders>
              <w:top w:val="nil"/>
              <w:left w:val="single" w:sz="6" w:space="0" w:color="auto"/>
              <w:bottom w:val="nil"/>
              <w:right w:val="single" w:sz="6" w:space="0" w:color="auto"/>
            </w:tcBorders>
            <w:shd w:val="clear" w:color="auto" w:fill="auto"/>
            <w:vAlign w:val="center"/>
            <w:hideMark/>
          </w:tcPr>
          <w:p w14:paraId="28B11728" w14:textId="77777777" w:rsidR="00E5129A" w:rsidRPr="00E96E9F" w:rsidRDefault="00E5129A" w:rsidP="00057B36">
            <w:pPr>
              <w:pStyle w:val="TableText0"/>
              <w:keepNext w:val="0"/>
              <w:rPr>
                <w:lang w:eastAsia="zh-CN"/>
              </w:rPr>
            </w:pPr>
          </w:p>
          <w:p w14:paraId="16B07932" w14:textId="77777777" w:rsidR="00E5129A" w:rsidRPr="00E96E9F" w:rsidRDefault="00811E0E" w:rsidP="00057B36">
            <w:pPr>
              <w:pStyle w:val="TableText0"/>
              <w:keepNext w:val="0"/>
              <w:rPr>
                <w:lang w:eastAsia="zh-CN"/>
              </w:rPr>
            </w:pPr>
            <w:r w:rsidRPr="00E96E9F">
              <w:rPr>
                <w:lang w:eastAsia="zh-CN"/>
              </w:rPr>
              <w:t>Presented</w:t>
            </w:r>
            <w:r w:rsidR="00F96B2F" w:rsidRPr="00E96E9F">
              <w:rPr>
                <w:lang w:eastAsia="zh-CN"/>
              </w:rPr>
              <w:t xml:space="preserve"> </w:t>
            </w:r>
            <w:r w:rsidRPr="00E96E9F">
              <w:rPr>
                <w:lang w:eastAsia="zh-CN"/>
              </w:rPr>
              <w:t>at</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Annual</w:t>
            </w:r>
            <w:r w:rsidR="00F96B2F" w:rsidRPr="00E96E9F">
              <w:rPr>
                <w:lang w:eastAsia="zh-CN"/>
              </w:rPr>
              <w:t xml:space="preserve"> </w:t>
            </w:r>
            <w:r w:rsidRPr="00E96E9F">
              <w:rPr>
                <w:lang w:eastAsia="zh-CN"/>
              </w:rPr>
              <w:t>Meeting</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the</w:t>
            </w:r>
            <w:r w:rsidR="00F96B2F" w:rsidRPr="00E96E9F">
              <w:rPr>
                <w:lang w:eastAsia="zh-CN"/>
              </w:rPr>
              <w:t xml:space="preserve"> </w:t>
            </w:r>
            <w:r w:rsidRPr="00E96E9F">
              <w:rPr>
                <w:lang w:eastAsia="zh-CN"/>
              </w:rPr>
              <w:t>Endocrine</w:t>
            </w:r>
            <w:r w:rsidR="00F96B2F" w:rsidRPr="00E96E9F">
              <w:rPr>
                <w:lang w:eastAsia="zh-CN"/>
              </w:rPr>
              <w:t xml:space="preserve"> </w:t>
            </w:r>
            <w:r w:rsidRPr="00E96E9F">
              <w:rPr>
                <w:lang w:eastAsia="zh-CN"/>
              </w:rPr>
              <w:t>Society</w:t>
            </w:r>
            <w:r w:rsidR="00F96B2F" w:rsidRPr="00E96E9F">
              <w:rPr>
                <w:lang w:eastAsia="zh-CN"/>
              </w:rPr>
              <w:t xml:space="preserve"> </w:t>
            </w:r>
            <w:r w:rsidRPr="00E96E9F">
              <w:rPr>
                <w:lang w:eastAsia="zh-CN"/>
              </w:rPr>
              <w:t>(ENDO</w:t>
            </w:r>
            <w:r w:rsidR="00F96B2F" w:rsidRPr="00E96E9F">
              <w:rPr>
                <w:lang w:eastAsia="zh-CN"/>
              </w:rPr>
              <w:t xml:space="preserve"> </w:t>
            </w:r>
            <w:r w:rsidRPr="00E96E9F">
              <w:rPr>
                <w:lang w:eastAsia="zh-CN"/>
              </w:rPr>
              <w:t>2021);</w:t>
            </w:r>
            <w:r w:rsidR="00F96B2F" w:rsidRPr="00E96E9F">
              <w:rPr>
                <w:lang w:eastAsia="zh-CN"/>
              </w:rPr>
              <w:t xml:space="preserve"> </w:t>
            </w:r>
            <w:r w:rsidRPr="00E96E9F">
              <w:rPr>
                <w:lang w:eastAsia="zh-CN"/>
              </w:rPr>
              <w:t>March</w:t>
            </w:r>
            <w:r w:rsidR="00F96B2F" w:rsidRPr="00E96E9F">
              <w:rPr>
                <w:lang w:eastAsia="zh-CN"/>
              </w:rPr>
              <w:t xml:space="preserve"> </w:t>
            </w:r>
            <w:r w:rsidRPr="00E96E9F">
              <w:rPr>
                <w:lang w:eastAsia="zh-CN"/>
              </w:rPr>
              <w:t>20–23,</w:t>
            </w:r>
            <w:r w:rsidR="00F96B2F" w:rsidRPr="00E96E9F">
              <w:rPr>
                <w:lang w:eastAsia="zh-CN"/>
              </w:rPr>
              <w:t xml:space="preserve"> </w:t>
            </w:r>
            <w:r w:rsidRPr="00E96E9F">
              <w:rPr>
                <w:lang w:eastAsia="zh-CN"/>
              </w:rPr>
              <w:t>2021.</w:t>
            </w:r>
          </w:p>
          <w:p w14:paraId="2119D401" w14:textId="2CD2310D"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r>
      <w:tr w:rsidR="00811E0E" w:rsidRPr="00E96E9F" w14:paraId="13F7509E" w14:textId="77777777" w:rsidTr="002D5BA0">
        <w:tc>
          <w:tcPr>
            <w:tcW w:w="729" w:type="pct"/>
            <w:tcBorders>
              <w:top w:val="nil"/>
              <w:left w:val="single" w:sz="6" w:space="0" w:color="auto"/>
              <w:bottom w:val="single" w:sz="6" w:space="0" w:color="auto"/>
              <w:right w:val="single" w:sz="6" w:space="0" w:color="auto"/>
            </w:tcBorders>
            <w:shd w:val="clear" w:color="auto" w:fill="auto"/>
            <w:vAlign w:val="center"/>
            <w:hideMark/>
          </w:tcPr>
          <w:p w14:paraId="0B2632DB" w14:textId="77777777" w:rsidR="00E5129A" w:rsidRPr="00E96E9F" w:rsidRDefault="00E5129A" w:rsidP="00057B36">
            <w:pPr>
              <w:pStyle w:val="TableText0"/>
              <w:keepNext w:val="0"/>
              <w:rPr>
                <w:lang w:eastAsia="zh-CN"/>
              </w:rPr>
            </w:pPr>
          </w:p>
          <w:p w14:paraId="529BE0C9" w14:textId="2BB7A9DA" w:rsidR="00811E0E" w:rsidRPr="00E96E9F" w:rsidRDefault="00F96B2F" w:rsidP="00057B36">
            <w:pPr>
              <w:pStyle w:val="TableText0"/>
              <w:keepNext w:val="0"/>
              <w:rPr>
                <w:rFonts w:ascii="Segoe UI" w:hAnsi="Segoe UI"/>
                <w:sz w:val="18"/>
                <w:szCs w:val="18"/>
                <w:lang w:eastAsia="zh-CN"/>
              </w:rPr>
            </w:pPr>
            <w:r w:rsidRPr="00E96E9F">
              <w:rPr>
                <w:lang w:eastAsia="zh-CN"/>
              </w:rPr>
              <w:t xml:space="preserve"> </w:t>
            </w:r>
          </w:p>
        </w:tc>
        <w:tc>
          <w:tcPr>
            <w:tcW w:w="2764" w:type="pct"/>
            <w:tcBorders>
              <w:top w:val="nil"/>
              <w:left w:val="single" w:sz="6" w:space="0" w:color="auto"/>
              <w:bottom w:val="single" w:sz="6" w:space="0" w:color="auto"/>
              <w:right w:val="single" w:sz="6" w:space="0" w:color="auto"/>
            </w:tcBorders>
            <w:shd w:val="clear" w:color="auto" w:fill="auto"/>
            <w:vAlign w:val="center"/>
            <w:hideMark/>
          </w:tcPr>
          <w:p w14:paraId="5379BE2B" w14:textId="77777777" w:rsidR="00E5129A" w:rsidRPr="00E96E9F" w:rsidRDefault="00E5129A" w:rsidP="00057B36">
            <w:pPr>
              <w:pStyle w:val="TableText0"/>
              <w:keepNext w:val="0"/>
              <w:rPr>
                <w:lang w:eastAsia="zh-CN"/>
              </w:rPr>
            </w:pPr>
          </w:p>
          <w:p w14:paraId="6BD85C08" w14:textId="47CC7724" w:rsidR="00811E0E" w:rsidRPr="00E96E9F" w:rsidRDefault="00811E0E" w:rsidP="00057B36">
            <w:pPr>
              <w:pStyle w:val="TableText0"/>
              <w:keepNext w:val="0"/>
              <w:rPr>
                <w:rFonts w:ascii="Segoe UI" w:hAnsi="Segoe UI"/>
                <w:sz w:val="18"/>
                <w:szCs w:val="18"/>
                <w:lang w:eastAsia="zh-CN"/>
              </w:rPr>
            </w:pPr>
            <w:proofErr w:type="spellStart"/>
            <w:r w:rsidRPr="00E96E9F">
              <w:rPr>
                <w:lang w:eastAsia="zh-CN"/>
              </w:rPr>
              <w:t>Zielinska</w:t>
            </w:r>
            <w:proofErr w:type="spellEnd"/>
            <w:r w:rsidR="00F96B2F" w:rsidRPr="00E96E9F">
              <w:rPr>
                <w:lang w:eastAsia="zh-CN"/>
              </w:rPr>
              <w:t xml:space="preserve"> </w:t>
            </w:r>
            <w:r w:rsidRPr="00BF1BFB">
              <w:rPr>
                <w:iCs/>
                <w:lang w:eastAsia="zh-CN"/>
              </w:rPr>
              <w:t>et</w:t>
            </w:r>
            <w:r w:rsidR="00F96B2F" w:rsidRPr="00BF1BFB">
              <w:rPr>
                <w:iCs/>
                <w:lang w:eastAsia="zh-CN"/>
              </w:rPr>
              <w:t xml:space="preserve"> </w:t>
            </w:r>
            <w:r w:rsidRPr="00E96E9F">
              <w:rPr>
                <w:lang w:eastAsia="zh-CN"/>
              </w:rPr>
              <w:t>al.</w:t>
            </w:r>
            <w:r w:rsidR="00F96B2F" w:rsidRPr="00E96E9F">
              <w:rPr>
                <w:lang w:eastAsia="zh-CN"/>
              </w:rPr>
              <w:t xml:space="preserve"> </w:t>
            </w:r>
            <w:r w:rsidRPr="00E96E9F">
              <w:rPr>
                <w:lang w:eastAsia="zh-CN"/>
              </w:rPr>
              <w:t>Long-term</w:t>
            </w:r>
            <w:r w:rsidR="00F96B2F" w:rsidRPr="00E96E9F">
              <w:rPr>
                <w:lang w:eastAsia="zh-CN"/>
              </w:rPr>
              <w:t xml:space="preserve"> </w:t>
            </w:r>
            <w:r w:rsidRPr="00E96E9F">
              <w:rPr>
                <w:lang w:eastAsia="zh-CN"/>
              </w:rPr>
              <w:t>Safety</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once-weekly</w:t>
            </w:r>
            <w:r w:rsidR="00F96B2F" w:rsidRPr="00E96E9F">
              <w:rPr>
                <w:lang w:eastAsia="zh-CN"/>
              </w:rPr>
              <w:t xml:space="preserve"> </w:t>
            </w:r>
            <w:proofErr w:type="spellStart"/>
            <w:r w:rsidRPr="00E96E9F">
              <w:rPr>
                <w:lang w:eastAsia="zh-CN"/>
              </w:rPr>
              <w:t>Somatrogon</w:t>
            </w:r>
            <w:proofErr w:type="spellEnd"/>
            <w:r w:rsidR="00F96B2F" w:rsidRPr="00E96E9F">
              <w:rPr>
                <w:lang w:eastAsia="zh-CN"/>
              </w:rPr>
              <w:t xml:space="preserve"> </w:t>
            </w:r>
            <w:r w:rsidRPr="00E96E9F">
              <w:rPr>
                <w:lang w:eastAsia="zh-CN"/>
              </w:rPr>
              <w:t>(</w:t>
            </w:r>
            <w:proofErr w:type="spellStart"/>
            <w:r w:rsidRPr="00E96E9F">
              <w:rPr>
                <w:lang w:eastAsia="zh-CN"/>
              </w:rPr>
              <w:t>hGH</w:t>
            </w:r>
            <w:proofErr w:type="spellEnd"/>
            <w:r w:rsidRPr="00E96E9F">
              <w:rPr>
                <w:lang w:eastAsia="zh-CN"/>
              </w:rPr>
              <w:t>-CTP):</w:t>
            </w:r>
            <w:r w:rsidR="00F96B2F" w:rsidRPr="00E96E9F">
              <w:rPr>
                <w:lang w:eastAsia="zh-CN"/>
              </w:rPr>
              <w:t xml:space="preserve"> </w:t>
            </w:r>
            <w:r w:rsidRPr="00E96E9F">
              <w:rPr>
                <w:lang w:eastAsia="zh-CN"/>
              </w:rPr>
              <w:t>4-Year</w:t>
            </w:r>
            <w:r w:rsidR="00F96B2F" w:rsidRPr="00E96E9F">
              <w:rPr>
                <w:lang w:eastAsia="zh-CN"/>
              </w:rPr>
              <w:t xml:space="preserve"> </w:t>
            </w:r>
            <w:r w:rsidRPr="00E96E9F">
              <w:rPr>
                <w:lang w:eastAsia="zh-CN"/>
              </w:rPr>
              <w:t>Results:</w:t>
            </w:r>
            <w:r w:rsidR="00F96B2F" w:rsidRPr="00E96E9F">
              <w:rPr>
                <w:lang w:eastAsia="zh-CN"/>
              </w:rPr>
              <w:t xml:space="preserve"> </w:t>
            </w:r>
            <w:r w:rsidRPr="00E96E9F">
              <w:rPr>
                <w:lang w:eastAsia="zh-CN"/>
              </w:rPr>
              <w:t>of</w:t>
            </w:r>
            <w:r w:rsidR="00F96B2F" w:rsidRPr="00E96E9F">
              <w:rPr>
                <w:lang w:eastAsia="zh-CN"/>
              </w:rPr>
              <w:t xml:space="preserve"> </w:t>
            </w:r>
            <w:r w:rsidRPr="00E96E9F">
              <w:rPr>
                <w:lang w:eastAsia="zh-CN"/>
              </w:rPr>
              <w:t>a</w:t>
            </w:r>
            <w:r w:rsidR="00F96B2F" w:rsidRPr="00E96E9F">
              <w:rPr>
                <w:lang w:eastAsia="zh-CN"/>
              </w:rPr>
              <w:t xml:space="preserve"> </w:t>
            </w:r>
            <w:r w:rsidRPr="00E96E9F">
              <w:rPr>
                <w:lang w:eastAsia="zh-CN"/>
              </w:rPr>
              <w:t>Phase</w:t>
            </w:r>
            <w:r w:rsidR="00F96B2F" w:rsidRPr="00E96E9F">
              <w:rPr>
                <w:lang w:eastAsia="zh-CN"/>
              </w:rPr>
              <w:t xml:space="preserve"> </w:t>
            </w:r>
            <w:r w:rsidRPr="00E96E9F">
              <w:rPr>
                <w:lang w:eastAsia="zh-CN"/>
              </w:rPr>
              <w:t>2</w:t>
            </w:r>
            <w:r w:rsidR="00F96B2F" w:rsidRPr="00E96E9F">
              <w:rPr>
                <w:lang w:eastAsia="zh-CN"/>
              </w:rPr>
              <w:t xml:space="preserve"> </w:t>
            </w:r>
            <w:r w:rsidRPr="00E96E9F">
              <w:rPr>
                <w:lang w:eastAsia="zh-CN"/>
              </w:rPr>
              <w:t>Extension</w:t>
            </w:r>
            <w:r w:rsidR="00F96B2F" w:rsidRPr="00E96E9F">
              <w:rPr>
                <w:lang w:eastAsia="zh-CN"/>
              </w:rPr>
              <w:t xml:space="preserve"> </w:t>
            </w:r>
            <w:r w:rsidRPr="00E96E9F">
              <w:rPr>
                <w:lang w:eastAsia="zh-CN"/>
              </w:rPr>
              <w:t>Study</w:t>
            </w:r>
            <w:r w:rsidR="00F96B2F" w:rsidRPr="00E96E9F">
              <w:rPr>
                <w:lang w:eastAsia="zh-CN"/>
              </w:rPr>
              <w:t xml:space="preserve"> </w:t>
            </w:r>
            <w:r w:rsidRPr="00E96E9F">
              <w:rPr>
                <w:lang w:eastAsia="zh-CN"/>
              </w:rPr>
              <w:t>in</w:t>
            </w:r>
            <w:r w:rsidR="00F96B2F" w:rsidRPr="00E96E9F">
              <w:rPr>
                <w:lang w:eastAsia="zh-CN"/>
              </w:rPr>
              <w:t xml:space="preserve"> </w:t>
            </w:r>
            <w:r w:rsidRPr="00E96E9F">
              <w:rPr>
                <w:lang w:eastAsia="zh-CN"/>
              </w:rPr>
              <w:t>Children</w:t>
            </w:r>
            <w:r w:rsidR="00F96B2F" w:rsidRPr="00E96E9F">
              <w:rPr>
                <w:lang w:eastAsia="zh-CN"/>
              </w:rPr>
              <w:t xml:space="preserve"> </w:t>
            </w:r>
            <w:r w:rsidRPr="00E96E9F">
              <w:rPr>
                <w:lang w:eastAsia="zh-CN"/>
              </w:rPr>
              <w:t>with</w:t>
            </w:r>
            <w:r w:rsidR="00F96B2F" w:rsidRPr="00E96E9F">
              <w:rPr>
                <w:lang w:eastAsia="zh-CN"/>
              </w:rPr>
              <w:t xml:space="preserve"> </w:t>
            </w:r>
            <w:r w:rsidRPr="00E96E9F">
              <w:rPr>
                <w:lang w:eastAsia="zh-CN"/>
              </w:rPr>
              <w:t>Growth</w:t>
            </w:r>
            <w:r w:rsidR="00F96B2F" w:rsidRPr="00E96E9F">
              <w:rPr>
                <w:lang w:eastAsia="zh-CN"/>
              </w:rPr>
              <w:t xml:space="preserve"> </w:t>
            </w:r>
            <w:r w:rsidRPr="00E96E9F">
              <w:rPr>
                <w:lang w:eastAsia="zh-CN"/>
              </w:rPr>
              <w:t>Hormone</w:t>
            </w:r>
            <w:r w:rsidR="00F96B2F" w:rsidRPr="00E96E9F">
              <w:rPr>
                <w:lang w:eastAsia="zh-CN"/>
              </w:rPr>
              <w:t xml:space="preserve"> </w:t>
            </w:r>
            <w:r w:rsidRPr="00E96E9F">
              <w:rPr>
                <w:lang w:eastAsia="zh-CN"/>
              </w:rPr>
              <w:t>Deficiency</w:t>
            </w:r>
            <w:r w:rsidR="00F96B2F" w:rsidRPr="00E96E9F">
              <w:rPr>
                <w:lang w:eastAsia="zh-CN"/>
              </w:rPr>
              <w:t xml:space="preserve"> </w:t>
            </w:r>
          </w:p>
        </w:tc>
        <w:tc>
          <w:tcPr>
            <w:tcW w:w="1508" w:type="pct"/>
            <w:tcBorders>
              <w:top w:val="nil"/>
              <w:left w:val="single" w:sz="6" w:space="0" w:color="auto"/>
              <w:bottom w:val="single" w:sz="6" w:space="0" w:color="auto"/>
              <w:right w:val="single" w:sz="6" w:space="0" w:color="auto"/>
            </w:tcBorders>
            <w:shd w:val="clear" w:color="auto" w:fill="auto"/>
            <w:vAlign w:val="center"/>
            <w:hideMark/>
          </w:tcPr>
          <w:p w14:paraId="664F86E8" w14:textId="2DC85030" w:rsidR="00811E0E" w:rsidRPr="00E96E9F" w:rsidRDefault="00811E0E" w:rsidP="00057B36">
            <w:pPr>
              <w:pStyle w:val="TableText0"/>
              <w:keepNext w:val="0"/>
              <w:rPr>
                <w:rFonts w:ascii="Segoe UI" w:hAnsi="Segoe UI"/>
                <w:sz w:val="18"/>
                <w:szCs w:val="18"/>
                <w:lang w:eastAsia="zh-CN"/>
              </w:rPr>
            </w:pPr>
            <w:proofErr w:type="spellStart"/>
            <w:r w:rsidRPr="00E96E9F">
              <w:rPr>
                <w:lang w:eastAsia="zh-CN"/>
              </w:rPr>
              <w:t>Horm</w:t>
            </w:r>
            <w:proofErr w:type="spellEnd"/>
            <w:r w:rsidR="00F96B2F" w:rsidRPr="00E96E9F">
              <w:rPr>
                <w:lang w:eastAsia="zh-CN"/>
              </w:rPr>
              <w:t xml:space="preserve"> </w:t>
            </w:r>
            <w:r w:rsidRPr="00E96E9F">
              <w:rPr>
                <w:lang w:eastAsia="zh-CN"/>
              </w:rPr>
              <w:t>Res</w:t>
            </w:r>
            <w:r w:rsidR="00F96B2F" w:rsidRPr="00E96E9F">
              <w:rPr>
                <w:lang w:eastAsia="zh-CN"/>
              </w:rPr>
              <w:t xml:space="preserve"> </w:t>
            </w:r>
            <w:proofErr w:type="spellStart"/>
            <w:r w:rsidRPr="00E96E9F">
              <w:rPr>
                <w:lang w:eastAsia="zh-CN"/>
              </w:rPr>
              <w:t>Paediatr</w:t>
            </w:r>
            <w:proofErr w:type="spellEnd"/>
            <w:r w:rsidR="00F96B2F" w:rsidRPr="00E96E9F">
              <w:rPr>
                <w:lang w:eastAsia="zh-CN"/>
              </w:rPr>
              <w:t xml:space="preserve"> </w:t>
            </w:r>
            <w:r w:rsidRPr="00E96E9F">
              <w:rPr>
                <w:lang w:eastAsia="zh-CN"/>
              </w:rPr>
              <w:t>2019:</w:t>
            </w:r>
            <w:r w:rsidR="00F96B2F" w:rsidRPr="00E96E9F">
              <w:rPr>
                <w:lang w:eastAsia="zh-CN"/>
              </w:rPr>
              <w:t xml:space="preserve"> </w:t>
            </w:r>
            <w:r w:rsidRPr="00E96E9F">
              <w:rPr>
                <w:lang w:eastAsia="zh-CN"/>
              </w:rPr>
              <w:t>91</w:t>
            </w:r>
            <w:r w:rsidR="00F96B2F" w:rsidRPr="00E96E9F">
              <w:rPr>
                <w:lang w:eastAsia="zh-CN"/>
              </w:rPr>
              <w:t xml:space="preserve"> </w:t>
            </w:r>
            <w:r w:rsidRPr="00E96E9F">
              <w:rPr>
                <w:lang w:eastAsia="zh-CN"/>
              </w:rPr>
              <w:t>(suppl</w:t>
            </w:r>
            <w:r w:rsidR="00F96B2F" w:rsidRPr="00E96E9F">
              <w:rPr>
                <w:lang w:eastAsia="zh-CN"/>
              </w:rPr>
              <w:t xml:space="preserve"> </w:t>
            </w:r>
            <w:r w:rsidRPr="00E96E9F">
              <w:rPr>
                <w:lang w:eastAsia="zh-CN"/>
              </w:rPr>
              <w:t>1):</w:t>
            </w:r>
            <w:r w:rsidR="00F96B2F" w:rsidRPr="00E96E9F">
              <w:rPr>
                <w:lang w:eastAsia="zh-CN"/>
              </w:rPr>
              <w:t xml:space="preserve"> </w:t>
            </w:r>
            <w:r w:rsidRPr="00E96E9F">
              <w:rPr>
                <w:lang w:eastAsia="zh-CN"/>
              </w:rPr>
              <w:t>p309.</w:t>
            </w:r>
            <w:r w:rsidR="00F96B2F" w:rsidRPr="00E96E9F">
              <w:rPr>
                <w:lang w:eastAsia="zh-CN"/>
              </w:rPr>
              <w:t xml:space="preserve"> </w:t>
            </w:r>
          </w:p>
        </w:tc>
      </w:tr>
    </w:tbl>
    <w:p w14:paraId="7EDF2DDA" w14:textId="77777777" w:rsidR="00E5129A" w:rsidRPr="00ED40F2" w:rsidRDefault="00811E0E" w:rsidP="00ED40F2">
      <w:pPr>
        <w:pStyle w:val="TableFigureFooter"/>
      </w:pPr>
      <w:r w:rsidRPr="00ED40F2">
        <w:t>Source:</w:t>
      </w:r>
      <w:r w:rsidR="00F96B2F" w:rsidRPr="00ED40F2">
        <w:t xml:space="preserve"> </w:t>
      </w:r>
      <w:r w:rsidRPr="00ED40F2">
        <w:t>Table</w:t>
      </w:r>
      <w:r w:rsidR="00F96B2F" w:rsidRPr="00ED40F2">
        <w:t xml:space="preserve"> </w:t>
      </w:r>
      <w:r w:rsidRPr="00ED40F2">
        <w:t>2.2.1,</w:t>
      </w:r>
      <w:r w:rsidR="00F96B2F" w:rsidRPr="00ED40F2">
        <w:t xml:space="preserve"> </w:t>
      </w:r>
      <w:r w:rsidRPr="00ED40F2">
        <w:t>pp50-51</w:t>
      </w:r>
      <w:r w:rsidR="00F96B2F" w:rsidRPr="00ED40F2">
        <w:t xml:space="preserve"> </w:t>
      </w:r>
      <w:r w:rsidRPr="00ED40F2">
        <w:t>of</w:t>
      </w:r>
      <w:r w:rsidR="00F96B2F" w:rsidRPr="00ED40F2">
        <w:t xml:space="preserve"> </w:t>
      </w:r>
      <w:r w:rsidRPr="00ED40F2">
        <w:t>the</w:t>
      </w:r>
      <w:r w:rsidR="00F96B2F" w:rsidRPr="00ED40F2">
        <w:t xml:space="preserve"> </w:t>
      </w:r>
      <w:r w:rsidRPr="00ED40F2">
        <w:t>submission.</w:t>
      </w:r>
    </w:p>
    <w:p w14:paraId="54D405A7" w14:textId="47B865AA" w:rsidR="00811E0E" w:rsidRPr="00ED40F2" w:rsidRDefault="00811E0E" w:rsidP="00ED40F2">
      <w:pPr>
        <w:pStyle w:val="TableFigureFooter"/>
      </w:pPr>
      <w:r w:rsidRPr="00ED40F2">
        <w:t>OLE,</w:t>
      </w:r>
      <w:r w:rsidR="00F96B2F" w:rsidRPr="00ED40F2">
        <w:t xml:space="preserve"> </w:t>
      </w:r>
      <w:r w:rsidRPr="00ED40F2">
        <w:t>Open</w:t>
      </w:r>
      <w:r w:rsidR="00F96B2F" w:rsidRPr="00ED40F2">
        <w:t xml:space="preserve"> </w:t>
      </w:r>
      <w:r w:rsidRPr="00ED40F2">
        <w:t>Label</w:t>
      </w:r>
      <w:r w:rsidR="00F96B2F" w:rsidRPr="00ED40F2">
        <w:t xml:space="preserve"> </w:t>
      </w:r>
      <w:r w:rsidRPr="00ED40F2">
        <w:t>Extension</w:t>
      </w:r>
      <w:r w:rsidR="007D7E38" w:rsidRPr="00ED40F2">
        <w:t>,</w:t>
      </w:r>
      <w:r w:rsidR="00F96B2F" w:rsidRPr="00ED40F2">
        <w:t xml:space="preserve"> </w:t>
      </w:r>
      <w:r w:rsidR="007D7E38" w:rsidRPr="00ED40F2">
        <w:t>GHD</w:t>
      </w:r>
      <w:r w:rsidR="000D6A4B">
        <w:t xml:space="preserve"> = </w:t>
      </w:r>
      <w:r w:rsidR="007D7E38" w:rsidRPr="00ED40F2">
        <w:t>growth</w:t>
      </w:r>
      <w:r w:rsidR="00F96B2F" w:rsidRPr="00ED40F2">
        <w:t xml:space="preserve"> </w:t>
      </w:r>
      <w:r w:rsidR="007D7E38" w:rsidRPr="00ED40F2">
        <w:t>hormone</w:t>
      </w:r>
      <w:r w:rsidR="00F96B2F" w:rsidRPr="00ED40F2">
        <w:t xml:space="preserve"> </w:t>
      </w:r>
      <w:r w:rsidR="007D7E38" w:rsidRPr="00ED40F2">
        <w:t>deficiency,</w:t>
      </w:r>
      <w:r w:rsidR="00F96B2F" w:rsidRPr="00ED40F2">
        <w:t xml:space="preserve"> </w:t>
      </w:r>
      <w:r w:rsidR="007D7E38" w:rsidRPr="00ED40F2">
        <w:t>CSR</w:t>
      </w:r>
      <w:r w:rsidR="000D6A4B">
        <w:t xml:space="preserve"> = </w:t>
      </w:r>
      <w:r w:rsidR="007D7E38" w:rsidRPr="00ED40F2">
        <w:t>clinical</w:t>
      </w:r>
      <w:r w:rsidR="00F96B2F" w:rsidRPr="00ED40F2">
        <w:t xml:space="preserve"> </w:t>
      </w:r>
      <w:r w:rsidR="007D7E38" w:rsidRPr="00ED40F2">
        <w:t>study</w:t>
      </w:r>
      <w:r w:rsidR="00F96B2F" w:rsidRPr="00ED40F2">
        <w:t xml:space="preserve"> </w:t>
      </w:r>
      <w:r w:rsidR="007D7E38" w:rsidRPr="00ED40F2">
        <w:t>report,</w:t>
      </w:r>
      <w:r w:rsidR="00F96B2F" w:rsidRPr="00ED40F2">
        <w:t xml:space="preserve"> </w:t>
      </w:r>
      <w:proofErr w:type="spellStart"/>
      <w:r w:rsidR="00D9561F" w:rsidRPr="00ED40F2">
        <w:t>pGHD</w:t>
      </w:r>
      <w:proofErr w:type="spellEnd"/>
      <w:r w:rsidR="00A20EB6">
        <w:t xml:space="preserve"> </w:t>
      </w:r>
      <w:r w:rsidR="00D9561F" w:rsidRPr="00ED40F2">
        <w:t>=</w:t>
      </w:r>
      <w:r w:rsidR="00F96B2F" w:rsidRPr="00ED40F2">
        <w:t xml:space="preserve"> </w:t>
      </w:r>
      <w:r w:rsidR="00D9561F" w:rsidRPr="00ED40F2">
        <w:t>paediatric</w:t>
      </w:r>
      <w:r w:rsidR="00F96B2F" w:rsidRPr="00ED40F2">
        <w:t xml:space="preserve"> </w:t>
      </w:r>
      <w:r w:rsidR="00D9561F" w:rsidRPr="00ED40F2">
        <w:t>growth</w:t>
      </w:r>
      <w:r w:rsidR="00F96B2F" w:rsidRPr="00ED40F2">
        <w:t xml:space="preserve"> </w:t>
      </w:r>
      <w:r w:rsidR="00D9561F" w:rsidRPr="00ED40F2">
        <w:t>hormone</w:t>
      </w:r>
      <w:r w:rsidR="00F96B2F" w:rsidRPr="00ED40F2">
        <w:t xml:space="preserve"> </w:t>
      </w:r>
      <w:r w:rsidR="00D9561F" w:rsidRPr="00ED40F2">
        <w:t>deficiency,</w:t>
      </w:r>
      <w:r w:rsidR="00F96B2F" w:rsidRPr="00ED40F2">
        <w:t xml:space="preserve"> </w:t>
      </w:r>
      <w:r w:rsidR="00D9561F" w:rsidRPr="00ED40F2">
        <w:t>GH</w:t>
      </w:r>
      <w:r w:rsidR="00A20EB6">
        <w:t xml:space="preserve"> </w:t>
      </w:r>
      <w:r w:rsidR="00D9561F" w:rsidRPr="00ED40F2">
        <w:t>=</w:t>
      </w:r>
      <w:r w:rsidR="00F96B2F" w:rsidRPr="00ED40F2">
        <w:t xml:space="preserve"> </w:t>
      </w:r>
      <w:r w:rsidR="00D9561F" w:rsidRPr="00ED40F2">
        <w:t>growth</w:t>
      </w:r>
      <w:r w:rsidR="00F96B2F" w:rsidRPr="00ED40F2">
        <w:t xml:space="preserve"> </w:t>
      </w:r>
      <w:r w:rsidR="00D9561F" w:rsidRPr="00ED40F2">
        <w:t>hormone,</w:t>
      </w:r>
      <w:r w:rsidR="00F96B2F" w:rsidRPr="00ED40F2">
        <w:t xml:space="preserve"> </w:t>
      </w:r>
      <w:r w:rsidR="00D9561F" w:rsidRPr="00ED40F2">
        <w:t>CTP</w:t>
      </w:r>
      <w:r w:rsidR="00A20EB6">
        <w:t xml:space="preserve"> </w:t>
      </w:r>
      <w:r w:rsidR="00D9561F" w:rsidRPr="00ED40F2">
        <w:t>=</w:t>
      </w:r>
      <w:r w:rsidR="00F96B2F" w:rsidRPr="00ED40F2">
        <w:t xml:space="preserve"> </w:t>
      </w:r>
      <w:r w:rsidR="00477781" w:rsidRPr="00ED40F2">
        <w:t>carboxy-terminal</w:t>
      </w:r>
      <w:r w:rsidR="00F96B2F" w:rsidRPr="00ED40F2">
        <w:t xml:space="preserve"> </w:t>
      </w:r>
      <w:r w:rsidR="00477781" w:rsidRPr="00ED40F2">
        <w:t>peptide</w:t>
      </w:r>
      <w:r w:rsidR="00F070AD" w:rsidRPr="00ED40F2">
        <w:t>,</w:t>
      </w:r>
      <w:r w:rsidR="00F96B2F" w:rsidRPr="00ED40F2">
        <w:t xml:space="preserve"> </w:t>
      </w:r>
      <w:proofErr w:type="spellStart"/>
      <w:r w:rsidR="00F070AD" w:rsidRPr="00ED40F2">
        <w:t>hGH</w:t>
      </w:r>
      <w:proofErr w:type="spellEnd"/>
      <w:r w:rsidR="00A20EB6">
        <w:t xml:space="preserve"> </w:t>
      </w:r>
      <w:r w:rsidR="00F070AD" w:rsidRPr="00ED40F2">
        <w:t>=</w:t>
      </w:r>
      <w:r w:rsidR="00F96B2F" w:rsidRPr="00ED40F2">
        <w:t xml:space="preserve"> </w:t>
      </w:r>
      <w:r w:rsidR="00F070AD" w:rsidRPr="00ED40F2">
        <w:t>human</w:t>
      </w:r>
      <w:r w:rsidR="00F96B2F" w:rsidRPr="00ED40F2">
        <w:t xml:space="preserve"> </w:t>
      </w:r>
      <w:r w:rsidR="00F070AD" w:rsidRPr="00ED40F2">
        <w:t>growth</w:t>
      </w:r>
      <w:r w:rsidR="00F96B2F" w:rsidRPr="00ED40F2">
        <w:t xml:space="preserve"> </w:t>
      </w:r>
      <w:r w:rsidR="00F070AD" w:rsidRPr="00ED40F2">
        <w:t>hormone</w:t>
      </w:r>
      <w:r w:rsidR="00DD42E2" w:rsidRPr="00ED40F2">
        <w:t>, SDS</w:t>
      </w:r>
      <w:r w:rsidR="00A20EB6">
        <w:t xml:space="preserve"> </w:t>
      </w:r>
      <w:r w:rsidR="00DD42E2" w:rsidRPr="00ED40F2">
        <w:t>= standard deviation score</w:t>
      </w:r>
      <w:r w:rsidR="00F070AD" w:rsidRPr="00ED40F2">
        <w:t>.</w:t>
      </w:r>
    </w:p>
    <w:p w14:paraId="4154C27D" w14:textId="77777777" w:rsidR="00E5129A" w:rsidRPr="00E96E9F" w:rsidRDefault="00811E0E" w:rsidP="00811E0E">
      <w:pPr>
        <w:pStyle w:val="3-BodyText"/>
      </w:pPr>
      <w:r w:rsidRPr="00E96E9F">
        <w:t>The</w:t>
      </w:r>
      <w:r w:rsidR="00F96B2F" w:rsidRPr="00E96E9F">
        <w:t xml:space="preserve"> </w:t>
      </w:r>
      <w:r w:rsidRPr="00E96E9F">
        <w:t>key</w:t>
      </w:r>
      <w:r w:rsidR="00F96B2F" w:rsidRPr="00E96E9F">
        <w:t xml:space="preserve"> </w:t>
      </w:r>
      <w:r w:rsidRPr="00E96E9F">
        <w:t>features</w:t>
      </w:r>
      <w:r w:rsidR="00F96B2F" w:rsidRPr="00E96E9F">
        <w:t xml:space="preserve"> </w:t>
      </w:r>
      <w:r w:rsidRPr="00E96E9F">
        <w:t>of</w:t>
      </w:r>
      <w:r w:rsidR="00F96B2F" w:rsidRPr="00E96E9F">
        <w:t xml:space="preserve"> </w:t>
      </w:r>
      <w:r w:rsidRPr="00E96E9F">
        <w:t>the</w:t>
      </w:r>
      <w:r w:rsidR="00F96B2F" w:rsidRPr="00E96E9F">
        <w:t xml:space="preserve"> </w:t>
      </w:r>
      <w:r w:rsidRPr="00E96E9F">
        <w:t>trials</w:t>
      </w:r>
      <w:r w:rsidR="00F96B2F" w:rsidRPr="00E96E9F">
        <w:t xml:space="preserve"> </w:t>
      </w:r>
      <w:r w:rsidRPr="00E96E9F">
        <w:t>are</w:t>
      </w:r>
      <w:r w:rsidR="00F96B2F" w:rsidRPr="00E96E9F">
        <w:t xml:space="preserve"> </w:t>
      </w:r>
      <w:r w:rsidRPr="00E96E9F">
        <w:t>summarised</w:t>
      </w:r>
      <w:r w:rsidR="00F96B2F" w:rsidRPr="00E96E9F">
        <w:t xml:space="preserve"> </w:t>
      </w:r>
      <w:r w:rsidRPr="00E96E9F">
        <w:t>in</w:t>
      </w:r>
      <w:r w:rsidR="00F96B2F" w:rsidRPr="00E96E9F">
        <w:t xml:space="preserve"> </w:t>
      </w:r>
      <w:r w:rsidRPr="00E96E9F">
        <w:t>the</w:t>
      </w:r>
      <w:r w:rsidR="00F96B2F" w:rsidRPr="00E96E9F">
        <w:t xml:space="preserve"> </w:t>
      </w:r>
      <w:r w:rsidRPr="00E96E9F">
        <w:t>table</w:t>
      </w:r>
      <w:r w:rsidR="00F96B2F" w:rsidRPr="00E96E9F">
        <w:t xml:space="preserve"> </w:t>
      </w:r>
      <w:r w:rsidRPr="00E96E9F">
        <w:t>below.</w:t>
      </w:r>
    </w:p>
    <w:p w14:paraId="75EC6725" w14:textId="2AD5B164" w:rsidR="00811E0E" w:rsidRPr="00E96E9F" w:rsidRDefault="00811E0E" w:rsidP="00ED40F2">
      <w:pPr>
        <w:pStyle w:val="TableFigureHeading"/>
        <w:rPr>
          <w:rStyle w:val="CommentReference"/>
          <w:b/>
        </w:rPr>
      </w:pPr>
      <w:r w:rsidRPr="00E96E9F">
        <w:rPr>
          <w:rStyle w:val="CommentReference"/>
          <w:b/>
        </w:rPr>
        <w:t>Table</w:t>
      </w:r>
      <w:r w:rsidR="00F96B2F" w:rsidRPr="00E96E9F">
        <w:rPr>
          <w:rStyle w:val="CommentReference"/>
          <w:b/>
        </w:rPr>
        <w:t xml:space="preserve"> </w:t>
      </w:r>
      <w:r w:rsidR="003F535F" w:rsidRPr="00E96E9F">
        <w:rPr>
          <w:rStyle w:val="CommentReference"/>
          <w:b/>
          <w:bCs w:val="0"/>
        </w:rPr>
        <w:fldChar w:fldCharType="begin"/>
      </w:r>
      <w:r w:rsidR="003F535F" w:rsidRPr="00E96E9F">
        <w:rPr>
          <w:rStyle w:val="CommentReference"/>
          <w:b/>
          <w:bCs w:val="0"/>
        </w:rPr>
        <w:instrText xml:space="preserve"> SEQ Table \* ARABIC </w:instrText>
      </w:r>
      <w:r w:rsidR="003F535F" w:rsidRPr="00E96E9F">
        <w:rPr>
          <w:rStyle w:val="CommentReference"/>
          <w:b/>
          <w:bCs w:val="0"/>
        </w:rPr>
        <w:fldChar w:fldCharType="separate"/>
      </w:r>
      <w:r w:rsidR="005C48AC">
        <w:rPr>
          <w:rStyle w:val="CommentReference"/>
          <w:b/>
          <w:bCs w:val="0"/>
          <w:noProof/>
        </w:rPr>
        <w:t>3</w:t>
      </w:r>
      <w:r w:rsidR="003F535F" w:rsidRPr="00E96E9F">
        <w:rPr>
          <w:rStyle w:val="CommentReference"/>
          <w:b/>
          <w:bCs w:val="0"/>
        </w:rPr>
        <w:fldChar w:fldCharType="end"/>
      </w:r>
      <w:r w:rsidRPr="00E96E9F">
        <w:rPr>
          <w:rStyle w:val="CommentReference"/>
          <w:b/>
          <w:bCs w:val="0"/>
        </w:rPr>
        <w:t>:</w:t>
      </w:r>
      <w:r w:rsidR="00F96B2F" w:rsidRPr="00E96E9F">
        <w:rPr>
          <w:rStyle w:val="CommentReference"/>
          <w:b/>
        </w:rPr>
        <w:t xml:space="preserve"> </w:t>
      </w:r>
      <w:r w:rsidRPr="00E96E9F">
        <w:rPr>
          <w:rStyle w:val="CommentReference"/>
          <w:b/>
        </w:rPr>
        <w:t>Key</w:t>
      </w:r>
      <w:r w:rsidR="00F96B2F" w:rsidRPr="00E96E9F">
        <w:rPr>
          <w:rStyle w:val="CommentReference"/>
          <w:b/>
        </w:rPr>
        <w:t xml:space="preserve"> </w:t>
      </w:r>
      <w:r w:rsidRPr="00E96E9F">
        <w:rPr>
          <w:rStyle w:val="CommentReference"/>
          <w:b/>
        </w:rPr>
        <w:t>features</w:t>
      </w:r>
      <w:r w:rsidR="00F96B2F" w:rsidRPr="00E96E9F">
        <w:rPr>
          <w:rStyle w:val="CommentReference"/>
          <w:b/>
        </w:rPr>
        <w:t xml:space="preserve"> </w:t>
      </w:r>
      <w:r w:rsidRPr="00E96E9F">
        <w:rPr>
          <w:rStyle w:val="CommentReference"/>
          <w:b/>
        </w:rPr>
        <w:t>of</w:t>
      </w:r>
      <w:r w:rsidR="00F96B2F" w:rsidRPr="00E96E9F">
        <w:rPr>
          <w:rStyle w:val="CommentReference"/>
          <w:b/>
        </w:rPr>
        <w:t xml:space="preserve"> </w:t>
      </w:r>
      <w:r w:rsidRPr="00E96E9F">
        <w:rPr>
          <w:rStyle w:val="CommentReference"/>
          <w:b/>
        </w:rPr>
        <w:t>the</w:t>
      </w:r>
      <w:r w:rsidR="00F96B2F" w:rsidRPr="00E96E9F">
        <w:rPr>
          <w:rStyle w:val="CommentReference"/>
          <w:b/>
        </w:rPr>
        <w:t xml:space="preserve"> </w:t>
      </w:r>
      <w:r w:rsidRPr="00E96E9F">
        <w:rPr>
          <w:rStyle w:val="CommentReference"/>
          <w:b/>
        </w:rPr>
        <w:t>included</w:t>
      </w:r>
      <w:r w:rsidR="00F96B2F" w:rsidRPr="00E96E9F">
        <w:rPr>
          <w:rStyle w:val="CommentReference"/>
          <w:b/>
        </w:rPr>
        <w:t xml:space="preserve"> </w:t>
      </w:r>
      <w:r w:rsidRPr="00E96E9F">
        <w:rPr>
          <w:rStyle w:val="CommentReference"/>
          <w:b/>
        </w:rPr>
        <w:t>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122"/>
        <w:gridCol w:w="1693"/>
      </w:tblGrid>
      <w:tr w:rsidR="00811E0E" w:rsidRPr="00E96E9F" w14:paraId="20F31C5D" w14:textId="77777777" w:rsidTr="00CF047E">
        <w:trPr>
          <w:cantSplit/>
          <w:tblHeader/>
        </w:trPr>
        <w:tc>
          <w:tcPr>
            <w:tcW w:w="713" w:type="pct"/>
            <w:shd w:val="clear" w:color="auto" w:fill="auto"/>
            <w:vAlign w:val="center"/>
          </w:tcPr>
          <w:p w14:paraId="093DE018" w14:textId="77777777" w:rsidR="00811E0E" w:rsidRPr="00E96E9F" w:rsidRDefault="00811E0E" w:rsidP="001E6417">
            <w:pPr>
              <w:pStyle w:val="In-tableHeading"/>
              <w:widowControl w:val="0"/>
              <w:rPr>
                <w:lang w:val="en-AU"/>
              </w:rPr>
            </w:pPr>
            <w:r w:rsidRPr="00E96E9F">
              <w:rPr>
                <w:lang w:val="en-AU"/>
              </w:rPr>
              <w:t>Trial</w:t>
            </w:r>
          </w:p>
        </w:tc>
        <w:tc>
          <w:tcPr>
            <w:tcW w:w="466" w:type="pct"/>
            <w:shd w:val="clear" w:color="auto" w:fill="auto"/>
            <w:vAlign w:val="center"/>
          </w:tcPr>
          <w:p w14:paraId="25CAB0B1" w14:textId="77777777" w:rsidR="00811E0E" w:rsidRPr="00E96E9F" w:rsidRDefault="00811E0E" w:rsidP="001E6417">
            <w:pPr>
              <w:pStyle w:val="In-tableHeading"/>
              <w:widowControl w:val="0"/>
              <w:jc w:val="center"/>
              <w:rPr>
                <w:lang w:val="en-AU"/>
              </w:rPr>
            </w:pPr>
            <w:r w:rsidRPr="00E96E9F">
              <w:rPr>
                <w:lang w:val="en-AU"/>
              </w:rPr>
              <w:t>N</w:t>
            </w:r>
          </w:p>
        </w:tc>
        <w:tc>
          <w:tcPr>
            <w:tcW w:w="782" w:type="pct"/>
            <w:shd w:val="clear" w:color="auto" w:fill="auto"/>
            <w:vAlign w:val="center"/>
          </w:tcPr>
          <w:p w14:paraId="6BE94413" w14:textId="2624456A" w:rsidR="00811E0E" w:rsidRPr="00E96E9F" w:rsidRDefault="00811E0E" w:rsidP="001E6417">
            <w:pPr>
              <w:pStyle w:val="In-tableHeading"/>
              <w:widowControl w:val="0"/>
              <w:jc w:val="center"/>
              <w:rPr>
                <w:lang w:val="en-AU"/>
              </w:rPr>
            </w:pPr>
            <w:r w:rsidRPr="00E96E9F">
              <w:rPr>
                <w:lang w:val="en-AU"/>
              </w:rPr>
              <w:t>Design/</w:t>
            </w:r>
            <w:r w:rsidR="00F96B2F" w:rsidRPr="00E96E9F">
              <w:rPr>
                <w:lang w:val="en-AU"/>
              </w:rPr>
              <w:t xml:space="preserve"> </w:t>
            </w:r>
            <w:r w:rsidRPr="00E96E9F">
              <w:rPr>
                <w:lang w:val="en-AU"/>
              </w:rPr>
              <w:t>duration</w:t>
            </w:r>
          </w:p>
        </w:tc>
        <w:tc>
          <w:tcPr>
            <w:tcW w:w="621" w:type="pct"/>
            <w:shd w:val="clear" w:color="auto" w:fill="auto"/>
            <w:vAlign w:val="center"/>
          </w:tcPr>
          <w:p w14:paraId="6EE57B92" w14:textId="3D5BC183" w:rsidR="00811E0E" w:rsidRPr="00E96E9F" w:rsidRDefault="00811E0E" w:rsidP="001E6417">
            <w:pPr>
              <w:pStyle w:val="In-tableHeading"/>
              <w:widowControl w:val="0"/>
              <w:jc w:val="center"/>
              <w:rPr>
                <w:lang w:val="en-AU"/>
              </w:rPr>
            </w:pPr>
            <w:r w:rsidRPr="00E96E9F">
              <w:rPr>
                <w:lang w:val="en-AU"/>
              </w:rPr>
              <w:t>Risk</w:t>
            </w:r>
            <w:r w:rsidR="00F96B2F" w:rsidRPr="00E96E9F">
              <w:rPr>
                <w:lang w:val="en-AU"/>
              </w:rPr>
              <w:t xml:space="preserve"> </w:t>
            </w:r>
            <w:r w:rsidRPr="00E96E9F">
              <w:rPr>
                <w:lang w:val="en-AU"/>
              </w:rPr>
              <w:t>of</w:t>
            </w:r>
            <w:r w:rsidR="00F96B2F" w:rsidRPr="00E96E9F">
              <w:rPr>
                <w:lang w:val="en-AU"/>
              </w:rPr>
              <w:t xml:space="preserve"> </w:t>
            </w:r>
            <w:r w:rsidRPr="00E96E9F">
              <w:rPr>
                <w:lang w:val="en-AU"/>
              </w:rPr>
              <w:t>bias</w:t>
            </w:r>
          </w:p>
        </w:tc>
        <w:tc>
          <w:tcPr>
            <w:tcW w:w="857" w:type="pct"/>
            <w:shd w:val="clear" w:color="auto" w:fill="auto"/>
            <w:vAlign w:val="center"/>
          </w:tcPr>
          <w:p w14:paraId="74C274D1" w14:textId="2EF34552" w:rsidR="00811E0E" w:rsidRPr="00E96E9F" w:rsidRDefault="00811E0E" w:rsidP="001E6417">
            <w:pPr>
              <w:pStyle w:val="In-tableHeading"/>
              <w:widowControl w:val="0"/>
              <w:jc w:val="center"/>
              <w:rPr>
                <w:lang w:val="en-AU"/>
              </w:rPr>
            </w:pPr>
            <w:r w:rsidRPr="00E96E9F">
              <w:rPr>
                <w:lang w:val="en-AU"/>
              </w:rPr>
              <w:t>Patient</w:t>
            </w:r>
            <w:r w:rsidR="00F96B2F" w:rsidRPr="00E96E9F">
              <w:rPr>
                <w:lang w:val="en-AU"/>
              </w:rPr>
              <w:t xml:space="preserve"> </w:t>
            </w:r>
            <w:r w:rsidRPr="00E96E9F">
              <w:rPr>
                <w:lang w:val="en-AU"/>
              </w:rPr>
              <w:t>population</w:t>
            </w:r>
          </w:p>
        </w:tc>
        <w:tc>
          <w:tcPr>
            <w:tcW w:w="622" w:type="pct"/>
            <w:shd w:val="clear" w:color="auto" w:fill="auto"/>
            <w:vAlign w:val="center"/>
          </w:tcPr>
          <w:p w14:paraId="63085B9A" w14:textId="77777777" w:rsidR="00811E0E" w:rsidRPr="00E96E9F" w:rsidRDefault="00811E0E" w:rsidP="001E6417">
            <w:pPr>
              <w:pStyle w:val="In-tableHeading"/>
              <w:widowControl w:val="0"/>
              <w:jc w:val="center"/>
              <w:rPr>
                <w:lang w:val="en-AU"/>
              </w:rPr>
            </w:pPr>
            <w:r w:rsidRPr="00E96E9F">
              <w:rPr>
                <w:lang w:val="en-AU"/>
              </w:rPr>
              <w:t>Outcome(s)</w:t>
            </w:r>
          </w:p>
        </w:tc>
        <w:tc>
          <w:tcPr>
            <w:tcW w:w="939" w:type="pct"/>
            <w:shd w:val="clear" w:color="auto" w:fill="auto"/>
            <w:vAlign w:val="center"/>
          </w:tcPr>
          <w:p w14:paraId="52AF0F84" w14:textId="333D2245" w:rsidR="00811E0E" w:rsidRPr="00E96E9F" w:rsidRDefault="00811E0E" w:rsidP="001E6417">
            <w:pPr>
              <w:pStyle w:val="In-tableHeading"/>
              <w:widowControl w:val="0"/>
              <w:jc w:val="center"/>
              <w:rPr>
                <w:lang w:val="en-AU"/>
              </w:rPr>
            </w:pPr>
            <w:r w:rsidRPr="00E96E9F">
              <w:rPr>
                <w:lang w:val="en-AU"/>
              </w:rPr>
              <w:t>Use</w:t>
            </w:r>
            <w:r w:rsidR="00F96B2F" w:rsidRPr="00E96E9F">
              <w:rPr>
                <w:lang w:val="en-AU"/>
              </w:rPr>
              <w:t xml:space="preserve"> </w:t>
            </w:r>
            <w:r w:rsidRPr="00E96E9F">
              <w:rPr>
                <w:lang w:val="en-AU"/>
              </w:rPr>
              <w:t>in</w:t>
            </w:r>
            <w:r w:rsidR="00F96B2F" w:rsidRPr="00E96E9F">
              <w:rPr>
                <w:lang w:val="en-AU"/>
              </w:rPr>
              <w:t xml:space="preserve"> </w:t>
            </w:r>
            <w:r w:rsidRPr="00E96E9F">
              <w:rPr>
                <w:lang w:val="en-AU"/>
              </w:rPr>
              <w:t>modelled</w:t>
            </w:r>
            <w:r w:rsidR="00F96B2F" w:rsidRPr="00E96E9F">
              <w:rPr>
                <w:lang w:val="en-AU"/>
              </w:rPr>
              <w:t xml:space="preserve"> </w:t>
            </w:r>
            <w:r w:rsidRPr="00E96E9F">
              <w:rPr>
                <w:lang w:val="en-AU"/>
              </w:rPr>
              <w:t>evaluation</w:t>
            </w:r>
          </w:p>
        </w:tc>
      </w:tr>
      <w:tr w:rsidR="00811E0E" w:rsidRPr="00E96E9F" w14:paraId="27468638" w14:textId="77777777" w:rsidTr="00CF047E">
        <w:trPr>
          <w:cantSplit/>
        </w:trPr>
        <w:tc>
          <w:tcPr>
            <w:tcW w:w="5000" w:type="pct"/>
            <w:gridSpan w:val="7"/>
            <w:shd w:val="clear" w:color="auto" w:fill="auto"/>
            <w:vAlign w:val="center"/>
          </w:tcPr>
          <w:p w14:paraId="2993D45C" w14:textId="3BD274BA" w:rsidR="00811E0E" w:rsidRPr="00E96E9F" w:rsidRDefault="00811E0E" w:rsidP="001E6417">
            <w:pPr>
              <w:pStyle w:val="In-tableHeading"/>
              <w:widowControl w:val="0"/>
              <w:rPr>
                <w:lang w:val="en-AU"/>
              </w:rPr>
            </w:pPr>
            <w:proofErr w:type="spellStart"/>
            <w:r w:rsidRPr="00E96E9F">
              <w:rPr>
                <w:lang w:val="en-AU"/>
              </w:rPr>
              <w:t>Somatrogon</w:t>
            </w:r>
            <w:proofErr w:type="spellEnd"/>
            <w:r w:rsidR="00F96B2F" w:rsidRPr="00E96E9F">
              <w:rPr>
                <w:lang w:val="en-AU"/>
              </w:rPr>
              <w:t xml:space="preserve"> </w:t>
            </w:r>
            <w:r w:rsidR="008966C7">
              <w:rPr>
                <w:lang w:val="en-AU"/>
              </w:rPr>
              <w:t>versus</w:t>
            </w:r>
            <w:r w:rsidR="00F96B2F" w:rsidRPr="00E96E9F">
              <w:rPr>
                <w:lang w:val="en-AU"/>
              </w:rPr>
              <w:t xml:space="preserve"> </w:t>
            </w:r>
            <w:r w:rsidRPr="00E96E9F">
              <w:rPr>
                <w:lang w:val="en-AU"/>
              </w:rPr>
              <w:t>somatropin</w:t>
            </w:r>
          </w:p>
        </w:tc>
      </w:tr>
      <w:tr w:rsidR="00811E0E" w:rsidRPr="00BF1BFB" w14:paraId="5ED1CDB7" w14:textId="77777777" w:rsidTr="00CF047E">
        <w:trPr>
          <w:cantSplit/>
        </w:trPr>
        <w:tc>
          <w:tcPr>
            <w:tcW w:w="713" w:type="pct"/>
            <w:shd w:val="clear" w:color="auto" w:fill="auto"/>
            <w:vAlign w:val="center"/>
          </w:tcPr>
          <w:p w14:paraId="5797E00B" w14:textId="2F44CDFE" w:rsidR="00811E0E" w:rsidRPr="00BF1BFB" w:rsidRDefault="00811E0E" w:rsidP="001E6417">
            <w:pPr>
              <w:pStyle w:val="TableText0"/>
              <w:widowControl w:val="0"/>
            </w:pPr>
            <w:r w:rsidRPr="00BF1BFB">
              <w:t>Study</w:t>
            </w:r>
            <w:r w:rsidR="00F96B2F" w:rsidRPr="00BF1BFB">
              <w:t xml:space="preserve"> </w:t>
            </w:r>
            <w:r w:rsidRPr="00BF1BFB">
              <w:t>4006</w:t>
            </w:r>
          </w:p>
        </w:tc>
        <w:tc>
          <w:tcPr>
            <w:tcW w:w="466" w:type="pct"/>
            <w:shd w:val="clear" w:color="auto" w:fill="auto"/>
            <w:vAlign w:val="center"/>
          </w:tcPr>
          <w:p w14:paraId="787AEDB2" w14:textId="77777777" w:rsidR="00811E0E" w:rsidRPr="00BF1BFB" w:rsidRDefault="00811E0E" w:rsidP="001E6417">
            <w:pPr>
              <w:pStyle w:val="TableText0"/>
              <w:widowControl w:val="0"/>
              <w:jc w:val="center"/>
            </w:pPr>
            <w:r w:rsidRPr="00BF1BFB">
              <w:t>224</w:t>
            </w:r>
          </w:p>
        </w:tc>
        <w:tc>
          <w:tcPr>
            <w:tcW w:w="782" w:type="pct"/>
            <w:shd w:val="clear" w:color="auto" w:fill="auto"/>
            <w:vAlign w:val="center"/>
          </w:tcPr>
          <w:p w14:paraId="1EFDAE7E" w14:textId="635A275B" w:rsidR="00811E0E" w:rsidRPr="00BF1BFB" w:rsidRDefault="00811E0E" w:rsidP="001E6417">
            <w:pPr>
              <w:pStyle w:val="TableText0"/>
              <w:widowControl w:val="0"/>
              <w:jc w:val="center"/>
            </w:pPr>
            <w:r w:rsidRPr="00BF1BFB">
              <w:t>R,</w:t>
            </w:r>
            <w:r w:rsidR="00F96B2F" w:rsidRPr="00BF1BFB">
              <w:t xml:space="preserve"> </w:t>
            </w:r>
            <w:r w:rsidRPr="00BF1BFB">
              <w:t>OL</w:t>
            </w:r>
          </w:p>
          <w:p w14:paraId="051BCFC0" w14:textId="0FB24739" w:rsidR="00811E0E" w:rsidRPr="00BF1BFB" w:rsidRDefault="00811E0E" w:rsidP="001E6417">
            <w:pPr>
              <w:pStyle w:val="TableText0"/>
              <w:widowControl w:val="0"/>
              <w:jc w:val="center"/>
            </w:pPr>
            <w:r w:rsidRPr="00BF1BFB">
              <w:t>12</w:t>
            </w:r>
            <w:r w:rsidR="00F96B2F" w:rsidRPr="00BF1BFB">
              <w:t xml:space="preserve"> </w:t>
            </w:r>
            <w:proofErr w:type="spellStart"/>
            <w:r w:rsidRPr="00BF1BFB">
              <w:t>mths</w:t>
            </w:r>
            <w:proofErr w:type="spellEnd"/>
          </w:p>
        </w:tc>
        <w:tc>
          <w:tcPr>
            <w:tcW w:w="621" w:type="pct"/>
            <w:shd w:val="clear" w:color="auto" w:fill="auto"/>
            <w:vAlign w:val="center"/>
          </w:tcPr>
          <w:p w14:paraId="16FDA02A" w14:textId="77777777" w:rsidR="00811E0E" w:rsidRPr="00BF1BFB" w:rsidRDefault="00811E0E" w:rsidP="001E6417">
            <w:pPr>
              <w:pStyle w:val="TableText0"/>
              <w:widowControl w:val="0"/>
              <w:jc w:val="center"/>
            </w:pPr>
            <w:r w:rsidRPr="00BF1BFB">
              <w:t>Low</w:t>
            </w:r>
          </w:p>
        </w:tc>
        <w:tc>
          <w:tcPr>
            <w:tcW w:w="857" w:type="pct"/>
            <w:shd w:val="clear" w:color="auto" w:fill="auto"/>
            <w:vAlign w:val="center"/>
          </w:tcPr>
          <w:p w14:paraId="1AF63391" w14:textId="2D90FE84" w:rsidR="00811E0E" w:rsidRPr="00BF1BFB" w:rsidRDefault="00811E0E" w:rsidP="001E6417">
            <w:pPr>
              <w:pStyle w:val="TableText0"/>
              <w:widowControl w:val="0"/>
              <w:jc w:val="center"/>
            </w:pPr>
            <w:r w:rsidRPr="00BF1BFB">
              <w:t>Prepubertal</w:t>
            </w:r>
            <w:r w:rsidR="00F96B2F" w:rsidRPr="00BF1BFB">
              <w:t xml:space="preserve"> </w:t>
            </w:r>
            <w:r w:rsidRPr="00BF1BFB">
              <w:t>children</w:t>
            </w:r>
            <w:r w:rsidR="00F96B2F" w:rsidRPr="00BF1BFB">
              <w:t xml:space="preserve"> </w:t>
            </w:r>
            <w:r w:rsidRPr="00BF1BFB">
              <w:t>with</w:t>
            </w:r>
            <w:r w:rsidR="00F96B2F" w:rsidRPr="00BF1BFB">
              <w:t xml:space="preserve"> </w:t>
            </w:r>
            <w:r w:rsidRPr="00BF1BFB">
              <w:t>GHD</w:t>
            </w:r>
          </w:p>
        </w:tc>
        <w:tc>
          <w:tcPr>
            <w:tcW w:w="622" w:type="pct"/>
            <w:shd w:val="clear" w:color="auto" w:fill="auto"/>
            <w:vAlign w:val="center"/>
          </w:tcPr>
          <w:p w14:paraId="72250003" w14:textId="1E60D56D" w:rsidR="00811E0E" w:rsidRPr="00BF1BFB" w:rsidRDefault="00811E0E" w:rsidP="001E6417">
            <w:pPr>
              <w:pStyle w:val="TableText0"/>
              <w:widowControl w:val="0"/>
              <w:jc w:val="center"/>
            </w:pPr>
            <w:r w:rsidRPr="00BF1BFB">
              <w:t>Annual</w:t>
            </w:r>
            <w:r w:rsidR="00F96B2F" w:rsidRPr="00BF1BFB">
              <w:t xml:space="preserve"> </w:t>
            </w:r>
            <w:r w:rsidRPr="00BF1BFB">
              <w:t>HV</w:t>
            </w:r>
          </w:p>
        </w:tc>
        <w:tc>
          <w:tcPr>
            <w:tcW w:w="939" w:type="pct"/>
            <w:shd w:val="clear" w:color="auto" w:fill="auto"/>
            <w:vAlign w:val="center"/>
          </w:tcPr>
          <w:p w14:paraId="107E7817" w14:textId="77777777" w:rsidR="00811E0E" w:rsidRPr="00BF1BFB" w:rsidRDefault="00811E0E" w:rsidP="001E6417">
            <w:pPr>
              <w:pStyle w:val="TableText0"/>
              <w:widowControl w:val="0"/>
              <w:jc w:val="center"/>
            </w:pPr>
            <w:r w:rsidRPr="00BF1BFB">
              <w:t>Used</w:t>
            </w:r>
          </w:p>
        </w:tc>
      </w:tr>
      <w:tr w:rsidR="00811E0E" w:rsidRPr="00BF1BFB" w14:paraId="2A2AD278" w14:textId="77777777" w:rsidTr="00CF047E">
        <w:trPr>
          <w:cantSplit/>
        </w:trPr>
        <w:tc>
          <w:tcPr>
            <w:tcW w:w="713" w:type="pct"/>
            <w:shd w:val="clear" w:color="auto" w:fill="auto"/>
            <w:vAlign w:val="center"/>
          </w:tcPr>
          <w:p w14:paraId="31CDCAA3" w14:textId="085C5402" w:rsidR="00811E0E" w:rsidRPr="00BF1BFB" w:rsidRDefault="00811E0E" w:rsidP="001E6417">
            <w:pPr>
              <w:pStyle w:val="TableText0"/>
              <w:widowControl w:val="0"/>
            </w:pPr>
            <w:r w:rsidRPr="00BF1BFB">
              <w:t>Study</w:t>
            </w:r>
            <w:r w:rsidR="00F96B2F" w:rsidRPr="00BF1BFB">
              <w:t xml:space="preserve"> </w:t>
            </w:r>
            <w:r w:rsidRPr="00BF1BFB">
              <w:t>4004</w:t>
            </w:r>
          </w:p>
        </w:tc>
        <w:tc>
          <w:tcPr>
            <w:tcW w:w="466" w:type="pct"/>
            <w:shd w:val="clear" w:color="auto" w:fill="auto"/>
            <w:vAlign w:val="center"/>
          </w:tcPr>
          <w:p w14:paraId="3EE38AEF" w14:textId="77777777" w:rsidR="00811E0E" w:rsidRPr="00BF1BFB" w:rsidRDefault="00811E0E" w:rsidP="001E6417">
            <w:pPr>
              <w:pStyle w:val="TableText0"/>
              <w:widowControl w:val="0"/>
              <w:jc w:val="center"/>
            </w:pPr>
            <w:r w:rsidRPr="00BF1BFB">
              <w:t>25</w:t>
            </w:r>
          </w:p>
        </w:tc>
        <w:tc>
          <w:tcPr>
            <w:tcW w:w="782" w:type="pct"/>
            <w:shd w:val="clear" w:color="auto" w:fill="auto"/>
            <w:vAlign w:val="center"/>
          </w:tcPr>
          <w:p w14:paraId="3A55C3BF" w14:textId="40E2AC7F" w:rsidR="00811E0E" w:rsidRPr="00BF1BFB" w:rsidRDefault="00811E0E" w:rsidP="001E6417">
            <w:pPr>
              <w:pStyle w:val="TableText0"/>
              <w:widowControl w:val="0"/>
              <w:jc w:val="center"/>
            </w:pPr>
            <w:r w:rsidRPr="00BF1BFB">
              <w:t>R,</w:t>
            </w:r>
            <w:r w:rsidR="00F96B2F" w:rsidRPr="00BF1BFB">
              <w:t xml:space="preserve"> </w:t>
            </w:r>
            <w:r w:rsidRPr="00BF1BFB">
              <w:t>OL</w:t>
            </w:r>
          </w:p>
          <w:p w14:paraId="074356D3" w14:textId="513BC4D1" w:rsidR="00811E0E" w:rsidRPr="00BF1BFB" w:rsidRDefault="00811E0E" w:rsidP="001E6417">
            <w:pPr>
              <w:pStyle w:val="TableText0"/>
              <w:widowControl w:val="0"/>
              <w:jc w:val="center"/>
            </w:pPr>
            <w:r w:rsidRPr="00BF1BFB">
              <w:t>12</w:t>
            </w:r>
            <w:r w:rsidR="00F96B2F" w:rsidRPr="00BF1BFB">
              <w:t xml:space="preserve"> </w:t>
            </w:r>
            <w:proofErr w:type="spellStart"/>
            <w:r w:rsidRPr="00BF1BFB">
              <w:t>mths</w:t>
            </w:r>
            <w:proofErr w:type="spellEnd"/>
          </w:p>
        </w:tc>
        <w:tc>
          <w:tcPr>
            <w:tcW w:w="621" w:type="pct"/>
            <w:shd w:val="clear" w:color="auto" w:fill="auto"/>
            <w:vAlign w:val="center"/>
          </w:tcPr>
          <w:p w14:paraId="3D66875D" w14:textId="77777777" w:rsidR="00811E0E" w:rsidRPr="00BF1BFB" w:rsidRDefault="00811E0E" w:rsidP="001E6417">
            <w:pPr>
              <w:pStyle w:val="TableText0"/>
              <w:widowControl w:val="0"/>
              <w:jc w:val="center"/>
            </w:pPr>
            <w:r w:rsidRPr="00BF1BFB">
              <w:t>Low</w:t>
            </w:r>
          </w:p>
        </w:tc>
        <w:tc>
          <w:tcPr>
            <w:tcW w:w="857" w:type="pct"/>
            <w:shd w:val="clear" w:color="auto" w:fill="auto"/>
            <w:vAlign w:val="center"/>
          </w:tcPr>
          <w:p w14:paraId="2163C2CB" w14:textId="0F90DBC9" w:rsidR="00811E0E" w:rsidRPr="00BF1BFB" w:rsidRDefault="00811E0E" w:rsidP="001E6417">
            <w:pPr>
              <w:pStyle w:val="TableText0"/>
              <w:widowControl w:val="0"/>
              <w:jc w:val="center"/>
            </w:pPr>
            <w:r w:rsidRPr="00BF1BFB">
              <w:t>Prepubertal</w:t>
            </w:r>
            <w:r w:rsidR="00F96B2F" w:rsidRPr="00BF1BFB">
              <w:t xml:space="preserve"> </w:t>
            </w:r>
            <w:r w:rsidRPr="00BF1BFB">
              <w:t>children</w:t>
            </w:r>
            <w:r w:rsidR="00F96B2F" w:rsidRPr="00BF1BFB">
              <w:t xml:space="preserve"> </w:t>
            </w:r>
            <w:r w:rsidRPr="00BF1BFB">
              <w:t>with</w:t>
            </w:r>
            <w:r w:rsidR="00F96B2F" w:rsidRPr="00BF1BFB">
              <w:t xml:space="preserve"> </w:t>
            </w:r>
            <w:r w:rsidRPr="00BF1BFB">
              <w:t>GHD</w:t>
            </w:r>
          </w:p>
        </w:tc>
        <w:tc>
          <w:tcPr>
            <w:tcW w:w="622" w:type="pct"/>
            <w:shd w:val="clear" w:color="auto" w:fill="auto"/>
            <w:vAlign w:val="center"/>
          </w:tcPr>
          <w:p w14:paraId="0B34AE94" w14:textId="67477426" w:rsidR="00811E0E" w:rsidRPr="00BF1BFB" w:rsidRDefault="00811E0E" w:rsidP="001E6417">
            <w:pPr>
              <w:pStyle w:val="TableText0"/>
              <w:widowControl w:val="0"/>
              <w:jc w:val="center"/>
            </w:pPr>
            <w:r w:rsidRPr="00BF1BFB">
              <w:t>Annual</w:t>
            </w:r>
            <w:r w:rsidR="00F96B2F" w:rsidRPr="00BF1BFB">
              <w:t xml:space="preserve"> </w:t>
            </w:r>
            <w:r w:rsidRPr="00BF1BFB">
              <w:t>HV</w:t>
            </w:r>
          </w:p>
        </w:tc>
        <w:tc>
          <w:tcPr>
            <w:tcW w:w="939" w:type="pct"/>
            <w:shd w:val="clear" w:color="auto" w:fill="auto"/>
            <w:vAlign w:val="center"/>
          </w:tcPr>
          <w:p w14:paraId="7F1A2C84" w14:textId="1667516D" w:rsidR="00811E0E" w:rsidRPr="00BF1BFB" w:rsidRDefault="00811E0E" w:rsidP="001E6417">
            <w:pPr>
              <w:pStyle w:val="TableText0"/>
              <w:widowControl w:val="0"/>
              <w:jc w:val="center"/>
            </w:pPr>
            <w:r w:rsidRPr="00BF1BFB">
              <w:t>Not</w:t>
            </w:r>
            <w:r w:rsidR="00F96B2F" w:rsidRPr="00BF1BFB">
              <w:t xml:space="preserve"> </w:t>
            </w:r>
            <w:r w:rsidRPr="00BF1BFB">
              <w:t>used</w:t>
            </w:r>
          </w:p>
        </w:tc>
      </w:tr>
      <w:tr w:rsidR="00811E0E" w:rsidRPr="00BF1BFB" w14:paraId="5DEE50E1" w14:textId="77777777" w:rsidTr="00CF047E">
        <w:trPr>
          <w:cantSplit/>
        </w:trPr>
        <w:tc>
          <w:tcPr>
            <w:tcW w:w="713" w:type="pct"/>
            <w:shd w:val="clear" w:color="auto" w:fill="auto"/>
            <w:vAlign w:val="center"/>
          </w:tcPr>
          <w:p w14:paraId="47D90BA7" w14:textId="110B8682" w:rsidR="00811E0E" w:rsidRPr="00BF1BFB" w:rsidRDefault="00811E0E" w:rsidP="001E6417">
            <w:pPr>
              <w:pStyle w:val="TableText0"/>
              <w:widowControl w:val="0"/>
            </w:pPr>
            <w:r w:rsidRPr="00BF1BFB">
              <w:t>Study</w:t>
            </w:r>
            <w:r w:rsidR="00F96B2F" w:rsidRPr="00BF1BFB">
              <w:t xml:space="preserve"> </w:t>
            </w:r>
            <w:r w:rsidRPr="00BF1BFB">
              <w:t>4009</w:t>
            </w:r>
          </w:p>
        </w:tc>
        <w:tc>
          <w:tcPr>
            <w:tcW w:w="466" w:type="pct"/>
            <w:shd w:val="clear" w:color="auto" w:fill="auto"/>
            <w:vAlign w:val="center"/>
          </w:tcPr>
          <w:p w14:paraId="6CA0D923" w14:textId="77777777" w:rsidR="00811E0E" w:rsidRPr="00BF1BFB" w:rsidRDefault="00811E0E" w:rsidP="001E6417">
            <w:pPr>
              <w:pStyle w:val="TableText0"/>
              <w:widowControl w:val="0"/>
              <w:jc w:val="center"/>
            </w:pPr>
            <w:r w:rsidRPr="00BF1BFB">
              <w:t>44</w:t>
            </w:r>
          </w:p>
        </w:tc>
        <w:tc>
          <w:tcPr>
            <w:tcW w:w="782" w:type="pct"/>
            <w:shd w:val="clear" w:color="auto" w:fill="auto"/>
            <w:vAlign w:val="center"/>
          </w:tcPr>
          <w:p w14:paraId="71B6FAE3" w14:textId="1C336538" w:rsidR="00811E0E" w:rsidRPr="00BF1BFB" w:rsidRDefault="00811E0E" w:rsidP="001E6417">
            <w:pPr>
              <w:pStyle w:val="TableText0"/>
              <w:widowControl w:val="0"/>
              <w:jc w:val="center"/>
            </w:pPr>
            <w:r w:rsidRPr="00BF1BFB">
              <w:t>R,</w:t>
            </w:r>
            <w:r w:rsidR="00F96B2F" w:rsidRPr="00BF1BFB">
              <w:t xml:space="preserve"> </w:t>
            </w:r>
            <w:r w:rsidRPr="00BF1BFB">
              <w:t>OL</w:t>
            </w:r>
          </w:p>
          <w:p w14:paraId="13C3DB51" w14:textId="051C7E1B" w:rsidR="00811E0E" w:rsidRPr="00BF1BFB" w:rsidRDefault="00811E0E" w:rsidP="001E6417">
            <w:pPr>
              <w:pStyle w:val="TableText0"/>
              <w:widowControl w:val="0"/>
              <w:jc w:val="center"/>
            </w:pPr>
            <w:r w:rsidRPr="00BF1BFB">
              <w:t>12</w:t>
            </w:r>
            <w:r w:rsidR="00F96B2F" w:rsidRPr="00BF1BFB">
              <w:t xml:space="preserve"> </w:t>
            </w:r>
            <w:proofErr w:type="spellStart"/>
            <w:r w:rsidRPr="00BF1BFB">
              <w:t>mths</w:t>
            </w:r>
            <w:proofErr w:type="spellEnd"/>
          </w:p>
        </w:tc>
        <w:tc>
          <w:tcPr>
            <w:tcW w:w="621" w:type="pct"/>
            <w:shd w:val="clear" w:color="auto" w:fill="auto"/>
            <w:vAlign w:val="center"/>
          </w:tcPr>
          <w:p w14:paraId="5BC167D9" w14:textId="77777777" w:rsidR="00811E0E" w:rsidRPr="00BF1BFB" w:rsidRDefault="00811E0E" w:rsidP="001E6417">
            <w:pPr>
              <w:pStyle w:val="TableText0"/>
              <w:widowControl w:val="0"/>
              <w:jc w:val="center"/>
            </w:pPr>
            <w:r w:rsidRPr="00BF1BFB">
              <w:t>Low</w:t>
            </w:r>
          </w:p>
        </w:tc>
        <w:tc>
          <w:tcPr>
            <w:tcW w:w="857" w:type="pct"/>
            <w:shd w:val="clear" w:color="auto" w:fill="auto"/>
            <w:vAlign w:val="center"/>
          </w:tcPr>
          <w:p w14:paraId="25B9DD3B" w14:textId="32404360" w:rsidR="00811E0E" w:rsidRPr="00BF1BFB" w:rsidRDefault="00811E0E" w:rsidP="001E6417">
            <w:pPr>
              <w:pStyle w:val="TableText0"/>
              <w:widowControl w:val="0"/>
              <w:jc w:val="center"/>
            </w:pPr>
            <w:r w:rsidRPr="00BF1BFB">
              <w:t>Japanese</w:t>
            </w:r>
            <w:r w:rsidR="00F96B2F" w:rsidRPr="00BF1BFB">
              <w:t xml:space="preserve"> </w:t>
            </w:r>
            <w:r w:rsidRPr="00BF1BFB">
              <w:t>prepubertal</w:t>
            </w:r>
            <w:r w:rsidR="00F96B2F" w:rsidRPr="00BF1BFB">
              <w:t xml:space="preserve"> </w:t>
            </w:r>
            <w:r w:rsidRPr="00BF1BFB">
              <w:t>children</w:t>
            </w:r>
            <w:r w:rsidR="00F96B2F" w:rsidRPr="00BF1BFB">
              <w:t xml:space="preserve"> </w:t>
            </w:r>
            <w:r w:rsidRPr="00BF1BFB">
              <w:t>with</w:t>
            </w:r>
            <w:r w:rsidR="00F96B2F" w:rsidRPr="00BF1BFB">
              <w:t xml:space="preserve"> </w:t>
            </w:r>
            <w:r w:rsidRPr="00BF1BFB">
              <w:t>GHD</w:t>
            </w:r>
          </w:p>
        </w:tc>
        <w:tc>
          <w:tcPr>
            <w:tcW w:w="622" w:type="pct"/>
            <w:shd w:val="clear" w:color="auto" w:fill="auto"/>
            <w:vAlign w:val="center"/>
          </w:tcPr>
          <w:p w14:paraId="6668DB66" w14:textId="61A447DE" w:rsidR="00811E0E" w:rsidRPr="00BF1BFB" w:rsidRDefault="00811E0E" w:rsidP="001E6417">
            <w:pPr>
              <w:pStyle w:val="TableText0"/>
              <w:widowControl w:val="0"/>
              <w:jc w:val="center"/>
            </w:pPr>
            <w:r w:rsidRPr="00BF1BFB">
              <w:t>Annual</w:t>
            </w:r>
            <w:r w:rsidR="00F96B2F" w:rsidRPr="00BF1BFB">
              <w:t xml:space="preserve"> </w:t>
            </w:r>
            <w:r w:rsidRPr="00BF1BFB">
              <w:t>HV</w:t>
            </w:r>
          </w:p>
        </w:tc>
        <w:tc>
          <w:tcPr>
            <w:tcW w:w="939" w:type="pct"/>
            <w:shd w:val="clear" w:color="auto" w:fill="auto"/>
            <w:vAlign w:val="center"/>
          </w:tcPr>
          <w:p w14:paraId="5FB5D662" w14:textId="402281EB" w:rsidR="00811E0E" w:rsidRPr="00BF1BFB" w:rsidRDefault="00811E0E" w:rsidP="001E6417">
            <w:pPr>
              <w:pStyle w:val="TableText0"/>
              <w:widowControl w:val="0"/>
              <w:jc w:val="center"/>
            </w:pPr>
            <w:r w:rsidRPr="00BF1BFB">
              <w:t>Not</w:t>
            </w:r>
            <w:r w:rsidR="00F96B2F" w:rsidRPr="00BF1BFB">
              <w:t xml:space="preserve"> </w:t>
            </w:r>
            <w:r w:rsidRPr="00BF1BFB">
              <w:t>used</w:t>
            </w:r>
          </w:p>
        </w:tc>
      </w:tr>
      <w:tr w:rsidR="00811E0E" w:rsidRPr="00BF1BFB" w14:paraId="7BABF2C0" w14:textId="77777777" w:rsidTr="00CF047E">
        <w:trPr>
          <w:cantSplit/>
        </w:trPr>
        <w:tc>
          <w:tcPr>
            <w:tcW w:w="713" w:type="pct"/>
            <w:shd w:val="clear" w:color="auto" w:fill="auto"/>
            <w:vAlign w:val="center"/>
          </w:tcPr>
          <w:p w14:paraId="1AA1BB6E" w14:textId="2EE17C42" w:rsidR="00811E0E" w:rsidRPr="00BF1BFB" w:rsidRDefault="00811E0E" w:rsidP="001E6417">
            <w:pPr>
              <w:pStyle w:val="TableText0"/>
              <w:widowControl w:val="0"/>
            </w:pPr>
            <w:r w:rsidRPr="00BF1BFB">
              <w:t>Study</w:t>
            </w:r>
            <w:r w:rsidR="00F96B2F" w:rsidRPr="00BF1BFB">
              <w:t xml:space="preserve"> </w:t>
            </w:r>
            <w:r w:rsidRPr="00BF1BFB">
              <w:t>1002</w:t>
            </w:r>
          </w:p>
        </w:tc>
        <w:tc>
          <w:tcPr>
            <w:tcW w:w="466" w:type="pct"/>
            <w:shd w:val="clear" w:color="auto" w:fill="auto"/>
            <w:vAlign w:val="center"/>
          </w:tcPr>
          <w:p w14:paraId="49A02FD2" w14:textId="77777777" w:rsidR="00811E0E" w:rsidRPr="00BF1BFB" w:rsidRDefault="00811E0E" w:rsidP="001E6417">
            <w:pPr>
              <w:pStyle w:val="TableText0"/>
              <w:widowControl w:val="0"/>
              <w:jc w:val="center"/>
            </w:pPr>
            <w:r w:rsidRPr="00BF1BFB">
              <w:t>87</w:t>
            </w:r>
          </w:p>
        </w:tc>
        <w:tc>
          <w:tcPr>
            <w:tcW w:w="782" w:type="pct"/>
            <w:shd w:val="clear" w:color="auto" w:fill="auto"/>
            <w:vAlign w:val="center"/>
          </w:tcPr>
          <w:p w14:paraId="2157625C" w14:textId="1E5DE53D" w:rsidR="00811E0E" w:rsidRPr="00BF1BFB" w:rsidRDefault="00811E0E" w:rsidP="001E6417">
            <w:pPr>
              <w:pStyle w:val="TableText0"/>
              <w:widowControl w:val="0"/>
              <w:jc w:val="center"/>
            </w:pPr>
            <w:r w:rsidRPr="00BF1BFB">
              <w:t>R,</w:t>
            </w:r>
            <w:r w:rsidR="00F96B2F" w:rsidRPr="00BF1BFB">
              <w:t xml:space="preserve"> </w:t>
            </w:r>
            <w:r w:rsidRPr="00BF1BFB">
              <w:t>OL</w:t>
            </w:r>
          </w:p>
          <w:p w14:paraId="30651972" w14:textId="35E799F4" w:rsidR="00811E0E" w:rsidRPr="00BF1BFB" w:rsidRDefault="00811E0E" w:rsidP="001E6417">
            <w:pPr>
              <w:pStyle w:val="TableText0"/>
              <w:widowControl w:val="0"/>
              <w:jc w:val="center"/>
            </w:pPr>
            <w:r w:rsidRPr="00BF1BFB">
              <w:t>6</w:t>
            </w:r>
            <w:r w:rsidR="00F96B2F" w:rsidRPr="00BF1BFB">
              <w:t xml:space="preserve"> </w:t>
            </w:r>
            <w:proofErr w:type="spellStart"/>
            <w:r w:rsidRPr="00BF1BFB">
              <w:t>mths</w:t>
            </w:r>
            <w:proofErr w:type="spellEnd"/>
          </w:p>
        </w:tc>
        <w:tc>
          <w:tcPr>
            <w:tcW w:w="621" w:type="pct"/>
            <w:shd w:val="clear" w:color="auto" w:fill="auto"/>
            <w:vAlign w:val="center"/>
          </w:tcPr>
          <w:p w14:paraId="318E02D5" w14:textId="77777777" w:rsidR="00811E0E" w:rsidRPr="00BF1BFB" w:rsidRDefault="00811E0E" w:rsidP="001E6417">
            <w:pPr>
              <w:pStyle w:val="TableText0"/>
              <w:widowControl w:val="0"/>
              <w:jc w:val="center"/>
            </w:pPr>
            <w:r w:rsidRPr="00BF1BFB">
              <w:t>Moderate*</w:t>
            </w:r>
          </w:p>
        </w:tc>
        <w:tc>
          <w:tcPr>
            <w:tcW w:w="857" w:type="pct"/>
            <w:shd w:val="clear" w:color="auto" w:fill="auto"/>
            <w:vAlign w:val="center"/>
          </w:tcPr>
          <w:p w14:paraId="300F65BE" w14:textId="31D5E0F6" w:rsidR="00811E0E" w:rsidRPr="00BF1BFB" w:rsidRDefault="00811E0E" w:rsidP="001E6417">
            <w:pPr>
              <w:pStyle w:val="TableText0"/>
              <w:widowControl w:val="0"/>
              <w:jc w:val="center"/>
            </w:pPr>
            <w:r w:rsidRPr="00BF1BFB">
              <w:t>Prepubertal</w:t>
            </w:r>
            <w:r w:rsidR="00F96B2F" w:rsidRPr="00BF1BFB">
              <w:t xml:space="preserve"> </w:t>
            </w:r>
            <w:r w:rsidRPr="00BF1BFB">
              <w:t>children</w:t>
            </w:r>
            <w:r w:rsidR="00F96B2F" w:rsidRPr="00BF1BFB">
              <w:t xml:space="preserve"> </w:t>
            </w:r>
            <w:r w:rsidRPr="00BF1BFB">
              <w:t>with</w:t>
            </w:r>
            <w:r w:rsidR="00F96B2F" w:rsidRPr="00BF1BFB">
              <w:t xml:space="preserve"> </w:t>
            </w:r>
            <w:r w:rsidRPr="00BF1BFB">
              <w:t>GHD</w:t>
            </w:r>
          </w:p>
        </w:tc>
        <w:tc>
          <w:tcPr>
            <w:tcW w:w="622" w:type="pct"/>
            <w:shd w:val="clear" w:color="auto" w:fill="auto"/>
            <w:vAlign w:val="center"/>
          </w:tcPr>
          <w:p w14:paraId="59BF04FC" w14:textId="26169DB3" w:rsidR="00811E0E" w:rsidRPr="00BF1BFB" w:rsidRDefault="00811E0E" w:rsidP="001E6417">
            <w:pPr>
              <w:pStyle w:val="TableText0"/>
              <w:widowControl w:val="0"/>
              <w:jc w:val="center"/>
            </w:pPr>
            <w:r w:rsidRPr="00BF1BFB">
              <w:t>Treatment</w:t>
            </w:r>
            <w:r w:rsidR="00F96B2F" w:rsidRPr="00BF1BFB">
              <w:t xml:space="preserve"> </w:t>
            </w:r>
            <w:r w:rsidRPr="00BF1BFB">
              <w:t>burden</w:t>
            </w:r>
          </w:p>
        </w:tc>
        <w:tc>
          <w:tcPr>
            <w:tcW w:w="939" w:type="pct"/>
            <w:shd w:val="clear" w:color="auto" w:fill="auto"/>
            <w:vAlign w:val="center"/>
          </w:tcPr>
          <w:p w14:paraId="102F2505" w14:textId="16099702" w:rsidR="00811E0E" w:rsidRPr="00BF1BFB" w:rsidRDefault="00811E0E" w:rsidP="001E6417">
            <w:pPr>
              <w:pStyle w:val="TableText0"/>
              <w:widowControl w:val="0"/>
              <w:jc w:val="center"/>
            </w:pPr>
            <w:r w:rsidRPr="00BF1BFB">
              <w:t>Not</w:t>
            </w:r>
            <w:r w:rsidR="00F96B2F" w:rsidRPr="00BF1BFB">
              <w:t xml:space="preserve"> </w:t>
            </w:r>
            <w:r w:rsidRPr="00BF1BFB">
              <w:t>used</w:t>
            </w:r>
          </w:p>
        </w:tc>
      </w:tr>
    </w:tbl>
    <w:p w14:paraId="0E8CA9F6" w14:textId="7E1E4198" w:rsidR="00811E0E" w:rsidRPr="00E96E9F" w:rsidRDefault="00811E0E" w:rsidP="00811E0E">
      <w:pPr>
        <w:pStyle w:val="TableFigureFooter"/>
      </w:pPr>
      <w:r w:rsidRPr="00E96E9F">
        <w:t>Source:</w:t>
      </w:r>
      <w:r w:rsidR="00F96B2F" w:rsidRPr="00E96E9F">
        <w:t xml:space="preserve"> </w:t>
      </w:r>
      <w:r w:rsidRPr="00BF1BFB">
        <w:t>Compiled</w:t>
      </w:r>
      <w:r w:rsidR="00F96B2F" w:rsidRPr="00BF1BFB">
        <w:t xml:space="preserve"> </w:t>
      </w:r>
      <w:r w:rsidRPr="00BF1BFB">
        <w:t>during</w:t>
      </w:r>
      <w:r w:rsidR="00F96B2F" w:rsidRPr="00BF1BFB">
        <w:t xml:space="preserve"> </w:t>
      </w:r>
      <w:r w:rsidRPr="00BF1BFB">
        <w:t>the</w:t>
      </w:r>
      <w:r w:rsidR="00F96B2F" w:rsidRPr="00BF1BFB">
        <w:t xml:space="preserve"> </w:t>
      </w:r>
      <w:r w:rsidRPr="00BF1BFB">
        <w:t>evaluation</w:t>
      </w:r>
    </w:p>
    <w:p w14:paraId="4560FFBC" w14:textId="2D452837" w:rsidR="00811E0E" w:rsidRPr="00E96E9F" w:rsidRDefault="00811E0E" w:rsidP="00811E0E">
      <w:pPr>
        <w:pStyle w:val="TableFigureFooter"/>
      </w:pPr>
      <w:r w:rsidRPr="00E96E9F">
        <w:t>GHD</w:t>
      </w:r>
      <w:r w:rsidR="00F96B2F" w:rsidRPr="00E96E9F">
        <w:t xml:space="preserve"> </w:t>
      </w:r>
      <w:r w:rsidRPr="00E96E9F">
        <w:t>=</w:t>
      </w:r>
      <w:r w:rsidR="00F96B2F" w:rsidRPr="00E96E9F">
        <w:t xml:space="preserve"> </w:t>
      </w:r>
      <w:r w:rsidRPr="00E96E9F">
        <w:t>growth</w:t>
      </w:r>
      <w:r w:rsidR="00F96B2F" w:rsidRPr="00E96E9F">
        <w:t xml:space="preserve"> </w:t>
      </w:r>
      <w:r w:rsidRPr="00E96E9F">
        <w:t>hormone</w:t>
      </w:r>
      <w:r w:rsidR="00F96B2F" w:rsidRPr="00E96E9F">
        <w:t xml:space="preserve"> </w:t>
      </w:r>
      <w:r w:rsidRPr="00E96E9F">
        <w:t>deficiency;</w:t>
      </w:r>
      <w:r w:rsidR="00F96B2F" w:rsidRPr="00E96E9F">
        <w:t xml:space="preserve"> </w:t>
      </w:r>
      <w:r w:rsidRPr="00E96E9F">
        <w:t>HV</w:t>
      </w:r>
      <w:r w:rsidR="00F96B2F" w:rsidRPr="00E96E9F">
        <w:t xml:space="preserve"> </w:t>
      </w:r>
      <w:r w:rsidRPr="00E96E9F">
        <w:t>=</w:t>
      </w:r>
      <w:r w:rsidR="00F96B2F" w:rsidRPr="00E96E9F">
        <w:t xml:space="preserve"> </w:t>
      </w:r>
      <w:r w:rsidRPr="00E96E9F">
        <w:t>height</w:t>
      </w:r>
      <w:r w:rsidR="00F96B2F" w:rsidRPr="00E96E9F">
        <w:t xml:space="preserve"> </w:t>
      </w:r>
      <w:r w:rsidRPr="00E96E9F">
        <w:t>velocity</w:t>
      </w:r>
      <w:r w:rsidR="00F96B2F" w:rsidRPr="00E96E9F">
        <w:t xml:space="preserve"> </w:t>
      </w:r>
      <w:r w:rsidRPr="00E96E9F">
        <w:t>OL</w:t>
      </w:r>
      <w:r w:rsidR="00F96B2F" w:rsidRPr="00E96E9F">
        <w:t xml:space="preserve"> </w:t>
      </w:r>
      <w:r w:rsidRPr="00E96E9F">
        <w:t>=</w:t>
      </w:r>
      <w:r w:rsidR="00F96B2F" w:rsidRPr="00E96E9F">
        <w:t xml:space="preserve"> </w:t>
      </w:r>
      <w:r w:rsidRPr="00E96E9F">
        <w:t>open</w:t>
      </w:r>
      <w:r w:rsidR="00F96B2F" w:rsidRPr="00E96E9F">
        <w:t xml:space="preserve"> </w:t>
      </w:r>
      <w:r w:rsidRPr="00E96E9F">
        <w:t>label;</w:t>
      </w:r>
      <w:r w:rsidR="00F96B2F" w:rsidRPr="00E96E9F">
        <w:t xml:space="preserve"> </w:t>
      </w:r>
      <w:r w:rsidRPr="00E96E9F">
        <w:t>R</w:t>
      </w:r>
      <w:r w:rsidR="00F96B2F" w:rsidRPr="00E96E9F">
        <w:t xml:space="preserve"> </w:t>
      </w:r>
      <w:r w:rsidRPr="00E96E9F">
        <w:t>=</w:t>
      </w:r>
      <w:r w:rsidR="00F96B2F" w:rsidRPr="00E96E9F">
        <w:t xml:space="preserve"> </w:t>
      </w:r>
      <w:r w:rsidRPr="00E96E9F">
        <w:t>randomised.</w:t>
      </w:r>
    </w:p>
    <w:p w14:paraId="353FA012" w14:textId="7F4CFB30" w:rsidR="00811E0E" w:rsidRPr="00E96E9F" w:rsidRDefault="00811E0E" w:rsidP="00811E0E">
      <w:pPr>
        <w:pStyle w:val="TableFigureFooter"/>
        <w:rPr>
          <w:sz w:val="20"/>
        </w:rPr>
      </w:pPr>
      <w:r w:rsidRPr="00E96E9F">
        <w:t>*</w:t>
      </w:r>
      <w:r w:rsidR="00F96B2F" w:rsidRPr="00E96E9F">
        <w:t xml:space="preserve"> </w:t>
      </w:r>
      <w:r w:rsidRPr="00E96E9F">
        <w:t>Risk</w:t>
      </w:r>
      <w:r w:rsidR="00F96B2F" w:rsidRPr="00E96E9F">
        <w:t xml:space="preserve"> </w:t>
      </w:r>
      <w:r w:rsidRPr="00E96E9F">
        <w:t>of</w:t>
      </w:r>
      <w:r w:rsidR="00F96B2F" w:rsidRPr="00E96E9F">
        <w:t xml:space="preserve"> </w:t>
      </w:r>
      <w:r w:rsidRPr="00E96E9F">
        <w:t>performance</w:t>
      </w:r>
      <w:r w:rsidR="00F96B2F" w:rsidRPr="00E96E9F">
        <w:t xml:space="preserve"> </w:t>
      </w:r>
      <w:r w:rsidRPr="00E96E9F">
        <w:t>and</w:t>
      </w:r>
      <w:r w:rsidR="00F96B2F" w:rsidRPr="00E96E9F">
        <w:t xml:space="preserve"> </w:t>
      </w:r>
      <w:r w:rsidRPr="00E96E9F">
        <w:t>detection</w:t>
      </w:r>
      <w:r w:rsidR="00F96B2F" w:rsidRPr="00E96E9F">
        <w:t xml:space="preserve"> </w:t>
      </w:r>
      <w:r w:rsidRPr="00E96E9F">
        <w:t>bias</w:t>
      </w:r>
      <w:r w:rsidR="00F96B2F" w:rsidRPr="00E96E9F">
        <w:t xml:space="preserve"> </w:t>
      </w:r>
      <w:r w:rsidRPr="00E96E9F">
        <w:t>due</w:t>
      </w:r>
      <w:r w:rsidR="00F96B2F" w:rsidRPr="00E96E9F">
        <w:t xml:space="preserve"> </w:t>
      </w:r>
      <w:r w:rsidRPr="00E96E9F">
        <w:t>to</w:t>
      </w:r>
      <w:r w:rsidR="00F96B2F" w:rsidRPr="00E96E9F">
        <w:t xml:space="preserve"> </w:t>
      </w:r>
      <w:r w:rsidRPr="00E96E9F">
        <w:t>open-label</w:t>
      </w:r>
      <w:r w:rsidR="00F96B2F" w:rsidRPr="00E96E9F">
        <w:t xml:space="preserve"> </w:t>
      </w:r>
      <w:r w:rsidRPr="00E96E9F">
        <w:t>study</w:t>
      </w:r>
      <w:r w:rsidR="00F96B2F" w:rsidRPr="00E96E9F">
        <w:t xml:space="preserve"> </w:t>
      </w:r>
      <w:r w:rsidRPr="00E96E9F">
        <w:t>design</w:t>
      </w:r>
      <w:r w:rsidR="00F96B2F" w:rsidRPr="00E96E9F">
        <w:t xml:space="preserve"> </w:t>
      </w:r>
      <w:r w:rsidRPr="00E96E9F">
        <w:t>and</w:t>
      </w:r>
      <w:r w:rsidR="00F96B2F" w:rsidRPr="00E96E9F">
        <w:t xml:space="preserve"> </w:t>
      </w:r>
      <w:r w:rsidRPr="00E96E9F">
        <w:t>use</w:t>
      </w:r>
      <w:r w:rsidR="00F96B2F" w:rsidRPr="00E96E9F">
        <w:t xml:space="preserve"> </w:t>
      </w:r>
      <w:r w:rsidRPr="00E96E9F">
        <w:t>of</w:t>
      </w:r>
      <w:r w:rsidR="00F96B2F" w:rsidRPr="00E96E9F">
        <w:t xml:space="preserve"> </w:t>
      </w:r>
      <w:r w:rsidRPr="00E96E9F">
        <w:t>subjective</w:t>
      </w:r>
      <w:r w:rsidR="00F96B2F" w:rsidRPr="00E96E9F">
        <w:t xml:space="preserve"> </w:t>
      </w:r>
      <w:r w:rsidRPr="00E96E9F">
        <w:t>outcome</w:t>
      </w:r>
      <w:r w:rsidR="00F96B2F" w:rsidRPr="00E96E9F">
        <w:t xml:space="preserve"> </w:t>
      </w:r>
      <w:r w:rsidRPr="00E96E9F">
        <w:t>measures.</w:t>
      </w:r>
    </w:p>
    <w:p w14:paraId="64ECA508" w14:textId="006CCF4A" w:rsidR="00811E0E" w:rsidRPr="00E96E9F" w:rsidRDefault="00811E0E" w:rsidP="00811E0E">
      <w:pPr>
        <w:pStyle w:val="4-SubsectionHeading"/>
      </w:pPr>
      <w:bookmarkStart w:id="15" w:name="_Toc22897641"/>
      <w:bookmarkStart w:id="16" w:name="_Toc93499820"/>
      <w:r w:rsidRPr="00E96E9F">
        <w:t>Comparative</w:t>
      </w:r>
      <w:r w:rsidR="00F96B2F" w:rsidRPr="00E96E9F">
        <w:t xml:space="preserve"> </w:t>
      </w:r>
      <w:r w:rsidRPr="00E96E9F">
        <w:t>effectiveness</w:t>
      </w:r>
      <w:bookmarkEnd w:id="15"/>
      <w:bookmarkEnd w:id="16"/>
    </w:p>
    <w:p w14:paraId="40715312" w14:textId="7CF5FD9B" w:rsidR="00E5129A" w:rsidRPr="00E96E9F" w:rsidRDefault="00811E0E" w:rsidP="00811E0E">
      <w:pPr>
        <w:pStyle w:val="3-BodyText"/>
        <w:rPr>
          <w:shd w:val="clear" w:color="auto" w:fill="FFFFFF"/>
          <w:lang w:eastAsia="zh-CN"/>
        </w:rPr>
      </w:pP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primary</w:t>
      </w:r>
      <w:r w:rsidR="00F96B2F" w:rsidRPr="00E96E9F">
        <w:rPr>
          <w:shd w:val="clear" w:color="auto" w:fill="FFFFFF"/>
          <w:lang w:eastAsia="zh-CN"/>
        </w:rPr>
        <w:t xml:space="preserve"> </w:t>
      </w:r>
      <w:r w:rsidRPr="00E96E9F">
        <w:rPr>
          <w:shd w:val="clear" w:color="auto" w:fill="FFFFFF"/>
          <w:lang w:eastAsia="zh-CN"/>
        </w:rPr>
        <w:t>endpoint</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main</w:t>
      </w:r>
      <w:r w:rsidR="00F96B2F" w:rsidRPr="00E96E9F">
        <w:rPr>
          <w:shd w:val="clear" w:color="auto" w:fill="FFFFFF"/>
          <w:lang w:eastAsia="zh-CN"/>
        </w:rPr>
        <w:t xml:space="preserve"> </w:t>
      </w:r>
      <w:r w:rsidRPr="00E96E9F">
        <w:rPr>
          <w:shd w:val="clear" w:color="auto" w:fill="FFFFFF"/>
          <w:lang w:eastAsia="zh-CN"/>
        </w:rPr>
        <w:t>trial</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4006)</w:t>
      </w:r>
      <w:r w:rsidR="00F96B2F" w:rsidRPr="00E96E9F">
        <w:rPr>
          <w:shd w:val="clear" w:color="auto" w:fill="FFFFFF"/>
          <w:lang w:eastAsia="zh-CN"/>
        </w:rPr>
        <w:t xml:space="preserve"> </w:t>
      </w:r>
      <w:r w:rsidRPr="00E96E9F">
        <w:rPr>
          <w:shd w:val="clear" w:color="auto" w:fill="FFFFFF"/>
          <w:lang w:eastAsia="zh-CN"/>
        </w:rPr>
        <w:t>and</w:t>
      </w:r>
      <w:r w:rsidR="00F96B2F" w:rsidRPr="00E96E9F">
        <w:rPr>
          <w:shd w:val="clear" w:color="auto" w:fill="FFFFFF"/>
          <w:lang w:eastAsia="zh-CN"/>
        </w:rPr>
        <w:t xml:space="preserve"> </w:t>
      </w:r>
      <w:r w:rsidR="00057B36">
        <w:rPr>
          <w:shd w:val="clear" w:color="auto" w:fill="FFFFFF"/>
          <w:lang w:eastAsia="zh-CN"/>
        </w:rPr>
        <w:t xml:space="preserve">the </w:t>
      </w:r>
      <w:r w:rsidR="00C31A06" w:rsidRPr="00E96E9F">
        <w:rPr>
          <w:lang w:eastAsia="zh-CN"/>
        </w:rPr>
        <w:t>two</w:t>
      </w:r>
      <w:r w:rsidR="00F96B2F" w:rsidRPr="00E96E9F">
        <w:rPr>
          <w:shd w:val="clear" w:color="auto" w:fill="FFFFFF"/>
          <w:lang w:eastAsia="zh-CN"/>
        </w:rPr>
        <w:t xml:space="preserve"> </w:t>
      </w:r>
      <w:r w:rsidRPr="00E96E9F">
        <w:rPr>
          <w:shd w:val="clear" w:color="auto" w:fill="FFFFFF"/>
          <w:lang w:eastAsia="zh-CN"/>
        </w:rPr>
        <w:t>supportive</w:t>
      </w:r>
      <w:r w:rsidR="00F96B2F" w:rsidRPr="00E96E9F">
        <w:rPr>
          <w:shd w:val="clear" w:color="auto" w:fill="FFFFFF"/>
          <w:lang w:eastAsia="zh-CN"/>
        </w:rPr>
        <w:t xml:space="preserve"> </w:t>
      </w:r>
      <w:r w:rsidRPr="00E96E9F">
        <w:rPr>
          <w:shd w:val="clear" w:color="auto" w:fill="FFFFFF"/>
          <w:lang w:eastAsia="zh-CN"/>
        </w:rPr>
        <w:t>trials</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4004,</w:t>
      </w:r>
      <w:r w:rsidR="00F96B2F" w:rsidRPr="00E96E9F">
        <w:rPr>
          <w:shd w:val="clear" w:color="auto" w:fill="FFFFFF"/>
          <w:lang w:eastAsia="zh-CN"/>
        </w:rPr>
        <w:t xml:space="preserve"> </w:t>
      </w:r>
      <w:r w:rsidRPr="00E96E9F">
        <w:rPr>
          <w:shd w:val="clear" w:color="auto" w:fill="FFFFFF"/>
          <w:lang w:eastAsia="zh-CN"/>
        </w:rPr>
        <w:t>4009)</w:t>
      </w:r>
      <w:r w:rsidR="00F96B2F" w:rsidRPr="00E96E9F">
        <w:rPr>
          <w:shd w:val="clear" w:color="auto" w:fill="FFFFFF"/>
          <w:lang w:eastAsia="zh-CN"/>
        </w:rPr>
        <w:t xml:space="preserve"> </w:t>
      </w:r>
      <w:r w:rsidRPr="00E96E9F">
        <w:rPr>
          <w:shd w:val="clear" w:color="auto" w:fill="FFFFFF"/>
          <w:lang w:eastAsia="zh-CN"/>
        </w:rPr>
        <w:t>was</w:t>
      </w:r>
      <w:r w:rsidR="00F96B2F" w:rsidRPr="00E96E9F">
        <w:rPr>
          <w:shd w:val="clear" w:color="auto" w:fill="FFFFFF"/>
          <w:lang w:eastAsia="zh-CN"/>
        </w:rPr>
        <w:t xml:space="preserve"> </w:t>
      </w:r>
      <w:r w:rsidRPr="00E96E9F">
        <w:rPr>
          <w:shd w:val="clear" w:color="auto" w:fill="FFFFFF"/>
          <w:lang w:eastAsia="zh-CN"/>
        </w:rPr>
        <w:t>annual</w:t>
      </w:r>
      <w:r w:rsidR="00F96B2F" w:rsidRPr="00E96E9F">
        <w:rPr>
          <w:shd w:val="clear" w:color="auto" w:fill="FFFFFF"/>
          <w:lang w:eastAsia="zh-CN"/>
        </w:rPr>
        <w:t xml:space="preserve"> </w:t>
      </w:r>
      <w:r w:rsidRPr="00E96E9F">
        <w:rPr>
          <w:shd w:val="clear" w:color="auto" w:fill="FFFFFF"/>
          <w:lang w:eastAsia="zh-CN"/>
        </w:rPr>
        <w:t>height</w:t>
      </w:r>
      <w:r w:rsidR="00F96B2F" w:rsidRPr="00E96E9F">
        <w:rPr>
          <w:shd w:val="clear" w:color="auto" w:fill="FFFFFF"/>
          <w:lang w:eastAsia="zh-CN"/>
        </w:rPr>
        <w:t xml:space="preserve"> </w:t>
      </w:r>
      <w:r w:rsidRPr="00E96E9F">
        <w:rPr>
          <w:shd w:val="clear" w:color="auto" w:fill="FFFFFF"/>
          <w:lang w:eastAsia="zh-CN"/>
        </w:rPr>
        <w:t>velocity</w:t>
      </w:r>
      <w:r w:rsidR="00F96B2F" w:rsidRPr="00E96E9F">
        <w:rPr>
          <w:shd w:val="clear" w:color="auto" w:fill="FFFFFF"/>
          <w:lang w:eastAsia="zh-CN"/>
        </w:rPr>
        <w:t xml:space="preserve"> </w:t>
      </w:r>
      <w:r w:rsidRPr="00E96E9F">
        <w:rPr>
          <w:shd w:val="clear" w:color="auto" w:fill="FFFFFF"/>
          <w:lang w:eastAsia="zh-CN"/>
        </w:rPr>
        <w:t>(HV)</w:t>
      </w:r>
      <w:r w:rsidR="00F96B2F" w:rsidRPr="00E96E9F">
        <w:rPr>
          <w:shd w:val="clear" w:color="auto" w:fill="FFFFFF"/>
          <w:lang w:eastAsia="zh-CN"/>
        </w:rPr>
        <w:t xml:space="preserve"> </w:t>
      </w:r>
      <w:r w:rsidRPr="00E96E9F">
        <w:rPr>
          <w:shd w:val="clear" w:color="auto" w:fill="FFFFFF"/>
          <w:lang w:eastAsia="zh-CN"/>
        </w:rPr>
        <w:t>(cm/year)</w:t>
      </w:r>
      <w:r w:rsidR="00F96B2F" w:rsidRPr="00E96E9F">
        <w:rPr>
          <w:shd w:val="clear" w:color="auto" w:fill="FFFFFF"/>
          <w:lang w:eastAsia="zh-CN"/>
        </w:rPr>
        <w:t xml:space="preserve"> </w:t>
      </w:r>
      <w:r w:rsidRPr="00E96E9F">
        <w:rPr>
          <w:shd w:val="clear" w:color="auto" w:fill="FFFFFF"/>
          <w:lang w:eastAsia="zh-CN"/>
        </w:rPr>
        <w:t>after</w:t>
      </w:r>
      <w:r w:rsidR="00F96B2F" w:rsidRPr="00E96E9F">
        <w:rPr>
          <w:shd w:val="clear" w:color="auto" w:fill="FFFFFF"/>
          <w:lang w:eastAsia="zh-CN"/>
        </w:rPr>
        <w:t xml:space="preserve"> </w:t>
      </w:r>
      <w:r w:rsidRPr="00E96E9F">
        <w:rPr>
          <w:shd w:val="clear" w:color="auto" w:fill="FFFFFF"/>
          <w:lang w:eastAsia="zh-CN"/>
        </w:rPr>
        <w:t>12</w:t>
      </w:r>
      <w:r w:rsidR="00F96B2F" w:rsidRPr="00E96E9F">
        <w:rPr>
          <w:shd w:val="clear" w:color="auto" w:fill="FFFFFF"/>
          <w:lang w:eastAsia="zh-CN"/>
        </w:rPr>
        <w:t xml:space="preserve"> </w:t>
      </w:r>
      <w:r w:rsidRPr="00E96E9F">
        <w:rPr>
          <w:shd w:val="clear" w:color="auto" w:fill="FFFFFF"/>
          <w:lang w:eastAsia="zh-CN"/>
        </w:rPr>
        <w:t>months</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treatment.</w:t>
      </w:r>
      <w:r w:rsidR="00F96B2F" w:rsidRPr="00E96E9F">
        <w:rPr>
          <w:shd w:val="clear" w:color="auto" w:fill="FFFFFF"/>
          <w:lang w:eastAsia="zh-CN"/>
        </w:rPr>
        <w:t xml:space="preserve"> </w:t>
      </w:r>
      <w:r w:rsidRPr="00BF1BFB">
        <w:rPr>
          <w:iCs/>
          <w:shd w:val="clear" w:color="auto" w:fill="FFFFFF"/>
          <w:lang w:eastAsia="zh-CN"/>
        </w:rPr>
        <w:t>This</w:t>
      </w:r>
      <w:r w:rsidR="00F96B2F" w:rsidRPr="00BF1BFB">
        <w:rPr>
          <w:iCs/>
          <w:shd w:val="clear" w:color="auto" w:fill="FFFFFF"/>
          <w:lang w:eastAsia="zh-CN"/>
        </w:rPr>
        <w:t xml:space="preserve"> </w:t>
      </w:r>
      <w:r w:rsidR="00057B36">
        <w:rPr>
          <w:iCs/>
          <w:shd w:val="clear" w:color="auto" w:fill="FFFFFF"/>
          <w:lang w:eastAsia="zh-CN"/>
        </w:rPr>
        <w:t>wa</w:t>
      </w:r>
      <w:r w:rsidR="00057B36" w:rsidRPr="00BF1BFB">
        <w:rPr>
          <w:iCs/>
          <w:shd w:val="clear" w:color="auto" w:fill="FFFFFF"/>
          <w:lang w:eastAsia="zh-CN"/>
        </w:rPr>
        <w:t xml:space="preserve">s </w:t>
      </w:r>
      <w:r w:rsidRPr="00BF1BFB">
        <w:rPr>
          <w:iCs/>
          <w:shd w:val="clear" w:color="auto" w:fill="FFFFFF"/>
          <w:lang w:eastAsia="zh-CN"/>
        </w:rPr>
        <w:t>reasonable</w:t>
      </w:r>
      <w:r w:rsidR="00F96B2F" w:rsidRPr="00BF1BFB">
        <w:rPr>
          <w:iCs/>
          <w:shd w:val="clear" w:color="auto" w:fill="FFFFFF"/>
          <w:lang w:eastAsia="zh-CN"/>
        </w:rPr>
        <w:t xml:space="preserve"> </w:t>
      </w:r>
      <w:r w:rsidRPr="00BF1BFB">
        <w:rPr>
          <w:iCs/>
          <w:shd w:val="clear" w:color="auto" w:fill="FFFFFF"/>
          <w:lang w:eastAsia="zh-CN"/>
        </w:rPr>
        <w:t>and</w:t>
      </w:r>
      <w:r w:rsidR="00F96B2F" w:rsidRPr="00BF1BFB">
        <w:rPr>
          <w:iCs/>
          <w:shd w:val="clear" w:color="auto" w:fill="FFFFFF"/>
          <w:lang w:eastAsia="zh-CN"/>
        </w:rPr>
        <w:t xml:space="preserve"> </w:t>
      </w:r>
      <w:r w:rsidRPr="00BF1BFB">
        <w:rPr>
          <w:iCs/>
          <w:shd w:val="clear" w:color="auto" w:fill="FFFFFF"/>
          <w:lang w:eastAsia="zh-CN"/>
        </w:rPr>
        <w:t>consistent</w:t>
      </w:r>
      <w:r w:rsidR="00F96B2F" w:rsidRPr="00BF1BFB">
        <w:rPr>
          <w:iCs/>
          <w:shd w:val="clear" w:color="auto" w:fill="FFFFFF"/>
          <w:lang w:eastAsia="zh-CN"/>
        </w:rPr>
        <w:t xml:space="preserve"> </w:t>
      </w:r>
      <w:r w:rsidRPr="00BF1BFB">
        <w:rPr>
          <w:iCs/>
          <w:shd w:val="clear" w:color="auto" w:fill="FFFFFF"/>
          <w:lang w:eastAsia="zh-CN"/>
        </w:rPr>
        <w:t>with</w:t>
      </w:r>
      <w:r w:rsidR="00F96B2F" w:rsidRPr="00BF1BFB">
        <w:rPr>
          <w:iCs/>
          <w:shd w:val="clear" w:color="auto" w:fill="FFFFFF"/>
          <w:lang w:eastAsia="zh-CN"/>
        </w:rPr>
        <w:t xml:space="preserve"> </w:t>
      </w:r>
      <w:r w:rsidRPr="00BF1BFB">
        <w:rPr>
          <w:iCs/>
          <w:shd w:val="clear" w:color="auto" w:fill="FFFFFF"/>
          <w:lang w:eastAsia="zh-CN"/>
        </w:rPr>
        <w:t>the</w:t>
      </w:r>
      <w:r w:rsidR="00F96B2F" w:rsidRPr="00BF1BFB">
        <w:rPr>
          <w:iCs/>
          <w:shd w:val="clear" w:color="auto" w:fill="FFFFFF"/>
          <w:lang w:eastAsia="zh-CN"/>
        </w:rPr>
        <w:t xml:space="preserve"> </w:t>
      </w:r>
      <w:r w:rsidRPr="00BF1BFB">
        <w:rPr>
          <w:iCs/>
          <w:shd w:val="clear" w:color="auto" w:fill="FFFFFF"/>
          <w:lang w:eastAsia="zh-CN"/>
        </w:rPr>
        <w:t>primary</w:t>
      </w:r>
      <w:r w:rsidR="00F96B2F" w:rsidRPr="00BF1BFB">
        <w:rPr>
          <w:iCs/>
          <w:shd w:val="clear" w:color="auto" w:fill="FFFFFF"/>
          <w:lang w:eastAsia="zh-CN"/>
        </w:rPr>
        <w:t xml:space="preserve"> </w:t>
      </w:r>
      <w:r w:rsidRPr="00BF1BFB">
        <w:rPr>
          <w:iCs/>
          <w:shd w:val="clear" w:color="auto" w:fill="FFFFFF"/>
          <w:lang w:eastAsia="zh-CN"/>
        </w:rPr>
        <w:t>endpoint</w:t>
      </w:r>
      <w:r w:rsidR="00F96B2F" w:rsidRPr="00BF1BFB">
        <w:rPr>
          <w:iCs/>
          <w:shd w:val="clear" w:color="auto" w:fill="FFFFFF"/>
          <w:lang w:eastAsia="zh-CN"/>
        </w:rPr>
        <w:t xml:space="preserve"> </w:t>
      </w:r>
      <w:r w:rsidRPr="00BF1BFB">
        <w:rPr>
          <w:iCs/>
          <w:shd w:val="clear" w:color="auto" w:fill="FFFFFF"/>
          <w:lang w:eastAsia="zh-CN"/>
        </w:rPr>
        <w:t>of</w:t>
      </w:r>
      <w:r w:rsidR="00057B36">
        <w:rPr>
          <w:iCs/>
          <w:shd w:val="clear" w:color="auto" w:fill="FFFFFF"/>
          <w:lang w:eastAsia="zh-CN"/>
        </w:rPr>
        <w:t xml:space="preserve"> the</w:t>
      </w:r>
      <w:r w:rsidR="00F96B2F" w:rsidRPr="00BF1BFB">
        <w:rPr>
          <w:iCs/>
          <w:shd w:val="clear" w:color="auto" w:fill="FFFFFF"/>
          <w:lang w:eastAsia="zh-CN"/>
        </w:rPr>
        <w:t xml:space="preserve"> </w:t>
      </w:r>
      <w:r w:rsidRPr="00BF1BFB">
        <w:rPr>
          <w:iCs/>
          <w:shd w:val="clear" w:color="auto" w:fill="FFFFFF"/>
          <w:lang w:eastAsia="zh-CN"/>
        </w:rPr>
        <w:t>trials</w:t>
      </w:r>
      <w:r w:rsidR="00F96B2F" w:rsidRPr="00BF1BFB">
        <w:rPr>
          <w:iCs/>
          <w:shd w:val="clear" w:color="auto" w:fill="FFFFFF"/>
          <w:lang w:eastAsia="zh-CN"/>
        </w:rPr>
        <w:t xml:space="preserve"> </w:t>
      </w:r>
      <w:r w:rsidRPr="00BF1BFB">
        <w:rPr>
          <w:iCs/>
          <w:shd w:val="clear" w:color="auto" w:fill="FFFFFF"/>
          <w:lang w:eastAsia="zh-CN"/>
        </w:rPr>
        <w:t>that</w:t>
      </w:r>
      <w:r w:rsidR="00F96B2F" w:rsidRPr="00BF1BFB">
        <w:rPr>
          <w:iCs/>
          <w:shd w:val="clear" w:color="auto" w:fill="FFFFFF"/>
          <w:lang w:eastAsia="zh-CN"/>
        </w:rPr>
        <w:t xml:space="preserve"> </w:t>
      </w:r>
      <w:r w:rsidRPr="00BF1BFB">
        <w:rPr>
          <w:iCs/>
          <w:shd w:val="clear" w:color="auto" w:fill="FFFFFF"/>
          <w:lang w:eastAsia="zh-CN"/>
        </w:rPr>
        <w:t>established</w:t>
      </w:r>
      <w:r w:rsidR="00F96B2F" w:rsidRPr="00BF1BFB">
        <w:rPr>
          <w:iCs/>
          <w:shd w:val="clear" w:color="auto" w:fill="FFFFFF"/>
          <w:lang w:eastAsia="zh-CN"/>
        </w:rPr>
        <w:t xml:space="preserve"> </w:t>
      </w:r>
      <w:r w:rsidRPr="00BF1BFB">
        <w:rPr>
          <w:iCs/>
          <w:shd w:val="clear" w:color="auto" w:fill="FFFFFF"/>
          <w:lang w:eastAsia="zh-CN"/>
        </w:rPr>
        <w:t>the</w:t>
      </w:r>
      <w:r w:rsidR="00F96B2F" w:rsidRPr="00BF1BFB">
        <w:rPr>
          <w:iCs/>
          <w:shd w:val="clear" w:color="auto" w:fill="FFFFFF"/>
          <w:lang w:eastAsia="zh-CN"/>
        </w:rPr>
        <w:t xml:space="preserve"> </w:t>
      </w:r>
      <w:r w:rsidRPr="00BF1BFB">
        <w:rPr>
          <w:iCs/>
          <w:shd w:val="clear" w:color="auto" w:fill="FFFFFF"/>
          <w:lang w:eastAsia="zh-CN"/>
        </w:rPr>
        <w:t>effectiveness</w:t>
      </w:r>
      <w:r w:rsidR="00F96B2F" w:rsidRPr="00BF1BFB">
        <w:rPr>
          <w:iCs/>
          <w:shd w:val="clear" w:color="auto" w:fill="FFFFFF"/>
          <w:lang w:eastAsia="zh-CN"/>
        </w:rPr>
        <w:t xml:space="preserve"> </w:t>
      </w:r>
      <w:r w:rsidRPr="00BF1BFB">
        <w:rPr>
          <w:iCs/>
          <w:shd w:val="clear" w:color="auto" w:fill="FFFFFF"/>
          <w:lang w:eastAsia="zh-CN"/>
        </w:rPr>
        <w:t>of</w:t>
      </w:r>
      <w:r w:rsidR="00F96B2F" w:rsidRPr="00BF1BFB">
        <w:rPr>
          <w:iCs/>
          <w:shd w:val="clear" w:color="auto" w:fill="FFFFFF"/>
          <w:lang w:eastAsia="zh-CN"/>
        </w:rPr>
        <w:t xml:space="preserve"> </w:t>
      </w:r>
      <w:r w:rsidR="0035498D" w:rsidRPr="00BF1BFB">
        <w:rPr>
          <w:iCs/>
          <w:shd w:val="clear" w:color="auto" w:fill="FFFFFF"/>
          <w:lang w:eastAsia="zh-CN"/>
        </w:rPr>
        <w:t>the</w:t>
      </w:r>
      <w:r w:rsidR="00F96B2F" w:rsidRPr="00BF1BFB">
        <w:rPr>
          <w:iCs/>
          <w:shd w:val="clear" w:color="auto" w:fill="FFFFFF"/>
          <w:lang w:eastAsia="zh-CN"/>
        </w:rPr>
        <w:t xml:space="preserve"> </w:t>
      </w:r>
      <w:r w:rsidR="0035498D" w:rsidRPr="00BF1BFB">
        <w:rPr>
          <w:iCs/>
          <w:shd w:val="clear" w:color="auto" w:fill="FFFFFF"/>
          <w:lang w:eastAsia="zh-CN"/>
        </w:rPr>
        <w:t>comparator</w:t>
      </w:r>
      <w:r w:rsidR="00F96B2F" w:rsidRPr="00BF1BFB">
        <w:rPr>
          <w:iCs/>
          <w:shd w:val="clear" w:color="auto" w:fill="FFFFFF"/>
          <w:lang w:eastAsia="zh-CN"/>
        </w:rPr>
        <w:t xml:space="preserve"> </w:t>
      </w:r>
      <w:r w:rsidRPr="00BF1BFB">
        <w:rPr>
          <w:iCs/>
          <w:shd w:val="clear" w:color="auto" w:fill="FFFFFF"/>
          <w:lang w:eastAsia="zh-CN"/>
        </w:rPr>
        <w:t>somatropin.</w:t>
      </w:r>
      <w:r w:rsidR="00F96B2F" w:rsidRPr="00BF1BFB">
        <w:rPr>
          <w:iCs/>
          <w:shd w:val="clear" w:color="auto" w:fill="FFFFFF"/>
          <w:lang w:eastAsia="zh-CN"/>
        </w:rPr>
        <w:t xml:space="preserve"> </w:t>
      </w:r>
      <w:r w:rsidR="00C0370D" w:rsidRPr="00BF1BFB">
        <w:rPr>
          <w:lang w:eastAsia="zh-CN"/>
        </w:rPr>
        <w:t>The evaluation noted t</w:t>
      </w:r>
      <w:r w:rsidRPr="00BF1BFB">
        <w:rPr>
          <w:iCs/>
          <w:shd w:val="clear" w:color="auto" w:fill="FFFFFF"/>
          <w:lang w:eastAsia="zh-CN"/>
        </w:rPr>
        <w:t>here</w:t>
      </w:r>
      <w:r w:rsidR="00F96B2F" w:rsidRPr="00BF1BFB">
        <w:rPr>
          <w:iCs/>
          <w:shd w:val="clear" w:color="auto" w:fill="FFFFFF"/>
          <w:lang w:eastAsia="zh-CN"/>
        </w:rPr>
        <w:t xml:space="preserve"> </w:t>
      </w:r>
      <w:r w:rsidR="0012188F">
        <w:rPr>
          <w:iCs/>
          <w:shd w:val="clear" w:color="auto" w:fill="FFFFFF"/>
          <w:lang w:eastAsia="zh-CN"/>
        </w:rPr>
        <w:t>wa</w:t>
      </w:r>
      <w:r w:rsidR="0012188F" w:rsidRPr="00BF1BFB">
        <w:rPr>
          <w:iCs/>
          <w:shd w:val="clear" w:color="auto" w:fill="FFFFFF"/>
          <w:lang w:eastAsia="zh-CN"/>
        </w:rPr>
        <w:t xml:space="preserve">s </w:t>
      </w:r>
      <w:r w:rsidRPr="00BF1BFB">
        <w:rPr>
          <w:iCs/>
          <w:shd w:val="clear" w:color="auto" w:fill="FFFFFF"/>
          <w:lang w:eastAsia="zh-CN"/>
        </w:rPr>
        <w:t>no</w:t>
      </w:r>
      <w:r w:rsidR="00F96B2F" w:rsidRPr="00BF1BFB">
        <w:rPr>
          <w:iCs/>
          <w:shd w:val="clear" w:color="auto" w:fill="FFFFFF"/>
          <w:lang w:eastAsia="zh-CN"/>
        </w:rPr>
        <w:t xml:space="preserve"> </w:t>
      </w:r>
      <w:r w:rsidRPr="00BF1BFB">
        <w:rPr>
          <w:iCs/>
          <w:shd w:val="clear" w:color="auto" w:fill="FFFFFF"/>
          <w:lang w:eastAsia="zh-CN"/>
        </w:rPr>
        <w:t>evidence</w:t>
      </w:r>
      <w:r w:rsidR="00F96B2F" w:rsidRPr="00BF1BFB">
        <w:rPr>
          <w:iCs/>
          <w:shd w:val="clear" w:color="auto" w:fill="FFFFFF"/>
          <w:lang w:eastAsia="zh-CN"/>
        </w:rPr>
        <w:t xml:space="preserve"> </w:t>
      </w:r>
      <w:r w:rsidRPr="00BF1BFB">
        <w:rPr>
          <w:iCs/>
          <w:shd w:val="clear" w:color="auto" w:fill="FFFFFF"/>
          <w:lang w:eastAsia="zh-CN"/>
        </w:rPr>
        <w:t>of</w:t>
      </w:r>
      <w:r w:rsidR="00F96B2F" w:rsidRPr="00BF1BFB">
        <w:rPr>
          <w:iCs/>
          <w:shd w:val="clear" w:color="auto" w:fill="FFFFFF"/>
          <w:lang w:eastAsia="zh-CN"/>
        </w:rPr>
        <w:t xml:space="preserve"> </w:t>
      </w:r>
      <w:r w:rsidR="0035498D" w:rsidRPr="00BF1BFB">
        <w:rPr>
          <w:iCs/>
          <w:shd w:val="clear" w:color="auto" w:fill="FFFFFF"/>
          <w:lang w:eastAsia="zh-CN"/>
        </w:rPr>
        <w:t>a</w:t>
      </w:r>
      <w:r w:rsidR="00F96B2F" w:rsidRPr="00BF1BFB">
        <w:rPr>
          <w:iCs/>
          <w:shd w:val="clear" w:color="auto" w:fill="FFFFFF"/>
          <w:lang w:eastAsia="zh-CN"/>
        </w:rPr>
        <w:t xml:space="preserve"> </w:t>
      </w:r>
      <w:r w:rsidRPr="00BF1BFB">
        <w:rPr>
          <w:iCs/>
          <w:shd w:val="clear" w:color="auto" w:fill="FFFFFF"/>
          <w:lang w:eastAsia="zh-CN"/>
        </w:rPr>
        <w:t>mortality</w:t>
      </w:r>
      <w:r w:rsidR="00F96B2F" w:rsidRPr="00BF1BFB">
        <w:rPr>
          <w:iCs/>
          <w:shd w:val="clear" w:color="auto" w:fill="FFFFFF"/>
          <w:lang w:eastAsia="zh-CN"/>
        </w:rPr>
        <w:t xml:space="preserve"> </w:t>
      </w:r>
      <w:r w:rsidRPr="00BF1BFB">
        <w:rPr>
          <w:iCs/>
          <w:shd w:val="clear" w:color="auto" w:fill="FFFFFF"/>
          <w:lang w:eastAsia="zh-CN"/>
        </w:rPr>
        <w:t>benefit</w:t>
      </w:r>
      <w:r w:rsidR="00F96B2F" w:rsidRPr="00BF1BFB">
        <w:rPr>
          <w:iCs/>
          <w:shd w:val="clear" w:color="auto" w:fill="FFFFFF"/>
          <w:lang w:eastAsia="zh-CN"/>
        </w:rPr>
        <w:t xml:space="preserve"> </w:t>
      </w:r>
      <w:r w:rsidR="0035498D" w:rsidRPr="00BF1BFB">
        <w:rPr>
          <w:iCs/>
          <w:shd w:val="clear" w:color="auto" w:fill="FFFFFF"/>
          <w:lang w:eastAsia="zh-CN"/>
        </w:rPr>
        <w:t>from</w:t>
      </w:r>
      <w:r w:rsidR="00F96B2F" w:rsidRPr="00BF1BFB">
        <w:rPr>
          <w:iCs/>
          <w:shd w:val="clear" w:color="auto" w:fill="FFFFFF"/>
          <w:lang w:eastAsia="zh-CN"/>
        </w:rPr>
        <w:t xml:space="preserve"> </w:t>
      </w:r>
      <w:proofErr w:type="spellStart"/>
      <w:r w:rsidRPr="00BF1BFB">
        <w:rPr>
          <w:iCs/>
          <w:shd w:val="clear" w:color="auto" w:fill="FFFFFF"/>
          <w:lang w:eastAsia="zh-CN"/>
        </w:rPr>
        <w:t>somatrogon</w:t>
      </w:r>
      <w:proofErr w:type="spellEnd"/>
      <w:r w:rsidR="00F96B2F" w:rsidRPr="00BF1BFB">
        <w:rPr>
          <w:iCs/>
          <w:shd w:val="clear" w:color="auto" w:fill="FFFFFF"/>
          <w:lang w:eastAsia="zh-CN"/>
        </w:rPr>
        <w:t xml:space="preserve"> </w:t>
      </w:r>
      <w:r w:rsidRPr="00BF1BFB">
        <w:rPr>
          <w:iCs/>
          <w:shd w:val="clear" w:color="auto" w:fill="FFFFFF"/>
          <w:lang w:eastAsia="zh-CN"/>
        </w:rPr>
        <w:t>or</w:t>
      </w:r>
      <w:r w:rsidR="00F96B2F" w:rsidRPr="00BF1BFB">
        <w:rPr>
          <w:iCs/>
          <w:shd w:val="clear" w:color="auto" w:fill="FFFFFF"/>
          <w:lang w:eastAsia="zh-CN"/>
        </w:rPr>
        <w:t xml:space="preserve"> </w:t>
      </w:r>
      <w:r w:rsidRPr="00BF1BFB">
        <w:rPr>
          <w:iCs/>
          <w:shd w:val="clear" w:color="auto" w:fill="FFFFFF"/>
          <w:lang w:eastAsia="zh-CN"/>
        </w:rPr>
        <w:t>somatropin.</w:t>
      </w:r>
    </w:p>
    <w:p w14:paraId="19C8C92B" w14:textId="66A5F61D" w:rsidR="006736B2" w:rsidRPr="00E96E9F" w:rsidRDefault="00811E0E" w:rsidP="00F00CB5">
      <w:pPr>
        <w:pStyle w:val="3-BodyText"/>
        <w:rPr>
          <w:rStyle w:val="CommentReference"/>
        </w:rPr>
      </w:pPr>
      <w:r w:rsidRPr="00E96E9F">
        <w:rPr>
          <w:rStyle w:val="normaltextrun"/>
          <w:rFonts w:ascii="Calibri" w:hAnsi="Calibri" w:cs="Calibri"/>
        </w:rPr>
        <w:lastRenderedPageBreak/>
        <w:t>For</w:t>
      </w:r>
      <w:r w:rsidR="00F96B2F" w:rsidRPr="00E96E9F">
        <w:rPr>
          <w:rStyle w:val="normaltextrun"/>
          <w:rFonts w:ascii="Calibri" w:hAnsi="Calibri" w:cs="Calibri"/>
        </w:rPr>
        <w:t xml:space="preserve"> </w:t>
      </w:r>
      <w:r w:rsidRPr="00E96E9F">
        <w:rPr>
          <w:rStyle w:val="findhit"/>
          <w:rFonts w:ascii="Calibri" w:hAnsi="Calibri" w:cs="Calibri"/>
        </w:rPr>
        <w:t>Study</w:t>
      </w:r>
      <w:r w:rsidR="00F96B2F" w:rsidRPr="00E96E9F">
        <w:rPr>
          <w:rStyle w:val="findhit"/>
          <w:rFonts w:ascii="Calibri" w:hAnsi="Calibri" w:cs="Calibri"/>
        </w:rPr>
        <w:t xml:space="preserve"> </w:t>
      </w:r>
      <w:r w:rsidRPr="00E96E9F">
        <w:rPr>
          <w:rStyle w:val="findhit"/>
          <w:rFonts w:ascii="Calibri" w:hAnsi="Calibri" w:cs="Calibri"/>
        </w:rPr>
        <w:t>4006</w:t>
      </w:r>
      <w:r w:rsidR="00F96B2F" w:rsidRPr="00E96E9F">
        <w:rPr>
          <w:rStyle w:val="normaltextrun"/>
          <w:rFonts w:ascii="Calibri" w:hAnsi="Calibri" w:cs="Calibri"/>
        </w:rPr>
        <w:t xml:space="preserve"> </w:t>
      </w:r>
      <w:r w:rsidRPr="00E96E9F">
        <w:rPr>
          <w:rStyle w:val="normaltextrun"/>
          <w:rFonts w:ascii="Calibri" w:hAnsi="Calibri" w:cs="Calibri"/>
        </w:rPr>
        <w:t>and</w:t>
      </w:r>
      <w:r w:rsidR="00F96B2F" w:rsidRPr="00E96E9F">
        <w:rPr>
          <w:rStyle w:val="normaltextrun"/>
          <w:rFonts w:ascii="Calibri" w:hAnsi="Calibri" w:cs="Calibri"/>
        </w:rPr>
        <w:t xml:space="preserve"> </w:t>
      </w:r>
      <w:r w:rsidRPr="00E96E9F">
        <w:rPr>
          <w:rStyle w:val="normaltextrun"/>
          <w:rFonts w:ascii="Calibri" w:hAnsi="Calibri" w:cs="Calibri"/>
        </w:rPr>
        <w:t>4009,</w:t>
      </w:r>
      <w:r w:rsidR="00F96B2F" w:rsidRPr="00E96E9F">
        <w:rPr>
          <w:rStyle w:val="normaltextrun"/>
          <w:rFonts w:ascii="Calibri" w:hAnsi="Calibri" w:cs="Calibri"/>
        </w:rPr>
        <w:t xml:space="preserve"> </w:t>
      </w:r>
      <w:r w:rsidRPr="00E96E9F">
        <w:rPr>
          <w:rStyle w:val="normaltextrun"/>
          <w:rFonts w:ascii="Calibri" w:hAnsi="Calibri" w:cs="Calibri"/>
        </w:rPr>
        <w:t>the</w:t>
      </w:r>
      <w:r w:rsidR="00F96B2F" w:rsidRPr="00E96E9F">
        <w:rPr>
          <w:rStyle w:val="normaltextrun"/>
          <w:rFonts w:ascii="Calibri" w:hAnsi="Calibri" w:cs="Calibri"/>
        </w:rPr>
        <w:t xml:space="preserve"> </w:t>
      </w:r>
      <w:r w:rsidR="00C0370D" w:rsidRPr="00E96E9F">
        <w:rPr>
          <w:rStyle w:val="normaltextrun"/>
          <w:rFonts w:ascii="Calibri" w:hAnsi="Calibri" w:cs="Calibri"/>
        </w:rPr>
        <w:t xml:space="preserve">submission </w:t>
      </w:r>
      <w:r w:rsidRPr="00E96E9F">
        <w:rPr>
          <w:rStyle w:val="normaltextrun"/>
          <w:rFonts w:ascii="Calibri" w:hAnsi="Calibri" w:cs="Calibri"/>
        </w:rPr>
        <w:t>state</w:t>
      </w:r>
      <w:r w:rsidR="00C0370D" w:rsidRPr="00E96E9F">
        <w:rPr>
          <w:rStyle w:val="normaltextrun"/>
          <w:rFonts w:ascii="Calibri" w:hAnsi="Calibri" w:cs="Calibri"/>
        </w:rPr>
        <w:t>d</w:t>
      </w:r>
      <w:r w:rsidR="00F96B2F" w:rsidRPr="00E96E9F">
        <w:rPr>
          <w:rStyle w:val="normaltextrun"/>
          <w:rFonts w:ascii="Calibri" w:hAnsi="Calibri" w:cs="Calibri"/>
        </w:rPr>
        <w:t xml:space="preserve"> </w:t>
      </w:r>
      <w:r w:rsidRPr="00E96E9F">
        <w:rPr>
          <w:rStyle w:val="normaltextrun"/>
          <w:rFonts w:ascii="Calibri" w:hAnsi="Calibri" w:cs="Calibri"/>
        </w:rPr>
        <w:t>that</w:t>
      </w:r>
      <w:r w:rsidR="00F96B2F" w:rsidRPr="00E96E9F">
        <w:rPr>
          <w:rStyle w:val="normaltextrun"/>
          <w:rFonts w:ascii="Calibri" w:hAnsi="Calibri" w:cs="Calibri"/>
        </w:rPr>
        <w:t xml:space="preserve"> </w:t>
      </w:r>
      <w:r w:rsidRPr="00E96E9F">
        <w:rPr>
          <w:rStyle w:val="normaltextrun"/>
          <w:rFonts w:ascii="Calibri" w:hAnsi="Calibri" w:cs="Calibri"/>
        </w:rPr>
        <w:t>the</w:t>
      </w:r>
      <w:r w:rsidR="00F96B2F" w:rsidRPr="00E96E9F">
        <w:rPr>
          <w:rStyle w:val="normaltextrun"/>
          <w:rFonts w:ascii="Calibri" w:hAnsi="Calibri" w:cs="Calibri"/>
        </w:rPr>
        <w:t xml:space="preserve"> </w:t>
      </w:r>
      <w:r w:rsidRPr="00E96E9F">
        <w:rPr>
          <w:rStyle w:val="normaltextrun"/>
          <w:rFonts w:ascii="Calibri" w:hAnsi="Calibri" w:cs="Calibri"/>
        </w:rPr>
        <w:t>lower</w:t>
      </w:r>
      <w:r w:rsidR="00F96B2F" w:rsidRPr="00E96E9F">
        <w:rPr>
          <w:rStyle w:val="normaltextrun"/>
          <w:rFonts w:ascii="Calibri" w:hAnsi="Calibri" w:cs="Calibri"/>
        </w:rPr>
        <w:t xml:space="preserve"> </w:t>
      </w:r>
      <w:r w:rsidRPr="00E96E9F">
        <w:rPr>
          <w:rStyle w:val="normaltextrun"/>
          <w:rFonts w:ascii="Calibri" w:hAnsi="Calibri" w:cs="Calibri"/>
        </w:rPr>
        <w:t>bound</w:t>
      </w:r>
      <w:r w:rsidR="00F96B2F" w:rsidRPr="00E96E9F">
        <w:rPr>
          <w:rStyle w:val="normaltextrun"/>
          <w:rFonts w:ascii="Calibri" w:hAnsi="Calibri" w:cs="Calibri"/>
        </w:rPr>
        <w:t xml:space="preserve"> </w:t>
      </w:r>
      <w:r w:rsidRPr="00E96E9F">
        <w:rPr>
          <w:rStyle w:val="normaltextrun"/>
          <w:rFonts w:ascii="Calibri" w:hAnsi="Calibri" w:cs="Calibri"/>
        </w:rPr>
        <w:t>of</w:t>
      </w:r>
      <w:r w:rsidR="00F96B2F" w:rsidRPr="00E96E9F">
        <w:rPr>
          <w:rStyle w:val="normaltextrun"/>
          <w:rFonts w:ascii="Calibri" w:hAnsi="Calibri" w:cs="Calibri"/>
        </w:rPr>
        <w:t xml:space="preserve"> </w:t>
      </w:r>
      <w:r w:rsidRPr="00E96E9F">
        <w:rPr>
          <w:rStyle w:val="normaltextrun"/>
          <w:rFonts w:ascii="Calibri" w:hAnsi="Calibri" w:cs="Calibri"/>
        </w:rPr>
        <w:t>the</w:t>
      </w:r>
      <w:r w:rsidR="00F96B2F" w:rsidRPr="00E96E9F">
        <w:rPr>
          <w:rStyle w:val="normaltextrun"/>
          <w:rFonts w:ascii="Calibri" w:hAnsi="Calibri" w:cs="Calibri"/>
        </w:rPr>
        <w:t xml:space="preserve"> </w:t>
      </w:r>
      <w:r w:rsidRPr="00E96E9F">
        <w:rPr>
          <w:rStyle w:val="normaltextrun"/>
          <w:rFonts w:ascii="Calibri" w:hAnsi="Calibri" w:cs="Calibri"/>
        </w:rPr>
        <w:t>two-sided</w:t>
      </w:r>
      <w:r w:rsidR="00F96B2F" w:rsidRPr="00E96E9F">
        <w:rPr>
          <w:rStyle w:val="normaltextrun"/>
          <w:rFonts w:ascii="Calibri" w:hAnsi="Calibri" w:cs="Calibri"/>
        </w:rPr>
        <w:t xml:space="preserve"> </w:t>
      </w:r>
      <w:r w:rsidRPr="00E96E9F">
        <w:rPr>
          <w:rStyle w:val="normaltextrun"/>
          <w:rFonts w:ascii="Calibri" w:hAnsi="Calibri" w:cs="Calibri"/>
        </w:rPr>
        <w:t>95%</w:t>
      </w:r>
      <w:r w:rsidR="00F96B2F" w:rsidRPr="00E96E9F">
        <w:rPr>
          <w:rStyle w:val="normaltextrun"/>
          <w:rFonts w:ascii="Calibri" w:hAnsi="Calibri" w:cs="Calibri"/>
        </w:rPr>
        <w:t xml:space="preserve"> </w:t>
      </w:r>
      <w:r w:rsidRPr="00E96E9F">
        <w:rPr>
          <w:rStyle w:val="normaltextrun"/>
          <w:rFonts w:ascii="Calibri" w:hAnsi="Calibri" w:cs="Calibri"/>
        </w:rPr>
        <w:t>CI</w:t>
      </w:r>
      <w:r w:rsidR="00F96B2F" w:rsidRPr="00E96E9F">
        <w:rPr>
          <w:rStyle w:val="normaltextrun"/>
          <w:rFonts w:ascii="Calibri" w:hAnsi="Calibri" w:cs="Calibri"/>
        </w:rPr>
        <w:t xml:space="preserve"> </w:t>
      </w:r>
      <w:r w:rsidRPr="00E96E9F">
        <w:rPr>
          <w:rStyle w:val="normaltextrun"/>
          <w:rFonts w:ascii="Calibri" w:hAnsi="Calibri" w:cs="Calibri"/>
        </w:rPr>
        <w:t>for</w:t>
      </w:r>
      <w:r w:rsidR="00F96B2F" w:rsidRPr="00E96E9F">
        <w:rPr>
          <w:rStyle w:val="normaltextrun"/>
          <w:rFonts w:ascii="Calibri" w:hAnsi="Calibri" w:cs="Calibri"/>
        </w:rPr>
        <w:t xml:space="preserve"> </w:t>
      </w:r>
      <w:r w:rsidRPr="00E96E9F">
        <w:rPr>
          <w:rStyle w:val="normaltextrun"/>
          <w:rFonts w:ascii="Calibri" w:hAnsi="Calibri" w:cs="Calibri"/>
        </w:rPr>
        <w:t>mean</w:t>
      </w:r>
      <w:r w:rsidR="00F96B2F" w:rsidRPr="00E96E9F">
        <w:rPr>
          <w:rStyle w:val="normaltextrun"/>
          <w:rFonts w:ascii="Calibri" w:hAnsi="Calibri" w:cs="Calibri"/>
        </w:rPr>
        <w:t xml:space="preserve"> </w:t>
      </w:r>
      <w:r w:rsidRPr="00E96E9F">
        <w:rPr>
          <w:rStyle w:val="normaltextrun"/>
          <w:rFonts w:ascii="Calibri" w:hAnsi="Calibri" w:cs="Calibri"/>
        </w:rPr>
        <w:t>HV</w:t>
      </w:r>
      <w:r w:rsidR="00F96B2F" w:rsidRPr="00E96E9F">
        <w:rPr>
          <w:rStyle w:val="normaltextrun"/>
          <w:rFonts w:ascii="Calibri" w:hAnsi="Calibri" w:cs="Calibri"/>
        </w:rPr>
        <w:t xml:space="preserve"> </w:t>
      </w:r>
      <w:r w:rsidRPr="00E96E9F">
        <w:rPr>
          <w:rStyle w:val="normaltextrun"/>
          <w:rFonts w:ascii="Calibri" w:hAnsi="Calibri" w:cs="Calibri"/>
        </w:rPr>
        <w:t>was</w:t>
      </w:r>
      <w:r w:rsidR="00F96B2F" w:rsidRPr="00E96E9F">
        <w:rPr>
          <w:rStyle w:val="normaltextrun"/>
          <w:rFonts w:ascii="Calibri" w:hAnsi="Calibri" w:cs="Calibri"/>
        </w:rPr>
        <w:t xml:space="preserve"> </w:t>
      </w:r>
      <w:r w:rsidRPr="00E96E9F">
        <w:rPr>
          <w:rStyle w:val="normaltextrun"/>
          <w:rFonts w:ascii="Calibri" w:hAnsi="Calibri" w:cs="Calibri"/>
        </w:rPr>
        <w:t>greater</w:t>
      </w:r>
      <w:r w:rsidR="00F96B2F" w:rsidRPr="00E96E9F">
        <w:rPr>
          <w:rStyle w:val="normaltextrun"/>
          <w:rFonts w:ascii="Calibri" w:hAnsi="Calibri" w:cs="Calibri"/>
        </w:rPr>
        <w:t xml:space="preserve"> </w:t>
      </w:r>
      <w:r w:rsidRPr="00E96E9F">
        <w:rPr>
          <w:rStyle w:val="normaltextrun"/>
          <w:rFonts w:ascii="Calibri" w:hAnsi="Calibri" w:cs="Calibri"/>
        </w:rPr>
        <w:t>than</w:t>
      </w:r>
      <w:r w:rsidR="00F96B2F" w:rsidRPr="00E96E9F">
        <w:rPr>
          <w:rStyle w:val="normaltextrun"/>
          <w:rFonts w:ascii="Calibri" w:hAnsi="Calibri" w:cs="Calibri"/>
        </w:rPr>
        <w:t xml:space="preserve"> </w:t>
      </w:r>
      <w:r w:rsidRPr="00E96E9F">
        <w:rPr>
          <w:rStyle w:val="normaltextrun"/>
          <w:rFonts w:ascii="Calibri" w:hAnsi="Calibri" w:cs="Calibri"/>
        </w:rPr>
        <w:t>the</w:t>
      </w:r>
      <w:r w:rsidR="00F96B2F" w:rsidRPr="00E96E9F">
        <w:rPr>
          <w:rStyle w:val="normaltextrun"/>
          <w:rFonts w:ascii="Calibri" w:hAnsi="Calibri" w:cs="Calibri"/>
        </w:rPr>
        <w:t xml:space="preserve"> </w:t>
      </w:r>
      <w:r w:rsidRPr="00E96E9F">
        <w:rPr>
          <w:rStyle w:val="normaltextrun"/>
          <w:rFonts w:ascii="Calibri" w:hAnsi="Calibri" w:cs="Calibri"/>
        </w:rPr>
        <w:t>prespecified</w:t>
      </w:r>
      <w:r w:rsidR="00F96B2F" w:rsidRPr="00E96E9F">
        <w:rPr>
          <w:rStyle w:val="normaltextrun"/>
          <w:rFonts w:ascii="Calibri" w:hAnsi="Calibri" w:cs="Calibri"/>
        </w:rPr>
        <w:t xml:space="preserve"> </w:t>
      </w:r>
      <w:r w:rsidRPr="00E96E9F">
        <w:rPr>
          <w:rStyle w:val="normaltextrun"/>
          <w:rFonts w:ascii="Calibri" w:hAnsi="Calibri" w:cs="Calibri"/>
        </w:rPr>
        <w:t>non-inferiority</w:t>
      </w:r>
      <w:r w:rsidR="00F96B2F" w:rsidRPr="00E96E9F">
        <w:rPr>
          <w:rStyle w:val="normaltextrun"/>
          <w:rFonts w:ascii="Calibri" w:hAnsi="Calibri" w:cs="Calibri"/>
        </w:rPr>
        <w:t xml:space="preserve"> </w:t>
      </w:r>
      <w:r w:rsidRPr="00E96E9F">
        <w:rPr>
          <w:rStyle w:val="normaltextrun"/>
          <w:rFonts w:ascii="Calibri" w:hAnsi="Calibri" w:cs="Calibri"/>
        </w:rPr>
        <w:t>margin</w:t>
      </w:r>
      <w:r w:rsidR="005E5590">
        <w:rPr>
          <w:rStyle w:val="normaltextrun"/>
          <w:rFonts w:ascii="Calibri" w:hAnsi="Calibri" w:cs="Calibri"/>
        </w:rPr>
        <w:t xml:space="preserve"> </w:t>
      </w:r>
      <w:r w:rsidRPr="00E96E9F">
        <w:rPr>
          <w:rStyle w:val="normaltextrun"/>
          <w:rFonts w:ascii="Calibri" w:hAnsi="Calibri" w:cs="Calibri"/>
        </w:rPr>
        <w:t>of</w:t>
      </w:r>
      <w:r w:rsidR="008D1F15" w:rsidRPr="00E96E9F">
        <w:rPr>
          <w:rStyle w:val="normaltextrun"/>
          <w:rFonts w:ascii="Calibri" w:hAnsi="Calibri" w:cs="Calibri"/>
        </w:rPr>
        <w:t xml:space="preserve"> -</w:t>
      </w:r>
      <w:r w:rsidRPr="00E96E9F">
        <w:rPr>
          <w:rStyle w:val="normaltextrun"/>
          <w:rFonts w:ascii="Calibri" w:hAnsi="Calibri" w:cs="Calibri"/>
        </w:rPr>
        <w:t>1.8</w:t>
      </w:r>
      <w:r w:rsidR="005E5590">
        <w:rPr>
          <w:rStyle w:val="normaltextrun"/>
          <w:rFonts w:ascii="Calibri" w:hAnsi="Calibri" w:cs="Calibri"/>
        </w:rPr>
        <w:t> </w:t>
      </w:r>
      <w:r w:rsidRPr="00E96E9F">
        <w:rPr>
          <w:rStyle w:val="normaltextrun"/>
          <w:rFonts w:ascii="Calibri" w:hAnsi="Calibri" w:cs="Calibri"/>
        </w:rPr>
        <w:t>cm/year,</w:t>
      </w:r>
      <w:r w:rsidR="00F96B2F" w:rsidRPr="00E96E9F">
        <w:rPr>
          <w:rStyle w:val="normaltextrun"/>
          <w:rFonts w:ascii="Calibri" w:hAnsi="Calibri" w:cs="Calibri"/>
        </w:rPr>
        <w:t xml:space="preserve"> </w:t>
      </w:r>
      <w:r w:rsidRPr="00E96E9F">
        <w:rPr>
          <w:rStyle w:val="normaltextrun"/>
          <w:rFonts w:ascii="Calibri" w:hAnsi="Calibri" w:cs="Calibri"/>
        </w:rPr>
        <w:t>supporting</w:t>
      </w:r>
      <w:r w:rsidR="00F96B2F" w:rsidRPr="00E96E9F">
        <w:rPr>
          <w:rStyle w:val="normaltextrun"/>
          <w:rFonts w:ascii="Calibri" w:hAnsi="Calibri" w:cs="Calibri"/>
        </w:rPr>
        <w:t xml:space="preserve"> </w:t>
      </w:r>
      <w:r w:rsidRPr="00E96E9F">
        <w:rPr>
          <w:rStyle w:val="normaltextrun"/>
          <w:rFonts w:ascii="Calibri" w:hAnsi="Calibri" w:cs="Calibri"/>
        </w:rPr>
        <w:t>non-</w:t>
      </w:r>
      <w:r w:rsidRPr="002D5BA0">
        <w:rPr>
          <w:rStyle w:val="normaltextrun"/>
          <w:rFonts w:ascii="Calibri" w:hAnsi="Calibri" w:cs="Calibri"/>
        </w:rPr>
        <w:t>inferiority.</w:t>
      </w:r>
      <w:r w:rsidR="00F96B2F" w:rsidRPr="002D5BA0">
        <w:rPr>
          <w:rStyle w:val="normaltextrun"/>
          <w:rFonts w:ascii="Calibri" w:hAnsi="Calibri" w:cs="Calibri"/>
        </w:rPr>
        <w:t xml:space="preserve"> </w:t>
      </w:r>
      <w:r w:rsidRPr="002D5BA0">
        <w:rPr>
          <w:rStyle w:val="normaltextrun"/>
          <w:rFonts w:ascii="Calibri" w:hAnsi="Calibri" w:cs="Calibri"/>
          <w:iCs/>
        </w:rPr>
        <w:t>This</w:t>
      </w:r>
      <w:r w:rsidR="00F96B2F" w:rsidRPr="002D5BA0">
        <w:rPr>
          <w:rStyle w:val="normaltextrun"/>
          <w:rFonts w:ascii="Calibri" w:hAnsi="Calibri" w:cs="Calibri"/>
          <w:iCs/>
        </w:rPr>
        <w:t xml:space="preserve"> </w:t>
      </w:r>
      <w:r w:rsidR="00E9243B" w:rsidRPr="002D5BA0">
        <w:rPr>
          <w:rStyle w:val="normaltextrun"/>
          <w:rFonts w:ascii="Calibri" w:hAnsi="Calibri" w:cs="Calibri"/>
          <w:iCs/>
        </w:rPr>
        <w:t xml:space="preserve">was </w:t>
      </w:r>
      <w:r w:rsidR="00CB4E93" w:rsidRPr="002D5BA0">
        <w:rPr>
          <w:rStyle w:val="normaltextrun"/>
          <w:rFonts w:ascii="Calibri" w:hAnsi="Calibri" w:cs="Calibri"/>
          <w:iCs/>
        </w:rPr>
        <w:t>reasonable;</w:t>
      </w:r>
      <w:r w:rsidR="00E9243B" w:rsidRPr="002D5BA0">
        <w:rPr>
          <w:rStyle w:val="normaltextrun"/>
          <w:rFonts w:ascii="Calibri" w:hAnsi="Calibri" w:cs="Calibri"/>
          <w:iCs/>
        </w:rPr>
        <w:t xml:space="preserve"> h</w:t>
      </w:r>
      <w:r w:rsidRPr="002D5BA0">
        <w:rPr>
          <w:rStyle w:val="normaltextrun"/>
          <w:rFonts w:ascii="Calibri" w:hAnsi="Calibri" w:cs="Calibri"/>
        </w:rPr>
        <w:t>owever,</w:t>
      </w:r>
      <w:r w:rsidR="00F96B2F" w:rsidRPr="002D5BA0">
        <w:rPr>
          <w:rStyle w:val="normaltextrun"/>
          <w:rFonts w:ascii="Calibri" w:hAnsi="Calibri" w:cs="Calibri"/>
        </w:rPr>
        <w:t xml:space="preserve"> </w:t>
      </w:r>
      <w:r w:rsidRPr="002D5BA0">
        <w:rPr>
          <w:rStyle w:val="normaltextrun"/>
          <w:rFonts w:ascii="Calibri" w:hAnsi="Calibri" w:cs="Calibri"/>
        </w:rPr>
        <w:t>no</w:t>
      </w:r>
      <w:r w:rsidR="00F96B2F" w:rsidRPr="002D5BA0">
        <w:rPr>
          <w:rStyle w:val="normaltextrun"/>
          <w:rFonts w:ascii="Calibri" w:hAnsi="Calibri" w:cs="Calibri"/>
        </w:rPr>
        <w:t xml:space="preserve"> </w:t>
      </w:r>
      <w:r w:rsidRPr="002D5BA0">
        <w:rPr>
          <w:rStyle w:val="normaltextrun"/>
          <w:rFonts w:ascii="Calibri" w:hAnsi="Calibri" w:cs="Calibri"/>
        </w:rPr>
        <w:t>mean</w:t>
      </w:r>
      <w:r w:rsidR="00F96B2F" w:rsidRPr="002D5BA0">
        <w:rPr>
          <w:rStyle w:val="normaltextrun"/>
          <w:rFonts w:ascii="Calibri" w:hAnsi="Calibri" w:cs="Calibri"/>
        </w:rPr>
        <w:t xml:space="preserve"> </w:t>
      </w:r>
      <w:r w:rsidRPr="002D5BA0">
        <w:rPr>
          <w:rStyle w:val="normaltextrun"/>
          <w:rFonts w:ascii="Calibri" w:hAnsi="Calibri" w:cs="Calibri"/>
        </w:rPr>
        <w:t>difference</w:t>
      </w:r>
      <w:r w:rsidR="00F96B2F" w:rsidRPr="002D5BA0">
        <w:rPr>
          <w:rStyle w:val="normaltextrun"/>
          <w:rFonts w:ascii="Calibri" w:hAnsi="Calibri" w:cs="Calibri"/>
        </w:rPr>
        <w:t xml:space="preserve"> </w:t>
      </w:r>
      <w:r w:rsidRPr="002D5BA0">
        <w:rPr>
          <w:rStyle w:val="normaltextrun"/>
          <w:rFonts w:ascii="Calibri" w:hAnsi="Calibri" w:cs="Calibri"/>
        </w:rPr>
        <w:t>was</w:t>
      </w:r>
      <w:r w:rsidR="00F96B2F" w:rsidRPr="002D5BA0">
        <w:rPr>
          <w:rStyle w:val="normaltextrun"/>
          <w:rFonts w:ascii="Calibri" w:hAnsi="Calibri" w:cs="Calibri"/>
        </w:rPr>
        <w:t xml:space="preserve"> </w:t>
      </w:r>
      <w:r w:rsidRPr="002D5BA0">
        <w:rPr>
          <w:rStyle w:val="normaltextrun"/>
          <w:rFonts w:ascii="Calibri" w:hAnsi="Calibri" w:cs="Calibri"/>
        </w:rPr>
        <w:t>calculated</w:t>
      </w:r>
      <w:r w:rsidR="00F96B2F" w:rsidRPr="002D5BA0">
        <w:rPr>
          <w:rStyle w:val="normaltextrun"/>
          <w:rFonts w:ascii="Calibri" w:hAnsi="Calibri" w:cs="Calibri"/>
        </w:rPr>
        <w:t xml:space="preserve"> </w:t>
      </w:r>
      <w:r w:rsidRPr="002D5BA0">
        <w:rPr>
          <w:rStyle w:val="normaltextrun"/>
          <w:rFonts w:ascii="Calibri" w:hAnsi="Calibri" w:cs="Calibri"/>
        </w:rPr>
        <w:t>for</w:t>
      </w:r>
      <w:r w:rsidR="00F96B2F" w:rsidRPr="002D5BA0">
        <w:rPr>
          <w:rStyle w:val="normaltextrun"/>
          <w:rFonts w:ascii="Calibri" w:hAnsi="Calibri" w:cs="Calibri"/>
        </w:rPr>
        <w:t xml:space="preserve"> </w:t>
      </w:r>
      <w:r w:rsidRPr="002D5BA0">
        <w:rPr>
          <w:rStyle w:val="normaltextrun"/>
          <w:rFonts w:ascii="Calibri" w:hAnsi="Calibri" w:cs="Calibri"/>
        </w:rPr>
        <w:t>Study</w:t>
      </w:r>
      <w:r w:rsidR="00F96B2F" w:rsidRPr="002D5BA0">
        <w:rPr>
          <w:rStyle w:val="normaltextrun"/>
          <w:rFonts w:ascii="Calibri" w:hAnsi="Calibri" w:cs="Calibri"/>
        </w:rPr>
        <w:t xml:space="preserve"> </w:t>
      </w:r>
      <w:r w:rsidRPr="002D5BA0">
        <w:rPr>
          <w:rStyle w:val="normaltextrun"/>
          <w:rFonts w:ascii="Calibri" w:hAnsi="Calibri" w:cs="Calibri"/>
        </w:rPr>
        <w:t>4004.</w:t>
      </w:r>
      <w:r w:rsidR="00F96B2F" w:rsidRPr="002D5BA0">
        <w:rPr>
          <w:rStyle w:val="normaltextrun"/>
          <w:rFonts w:ascii="Calibri" w:hAnsi="Calibri" w:cs="Calibri"/>
        </w:rPr>
        <w:t xml:space="preserve"> </w:t>
      </w:r>
      <w:r w:rsidRPr="002D5BA0">
        <w:rPr>
          <w:rStyle w:val="normaltextrun"/>
          <w:rFonts w:ascii="Calibri" w:hAnsi="Calibri" w:cs="Calibri"/>
        </w:rPr>
        <w:t>The</w:t>
      </w:r>
      <w:r w:rsidR="00F96B2F" w:rsidRPr="002D5BA0">
        <w:rPr>
          <w:rStyle w:val="normaltextrun"/>
          <w:rFonts w:ascii="Calibri" w:hAnsi="Calibri" w:cs="Calibri"/>
        </w:rPr>
        <w:t xml:space="preserve"> </w:t>
      </w:r>
      <w:r w:rsidR="00C0370D" w:rsidRPr="002D5BA0">
        <w:rPr>
          <w:rStyle w:val="normaltextrun"/>
          <w:rFonts w:ascii="Calibri" w:hAnsi="Calibri" w:cs="Calibri"/>
        </w:rPr>
        <w:t xml:space="preserve">submission </w:t>
      </w:r>
      <w:r w:rsidRPr="002D5BA0">
        <w:rPr>
          <w:rStyle w:val="normaltextrun"/>
          <w:rFonts w:ascii="Calibri" w:hAnsi="Calibri" w:cs="Calibri"/>
        </w:rPr>
        <w:t>state</w:t>
      </w:r>
      <w:r w:rsidR="00C0370D" w:rsidRPr="002D5BA0">
        <w:rPr>
          <w:rStyle w:val="normaltextrun"/>
          <w:rFonts w:ascii="Calibri" w:hAnsi="Calibri" w:cs="Calibri"/>
        </w:rPr>
        <w:t>d</w:t>
      </w:r>
      <w:r w:rsidR="00F96B2F" w:rsidRPr="002D5BA0">
        <w:rPr>
          <w:rStyle w:val="normaltextrun"/>
          <w:rFonts w:ascii="Calibri" w:hAnsi="Calibri" w:cs="Calibri"/>
        </w:rPr>
        <w:t xml:space="preserve"> </w:t>
      </w:r>
      <w:r w:rsidRPr="002D5BA0">
        <w:rPr>
          <w:rStyle w:val="normaltextrun"/>
          <w:rFonts w:ascii="Calibri" w:hAnsi="Calibri" w:cs="Calibri"/>
        </w:rPr>
        <w:t>that</w:t>
      </w:r>
      <w:r w:rsidR="00F96B2F" w:rsidRPr="002D5BA0">
        <w:rPr>
          <w:rStyle w:val="normaltextrun"/>
          <w:rFonts w:ascii="Calibri" w:hAnsi="Calibri" w:cs="Calibri"/>
        </w:rPr>
        <w:t xml:space="preserve"> </w:t>
      </w:r>
      <w:r w:rsidRPr="002D5BA0">
        <w:rPr>
          <w:rStyle w:val="normaltextrun"/>
          <w:rFonts w:ascii="Calibri" w:hAnsi="Calibri" w:cs="Calibri"/>
        </w:rPr>
        <w:t>the</w:t>
      </w:r>
      <w:r w:rsidR="00F96B2F" w:rsidRPr="002D5BA0">
        <w:rPr>
          <w:rStyle w:val="normaltextrun"/>
          <w:rFonts w:ascii="Calibri" w:hAnsi="Calibri" w:cs="Calibri"/>
        </w:rPr>
        <w:t xml:space="preserve"> </w:t>
      </w:r>
      <w:r w:rsidRPr="002D5BA0">
        <w:rPr>
          <w:rStyle w:val="normaltextrun"/>
          <w:rFonts w:ascii="Calibri" w:hAnsi="Calibri" w:cs="Calibri"/>
        </w:rPr>
        <w:t>95%</w:t>
      </w:r>
      <w:r w:rsidR="00F96B2F" w:rsidRPr="002D5BA0">
        <w:rPr>
          <w:rStyle w:val="normaltextrun"/>
          <w:rFonts w:ascii="Calibri" w:hAnsi="Calibri" w:cs="Calibri"/>
        </w:rPr>
        <w:t xml:space="preserve"> </w:t>
      </w:r>
      <w:r w:rsidRPr="002D5BA0">
        <w:rPr>
          <w:rStyle w:val="normaltextrun"/>
          <w:rFonts w:ascii="Calibri" w:hAnsi="Calibri" w:cs="Calibri"/>
        </w:rPr>
        <w:t>confidence</w:t>
      </w:r>
      <w:r w:rsidR="00F96B2F" w:rsidRPr="002D5BA0">
        <w:rPr>
          <w:rStyle w:val="normaltextrun"/>
          <w:rFonts w:ascii="Calibri" w:hAnsi="Calibri" w:cs="Calibri"/>
        </w:rPr>
        <w:t xml:space="preserve"> </w:t>
      </w:r>
      <w:r w:rsidRPr="002D5BA0">
        <w:rPr>
          <w:rStyle w:val="normaltextrun"/>
          <w:rFonts w:ascii="Calibri" w:hAnsi="Calibri" w:cs="Calibri"/>
        </w:rPr>
        <w:t>intervals</w:t>
      </w:r>
      <w:r w:rsidR="00F96B2F" w:rsidRPr="002D5BA0">
        <w:rPr>
          <w:rStyle w:val="normaltextrun"/>
          <w:rFonts w:ascii="Calibri" w:hAnsi="Calibri" w:cs="Calibri"/>
        </w:rPr>
        <w:t xml:space="preserve"> </w:t>
      </w:r>
      <w:r w:rsidRPr="002D5BA0">
        <w:rPr>
          <w:rStyle w:val="normaltextrun"/>
          <w:rFonts w:ascii="Calibri" w:hAnsi="Calibri" w:cs="Calibri"/>
        </w:rPr>
        <w:t>overlapped,</w:t>
      </w:r>
      <w:r w:rsidR="00F96B2F" w:rsidRPr="002D5BA0">
        <w:rPr>
          <w:rStyle w:val="normaltextrun"/>
          <w:rFonts w:ascii="Calibri" w:hAnsi="Calibri" w:cs="Calibri"/>
        </w:rPr>
        <w:t xml:space="preserve"> </w:t>
      </w:r>
      <w:r w:rsidRPr="002D5BA0">
        <w:rPr>
          <w:rStyle w:val="normaltextrun"/>
          <w:rFonts w:ascii="Calibri" w:hAnsi="Calibri" w:cs="Calibri"/>
        </w:rPr>
        <w:t>indicating</w:t>
      </w:r>
      <w:r w:rsidR="00F96B2F" w:rsidRPr="002D5BA0">
        <w:rPr>
          <w:rStyle w:val="normaltextrun"/>
          <w:rFonts w:ascii="Calibri" w:hAnsi="Calibri" w:cs="Calibri"/>
        </w:rPr>
        <w:t xml:space="preserve"> </w:t>
      </w:r>
      <w:r w:rsidRPr="002D5BA0">
        <w:rPr>
          <w:rStyle w:val="normaltextrun"/>
          <w:rFonts w:ascii="Calibri" w:hAnsi="Calibri" w:cs="Calibri"/>
        </w:rPr>
        <w:t>no</w:t>
      </w:r>
      <w:r w:rsidR="00F96B2F" w:rsidRPr="002D5BA0">
        <w:rPr>
          <w:rStyle w:val="normaltextrun"/>
          <w:rFonts w:ascii="Calibri" w:hAnsi="Calibri" w:cs="Calibri"/>
        </w:rPr>
        <w:t xml:space="preserve"> </w:t>
      </w:r>
      <w:r w:rsidRPr="002D5BA0">
        <w:rPr>
          <w:rStyle w:val="normaltextrun"/>
          <w:rFonts w:ascii="Calibri" w:hAnsi="Calibri" w:cs="Calibri"/>
        </w:rPr>
        <w:t>significant</w:t>
      </w:r>
      <w:r w:rsidR="00F96B2F" w:rsidRPr="002D5BA0">
        <w:rPr>
          <w:rStyle w:val="normaltextrun"/>
          <w:rFonts w:ascii="Calibri" w:hAnsi="Calibri" w:cs="Calibri"/>
        </w:rPr>
        <w:t xml:space="preserve"> </w:t>
      </w:r>
      <w:r w:rsidRPr="002D5BA0">
        <w:rPr>
          <w:rStyle w:val="normaltextrun"/>
          <w:rFonts w:ascii="Calibri" w:hAnsi="Calibri" w:cs="Calibri"/>
        </w:rPr>
        <w:t>difference</w:t>
      </w:r>
      <w:r w:rsidR="00F96B2F" w:rsidRPr="002D5BA0">
        <w:rPr>
          <w:rStyle w:val="normaltextrun"/>
          <w:rFonts w:ascii="Calibri" w:hAnsi="Calibri" w:cs="Calibri"/>
        </w:rPr>
        <w:t xml:space="preserve"> </w:t>
      </w:r>
      <w:r w:rsidRPr="002D5BA0">
        <w:rPr>
          <w:rStyle w:val="normaltextrun"/>
          <w:rFonts w:ascii="Calibri" w:hAnsi="Calibri" w:cs="Calibri"/>
        </w:rPr>
        <w:t>between</w:t>
      </w:r>
      <w:r w:rsidR="00F96B2F" w:rsidRPr="002D5BA0">
        <w:rPr>
          <w:rStyle w:val="normaltextrun"/>
          <w:rFonts w:ascii="Calibri" w:hAnsi="Calibri" w:cs="Calibri"/>
        </w:rPr>
        <w:t xml:space="preserve"> </w:t>
      </w:r>
      <w:r w:rsidR="00E9243B" w:rsidRPr="002D5BA0">
        <w:rPr>
          <w:rStyle w:val="normaltextrun"/>
          <w:rFonts w:ascii="Calibri" w:hAnsi="Calibri" w:cs="Calibri"/>
        </w:rPr>
        <w:t xml:space="preserve">the </w:t>
      </w:r>
      <w:r w:rsidRPr="002D5BA0">
        <w:rPr>
          <w:rStyle w:val="normaltextrun"/>
          <w:rFonts w:ascii="Calibri" w:hAnsi="Calibri" w:cs="Calibri"/>
        </w:rPr>
        <w:t>treatment</w:t>
      </w:r>
      <w:r w:rsidR="00F96B2F" w:rsidRPr="002D5BA0">
        <w:rPr>
          <w:rStyle w:val="normaltextrun"/>
          <w:rFonts w:ascii="Calibri" w:hAnsi="Calibri" w:cs="Calibri"/>
        </w:rPr>
        <w:t xml:space="preserve"> </w:t>
      </w:r>
      <w:r w:rsidRPr="002D5BA0">
        <w:rPr>
          <w:rStyle w:val="normaltextrun"/>
          <w:rFonts w:ascii="Calibri" w:hAnsi="Calibri" w:cs="Calibri"/>
        </w:rPr>
        <w:t>groups.</w:t>
      </w:r>
      <w:r w:rsidR="00F96B2F" w:rsidRPr="00E96E9F">
        <w:rPr>
          <w:rStyle w:val="normaltextrun"/>
          <w:rFonts w:ascii="Calibri" w:hAnsi="Calibri" w:cs="Calibri"/>
        </w:rPr>
        <w:t xml:space="preserve"> </w:t>
      </w:r>
      <w:r w:rsidRPr="00BF1BFB">
        <w:rPr>
          <w:rStyle w:val="normaltextrun"/>
          <w:rFonts w:ascii="Calibri" w:hAnsi="Calibri" w:cs="Calibri"/>
          <w:iCs/>
        </w:rPr>
        <w:t>This</w:t>
      </w:r>
      <w:r w:rsidR="00F96B2F" w:rsidRPr="00BF1BFB">
        <w:rPr>
          <w:rStyle w:val="normaltextrun"/>
          <w:rFonts w:ascii="Calibri" w:hAnsi="Calibri" w:cs="Calibri"/>
          <w:iCs/>
        </w:rPr>
        <w:t xml:space="preserve"> </w:t>
      </w:r>
      <w:r w:rsidR="00E9243B" w:rsidRPr="00BF1BFB">
        <w:rPr>
          <w:rStyle w:val="normaltextrun"/>
          <w:rFonts w:ascii="Calibri" w:hAnsi="Calibri" w:cs="Calibri"/>
          <w:iCs/>
        </w:rPr>
        <w:t xml:space="preserve">was </w:t>
      </w:r>
      <w:r w:rsidRPr="00BF1BFB">
        <w:rPr>
          <w:rStyle w:val="normaltextrun"/>
          <w:rFonts w:ascii="Calibri" w:hAnsi="Calibri" w:cs="Calibri"/>
          <w:iCs/>
        </w:rPr>
        <w:t>not</w:t>
      </w:r>
      <w:r w:rsidR="00F96B2F" w:rsidRPr="00BF1BFB">
        <w:rPr>
          <w:rStyle w:val="normaltextrun"/>
          <w:rFonts w:ascii="Calibri" w:hAnsi="Calibri" w:cs="Calibri"/>
          <w:iCs/>
        </w:rPr>
        <w:t xml:space="preserve"> </w:t>
      </w:r>
      <w:r w:rsidRPr="00BF1BFB">
        <w:rPr>
          <w:rStyle w:val="normaltextrun"/>
          <w:rFonts w:ascii="Calibri" w:hAnsi="Calibri" w:cs="Calibri"/>
          <w:iCs/>
        </w:rPr>
        <w:t>an</w:t>
      </w:r>
      <w:r w:rsidR="00F96B2F" w:rsidRPr="00BF1BFB">
        <w:rPr>
          <w:rStyle w:val="normaltextrun"/>
          <w:rFonts w:ascii="Calibri" w:hAnsi="Calibri" w:cs="Calibri"/>
          <w:iCs/>
        </w:rPr>
        <w:t xml:space="preserve"> </w:t>
      </w:r>
      <w:r w:rsidRPr="00BF1BFB">
        <w:rPr>
          <w:rStyle w:val="normaltextrun"/>
          <w:rFonts w:ascii="Calibri" w:hAnsi="Calibri" w:cs="Calibri"/>
          <w:iCs/>
        </w:rPr>
        <w:t>appropriate</w:t>
      </w:r>
      <w:r w:rsidR="00F96B2F" w:rsidRPr="00BF1BFB">
        <w:rPr>
          <w:rStyle w:val="normaltextrun"/>
          <w:rFonts w:ascii="Calibri" w:hAnsi="Calibri" w:cs="Calibri"/>
          <w:iCs/>
        </w:rPr>
        <w:t xml:space="preserve"> </w:t>
      </w:r>
      <w:r w:rsidRPr="00BF1BFB">
        <w:rPr>
          <w:rStyle w:val="normaltextrun"/>
          <w:rFonts w:ascii="Calibri" w:hAnsi="Calibri" w:cs="Calibri"/>
          <w:iCs/>
        </w:rPr>
        <w:t>method</w:t>
      </w:r>
      <w:r w:rsidR="00F96B2F" w:rsidRPr="00BF1BFB">
        <w:rPr>
          <w:rStyle w:val="normaltextrun"/>
          <w:rFonts w:ascii="Calibri" w:hAnsi="Calibri" w:cs="Calibri"/>
          <w:iCs/>
        </w:rPr>
        <w:t xml:space="preserve"> </w:t>
      </w:r>
      <w:r w:rsidRPr="00BF1BFB">
        <w:rPr>
          <w:rStyle w:val="normaltextrun"/>
          <w:rFonts w:ascii="Calibri" w:hAnsi="Calibri" w:cs="Calibri"/>
          <w:iCs/>
        </w:rPr>
        <w:t>to</w:t>
      </w:r>
      <w:r w:rsidR="00F96B2F" w:rsidRPr="00BF1BFB">
        <w:rPr>
          <w:rStyle w:val="normaltextrun"/>
          <w:rFonts w:ascii="Calibri" w:hAnsi="Calibri" w:cs="Calibri"/>
          <w:iCs/>
        </w:rPr>
        <w:t xml:space="preserve"> </w:t>
      </w:r>
      <w:r w:rsidRPr="00BF1BFB">
        <w:rPr>
          <w:rStyle w:val="normaltextrun"/>
          <w:rFonts w:ascii="Calibri" w:hAnsi="Calibri" w:cs="Calibri"/>
          <w:iCs/>
        </w:rPr>
        <w:t>determine</w:t>
      </w:r>
      <w:r w:rsidR="00F96B2F" w:rsidRPr="00BF1BFB">
        <w:rPr>
          <w:rStyle w:val="normaltextrun"/>
          <w:rFonts w:ascii="Calibri" w:hAnsi="Calibri" w:cs="Calibri"/>
          <w:iCs/>
        </w:rPr>
        <w:t xml:space="preserve"> </w:t>
      </w:r>
      <w:r w:rsidRPr="00BF1BFB">
        <w:rPr>
          <w:rStyle w:val="normaltextrun"/>
          <w:rFonts w:ascii="Calibri" w:hAnsi="Calibri" w:cs="Calibri"/>
          <w:iCs/>
        </w:rPr>
        <w:t>non-inferiority.</w:t>
      </w:r>
      <w:r w:rsidR="00F96B2F" w:rsidRPr="00BF1BFB">
        <w:rPr>
          <w:rStyle w:val="normaltextrun"/>
          <w:rFonts w:ascii="Calibri" w:hAnsi="Calibri" w:cs="Calibri"/>
          <w:iCs/>
        </w:rPr>
        <w:t xml:space="preserve"> </w:t>
      </w:r>
      <w:r w:rsidR="0012188F">
        <w:rPr>
          <w:rStyle w:val="normaltextrun"/>
          <w:rFonts w:ascii="Calibri" w:hAnsi="Calibri" w:cs="Calibri"/>
          <w:iCs/>
        </w:rPr>
        <w:t>The</w:t>
      </w:r>
      <w:r w:rsidR="00F96B2F" w:rsidRPr="00BF1BFB">
        <w:rPr>
          <w:rStyle w:val="normaltextrun"/>
          <w:rFonts w:ascii="Calibri" w:hAnsi="Calibri" w:cs="Calibri"/>
          <w:iCs/>
        </w:rPr>
        <w:t xml:space="preserve"> </w:t>
      </w:r>
      <w:r w:rsidRPr="00BF1BFB">
        <w:rPr>
          <w:rStyle w:val="normaltextrun"/>
          <w:rFonts w:ascii="Calibri" w:hAnsi="Calibri" w:cs="Calibri"/>
          <w:iCs/>
        </w:rPr>
        <w:t>results</w:t>
      </w:r>
      <w:r w:rsidR="00F96B2F" w:rsidRPr="00BF1BFB">
        <w:rPr>
          <w:rStyle w:val="normaltextrun"/>
          <w:rFonts w:ascii="Calibri" w:hAnsi="Calibri" w:cs="Calibri"/>
          <w:iCs/>
        </w:rPr>
        <w:t xml:space="preserve"> </w:t>
      </w:r>
      <w:r w:rsidR="0012188F">
        <w:rPr>
          <w:rStyle w:val="normaltextrun"/>
          <w:rFonts w:ascii="Calibri" w:hAnsi="Calibri" w:cs="Calibri"/>
          <w:iCs/>
        </w:rPr>
        <w:t>of</w:t>
      </w:r>
      <w:r w:rsidR="0012188F" w:rsidRPr="00BF1BFB">
        <w:rPr>
          <w:rStyle w:val="normaltextrun"/>
          <w:rFonts w:ascii="Calibri" w:hAnsi="Calibri" w:cs="Calibri"/>
          <w:iCs/>
        </w:rPr>
        <w:t xml:space="preserve"> </w:t>
      </w:r>
      <w:r w:rsidRPr="00BF1BFB">
        <w:rPr>
          <w:rStyle w:val="normaltextrun"/>
          <w:rFonts w:ascii="Calibri" w:hAnsi="Calibri" w:cs="Calibri"/>
          <w:iCs/>
        </w:rPr>
        <w:t>Study</w:t>
      </w:r>
      <w:r w:rsidR="00F96B2F" w:rsidRPr="00BF1BFB">
        <w:rPr>
          <w:rStyle w:val="normaltextrun"/>
          <w:rFonts w:ascii="Calibri" w:hAnsi="Calibri" w:cs="Calibri"/>
          <w:iCs/>
        </w:rPr>
        <w:t xml:space="preserve"> </w:t>
      </w:r>
      <w:r w:rsidRPr="00BF1BFB">
        <w:rPr>
          <w:rStyle w:val="normaltextrun"/>
          <w:rFonts w:ascii="Calibri" w:hAnsi="Calibri" w:cs="Calibri"/>
          <w:iCs/>
        </w:rPr>
        <w:t>4004</w:t>
      </w:r>
      <w:r w:rsidR="00F96B2F" w:rsidRPr="00BF1BFB">
        <w:rPr>
          <w:rStyle w:val="normaltextrun"/>
          <w:rFonts w:ascii="Calibri" w:hAnsi="Calibri" w:cs="Calibri"/>
          <w:iCs/>
        </w:rPr>
        <w:t xml:space="preserve"> </w:t>
      </w:r>
      <w:r w:rsidR="0012188F">
        <w:rPr>
          <w:rStyle w:val="normaltextrun"/>
          <w:rFonts w:ascii="Calibri" w:hAnsi="Calibri" w:cs="Calibri"/>
          <w:iCs/>
        </w:rPr>
        <w:t>may</w:t>
      </w:r>
      <w:r w:rsidR="0012188F" w:rsidRPr="00BF1BFB">
        <w:rPr>
          <w:rStyle w:val="normaltextrun"/>
          <w:rFonts w:ascii="Calibri" w:hAnsi="Calibri" w:cs="Calibri"/>
          <w:iCs/>
        </w:rPr>
        <w:t xml:space="preserve"> </w:t>
      </w:r>
      <w:r w:rsidRPr="00BF1BFB">
        <w:rPr>
          <w:rStyle w:val="normaltextrun"/>
          <w:rFonts w:ascii="Calibri" w:hAnsi="Calibri" w:cs="Calibri"/>
          <w:iCs/>
        </w:rPr>
        <w:t>not</w:t>
      </w:r>
      <w:r w:rsidR="00F96B2F" w:rsidRPr="00BF1BFB">
        <w:rPr>
          <w:rStyle w:val="normaltextrun"/>
          <w:rFonts w:ascii="Calibri" w:hAnsi="Calibri" w:cs="Calibri"/>
          <w:iCs/>
        </w:rPr>
        <w:t xml:space="preserve"> </w:t>
      </w:r>
      <w:r w:rsidRPr="00BF1BFB">
        <w:rPr>
          <w:rStyle w:val="normaltextrun"/>
          <w:rFonts w:ascii="Calibri" w:hAnsi="Calibri" w:cs="Calibri"/>
          <w:iCs/>
        </w:rPr>
        <w:t>support</w:t>
      </w:r>
      <w:r w:rsidR="00F96B2F" w:rsidRPr="00BF1BFB">
        <w:rPr>
          <w:rStyle w:val="normaltextrun"/>
          <w:rFonts w:ascii="Calibri" w:hAnsi="Calibri" w:cs="Calibri"/>
          <w:iCs/>
        </w:rPr>
        <w:t xml:space="preserve"> </w:t>
      </w:r>
      <w:r w:rsidRPr="00BF1BFB">
        <w:rPr>
          <w:rStyle w:val="normaltextrun"/>
          <w:rFonts w:ascii="Calibri" w:hAnsi="Calibri" w:cs="Calibri"/>
          <w:iCs/>
        </w:rPr>
        <w:t>a</w:t>
      </w:r>
      <w:r w:rsidR="00F96B2F" w:rsidRPr="00BF1BFB">
        <w:rPr>
          <w:rStyle w:val="normaltextrun"/>
          <w:rFonts w:ascii="Calibri" w:hAnsi="Calibri" w:cs="Calibri"/>
          <w:iCs/>
        </w:rPr>
        <w:t xml:space="preserve"> </w:t>
      </w:r>
      <w:r w:rsidRPr="00BF1BFB">
        <w:rPr>
          <w:rStyle w:val="normaltextrun"/>
          <w:rFonts w:ascii="Calibri" w:hAnsi="Calibri" w:cs="Calibri"/>
          <w:iCs/>
        </w:rPr>
        <w:t>clinical</w:t>
      </w:r>
      <w:r w:rsidR="00F96B2F" w:rsidRPr="00BF1BFB">
        <w:rPr>
          <w:rStyle w:val="normaltextrun"/>
          <w:rFonts w:ascii="Calibri" w:hAnsi="Calibri" w:cs="Calibri"/>
          <w:iCs/>
        </w:rPr>
        <w:t xml:space="preserve"> </w:t>
      </w:r>
      <w:r w:rsidRPr="00BF1BFB">
        <w:rPr>
          <w:rStyle w:val="normaltextrun"/>
          <w:rFonts w:ascii="Calibri" w:hAnsi="Calibri" w:cs="Calibri"/>
          <w:iCs/>
        </w:rPr>
        <w:t>claim</w:t>
      </w:r>
      <w:r w:rsidR="00F96B2F" w:rsidRPr="00BF1BFB">
        <w:rPr>
          <w:rStyle w:val="normaltextrun"/>
          <w:rFonts w:ascii="Calibri" w:hAnsi="Calibri" w:cs="Calibri"/>
          <w:iCs/>
        </w:rPr>
        <w:t xml:space="preserve"> </w:t>
      </w:r>
      <w:r w:rsidRPr="00BF1BFB">
        <w:rPr>
          <w:rStyle w:val="normaltextrun"/>
          <w:rFonts w:ascii="Calibri" w:hAnsi="Calibri" w:cs="Calibri"/>
          <w:iCs/>
        </w:rPr>
        <w:t>of</w:t>
      </w:r>
      <w:r w:rsidR="00F96B2F" w:rsidRPr="00BF1BFB">
        <w:rPr>
          <w:rStyle w:val="normaltextrun"/>
          <w:rFonts w:ascii="Calibri" w:hAnsi="Calibri" w:cs="Calibri"/>
          <w:iCs/>
        </w:rPr>
        <w:t xml:space="preserve"> </w:t>
      </w:r>
      <w:r w:rsidRPr="00BF1BFB">
        <w:rPr>
          <w:rStyle w:val="normaltextrun"/>
          <w:rFonts w:ascii="Calibri" w:hAnsi="Calibri" w:cs="Calibri"/>
          <w:iCs/>
        </w:rPr>
        <w:t>non-inferiority</w:t>
      </w:r>
      <w:r w:rsidR="008D1F15" w:rsidRPr="00BF1BFB">
        <w:rPr>
          <w:rStyle w:val="normaltextrun"/>
          <w:rFonts w:ascii="Calibri" w:hAnsi="Calibri" w:cs="Calibri"/>
          <w:iCs/>
        </w:rPr>
        <w:t xml:space="preserve"> as </w:t>
      </w:r>
      <w:r w:rsidR="00A457C5" w:rsidRPr="00BF1BFB">
        <w:rPr>
          <w:rStyle w:val="normaltextrun"/>
          <w:rFonts w:ascii="Calibri" w:hAnsi="Calibri" w:cs="Calibri"/>
          <w:iCs/>
        </w:rPr>
        <w:t>the trial was not powered to detect non-inferiority</w:t>
      </w:r>
      <w:r w:rsidRPr="00BF1BFB">
        <w:rPr>
          <w:rStyle w:val="normaltextrun"/>
          <w:rFonts w:ascii="Calibri" w:hAnsi="Calibri" w:cs="Calibri"/>
          <w:iCs/>
        </w:rPr>
        <w:t>.</w:t>
      </w:r>
    </w:p>
    <w:p w14:paraId="08022973" w14:textId="2CECEBDD" w:rsidR="00D52FD4" w:rsidRPr="00E96E9F" w:rsidRDefault="00D52FD4" w:rsidP="00ED40F2">
      <w:pPr>
        <w:pStyle w:val="TableFigureHeading"/>
        <w:rPr>
          <w:rStyle w:val="CommentReference"/>
        </w:rPr>
      </w:pPr>
      <w:r w:rsidRPr="00E96E9F">
        <w:rPr>
          <w:rStyle w:val="CommentReference"/>
          <w:b/>
        </w:rPr>
        <w:t xml:space="preserve">Table </w:t>
      </w:r>
      <w:r w:rsidRPr="00E96E9F">
        <w:rPr>
          <w:rStyle w:val="CommentReference"/>
          <w:b/>
        </w:rPr>
        <w:fldChar w:fldCharType="begin"/>
      </w:r>
      <w:r w:rsidRPr="00E96E9F">
        <w:rPr>
          <w:rStyle w:val="CommentReference"/>
          <w:b/>
        </w:rPr>
        <w:instrText xml:space="preserve"> SEQ Table \* ARABIC </w:instrText>
      </w:r>
      <w:r w:rsidRPr="00E96E9F">
        <w:rPr>
          <w:rStyle w:val="CommentReference"/>
          <w:b/>
        </w:rPr>
        <w:fldChar w:fldCharType="separate"/>
      </w:r>
      <w:r w:rsidR="005C48AC">
        <w:rPr>
          <w:rStyle w:val="CommentReference"/>
          <w:b/>
          <w:noProof/>
        </w:rPr>
        <w:t>4</w:t>
      </w:r>
      <w:r w:rsidRPr="00E96E9F">
        <w:rPr>
          <w:rStyle w:val="CommentReference"/>
          <w:b/>
        </w:rPr>
        <w:fldChar w:fldCharType="end"/>
      </w:r>
      <w:r w:rsidRPr="00E96E9F">
        <w:rPr>
          <w:rStyle w:val="CommentReference"/>
          <w:b/>
        </w:rPr>
        <w:t>: Results of annual height velocity at 12 months across the trials</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4: Results of annual height velocity at 12 months across the trials"/>
      </w:tblPr>
      <w:tblGrid>
        <w:gridCol w:w="585"/>
        <w:gridCol w:w="1170"/>
        <w:gridCol w:w="1020"/>
        <w:gridCol w:w="1185"/>
        <w:gridCol w:w="1005"/>
        <w:gridCol w:w="1080"/>
        <w:gridCol w:w="1318"/>
        <w:gridCol w:w="1547"/>
      </w:tblGrid>
      <w:tr w:rsidR="00D52FD4" w:rsidRPr="00E96E9F" w14:paraId="360E0710" w14:textId="77777777" w:rsidTr="002D5BA0">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CC411" w14:textId="77777777" w:rsidR="00D52FD4" w:rsidRPr="00E96E9F" w:rsidRDefault="00D52FD4" w:rsidP="002549EB">
            <w:pPr>
              <w:jc w:val="left"/>
              <w:textAlignment w:val="baseline"/>
              <w:rPr>
                <w:rFonts w:ascii="Times New Roman" w:hAnsi="Times New Roman" w:cs="Times New Roman"/>
                <w:b/>
                <w:bCs/>
                <w:lang w:eastAsia="zh-CN"/>
              </w:rPr>
            </w:pPr>
            <w:r w:rsidRPr="00E96E9F">
              <w:rPr>
                <w:rFonts w:ascii="Arial Narrow" w:hAnsi="Arial Narrow" w:cs="Times New Roman"/>
                <w:b/>
                <w:bCs/>
                <w:sz w:val="20"/>
                <w:szCs w:val="20"/>
                <w:lang w:eastAsia="zh-CN"/>
              </w:rPr>
              <w:t xml:space="preserve">Trial ID </w:t>
            </w:r>
          </w:p>
        </w:tc>
        <w:tc>
          <w:tcPr>
            <w:tcW w:w="33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CFAAF38" w14:textId="77777777" w:rsidR="00D52FD4" w:rsidRPr="00E96E9F" w:rsidRDefault="00D52FD4" w:rsidP="002549EB">
            <w:pPr>
              <w:jc w:val="center"/>
              <w:textAlignment w:val="baseline"/>
              <w:rPr>
                <w:rFonts w:ascii="Times New Roman" w:hAnsi="Times New Roman" w:cs="Times New Roman"/>
                <w:b/>
                <w:bCs/>
                <w:lang w:eastAsia="zh-CN"/>
              </w:rPr>
            </w:pPr>
            <w:proofErr w:type="spellStart"/>
            <w:r w:rsidRPr="00E96E9F">
              <w:rPr>
                <w:rFonts w:ascii="Arial Narrow" w:hAnsi="Arial Narrow" w:cs="Times New Roman"/>
                <w:b/>
                <w:bCs/>
                <w:sz w:val="20"/>
                <w:szCs w:val="20"/>
                <w:lang w:eastAsia="zh-CN"/>
              </w:rPr>
              <w:t>Somatrogon</w:t>
            </w:r>
            <w:proofErr w:type="spellEnd"/>
            <w:r w:rsidRPr="00E96E9F">
              <w:rPr>
                <w:rFonts w:ascii="Arial Narrow" w:hAnsi="Arial Narrow" w:cs="Times New Roman"/>
                <w:b/>
                <w:bCs/>
                <w:sz w:val="20"/>
                <w:szCs w:val="20"/>
                <w:lang w:eastAsia="zh-CN"/>
              </w:rPr>
              <w:t xml:space="preserve"> </w:t>
            </w:r>
          </w:p>
        </w:tc>
        <w:tc>
          <w:tcPr>
            <w:tcW w:w="3403"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820D887" w14:textId="77777777" w:rsidR="00D52FD4" w:rsidRPr="00E96E9F" w:rsidRDefault="00D52FD4" w:rsidP="002549EB">
            <w:pPr>
              <w:jc w:val="center"/>
              <w:textAlignment w:val="baseline"/>
              <w:rPr>
                <w:rFonts w:ascii="Times New Roman" w:hAnsi="Times New Roman" w:cs="Times New Roman"/>
                <w:b/>
                <w:bCs/>
                <w:lang w:eastAsia="zh-CN"/>
              </w:rPr>
            </w:pPr>
            <w:r w:rsidRPr="00E96E9F">
              <w:rPr>
                <w:rFonts w:ascii="Arial Narrow" w:hAnsi="Arial Narrow" w:cs="Times New Roman"/>
                <w:b/>
                <w:bCs/>
                <w:sz w:val="20"/>
                <w:szCs w:val="20"/>
                <w:lang w:eastAsia="zh-CN"/>
              </w:rPr>
              <w:t xml:space="preserve">Somatropin </w:t>
            </w:r>
          </w:p>
        </w:tc>
        <w:tc>
          <w:tcPr>
            <w:tcW w:w="15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1F7D13" w14:textId="77777777" w:rsidR="00D52FD4" w:rsidRPr="00E96E9F" w:rsidRDefault="00D52FD4" w:rsidP="002549EB">
            <w:pPr>
              <w:jc w:val="center"/>
              <w:textAlignment w:val="baseline"/>
              <w:rPr>
                <w:rFonts w:ascii="Times New Roman" w:hAnsi="Times New Roman" w:cs="Times New Roman"/>
                <w:b/>
                <w:bCs/>
                <w:lang w:eastAsia="zh-CN"/>
              </w:rPr>
            </w:pPr>
            <w:r w:rsidRPr="00E96E9F">
              <w:rPr>
                <w:rFonts w:ascii="Arial Narrow" w:hAnsi="Arial Narrow" w:cs="Times New Roman"/>
                <w:b/>
                <w:bCs/>
                <w:sz w:val="20"/>
                <w:szCs w:val="20"/>
                <w:lang w:eastAsia="zh-CN"/>
              </w:rPr>
              <w:t>Mean difference (95%</w:t>
            </w:r>
            <w:proofErr w:type="gramStart"/>
            <w:r w:rsidRPr="00E96E9F">
              <w:rPr>
                <w:rFonts w:ascii="Arial Narrow" w:hAnsi="Arial Narrow" w:cs="Times New Roman"/>
                <w:b/>
                <w:bCs/>
                <w:sz w:val="20"/>
                <w:szCs w:val="20"/>
                <w:lang w:eastAsia="zh-CN"/>
              </w:rPr>
              <w:t>CI)</w:t>
            </w:r>
            <w:r w:rsidRPr="00E96E9F">
              <w:rPr>
                <w:rFonts w:ascii="Arial Narrow" w:hAnsi="Arial Narrow" w:cs="Times New Roman"/>
                <w:b/>
                <w:bCs/>
                <w:sz w:val="16"/>
                <w:szCs w:val="16"/>
                <w:vertAlign w:val="superscript"/>
                <w:lang w:eastAsia="zh-CN"/>
              </w:rPr>
              <w:t>d</w:t>
            </w:r>
            <w:proofErr w:type="gramEnd"/>
            <w:r w:rsidRPr="00E96E9F">
              <w:rPr>
                <w:rFonts w:ascii="Arial Narrow" w:hAnsi="Arial Narrow" w:cs="Times New Roman"/>
                <w:b/>
                <w:bCs/>
                <w:sz w:val="16"/>
                <w:szCs w:val="16"/>
                <w:lang w:eastAsia="zh-CN"/>
              </w:rPr>
              <w:t xml:space="preserve"> </w:t>
            </w:r>
          </w:p>
        </w:tc>
      </w:tr>
      <w:tr w:rsidR="00D52FD4" w:rsidRPr="00E96E9F" w14:paraId="1EC4DDA5" w14:textId="77777777" w:rsidTr="002D5BA0">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31BD63" w14:textId="77777777" w:rsidR="00D52FD4" w:rsidRPr="00E96E9F" w:rsidRDefault="00D52FD4" w:rsidP="002549EB">
            <w:pPr>
              <w:jc w:val="left"/>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B713B"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Mean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73BE5A"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95% CI of mean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A34F8"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SD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F09BA"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Mean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14F353"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95% CI of mean </w:t>
            </w:r>
          </w:p>
        </w:tc>
        <w:tc>
          <w:tcPr>
            <w:tcW w:w="1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C766F6"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SD </w:t>
            </w:r>
          </w:p>
        </w:tc>
        <w:tc>
          <w:tcPr>
            <w:tcW w:w="15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59A80"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r>
      <w:tr w:rsidR="00D52FD4" w:rsidRPr="00E96E9F" w14:paraId="187AB5CE" w14:textId="77777777" w:rsidTr="002D5BA0">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7BED0" w14:textId="77777777" w:rsidR="00D52FD4" w:rsidRPr="00E96E9F" w:rsidRDefault="00D52FD4" w:rsidP="002549EB">
            <w:pPr>
              <w:jc w:val="left"/>
              <w:textAlignment w:val="baseline"/>
              <w:rPr>
                <w:rFonts w:ascii="Times New Roman" w:hAnsi="Times New Roman" w:cs="Times New Roman"/>
                <w:lang w:eastAsia="zh-CN"/>
              </w:rPr>
            </w:pPr>
            <w:r w:rsidRPr="00E96E9F">
              <w:rPr>
                <w:rFonts w:ascii="Arial Narrow" w:hAnsi="Arial Narrow" w:cs="Times New Roman"/>
                <w:sz w:val="20"/>
                <w:szCs w:val="20"/>
                <w:lang w:eastAsia="zh-CN"/>
              </w:rPr>
              <w:t>4006</w:t>
            </w:r>
            <w:r w:rsidRPr="00E96E9F">
              <w:rPr>
                <w:rFonts w:ascii="Arial Narrow" w:hAnsi="Arial Narrow" w:cs="Times New Roman"/>
                <w:sz w:val="16"/>
                <w:szCs w:val="16"/>
                <w:vertAlign w:val="superscript"/>
                <w:lang w:eastAsia="zh-CN"/>
              </w:rPr>
              <w:t>a</w:t>
            </w:r>
            <w:r w:rsidRPr="00E96E9F">
              <w:rPr>
                <w:rFonts w:ascii="Arial Narrow" w:hAnsi="Arial Narrow" w:cs="Times New Roman"/>
                <w:sz w:val="16"/>
                <w:szCs w:val="16"/>
                <w:lang w:eastAsia="zh-CN"/>
              </w:rPr>
              <w:t xml:space="preserve">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FEA0E"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10.10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319A4"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B85DD"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6B4E97"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9.78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B2F8DB"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1C917"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5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C67E7"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0.33 (-0.24, 0.89) </w:t>
            </w:r>
          </w:p>
        </w:tc>
      </w:tr>
      <w:tr w:rsidR="00D52FD4" w:rsidRPr="00E96E9F" w14:paraId="04500A75" w14:textId="77777777" w:rsidTr="002D5BA0">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D4BBF" w14:textId="77777777" w:rsidR="00D52FD4" w:rsidRPr="00E96E9F" w:rsidRDefault="00D52FD4" w:rsidP="002549EB">
            <w:pPr>
              <w:jc w:val="left"/>
              <w:textAlignment w:val="baseline"/>
              <w:rPr>
                <w:rFonts w:ascii="Times New Roman" w:hAnsi="Times New Roman" w:cs="Times New Roman"/>
                <w:lang w:eastAsia="zh-CN"/>
              </w:rPr>
            </w:pPr>
            <w:r w:rsidRPr="00E96E9F">
              <w:rPr>
                <w:rFonts w:ascii="Arial Narrow" w:hAnsi="Arial Narrow" w:cs="Times New Roman"/>
                <w:sz w:val="20"/>
                <w:szCs w:val="20"/>
                <w:lang w:eastAsia="zh-CN"/>
              </w:rPr>
              <w:t>4004</w:t>
            </w:r>
            <w:r w:rsidRPr="00E96E9F">
              <w:rPr>
                <w:rFonts w:ascii="Arial Narrow" w:hAnsi="Arial Narrow" w:cs="Times New Roman"/>
                <w:sz w:val="16"/>
                <w:szCs w:val="16"/>
                <w:vertAlign w:val="superscript"/>
                <w:lang w:eastAsia="zh-CN"/>
              </w:rPr>
              <w:t>b</w:t>
            </w:r>
            <w:r w:rsidRPr="00E96E9F">
              <w:rPr>
                <w:rFonts w:ascii="Arial Narrow" w:hAnsi="Arial Narrow" w:cs="Times New Roman"/>
                <w:sz w:val="16"/>
                <w:szCs w:val="16"/>
                <w:lang w:eastAsia="zh-CN"/>
              </w:rPr>
              <w:t xml:space="preserve">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FA2CC"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11.4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53FBB"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(9.2, 13.7)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AB7AE"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3.9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58ABD"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12.5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870AA"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(11.0, 13.9) </w:t>
            </w:r>
          </w:p>
        </w:tc>
        <w:tc>
          <w:tcPr>
            <w:tcW w:w="1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471B46"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2.1 </w:t>
            </w:r>
          </w:p>
        </w:tc>
        <w:tc>
          <w:tcPr>
            <w:tcW w:w="15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E2D64"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r>
      <w:tr w:rsidR="00D52FD4" w:rsidRPr="00E96E9F" w14:paraId="3CB04376" w14:textId="77777777" w:rsidTr="002D5BA0">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DD5AA" w14:textId="77777777" w:rsidR="00D52FD4" w:rsidRPr="00E96E9F" w:rsidRDefault="00D52FD4" w:rsidP="002549EB">
            <w:pPr>
              <w:jc w:val="left"/>
              <w:textAlignment w:val="baseline"/>
              <w:rPr>
                <w:rFonts w:ascii="Times New Roman" w:hAnsi="Times New Roman" w:cs="Times New Roman"/>
                <w:lang w:eastAsia="zh-CN"/>
              </w:rPr>
            </w:pPr>
            <w:r w:rsidRPr="00E96E9F">
              <w:rPr>
                <w:rFonts w:ascii="Arial Narrow" w:hAnsi="Arial Narrow" w:cs="Times New Roman"/>
                <w:sz w:val="20"/>
                <w:szCs w:val="20"/>
                <w:lang w:eastAsia="zh-CN"/>
              </w:rPr>
              <w:t>4009</w:t>
            </w:r>
            <w:r w:rsidRPr="00E96E9F">
              <w:rPr>
                <w:rFonts w:ascii="Arial Narrow" w:hAnsi="Arial Narrow" w:cs="Times New Roman"/>
                <w:sz w:val="16"/>
                <w:szCs w:val="16"/>
                <w:vertAlign w:val="superscript"/>
                <w:lang w:eastAsia="zh-CN"/>
              </w:rPr>
              <w:t>c</w:t>
            </w:r>
            <w:r w:rsidRPr="00E96E9F">
              <w:rPr>
                <w:rFonts w:ascii="Arial Narrow" w:hAnsi="Arial Narrow" w:cs="Times New Roman"/>
                <w:sz w:val="16"/>
                <w:szCs w:val="16"/>
                <w:lang w:eastAsia="zh-CN"/>
              </w:rPr>
              <w:t xml:space="preserve">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AA635"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9.654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73C16"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8E2FF"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B923A9"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7.868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9C7C2"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1549D"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 </w:t>
            </w:r>
          </w:p>
        </w:tc>
        <w:tc>
          <w:tcPr>
            <w:tcW w:w="15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67DDAE" w14:textId="77777777" w:rsidR="00D52FD4" w:rsidRPr="00E96E9F" w:rsidRDefault="00D52FD4" w:rsidP="002549EB">
            <w:pPr>
              <w:jc w:val="center"/>
              <w:textAlignment w:val="baseline"/>
              <w:rPr>
                <w:rFonts w:ascii="Times New Roman" w:hAnsi="Times New Roman" w:cs="Times New Roman"/>
                <w:lang w:eastAsia="zh-CN"/>
              </w:rPr>
            </w:pPr>
            <w:r w:rsidRPr="00E96E9F">
              <w:rPr>
                <w:rFonts w:ascii="Arial Narrow" w:hAnsi="Arial Narrow" w:cs="Times New Roman"/>
                <w:sz w:val="20"/>
                <w:szCs w:val="20"/>
                <w:lang w:eastAsia="zh-CN"/>
              </w:rPr>
              <w:t xml:space="preserve">1.786 (0.966, 2.605) </w:t>
            </w:r>
          </w:p>
        </w:tc>
      </w:tr>
    </w:tbl>
    <w:p w14:paraId="700C536C" w14:textId="77777777" w:rsidR="00E5129A" w:rsidRPr="00ED40F2" w:rsidRDefault="00D52FD4" w:rsidP="00ED40F2">
      <w:pPr>
        <w:pStyle w:val="TableFigureFooter"/>
      </w:pPr>
      <w:r w:rsidRPr="00ED40F2">
        <w:t>Source: Tables 2.5.1, 2.5.2, 2.5.4, pp85, 88, 89 of the submission.</w:t>
      </w:r>
    </w:p>
    <w:p w14:paraId="49669B47" w14:textId="77777777" w:rsidR="00E5129A" w:rsidRPr="00ED40F2" w:rsidRDefault="00D52FD4" w:rsidP="00ED40F2">
      <w:pPr>
        <w:pStyle w:val="TableFigureFooter"/>
      </w:pPr>
      <w:r w:rsidRPr="00ED40F2">
        <w:t>CI = confidence interval; SD = standard deviation</w:t>
      </w:r>
    </w:p>
    <w:p w14:paraId="794AF137" w14:textId="77777777" w:rsidR="00E5129A" w:rsidRPr="00ED40F2" w:rsidRDefault="00D52FD4" w:rsidP="00ED40F2">
      <w:pPr>
        <w:pStyle w:val="TableFigureFooter"/>
      </w:pPr>
      <w:r w:rsidRPr="00ED40F2">
        <w:t xml:space="preserve">a </w:t>
      </w:r>
      <w:proofErr w:type="spellStart"/>
      <w:r w:rsidRPr="00ED40F2">
        <w:t>Somatrogon</w:t>
      </w:r>
      <w:proofErr w:type="spellEnd"/>
      <w:r w:rsidRPr="00ED40F2">
        <w:t xml:space="preserve"> (N=109), somatropin (N=115)</w:t>
      </w:r>
    </w:p>
    <w:p w14:paraId="75D26081" w14:textId="77777777" w:rsidR="00E5129A" w:rsidRPr="00ED40F2" w:rsidRDefault="00D52FD4" w:rsidP="00ED40F2">
      <w:pPr>
        <w:pStyle w:val="TableFigureFooter"/>
      </w:pPr>
      <w:r w:rsidRPr="00ED40F2">
        <w:t xml:space="preserve">b </w:t>
      </w:r>
      <w:proofErr w:type="spellStart"/>
      <w:r w:rsidRPr="00ED40F2">
        <w:t>Somatrogon</w:t>
      </w:r>
      <w:proofErr w:type="spellEnd"/>
      <w:r w:rsidRPr="00ED40F2">
        <w:t xml:space="preserve"> (N=14), somatropin (N=11), using full analysis set</w:t>
      </w:r>
    </w:p>
    <w:p w14:paraId="324C2373" w14:textId="01CD88F7" w:rsidR="00E5129A" w:rsidRPr="00ED40F2" w:rsidRDefault="00D52FD4" w:rsidP="00ED40F2">
      <w:pPr>
        <w:pStyle w:val="TableFigureFooter"/>
      </w:pPr>
      <w:r w:rsidRPr="00ED40F2">
        <w:t xml:space="preserve">c </w:t>
      </w:r>
      <w:proofErr w:type="spellStart"/>
      <w:r w:rsidRPr="00ED40F2">
        <w:t>Somatrogon</w:t>
      </w:r>
      <w:proofErr w:type="spellEnd"/>
      <w:r w:rsidRPr="00ED40F2">
        <w:t xml:space="preserve"> (N=22), somatropin (N=22), using full analysis set</w:t>
      </w:r>
    </w:p>
    <w:p w14:paraId="394AE38D" w14:textId="77777777" w:rsidR="00E5129A" w:rsidRPr="00ED40F2" w:rsidRDefault="00D52FD4" w:rsidP="00ED40F2">
      <w:pPr>
        <w:pStyle w:val="TableFigureFooter"/>
      </w:pPr>
      <w:r w:rsidRPr="00ED40F2">
        <w:t>d based on least squares means estimate</w:t>
      </w:r>
    </w:p>
    <w:p w14:paraId="21D09B39" w14:textId="04EAA36A" w:rsidR="00E5129A" w:rsidRPr="00E96E9F" w:rsidRDefault="00811E0E" w:rsidP="00811E0E">
      <w:pPr>
        <w:pStyle w:val="3-BodyText"/>
        <w:rPr>
          <w:shd w:val="clear" w:color="auto" w:fill="FFFFFF"/>
          <w:lang w:eastAsia="zh-CN"/>
        </w:rPr>
      </w:pPr>
      <w:r w:rsidRPr="00E96E9F">
        <w:rPr>
          <w:shd w:val="clear" w:color="auto" w:fill="FFFFFF"/>
          <w:lang w:eastAsia="zh-CN"/>
        </w:rPr>
        <w:t>Several</w:t>
      </w:r>
      <w:r w:rsidR="00F96B2F" w:rsidRPr="00E96E9F">
        <w:rPr>
          <w:shd w:val="clear" w:color="auto" w:fill="FFFFFF"/>
          <w:lang w:eastAsia="zh-CN"/>
        </w:rPr>
        <w:t xml:space="preserve"> </w:t>
      </w:r>
      <w:r w:rsidRPr="00E96E9F">
        <w:rPr>
          <w:shd w:val="clear" w:color="auto" w:fill="FFFFFF"/>
          <w:lang w:eastAsia="zh-CN"/>
        </w:rPr>
        <w:t>secondary</w:t>
      </w:r>
      <w:r w:rsidR="00F96B2F" w:rsidRPr="00E96E9F">
        <w:rPr>
          <w:shd w:val="clear" w:color="auto" w:fill="FFFFFF"/>
          <w:lang w:eastAsia="zh-CN"/>
        </w:rPr>
        <w:t xml:space="preserve"> </w:t>
      </w:r>
      <w:r w:rsidRPr="00E96E9F">
        <w:rPr>
          <w:shd w:val="clear" w:color="auto" w:fill="FFFFFF"/>
          <w:lang w:eastAsia="zh-CN"/>
        </w:rPr>
        <w:t>efficacy</w:t>
      </w:r>
      <w:r w:rsidR="00F96B2F" w:rsidRPr="00E96E9F">
        <w:rPr>
          <w:shd w:val="clear" w:color="auto" w:fill="FFFFFF"/>
          <w:lang w:eastAsia="zh-CN"/>
        </w:rPr>
        <w:t xml:space="preserve"> </w:t>
      </w:r>
      <w:r w:rsidRPr="00E96E9F">
        <w:rPr>
          <w:shd w:val="clear" w:color="auto" w:fill="FFFFFF"/>
          <w:lang w:eastAsia="zh-CN"/>
        </w:rPr>
        <w:t>endpoints</w:t>
      </w:r>
      <w:r w:rsidR="00F96B2F" w:rsidRPr="00E96E9F">
        <w:rPr>
          <w:shd w:val="clear" w:color="auto" w:fill="FFFFFF"/>
          <w:lang w:eastAsia="zh-CN"/>
        </w:rPr>
        <w:t xml:space="preserve"> </w:t>
      </w:r>
      <w:r w:rsidRPr="00E96E9F">
        <w:rPr>
          <w:shd w:val="clear" w:color="auto" w:fill="FFFFFF"/>
          <w:lang w:eastAsia="zh-CN"/>
        </w:rPr>
        <w:t>were</w:t>
      </w:r>
      <w:r w:rsidR="00F96B2F" w:rsidRPr="00E96E9F">
        <w:rPr>
          <w:shd w:val="clear" w:color="auto" w:fill="FFFFFF"/>
          <w:lang w:eastAsia="zh-CN"/>
        </w:rPr>
        <w:t xml:space="preserve"> </w:t>
      </w:r>
      <w:r w:rsidRPr="00E96E9F">
        <w:rPr>
          <w:shd w:val="clear" w:color="auto" w:fill="FFFFFF"/>
          <w:lang w:eastAsia="zh-CN"/>
        </w:rPr>
        <w:t>presented:</w:t>
      </w:r>
      <w:r w:rsidR="00F96B2F" w:rsidRPr="00E96E9F">
        <w:rPr>
          <w:shd w:val="clear" w:color="auto" w:fill="FFFFFF"/>
          <w:lang w:eastAsia="zh-CN"/>
        </w:rPr>
        <w:t xml:space="preserve"> </w:t>
      </w:r>
      <w:r w:rsidRPr="00E96E9F">
        <w:rPr>
          <w:shd w:val="clear" w:color="auto" w:fill="FFFFFF"/>
          <w:lang w:eastAsia="zh-CN"/>
        </w:rPr>
        <w:t>annualized</w:t>
      </w:r>
      <w:r w:rsidR="00F96B2F" w:rsidRPr="00E96E9F">
        <w:rPr>
          <w:shd w:val="clear" w:color="auto" w:fill="FFFFFF"/>
          <w:lang w:eastAsia="zh-CN"/>
        </w:rPr>
        <w:t xml:space="preserve"> </w:t>
      </w:r>
      <w:r w:rsidRPr="00E96E9F">
        <w:rPr>
          <w:shd w:val="clear" w:color="auto" w:fill="FFFFFF"/>
          <w:lang w:eastAsia="zh-CN"/>
        </w:rPr>
        <w:t>height</w:t>
      </w:r>
      <w:r w:rsidR="00F96B2F" w:rsidRPr="00E96E9F">
        <w:rPr>
          <w:shd w:val="clear" w:color="auto" w:fill="FFFFFF"/>
          <w:lang w:eastAsia="zh-CN"/>
        </w:rPr>
        <w:t xml:space="preserve"> </w:t>
      </w:r>
      <w:r w:rsidRPr="00E96E9F">
        <w:rPr>
          <w:shd w:val="clear" w:color="auto" w:fill="FFFFFF"/>
          <w:lang w:eastAsia="zh-CN"/>
        </w:rPr>
        <w:t>velocity</w:t>
      </w:r>
      <w:r w:rsidR="00F96B2F" w:rsidRPr="00E96E9F">
        <w:rPr>
          <w:shd w:val="clear" w:color="auto" w:fill="FFFFFF"/>
          <w:lang w:eastAsia="zh-CN"/>
        </w:rPr>
        <w:t xml:space="preserve"> </w:t>
      </w:r>
      <w:r w:rsidRPr="00E96E9F">
        <w:rPr>
          <w:shd w:val="clear" w:color="auto" w:fill="FFFFFF"/>
          <w:lang w:eastAsia="zh-CN"/>
        </w:rPr>
        <w:t>at</w:t>
      </w:r>
      <w:r w:rsidR="00F96B2F" w:rsidRPr="00E96E9F">
        <w:rPr>
          <w:shd w:val="clear" w:color="auto" w:fill="FFFFFF"/>
          <w:lang w:eastAsia="zh-CN"/>
        </w:rPr>
        <w:t xml:space="preserve"> </w:t>
      </w:r>
      <w:r w:rsidRPr="00E96E9F">
        <w:rPr>
          <w:shd w:val="clear" w:color="auto" w:fill="FFFFFF"/>
          <w:lang w:eastAsia="zh-CN"/>
        </w:rPr>
        <w:t>6</w:t>
      </w:r>
      <w:r w:rsidR="00F96B2F" w:rsidRPr="00E96E9F">
        <w:rPr>
          <w:shd w:val="clear" w:color="auto" w:fill="FFFFFF"/>
          <w:lang w:eastAsia="zh-CN"/>
        </w:rPr>
        <w:t xml:space="preserve"> </w:t>
      </w:r>
      <w:r w:rsidRPr="00E96E9F">
        <w:rPr>
          <w:shd w:val="clear" w:color="auto" w:fill="FFFFFF"/>
          <w:lang w:eastAsia="zh-CN"/>
        </w:rPr>
        <w:t>months,</w:t>
      </w:r>
      <w:r w:rsidR="00F96B2F" w:rsidRPr="00E96E9F">
        <w:rPr>
          <w:shd w:val="clear" w:color="auto" w:fill="FFFFFF"/>
          <w:lang w:eastAsia="zh-CN"/>
        </w:rPr>
        <w:t xml:space="preserve"> </w:t>
      </w:r>
      <w:r w:rsidRPr="00E96E9F">
        <w:rPr>
          <w:shd w:val="clear" w:color="auto" w:fill="FFFFFF"/>
          <w:lang w:eastAsia="zh-CN"/>
        </w:rPr>
        <w:t>change</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height</w:t>
      </w:r>
      <w:r w:rsidR="00F96B2F" w:rsidRPr="00E96E9F">
        <w:rPr>
          <w:shd w:val="clear" w:color="auto" w:fill="FFFFFF"/>
          <w:lang w:eastAsia="zh-CN"/>
        </w:rPr>
        <w:t xml:space="preserve"> </w:t>
      </w:r>
      <w:r w:rsidRPr="00E96E9F">
        <w:rPr>
          <w:shd w:val="clear" w:color="auto" w:fill="FFFFFF"/>
          <w:lang w:eastAsia="zh-CN"/>
        </w:rPr>
        <w:t>standard</w:t>
      </w:r>
      <w:r w:rsidR="00F96B2F" w:rsidRPr="00E96E9F">
        <w:rPr>
          <w:shd w:val="clear" w:color="auto" w:fill="FFFFFF"/>
          <w:lang w:eastAsia="zh-CN"/>
        </w:rPr>
        <w:t xml:space="preserve"> </w:t>
      </w:r>
      <w:r w:rsidRPr="00E96E9F">
        <w:rPr>
          <w:shd w:val="clear" w:color="auto" w:fill="FFFFFF"/>
          <w:lang w:eastAsia="zh-CN"/>
        </w:rPr>
        <w:t>deviation</w:t>
      </w:r>
      <w:r w:rsidR="00F96B2F" w:rsidRPr="00E96E9F">
        <w:rPr>
          <w:shd w:val="clear" w:color="auto" w:fill="FFFFFF"/>
          <w:lang w:eastAsia="zh-CN"/>
        </w:rPr>
        <w:t xml:space="preserve"> </w:t>
      </w:r>
      <w:r w:rsidRPr="00E96E9F">
        <w:rPr>
          <w:shd w:val="clear" w:color="auto" w:fill="FFFFFF"/>
          <w:lang w:eastAsia="zh-CN"/>
        </w:rPr>
        <w:t>scores</w:t>
      </w:r>
      <w:r w:rsidR="00F96B2F" w:rsidRPr="00E96E9F">
        <w:rPr>
          <w:shd w:val="clear" w:color="auto" w:fill="FFFFFF"/>
          <w:lang w:eastAsia="zh-CN"/>
        </w:rPr>
        <w:t xml:space="preserve"> </w:t>
      </w:r>
      <w:r w:rsidRPr="00E96E9F">
        <w:rPr>
          <w:shd w:val="clear" w:color="auto" w:fill="FFFFFF"/>
          <w:lang w:eastAsia="zh-CN"/>
        </w:rPr>
        <w:t>at</w:t>
      </w:r>
      <w:r w:rsidR="00F96B2F" w:rsidRPr="00E96E9F">
        <w:rPr>
          <w:shd w:val="clear" w:color="auto" w:fill="FFFFFF"/>
          <w:lang w:eastAsia="zh-CN"/>
        </w:rPr>
        <w:t xml:space="preserve"> </w:t>
      </w:r>
      <w:r w:rsidRPr="00E96E9F">
        <w:rPr>
          <w:shd w:val="clear" w:color="auto" w:fill="FFFFFF"/>
          <w:lang w:eastAsia="zh-CN"/>
        </w:rPr>
        <w:t>6</w:t>
      </w:r>
      <w:r w:rsidR="00F96B2F" w:rsidRPr="00E96E9F">
        <w:rPr>
          <w:shd w:val="clear" w:color="auto" w:fill="FFFFFF"/>
          <w:lang w:eastAsia="zh-CN"/>
        </w:rPr>
        <w:t xml:space="preserve"> </w:t>
      </w:r>
      <w:r w:rsidRPr="00E96E9F">
        <w:rPr>
          <w:shd w:val="clear" w:color="auto" w:fill="FFFFFF"/>
          <w:lang w:eastAsia="zh-CN"/>
        </w:rPr>
        <w:t>and</w:t>
      </w:r>
      <w:r w:rsidR="00F96B2F" w:rsidRPr="00E96E9F">
        <w:rPr>
          <w:shd w:val="clear" w:color="auto" w:fill="FFFFFF"/>
          <w:lang w:eastAsia="zh-CN"/>
        </w:rPr>
        <w:t xml:space="preserve"> </w:t>
      </w:r>
      <w:r w:rsidRPr="00E96E9F">
        <w:rPr>
          <w:shd w:val="clear" w:color="auto" w:fill="FFFFFF"/>
          <w:lang w:eastAsia="zh-CN"/>
        </w:rPr>
        <w:t>12</w:t>
      </w:r>
      <w:r w:rsidR="00F96B2F" w:rsidRPr="00E96E9F">
        <w:rPr>
          <w:shd w:val="clear" w:color="auto" w:fill="FFFFFF"/>
          <w:lang w:eastAsia="zh-CN"/>
        </w:rPr>
        <w:t xml:space="preserve"> </w:t>
      </w:r>
      <w:r w:rsidRPr="00E96E9F">
        <w:rPr>
          <w:shd w:val="clear" w:color="auto" w:fill="FFFFFF"/>
          <w:lang w:eastAsia="zh-CN"/>
        </w:rPr>
        <w:t>months,</w:t>
      </w:r>
      <w:r w:rsidR="00F96B2F" w:rsidRPr="00E96E9F">
        <w:rPr>
          <w:shd w:val="clear" w:color="auto" w:fill="FFFFFF"/>
          <w:lang w:eastAsia="zh-CN"/>
        </w:rPr>
        <w:t xml:space="preserve"> </w:t>
      </w:r>
      <w:r w:rsidRPr="00E96E9F">
        <w:rPr>
          <w:shd w:val="clear" w:color="auto" w:fill="FFFFFF"/>
          <w:lang w:eastAsia="zh-CN"/>
        </w:rPr>
        <w:t>and</w:t>
      </w:r>
      <w:r w:rsidR="00F96B2F" w:rsidRPr="00E96E9F">
        <w:rPr>
          <w:shd w:val="clear" w:color="auto" w:fill="FFFFFF"/>
          <w:lang w:eastAsia="zh-CN"/>
        </w:rPr>
        <w:t xml:space="preserve"> </w:t>
      </w:r>
      <w:r w:rsidRPr="00E96E9F">
        <w:rPr>
          <w:shd w:val="clear" w:color="auto" w:fill="FFFFFF"/>
          <w:lang w:eastAsia="zh-CN"/>
        </w:rPr>
        <w:t>change</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bone</w:t>
      </w:r>
      <w:r w:rsidR="00F96B2F" w:rsidRPr="00E96E9F">
        <w:rPr>
          <w:shd w:val="clear" w:color="auto" w:fill="FFFFFF"/>
          <w:lang w:eastAsia="zh-CN"/>
        </w:rPr>
        <w:t xml:space="preserve"> </w:t>
      </w:r>
      <w:r w:rsidRPr="00E96E9F">
        <w:rPr>
          <w:shd w:val="clear" w:color="auto" w:fill="FFFFFF"/>
          <w:lang w:eastAsia="zh-CN"/>
        </w:rPr>
        <w:t>maturation.</w:t>
      </w:r>
      <w:r w:rsidR="00F96B2F" w:rsidRPr="00E96E9F">
        <w:rPr>
          <w:shd w:val="clear" w:color="auto" w:fill="FFFFFF"/>
          <w:lang w:eastAsia="zh-CN"/>
        </w:rPr>
        <w:t xml:space="preserve"> </w:t>
      </w:r>
      <w:r w:rsidR="00571348">
        <w:rPr>
          <w:iCs/>
          <w:shd w:val="clear" w:color="auto" w:fill="FFFFFF"/>
          <w:lang w:eastAsia="zh-CN"/>
        </w:rPr>
        <w:t>The r</w:t>
      </w:r>
      <w:r w:rsidR="00571348" w:rsidRPr="00BF1BFB">
        <w:rPr>
          <w:iCs/>
          <w:shd w:val="clear" w:color="auto" w:fill="FFFFFF"/>
          <w:lang w:eastAsia="zh-CN"/>
        </w:rPr>
        <w:t xml:space="preserve">esults </w:t>
      </w:r>
      <w:r w:rsidRPr="00BF1BFB">
        <w:rPr>
          <w:iCs/>
          <w:shd w:val="clear" w:color="auto" w:fill="FFFFFF"/>
          <w:lang w:eastAsia="zh-CN"/>
        </w:rPr>
        <w:t>for</w:t>
      </w:r>
      <w:r w:rsidR="00F96B2F" w:rsidRPr="00BF1BFB">
        <w:rPr>
          <w:iCs/>
          <w:shd w:val="clear" w:color="auto" w:fill="FFFFFF"/>
          <w:lang w:eastAsia="zh-CN"/>
        </w:rPr>
        <w:t xml:space="preserve"> </w:t>
      </w:r>
      <w:r w:rsidRPr="00BF1BFB">
        <w:rPr>
          <w:iCs/>
          <w:shd w:val="clear" w:color="auto" w:fill="FFFFFF"/>
          <w:lang w:eastAsia="zh-CN"/>
        </w:rPr>
        <w:t>annualised</w:t>
      </w:r>
      <w:r w:rsidR="00F96B2F" w:rsidRPr="00BF1BFB">
        <w:rPr>
          <w:iCs/>
          <w:shd w:val="clear" w:color="auto" w:fill="FFFFFF"/>
          <w:lang w:eastAsia="zh-CN"/>
        </w:rPr>
        <w:t xml:space="preserve"> </w:t>
      </w:r>
      <w:r w:rsidR="00DD42E2" w:rsidRPr="00BF1BFB">
        <w:rPr>
          <w:iCs/>
          <w:shd w:val="clear" w:color="auto" w:fill="FFFFFF"/>
          <w:lang w:eastAsia="zh-CN"/>
        </w:rPr>
        <w:t>HV</w:t>
      </w:r>
      <w:r w:rsidR="00F96B2F" w:rsidRPr="00BF1BFB">
        <w:rPr>
          <w:iCs/>
          <w:shd w:val="clear" w:color="auto" w:fill="FFFFFF"/>
          <w:lang w:eastAsia="zh-CN"/>
        </w:rPr>
        <w:t xml:space="preserve"> </w:t>
      </w:r>
      <w:r w:rsidRPr="00BF1BFB">
        <w:rPr>
          <w:iCs/>
          <w:shd w:val="clear" w:color="auto" w:fill="FFFFFF"/>
          <w:lang w:eastAsia="zh-CN"/>
        </w:rPr>
        <w:t>favour</w:t>
      </w:r>
      <w:r w:rsidR="00F96B2F" w:rsidRPr="00BF1BFB">
        <w:rPr>
          <w:iCs/>
          <w:shd w:val="clear" w:color="auto" w:fill="FFFFFF"/>
          <w:lang w:eastAsia="zh-CN"/>
        </w:rPr>
        <w:t xml:space="preserve"> </w:t>
      </w:r>
      <w:proofErr w:type="spellStart"/>
      <w:r w:rsidRPr="00BF1BFB">
        <w:rPr>
          <w:iCs/>
          <w:shd w:val="clear" w:color="auto" w:fill="FFFFFF"/>
          <w:lang w:eastAsia="zh-CN"/>
        </w:rPr>
        <w:t>somatrogon</w:t>
      </w:r>
      <w:proofErr w:type="spellEnd"/>
      <w:r w:rsidRPr="00BF1BFB">
        <w:rPr>
          <w:iCs/>
          <w:shd w:val="clear" w:color="auto" w:fill="FFFFFF"/>
          <w:lang w:eastAsia="zh-CN"/>
        </w:rPr>
        <w:t>,</w:t>
      </w:r>
      <w:r w:rsidR="00F96B2F" w:rsidRPr="00BF1BFB">
        <w:rPr>
          <w:iCs/>
          <w:shd w:val="clear" w:color="auto" w:fill="FFFFFF"/>
          <w:lang w:eastAsia="zh-CN"/>
        </w:rPr>
        <w:t xml:space="preserve"> </w:t>
      </w:r>
      <w:r w:rsidRPr="00BF1BFB">
        <w:rPr>
          <w:iCs/>
          <w:shd w:val="clear" w:color="auto" w:fill="FFFFFF"/>
          <w:lang w:eastAsia="zh-CN"/>
        </w:rPr>
        <w:t>although</w:t>
      </w:r>
      <w:r w:rsidR="00F96B2F" w:rsidRPr="00BF1BFB">
        <w:rPr>
          <w:iCs/>
          <w:shd w:val="clear" w:color="auto" w:fill="FFFFFF"/>
          <w:lang w:eastAsia="zh-CN"/>
        </w:rPr>
        <w:t xml:space="preserve"> </w:t>
      </w:r>
      <w:r w:rsidRPr="00BF1BFB">
        <w:rPr>
          <w:iCs/>
          <w:shd w:val="clear" w:color="auto" w:fill="FFFFFF"/>
          <w:lang w:eastAsia="zh-CN"/>
        </w:rPr>
        <w:t>the</w:t>
      </w:r>
      <w:r w:rsidR="00F96B2F" w:rsidRPr="00BF1BFB">
        <w:rPr>
          <w:iCs/>
          <w:shd w:val="clear" w:color="auto" w:fill="FFFFFF"/>
          <w:lang w:eastAsia="zh-CN"/>
        </w:rPr>
        <w:t xml:space="preserve"> </w:t>
      </w:r>
      <w:r w:rsidRPr="00BF1BFB">
        <w:rPr>
          <w:iCs/>
          <w:shd w:val="clear" w:color="auto" w:fill="FFFFFF"/>
          <w:lang w:eastAsia="zh-CN"/>
        </w:rPr>
        <w:t>clinical</w:t>
      </w:r>
      <w:r w:rsidR="00F96B2F" w:rsidRPr="00BF1BFB">
        <w:rPr>
          <w:iCs/>
          <w:shd w:val="clear" w:color="auto" w:fill="FFFFFF"/>
          <w:lang w:eastAsia="zh-CN"/>
        </w:rPr>
        <w:t xml:space="preserve"> </w:t>
      </w:r>
      <w:r w:rsidRPr="00BF1BFB">
        <w:rPr>
          <w:iCs/>
          <w:shd w:val="clear" w:color="auto" w:fill="FFFFFF"/>
          <w:lang w:eastAsia="zh-CN"/>
        </w:rPr>
        <w:t>significance</w:t>
      </w:r>
      <w:r w:rsidR="00F96B2F" w:rsidRPr="00BF1BFB">
        <w:rPr>
          <w:iCs/>
          <w:shd w:val="clear" w:color="auto" w:fill="FFFFFF"/>
          <w:lang w:eastAsia="zh-CN"/>
        </w:rPr>
        <w:t xml:space="preserve"> </w:t>
      </w:r>
      <w:r w:rsidRPr="00BF1BFB">
        <w:rPr>
          <w:iCs/>
          <w:shd w:val="clear" w:color="auto" w:fill="FFFFFF"/>
          <w:lang w:eastAsia="zh-CN"/>
        </w:rPr>
        <w:t>and</w:t>
      </w:r>
      <w:r w:rsidR="00F96B2F" w:rsidRPr="00BF1BFB">
        <w:rPr>
          <w:iCs/>
          <w:shd w:val="clear" w:color="auto" w:fill="FFFFFF"/>
          <w:lang w:eastAsia="zh-CN"/>
        </w:rPr>
        <w:t xml:space="preserve"> </w:t>
      </w:r>
      <w:r w:rsidRPr="00BF1BFB">
        <w:rPr>
          <w:iCs/>
          <w:shd w:val="clear" w:color="auto" w:fill="FFFFFF"/>
          <w:lang w:eastAsia="zh-CN"/>
        </w:rPr>
        <w:t>support</w:t>
      </w:r>
      <w:r w:rsidR="00F96B2F" w:rsidRPr="00BF1BFB">
        <w:rPr>
          <w:iCs/>
          <w:shd w:val="clear" w:color="auto" w:fill="FFFFFF"/>
          <w:lang w:eastAsia="zh-CN"/>
        </w:rPr>
        <w:t xml:space="preserve"> </w:t>
      </w:r>
      <w:r w:rsidRPr="00BF1BFB">
        <w:rPr>
          <w:iCs/>
          <w:shd w:val="clear" w:color="auto" w:fill="FFFFFF"/>
          <w:lang w:eastAsia="zh-CN"/>
        </w:rPr>
        <w:t>for</w:t>
      </w:r>
      <w:r w:rsidR="00F96B2F" w:rsidRPr="00BF1BFB">
        <w:rPr>
          <w:iCs/>
          <w:shd w:val="clear" w:color="auto" w:fill="FFFFFF"/>
          <w:lang w:eastAsia="zh-CN"/>
        </w:rPr>
        <w:t xml:space="preserve"> </w:t>
      </w:r>
      <w:r w:rsidRPr="00BF1BFB">
        <w:rPr>
          <w:iCs/>
          <w:shd w:val="clear" w:color="auto" w:fill="FFFFFF"/>
          <w:lang w:eastAsia="zh-CN"/>
        </w:rPr>
        <w:t>a</w:t>
      </w:r>
      <w:r w:rsidR="00F96B2F" w:rsidRPr="00BF1BFB">
        <w:rPr>
          <w:iCs/>
          <w:shd w:val="clear" w:color="auto" w:fill="FFFFFF"/>
          <w:lang w:eastAsia="zh-CN"/>
        </w:rPr>
        <w:t xml:space="preserve"> </w:t>
      </w:r>
      <w:r w:rsidRPr="00BF1BFB">
        <w:rPr>
          <w:iCs/>
          <w:shd w:val="clear" w:color="auto" w:fill="FFFFFF"/>
          <w:lang w:eastAsia="zh-CN"/>
        </w:rPr>
        <w:t>non-inferiority</w:t>
      </w:r>
      <w:r w:rsidR="00F96B2F" w:rsidRPr="00BF1BFB">
        <w:rPr>
          <w:iCs/>
          <w:shd w:val="clear" w:color="auto" w:fill="FFFFFF"/>
          <w:lang w:eastAsia="zh-CN"/>
        </w:rPr>
        <w:t xml:space="preserve"> </w:t>
      </w:r>
      <w:r w:rsidRPr="00BF1BFB">
        <w:rPr>
          <w:iCs/>
          <w:shd w:val="clear" w:color="auto" w:fill="FFFFFF"/>
          <w:lang w:eastAsia="zh-CN"/>
        </w:rPr>
        <w:t>claim</w:t>
      </w:r>
      <w:r w:rsidR="00F96B2F" w:rsidRPr="00BF1BFB">
        <w:rPr>
          <w:iCs/>
          <w:shd w:val="clear" w:color="auto" w:fill="FFFFFF"/>
          <w:lang w:eastAsia="zh-CN"/>
        </w:rPr>
        <w:t xml:space="preserve"> </w:t>
      </w:r>
      <w:r w:rsidR="00571348">
        <w:rPr>
          <w:iCs/>
          <w:shd w:val="clear" w:color="auto" w:fill="FFFFFF"/>
          <w:lang w:eastAsia="zh-CN"/>
        </w:rPr>
        <w:t>we</w:t>
      </w:r>
      <w:r w:rsidR="00571348" w:rsidRPr="00BF1BFB">
        <w:rPr>
          <w:iCs/>
          <w:shd w:val="clear" w:color="auto" w:fill="FFFFFF"/>
          <w:lang w:eastAsia="zh-CN"/>
        </w:rPr>
        <w:t xml:space="preserve">re </w:t>
      </w:r>
      <w:r w:rsidRPr="00BF1BFB">
        <w:rPr>
          <w:iCs/>
          <w:shd w:val="clear" w:color="auto" w:fill="FFFFFF"/>
          <w:lang w:eastAsia="zh-CN"/>
        </w:rPr>
        <w:t>unclear.</w:t>
      </w:r>
      <w:r w:rsidR="00F96B2F" w:rsidRPr="00BF1BFB">
        <w:rPr>
          <w:iCs/>
          <w:shd w:val="clear" w:color="auto" w:fill="FFFFFF"/>
          <w:lang w:eastAsia="zh-CN"/>
        </w:rPr>
        <w:t xml:space="preserve"> </w:t>
      </w:r>
      <w:r w:rsidR="00571348">
        <w:rPr>
          <w:iCs/>
          <w:shd w:val="clear" w:color="auto" w:fill="FFFFFF"/>
          <w:lang w:eastAsia="zh-CN"/>
        </w:rPr>
        <w:t>The r</w:t>
      </w:r>
      <w:r w:rsidR="00571348" w:rsidRPr="00BF1BFB">
        <w:rPr>
          <w:iCs/>
          <w:shd w:val="clear" w:color="auto" w:fill="FFFFFF"/>
          <w:lang w:eastAsia="zh-CN"/>
        </w:rPr>
        <w:t xml:space="preserve">esults </w:t>
      </w:r>
      <w:r w:rsidRPr="00BF1BFB">
        <w:rPr>
          <w:iCs/>
          <w:shd w:val="clear" w:color="auto" w:fill="FFFFFF"/>
          <w:lang w:eastAsia="zh-CN"/>
        </w:rPr>
        <w:t>for</w:t>
      </w:r>
      <w:r w:rsidR="00F96B2F" w:rsidRPr="00BF1BFB">
        <w:rPr>
          <w:iCs/>
          <w:shd w:val="clear" w:color="auto" w:fill="FFFFFF"/>
          <w:lang w:eastAsia="zh-CN"/>
        </w:rPr>
        <w:t xml:space="preserve"> </w:t>
      </w:r>
      <w:r w:rsidRPr="00BF1BFB">
        <w:rPr>
          <w:iCs/>
          <w:shd w:val="clear" w:color="auto" w:fill="FFFFFF"/>
          <w:lang w:eastAsia="zh-CN"/>
        </w:rPr>
        <w:t>change</w:t>
      </w:r>
      <w:r w:rsidR="00F96B2F" w:rsidRPr="00BF1BFB">
        <w:rPr>
          <w:iCs/>
          <w:shd w:val="clear" w:color="auto" w:fill="FFFFFF"/>
          <w:lang w:eastAsia="zh-CN"/>
        </w:rPr>
        <w:t xml:space="preserve"> </w:t>
      </w:r>
      <w:r w:rsidRPr="00BF1BFB">
        <w:rPr>
          <w:iCs/>
          <w:shd w:val="clear" w:color="auto" w:fill="FFFFFF"/>
          <w:lang w:eastAsia="zh-CN"/>
        </w:rPr>
        <w:t>in</w:t>
      </w:r>
      <w:r w:rsidR="00F96B2F" w:rsidRPr="00BF1BFB">
        <w:rPr>
          <w:iCs/>
          <w:shd w:val="clear" w:color="auto" w:fill="FFFFFF"/>
          <w:lang w:eastAsia="zh-CN"/>
        </w:rPr>
        <w:t xml:space="preserve"> </w:t>
      </w:r>
      <w:r w:rsidRPr="00BF1BFB">
        <w:rPr>
          <w:iCs/>
          <w:shd w:val="clear" w:color="auto" w:fill="FFFFFF"/>
          <w:lang w:eastAsia="zh-CN"/>
        </w:rPr>
        <w:t>height</w:t>
      </w:r>
      <w:r w:rsidR="00F96B2F" w:rsidRPr="00BF1BFB">
        <w:rPr>
          <w:iCs/>
          <w:shd w:val="clear" w:color="auto" w:fill="FFFFFF"/>
          <w:lang w:eastAsia="zh-CN"/>
        </w:rPr>
        <w:t xml:space="preserve"> </w:t>
      </w:r>
      <w:r w:rsidRPr="00BF1BFB">
        <w:rPr>
          <w:iCs/>
          <w:shd w:val="clear" w:color="auto" w:fill="FFFFFF"/>
          <w:lang w:eastAsia="zh-CN"/>
        </w:rPr>
        <w:t>standard</w:t>
      </w:r>
      <w:r w:rsidR="00F96B2F" w:rsidRPr="00BF1BFB">
        <w:rPr>
          <w:iCs/>
          <w:shd w:val="clear" w:color="auto" w:fill="FFFFFF"/>
          <w:lang w:eastAsia="zh-CN"/>
        </w:rPr>
        <w:t xml:space="preserve"> </w:t>
      </w:r>
      <w:r w:rsidRPr="00BF1BFB">
        <w:rPr>
          <w:iCs/>
          <w:shd w:val="clear" w:color="auto" w:fill="FFFFFF"/>
          <w:lang w:eastAsia="zh-CN"/>
        </w:rPr>
        <w:t>deviation</w:t>
      </w:r>
      <w:r w:rsidR="00F96B2F" w:rsidRPr="00BF1BFB">
        <w:rPr>
          <w:iCs/>
          <w:shd w:val="clear" w:color="auto" w:fill="FFFFFF"/>
          <w:lang w:eastAsia="zh-CN"/>
        </w:rPr>
        <w:t xml:space="preserve"> </w:t>
      </w:r>
      <w:r w:rsidRPr="00BF1BFB">
        <w:rPr>
          <w:iCs/>
          <w:shd w:val="clear" w:color="auto" w:fill="FFFFFF"/>
          <w:lang w:eastAsia="zh-CN"/>
        </w:rPr>
        <w:t>and</w:t>
      </w:r>
      <w:r w:rsidR="00F96B2F" w:rsidRPr="00BF1BFB">
        <w:rPr>
          <w:iCs/>
          <w:shd w:val="clear" w:color="auto" w:fill="FFFFFF"/>
          <w:lang w:eastAsia="zh-CN"/>
        </w:rPr>
        <w:t xml:space="preserve"> </w:t>
      </w:r>
      <w:r w:rsidRPr="00BF1BFB">
        <w:rPr>
          <w:iCs/>
          <w:shd w:val="clear" w:color="auto" w:fill="FFFFFF"/>
          <w:lang w:eastAsia="zh-CN"/>
        </w:rPr>
        <w:t>change</w:t>
      </w:r>
      <w:r w:rsidR="00F96B2F" w:rsidRPr="00BF1BFB">
        <w:rPr>
          <w:iCs/>
          <w:shd w:val="clear" w:color="auto" w:fill="FFFFFF"/>
          <w:lang w:eastAsia="zh-CN"/>
        </w:rPr>
        <w:t xml:space="preserve"> </w:t>
      </w:r>
      <w:r w:rsidRPr="00BF1BFB">
        <w:rPr>
          <w:iCs/>
          <w:shd w:val="clear" w:color="auto" w:fill="FFFFFF"/>
          <w:lang w:eastAsia="zh-CN"/>
        </w:rPr>
        <w:t>in</w:t>
      </w:r>
      <w:r w:rsidR="00F96B2F" w:rsidRPr="00BF1BFB">
        <w:rPr>
          <w:iCs/>
          <w:shd w:val="clear" w:color="auto" w:fill="FFFFFF"/>
          <w:lang w:eastAsia="zh-CN"/>
        </w:rPr>
        <w:t xml:space="preserve"> </w:t>
      </w:r>
      <w:r w:rsidRPr="00BF1BFB">
        <w:rPr>
          <w:iCs/>
          <w:shd w:val="clear" w:color="auto" w:fill="FFFFFF"/>
          <w:lang w:eastAsia="zh-CN"/>
        </w:rPr>
        <w:t>bone</w:t>
      </w:r>
      <w:r w:rsidR="00F96B2F" w:rsidRPr="00BF1BFB">
        <w:rPr>
          <w:iCs/>
          <w:shd w:val="clear" w:color="auto" w:fill="FFFFFF"/>
          <w:lang w:eastAsia="zh-CN"/>
        </w:rPr>
        <w:t xml:space="preserve"> </w:t>
      </w:r>
      <w:r w:rsidRPr="00BF1BFB">
        <w:rPr>
          <w:iCs/>
          <w:shd w:val="clear" w:color="auto" w:fill="FFFFFF"/>
          <w:lang w:eastAsia="zh-CN"/>
        </w:rPr>
        <w:t>maturation</w:t>
      </w:r>
      <w:r w:rsidR="00F96B2F" w:rsidRPr="00BF1BFB">
        <w:rPr>
          <w:iCs/>
          <w:shd w:val="clear" w:color="auto" w:fill="FFFFFF"/>
          <w:lang w:eastAsia="zh-CN"/>
        </w:rPr>
        <w:t xml:space="preserve"> </w:t>
      </w:r>
      <w:r w:rsidR="00571348">
        <w:rPr>
          <w:iCs/>
          <w:shd w:val="clear" w:color="auto" w:fill="FFFFFF"/>
          <w:lang w:eastAsia="zh-CN"/>
        </w:rPr>
        <w:t>we</w:t>
      </w:r>
      <w:r w:rsidR="00571348" w:rsidRPr="00BF1BFB">
        <w:rPr>
          <w:iCs/>
          <w:shd w:val="clear" w:color="auto" w:fill="FFFFFF"/>
          <w:lang w:eastAsia="zh-CN"/>
        </w:rPr>
        <w:t xml:space="preserve">re </w:t>
      </w:r>
      <w:r w:rsidRPr="00BF1BFB">
        <w:rPr>
          <w:iCs/>
          <w:shd w:val="clear" w:color="auto" w:fill="FFFFFF"/>
          <w:lang w:eastAsia="zh-CN"/>
        </w:rPr>
        <w:t>mixed.</w:t>
      </w:r>
    </w:p>
    <w:p w14:paraId="6B78D29A" w14:textId="517426E7" w:rsidR="00E5129A" w:rsidRPr="00BF1BFB" w:rsidRDefault="00811E0E" w:rsidP="00811E0E">
      <w:pPr>
        <w:pStyle w:val="3-BodyText"/>
        <w:rPr>
          <w:iCs/>
          <w:shd w:val="clear" w:color="auto" w:fill="FFFFFF"/>
          <w:lang w:eastAsia="zh-CN"/>
        </w:rPr>
      </w:pPr>
      <w:r w:rsidRPr="00E96E9F">
        <w:rPr>
          <w:shd w:val="clear" w:color="auto" w:fill="FFFFFF"/>
          <w:lang w:eastAsia="zh-CN"/>
        </w:rPr>
        <w:t>The</w:t>
      </w:r>
      <w:r w:rsidR="00F96B2F" w:rsidRPr="00E96E9F">
        <w:rPr>
          <w:shd w:val="clear" w:color="auto" w:fill="FFFFFF"/>
          <w:lang w:eastAsia="zh-CN"/>
        </w:rPr>
        <w:t xml:space="preserve"> </w:t>
      </w:r>
      <w:r w:rsidR="00DD374C" w:rsidRPr="00E96E9F">
        <w:rPr>
          <w:lang w:eastAsia="zh-CN"/>
        </w:rPr>
        <w:t xml:space="preserve">submission </w:t>
      </w:r>
      <w:r w:rsidRPr="00E96E9F">
        <w:rPr>
          <w:shd w:val="clear" w:color="auto" w:fill="FFFFFF"/>
          <w:lang w:eastAsia="zh-CN"/>
        </w:rPr>
        <w:t>also</w:t>
      </w:r>
      <w:r w:rsidR="00F96B2F" w:rsidRPr="00E96E9F">
        <w:rPr>
          <w:shd w:val="clear" w:color="auto" w:fill="FFFFFF"/>
          <w:lang w:eastAsia="zh-CN"/>
        </w:rPr>
        <w:t xml:space="preserve"> </w:t>
      </w:r>
      <w:r w:rsidRPr="00E96E9F">
        <w:rPr>
          <w:shd w:val="clear" w:color="auto" w:fill="FFFFFF"/>
          <w:lang w:eastAsia="zh-CN"/>
        </w:rPr>
        <w:t>presented</w:t>
      </w:r>
      <w:r w:rsidR="00F96B2F" w:rsidRPr="00E96E9F">
        <w:rPr>
          <w:shd w:val="clear" w:color="auto" w:fill="FFFFFF"/>
          <w:lang w:eastAsia="zh-CN"/>
        </w:rPr>
        <w:t xml:space="preserve"> </w:t>
      </w:r>
      <w:r w:rsidRPr="00E96E9F">
        <w:rPr>
          <w:shd w:val="clear" w:color="auto" w:fill="FFFFFF"/>
          <w:lang w:eastAsia="zh-CN"/>
        </w:rPr>
        <w:t>evidence</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biochemical</w:t>
      </w:r>
      <w:r w:rsidR="00F96B2F" w:rsidRPr="00E96E9F">
        <w:rPr>
          <w:shd w:val="clear" w:color="auto" w:fill="FFFFFF"/>
          <w:lang w:eastAsia="zh-CN"/>
        </w:rPr>
        <w:t xml:space="preserve"> </w:t>
      </w:r>
      <w:r w:rsidRPr="002D5BA0">
        <w:rPr>
          <w:shd w:val="clear" w:color="auto" w:fill="FFFFFF"/>
          <w:lang w:eastAsia="zh-CN"/>
        </w:rPr>
        <w:t>changes.</w:t>
      </w:r>
      <w:r w:rsidR="00F96B2F" w:rsidRPr="002D5BA0">
        <w:rPr>
          <w:shd w:val="clear" w:color="auto" w:fill="FFFFFF"/>
          <w:lang w:eastAsia="zh-CN"/>
        </w:rPr>
        <w:t xml:space="preserve"> </w:t>
      </w:r>
      <w:r w:rsidRPr="002D5BA0">
        <w:rPr>
          <w:iCs/>
          <w:shd w:val="clear" w:color="auto" w:fill="FFFFFF"/>
          <w:lang w:eastAsia="zh-CN"/>
        </w:rPr>
        <w:t>The</w:t>
      </w:r>
      <w:r w:rsidR="00F96B2F" w:rsidRPr="002D5BA0">
        <w:rPr>
          <w:iCs/>
          <w:shd w:val="clear" w:color="auto" w:fill="FFFFFF"/>
          <w:lang w:eastAsia="zh-CN"/>
        </w:rPr>
        <w:t xml:space="preserve"> </w:t>
      </w:r>
      <w:r w:rsidRPr="002D5BA0">
        <w:rPr>
          <w:iCs/>
          <w:shd w:val="clear" w:color="auto" w:fill="FFFFFF"/>
          <w:lang w:eastAsia="zh-CN"/>
        </w:rPr>
        <w:t>biochemical</w:t>
      </w:r>
      <w:r w:rsidR="00F96B2F" w:rsidRPr="002D5BA0">
        <w:rPr>
          <w:iCs/>
          <w:shd w:val="clear" w:color="auto" w:fill="FFFFFF"/>
          <w:lang w:eastAsia="zh-CN"/>
        </w:rPr>
        <w:t xml:space="preserve"> </w:t>
      </w:r>
      <w:r w:rsidRPr="002D5BA0">
        <w:rPr>
          <w:iCs/>
          <w:shd w:val="clear" w:color="auto" w:fill="FFFFFF"/>
          <w:lang w:eastAsia="zh-CN"/>
        </w:rPr>
        <w:t>evidence</w:t>
      </w:r>
      <w:r w:rsidR="00F96B2F" w:rsidRPr="002D5BA0">
        <w:rPr>
          <w:iCs/>
          <w:shd w:val="clear" w:color="auto" w:fill="FFFFFF"/>
          <w:lang w:eastAsia="zh-CN"/>
        </w:rPr>
        <w:t xml:space="preserve"> </w:t>
      </w:r>
      <w:r w:rsidRPr="002D5BA0">
        <w:rPr>
          <w:iCs/>
          <w:shd w:val="clear" w:color="auto" w:fill="FFFFFF"/>
          <w:lang w:eastAsia="zh-CN"/>
        </w:rPr>
        <w:t>tends</w:t>
      </w:r>
      <w:r w:rsidR="00F96B2F" w:rsidRPr="002D5BA0">
        <w:rPr>
          <w:iCs/>
          <w:shd w:val="clear" w:color="auto" w:fill="FFFFFF"/>
          <w:lang w:eastAsia="zh-CN"/>
        </w:rPr>
        <w:t xml:space="preserve"> </w:t>
      </w:r>
      <w:r w:rsidRPr="002D5BA0">
        <w:rPr>
          <w:iCs/>
          <w:shd w:val="clear" w:color="auto" w:fill="FFFFFF"/>
          <w:lang w:eastAsia="zh-CN"/>
        </w:rPr>
        <w:t>to</w:t>
      </w:r>
      <w:r w:rsidR="00F96B2F" w:rsidRPr="002D5BA0">
        <w:rPr>
          <w:iCs/>
          <w:shd w:val="clear" w:color="auto" w:fill="FFFFFF"/>
          <w:lang w:eastAsia="zh-CN"/>
        </w:rPr>
        <w:t xml:space="preserve"> </w:t>
      </w:r>
      <w:r w:rsidRPr="002D5BA0">
        <w:rPr>
          <w:iCs/>
          <w:shd w:val="clear" w:color="auto" w:fill="FFFFFF"/>
          <w:lang w:eastAsia="zh-CN"/>
        </w:rPr>
        <w:t>favour</w:t>
      </w:r>
      <w:r w:rsidR="00F96B2F" w:rsidRPr="002D5BA0">
        <w:rPr>
          <w:iCs/>
          <w:shd w:val="clear" w:color="auto" w:fill="FFFFFF"/>
          <w:lang w:eastAsia="zh-CN"/>
        </w:rPr>
        <w:t xml:space="preserve"> </w:t>
      </w:r>
      <w:proofErr w:type="spellStart"/>
      <w:r w:rsidRPr="002D5BA0">
        <w:rPr>
          <w:iCs/>
          <w:shd w:val="clear" w:color="auto" w:fill="FFFFFF"/>
          <w:lang w:eastAsia="zh-CN"/>
        </w:rPr>
        <w:t>somatrogon</w:t>
      </w:r>
      <w:proofErr w:type="spellEnd"/>
      <w:r w:rsidR="00F96B2F" w:rsidRPr="00BF1BFB">
        <w:rPr>
          <w:iCs/>
          <w:shd w:val="clear" w:color="auto" w:fill="FFFFFF"/>
          <w:lang w:eastAsia="zh-CN"/>
        </w:rPr>
        <w:t xml:space="preserve"> </w:t>
      </w:r>
      <w:r w:rsidRPr="00BF1BFB">
        <w:rPr>
          <w:iCs/>
          <w:shd w:val="clear" w:color="auto" w:fill="FFFFFF"/>
          <w:lang w:eastAsia="zh-CN"/>
        </w:rPr>
        <w:t>although</w:t>
      </w:r>
      <w:r w:rsidR="00F96B2F" w:rsidRPr="00BF1BFB">
        <w:rPr>
          <w:iCs/>
          <w:shd w:val="clear" w:color="auto" w:fill="FFFFFF"/>
          <w:lang w:eastAsia="zh-CN"/>
        </w:rPr>
        <w:t xml:space="preserve"> </w:t>
      </w:r>
      <w:r w:rsidRPr="00BF1BFB">
        <w:rPr>
          <w:iCs/>
          <w:shd w:val="clear" w:color="auto" w:fill="FFFFFF"/>
          <w:lang w:eastAsia="zh-CN"/>
        </w:rPr>
        <w:t>the</w:t>
      </w:r>
      <w:r w:rsidR="00F96B2F" w:rsidRPr="00BF1BFB">
        <w:rPr>
          <w:iCs/>
          <w:shd w:val="clear" w:color="auto" w:fill="FFFFFF"/>
          <w:lang w:eastAsia="zh-CN"/>
        </w:rPr>
        <w:t xml:space="preserve"> </w:t>
      </w:r>
      <w:r w:rsidRPr="00BF1BFB">
        <w:rPr>
          <w:iCs/>
          <w:shd w:val="clear" w:color="auto" w:fill="FFFFFF"/>
          <w:lang w:eastAsia="zh-CN"/>
        </w:rPr>
        <w:t>clinical</w:t>
      </w:r>
      <w:r w:rsidR="00F96B2F" w:rsidRPr="00BF1BFB">
        <w:rPr>
          <w:iCs/>
          <w:shd w:val="clear" w:color="auto" w:fill="FFFFFF"/>
          <w:lang w:eastAsia="zh-CN"/>
        </w:rPr>
        <w:t xml:space="preserve"> </w:t>
      </w:r>
      <w:r w:rsidRPr="00BF1BFB">
        <w:rPr>
          <w:iCs/>
          <w:shd w:val="clear" w:color="auto" w:fill="FFFFFF"/>
          <w:lang w:eastAsia="zh-CN"/>
        </w:rPr>
        <w:t>significance</w:t>
      </w:r>
      <w:r w:rsidR="00F96B2F" w:rsidRPr="00BF1BFB">
        <w:rPr>
          <w:iCs/>
          <w:shd w:val="clear" w:color="auto" w:fill="FFFFFF"/>
          <w:lang w:eastAsia="zh-CN"/>
        </w:rPr>
        <w:t xml:space="preserve"> </w:t>
      </w:r>
      <w:r w:rsidRPr="00BF1BFB">
        <w:rPr>
          <w:iCs/>
          <w:shd w:val="clear" w:color="auto" w:fill="FFFFFF"/>
          <w:lang w:eastAsia="zh-CN"/>
        </w:rPr>
        <w:t>and</w:t>
      </w:r>
      <w:r w:rsidR="00F96B2F" w:rsidRPr="00BF1BFB">
        <w:rPr>
          <w:iCs/>
          <w:shd w:val="clear" w:color="auto" w:fill="FFFFFF"/>
          <w:lang w:eastAsia="zh-CN"/>
        </w:rPr>
        <w:t xml:space="preserve"> </w:t>
      </w:r>
      <w:r w:rsidRPr="00BF1BFB">
        <w:rPr>
          <w:iCs/>
          <w:shd w:val="clear" w:color="auto" w:fill="FFFFFF"/>
          <w:lang w:eastAsia="zh-CN"/>
        </w:rPr>
        <w:t>support</w:t>
      </w:r>
      <w:r w:rsidR="00F96B2F" w:rsidRPr="00BF1BFB">
        <w:rPr>
          <w:iCs/>
          <w:shd w:val="clear" w:color="auto" w:fill="FFFFFF"/>
          <w:lang w:eastAsia="zh-CN"/>
        </w:rPr>
        <w:t xml:space="preserve"> </w:t>
      </w:r>
      <w:r w:rsidRPr="00BF1BFB">
        <w:rPr>
          <w:iCs/>
          <w:shd w:val="clear" w:color="auto" w:fill="FFFFFF"/>
          <w:lang w:eastAsia="zh-CN"/>
        </w:rPr>
        <w:t>for</w:t>
      </w:r>
      <w:r w:rsidR="00571348">
        <w:rPr>
          <w:iCs/>
          <w:shd w:val="clear" w:color="auto" w:fill="FFFFFF"/>
          <w:lang w:eastAsia="zh-CN"/>
        </w:rPr>
        <w:t xml:space="preserve"> a</w:t>
      </w:r>
      <w:r w:rsidR="00F96B2F" w:rsidRPr="00BF1BFB">
        <w:rPr>
          <w:iCs/>
          <w:shd w:val="clear" w:color="auto" w:fill="FFFFFF"/>
          <w:lang w:eastAsia="zh-CN"/>
        </w:rPr>
        <w:t xml:space="preserve"> </w:t>
      </w:r>
      <w:r w:rsidRPr="00BF1BFB">
        <w:rPr>
          <w:iCs/>
          <w:shd w:val="clear" w:color="auto" w:fill="FFFFFF"/>
          <w:lang w:eastAsia="zh-CN"/>
        </w:rPr>
        <w:t>non-inferiority</w:t>
      </w:r>
      <w:r w:rsidR="00F96B2F" w:rsidRPr="00BF1BFB">
        <w:rPr>
          <w:iCs/>
          <w:shd w:val="clear" w:color="auto" w:fill="FFFFFF"/>
          <w:lang w:eastAsia="zh-CN"/>
        </w:rPr>
        <w:t xml:space="preserve"> </w:t>
      </w:r>
      <w:r w:rsidRPr="00BF1BFB">
        <w:rPr>
          <w:iCs/>
          <w:shd w:val="clear" w:color="auto" w:fill="FFFFFF"/>
          <w:lang w:eastAsia="zh-CN"/>
        </w:rPr>
        <w:t>claim</w:t>
      </w:r>
      <w:r w:rsidR="00F96B2F" w:rsidRPr="00BF1BFB">
        <w:rPr>
          <w:iCs/>
          <w:shd w:val="clear" w:color="auto" w:fill="FFFFFF"/>
          <w:lang w:eastAsia="zh-CN"/>
        </w:rPr>
        <w:t xml:space="preserve"> </w:t>
      </w:r>
      <w:r w:rsidR="00571348">
        <w:rPr>
          <w:iCs/>
          <w:shd w:val="clear" w:color="auto" w:fill="FFFFFF"/>
          <w:lang w:eastAsia="zh-CN"/>
        </w:rPr>
        <w:t>were</w:t>
      </w:r>
      <w:r w:rsidR="00571348" w:rsidRPr="00BF1BFB">
        <w:rPr>
          <w:iCs/>
          <w:shd w:val="clear" w:color="auto" w:fill="FFFFFF"/>
          <w:lang w:eastAsia="zh-CN"/>
        </w:rPr>
        <w:t xml:space="preserve"> </w:t>
      </w:r>
      <w:r w:rsidRPr="00BF1BFB">
        <w:rPr>
          <w:iCs/>
          <w:shd w:val="clear" w:color="auto" w:fill="FFFFFF"/>
          <w:lang w:eastAsia="zh-CN"/>
        </w:rPr>
        <w:t>unclear.</w:t>
      </w:r>
    </w:p>
    <w:p w14:paraId="3D534B70" w14:textId="78C81879" w:rsidR="00E5129A" w:rsidRPr="00BF1BFB" w:rsidRDefault="00571348" w:rsidP="00811E0E">
      <w:pPr>
        <w:pStyle w:val="3-BodyText"/>
        <w:rPr>
          <w:rFonts w:cs="Calibri"/>
          <w:iCs/>
          <w:color w:val="000000"/>
          <w:shd w:val="clear" w:color="auto" w:fill="FFFFFF"/>
          <w:lang w:eastAsia="zh-CN"/>
        </w:rPr>
      </w:pPr>
      <w:r>
        <w:rPr>
          <w:shd w:val="clear" w:color="auto" w:fill="FFFFFF"/>
          <w:lang w:eastAsia="zh-CN"/>
        </w:rPr>
        <w:t>The l</w:t>
      </w:r>
      <w:r w:rsidRPr="00E96E9F">
        <w:rPr>
          <w:shd w:val="clear" w:color="auto" w:fill="FFFFFF"/>
          <w:lang w:eastAsia="zh-CN"/>
        </w:rPr>
        <w:t>ong</w:t>
      </w:r>
      <w:r w:rsidR="00811E0E" w:rsidRPr="00E96E9F">
        <w:rPr>
          <w:shd w:val="clear" w:color="auto" w:fill="FFFFFF"/>
          <w:lang w:eastAsia="zh-CN"/>
        </w:rPr>
        <w:t>-term</w:t>
      </w:r>
      <w:r w:rsidR="00F96B2F" w:rsidRPr="00E96E9F">
        <w:rPr>
          <w:shd w:val="clear" w:color="auto" w:fill="FFFFFF"/>
          <w:lang w:eastAsia="zh-CN"/>
        </w:rPr>
        <w:t xml:space="preserve"> </w:t>
      </w:r>
      <w:r w:rsidR="00811E0E" w:rsidRPr="00E96E9F">
        <w:rPr>
          <w:shd w:val="clear" w:color="auto" w:fill="FFFFFF"/>
          <w:lang w:eastAsia="zh-CN"/>
        </w:rPr>
        <w:t>efficacy</w:t>
      </w:r>
      <w:r w:rsidR="00F96B2F" w:rsidRPr="00E96E9F">
        <w:rPr>
          <w:shd w:val="clear" w:color="auto" w:fill="FFFFFF"/>
          <w:lang w:eastAsia="zh-CN"/>
        </w:rPr>
        <w:t xml:space="preserve"> </w:t>
      </w:r>
      <w:r w:rsidR="00811E0E" w:rsidRPr="00E96E9F">
        <w:rPr>
          <w:shd w:val="clear" w:color="auto" w:fill="FFFFFF"/>
          <w:lang w:eastAsia="zh-CN"/>
        </w:rPr>
        <w:t>data</w:t>
      </w:r>
      <w:r w:rsidR="00F96B2F" w:rsidRPr="00E96E9F">
        <w:rPr>
          <w:shd w:val="clear" w:color="auto" w:fill="FFFFFF"/>
          <w:lang w:eastAsia="zh-CN"/>
        </w:rPr>
        <w:t xml:space="preserve"> </w:t>
      </w:r>
      <w:r w:rsidR="00811E0E" w:rsidRPr="00E96E9F">
        <w:rPr>
          <w:shd w:val="clear" w:color="auto" w:fill="FFFFFF"/>
          <w:lang w:eastAsia="zh-CN"/>
        </w:rPr>
        <w:t>from</w:t>
      </w:r>
      <w:r w:rsidR="00F96B2F" w:rsidRPr="00E96E9F">
        <w:rPr>
          <w:shd w:val="clear" w:color="auto" w:fill="FFFFFF"/>
          <w:lang w:eastAsia="zh-CN"/>
        </w:rPr>
        <w:t xml:space="preserve"> </w:t>
      </w:r>
      <w:r w:rsidR="00811E0E" w:rsidRPr="00E96E9F">
        <w:rPr>
          <w:shd w:val="clear" w:color="auto" w:fill="FFFFFF"/>
          <w:lang w:eastAsia="zh-CN"/>
        </w:rPr>
        <w:t>two</w:t>
      </w:r>
      <w:r w:rsidR="00F96B2F" w:rsidRPr="00E96E9F">
        <w:rPr>
          <w:shd w:val="clear" w:color="auto" w:fill="FFFFFF"/>
          <w:lang w:eastAsia="zh-CN"/>
        </w:rPr>
        <w:t xml:space="preserve"> </w:t>
      </w:r>
      <w:r w:rsidR="00811E0E" w:rsidRPr="00E96E9F">
        <w:rPr>
          <w:shd w:val="clear" w:color="auto" w:fill="FFFFFF"/>
          <w:lang w:eastAsia="zh-CN"/>
        </w:rPr>
        <w:t>studies</w:t>
      </w:r>
      <w:r w:rsidR="00F96B2F" w:rsidRPr="00E96E9F">
        <w:rPr>
          <w:shd w:val="clear" w:color="auto" w:fill="FFFFFF"/>
          <w:lang w:eastAsia="zh-CN"/>
        </w:rPr>
        <w:t xml:space="preserve"> </w:t>
      </w:r>
      <w:r w:rsidR="00811E0E" w:rsidRPr="00E96E9F">
        <w:rPr>
          <w:shd w:val="clear" w:color="auto" w:fill="FFFFFF"/>
          <w:lang w:eastAsia="zh-CN"/>
        </w:rPr>
        <w:t>were</w:t>
      </w:r>
      <w:r w:rsidR="00F96B2F" w:rsidRPr="00E96E9F">
        <w:rPr>
          <w:shd w:val="clear" w:color="auto" w:fill="FFFFFF"/>
          <w:lang w:eastAsia="zh-CN"/>
        </w:rPr>
        <w:t xml:space="preserve"> </w:t>
      </w:r>
      <w:r w:rsidR="00811E0E" w:rsidRPr="00E96E9F">
        <w:rPr>
          <w:shd w:val="clear" w:color="auto" w:fill="FFFFFF"/>
          <w:lang w:eastAsia="zh-CN"/>
        </w:rPr>
        <w:t>presented</w:t>
      </w:r>
      <w:r w:rsidR="00F96B2F" w:rsidRPr="00E96E9F">
        <w:rPr>
          <w:shd w:val="clear" w:color="auto" w:fill="FFFFFF"/>
          <w:lang w:eastAsia="zh-CN"/>
        </w:rPr>
        <w:t xml:space="preserve"> </w:t>
      </w:r>
      <w:r w:rsidR="00811E0E" w:rsidRPr="00E96E9F">
        <w:rPr>
          <w:shd w:val="clear" w:color="auto" w:fill="FFFFFF"/>
          <w:lang w:eastAsia="zh-CN"/>
        </w:rPr>
        <w:t>for</w:t>
      </w:r>
      <w:r w:rsidR="00F96B2F" w:rsidRPr="00E96E9F">
        <w:rPr>
          <w:shd w:val="clear" w:color="auto" w:fill="FFFFFF"/>
          <w:lang w:eastAsia="zh-CN"/>
        </w:rPr>
        <w:t xml:space="preserve"> </w:t>
      </w:r>
      <w:r w:rsidR="00811E0E" w:rsidRPr="00E96E9F">
        <w:rPr>
          <w:lang w:eastAsia="zh-CN"/>
        </w:rPr>
        <w:t>Study</w:t>
      </w:r>
      <w:r w:rsidR="00F96B2F" w:rsidRPr="00E96E9F">
        <w:rPr>
          <w:lang w:eastAsia="zh-CN"/>
        </w:rPr>
        <w:t xml:space="preserve"> </w:t>
      </w:r>
      <w:r w:rsidR="00811E0E" w:rsidRPr="00E96E9F">
        <w:rPr>
          <w:lang w:eastAsia="zh-CN"/>
        </w:rPr>
        <w:t>4006</w:t>
      </w:r>
      <w:r w:rsidR="00F96B2F" w:rsidRPr="00E96E9F">
        <w:rPr>
          <w:shd w:val="clear" w:color="auto" w:fill="FFFFFF"/>
          <w:lang w:eastAsia="zh-CN"/>
        </w:rPr>
        <w:t xml:space="preserve"> </w:t>
      </w:r>
      <w:r w:rsidR="00811E0E" w:rsidRPr="00E96E9F">
        <w:rPr>
          <w:shd w:val="clear" w:color="auto" w:fill="FFFFFF"/>
          <w:lang w:eastAsia="zh-CN"/>
        </w:rPr>
        <w:t>(additional</w:t>
      </w:r>
      <w:r w:rsidR="00F96B2F" w:rsidRPr="00E96E9F">
        <w:rPr>
          <w:shd w:val="clear" w:color="auto" w:fill="FFFFFF"/>
          <w:lang w:eastAsia="zh-CN"/>
        </w:rPr>
        <w:t xml:space="preserve"> </w:t>
      </w:r>
      <w:r w:rsidR="00811E0E" w:rsidRPr="00E96E9F">
        <w:rPr>
          <w:shd w:val="clear" w:color="auto" w:fill="FFFFFF"/>
          <w:lang w:eastAsia="zh-CN"/>
        </w:rPr>
        <w:t>12</w:t>
      </w:r>
      <w:r w:rsidR="00F96B2F" w:rsidRPr="00E96E9F">
        <w:rPr>
          <w:shd w:val="clear" w:color="auto" w:fill="FFFFFF"/>
          <w:lang w:eastAsia="zh-CN"/>
        </w:rPr>
        <w:t xml:space="preserve"> </w:t>
      </w:r>
      <w:r w:rsidR="00811E0E" w:rsidRPr="00E96E9F">
        <w:rPr>
          <w:shd w:val="clear" w:color="auto" w:fill="FFFFFF"/>
          <w:lang w:eastAsia="zh-CN"/>
        </w:rPr>
        <w:t>months)</w:t>
      </w:r>
      <w:r w:rsidR="00F96B2F" w:rsidRPr="00E96E9F">
        <w:rPr>
          <w:shd w:val="clear" w:color="auto" w:fill="FFFFFF"/>
          <w:lang w:eastAsia="zh-CN"/>
        </w:rPr>
        <w:t xml:space="preserve"> </w:t>
      </w:r>
      <w:r w:rsidR="00811E0E" w:rsidRPr="00E96E9F">
        <w:rPr>
          <w:shd w:val="clear" w:color="auto" w:fill="FFFFFF"/>
          <w:lang w:eastAsia="zh-CN"/>
        </w:rPr>
        <w:t>and</w:t>
      </w:r>
      <w:r w:rsidR="00F96B2F" w:rsidRPr="00E96E9F">
        <w:rPr>
          <w:shd w:val="clear" w:color="auto" w:fill="FFFFFF"/>
          <w:lang w:eastAsia="zh-CN"/>
        </w:rPr>
        <w:t xml:space="preserve"> </w:t>
      </w:r>
      <w:r w:rsidR="00811E0E" w:rsidRPr="00E96E9F">
        <w:rPr>
          <w:shd w:val="clear" w:color="auto" w:fill="FFFFFF"/>
          <w:lang w:eastAsia="zh-CN"/>
        </w:rPr>
        <w:t>Study</w:t>
      </w:r>
      <w:r w:rsidR="00F96B2F" w:rsidRPr="00E96E9F">
        <w:rPr>
          <w:shd w:val="clear" w:color="auto" w:fill="FFFFFF"/>
          <w:lang w:eastAsia="zh-CN"/>
        </w:rPr>
        <w:t xml:space="preserve"> </w:t>
      </w:r>
      <w:r w:rsidR="00811E0E" w:rsidRPr="00E96E9F">
        <w:rPr>
          <w:shd w:val="clear" w:color="auto" w:fill="FFFFFF"/>
          <w:lang w:eastAsia="zh-CN"/>
        </w:rPr>
        <w:t>4004</w:t>
      </w:r>
      <w:r w:rsidR="00F96B2F" w:rsidRPr="00E96E9F">
        <w:rPr>
          <w:shd w:val="clear" w:color="auto" w:fill="FFFFFF"/>
          <w:lang w:eastAsia="zh-CN"/>
        </w:rPr>
        <w:t xml:space="preserve"> </w:t>
      </w:r>
      <w:r w:rsidR="00811E0E" w:rsidRPr="00E96E9F">
        <w:rPr>
          <w:shd w:val="clear" w:color="auto" w:fill="FFFFFF"/>
          <w:lang w:eastAsia="zh-CN"/>
        </w:rPr>
        <w:t>(additional</w:t>
      </w:r>
      <w:r w:rsidR="00F96B2F" w:rsidRPr="00E96E9F">
        <w:rPr>
          <w:shd w:val="clear" w:color="auto" w:fill="FFFFFF"/>
          <w:lang w:eastAsia="zh-CN"/>
        </w:rPr>
        <w:t xml:space="preserve"> </w:t>
      </w:r>
      <w:r w:rsidR="00811E0E" w:rsidRPr="00E96E9F">
        <w:rPr>
          <w:shd w:val="clear" w:color="auto" w:fill="FFFFFF"/>
          <w:lang w:eastAsia="zh-CN"/>
        </w:rPr>
        <w:t>5</w:t>
      </w:r>
      <w:r w:rsidR="00F96B2F" w:rsidRPr="00E96E9F">
        <w:rPr>
          <w:shd w:val="clear" w:color="auto" w:fill="FFFFFF"/>
          <w:lang w:eastAsia="zh-CN"/>
        </w:rPr>
        <w:t xml:space="preserve"> </w:t>
      </w:r>
      <w:r w:rsidR="00811E0E" w:rsidRPr="00E96E9F">
        <w:rPr>
          <w:shd w:val="clear" w:color="auto" w:fill="FFFFFF"/>
          <w:lang w:eastAsia="zh-CN"/>
        </w:rPr>
        <w:t>years).</w:t>
      </w:r>
      <w:r w:rsidR="00F96B2F" w:rsidRPr="00E96E9F">
        <w:rPr>
          <w:shd w:val="clear" w:color="auto" w:fill="FFFFFF"/>
          <w:lang w:eastAsia="zh-CN"/>
        </w:rPr>
        <w:t xml:space="preserve"> </w:t>
      </w:r>
      <w:r w:rsidR="00811E0E" w:rsidRPr="00E96E9F">
        <w:rPr>
          <w:shd w:val="clear" w:color="auto" w:fill="FFFFFF"/>
          <w:lang w:eastAsia="zh-CN"/>
        </w:rPr>
        <w:t>For</w:t>
      </w:r>
      <w:r w:rsidR="00F96B2F" w:rsidRPr="00E96E9F">
        <w:rPr>
          <w:shd w:val="clear" w:color="auto" w:fill="FFFFFF"/>
          <w:lang w:eastAsia="zh-CN"/>
        </w:rPr>
        <w:t xml:space="preserve"> </w:t>
      </w:r>
      <w:r w:rsidR="00811E0E" w:rsidRPr="00E96E9F">
        <w:rPr>
          <w:lang w:eastAsia="zh-CN"/>
        </w:rPr>
        <w:t>Study</w:t>
      </w:r>
      <w:r w:rsidR="00F96B2F" w:rsidRPr="00E96E9F">
        <w:rPr>
          <w:lang w:eastAsia="zh-CN"/>
        </w:rPr>
        <w:t xml:space="preserve"> </w:t>
      </w:r>
      <w:r w:rsidR="00811E0E" w:rsidRPr="00E96E9F">
        <w:rPr>
          <w:lang w:eastAsia="zh-CN"/>
        </w:rPr>
        <w:t>4006</w:t>
      </w:r>
      <w:r w:rsidR="00811E0E" w:rsidRPr="00E96E9F">
        <w:rPr>
          <w:shd w:val="clear" w:color="auto" w:fill="FFFFFF"/>
          <w:lang w:eastAsia="zh-CN"/>
        </w:rPr>
        <w:t>,</w:t>
      </w:r>
      <w:r w:rsidR="00F96B2F" w:rsidRPr="00E96E9F">
        <w:rPr>
          <w:shd w:val="clear" w:color="auto" w:fill="FFFFFF"/>
          <w:lang w:eastAsia="zh-CN"/>
        </w:rPr>
        <w:t xml:space="preserve"> </w:t>
      </w:r>
      <w:r w:rsidR="00811E0E" w:rsidRPr="00E96E9F">
        <w:rPr>
          <w:shd w:val="clear" w:color="auto" w:fill="FFFFFF"/>
          <w:lang w:eastAsia="zh-CN"/>
        </w:rPr>
        <w:t>of</w:t>
      </w:r>
      <w:r w:rsidR="00F96B2F" w:rsidRPr="00E96E9F">
        <w:rPr>
          <w:shd w:val="clear" w:color="auto" w:fill="FFFFFF"/>
          <w:lang w:eastAsia="zh-CN"/>
        </w:rPr>
        <w:t xml:space="preserve"> </w:t>
      </w:r>
      <w:r w:rsidR="00811E0E" w:rsidRPr="00E96E9F">
        <w:rPr>
          <w:shd w:val="clear" w:color="auto" w:fill="FFFFFF"/>
          <w:lang w:eastAsia="zh-CN"/>
        </w:rPr>
        <w:t>222</w:t>
      </w:r>
      <w:r>
        <w:rPr>
          <w:shd w:val="clear" w:color="auto" w:fill="FFFFFF"/>
          <w:lang w:eastAsia="zh-CN"/>
        </w:rPr>
        <w:t xml:space="preserve"> patients</w:t>
      </w:r>
      <w:r w:rsidR="00F96B2F" w:rsidRPr="00E96E9F">
        <w:rPr>
          <w:shd w:val="clear" w:color="auto" w:fill="FFFFFF"/>
          <w:lang w:eastAsia="zh-CN"/>
        </w:rPr>
        <w:t xml:space="preserve"> </w:t>
      </w:r>
      <w:r w:rsidR="00811E0E" w:rsidRPr="00E96E9F">
        <w:rPr>
          <w:shd w:val="clear" w:color="auto" w:fill="FFFFFF"/>
          <w:lang w:eastAsia="zh-CN"/>
        </w:rPr>
        <w:t>who</w:t>
      </w:r>
      <w:r w:rsidR="00F96B2F" w:rsidRPr="00E96E9F">
        <w:rPr>
          <w:shd w:val="clear" w:color="auto" w:fill="FFFFFF"/>
          <w:lang w:eastAsia="zh-CN"/>
        </w:rPr>
        <w:t xml:space="preserve"> </w:t>
      </w:r>
      <w:r w:rsidR="00811E0E" w:rsidRPr="00E96E9F">
        <w:rPr>
          <w:shd w:val="clear" w:color="auto" w:fill="FFFFFF"/>
          <w:lang w:eastAsia="zh-CN"/>
        </w:rPr>
        <w:t>completed</w:t>
      </w:r>
      <w:r w:rsidR="00F96B2F" w:rsidRPr="00E96E9F">
        <w:rPr>
          <w:shd w:val="clear" w:color="auto" w:fill="FFFFFF"/>
          <w:lang w:eastAsia="zh-CN"/>
        </w:rPr>
        <w:t xml:space="preserve"> </w:t>
      </w:r>
      <w:r w:rsidR="00811E0E" w:rsidRPr="00E96E9F">
        <w:rPr>
          <w:shd w:val="clear" w:color="auto" w:fill="FFFFFF"/>
          <w:lang w:eastAsia="zh-CN"/>
        </w:rPr>
        <w:t>the</w:t>
      </w:r>
      <w:r w:rsidR="00F96B2F" w:rsidRPr="00E96E9F">
        <w:rPr>
          <w:shd w:val="clear" w:color="auto" w:fill="FFFFFF"/>
          <w:lang w:eastAsia="zh-CN"/>
        </w:rPr>
        <w:t xml:space="preserve"> </w:t>
      </w:r>
      <w:r w:rsidR="00811E0E" w:rsidRPr="00E96E9F">
        <w:rPr>
          <w:shd w:val="clear" w:color="auto" w:fill="FFFFFF"/>
          <w:lang w:eastAsia="zh-CN"/>
        </w:rPr>
        <w:t>main</w:t>
      </w:r>
      <w:r w:rsidR="00F96B2F" w:rsidRPr="00E96E9F">
        <w:rPr>
          <w:shd w:val="clear" w:color="auto" w:fill="FFFFFF"/>
          <w:lang w:eastAsia="zh-CN"/>
        </w:rPr>
        <w:t xml:space="preserve"> </w:t>
      </w:r>
      <w:r w:rsidR="00811E0E" w:rsidRPr="00E96E9F">
        <w:rPr>
          <w:shd w:val="clear" w:color="auto" w:fill="FFFFFF"/>
          <w:lang w:eastAsia="zh-CN"/>
        </w:rPr>
        <w:t>study,</w:t>
      </w:r>
      <w:r w:rsidR="00F96B2F" w:rsidRPr="00E96E9F">
        <w:rPr>
          <w:shd w:val="clear" w:color="auto" w:fill="FFFFFF"/>
          <w:lang w:eastAsia="zh-CN"/>
        </w:rPr>
        <w:t xml:space="preserve"> </w:t>
      </w:r>
      <w:r w:rsidR="00811E0E" w:rsidRPr="00E96E9F">
        <w:rPr>
          <w:shd w:val="clear" w:color="auto" w:fill="FFFFFF"/>
          <w:lang w:eastAsia="zh-CN"/>
        </w:rPr>
        <w:t>212</w:t>
      </w:r>
      <w:r w:rsidR="00F96B2F" w:rsidRPr="00E96E9F">
        <w:rPr>
          <w:shd w:val="clear" w:color="auto" w:fill="FFFFFF"/>
          <w:lang w:eastAsia="zh-CN"/>
        </w:rPr>
        <w:t xml:space="preserve"> </w:t>
      </w:r>
      <w:r w:rsidR="00811E0E" w:rsidRPr="00E96E9F">
        <w:rPr>
          <w:shd w:val="clear" w:color="auto" w:fill="FFFFFF"/>
          <w:lang w:eastAsia="zh-CN"/>
        </w:rPr>
        <w:t>(95.5%)</w:t>
      </w:r>
      <w:r w:rsidR="00F96B2F" w:rsidRPr="00E96E9F">
        <w:rPr>
          <w:shd w:val="clear" w:color="auto" w:fill="FFFFFF"/>
          <w:lang w:eastAsia="zh-CN"/>
        </w:rPr>
        <w:t xml:space="preserve"> </w:t>
      </w:r>
      <w:r w:rsidR="00811E0E" w:rsidRPr="00E96E9F">
        <w:rPr>
          <w:shd w:val="clear" w:color="auto" w:fill="FFFFFF"/>
          <w:lang w:eastAsia="zh-CN"/>
        </w:rPr>
        <w:t>entered</w:t>
      </w:r>
      <w:r w:rsidR="00F96B2F" w:rsidRPr="00E96E9F">
        <w:rPr>
          <w:shd w:val="clear" w:color="auto" w:fill="FFFFFF"/>
          <w:lang w:eastAsia="zh-CN"/>
        </w:rPr>
        <w:t xml:space="preserve"> </w:t>
      </w:r>
      <w:r w:rsidR="00811E0E" w:rsidRPr="00E96E9F">
        <w:rPr>
          <w:shd w:val="clear" w:color="auto" w:fill="FFFFFF"/>
          <w:lang w:eastAsia="zh-CN"/>
        </w:rPr>
        <w:t>the</w:t>
      </w:r>
      <w:r w:rsidR="00F96B2F" w:rsidRPr="00E96E9F">
        <w:rPr>
          <w:shd w:val="clear" w:color="auto" w:fill="FFFFFF"/>
          <w:lang w:eastAsia="zh-CN"/>
        </w:rPr>
        <w:t xml:space="preserve"> </w:t>
      </w:r>
      <w:r w:rsidR="00811E0E" w:rsidRPr="00E96E9F">
        <w:rPr>
          <w:shd w:val="clear" w:color="auto" w:fill="FFFFFF"/>
          <w:lang w:eastAsia="zh-CN"/>
        </w:rPr>
        <w:t>OLE</w:t>
      </w:r>
      <w:r w:rsidR="00F96B2F" w:rsidRPr="00E96E9F">
        <w:rPr>
          <w:shd w:val="clear" w:color="auto" w:fill="FFFFFF"/>
          <w:lang w:eastAsia="zh-CN"/>
        </w:rPr>
        <w:t xml:space="preserve"> </w:t>
      </w:r>
      <w:r w:rsidR="00811E0E" w:rsidRPr="00E96E9F">
        <w:rPr>
          <w:shd w:val="clear" w:color="auto" w:fill="FFFFFF"/>
          <w:lang w:eastAsia="zh-CN"/>
        </w:rPr>
        <w:t>phase.</w:t>
      </w:r>
      <w:r w:rsidR="00F96B2F" w:rsidRPr="00E96E9F">
        <w:rPr>
          <w:shd w:val="clear" w:color="auto" w:fill="FFFFFF"/>
          <w:lang w:eastAsia="zh-CN"/>
        </w:rPr>
        <w:t xml:space="preserve"> </w:t>
      </w:r>
      <w:r w:rsidR="00811E0E" w:rsidRPr="00E96E9F">
        <w:rPr>
          <w:shd w:val="clear" w:color="auto" w:fill="FFFFFF"/>
          <w:lang w:eastAsia="zh-CN"/>
        </w:rPr>
        <w:t>For</w:t>
      </w:r>
      <w:r w:rsidR="00F96B2F" w:rsidRPr="00E96E9F">
        <w:rPr>
          <w:shd w:val="clear" w:color="auto" w:fill="FFFFFF"/>
          <w:lang w:eastAsia="zh-CN"/>
        </w:rPr>
        <w:t xml:space="preserve"> </w:t>
      </w:r>
      <w:r w:rsidR="00811E0E" w:rsidRPr="00E96E9F">
        <w:rPr>
          <w:shd w:val="clear" w:color="auto" w:fill="FFFFFF"/>
          <w:lang w:eastAsia="zh-CN"/>
        </w:rPr>
        <w:t>Study</w:t>
      </w:r>
      <w:r w:rsidR="00F96B2F" w:rsidRPr="00E96E9F">
        <w:rPr>
          <w:shd w:val="clear" w:color="auto" w:fill="FFFFFF"/>
          <w:lang w:eastAsia="zh-CN"/>
        </w:rPr>
        <w:t xml:space="preserve"> </w:t>
      </w:r>
      <w:r w:rsidR="00811E0E" w:rsidRPr="00E96E9F">
        <w:rPr>
          <w:shd w:val="clear" w:color="auto" w:fill="FFFFFF"/>
          <w:lang w:eastAsia="zh-CN"/>
        </w:rPr>
        <w:t>4004,</w:t>
      </w:r>
      <w:r w:rsidR="00F96B2F" w:rsidRPr="00E96E9F">
        <w:rPr>
          <w:shd w:val="clear" w:color="auto" w:fill="FFFFFF"/>
          <w:lang w:eastAsia="zh-CN"/>
        </w:rPr>
        <w:t xml:space="preserve"> </w:t>
      </w:r>
      <w:r w:rsidR="00811E0E" w:rsidRPr="00E96E9F">
        <w:rPr>
          <w:shd w:val="clear" w:color="auto" w:fill="FFFFFF"/>
          <w:lang w:eastAsia="zh-CN"/>
        </w:rPr>
        <w:t>of</w:t>
      </w:r>
      <w:r w:rsidR="00F96B2F" w:rsidRPr="00E96E9F">
        <w:rPr>
          <w:shd w:val="clear" w:color="auto" w:fill="FFFFFF"/>
          <w:lang w:eastAsia="zh-CN"/>
        </w:rPr>
        <w:t xml:space="preserve"> </w:t>
      </w:r>
      <w:r w:rsidR="00811E0E" w:rsidRPr="00E96E9F">
        <w:rPr>
          <w:shd w:val="clear" w:color="auto" w:fill="FFFFFF"/>
          <w:lang w:eastAsia="zh-CN"/>
        </w:rPr>
        <w:t>53</w:t>
      </w:r>
      <w:r>
        <w:rPr>
          <w:shd w:val="clear" w:color="auto" w:fill="FFFFFF"/>
          <w:lang w:eastAsia="zh-CN"/>
        </w:rPr>
        <w:t xml:space="preserve"> patients</w:t>
      </w:r>
      <w:r w:rsidR="00F96B2F" w:rsidRPr="00E96E9F">
        <w:rPr>
          <w:shd w:val="clear" w:color="auto" w:fill="FFFFFF"/>
          <w:lang w:eastAsia="zh-CN"/>
        </w:rPr>
        <w:t xml:space="preserve"> </w:t>
      </w:r>
      <w:r w:rsidR="00811E0E" w:rsidRPr="00E96E9F">
        <w:rPr>
          <w:shd w:val="clear" w:color="auto" w:fill="FFFFFF"/>
          <w:lang w:eastAsia="zh-CN"/>
        </w:rPr>
        <w:t>who</w:t>
      </w:r>
      <w:r w:rsidR="00F96B2F" w:rsidRPr="00E96E9F">
        <w:rPr>
          <w:shd w:val="clear" w:color="auto" w:fill="FFFFFF"/>
          <w:lang w:eastAsia="zh-CN"/>
        </w:rPr>
        <w:t xml:space="preserve"> </w:t>
      </w:r>
      <w:r w:rsidR="00811E0E" w:rsidRPr="00E96E9F">
        <w:rPr>
          <w:shd w:val="clear" w:color="auto" w:fill="FFFFFF"/>
          <w:lang w:eastAsia="zh-CN"/>
        </w:rPr>
        <w:t>completed</w:t>
      </w:r>
      <w:r w:rsidR="00F96B2F" w:rsidRPr="00E96E9F">
        <w:rPr>
          <w:shd w:val="clear" w:color="auto" w:fill="FFFFFF"/>
          <w:lang w:eastAsia="zh-CN"/>
        </w:rPr>
        <w:t xml:space="preserve"> </w:t>
      </w:r>
      <w:r w:rsidR="00811E0E" w:rsidRPr="00E96E9F">
        <w:rPr>
          <w:shd w:val="clear" w:color="auto" w:fill="FFFFFF"/>
          <w:lang w:eastAsia="zh-CN"/>
        </w:rPr>
        <w:t>the</w:t>
      </w:r>
      <w:r w:rsidR="00F96B2F" w:rsidRPr="00E96E9F">
        <w:rPr>
          <w:shd w:val="clear" w:color="auto" w:fill="FFFFFF"/>
          <w:lang w:eastAsia="zh-CN"/>
        </w:rPr>
        <w:t xml:space="preserve"> </w:t>
      </w:r>
      <w:r w:rsidR="00811E0E" w:rsidRPr="00E96E9F">
        <w:rPr>
          <w:shd w:val="clear" w:color="auto" w:fill="FFFFFF"/>
          <w:lang w:eastAsia="zh-CN"/>
        </w:rPr>
        <w:t>main</w:t>
      </w:r>
      <w:r w:rsidR="00F96B2F" w:rsidRPr="00E96E9F">
        <w:rPr>
          <w:shd w:val="clear" w:color="auto" w:fill="FFFFFF"/>
          <w:lang w:eastAsia="zh-CN"/>
        </w:rPr>
        <w:t xml:space="preserve"> </w:t>
      </w:r>
      <w:r w:rsidR="00811E0E" w:rsidRPr="00E96E9F">
        <w:rPr>
          <w:shd w:val="clear" w:color="auto" w:fill="FFFFFF"/>
          <w:lang w:eastAsia="zh-CN"/>
        </w:rPr>
        <w:t>study,</w:t>
      </w:r>
      <w:r w:rsidR="00F96B2F" w:rsidRPr="00E96E9F">
        <w:rPr>
          <w:shd w:val="clear" w:color="auto" w:fill="FFFFFF"/>
          <w:lang w:eastAsia="zh-CN"/>
        </w:rPr>
        <w:t xml:space="preserve"> </w:t>
      </w:r>
      <w:r w:rsidR="00811E0E" w:rsidRPr="00E96E9F">
        <w:rPr>
          <w:shd w:val="clear" w:color="auto" w:fill="FFFFFF"/>
          <w:lang w:eastAsia="zh-CN"/>
        </w:rPr>
        <w:t>48</w:t>
      </w:r>
      <w:r w:rsidR="00F96B2F" w:rsidRPr="00E96E9F">
        <w:rPr>
          <w:shd w:val="clear" w:color="auto" w:fill="FFFFFF"/>
          <w:lang w:eastAsia="zh-CN"/>
        </w:rPr>
        <w:t xml:space="preserve"> </w:t>
      </w:r>
      <w:r w:rsidR="00811E0E" w:rsidRPr="00E96E9F">
        <w:rPr>
          <w:shd w:val="clear" w:color="auto" w:fill="FFFFFF"/>
          <w:lang w:eastAsia="zh-CN"/>
        </w:rPr>
        <w:t>(90.6%)</w:t>
      </w:r>
      <w:r w:rsidR="00F96B2F" w:rsidRPr="00E96E9F">
        <w:rPr>
          <w:shd w:val="clear" w:color="auto" w:fill="FFFFFF"/>
          <w:lang w:eastAsia="zh-CN"/>
        </w:rPr>
        <w:t xml:space="preserve"> </w:t>
      </w:r>
      <w:r w:rsidR="00811E0E" w:rsidRPr="00E96E9F">
        <w:rPr>
          <w:shd w:val="clear" w:color="auto" w:fill="FFFFFF"/>
          <w:lang w:eastAsia="zh-CN"/>
        </w:rPr>
        <w:t>entered</w:t>
      </w:r>
      <w:r w:rsidR="00F96B2F" w:rsidRPr="00E96E9F">
        <w:rPr>
          <w:shd w:val="clear" w:color="auto" w:fill="FFFFFF"/>
          <w:lang w:eastAsia="zh-CN"/>
        </w:rPr>
        <w:t xml:space="preserve"> </w:t>
      </w:r>
      <w:r w:rsidR="00811E0E" w:rsidRPr="00E96E9F">
        <w:rPr>
          <w:shd w:val="clear" w:color="auto" w:fill="FFFFFF"/>
          <w:lang w:eastAsia="zh-CN"/>
        </w:rPr>
        <w:t>the</w:t>
      </w:r>
      <w:r w:rsidR="00F96B2F" w:rsidRPr="00E96E9F">
        <w:rPr>
          <w:shd w:val="clear" w:color="auto" w:fill="FFFFFF"/>
          <w:lang w:eastAsia="zh-CN"/>
        </w:rPr>
        <w:t xml:space="preserve"> </w:t>
      </w:r>
      <w:r w:rsidR="00811E0E" w:rsidRPr="00E96E9F">
        <w:rPr>
          <w:shd w:val="clear" w:color="auto" w:fill="FFFFFF"/>
          <w:lang w:eastAsia="zh-CN"/>
        </w:rPr>
        <w:t>OLE</w:t>
      </w:r>
      <w:r w:rsidR="00F96B2F" w:rsidRPr="00E96E9F">
        <w:rPr>
          <w:shd w:val="clear" w:color="auto" w:fill="FFFFFF"/>
          <w:lang w:eastAsia="zh-CN"/>
        </w:rPr>
        <w:t xml:space="preserve"> </w:t>
      </w:r>
      <w:r w:rsidR="00811E0E" w:rsidRPr="00E96E9F">
        <w:rPr>
          <w:shd w:val="clear" w:color="auto" w:fill="FFFFFF"/>
          <w:lang w:eastAsia="zh-CN"/>
        </w:rPr>
        <w:t>phase.</w:t>
      </w:r>
      <w:r w:rsidR="00F96B2F" w:rsidRPr="00E96E9F">
        <w:rPr>
          <w:shd w:val="clear" w:color="auto" w:fill="FFFFFF"/>
          <w:lang w:eastAsia="zh-CN"/>
        </w:rPr>
        <w:t xml:space="preserve"> </w:t>
      </w:r>
      <w:r w:rsidR="007E3121" w:rsidRPr="00BF1BFB">
        <w:rPr>
          <w:iCs/>
          <w:shd w:val="clear" w:color="auto" w:fill="FFFFFF"/>
          <w:lang w:eastAsia="zh-CN"/>
        </w:rPr>
        <w:t>These</w:t>
      </w:r>
      <w:r w:rsidR="00F96B2F" w:rsidRPr="00BF1BFB">
        <w:rPr>
          <w:iCs/>
          <w:shd w:val="clear" w:color="auto" w:fill="FFFFFF"/>
          <w:lang w:eastAsia="zh-CN"/>
        </w:rPr>
        <w:t xml:space="preserve"> </w:t>
      </w:r>
      <w:r w:rsidR="007E3121" w:rsidRPr="00BF1BFB">
        <w:rPr>
          <w:iCs/>
          <w:shd w:val="clear" w:color="auto" w:fill="FFFFFF"/>
          <w:lang w:eastAsia="zh-CN"/>
        </w:rPr>
        <w:t>results</w:t>
      </w:r>
      <w:r w:rsidR="00F96B2F" w:rsidRPr="00BF1BFB">
        <w:rPr>
          <w:iCs/>
          <w:shd w:val="clear" w:color="auto" w:fill="FFFFFF"/>
          <w:lang w:eastAsia="zh-CN"/>
        </w:rPr>
        <w:t xml:space="preserve"> </w:t>
      </w:r>
      <w:r w:rsidR="007E3121" w:rsidRPr="00BF1BFB">
        <w:rPr>
          <w:iCs/>
          <w:shd w:val="clear" w:color="auto" w:fill="FFFFFF"/>
          <w:lang w:eastAsia="zh-CN"/>
        </w:rPr>
        <w:t>favoured</w:t>
      </w:r>
      <w:r w:rsidR="00F96B2F" w:rsidRPr="00BF1BFB">
        <w:rPr>
          <w:iCs/>
          <w:shd w:val="clear" w:color="auto" w:fill="FFFFFF"/>
          <w:lang w:eastAsia="zh-CN"/>
        </w:rPr>
        <w:t xml:space="preserve"> </w:t>
      </w:r>
      <w:proofErr w:type="spellStart"/>
      <w:r w:rsidR="007E3121" w:rsidRPr="00BF1BFB">
        <w:rPr>
          <w:iCs/>
          <w:shd w:val="clear" w:color="auto" w:fill="FFFFFF"/>
          <w:lang w:eastAsia="zh-CN"/>
        </w:rPr>
        <w:t>somatrogon</w:t>
      </w:r>
      <w:proofErr w:type="spellEnd"/>
      <w:r w:rsidR="007E3121" w:rsidRPr="00BF1BFB">
        <w:rPr>
          <w:iCs/>
          <w:shd w:val="clear" w:color="auto" w:fill="FFFFFF"/>
          <w:lang w:eastAsia="zh-CN"/>
        </w:rPr>
        <w:t>.</w:t>
      </w:r>
      <w:r w:rsidR="00F96B2F" w:rsidRPr="00BF1BFB">
        <w:rPr>
          <w:iCs/>
          <w:shd w:val="clear" w:color="auto" w:fill="FFFFFF"/>
          <w:lang w:eastAsia="zh-CN"/>
        </w:rPr>
        <w:t xml:space="preserve"> </w:t>
      </w:r>
      <w:r w:rsidR="00811E0E" w:rsidRPr="00BF1BFB">
        <w:rPr>
          <w:iCs/>
          <w:shd w:val="clear" w:color="auto" w:fill="FFFFFF"/>
          <w:lang w:eastAsia="zh-CN"/>
        </w:rPr>
        <w:t>However,</w:t>
      </w:r>
      <w:r w:rsidR="00F96B2F" w:rsidRPr="00BF1BFB">
        <w:rPr>
          <w:iCs/>
          <w:shd w:val="clear" w:color="auto" w:fill="FFFFFF"/>
          <w:lang w:eastAsia="zh-CN"/>
        </w:rPr>
        <w:t xml:space="preserve"> </w:t>
      </w:r>
      <w:r w:rsidR="00811E0E" w:rsidRPr="00BF1BFB">
        <w:rPr>
          <w:iCs/>
          <w:shd w:val="clear" w:color="auto" w:fill="FFFFFF"/>
          <w:lang w:eastAsia="zh-CN"/>
        </w:rPr>
        <w:t>t</w:t>
      </w:r>
      <w:r w:rsidR="00811E0E" w:rsidRPr="00BF1BFB">
        <w:rPr>
          <w:rFonts w:cs="Calibri"/>
          <w:iCs/>
          <w:color w:val="000000"/>
          <w:shd w:val="clear" w:color="auto" w:fill="FFFFFF"/>
          <w:lang w:eastAsia="zh-CN"/>
        </w:rPr>
        <w:t>he</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clinical</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significance</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and</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support</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for</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non-inferiority</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claim</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based</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on</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OLE</w:t>
      </w:r>
      <w:r w:rsidR="002E2E30"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HV</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and</w:t>
      </w:r>
      <w:r w:rsidR="00F96B2F" w:rsidRPr="00BF1BFB">
        <w:rPr>
          <w:rFonts w:cs="Calibri"/>
          <w:iCs/>
          <w:color w:val="000000"/>
          <w:shd w:val="clear" w:color="auto" w:fill="FFFFFF"/>
          <w:lang w:eastAsia="zh-CN"/>
        </w:rPr>
        <w:t xml:space="preserve"> </w:t>
      </w:r>
      <w:r w:rsidR="006533D2" w:rsidRPr="00BF1BFB">
        <w:rPr>
          <w:rFonts w:cs="Calibri"/>
          <w:iCs/>
          <w:color w:val="000000"/>
          <w:shd w:val="clear" w:color="auto" w:fill="FFFFFF"/>
          <w:lang w:eastAsia="zh-CN"/>
        </w:rPr>
        <w:t>h</w:t>
      </w:r>
      <w:r w:rsidR="00811E0E" w:rsidRPr="00BF1BFB">
        <w:rPr>
          <w:rFonts w:cs="Calibri"/>
          <w:iCs/>
          <w:color w:val="000000"/>
          <w:shd w:val="clear" w:color="auto" w:fill="FFFFFF"/>
          <w:lang w:eastAsia="zh-CN"/>
        </w:rPr>
        <w:t>eight</w:t>
      </w:r>
      <w:r w:rsidR="00F96B2F" w:rsidRPr="00BF1BFB">
        <w:rPr>
          <w:rFonts w:cs="Calibri"/>
          <w:iCs/>
          <w:color w:val="000000"/>
          <w:shd w:val="clear" w:color="auto" w:fill="FFFFFF"/>
          <w:lang w:eastAsia="zh-CN"/>
        </w:rPr>
        <w:t xml:space="preserve"> </w:t>
      </w:r>
      <w:r w:rsidR="00DD42E2" w:rsidRPr="00BF1BFB">
        <w:rPr>
          <w:rFonts w:cs="Calibri"/>
          <w:iCs/>
          <w:color w:val="000000"/>
          <w:shd w:val="clear" w:color="auto" w:fill="FFFFFF"/>
          <w:lang w:eastAsia="zh-CN"/>
        </w:rPr>
        <w:t>standard deviation score (</w:t>
      </w:r>
      <w:r w:rsidR="00811E0E" w:rsidRPr="00BF1BFB">
        <w:rPr>
          <w:rFonts w:cs="Calibri"/>
          <w:iCs/>
          <w:color w:val="000000"/>
          <w:shd w:val="clear" w:color="auto" w:fill="FFFFFF"/>
          <w:lang w:eastAsia="zh-CN"/>
        </w:rPr>
        <w:t>SDS</w:t>
      </w:r>
      <w:r w:rsidR="00DD42E2" w:rsidRPr="00BF1BFB">
        <w:rPr>
          <w:rFonts w:cs="Calibri"/>
          <w:iCs/>
          <w:color w:val="000000"/>
          <w:shd w:val="clear" w:color="auto" w:fill="FFFFFF"/>
          <w:lang w:eastAsia="zh-CN"/>
        </w:rPr>
        <w:t>)</w:t>
      </w:r>
      <w:r w:rsidR="00F96B2F" w:rsidRPr="00BF1BFB">
        <w:rPr>
          <w:rFonts w:cs="Calibri"/>
          <w:iCs/>
          <w:color w:val="000000"/>
          <w:shd w:val="clear" w:color="auto" w:fill="FFFFFF"/>
          <w:lang w:eastAsia="zh-CN"/>
        </w:rPr>
        <w:t xml:space="preserve"> </w:t>
      </w:r>
      <w:r w:rsidR="00811E0E" w:rsidRPr="00BF1BFB">
        <w:rPr>
          <w:rFonts w:cs="Calibri"/>
          <w:iCs/>
          <w:color w:val="000000"/>
          <w:shd w:val="clear" w:color="auto" w:fill="FFFFFF"/>
          <w:lang w:eastAsia="zh-CN"/>
        </w:rPr>
        <w:t>outcomes</w:t>
      </w:r>
      <w:r w:rsidR="00F96B2F" w:rsidRPr="00BF1BFB">
        <w:rPr>
          <w:rFonts w:cs="Calibri"/>
          <w:iCs/>
          <w:color w:val="000000"/>
          <w:shd w:val="clear" w:color="auto" w:fill="FFFFFF"/>
          <w:lang w:eastAsia="zh-CN"/>
        </w:rPr>
        <w:t xml:space="preserve"> </w:t>
      </w:r>
      <w:r>
        <w:rPr>
          <w:rFonts w:cs="Calibri"/>
          <w:iCs/>
          <w:color w:val="000000"/>
          <w:shd w:val="clear" w:color="auto" w:fill="FFFFFF"/>
          <w:lang w:eastAsia="zh-CN"/>
        </w:rPr>
        <w:t>wa</w:t>
      </w:r>
      <w:r w:rsidRPr="00BF1BFB">
        <w:rPr>
          <w:rFonts w:cs="Calibri"/>
          <w:iCs/>
          <w:color w:val="000000"/>
          <w:shd w:val="clear" w:color="auto" w:fill="FFFFFF"/>
          <w:lang w:eastAsia="zh-CN"/>
        </w:rPr>
        <w:t xml:space="preserve">s </w:t>
      </w:r>
      <w:r w:rsidR="00811E0E" w:rsidRPr="00BF1BFB">
        <w:rPr>
          <w:rFonts w:cs="Calibri"/>
          <w:iCs/>
          <w:color w:val="000000"/>
          <w:shd w:val="clear" w:color="auto" w:fill="FFFFFF"/>
          <w:lang w:eastAsia="zh-CN"/>
        </w:rPr>
        <w:t>unclear.</w:t>
      </w:r>
    </w:p>
    <w:p w14:paraId="0F721E96" w14:textId="70C813C2" w:rsidR="00811E0E" w:rsidRPr="00C70843" w:rsidRDefault="00811E0E" w:rsidP="00811E0E">
      <w:pPr>
        <w:pStyle w:val="3-BodyText"/>
        <w:rPr>
          <w:iCs/>
          <w:color w:val="0066FF"/>
        </w:rPr>
      </w:pP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primary</w:t>
      </w:r>
      <w:r w:rsidR="00F96B2F" w:rsidRPr="00E96E9F">
        <w:rPr>
          <w:shd w:val="clear" w:color="auto" w:fill="FFFFFF"/>
          <w:lang w:eastAsia="zh-CN"/>
        </w:rPr>
        <w:t xml:space="preserve"> </w:t>
      </w:r>
      <w:r w:rsidRPr="00E96E9F">
        <w:rPr>
          <w:shd w:val="clear" w:color="auto" w:fill="FFFFFF"/>
          <w:lang w:eastAsia="zh-CN"/>
        </w:rPr>
        <w:t>endpoint</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1002</w:t>
      </w:r>
      <w:r w:rsidR="00F96B2F" w:rsidRPr="00E96E9F">
        <w:rPr>
          <w:shd w:val="clear" w:color="auto" w:fill="FFFFFF"/>
          <w:lang w:eastAsia="zh-CN"/>
        </w:rPr>
        <w:t xml:space="preserve"> </w:t>
      </w:r>
      <w:r w:rsidRPr="00E96E9F">
        <w:rPr>
          <w:shd w:val="clear" w:color="auto" w:fill="FFFFFF"/>
          <w:lang w:eastAsia="zh-CN"/>
        </w:rPr>
        <w:t>was</w:t>
      </w:r>
      <w:r w:rsidR="00F96B2F" w:rsidRPr="00E96E9F">
        <w:rPr>
          <w:shd w:val="clear" w:color="auto" w:fill="FFFFFF"/>
          <w:lang w:eastAsia="zh-CN"/>
        </w:rPr>
        <w:t xml:space="preserve"> </w:t>
      </w:r>
      <w:r w:rsidRPr="00E96E9F">
        <w:rPr>
          <w:shd w:val="clear" w:color="auto" w:fill="FFFFFF"/>
          <w:lang w:eastAsia="zh-CN"/>
        </w:rPr>
        <w:t>treatment</w:t>
      </w:r>
      <w:r w:rsidR="00F96B2F" w:rsidRPr="00E96E9F">
        <w:rPr>
          <w:shd w:val="clear" w:color="auto" w:fill="FFFFFF"/>
          <w:lang w:eastAsia="zh-CN"/>
        </w:rPr>
        <w:t xml:space="preserve"> </w:t>
      </w:r>
      <w:r w:rsidRPr="00E96E9F">
        <w:rPr>
          <w:shd w:val="clear" w:color="auto" w:fill="FFFFFF"/>
          <w:lang w:eastAsia="zh-CN"/>
        </w:rPr>
        <w:t>burden,</w:t>
      </w:r>
      <w:r w:rsidR="00F96B2F" w:rsidRPr="00E96E9F">
        <w:rPr>
          <w:shd w:val="clear" w:color="auto" w:fill="FFFFFF"/>
          <w:lang w:eastAsia="zh-CN"/>
        </w:rPr>
        <w:t xml:space="preserve"> </w:t>
      </w:r>
      <w:r w:rsidRPr="00E96E9F">
        <w:rPr>
          <w:shd w:val="clear" w:color="auto" w:fill="FFFFFF"/>
          <w:lang w:eastAsia="zh-CN"/>
        </w:rPr>
        <w:t>assessed</w:t>
      </w:r>
      <w:r w:rsidR="00F96B2F" w:rsidRPr="00E96E9F">
        <w:rPr>
          <w:shd w:val="clear" w:color="auto" w:fill="FFFFFF"/>
          <w:lang w:eastAsia="zh-CN"/>
        </w:rPr>
        <w:t xml:space="preserve"> </w:t>
      </w:r>
      <w:r w:rsidRPr="00E96E9F">
        <w:rPr>
          <w:shd w:val="clear" w:color="auto" w:fill="FFFFFF"/>
          <w:lang w:eastAsia="zh-CN"/>
        </w:rPr>
        <w:t>using</w:t>
      </w:r>
      <w:r w:rsidR="00F96B2F" w:rsidRPr="00E96E9F">
        <w:rPr>
          <w:shd w:val="clear" w:color="auto" w:fill="FFFFFF"/>
          <w:lang w:eastAsia="zh-CN"/>
        </w:rPr>
        <w:t xml:space="preserve"> </w:t>
      </w: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Patient</w:t>
      </w:r>
      <w:r w:rsidR="00F96B2F" w:rsidRPr="00E96E9F">
        <w:rPr>
          <w:shd w:val="clear" w:color="auto" w:fill="FFFFFF"/>
          <w:lang w:eastAsia="zh-CN"/>
        </w:rPr>
        <w:t xml:space="preserve"> </w:t>
      </w:r>
      <w:r w:rsidRPr="00E96E9F">
        <w:rPr>
          <w:shd w:val="clear" w:color="auto" w:fill="FFFFFF"/>
          <w:lang w:eastAsia="zh-CN"/>
        </w:rPr>
        <w:t>Life</w:t>
      </w:r>
      <w:r w:rsidR="00F96B2F" w:rsidRPr="00E96E9F">
        <w:rPr>
          <w:shd w:val="clear" w:color="auto" w:fill="FFFFFF"/>
          <w:lang w:eastAsia="zh-CN"/>
        </w:rPr>
        <w:t xml:space="preserve"> </w:t>
      </w:r>
      <w:r w:rsidRPr="00E96E9F">
        <w:rPr>
          <w:shd w:val="clear" w:color="auto" w:fill="FFFFFF"/>
          <w:lang w:eastAsia="zh-CN"/>
        </w:rPr>
        <w:t>Interference</w:t>
      </w:r>
      <w:r w:rsidR="00F96B2F" w:rsidRPr="00E96E9F">
        <w:rPr>
          <w:shd w:val="clear" w:color="auto" w:fill="FFFFFF"/>
          <w:lang w:eastAsia="zh-CN"/>
        </w:rPr>
        <w:t xml:space="preserve"> </w:t>
      </w:r>
      <w:r w:rsidRPr="00E96E9F">
        <w:rPr>
          <w:shd w:val="clear" w:color="auto" w:fill="FFFFFF"/>
          <w:lang w:eastAsia="zh-CN"/>
        </w:rPr>
        <w:t>Questionnaire</w:t>
      </w:r>
      <w:r w:rsidR="00F96B2F" w:rsidRPr="00E96E9F">
        <w:rPr>
          <w:shd w:val="clear" w:color="auto" w:fill="FFFFFF"/>
          <w:lang w:eastAsia="zh-CN"/>
        </w:rPr>
        <w:t xml:space="preserve"> </w:t>
      </w:r>
      <w:r w:rsidRPr="00E96E9F">
        <w:rPr>
          <w:shd w:val="clear" w:color="auto" w:fill="FFFFFF"/>
          <w:lang w:eastAsia="zh-CN"/>
        </w:rPr>
        <w:t>component</w:t>
      </w:r>
      <w:r w:rsidR="00F96B2F" w:rsidRPr="00E96E9F">
        <w:rPr>
          <w:shd w:val="clear" w:color="auto" w:fill="FFFFFF"/>
          <w:lang w:eastAsia="zh-CN"/>
        </w:rPr>
        <w:t xml:space="preserve"> </w:t>
      </w:r>
      <w:r w:rsidRPr="00E96E9F">
        <w:rPr>
          <w:shd w:val="clear" w:color="auto" w:fill="FFFFFF"/>
          <w:lang w:eastAsia="zh-CN"/>
        </w:rPr>
        <w:t>of</w:t>
      </w:r>
      <w:r w:rsidR="00FD2117" w:rsidRPr="00E96E9F">
        <w:rPr>
          <w:lang w:eastAsia="zh-CN"/>
        </w:rPr>
        <w:t xml:space="preserve"> the Dyad Clinical Outcomes Assessment</w:t>
      </w:r>
      <w:r w:rsidR="00826D51" w:rsidRPr="00E96E9F">
        <w:rPr>
          <w:lang w:eastAsia="zh-CN"/>
        </w:rPr>
        <w:t xml:space="preserve"> </w:t>
      </w:r>
      <w:r w:rsidR="00FD2117" w:rsidRPr="00E96E9F">
        <w:rPr>
          <w:lang w:eastAsia="zh-CN"/>
        </w:rPr>
        <w:t>1 (</w:t>
      </w:r>
      <w:r w:rsidRPr="00E96E9F">
        <w:rPr>
          <w:shd w:val="clear" w:color="auto" w:fill="FFFFFF"/>
          <w:lang w:eastAsia="zh-CN"/>
        </w:rPr>
        <w:t>DCOA</w:t>
      </w:r>
      <w:r w:rsidR="00F96B2F" w:rsidRPr="00E96E9F">
        <w:rPr>
          <w:shd w:val="clear" w:color="auto" w:fill="FFFFFF"/>
          <w:lang w:eastAsia="zh-CN"/>
        </w:rPr>
        <w:t xml:space="preserve"> </w:t>
      </w:r>
      <w:r w:rsidRPr="00E96E9F">
        <w:rPr>
          <w:shd w:val="clear" w:color="auto" w:fill="FFFFFF"/>
          <w:lang w:eastAsia="zh-CN"/>
        </w:rPr>
        <w:t>1</w:t>
      </w:r>
      <w:r w:rsidR="00FD2117" w:rsidRPr="00E96E9F">
        <w:rPr>
          <w:lang w:eastAsia="zh-CN"/>
        </w:rPr>
        <w:t>)</w:t>
      </w:r>
      <w:r w:rsidRPr="00E96E9F">
        <w:rPr>
          <w:shd w:val="clear" w:color="auto" w:fill="FFFFFF"/>
          <w:lang w:eastAsia="zh-CN"/>
        </w:rPr>
        <w:t>.</w:t>
      </w:r>
      <w:r w:rsidR="00F96B2F" w:rsidRPr="00E96E9F">
        <w:rPr>
          <w:shd w:val="clear" w:color="auto" w:fill="FFFFFF"/>
          <w:lang w:eastAsia="zh-CN"/>
        </w:rPr>
        <w:t xml:space="preserve"> </w:t>
      </w:r>
      <w:r w:rsidRPr="00E96E9F">
        <w:rPr>
          <w:shd w:val="clear" w:color="auto" w:fill="FFFFFF"/>
          <w:lang w:eastAsia="zh-CN"/>
        </w:rPr>
        <w:t>This</w:t>
      </w:r>
      <w:r w:rsidR="00F96B2F" w:rsidRPr="00E96E9F">
        <w:rPr>
          <w:shd w:val="clear" w:color="auto" w:fill="FFFFFF"/>
          <w:lang w:eastAsia="zh-CN"/>
        </w:rPr>
        <w:t xml:space="preserve"> </w:t>
      </w:r>
      <w:r w:rsidRPr="00E96E9F">
        <w:rPr>
          <w:shd w:val="clear" w:color="auto" w:fill="FFFFFF"/>
          <w:lang w:eastAsia="zh-CN"/>
        </w:rPr>
        <w:t>was</w:t>
      </w:r>
      <w:r w:rsidR="00F96B2F" w:rsidRPr="00E96E9F">
        <w:rPr>
          <w:shd w:val="clear" w:color="auto" w:fill="FFFFFF"/>
          <w:lang w:eastAsia="zh-CN"/>
        </w:rPr>
        <w:t xml:space="preserve"> </w:t>
      </w:r>
      <w:r w:rsidRPr="00E96E9F">
        <w:rPr>
          <w:shd w:val="clear" w:color="auto" w:fill="FFFFFF"/>
          <w:lang w:eastAsia="zh-CN"/>
        </w:rPr>
        <w:t>completed</w:t>
      </w:r>
      <w:r w:rsidR="00F96B2F" w:rsidRPr="00E96E9F">
        <w:rPr>
          <w:shd w:val="clear" w:color="auto" w:fill="FFFFFF"/>
          <w:lang w:eastAsia="zh-CN"/>
        </w:rPr>
        <w:t xml:space="preserve"> </w:t>
      </w:r>
      <w:r w:rsidRPr="00E96E9F">
        <w:rPr>
          <w:shd w:val="clear" w:color="auto" w:fill="FFFFFF"/>
          <w:lang w:eastAsia="zh-CN"/>
        </w:rPr>
        <w:t>by</w:t>
      </w:r>
      <w:r w:rsidR="00F96B2F" w:rsidRPr="00E96E9F">
        <w:rPr>
          <w:shd w:val="clear" w:color="auto" w:fill="FFFFFF"/>
          <w:lang w:eastAsia="zh-CN"/>
        </w:rPr>
        <w:t xml:space="preserve"> </w:t>
      </w: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participant/caregiver</w:t>
      </w:r>
      <w:r w:rsidR="00571348">
        <w:rPr>
          <w:shd w:val="clear" w:color="auto" w:fill="FFFFFF"/>
          <w:lang w:eastAsia="zh-CN"/>
        </w:rPr>
        <w:t>,</w:t>
      </w:r>
      <w:r w:rsidR="00F96B2F" w:rsidRPr="00E96E9F">
        <w:rPr>
          <w:shd w:val="clear" w:color="auto" w:fill="FFFFFF"/>
          <w:lang w:eastAsia="zh-CN"/>
        </w:rPr>
        <w:t xml:space="preserve"> </w:t>
      </w:r>
      <w:r w:rsidRPr="00E96E9F">
        <w:rPr>
          <w:shd w:val="clear" w:color="auto" w:fill="FFFFFF"/>
          <w:lang w:eastAsia="zh-CN"/>
        </w:rPr>
        <w:t>consisted</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7</w:t>
      </w:r>
      <w:r w:rsidR="00F96B2F" w:rsidRPr="00E96E9F">
        <w:rPr>
          <w:shd w:val="clear" w:color="auto" w:fill="FFFFFF"/>
          <w:lang w:eastAsia="zh-CN"/>
        </w:rPr>
        <w:t xml:space="preserve"> </w:t>
      </w:r>
      <w:proofErr w:type="gramStart"/>
      <w:r w:rsidRPr="00E96E9F">
        <w:rPr>
          <w:shd w:val="clear" w:color="auto" w:fill="FFFFFF"/>
          <w:lang w:eastAsia="zh-CN"/>
        </w:rPr>
        <w:t>questions</w:t>
      </w:r>
      <w:proofErr w:type="gramEnd"/>
      <w:r w:rsidR="00F96B2F" w:rsidRPr="00E96E9F">
        <w:rPr>
          <w:shd w:val="clear" w:color="auto" w:fill="FFFFFF"/>
          <w:lang w:eastAsia="zh-CN"/>
        </w:rPr>
        <w:t xml:space="preserve"> </w:t>
      </w:r>
      <w:r w:rsidRPr="00E96E9F">
        <w:rPr>
          <w:shd w:val="clear" w:color="auto" w:fill="FFFFFF"/>
          <w:lang w:eastAsia="zh-CN"/>
        </w:rPr>
        <w:t>and</w:t>
      </w:r>
      <w:r w:rsidR="00F96B2F" w:rsidRPr="00E96E9F">
        <w:rPr>
          <w:shd w:val="clear" w:color="auto" w:fill="FFFFFF"/>
          <w:lang w:eastAsia="zh-CN"/>
        </w:rPr>
        <w:t xml:space="preserve"> </w:t>
      </w:r>
      <w:r w:rsidRPr="00E96E9F">
        <w:rPr>
          <w:shd w:val="clear" w:color="auto" w:fill="FFFFFF"/>
          <w:lang w:eastAsia="zh-CN"/>
        </w:rPr>
        <w:t>used</w:t>
      </w:r>
      <w:r w:rsidR="00F96B2F" w:rsidRPr="00E96E9F">
        <w:rPr>
          <w:shd w:val="clear" w:color="auto" w:fill="FFFFFF"/>
          <w:lang w:eastAsia="zh-CN"/>
        </w:rPr>
        <w:t xml:space="preserve"> </w:t>
      </w:r>
      <w:r w:rsidRPr="00E96E9F">
        <w:rPr>
          <w:shd w:val="clear" w:color="auto" w:fill="FFFFFF"/>
          <w:lang w:eastAsia="zh-CN"/>
        </w:rPr>
        <w:t>a</w:t>
      </w:r>
      <w:r w:rsidR="00F96B2F" w:rsidRPr="00E96E9F">
        <w:rPr>
          <w:shd w:val="clear" w:color="auto" w:fill="FFFFFF"/>
          <w:lang w:eastAsia="zh-CN"/>
        </w:rPr>
        <w:t xml:space="preserve"> </w:t>
      </w:r>
      <w:r w:rsidRPr="00E96E9F">
        <w:rPr>
          <w:shd w:val="clear" w:color="auto" w:fill="FFFFFF"/>
          <w:lang w:eastAsia="zh-CN"/>
        </w:rPr>
        <w:t>5-point</w:t>
      </w:r>
      <w:r w:rsidR="00F96B2F" w:rsidRPr="00E96E9F">
        <w:rPr>
          <w:shd w:val="clear" w:color="auto" w:fill="FFFFFF"/>
          <w:lang w:eastAsia="zh-CN"/>
        </w:rPr>
        <w:t xml:space="preserve"> </w:t>
      </w:r>
      <w:r w:rsidRPr="00E96E9F">
        <w:rPr>
          <w:shd w:val="clear" w:color="auto" w:fill="FFFFFF"/>
          <w:lang w:eastAsia="zh-CN"/>
        </w:rPr>
        <w:t>scale</w:t>
      </w:r>
      <w:r w:rsidR="00F96B2F" w:rsidRPr="00E96E9F">
        <w:rPr>
          <w:shd w:val="clear" w:color="auto" w:fill="FFFFFF"/>
          <w:lang w:eastAsia="zh-CN"/>
        </w:rPr>
        <w:t xml:space="preserve"> </w:t>
      </w:r>
      <w:r w:rsidRPr="00E96E9F">
        <w:rPr>
          <w:shd w:val="clear" w:color="auto" w:fill="FFFFFF"/>
          <w:lang w:eastAsia="zh-CN"/>
        </w:rPr>
        <w:t>ranging</w:t>
      </w:r>
      <w:r w:rsidR="00F96B2F" w:rsidRPr="00E96E9F">
        <w:rPr>
          <w:shd w:val="clear" w:color="auto" w:fill="FFFFFF"/>
          <w:lang w:eastAsia="zh-CN"/>
        </w:rPr>
        <w:t xml:space="preserve"> </w:t>
      </w:r>
      <w:r w:rsidRPr="00E96E9F">
        <w:rPr>
          <w:shd w:val="clear" w:color="auto" w:fill="FFFFFF"/>
          <w:lang w:eastAsia="zh-CN"/>
        </w:rPr>
        <w:t>from</w:t>
      </w:r>
      <w:r w:rsidR="00F96B2F" w:rsidRPr="00E96E9F">
        <w:rPr>
          <w:shd w:val="clear" w:color="auto" w:fill="FFFFFF"/>
          <w:lang w:eastAsia="zh-CN"/>
        </w:rPr>
        <w:t xml:space="preserve"> </w:t>
      </w:r>
      <w:r w:rsidRPr="00E96E9F">
        <w:rPr>
          <w:shd w:val="clear" w:color="auto" w:fill="FFFFFF"/>
          <w:lang w:eastAsia="zh-CN"/>
        </w:rPr>
        <w:t>never</w:t>
      </w:r>
      <w:r w:rsidR="00F96B2F" w:rsidRPr="00E96E9F">
        <w:rPr>
          <w:shd w:val="clear" w:color="auto" w:fill="FFFFFF"/>
          <w:lang w:eastAsia="zh-CN"/>
        </w:rPr>
        <w:t xml:space="preserve"> </w:t>
      </w:r>
      <w:r w:rsidRPr="00E96E9F">
        <w:rPr>
          <w:shd w:val="clear" w:color="auto" w:fill="FFFFFF"/>
          <w:lang w:eastAsia="zh-CN"/>
        </w:rPr>
        <w:t>(1)</w:t>
      </w:r>
      <w:r w:rsidR="00F96B2F" w:rsidRPr="00E96E9F">
        <w:rPr>
          <w:shd w:val="clear" w:color="auto" w:fill="FFFFFF"/>
          <w:lang w:eastAsia="zh-CN"/>
        </w:rPr>
        <w:t xml:space="preserve"> </w:t>
      </w:r>
      <w:r w:rsidRPr="00E96E9F">
        <w:rPr>
          <w:shd w:val="clear" w:color="auto" w:fill="FFFFFF"/>
          <w:lang w:eastAsia="zh-CN"/>
        </w:rPr>
        <w:t>to</w:t>
      </w:r>
      <w:r w:rsidR="00F96B2F" w:rsidRPr="00E96E9F">
        <w:rPr>
          <w:shd w:val="clear" w:color="auto" w:fill="FFFFFF"/>
          <w:lang w:eastAsia="zh-CN"/>
        </w:rPr>
        <w:t xml:space="preserve"> </w:t>
      </w:r>
      <w:r w:rsidRPr="00E96E9F">
        <w:rPr>
          <w:shd w:val="clear" w:color="auto" w:fill="FFFFFF"/>
          <w:lang w:eastAsia="zh-CN"/>
        </w:rPr>
        <w:t>always</w:t>
      </w:r>
      <w:r w:rsidR="00F96B2F" w:rsidRPr="00E96E9F">
        <w:rPr>
          <w:shd w:val="clear" w:color="auto" w:fill="FFFFFF"/>
          <w:lang w:eastAsia="zh-CN"/>
        </w:rPr>
        <w:t xml:space="preserve"> </w:t>
      </w:r>
      <w:r w:rsidRPr="00E96E9F">
        <w:rPr>
          <w:shd w:val="clear" w:color="auto" w:fill="FFFFFF"/>
          <w:lang w:eastAsia="zh-CN"/>
        </w:rPr>
        <w:t>(5).</w:t>
      </w:r>
      <w:r w:rsidR="00F96B2F" w:rsidRPr="00E96E9F">
        <w:rPr>
          <w:shd w:val="clear" w:color="auto" w:fill="FFFFFF"/>
          <w:lang w:eastAsia="zh-CN"/>
        </w:rPr>
        <w:t xml:space="preserve"> </w:t>
      </w:r>
      <w:r w:rsidRPr="00BF1BFB">
        <w:rPr>
          <w:iCs/>
          <w:shd w:val="clear" w:color="auto" w:fill="FFFFFF"/>
          <w:lang w:eastAsia="zh-CN"/>
        </w:rPr>
        <w:t>This</w:t>
      </w:r>
      <w:r w:rsidR="00F96B2F" w:rsidRPr="00BF1BFB">
        <w:rPr>
          <w:iCs/>
          <w:shd w:val="clear" w:color="auto" w:fill="FFFFFF"/>
          <w:lang w:eastAsia="zh-CN"/>
        </w:rPr>
        <w:t xml:space="preserve"> </w:t>
      </w:r>
      <w:r w:rsidRPr="00BF1BFB">
        <w:rPr>
          <w:iCs/>
          <w:shd w:val="clear" w:color="auto" w:fill="FFFFFF"/>
          <w:lang w:eastAsia="zh-CN"/>
        </w:rPr>
        <w:t>questionnaire</w:t>
      </w:r>
      <w:r w:rsidR="00F96B2F" w:rsidRPr="00BF1BFB">
        <w:rPr>
          <w:iCs/>
          <w:shd w:val="clear" w:color="auto" w:fill="FFFFFF"/>
          <w:lang w:eastAsia="zh-CN"/>
        </w:rPr>
        <w:t xml:space="preserve"> </w:t>
      </w:r>
      <w:r w:rsidR="0012188F">
        <w:rPr>
          <w:iCs/>
          <w:shd w:val="clear" w:color="auto" w:fill="FFFFFF"/>
          <w:lang w:eastAsia="zh-CN"/>
        </w:rPr>
        <w:t>wa</w:t>
      </w:r>
      <w:r w:rsidR="0012188F" w:rsidRPr="00BF1BFB">
        <w:rPr>
          <w:iCs/>
          <w:shd w:val="clear" w:color="auto" w:fill="FFFFFF"/>
          <w:lang w:eastAsia="zh-CN"/>
        </w:rPr>
        <w:t xml:space="preserve">s </w:t>
      </w:r>
      <w:r w:rsidRPr="00BF1BFB">
        <w:rPr>
          <w:iCs/>
          <w:shd w:val="clear" w:color="auto" w:fill="FFFFFF"/>
          <w:lang w:eastAsia="zh-CN"/>
        </w:rPr>
        <w:t>validated</w:t>
      </w:r>
      <w:r w:rsidR="00F96B2F" w:rsidRPr="00BF1BFB">
        <w:rPr>
          <w:iCs/>
          <w:shd w:val="clear" w:color="auto" w:fill="FFFFFF"/>
          <w:lang w:eastAsia="zh-CN"/>
        </w:rPr>
        <w:t xml:space="preserve"> </w:t>
      </w:r>
      <w:r w:rsidRPr="00BF1BFB">
        <w:rPr>
          <w:iCs/>
          <w:shd w:val="clear" w:color="auto" w:fill="FFFFFF"/>
          <w:lang w:eastAsia="zh-CN"/>
        </w:rPr>
        <w:t>for</w:t>
      </w:r>
      <w:r w:rsidR="00F96B2F" w:rsidRPr="00BF1BFB">
        <w:rPr>
          <w:iCs/>
          <w:shd w:val="clear" w:color="auto" w:fill="FFFFFF"/>
          <w:lang w:eastAsia="zh-CN"/>
        </w:rPr>
        <w:t xml:space="preserve"> </w:t>
      </w:r>
      <w:r w:rsidRPr="00BF1BFB">
        <w:rPr>
          <w:iCs/>
          <w:shd w:val="clear" w:color="auto" w:fill="FFFFFF"/>
          <w:lang w:eastAsia="zh-CN"/>
        </w:rPr>
        <w:t>use</w:t>
      </w:r>
      <w:r w:rsidR="00F96B2F" w:rsidRPr="00BF1BFB">
        <w:rPr>
          <w:iCs/>
          <w:shd w:val="clear" w:color="auto" w:fill="FFFFFF"/>
          <w:lang w:eastAsia="zh-CN"/>
        </w:rPr>
        <w:t xml:space="preserve"> </w:t>
      </w:r>
      <w:r w:rsidRPr="00BF1BFB">
        <w:rPr>
          <w:iCs/>
          <w:shd w:val="clear" w:color="auto" w:fill="FFFFFF"/>
          <w:lang w:eastAsia="zh-CN"/>
        </w:rPr>
        <w:t>among</w:t>
      </w:r>
      <w:r w:rsidR="00F96B2F" w:rsidRPr="00BF1BFB">
        <w:rPr>
          <w:iCs/>
          <w:shd w:val="clear" w:color="auto" w:fill="FFFFFF"/>
          <w:lang w:eastAsia="zh-CN"/>
        </w:rPr>
        <w:t xml:space="preserve"> </w:t>
      </w:r>
      <w:r w:rsidRPr="00BF1BFB">
        <w:rPr>
          <w:iCs/>
          <w:shd w:val="clear" w:color="auto" w:fill="FFFFFF"/>
          <w:lang w:eastAsia="zh-CN"/>
        </w:rPr>
        <w:t>children</w:t>
      </w:r>
      <w:r w:rsidR="00F96B2F" w:rsidRPr="00BF1BFB">
        <w:rPr>
          <w:iCs/>
          <w:shd w:val="clear" w:color="auto" w:fill="FFFFFF"/>
          <w:lang w:eastAsia="zh-CN"/>
        </w:rPr>
        <w:t xml:space="preserve"> </w:t>
      </w:r>
      <w:r w:rsidRPr="00BF1BFB">
        <w:rPr>
          <w:iCs/>
          <w:shd w:val="clear" w:color="auto" w:fill="FFFFFF"/>
          <w:lang w:eastAsia="zh-CN"/>
        </w:rPr>
        <w:t>with</w:t>
      </w:r>
      <w:r w:rsidR="00F96B2F" w:rsidRPr="00BF1BFB">
        <w:rPr>
          <w:iCs/>
          <w:shd w:val="clear" w:color="auto" w:fill="FFFFFF"/>
          <w:lang w:eastAsia="zh-CN"/>
        </w:rPr>
        <w:t xml:space="preserve"> </w:t>
      </w:r>
      <w:r w:rsidRPr="00BF1BFB">
        <w:rPr>
          <w:iCs/>
          <w:shd w:val="clear" w:color="auto" w:fill="FFFFFF"/>
          <w:lang w:eastAsia="zh-CN"/>
        </w:rPr>
        <w:t>GHD</w:t>
      </w:r>
      <w:r w:rsidR="00073D11">
        <w:rPr>
          <w:iCs/>
          <w:shd w:val="clear" w:color="auto" w:fill="FFFFFF"/>
          <w:lang w:eastAsia="zh-CN"/>
        </w:rPr>
        <w:t>; however,</w:t>
      </w:r>
      <w:r w:rsidR="00F96B2F" w:rsidRPr="00BF1BFB">
        <w:rPr>
          <w:iCs/>
          <w:shd w:val="clear" w:color="auto" w:fill="FFFFFF"/>
          <w:lang w:eastAsia="zh-CN"/>
        </w:rPr>
        <w:t xml:space="preserve"> </w:t>
      </w:r>
      <w:r w:rsidRPr="00BF1BFB">
        <w:rPr>
          <w:iCs/>
          <w:shd w:val="clear" w:color="auto" w:fill="FFFFFF"/>
          <w:lang w:eastAsia="zh-CN"/>
        </w:rPr>
        <w:t>us</w:t>
      </w:r>
      <w:r w:rsidR="00DD42E2" w:rsidRPr="00BF1BFB">
        <w:rPr>
          <w:iCs/>
          <w:shd w:val="clear" w:color="auto" w:fill="FFFFFF"/>
          <w:lang w:eastAsia="zh-CN"/>
        </w:rPr>
        <w:t>ing</w:t>
      </w:r>
      <w:r w:rsidR="00F96B2F" w:rsidRPr="00BF1BFB">
        <w:rPr>
          <w:iCs/>
          <w:shd w:val="clear" w:color="auto" w:fill="FFFFFF"/>
          <w:lang w:eastAsia="zh-CN"/>
        </w:rPr>
        <w:t xml:space="preserve"> </w:t>
      </w:r>
      <w:r w:rsidRPr="00BF1BFB">
        <w:rPr>
          <w:iCs/>
          <w:shd w:val="clear" w:color="auto" w:fill="FFFFFF"/>
          <w:lang w:eastAsia="zh-CN"/>
        </w:rPr>
        <w:t>a</w:t>
      </w:r>
      <w:r w:rsidR="00F96B2F" w:rsidRPr="00BF1BFB">
        <w:rPr>
          <w:iCs/>
          <w:shd w:val="clear" w:color="auto" w:fill="FFFFFF"/>
          <w:lang w:eastAsia="zh-CN"/>
        </w:rPr>
        <w:t xml:space="preserve"> </w:t>
      </w:r>
      <w:r w:rsidRPr="00BF1BFB">
        <w:rPr>
          <w:iCs/>
          <w:shd w:val="clear" w:color="auto" w:fill="FFFFFF"/>
          <w:lang w:eastAsia="zh-CN"/>
        </w:rPr>
        <w:t>subjective</w:t>
      </w:r>
      <w:r w:rsidR="00F96B2F" w:rsidRPr="00BF1BFB">
        <w:rPr>
          <w:iCs/>
          <w:shd w:val="clear" w:color="auto" w:fill="FFFFFF"/>
          <w:lang w:eastAsia="zh-CN"/>
        </w:rPr>
        <w:t xml:space="preserve"> </w:t>
      </w:r>
      <w:r w:rsidRPr="00BF1BFB">
        <w:rPr>
          <w:iCs/>
          <w:shd w:val="clear" w:color="auto" w:fill="FFFFFF"/>
          <w:lang w:eastAsia="zh-CN"/>
        </w:rPr>
        <w:t>outcome</w:t>
      </w:r>
      <w:r w:rsidR="00F96B2F" w:rsidRPr="00BF1BFB">
        <w:rPr>
          <w:iCs/>
          <w:shd w:val="clear" w:color="auto" w:fill="FFFFFF"/>
          <w:lang w:eastAsia="zh-CN"/>
        </w:rPr>
        <w:t xml:space="preserve"> </w:t>
      </w:r>
      <w:r w:rsidRPr="00BF1BFB">
        <w:rPr>
          <w:iCs/>
          <w:shd w:val="clear" w:color="auto" w:fill="FFFFFF"/>
          <w:lang w:eastAsia="zh-CN"/>
        </w:rPr>
        <w:t>in</w:t>
      </w:r>
      <w:r w:rsidR="00F96B2F" w:rsidRPr="00BF1BFB">
        <w:rPr>
          <w:iCs/>
          <w:shd w:val="clear" w:color="auto" w:fill="FFFFFF"/>
          <w:lang w:eastAsia="zh-CN"/>
        </w:rPr>
        <w:t xml:space="preserve"> </w:t>
      </w:r>
      <w:r w:rsidRPr="00BF1BFB">
        <w:rPr>
          <w:iCs/>
          <w:shd w:val="clear" w:color="auto" w:fill="FFFFFF"/>
          <w:lang w:eastAsia="zh-CN"/>
        </w:rPr>
        <w:t>an</w:t>
      </w:r>
      <w:r w:rsidR="00F96B2F" w:rsidRPr="00BF1BFB">
        <w:rPr>
          <w:iCs/>
          <w:shd w:val="clear" w:color="auto" w:fill="FFFFFF"/>
          <w:lang w:eastAsia="zh-CN"/>
        </w:rPr>
        <w:t xml:space="preserve"> </w:t>
      </w:r>
      <w:r w:rsidRPr="00BF1BFB">
        <w:rPr>
          <w:iCs/>
          <w:shd w:val="clear" w:color="auto" w:fill="FFFFFF"/>
          <w:lang w:eastAsia="zh-CN"/>
        </w:rPr>
        <w:t>unblinded</w:t>
      </w:r>
      <w:r w:rsidR="00F96B2F" w:rsidRPr="00BF1BFB">
        <w:rPr>
          <w:iCs/>
          <w:shd w:val="clear" w:color="auto" w:fill="FFFFFF"/>
          <w:lang w:eastAsia="zh-CN"/>
        </w:rPr>
        <w:t xml:space="preserve"> </w:t>
      </w:r>
      <w:r w:rsidRPr="00BF1BFB">
        <w:rPr>
          <w:iCs/>
          <w:shd w:val="clear" w:color="auto" w:fill="FFFFFF"/>
          <w:lang w:eastAsia="zh-CN"/>
        </w:rPr>
        <w:t>trial</w:t>
      </w:r>
      <w:r w:rsidR="00DD42E2" w:rsidRPr="00BF1BFB">
        <w:rPr>
          <w:iCs/>
          <w:shd w:val="clear" w:color="auto" w:fill="FFFFFF"/>
          <w:lang w:eastAsia="zh-CN"/>
        </w:rPr>
        <w:t xml:space="preserve"> is problematic</w:t>
      </w:r>
      <w:r w:rsidRPr="00BF1BFB">
        <w:rPr>
          <w:iCs/>
          <w:shd w:val="clear" w:color="auto" w:fill="FFFFFF"/>
          <w:lang w:eastAsia="zh-CN"/>
        </w:rPr>
        <w:t>.</w:t>
      </w:r>
      <w:r w:rsidR="00F96B2F" w:rsidRPr="00E96E9F">
        <w:rPr>
          <w:shd w:val="clear" w:color="auto" w:fill="FFFFFF"/>
          <w:lang w:eastAsia="zh-CN"/>
        </w:rPr>
        <w:t xml:space="preserve"> </w:t>
      </w:r>
      <w:r w:rsidRPr="00BF1BFB">
        <w:rPr>
          <w:rFonts w:cs="Calibri"/>
          <w:iCs/>
          <w:color w:val="000000"/>
          <w:shd w:val="clear" w:color="auto" w:fill="FFFFFF"/>
          <w:lang w:eastAsia="zh-CN"/>
        </w:rPr>
        <w:t>In</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addition,</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there</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was</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no</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definition</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provided</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for</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non-inferiority,</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and</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no</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definition</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of</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a</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clinically</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significant</w:t>
      </w:r>
      <w:r w:rsidR="00F96B2F" w:rsidRPr="00BF1BFB">
        <w:rPr>
          <w:rFonts w:cs="Calibri"/>
          <w:iCs/>
          <w:color w:val="000000"/>
          <w:shd w:val="clear" w:color="auto" w:fill="FFFFFF"/>
          <w:lang w:eastAsia="zh-CN"/>
        </w:rPr>
        <w:t xml:space="preserve"> </w:t>
      </w:r>
      <w:r w:rsidRPr="00BF1BFB">
        <w:rPr>
          <w:rFonts w:cs="Calibri"/>
          <w:iCs/>
          <w:color w:val="000000"/>
          <w:shd w:val="clear" w:color="auto" w:fill="FFFFFF"/>
          <w:lang w:eastAsia="zh-CN"/>
        </w:rPr>
        <w:t>difference.</w:t>
      </w:r>
    </w:p>
    <w:p w14:paraId="72AAC833" w14:textId="04C80754" w:rsidR="00C70843" w:rsidRPr="00BF1BFB" w:rsidRDefault="00C70843" w:rsidP="00811E0E">
      <w:pPr>
        <w:pStyle w:val="3-BodyText"/>
        <w:rPr>
          <w:iCs/>
          <w:color w:val="0066FF"/>
        </w:rPr>
      </w:pPr>
      <w:r>
        <w:rPr>
          <w:rFonts w:cs="Calibri"/>
          <w:iCs/>
          <w:color w:val="000000"/>
          <w:shd w:val="clear" w:color="auto" w:fill="FFFFFF"/>
          <w:lang w:eastAsia="zh-CN"/>
        </w:rPr>
        <w:lastRenderedPageBreak/>
        <w:t xml:space="preserve">The secondary endpoint of Study 1002 was </w:t>
      </w:r>
      <w:r w:rsidR="0085769D">
        <w:rPr>
          <w:rFonts w:cs="Calibri"/>
          <w:iCs/>
          <w:color w:val="000000"/>
          <w:shd w:val="clear" w:color="auto" w:fill="FFFFFF"/>
          <w:lang w:eastAsia="zh-CN"/>
        </w:rPr>
        <w:t xml:space="preserve">treatment burden, assessed using the remaining items on the DCOA 1, the DCOA 2 and </w:t>
      </w:r>
      <w:r w:rsidR="0085769D">
        <w:rPr>
          <w:rStyle w:val="normaltextrun"/>
          <w:rFonts w:ascii="Calibri" w:hAnsi="Calibri" w:cs="Calibri"/>
          <w:iCs/>
        </w:rPr>
        <w:t xml:space="preserve">the </w:t>
      </w:r>
      <w:r w:rsidR="0085769D" w:rsidRPr="004C584D">
        <w:rPr>
          <w:bCs/>
          <w:iCs/>
          <w:lang w:eastAsia="en-US"/>
        </w:rPr>
        <w:t>Patient Global Assessment Severity - Impact on Daily Activities</w:t>
      </w:r>
      <w:r w:rsidR="0085769D">
        <w:rPr>
          <w:rFonts w:cs="Calibri"/>
          <w:iCs/>
          <w:color w:val="000000"/>
          <w:shd w:val="clear" w:color="auto" w:fill="FFFFFF"/>
          <w:lang w:eastAsia="zh-CN"/>
        </w:rPr>
        <w:t xml:space="preserve"> (PGIS-IDA) questionnaires. </w:t>
      </w:r>
      <w:r w:rsidR="0085769D">
        <w:t xml:space="preserve">The PGIS-IDA consists of one question with a 7-point scale in which the participant/caregiver rated the impact of treatment administration on daily activities during the past 4 weeks. A score of 1 indicated no impact while 7 indicated an extremely severe impact. </w:t>
      </w:r>
      <w:r w:rsidR="0085769D" w:rsidRPr="00BF1BFB">
        <w:rPr>
          <w:iCs/>
          <w:shd w:val="clear" w:color="auto" w:fill="FFFFFF"/>
          <w:lang w:eastAsia="zh-CN"/>
        </w:rPr>
        <w:t xml:space="preserve">This questionnaire </w:t>
      </w:r>
      <w:r w:rsidR="0012188F">
        <w:rPr>
          <w:iCs/>
          <w:shd w:val="clear" w:color="auto" w:fill="FFFFFF"/>
          <w:lang w:eastAsia="zh-CN"/>
        </w:rPr>
        <w:t>wa</w:t>
      </w:r>
      <w:r w:rsidR="0085769D" w:rsidRPr="00BF1BFB">
        <w:rPr>
          <w:iCs/>
          <w:shd w:val="clear" w:color="auto" w:fill="FFFFFF"/>
          <w:lang w:eastAsia="zh-CN"/>
        </w:rPr>
        <w:t>s not validated for use among children with GHD</w:t>
      </w:r>
      <w:r w:rsidR="0085769D">
        <w:rPr>
          <w:iCs/>
          <w:shd w:val="clear" w:color="auto" w:fill="FFFFFF"/>
          <w:lang w:eastAsia="zh-CN"/>
        </w:rPr>
        <w:t>.</w:t>
      </w:r>
    </w:p>
    <w:p w14:paraId="1ECF3246" w14:textId="77CA66A0" w:rsidR="7CF5AF42" w:rsidRPr="00BF1BFB" w:rsidRDefault="00E26597" w:rsidP="0D587D97">
      <w:pPr>
        <w:pStyle w:val="3-BodyText"/>
        <w:rPr>
          <w:iCs/>
          <w:color w:val="0066FF"/>
        </w:rPr>
      </w:pPr>
      <w:r w:rsidRPr="00E96E9F">
        <w:rPr>
          <w:rFonts w:ascii="Calibri" w:eastAsia="Calibri" w:hAnsi="Calibri" w:cs="Calibri"/>
        </w:rPr>
        <w:t xml:space="preserve">The evidence presented in the submission </w:t>
      </w:r>
      <w:r w:rsidR="7CF5AF42" w:rsidRPr="00E96E9F">
        <w:rPr>
          <w:rFonts w:ascii="Calibri" w:eastAsia="Calibri" w:hAnsi="Calibri" w:cs="Calibri"/>
        </w:rPr>
        <w:t>for</w:t>
      </w:r>
      <w:r w:rsidRPr="00E96E9F">
        <w:rPr>
          <w:rFonts w:ascii="Calibri" w:eastAsia="Calibri" w:hAnsi="Calibri" w:cs="Calibri"/>
        </w:rPr>
        <w:t xml:space="preserve"> </w:t>
      </w:r>
      <w:r w:rsidR="7CF5AF42" w:rsidRPr="00E96E9F">
        <w:rPr>
          <w:rFonts w:ascii="Calibri" w:eastAsia="Calibri" w:hAnsi="Calibri" w:cs="Calibri"/>
        </w:rPr>
        <w:t xml:space="preserve">switching from somatropin to </w:t>
      </w:r>
      <w:proofErr w:type="spellStart"/>
      <w:r w:rsidR="7CF5AF42" w:rsidRPr="00E96E9F">
        <w:rPr>
          <w:rFonts w:ascii="Calibri" w:eastAsia="Calibri" w:hAnsi="Calibri" w:cs="Calibri"/>
        </w:rPr>
        <w:t>somatrogon</w:t>
      </w:r>
      <w:proofErr w:type="spellEnd"/>
      <w:r w:rsidR="7CF5AF42" w:rsidRPr="00E96E9F">
        <w:rPr>
          <w:rFonts w:ascii="Calibri" w:eastAsia="Calibri" w:hAnsi="Calibri" w:cs="Calibri"/>
        </w:rPr>
        <w:t xml:space="preserve"> (Study 4006 OLE, Study 4004 OLE, Study 1002) </w:t>
      </w:r>
      <w:r w:rsidRPr="00E96E9F">
        <w:rPr>
          <w:rFonts w:ascii="Calibri" w:eastAsia="Calibri" w:hAnsi="Calibri" w:cs="Calibri"/>
        </w:rPr>
        <w:t>showed that there were</w:t>
      </w:r>
      <w:r w:rsidR="7CF5AF42" w:rsidRPr="00E96E9F">
        <w:rPr>
          <w:rFonts w:ascii="Calibri" w:eastAsia="Calibri" w:hAnsi="Calibri" w:cs="Calibri"/>
        </w:rPr>
        <w:t xml:space="preserve"> no significant differences in effectiveness and safety.</w:t>
      </w:r>
    </w:p>
    <w:p w14:paraId="029B6BF4" w14:textId="513874DD" w:rsidR="00811E0E" w:rsidRPr="00E96E9F" w:rsidRDefault="0006408F" w:rsidP="00ED40F2">
      <w:pPr>
        <w:pStyle w:val="3-BodyText"/>
        <w:rPr>
          <w:rStyle w:val="CommentReference"/>
          <w:szCs w:val="24"/>
        </w:rPr>
      </w:pPr>
      <w:bookmarkStart w:id="17" w:name="OLE_LINK3"/>
      <w:bookmarkStart w:id="18" w:name="OLE_LINK4"/>
      <w:r w:rsidRPr="00E96E9F">
        <w:t xml:space="preserve">The </w:t>
      </w:r>
      <w:r w:rsidR="00DD374C" w:rsidRPr="00ED40F2">
        <w:t>submission</w:t>
      </w:r>
      <w:r w:rsidRPr="00E96E9F">
        <w:t xml:space="preserve"> </w:t>
      </w:r>
      <w:r w:rsidR="00DD294B" w:rsidRPr="00E96E9F">
        <w:t xml:space="preserve">provided additional information </w:t>
      </w:r>
      <w:r w:rsidR="00AC41B0" w:rsidRPr="00E96E9F">
        <w:t xml:space="preserve">from a literature review </w:t>
      </w:r>
      <w:r w:rsidR="00DD294B" w:rsidRPr="00E96E9F">
        <w:t xml:space="preserve">regarding </w:t>
      </w:r>
      <w:r w:rsidR="006074AA" w:rsidRPr="00E96E9F">
        <w:t xml:space="preserve">switching from </w:t>
      </w:r>
      <w:r w:rsidR="00946C27" w:rsidRPr="00E96E9F">
        <w:t xml:space="preserve">daily to weekly </w:t>
      </w:r>
      <w:r w:rsidR="00946C27" w:rsidRPr="002D5BA0">
        <w:t>injections</w:t>
      </w:r>
      <w:r w:rsidR="00844D46" w:rsidRPr="002D5BA0">
        <w:t>.</w:t>
      </w:r>
      <w:r w:rsidR="00844D46" w:rsidRPr="00E96E9F">
        <w:t xml:space="preserve"> </w:t>
      </w:r>
      <w:r w:rsidR="0030017D" w:rsidRPr="00E96E9F">
        <w:t xml:space="preserve">Only one study evaluated </w:t>
      </w:r>
      <w:r w:rsidR="00D0029C" w:rsidRPr="00E96E9F">
        <w:t>paediatric patients with GHD. This was a stated preference study using</w:t>
      </w:r>
      <w:r w:rsidR="00547335" w:rsidRPr="00E96E9F">
        <w:t xml:space="preserve"> </w:t>
      </w:r>
      <w:r w:rsidR="0050703F" w:rsidRPr="00E96E9F">
        <w:t xml:space="preserve">a </w:t>
      </w:r>
      <w:r w:rsidR="00547335" w:rsidRPr="00E96E9F">
        <w:t>discrete choice experiment (</w:t>
      </w:r>
      <w:r w:rsidR="001D5AEB" w:rsidRPr="00E96E9F">
        <w:t>McNamara et al</w:t>
      </w:r>
      <w:r w:rsidR="00E71A4D" w:rsidRPr="00E96E9F">
        <w:t>, 2020</w:t>
      </w:r>
      <w:r w:rsidR="001D5AEB" w:rsidRPr="00E96E9F">
        <w:t>)</w:t>
      </w:r>
      <w:r w:rsidR="00E71A4D" w:rsidRPr="00E96E9F">
        <w:t xml:space="preserve"> </w:t>
      </w:r>
      <w:r w:rsidR="00670FE5" w:rsidRPr="00E96E9F">
        <w:t xml:space="preserve">that </w:t>
      </w:r>
      <w:r w:rsidR="00E71A4D" w:rsidRPr="00E96E9F">
        <w:t>reported</w:t>
      </w:r>
      <w:r w:rsidR="006563B0" w:rsidRPr="00E96E9F">
        <w:t xml:space="preserve"> </w:t>
      </w:r>
      <w:r w:rsidR="000639AE" w:rsidRPr="00E96E9F">
        <w:t xml:space="preserve">that </w:t>
      </w:r>
      <w:r w:rsidR="00483DBF" w:rsidRPr="00E96E9F">
        <w:t xml:space="preserve">the </w:t>
      </w:r>
      <w:r w:rsidR="000639AE" w:rsidRPr="00E96E9F">
        <w:t xml:space="preserve">frequency of injections </w:t>
      </w:r>
      <w:r w:rsidR="00E24EAD" w:rsidRPr="00E96E9F">
        <w:t>was</w:t>
      </w:r>
      <w:r w:rsidR="000639AE" w:rsidRPr="00E96E9F">
        <w:t xml:space="preserve"> </w:t>
      </w:r>
      <w:r w:rsidR="00D91EC7" w:rsidRPr="00E96E9F">
        <w:t>the most important treatment attribute</w:t>
      </w:r>
      <w:r w:rsidR="00BD0B70" w:rsidRPr="00E96E9F">
        <w:t xml:space="preserve">. </w:t>
      </w:r>
      <w:r w:rsidR="003E7697" w:rsidRPr="00E96E9F">
        <w:t xml:space="preserve">Three studies </w:t>
      </w:r>
      <w:r w:rsidR="00496727" w:rsidRPr="00E96E9F">
        <w:t xml:space="preserve">specifically evaluated </w:t>
      </w:r>
      <w:r w:rsidR="004865C4" w:rsidRPr="00E96E9F">
        <w:t>switching from daily to weekly injections among adults with GHD</w:t>
      </w:r>
      <w:r w:rsidR="007F7FA2" w:rsidRPr="00E96E9F">
        <w:t xml:space="preserve"> (</w:t>
      </w:r>
      <w:proofErr w:type="spellStart"/>
      <w:r w:rsidR="007F7FA2" w:rsidRPr="00E96E9F">
        <w:t>Johannson</w:t>
      </w:r>
      <w:proofErr w:type="spellEnd"/>
      <w:r w:rsidR="007F7FA2" w:rsidRPr="00E96E9F">
        <w:t xml:space="preserve"> </w:t>
      </w:r>
      <w:r w:rsidR="007F7FA2" w:rsidRPr="00BF1BFB">
        <w:rPr>
          <w:iCs/>
        </w:rPr>
        <w:t>et al</w:t>
      </w:r>
      <w:r w:rsidR="007F7FA2" w:rsidRPr="00E96E9F">
        <w:t xml:space="preserve">, 2018; </w:t>
      </w:r>
      <w:proofErr w:type="spellStart"/>
      <w:r w:rsidR="007F7FA2" w:rsidRPr="00E96E9F">
        <w:t>Johannson</w:t>
      </w:r>
      <w:proofErr w:type="spellEnd"/>
      <w:r w:rsidR="007F7FA2" w:rsidRPr="00E96E9F">
        <w:t xml:space="preserve"> </w:t>
      </w:r>
      <w:r w:rsidR="007F7FA2" w:rsidRPr="00BF1BFB">
        <w:rPr>
          <w:iCs/>
        </w:rPr>
        <w:t>et al</w:t>
      </w:r>
      <w:r w:rsidR="007F7FA2" w:rsidRPr="00E96E9F">
        <w:t xml:space="preserve">, 2020; McNamara </w:t>
      </w:r>
      <w:r w:rsidR="007F7FA2" w:rsidRPr="00BF1BFB">
        <w:rPr>
          <w:iCs/>
        </w:rPr>
        <w:t>et al</w:t>
      </w:r>
      <w:r w:rsidR="007F7FA2" w:rsidRPr="00E96E9F">
        <w:t>, 2020)</w:t>
      </w:r>
      <w:r w:rsidR="00496727" w:rsidRPr="00E96E9F">
        <w:t>.</w:t>
      </w:r>
      <w:r w:rsidR="00BB63A9" w:rsidRPr="00E96E9F">
        <w:t xml:space="preserve"> </w:t>
      </w:r>
      <w:r w:rsidR="007455FC" w:rsidRPr="00BF1BFB">
        <w:rPr>
          <w:iCs/>
        </w:rPr>
        <w:t>O</w:t>
      </w:r>
      <w:r w:rsidR="006F6516" w:rsidRPr="00BF1BFB">
        <w:rPr>
          <w:iCs/>
        </w:rPr>
        <w:t>verall, these additional</w:t>
      </w:r>
      <w:r w:rsidR="00BD0B70" w:rsidRPr="00BF1BFB">
        <w:rPr>
          <w:iCs/>
        </w:rPr>
        <w:t xml:space="preserve"> studies </w:t>
      </w:r>
      <w:r w:rsidR="000A41D0" w:rsidRPr="00BF1BFB">
        <w:rPr>
          <w:iCs/>
        </w:rPr>
        <w:t>(</w:t>
      </w:r>
      <w:r w:rsidR="00531D0B" w:rsidRPr="00BF1BFB">
        <w:rPr>
          <w:iCs/>
        </w:rPr>
        <w:t xml:space="preserve">mainly for adults, and for conditions other than GHD) </w:t>
      </w:r>
      <w:r w:rsidR="006F6516" w:rsidRPr="00BF1BFB">
        <w:rPr>
          <w:iCs/>
        </w:rPr>
        <w:t>provide</w:t>
      </w:r>
      <w:r w:rsidR="00A47143">
        <w:rPr>
          <w:iCs/>
        </w:rPr>
        <w:t>d</w:t>
      </w:r>
      <w:r w:rsidR="004C180F" w:rsidRPr="00BF1BFB">
        <w:rPr>
          <w:iCs/>
        </w:rPr>
        <w:t xml:space="preserve"> supportive evidence regarding the preference for</w:t>
      </w:r>
      <w:r w:rsidR="006C1796" w:rsidRPr="00BF1BFB">
        <w:rPr>
          <w:iCs/>
        </w:rPr>
        <w:t xml:space="preserve"> weekly </w:t>
      </w:r>
      <w:r w:rsidR="00A47143">
        <w:rPr>
          <w:iCs/>
        </w:rPr>
        <w:t xml:space="preserve">over </w:t>
      </w:r>
      <w:r w:rsidR="006C1796" w:rsidRPr="00BF1BFB">
        <w:rPr>
          <w:iCs/>
        </w:rPr>
        <w:t>daily injection</w:t>
      </w:r>
      <w:r w:rsidR="00A47143">
        <w:rPr>
          <w:iCs/>
        </w:rPr>
        <w:t>s</w:t>
      </w:r>
      <w:r w:rsidR="004C3576" w:rsidRPr="00BF1BFB">
        <w:rPr>
          <w:iCs/>
        </w:rPr>
        <w:t xml:space="preserve"> as a better treatment experience </w:t>
      </w:r>
      <w:r w:rsidR="00483DBF" w:rsidRPr="00BF1BFB">
        <w:rPr>
          <w:iCs/>
        </w:rPr>
        <w:t xml:space="preserve">that </w:t>
      </w:r>
      <w:r w:rsidR="004C3576" w:rsidRPr="00BF1BFB">
        <w:rPr>
          <w:iCs/>
        </w:rPr>
        <w:t xml:space="preserve">could </w:t>
      </w:r>
      <w:r w:rsidR="008A0DA7" w:rsidRPr="00BF1BFB">
        <w:rPr>
          <w:iCs/>
        </w:rPr>
        <w:t xml:space="preserve">increase compliance and </w:t>
      </w:r>
      <w:r w:rsidR="00CA59E3" w:rsidRPr="00BF1BFB">
        <w:rPr>
          <w:iCs/>
        </w:rPr>
        <w:t>therefore result in better health outcomes.</w:t>
      </w:r>
      <w:bookmarkEnd w:id="17"/>
      <w:bookmarkEnd w:id="18"/>
      <w:r w:rsidR="00DD42E2" w:rsidRPr="00BF1BFB">
        <w:rPr>
          <w:iCs/>
        </w:rPr>
        <w:t xml:space="preserve"> </w:t>
      </w:r>
      <w:r w:rsidR="007455FC" w:rsidRPr="00BF1BFB">
        <w:rPr>
          <w:iCs/>
        </w:rPr>
        <w:t xml:space="preserve">Whilst there was lack of additional data for </w:t>
      </w:r>
      <w:proofErr w:type="spellStart"/>
      <w:r w:rsidR="007455FC" w:rsidRPr="00BF1BFB">
        <w:rPr>
          <w:iCs/>
        </w:rPr>
        <w:t>pGHD</w:t>
      </w:r>
      <w:proofErr w:type="spellEnd"/>
      <w:r w:rsidR="007455FC" w:rsidRPr="00BF1BFB">
        <w:rPr>
          <w:iCs/>
        </w:rPr>
        <w:t xml:space="preserve">, </w:t>
      </w:r>
      <w:r w:rsidR="007455FC" w:rsidRPr="00BF1BFB">
        <w:rPr>
          <w:rFonts w:cs="Calibri"/>
          <w:iCs/>
          <w:color w:val="000000"/>
          <w:shd w:val="clear" w:color="auto" w:fill="FFFFFF"/>
          <w:lang w:eastAsia="zh-CN"/>
        </w:rPr>
        <w:t>c</w:t>
      </w:r>
      <w:r w:rsidR="00DD42E2" w:rsidRPr="00BF1BFB">
        <w:rPr>
          <w:rFonts w:cs="Calibri"/>
          <w:iCs/>
          <w:color w:val="000000"/>
          <w:shd w:val="clear" w:color="auto" w:fill="FFFFFF"/>
          <w:lang w:eastAsia="zh-CN"/>
        </w:rPr>
        <w:t>hildren are likely to prefer once weekly versus once daily injections.</w:t>
      </w:r>
    </w:p>
    <w:p w14:paraId="1F891063" w14:textId="2F2C9EDE" w:rsidR="00811E0E" w:rsidRPr="00E96E9F" w:rsidRDefault="00811E0E" w:rsidP="00811E0E">
      <w:pPr>
        <w:pStyle w:val="4-SubsectionHeading"/>
      </w:pPr>
      <w:bookmarkStart w:id="19" w:name="_Toc22897642"/>
      <w:bookmarkStart w:id="20" w:name="_Toc93499821"/>
      <w:r w:rsidRPr="00E96E9F">
        <w:t>Comparative</w:t>
      </w:r>
      <w:r w:rsidR="00F96B2F" w:rsidRPr="00E96E9F">
        <w:t xml:space="preserve"> </w:t>
      </w:r>
      <w:r w:rsidRPr="00E96E9F">
        <w:t>harms</w:t>
      </w:r>
      <w:bookmarkEnd w:id="19"/>
      <w:bookmarkEnd w:id="20"/>
    </w:p>
    <w:p w14:paraId="12384A25" w14:textId="75C2B9E9" w:rsidR="00E5129A" w:rsidRPr="00E96E9F" w:rsidRDefault="00811E0E" w:rsidP="00811E0E">
      <w:pPr>
        <w:pStyle w:val="3-BodyText"/>
        <w:rPr>
          <w:shd w:val="clear" w:color="auto" w:fill="FFFFFF"/>
          <w:lang w:eastAsia="zh-CN"/>
        </w:rPr>
      </w:pPr>
      <w:r w:rsidRPr="00E96E9F">
        <w:rPr>
          <w:shd w:val="clear" w:color="auto" w:fill="FFFFFF"/>
          <w:lang w:eastAsia="zh-CN"/>
        </w:rPr>
        <w:t>Although</w:t>
      </w:r>
      <w:r w:rsidR="00F96B2F" w:rsidRPr="00E96E9F">
        <w:rPr>
          <w:shd w:val="clear" w:color="auto" w:fill="FFFFFF"/>
          <w:lang w:eastAsia="zh-CN"/>
        </w:rPr>
        <w:t xml:space="preserve"> </w:t>
      </w: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overall</w:t>
      </w:r>
      <w:r w:rsidR="00F96B2F" w:rsidRPr="00E96E9F">
        <w:rPr>
          <w:shd w:val="clear" w:color="auto" w:fill="FFFFFF"/>
          <w:lang w:eastAsia="zh-CN"/>
        </w:rPr>
        <w:t xml:space="preserve"> </w:t>
      </w:r>
      <w:r w:rsidRPr="00E96E9F">
        <w:rPr>
          <w:shd w:val="clear" w:color="auto" w:fill="FFFFFF"/>
          <w:lang w:eastAsia="zh-CN"/>
        </w:rPr>
        <w:t>incidence</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serious</w:t>
      </w:r>
      <w:r w:rsidR="00F96B2F" w:rsidRPr="00E96E9F">
        <w:rPr>
          <w:shd w:val="clear" w:color="auto" w:fill="FFFFFF"/>
          <w:lang w:eastAsia="zh-CN"/>
        </w:rPr>
        <w:t xml:space="preserve"> </w:t>
      </w:r>
      <w:r w:rsidRPr="00E96E9F">
        <w:rPr>
          <w:shd w:val="clear" w:color="auto" w:fill="FFFFFF"/>
          <w:lang w:eastAsia="zh-CN"/>
        </w:rPr>
        <w:t>or</w:t>
      </w:r>
      <w:r w:rsidR="00F96B2F" w:rsidRPr="00E96E9F">
        <w:rPr>
          <w:shd w:val="clear" w:color="auto" w:fill="FFFFFF"/>
          <w:lang w:eastAsia="zh-CN"/>
        </w:rPr>
        <w:t xml:space="preserve"> </w:t>
      </w:r>
      <w:r w:rsidRPr="00E96E9F">
        <w:rPr>
          <w:shd w:val="clear" w:color="auto" w:fill="FFFFFF"/>
          <w:lang w:eastAsia="zh-CN"/>
        </w:rPr>
        <w:t>severe</w:t>
      </w:r>
      <w:r w:rsidR="00F96B2F" w:rsidRPr="00E96E9F">
        <w:rPr>
          <w:shd w:val="clear" w:color="auto" w:fill="FFFFFF"/>
          <w:lang w:eastAsia="zh-CN"/>
        </w:rPr>
        <w:t xml:space="preserve"> </w:t>
      </w:r>
      <w:r w:rsidRPr="00E96E9F">
        <w:rPr>
          <w:shd w:val="clear" w:color="auto" w:fill="FFFFFF"/>
          <w:lang w:eastAsia="zh-CN"/>
        </w:rPr>
        <w:t>adverse</w:t>
      </w:r>
      <w:r w:rsidR="00F96B2F" w:rsidRPr="00E96E9F">
        <w:rPr>
          <w:shd w:val="clear" w:color="auto" w:fill="FFFFFF"/>
          <w:lang w:eastAsia="zh-CN"/>
        </w:rPr>
        <w:t xml:space="preserve"> </w:t>
      </w:r>
      <w:r w:rsidRPr="00E96E9F">
        <w:rPr>
          <w:shd w:val="clear" w:color="auto" w:fill="FFFFFF"/>
          <w:lang w:eastAsia="zh-CN"/>
        </w:rPr>
        <w:t>events</w:t>
      </w:r>
      <w:r w:rsidR="00A64EA9">
        <w:rPr>
          <w:shd w:val="clear" w:color="auto" w:fill="FFFFFF"/>
          <w:lang w:eastAsia="zh-CN"/>
        </w:rPr>
        <w:t xml:space="preserve"> (AEs)</w:t>
      </w:r>
      <w:r w:rsidR="00F96B2F" w:rsidRPr="00E96E9F">
        <w:rPr>
          <w:shd w:val="clear" w:color="auto" w:fill="FFFFFF"/>
          <w:lang w:eastAsia="zh-CN"/>
        </w:rPr>
        <w:t xml:space="preserve"> </w:t>
      </w:r>
      <w:r w:rsidRPr="00E96E9F">
        <w:rPr>
          <w:shd w:val="clear" w:color="auto" w:fill="FFFFFF"/>
          <w:lang w:eastAsia="zh-CN"/>
        </w:rPr>
        <w:t>are</w:t>
      </w:r>
      <w:r w:rsidR="00F96B2F" w:rsidRPr="00E96E9F">
        <w:rPr>
          <w:shd w:val="clear" w:color="auto" w:fill="FFFFFF"/>
          <w:lang w:eastAsia="zh-CN"/>
        </w:rPr>
        <w:t xml:space="preserve"> </w:t>
      </w:r>
      <w:r w:rsidRPr="00E96E9F">
        <w:rPr>
          <w:shd w:val="clear" w:color="auto" w:fill="FFFFFF"/>
          <w:lang w:eastAsia="zh-CN"/>
        </w:rPr>
        <w:t>comparable</w:t>
      </w:r>
      <w:r w:rsidR="00F96B2F" w:rsidRPr="00E96E9F">
        <w:rPr>
          <w:shd w:val="clear" w:color="auto" w:fill="FFFFFF"/>
          <w:lang w:eastAsia="zh-CN"/>
        </w:rPr>
        <w:t xml:space="preserve"> </w:t>
      </w:r>
      <w:r w:rsidRPr="00E96E9F">
        <w:rPr>
          <w:shd w:val="clear" w:color="auto" w:fill="FFFFFF"/>
          <w:lang w:eastAsia="zh-CN"/>
        </w:rPr>
        <w:t>between</w:t>
      </w:r>
      <w:r w:rsidR="00F96B2F" w:rsidRPr="00E96E9F">
        <w:rPr>
          <w:shd w:val="clear" w:color="auto" w:fill="FFFFFF"/>
          <w:lang w:eastAsia="zh-CN"/>
        </w:rPr>
        <w:t xml:space="preserve">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and</w:t>
      </w:r>
      <w:r w:rsidR="00F96B2F" w:rsidRPr="00E96E9F">
        <w:rPr>
          <w:shd w:val="clear" w:color="auto" w:fill="FFFFFF"/>
          <w:lang w:eastAsia="zh-CN"/>
        </w:rPr>
        <w:t xml:space="preserve"> </w:t>
      </w:r>
      <w:r w:rsidRPr="00E96E9F">
        <w:rPr>
          <w:shd w:val="clear" w:color="auto" w:fill="FFFFFF"/>
          <w:lang w:eastAsia="zh-CN"/>
        </w:rPr>
        <w:t>somatropin,</w:t>
      </w:r>
      <w:r w:rsidR="00F96B2F" w:rsidRPr="00E96E9F">
        <w:rPr>
          <w:shd w:val="clear" w:color="auto" w:fill="FFFFFF"/>
          <w:lang w:eastAsia="zh-CN"/>
        </w:rPr>
        <w:t xml:space="preserve"> </w:t>
      </w:r>
      <w:r w:rsidRPr="00E96E9F">
        <w:rPr>
          <w:shd w:val="clear" w:color="auto" w:fill="FFFFFF"/>
          <w:lang w:eastAsia="zh-CN"/>
        </w:rPr>
        <w:t>there</w:t>
      </w:r>
      <w:r w:rsidR="00F96B2F" w:rsidRPr="00E96E9F">
        <w:rPr>
          <w:shd w:val="clear" w:color="auto" w:fill="FFFFFF"/>
          <w:lang w:eastAsia="zh-CN"/>
        </w:rPr>
        <w:t xml:space="preserve"> </w:t>
      </w:r>
      <w:r w:rsidR="007B5983" w:rsidRPr="00E96E9F">
        <w:rPr>
          <w:shd w:val="clear" w:color="auto" w:fill="FFFFFF"/>
          <w:lang w:eastAsia="zh-CN"/>
        </w:rPr>
        <w:t xml:space="preserve">was </w:t>
      </w:r>
      <w:r w:rsidR="00A20EB6">
        <w:rPr>
          <w:shd w:val="clear" w:color="auto" w:fill="FFFFFF"/>
          <w:lang w:eastAsia="zh-CN"/>
        </w:rPr>
        <w:t xml:space="preserve">a </w:t>
      </w:r>
      <w:r w:rsidRPr="00E96E9F">
        <w:rPr>
          <w:shd w:val="clear" w:color="auto" w:fill="FFFFFF"/>
          <w:lang w:eastAsia="zh-CN"/>
        </w:rPr>
        <w:t>higher</w:t>
      </w:r>
      <w:r w:rsidR="00F96B2F" w:rsidRPr="00E96E9F">
        <w:rPr>
          <w:shd w:val="clear" w:color="auto" w:fill="FFFFFF"/>
          <w:lang w:eastAsia="zh-CN"/>
        </w:rPr>
        <w:t xml:space="preserve"> </w:t>
      </w:r>
      <w:r w:rsidRPr="00E96E9F">
        <w:rPr>
          <w:shd w:val="clear" w:color="auto" w:fill="FFFFFF"/>
          <w:lang w:eastAsia="zh-CN"/>
        </w:rPr>
        <w:t>incidence</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injection</w:t>
      </w:r>
      <w:r w:rsidR="00F96B2F" w:rsidRPr="00E96E9F">
        <w:rPr>
          <w:shd w:val="clear" w:color="auto" w:fill="FFFFFF"/>
          <w:lang w:eastAsia="zh-CN"/>
        </w:rPr>
        <w:t xml:space="preserve"> </w:t>
      </w:r>
      <w:r w:rsidRPr="00E96E9F">
        <w:rPr>
          <w:shd w:val="clear" w:color="auto" w:fill="FFFFFF"/>
          <w:lang w:eastAsia="zh-CN"/>
        </w:rPr>
        <w:t>site</w:t>
      </w:r>
      <w:r w:rsidR="00F96B2F" w:rsidRPr="00E96E9F">
        <w:rPr>
          <w:shd w:val="clear" w:color="auto" w:fill="FFFFFF"/>
          <w:lang w:eastAsia="zh-CN"/>
        </w:rPr>
        <w:t xml:space="preserve"> </w:t>
      </w:r>
      <w:r w:rsidRPr="00E96E9F">
        <w:rPr>
          <w:shd w:val="clear" w:color="auto" w:fill="FFFFFF"/>
          <w:lang w:eastAsia="zh-CN"/>
        </w:rPr>
        <w:t>reactions</w:t>
      </w:r>
      <w:r w:rsidR="00F96B2F" w:rsidRPr="00E96E9F">
        <w:rPr>
          <w:shd w:val="clear" w:color="auto" w:fill="FFFFFF"/>
          <w:lang w:eastAsia="zh-CN"/>
        </w:rPr>
        <w:t xml:space="preserve"> </w:t>
      </w:r>
      <w:r w:rsidRPr="00E96E9F">
        <w:rPr>
          <w:shd w:val="clear" w:color="auto" w:fill="FFFFFF"/>
          <w:lang w:eastAsia="zh-CN"/>
        </w:rPr>
        <w:t>(erythema,</w:t>
      </w:r>
      <w:r w:rsidR="00F96B2F" w:rsidRPr="00E96E9F">
        <w:rPr>
          <w:shd w:val="clear" w:color="auto" w:fill="FFFFFF"/>
          <w:lang w:eastAsia="zh-CN"/>
        </w:rPr>
        <w:t xml:space="preserve"> </w:t>
      </w:r>
      <w:r w:rsidRPr="00E96E9F">
        <w:rPr>
          <w:shd w:val="clear" w:color="auto" w:fill="FFFFFF"/>
          <w:lang w:eastAsia="zh-CN"/>
        </w:rPr>
        <w:t>pain,</w:t>
      </w:r>
      <w:r w:rsidR="00F96B2F" w:rsidRPr="00E96E9F">
        <w:rPr>
          <w:shd w:val="clear" w:color="auto" w:fill="FFFFFF"/>
          <w:lang w:eastAsia="zh-CN"/>
        </w:rPr>
        <w:t xml:space="preserve"> </w:t>
      </w:r>
      <w:r w:rsidRPr="00E96E9F">
        <w:rPr>
          <w:shd w:val="clear" w:color="auto" w:fill="FFFFFF"/>
          <w:lang w:eastAsia="zh-CN"/>
        </w:rPr>
        <w:t>pruritus)</w:t>
      </w:r>
      <w:r w:rsidR="00F96B2F" w:rsidRPr="00E96E9F">
        <w:rPr>
          <w:shd w:val="clear" w:color="auto" w:fill="FFFFFF"/>
          <w:lang w:eastAsia="zh-CN"/>
        </w:rPr>
        <w:t xml:space="preserve"> </w:t>
      </w:r>
      <w:r w:rsidRPr="00E96E9F">
        <w:rPr>
          <w:shd w:val="clear" w:color="auto" w:fill="FFFFFF"/>
          <w:lang w:eastAsia="zh-CN"/>
        </w:rPr>
        <w:t>for</w:t>
      </w:r>
      <w:r w:rsidR="00F96B2F" w:rsidRPr="00E96E9F">
        <w:rPr>
          <w:shd w:val="clear" w:color="auto" w:fill="FFFFFF"/>
          <w:lang w:eastAsia="zh-CN"/>
        </w:rPr>
        <w:t xml:space="preserve">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across</w:t>
      </w:r>
      <w:r w:rsidR="00F96B2F" w:rsidRPr="00E96E9F">
        <w:rPr>
          <w:shd w:val="clear" w:color="auto" w:fill="FFFFFF"/>
          <w:lang w:eastAsia="zh-CN"/>
        </w:rPr>
        <w:t xml:space="preserve"> </w:t>
      </w:r>
      <w:r w:rsidRPr="00E96E9F">
        <w:rPr>
          <w:shd w:val="clear" w:color="auto" w:fill="FFFFFF"/>
          <w:lang w:eastAsia="zh-CN"/>
        </w:rPr>
        <w:t>all</w:t>
      </w:r>
      <w:r w:rsidR="00F96B2F" w:rsidRPr="00E96E9F">
        <w:rPr>
          <w:shd w:val="clear" w:color="auto" w:fill="FFFFFF"/>
          <w:lang w:eastAsia="zh-CN"/>
        </w:rPr>
        <w:t xml:space="preserve"> </w:t>
      </w:r>
      <w:r w:rsidRPr="00E96E9F">
        <w:rPr>
          <w:shd w:val="clear" w:color="auto" w:fill="FFFFFF"/>
          <w:lang w:eastAsia="zh-CN"/>
        </w:rPr>
        <w:t>studies.</w:t>
      </w:r>
      <w:r w:rsidR="00F96B2F" w:rsidRPr="00E96E9F">
        <w:rPr>
          <w:shd w:val="clear" w:color="auto" w:fill="FFFFFF"/>
          <w:lang w:eastAsia="zh-CN"/>
        </w:rPr>
        <w:t xml:space="preserve"> </w:t>
      </w:r>
      <w:r w:rsidRPr="00E96E9F">
        <w:rPr>
          <w:shd w:val="clear" w:color="auto" w:fill="FFFFFF"/>
          <w:lang w:eastAsia="zh-CN"/>
        </w:rPr>
        <w:t>For</w:t>
      </w:r>
      <w:r w:rsidR="00F96B2F" w:rsidRPr="00E96E9F">
        <w:rPr>
          <w:shd w:val="clear" w:color="auto" w:fill="FFFFFF"/>
          <w:lang w:eastAsia="zh-CN"/>
        </w:rPr>
        <w:t xml:space="preserve"> </w:t>
      </w:r>
      <w:r w:rsidRPr="00E96E9F">
        <w:rPr>
          <w:shd w:val="clear" w:color="auto" w:fill="FFFFFF"/>
          <w:lang w:eastAsia="zh-CN"/>
        </w:rPr>
        <w:t>example,</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4006,</w:t>
      </w:r>
      <w:r w:rsidR="00F96B2F" w:rsidRPr="00E96E9F">
        <w:rPr>
          <w:shd w:val="clear" w:color="auto" w:fill="FFFFFF"/>
          <w:lang w:eastAsia="zh-CN"/>
        </w:rPr>
        <w:t xml:space="preserve"> </w:t>
      </w: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report</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at</w:t>
      </w:r>
      <w:r w:rsidR="00F96B2F" w:rsidRPr="00E96E9F">
        <w:rPr>
          <w:shd w:val="clear" w:color="auto" w:fill="FFFFFF"/>
          <w:lang w:eastAsia="zh-CN"/>
        </w:rPr>
        <w:t xml:space="preserve"> </w:t>
      </w:r>
      <w:r w:rsidRPr="00E96E9F">
        <w:rPr>
          <w:shd w:val="clear" w:color="auto" w:fill="FFFFFF"/>
          <w:lang w:eastAsia="zh-CN"/>
        </w:rPr>
        <w:t>least</w:t>
      </w:r>
      <w:r w:rsidR="00F96B2F" w:rsidRPr="00E96E9F">
        <w:rPr>
          <w:shd w:val="clear" w:color="auto" w:fill="FFFFFF"/>
          <w:lang w:eastAsia="zh-CN"/>
        </w:rPr>
        <w:t xml:space="preserve"> </w:t>
      </w:r>
      <w:r w:rsidRPr="00E96E9F">
        <w:rPr>
          <w:shd w:val="clear" w:color="auto" w:fill="FFFFFF"/>
          <w:lang w:eastAsia="zh-CN"/>
        </w:rPr>
        <w:t>one</w:t>
      </w:r>
      <w:r w:rsidR="00F96B2F" w:rsidRPr="00E96E9F">
        <w:rPr>
          <w:shd w:val="clear" w:color="auto" w:fill="FFFFFF"/>
          <w:lang w:eastAsia="zh-CN"/>
        </w:rPr>
        <w:t xml:space="preserve"> </w:t>
      </w:r>
      <w:r w:rsidRPr="00E96E9F">
        <w:rPr>
          <w:shd w:val="clear" w:color="auto" w:fill="FFFFFF"/>
          <w:lang w:eastAsia="zh-CN"/>
        </w:rPr>
        <w:t>injection</w:t>
      </w:r>
      <w:r w:rsidR="00F96B2F" w:rsidRPr="00E96E9F">
        <w:rPr>
          <w:shd w:val="clear" w:color="auto" w:fill="FFFFFF"/>
          <w:lang w:eastAsia="zh-CN"/>
        </w:rPr>
        <w:t xml:space="preserve"> </w:t>
      </w:r>
      <w:r w:rsidRPr="00E96E9F">
        <w:rPr>
          <w:shd w:val="clear" w:color="auto" w:fill="FFFFFF"/>
          <w:lang w:eastAsia="zh-CN"/>
        </w:rPr>
        <w:t>site</w:t>
      </w:r>
      <w:r w:rsidR="00F96B2F" w:rsidRPr="00E96E9F">
        <w:rPr>
          <w:shd w:val="clear" w:color="auto" w:fill="FFFFFF"/>
          <w:lang w:eastAsia="zh-CN"/>
        </w:rPr>
        <w:t xml:space="preserve"> </w:t>
      </w:r>
      <w:r w:rsidRPr="00E96E9F">
        <w:rPr>
          <w:shd w:val="clear" w:color="auto" w:fill="FFFFFF"/>
          <w:lang w:eastAsia="zh-CN"/>
        </w:rPr>
        <w:t>reaction</w:t>
      </w:r>
      <w:r w:rsidR="00F96B2F" w:rsidRPr="00E96E9F">
        <w:rPr>
          <w:shd w:val="clear" w:color="auto" w:fill="FFFFFF"/>
          <w:lang w:eastAsia="zh-CN"/>
        </w:rPr>
        <w:t xml:space="preserve"> </w:t>
      </w:r>
      <w:r w:rsidRPr="00E96E9F">
        <w:rPr>
          <w:shd w:val="clear" w:color="auto" w:fill="FFFFFF"/>
          <w:lang w:eastAsia="zh-CN"/>
        </w:rPr>
        <w:t>was</w:t>
      </w:r>
      <w:r w:rsidR="00F96B2F" w:rsidRPr="00E96E9F">
        <w:rPr>
          <w:shd w:val="clear" w:color="auto" w:fill="FFFFFF"/>
          <w:lang w:eastAsia="zh-CN"/>
        </w:rPr>
        <w:t xml:space="preserve"> </w:t>
      </w:r>
      <w:r w:rsidRPr="00E96E9F">
        <w:rPr>
          <w:shd w:val="clear" w:color="auto" w:fill="FFFFFF"/>
          <w:lang w:eastAsia="zh-CN"/>
        </w:rPr>
        <w:t>43.1%</w:t>
      </w:r>
      <w:r w:rsidR="00F96B2F" w:rsidRPr="00E96E9F">
        <w:rPr>
          <w:shd w:val="clear" w:color="auto" w:fill="FFFFFF"/>
          <w:lang w:eastAsia="zh-CN"/>
        </w:rPr>
        <w:t xml:space="preserve"> </w:t>
      </w:r>
      <w:r w:rsidRPr="00E96E9F">
        <w:rPr>
          <w:shd w:val="clear" w:color="auto" w:fill="FFFFFF"/>
          <w:lang w:eastAsia="zh-CN"/>
        </w:rPr>
        <w:t>(</w:t>
      </w:r>
      <w:proofErr w:type="spellStart"/>
      <w:r w:rsidRPr="00E96E9F">
        <w:rPr>
          <w:shd w:val="clear" w:color="auto" w:fill="FFFFFF"/>
          <w:lang w:eastAsia="zh-CN"/>
        </w:rPr>
        <w:t>somatrogon</w:t>
      </w:r>
      <w:proofErr w:type="spellEnd"/>
      <w:r w:rsidRPr="00E96E9F">
        <w:rPr>
          <w:shd w:val="clear" w:color="auto" w:fill="FFFFFF"/>
          <w:lang w:eastAsia="zh-CN"/>
        </w:rPr>
        <w:t>)</w:t>
      </w:r>
      <w:r w:rsidR="00F96B2F" w:rsidRPr="00E96E9F">
        <w:rPr>
          <w:shd w:val="clear" w:color="auto" w:fill="FFFFFF"/>
          <w:lang w:eastAsia="zh-CN"/>
        </w:rPr>
        <w:t xml:space="preserve"> </w:t>
      </w:r>
      <w:r w:rsidR="008966C7">
        <w:rPr>
          <w:shd w:val="clear" w:color="auto" w:fill="FFFFFF"/>
          <w:lang w:eastAsia="zh-CN"/>
        </w:rPr>
        <w:t>versus</w:t>
      </w:r>
      <w:r w:rsidR="00F96B2F" w:rsidRPr="00E96E9F">
        <w:rPr>
          <w:shd w:val="clear" w:color="auto" w:fill="FFFFFF"/>
          <w:lang w:eastAsia="zh-CN"/>
        </w:rPr>
        <w:t xml:space="preserve"> </w:t>
      </w:r>
      <w:r w:rsidRPr="00E96E9F">
        <w:rPr>
          <w:shd w:val="clear" w:color="auto" w:fill="FFFFFF"/>
          <w:lang w:eastAsia="zh-CN"/>
        </w:rPr>
        <w:t>25.2%</w:t>
      </w:r>
      <w:r w:rsidR="00F96B2F" w:rsidRPr="00E96E9F">
        <w:rPr>
          <w:shd w:val="clear" w:color="auto" w:fill="FFFFFF"/>
          <w:lang w:eastAsia="zh-CN"/>
        </w:rPr>
        <w:t xml:space="preserve"> </w:t>
      </w:r>
      <w:r w:rsidRPr="00E96E9F">
        <w:rPr>
          <w:shd w:val="clear" w:color="auto" w:fill="FFFFFF"/>
          <w:lang w:eastAsia="zh-CN"/>
        </w:rPr>
        <w:t>(somatropin).</w:t>
      </w:r>
      <w:r w:rsidR="00F96B2F" w:rsidRPr="00E96E9F">
        <w:rPr>
          <w:shd w:val="clear" w:color="auto" w:fill="FFFFFF"/>
          <w:lang w:eastAsia="zh-CN"/>
        </w:rPr>
        <w:t xml:space="preserve"> </w:t>
      </w:r>
      <w:r w:rsidRPr="00E96E9F">
        <w:rPr>
          <w:shd w:val="clear" w:color="auto" w:fill="FFFFFF"/>
          <w:lang w:eastAsia="zh-CN"/>
        </w:rPr>
        <w:t>Discontinuations</w:t>
      </w:r>
      <w:r w:rsidR="00F96B2F" w:rsidRPr="00E96E9F">
        <w:rPr>
          <w:shd w:val="clear" w:color="auto" w:fill="FFFFFF"/>
          <w:lang w:eastAsia="zh-CN"/>
        </w:rPr>
        <w:t xml:space="preserve"> </w:t>
      </w:r>
      <w:r w:rsidRPr="00E96E9F">
        <w:rPr>
          <w:shd w:val="clear" w:color="auto" w:fill="FFFFFF"/>
          <w:lang w:eastAsia="zh-CN"/>
        </w:rPr>
        <w:t>were</w:t>
      </w:r>
      <w:r w:rsidR="00F96B2F" w:rsidRPr="00E96E9F">
        <w:rPr>
          <w:shd w:val="clear" w:color="auto" w:fill="FFFFFF"/>
          <w:lang w:eastAsia="zh-CN"/>
        </w:rPr>
        <w:t xml:space="preserve"> </w:t>
      </w:r>
      <w:r w:rsidRPr="00E96E9F">
        <w:rPr>
          <w:shd w:val="clear" w:color="auto" w:fill="FFFFFF"/>
          <w:lang w:eastAsia="zh-CN"/>
        </w:rPr>
        <w:t>low</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both</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arms.</w:t>
      </w:r>
    </w:p>
    <w:p w14:paraId="700CF3C3" w14:textId="6915B6B8" w:rsidR="00811E0E" w:rsidRPr="00BF1BFB" w:rsidRDefault="00811E0E" w:rsidP="00D34B24">
      <w:pPr>
        <w:pStyle w:val="3-BodyText"/>
        <w:rPr>
          <w:iCs/>
          <w:color w:val="0066FF"/>
        </w:rPr>
      </w:pPr>
      <w:r w:rsidRPr="00E96E9F">
        <w:t>Among</w:t>
      </w:r>
      <w:r w:rsidR="008F4DF2" w:rsidRPr="00E96E9F">
        <w:t xml:space="preserve"> the</w:t>
      </w:r>
      <w:r w:rsidR="00F96B2F" w:rsidRPr="00E96E9F">
        <w:t xml:space="preserve"> </w:t>
      </w:r>
      <w:r w:rsidRPr="00E96E9F">
        <w:t>participants</w:t>
      </w:r>
      <w:r w:rsidR="00F96B2F" w:rsidRPr="00E96E9F">
        <w:t xml:space="preserve"> </w:t>
      </w:r>
      <w:r w:rsidRPr="00E96E9F">
        <w:t>of</w:t>
      </w:r>
      <w:r w:rsidR="00F96B2F" w:rsidRPr="00E96E9F">
        <w:t xml:space="preserve"> </w:t>
      </w:r>
      <w:r w:rsidRPr="00E96E9F">
        <w:t>Study</w:t>
      </w:r>
      <w:r w:rsidR="00F96B2F" w:rsidRPr="00E96E9F">
        <w:t xml:space="preserve"> </w:t>
      </w:r>
      <w:r w:rsidRPr="00E96E9F">
        <w:t>4006,</w:t>
      </w:r>
      <w:r w:rsidR="00F96B2F" w:rsidRPr="00E96E9F">
        <w:t xml:space="preserve"> </w:t>
      </w:r>
      <w:r w:rsidRPr="00E96E9F">
        <w:t>there</w:t>
      </w:r>
      <w:r w:rsidR="00F96B2F" w:rsidRPr="00E96E9F">
        <w:t xml:space="preserve"> </w:t>
      </w:r>
      <w:r w:rsidR="007B5983" w:rsidRPr="00E96E9F">
        <w:t xml:space="preserve">was </w:t>
      </w:r>
      <w:r w:rsidRPr="00E96E9F">
        <w:t>a</w:t>
      </w:r>
      <w:r w:rsidR="00F96B2F" w:rsidRPr="00E96E9F">
        <w:t xml:space="preserve"> </w:t>
      </w:r>
      <w:r w:rsidRPr="00E96E9F">
        <w:t>higher</w:t>
      </w:r>
      <w:r w:rsidR="00F96B2F" w:rsidRPr="00E96E9F">
        <w:t xml:space="preserve"> </w:t>
      </w:r>
      <w:r w:rsidRPr="00E96E9F">
        <w:t>risk</w:t>
      </w:r>
      <w:r w:rsidR="00F96B2F" w:rsidRPr="00E96E9F">
        <w:t xml:space="preserve"> </w:t>
      </w:r>
      <w:r w:rsidRPr="00E96E9F">
        <w:t>of</w:t>
      </w:r>
      <w:r w:rsidR="00F96B2F" w:rsidRPr="00E96E9F">
        <w:t xml:space="preserve"> </w:t>
      </w:r>
      <w:r w:rsidRPr="00E96E9F">
        <w:t>IGF-1</w:t>
      </w:r>
      <w:r w:rsidR="00F96B2F" w:rsidRPr="00E96E9F">
        <w:t xml:space="preserve"> </w:t>
      </w:r>
      <w:r w:rsidRPr="00E96E9F">
        <w:t>having</w:t>
      </w:r>
      <w:r w:rsidR="00F96B2F" w:rsidRPr="00E96E9F">
        <w:t xml:space="preserve"> </w:t>
      </w:r>
      <w:r w:rsidR="007B5983" w:rsidRPr="00E96E9F">
        <w:t xml:space="preserve">a </w:t>
      </w:r>
      <w:r w:rsidRPr="00E96E9F">
        <w:t>standard</w:t>
      </w:r>
      <w:r w:rsidR="00F96B2F" w:rsidRPr="00E96E9F">
        <w:t xml:space="preserve"> </w:t>
      </w:r>
      <w:r w:rsidRPr="00E96E9F">
        <w:t>deviation</w:t>
      </w:r>
      <w:r w:rsidR="00F96B2F" w:rsidRPr="00E96E9F">
        <w:t xml:space="preserve"> </w:t>
      </w:r>
      <w:r w:rsidRPr="00E96E9F">
        <w:t>&gt;2</w:t>
      </w:r>
      <w:r w:rsidR="00A20EB6">
        <w:t>;</w:t>
      </w:r>
      <w:r w:rsidR="00A20EB6" w:rsidRPr="00E96E9F">
        <w:t xml:space="preserve"> </w:t>
      </w:r>
      <w:r w:rsidRPr="00E96E9F">
        <w:t>26</w:t>
      </w:r>
      <w:r w:rsidR="00F96B2F" w:rsidRPr="00E96E9F">
        <w:t xml:space="preserve"> </w:t>
      </w:r>
      <w:r w:rsidRPr="00E96E9F">
        <w:t>(</w:t>
      </w:r>
      <w:proofErr w:type="spellStart"/>
      <w:r w:rsidRPr="00E96E9F">
        <w:t>somatrogon</w:t>
      </w:r>
      <w:proofErr w:type="spellEnd"/>
      <w:r w:rsidRPr="00E96E9F">
        <w:t>)</w:t>
      </w:r>
      <w:r w:rsidR="00F96B2F" w:rsidRPr="00E96E9F">
        <w:t xml:space="preserve"> </w:t>
      </w:r>
      <w:r w:rsidR="00A20EB6" w:rsidRPr="00E96E9F">
        <w:t>v</w:t>
      </w:r>
      <w:r w:rsidR="00A20EB6">
        <w:t>ersus</w:t>
      </w:r>
      <w:r w:rsidR="00F96B2F" w:rsidRPr="00E96E9F">
        <w:t xml:space="preserve"> </w:t>
      </w:r>
      <w:r w:rsidRPr="00E96E9F">
        <w:t>3</w:t>
      </w:r>
      <w:r w:rsidR="00F96B2F" w:rsidRPr="00E96E9F">
        <w:t xml:space="preserve"> </w:t>
      </w:r>
      <w:r w:rsidRPr="00E96E9F">
        <w:t>(</w:t>
      </w:r>
      <w:r w:rsidRPr="002D5BA0">
        <w:t>somatropin)</w:t>
      </w:r>
      <w:r w:rsidR="007B5983" w:rsidRPr="002D5BA0">
        <w:t xml:space="preserve">; </w:t>
      </w:r>
      <w:r w:rsidRPr="002D5BA0">
        <w:t>with</w:t>
      </w:r>
      <w:r w:rsidR="00F96B2F" w:rsidRPr="002D5BA0">
        <w:t xml:space="preserve"> </w:t>
      </w:r>
      <w:r w:rsidRPr="002D5BA0">
        <w:t>the</w:t>
      </w:r>
      <w:r w:rsidR="00F96B2F" w:rsidRPr="002D5BA0">
        <w:t xml:space="preserve"> </w:t>
      </w:r>
      <w:r w:rsidRPr="002D5BA0">
        <w:t>incidence</w:t>
      </w:r>
      <w:r w:rsidR="00F96B2F" w:rsidRPr="002D5BA0">
        <w:t xml:space="preserve"> </w:t>
      </w:r>
      <w:r w:rsidRPr="002D5BA0">
        <w:t>of</w:t>
      </w:r>
      <w:r w:rsidR="00F96B2F" w:rsidRPr="002D5BA0">
        <w:t xml:space="preserve"> </w:t>
      </w:r>
      <w:r w:rsidR="000D4CB8">
        <w:t xml:space="preserve">patients in </w:t>
      </w:r>
      <w:r w:rsidR="007B5983" w:rsidRPr="002D5BA0">
        <w:t xml:space="preserve">the </w:t>
      </w:r>
      <w:proofErr w:type="spellStart"/>
      <w:r w:rsidRPr="002D5BA0">
        <w:t>somatrogon</w:t>
      </w:r>
      <w:proofErr w:type="spellEnd"/>
      <w:r w:rsidR="00F96B2F" w:rsidRPr="002D5BA0">
        <w:t xml:space="preserve"> </w:t>
      </w:r>
      <w:r w:rsidRPr="002D5BA0">
        <w:t>group</w:t>
      </w:r>
      <w:r w:rsidR="00F96B2F" w:rsidRPr="002D5BA0">
        <w:t xml:space="preserve"> </w:t>
      </w:r>
      <w:r w:rsidRPr="002D5BA0">
        <w:t>with</w:t>
      </w:r>
      <w:r w:rsidR="00F96B2F" w:rsidRPr="002D5BA0">
        <w:t xml:space="preserve"> </w:t>
      </w:r>
      <w:r w:rsidR="000D4CB8">
        <w:t xml:space="preserve">an </w:t>
      </w:r>
      <w:r w:rsidRPr="002D5BA0">
        <w:t>IGF-1</w:t>
      </w:r>
      <w:r w:rsidR="00F96B2F" w:rsidRPr="002D5BA0">
        <w:t xml:space="preserve"> </w:t>
      </w:r>
      <w:r w:rsidRPr="002D5BA0">
        <w:t>SDS</w:t>
      </w:r>
      <w:r w:rsidR="00F96B2F" w:rsidRPr="002D5BA0">
        <w:t xml:space="preserve"> </w:t>
      </w:r>
      <w:r w:rsidRPr="002D5BA0">
        <w:t>&gt;2</w:t>
      </w:r>
      <w:r w:rsidR="00F96B2F" w:rsidRPr="002D5BA0">
        <w:t xml:space="preserve"> </w:t>
      </w:r>
      <w:r w:rsidRPr="002D5BA0">
        <w:t>increasing</w:t>
      </w:r>
      <w:r w:rsidR="00F96B2F" w:rsidRPr="002D5BA0">
        <w:t xml:space="preserve"> </w:t>
      </w:r>
      <w:r w:rsidRPr="002D5BA0">
        <w:t>over</w:t>
      </w:r>
      <w:r w:rsidR="00F96B2F" w:rsidRPr="002D5BA0">
        <w:t xml:space="preserve"> </w:t>
      </w:r>
      <w:r w:rsidRPr="002D5BA0">
        <w:t>time.</w:t>
      </w:r>
      <w:r w:rsidR="00F96B2F" w:rsidRPr="002D5BA0">
        <w:t xml:space="preserve"> </w:t>
      </w:r>
      <w:r w:rsidRPr="002D5BA0">
        <w:t>In</w:t>
      </w:r>
      <w:r w:rsidR="00F96B2F" w:rsidRPr="002D5BA0">
        <w:t xml:space="preserve"> </w:t>
      </w:r>
      <w:r w:rsidRPr="002D5BA0">
        <w:t>Study</w:t>
      </w:r>
      <w:r w:rsidR="00F96B2F" w:rsidRPr="002D5BA0">
        <w:t xml:space="preserve"> </w:t>
      </w:r>
      <w:r w:rsidRPr="002D5BA0">
        <w:t>4009,</w:t>
      </w:r>
      <w:r w:rsidR="00F96B2F" w:rsidRPr="002D5BA0">
        <w:t xml:space="preserve"> </w:t>
      </w:r>
      <w:r w:rsidRPr="002D5BA0">
        <w:t>there</w:t>
      </w:r>
      <w:r w:rsidR="00F96B2F" w:rsidRPr="002D5BA0">
        <w:t xml:space="preserve"> </w:t>
      </w:r>
      <w:r w:rsidR="008F4DF2" w:rsidRPr="002D5BA0">
        <w:t xml:space="preserve">was an </w:t>
      </w:r>
      <w:r w:rsidRPr="002D5BA0">
        <w:t>increasing</w:t>
      </w:r>
      <w:r w:rsidR="00F96B2F" w:rsidRPr="002D5BA0">
        <w:t xml:space="preserve"> </w:t>
      </w:r>
      <w:r w:rsidRPr="002D5BA0">
        <w:t>number</w:t>
      </w:r>
      <w:r w:rsidR="00F96B2F" w:rsidRPr="002D5BA0">
        <w:t xml:space="preserve"> </w:t>
      </w:r>
      <w:r w:rsidRPr="002D5BA0">
        <w:t>of</w:t>
      </w:r>
      <w:r w:rsidR="00F96B2F" w:rsidRPr="002D5BA0">
        <w:t xml:space="preserve"> </w:t>
      </w:r>
      <w:r w:rsidR="000D4CB8">
        <w:t>patients</w:t>
      </w:r>
      <w:r w:rsidR="000D4CB8" w:rsidRPr="002D5BA0">
        <w:t xml:space="preserve"> </w:t>
      </w:r>
      <w:r w:rsidRPr="002D5BA0">
        <w:t>with</w:t>
      </w:r>
      <w:r w:rsidR="00F96B2F" w:rsidRPr="002D5BA0">
        <w:t xml:space="preserve"> </w:t>
      </w:r>
      <w:r w:rsidR="000D4CB8">
        <w:t xml:space="preserve">an </w:t>
      </w:r>
      <w:r w:rsidRPr="002D5BA0">
        <w:t>IGF-1</w:t>
      </w:r>
      <w:r w:rsidR="00F96B2F" w:rsidRPr="002D5BA0">
        <w:t xml:space="preserve"> </w:t>
      </w:r>
      <w:r w:rsidRPr="002D5BA0">
        <w:t>SDS</w:t>
      </w:r>
      <w:r w:rsidR="00F96B2F" w:rsidRPr="002D5BA0">
        <w:t xml:space="preserve"> </w:t>
      </w:r>
      <w:r w:rsidRPr="002D5BA0">
        <w:t>&gt;2</w:t>
      </w:r>
      <w:r w:rsidR="00F96B2F" w:rsidRPr="002D5BA0">
        <w:t xml:space="preserve"> </w:t>
      </w:r>
      <w:r w:rsidR="000D4CB8">
        <w:t>in</w:t>
      </w:r>
      <w:r w:rsidR="000D4CB8" w:rsidRPr="002D5BA0">
        <w:t xml:space="preserve"> </w:t>
      </w:r>
      <w:r w:rsidR="008F4DF2" w:rsidRPr="002D5BA0">
        <w:t xml:space="preserve">the </w:t>
      </w:r>
      <w:proofErr w:type="spellStart"/>
      <w:r w:rsidRPr="002D5BA0">
        <w:t>somatrogon</w:t>
      </w:r>
      <w:proofErr w:type="spellEnd"/>
      <w:r w:rsidR="00F96B2F" w:rsidRPr="002D5BA0">
        <w:t xml:space="preserve"> </w:t>
      </w:r>
      <w:r w:rsidRPr="002D5BA0">
        <w:t>group.</w:t>
      </w:r>
      <w:r w:rsidR="00F96B2F" w:rsidRPr="002D5BA0">
        <w:t xml:space="preserve"> </w:t>
      </w:r>
      <w:r w:rsidR="00D34B24" w:rsidRPr="002D5BA0">
        <w:t>IGF-1 is not</w:t>
      </w:r>
      <w:r w:rsidR="00D34B24" w:rsidRPr="00BF1BFB">
        <w:t xml:space="preserve"> routinely monitored as part of ongoing clinical </w:t>
      </w:r>
      <w:proofErr w:type="gramStart"/>
      <w:r w:rsidR="00D34B24" w:rsidRPr="00BF1BFB">
        <w:t>care</w:t>
      </w:r>
      <w:proofErr w:type="gramEnd"/>
      <w:r w:rsidR="00D34B24" w:rsidRPr="00BF1BFB">
        <w:t xml:space="preserve"> </w:t>
      </w:r>
      <w:r w:rsidR="002D7731" w:rsidRPr="00BF1BFB">
        <w:t xml:space="preserve">so the clinical </w:t>
      </w:r>
      <w:r w:rsidR="00A51E44" w:rsidRPr="00BF1BFB">
        <w:t>significance of this</w:t>
      </w:r>
      <w:r w:rsidR="004363B0" w:rsidRPr="00BF1BFB">
        <w:t xml:space="preserve"> finding </w:t>
      </w:r>
      <w:r w:rsidR="0012188F">
        <w:t>wa</w:t>
      </w:r>
      <w:r w:rsidR="0012188F" w:rsidRPr="00BF1BFB">
        <w:t xml:space="preserve">s </w:t>
      </w:r>
      <w:r w:rsidR="004363B0" w:rsidRPr="00BF1BFB">
        <w:t>uncertain</w:t>
      </w:r>
      <w:r w:rsidRPr="00BF1BFB">
        <w:t>.</w:t>
      </w:r>
      <w:r w:rsidR="00F96B2F" w:rsidRPr="00BF1BFB">
        <w:t xml:space="preserve"> </w:t>
      </w:r>
    </w:p>
    <w:p w14:paraId="3BF080CB" w14:textId="3B1B80F8" w:rsidR="00811E0E" w:rsidRPr="00BF1BFB" w:rsidRDefault="00811E0E" w:rsidP="00811E0E">
      <w:pPr>
        <w:pStyle w:val="3-BodyText"/>
        <w:rPr>
          <w:iCs/>
          <w:color w:val="0066FF"/>
        </w:rPr>
      </w:pPr>
      <w:r w:rsidRPr="00E96E9F">
        <w:rPr>
          <w:shd w:val="clear" w:color="auto" w:fill="FFFFFF"/>
          <w:lang w:eastAsia="zh-CN"/>
        </w:rPr>
        <w:t>Among</w:t>
      </w:r>
      <w:r w:rsidR="00F96B2F" w:rsidRPr="00E96E9F">
        <w:rPr>
          <w:shd w:val="clear" w:color="auto" w:fill="FFFFFF"/>
          <w:lang w:eastAsia="zh-CN"/>
        </w:rPr>
        <w:t xml:space="preserve"> </w:t>
      </w:r>
      <w:r w:rsidR="000D4CB8">
        <w:rPr>
          <w:shd w:val="clear" w:color="auto" w:fill="FFFFFF"/>
          <w:lang w:eastAsia="zh-CN"/>
        </w:rPr>
        <w:t xml:space="preserve">the </w:t>
      </w:r>
      <w:r w:rsidRPr="00E96E9F">
        <w:rPr>
          <w:shd w:val="clear" w:color="auto" w:fill="FFFFFF"/>
          <w:lang w:eastAsia="zh-CN"/>
        </w:rPr>
        <w:t>participants</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4006,</w:t>
      </w:r>
      <w:r w:rsidR="00F96B2F" w:rsidRPr="00E96E9F">
        <w:rPr>
          <w:shd w:val="clear" w:color="auto" w:fill="FFFFFF"/>
          <w:lang w:eastAsia="zh-CN"/>
        </w:rPr>
        <w:t xml:space="preserve"> </w:t>
      </w:r>
      <w:r w:rsidRPr="00E96E9F">
        <w:rPr>
          <w:shd w:val="clear" w:color="auto" w:fill="FFFFFF"/>
          <w:lang w:eastAsia="zh-CN"/>
        </w:rPr>
        <w:t>84/109</w:t>
      </w:r>
      <w:r w:rsidR="00F96B2F" w:rsidRPr="00E96E9F">
        <w:rPr>
          <w:shd w:val="clear" w:color="auto" w:fill="FFFFFF"/>
          <w:lang w:eastAsia="zh-CN"/>
        </w:rPr>
        <w:t xml:space="preserve"> </w:t>
      </w:r>
      <w:r w:rsidRPr="00E96E9F">
        <w:rPr>
          <w:shd w:val="clear" w:color="auto" w:fill="FFFFFF"/>
          <w:lang w:eastAsia="zh-CN"/>
        </w:rPr>
        <w:t>(77%)</w:t>
      </w:r>
      <w:r w:rsidR="00F96B2F" w:rsidRPr="00E96E9F">
        <w:rPr>
          <w:shd w:val="clear" w:color="auto" w:fill="FFFFFF"/>
          <w:lang w:eastAsia="zh-CN"/>
        </w:rPr>
        <w:t xml:space="preserve"> </w:t>
      </w:r>
      <w:r w:rsidR="000D4CB8">
        <w:rPr>
          <w:shd w:val="clear" w:color="auto" w:fill="FFFFFF"/>
          <w:lang w:eastAsia="zh-CN"/>
        </w:rPr>
        <w:t>patient</w:t>
      </w:r>
      <w:r w:rsidR="000D4CB8" w:rsidRPr="00E96E9F">
        <w:rPr>
          <w:shd w:val="clear" w:color="auto" w:fill="FFFFFF"/>
          <w:lang w:eastAsia="zh-CN"/>
        </w:rPr>
        <w:t xml:space="preserve">s </w:t>
      </w:r>
      <w:r w:rsidR="000D4CB8">
        <w:rPr>
          <w:shd w:val="clear" w:color="auto" w:fill="FFFFFF"/>
          <w:lang w:eastAsia="zh-CN"/>
        </w:rPr>
        <w:t xml:space="preserve">using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tested</w:t>
      </w:r>
      <w:r w:rsidR="00F96B2F" w:rsidRPr="00E96E9F">
        <w:rPr>
          <w:shd w:val="clear" w:color="auto" w:fill="FFFFFF"/>
          <w:lang w:eastAsia="zh-CN"/>
        </w:rPr>
        <w:t xml:space="preserve"> </w:t>
      </w:r>
      <w:r w:rsidRPr="00E96E9F">
        <w:rPr>
          <w:shd w:val="clear" w:color="auto" w:fill="FFFFFF"/>
          <w:lang w:eastAsia="zh-CN"/>
        </w:rPr>
        <w:t>positive</w:t>
      </w:r>
      <w:r w:rsidR="00F96B2F" w:rsidRPr="00E96E9F">
        <w:rPr>
          <w:shd w:val="clear" w:color="auto" w:fill="FFFFFF"/>
          <w:lang w:eastAsia="zh-CN"/>
        </w:rPr>
        <w:t xml:space="preserve"> </w:t>
      </w:r>
      <w:r w:rsidRPr="00E96E9F">
        <w:rPr>
          <w:shd w:val="clear" w:color="auto" w:fill="FFFFFF"/>
          <w:lang w:eastAsia="zh-CN"/>
        </w:rPr>
        <w:t>for</w:t>
      </w:r>
      <w:r w:rsidR="00F96B2F" w:rsidRPr="00E96E9F">
        <w:rPr>
          <w:shd w:val="clear" w:color="auto" w:fill="FFFFFF"/>
          <w:lang w:eastAsia="zh-CN"/>
        </w:rPr>
        <w:t xml:space="preserve"> </w:t>
      </w:r>
      <w:r w:rsidRPr="00E96E9F">
        <w:rPr>
          <w:shd w:val="clear" w:color="auto" w:fill="FFFFFF"/>
          <w:lang w:eastAsia="zh-CN"/>
        </w:rPr>
        <w:t>anti-drug</w:t>
      </w:r>
      <w:r w:rsidR="00F96B2F" w:rsidRPr="00E96E9F">
        <w:rPr>
          <w:shd w:val="clear" w:color="auto" w:fill="FFFFFF"/>
          <w:lang w:eastAsia="zh-CN"/>
        </w:rPr>
        <w:t xml:space="preserve"> </w:t>
      </w:r>
      <w:r w:rsidRPr="00E96E9F">
        <w:rPr>
          <w:shd w:val="clear" w:color="auto" w:fill="FFFFFF"/>
          <w:lang w:eastAsia="zh-CN"/>
        </w:rPr>
        <w:t>antibodies</w:t>
      </w:r>
      <w:r w:rsidR="00F96B2F" w:rsidRPr="00E96E9F">
        <w:rPr>
          <w:shd w:val="clear" w:color="auto" w:fill="FFFFFF"/>
          <w:lang w:eastAsia="zh-CN"/>
        </w:rPr>
        <w:t xml:space="preserve"> </w:t>
      </w:r>
      <w:r w:rsidRPr="00E96E9F">
        <w:rPr>
          <w:shd w:val="clear" w:color="auto" w:fill="FFFFFF"/>
          <w:lang w:eastAsia="zh-CN"/>
        </w:rPr>
        <w:t>compared</w:t>
      </w:r>
      <w:r w:rsidR="00F96B2F" w:rsidRPr="00E96E9F">
        <w:rPr>
          <w:shd w:val="clear" w:color="auto" w:fill="FFFFFF"/>
          <w:lang w:eastAsia="zh-CN"/>
        </w:rPr>
        <w:t xml:space="preserve"> </w:t>
      </w:r>
      <w:r w:rsidRPr="00E96E9F">
        <w:rPr>
          <w:shd w:val="clear" w:color="auto" w:fill="FFFFFF"/>
          <w:lang w:eastAsia="zh-CN"/>
        </w:rPr>
        <w:t>with</w:t>
      </w:r>
      <w:r w:rsidR="00F96B2F" w:rsidRPr="00E96E9F">
        <w:rPr>
          <w:shd w:val="clear" w:color="auto" w:fill="FFFFFF"/>
          <w:lang w:eastAsia="zh-CN"/>
        </w:rPr>
        <w:t xml:space="preserve"> </w:t>
      </w:r>
      <w:r w:rsidRPr="00E96E9F">
        <w:rPr>
          <w:shd w:val="clear" w:color="auto" w:fill="FFFFFF"/>
          <w:lang w:eastAsia="zh-CN"/>
        </w:rPr>
        <w:t>18/115</w:t>
      </w:r>
      <w:r w:rsidR="00F96B2F" w:rsidRPr="00E96E9F">
        <w:rPr>
          <w:shd w:val="clear" w:color="auto" w:fill="FFFFFF"/>
          <w:lang w:eastAsia="zh-CN"/>
        </w:rPr>
        <w:t xml:space="preserve"> </w:t>
      </w:r>
      <w:r w:rsidRPr="00E96E9F">
        <w:rPr>
          <w:shd w:val="clear" w:color="auto" w:fill="FFFFFF"/>
          <w:lang w:eastAsia="zh-CN"/>
        </w:rPr>
        <w:t>(16%)</w:t>
      </w:r>
      <w:r w:rsidR="00F96B2F" w:rsidRPr="00E96E9F">
        <w:rPr>
          <w:shd w:val="clear" w:color="auto" w:fill="FFFFFF"/>
          <w:lang w:eastAsia="zh-CN"/>
        </w:rPr>
        <w:t xml:space="preserve"> </w:t>
      </w:r>
      <w:r w:rsidR="000D4CB8">
        <w:rPr>
          <w:shd w:val="clear" w:color="auto" w:fill="FFFFFF"/>
          <w:lang w:eastAsia="zh-CN"/>
        </w:rPr>
        <w:t>who were</w:t>
      </w:r>
      <w:r w:rsidR="000D4CB8" w:rsidRPr="00E96E9F">
        <w:rPr>
          <w:shd w:val="clear" w:color="auto" w:fill="FFFFFF"/>
          <w:lang w:eastAsia="zh-CN"/>
        </w:rPr>
        <w:t xml:space="preserve"> </w:t>
      </w:r>
      <w:r w:rsidR="000D4CB8">
        <w:rPr>
          <w:shd w:val="clear" w:color="auto" w:fill="FFFFFF"/>
          <w:lang w:eastAsia="zh-CN"/>
        </w:rPr>
        <w:t xml:space="preserve">using </w:t>
      </w:r>
      <w:r w:rsidRPr="00E96E9F">
        <w:rPr>
          <w:shd w:val="clear" w:color="auto" w:fill="FFFFFF"/>
          <w:lang w:eastAsia="zh-CN"/>
        </w:rPr>
        <w:t>somatropin</w:t>
      </w:r>
      <w:r w:rsidRPr="002D5BA0">
        <w:rPr>
          <w:shd w:val="clear" w:color="auto" w:fill="FFFFFF"/>
          <w:lang w:eastAsia="zh-CN"/>
        </w:rPr>
        <w:t>.</w:t>
      </w:r>
      <w:r w:rsidR="00F96B2F" w:rsidRPr="002D5BA0">
        <w:rPr>
          <w:shd w:val="clear" w:color="auto" w:fill="FFFFFF"/>
          <w:lang w:eastAsia="zh-CN"/>
        </w:rPr>
        <w:t xml:space="preserve"> </w:t>
      </w:r>
      <w:r w:rsidRPr="002D5BA0">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these,</w:t>
      </w:r>
      <w:r w:rsidR="00F96B2F" w:rsidRPr="00E96E9F">
        <w:rPr>
          <w:shd w:val="clear" w:color="auto" w:fill="FFFFFF"/>
          <w:lang w:eastAsia="zh-CN"/>
        </w:rPr>
        <w:t xml:space="preserve"> </w:t>
      </w:r>
      <w:r w:rsidR="000D4CB8">
        <w:rPr>
          <w:shd w:val="clear" w:color="auto" w:fill="FFFFFF"/>
          <w:lang w:eastAsia="zh-CN"/>
        </w:rPr>
        <w:t>two</w:t>
      </w:r>
      <w:r w:rsidR="000D4CB8" w:rsidRPr="00E96E9F">
        <w:rPr>
          <w:shd w:val="clear" w:color="auto" w:fill="FFFFFF"/>
          <w:lang w:eastAsia="zh-CN"/>
        </w:rPr>
        <w:t xml:space="preserve"> </w:t>
      </w:r>
      <w:r w:rsidR="000D4CB8">
        <w:rPr>
          <w:shd w:val="clear" w:color="auto" w:fill="FFFFFF"/>
          <w:lang w:eastAsia="zh-CN"/>
        </w:rPr>
        <w:t xml:space="preserve">patients using </w:t>
      </w:r>
      <w:proofErr w:type="spellStart"/>
      <w:r w:rsidR="000D4CB8">
        <w:rPr>
          <w:shd w:val="clear" w:color="auto" w:fill="FFFFFF"/>
          <w:lang w:eastAsia="zh-CN"/>
        </w:rPr>
        <w:t>somatrogon</w:t>
      </w:r>
      <w:proofErr w:type="spellEnd"/>
      <w:r w:rsidR="000D4CB8">
        <w:rPr>
          <w:shd w:val="clear" w:color="auto" w:fill="FFFFFF"/>
          <w:lang w:eastAsia="zh-CN"/>
        </w:rPr>
        <w:t xml:space="preserve"> </w:t>
      </w:r>
      <w:r w:rsidRPr="00E96E9F">
        <w:rPr>
          <w:shd w:val="clear" w:color="auto" w:fill="FFFFFF"/>
          <w:lang w:eastAsia="zh-CN"/>
        </w:rPr>
        <w:t>had</w:t>
      </w:r>
      <w:r w:rsidR="00F96B2F" w:rsidRPr="00E96E9F">
        <w:rPr>
          <w:shd w:val="clear" w:color="auto" w:fill="FFFFFF"/>
          <w:lang w:eastAsia="zh-CN"/>
        </w:rPr>
        <w:t xml:space="preserve"> </w:t>
      </w:r>
      <w:r w:rsidRPr="00E96E9F">
        <w:rPr>
          <w:shd w:val="clear" w:color="auto" w:fill="FFFFFF"/>
          <w:lang w:eastAsia="zh-CN"/>
        </w:rPr>
        <w:t>neutralizing</w:t>
      </w:r>
      <w:r w:rsidR="00F96B2F" w:rsidRPr="00E96E9F">
        <w:rPr>
          <w:shd w:val="clear" w:color="auto" w:fill="FFFFFF"/>
          <w:lang w:eastAsia="zh-CN"/>
        </w:rPr>
        <w:t xml:space="preserve"> </w:t>
      </w:r>
      <w:r w:rsidRPr="00E96E9F">
        <w:rPr>
          <w:shd w:val="clear" w:color="auto" w:fill="FFFFFF"/>
          <w:lang w:eastAsia="zh-CN"/>
        </w:rPr>
        <w:t>antibodies</w:t>
      </w:r>
      <w:r w:rsidR="00F96B2F" w:rsidRPr="00E96E9F">
        <w:rPr>
          <w:shd w:val="clear" w:color="auto" w:fill="FFFFFF"/>
          <w:lang w:eastAsia="zh-CN"/>
        </w:rPr>
        <w:t xml:space="preserve"> </w:t>
      </w:r>
      <w:r w:rsidR="000D4CB8">
        <w:rPr>
          <w:shd w:val="clear" w:color="auto" w:fill="FFFFFF"/>
          <w:lang w:eastAsia="zh-CN"/>
        </w:rPr>
        <w:t>compared with zero patients using somatropin</w:t>
      </w:r>
      <w:r w:rsidRPr="00E96E9F">
        <w:rPr>
          <w:shd w:val="clear" w:color="auto" w:fill="FFFFFF"/>
          <w:lang w:eastAsia="zh-CN"/>
        </w:rPr>
        <w:t>.</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4004,</w:t>
      </w:r>
      <w:r w:rsidR="00F96B2F" w:rsidRPr="00E96E9F">
        <w:rPr>
          <w:shd w:val="clear" w:color="auto" w:fill="FFFFFF"/>
          <w:lang w:eastAsia="zh-CN"/>
        </w:rPr>
        <w:t xml:space="preserve"> </w:t>
      </w:r>
      <w:r w:rsidRPr="00E96E9F">
        <w:rPr>
          <w:shd w:val="clear" w:color="auto" w:fill="FFFFFF"/>
          <w:lang w:eastAsia="zh-CN"/>
        </w:rPr>
        <w:t>anti-drug</w:t>
      </w:r>
      <w:r w:rsidR="00F96B2F" w:rsidRPr="00E96E9F">
        <w:rPr>
          <w:shd w:val="clear" w:color="auto" w:fill="FFFFFF"/>
          <w:lang w:eastAsia="zh-CN"/>
        </w:rPr>
        <w:t xml:space="preserve"> </w:t>
      </w:r>
      <w:r w:rsidRPr="00E96E9F">
        <w:rPr>
          <w:shd w:val="clear" w:color="auto" w:fill="FFFFFF"/>
          <w:lang w:eastAsia="zh-CN"/>
        </w:rPr>
        <w:t>antibodies</w:t>
      </w:r>
      <w:r w:rsidR="00F96B2F" w:rsidRPr="00E96E9F">
        <w:rPr>
          <w:shd w:val="clear" w:color="auto" w:fill="FFFFFF"/>
          <w:lang w:eastAsia="zh-CN"/>
        </w:rPr>
        <w:t xml:space="preserve"> </w:t>
      </w:r>
      <w:r w:rsidRPr="00E96E9F">
        <w:rPr>
          <w:shd w:val="clear" w:color="auto" w:fill="FFFFFF"/>
          <w:lang w:eastAsia="zh-CN"/>
        </w:rPr>
        <w:t>were</w:t>
      </w:r>
      <w:r w:rsidR="00F96B2F" w:rsidRPr="00E96E9F">
        <w:rPr>
          <w:shd w:val="clear" w:color="auto" w:fill="FFFFFF"/>
          <w:lang w:eastAsia="zh-CN"/>
        </w:rPr>
        <w:t xml:space="preserve"> </w:t>
      </w:r>
      <w:r w:rsidRPr="00E96E9F">
        <w:rPr>
          <w:shd w:val="clear" w:color="auto" w:fill="FFFFFF"/>
          <w:lang w:eastAsia="zh-CN"/>
        </w:rPr>
        <w:t>detected</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24%</w:t>
      </w:r>
      <w:r w:rsidR="00F96B2F" w:rsidRPr="00E96E9F">
        <w:rPr>
          <w:shd w:val="clear" w:color="auto" w:fill="FFFFFF"/>
          <w:lang w:eastAsia="zh-CN"/>
        </w:rPr>
        <w:t xml:space="preserve"> </w:t>
      </w:r>
      <w:r w:rsidR="000D4CB8">
        <w:rPr>
          <w:shd w:val="clear" w:color="auto" w:fill="FFFFFF"/>
          <w:lang w:eastAsia="zh-CN"/>
        </w:rPr>
        <w:t xml:space="preserve">of patients using </w:t>
      </w:r>
      <w:proofErr w:type="spellStart"/>
      <w:r w:rsidRPr="00E96E9F">
        <w:rPr>
          <w:shd w:val="clear" w:color="auto" w:fill="FFFFFF"/>
          <w:lang w:eastAsia="zh-CN"/>
        </w:rPr>
        <w:t>somatrogon</w:t>
      </w:r>
      <w:proofErr w:type="spellEnd"/>
      <w:r w:rsidR="000D4CB8">
        <w:rPr>
          <w:shd w:val="clear" w:color="auto" w:fill="FFFFFF"/>
          <w:lang w:eastAsia="zh-CN"/>
        </w:rPr>
        <w:t xml:space="preserve"> versus</w:t>
      </w:r>
      <w:r w:rsidR="00F96B2F" w:rsidRPr="00E96E9F">
        <w:rPr>
          <w:shd w:val="clear" w:color="auto" w:fill="FFFFFF"/>
          <w:lang w:eastAsia="zh-CN"/>
        </w:rPr>
        <w:t xml:space="preserve"> </w:t>
      </w:r>
      <w:r w:rsidRPr="00E96E9F">
        <w:rPr>
          <w:shd w:val="clear" w:color="auto" w:fill="FFFFFF"/>
          <w:lang w:eastAsia="zh-CN"/>
        </w:rPr>
        <w:t>18%</w:t>
      </w:r>
      <w:r w:rsidR="00F96B2F" w:rsidRPr="00E96E9F">
        <w:rPr>
          <w:shd w:val="clear" w:color="auto" w:fill="FFFFFF"/>
          <w:lang w:eastAsia="zh-CN"/>
        </w:rPr>
        <w:t xml:space="preserve"> </w:t>
      </w:r>
      <w:r w:rsidR="000D4CB8">
        <w:rPr>
          <w:shd w:val="clear" w:color="auto" w:fill="FFFFFF"/>
          <w:lang w:eastAsia="zh-CN"/>
        </w:rPr>
        <w:t xml:space="preserve">of patients using </w:t>
      </w:r>
      <w:r w:rsidRPr="00E96E9F">
        <w:rPr>
          <w:shd w:val="clear" w:color="auto" w:fill="FFFFFF"/>
          <w:lang w:eastAsia="zh-CN"/>
        </w:rPr>
        <w:t>somatropin,</w:t>
      </w:r>
      <w:r w:rsidR="00F96B2F" w:rsidRPr="00E96E9F">
        <w:rPr>
          <w:shd w:val="clear" w:color="auto" w:fill="FFFFFF"/>
          <w:lang w:eastAsia="zh-CN"/>
        </w:rPr>
        <w:t xml:space="preserve"> </w:t>
      </w:r>
      <w:r w:rsidRPr="00E96E9F">
        <w:rPr>
          <w:shd w:val="clear" w:color="auto" w:fill="FFFFFF"/>
          <w:lang w:eastAsia="zh-CN"/>
        </w:rPr>
        <w:t>but</w:t>
      </w:r>
      <w:r w:rsidR="00F96B2F" w:rsidRPr="00E96E9F">
        <w:rPr>
          <w:shd w:val="clear" w:color="auto" w:fill="FFFFFF"/>
          <w:lang w:eastAsia="zh-CN"/>
        </w:rPr>
        <w:t xml:space="preserve"> </w:t>
      </w:r>
      <w:r w:rsidRPr="00E96E9F">
        <w:rPr>
          <w:shd w:val="clear" w:color="auto" w:fill="FFFFFF"/>
          <w:lang w:eastAsia="zh-CN"/>
        </w:rPr>
        <w:t>none</w:t>
      </w:r>
      <w:r w:rsidR="00F96B2F" w:rsidRPr="00E96E9F">
        <w:rPr>
          <w:shd w:val="clear" w:color="auto" w:fill="FFFFFF"/>
          <w:lang w:eastAsia="zh-CN"/>
        </w:rPr>
        <w:t xml:space="preserve"> </w:t>
      </w:r>
      <w:r w:rsidRPr="00E96E9F">
        <w:rPr>
          <w:shd w:val="clear" w:color="auto" w:fill="FFFFFF"/>
          <w:lang w:eastAsia="zh-CN"/>
        </w:rPr>
        <w:t>had</w:t>
      </w:r>
      <w:r w:rsidR="00F96B2F" w:rsidRPr="00E96E9F">
        <w:rPr>
          <w:shd w:val="clear" w:color="auto" w:fill="FFFFFF"/>
          <w:lang w:eastAsia="zh-CN"/>
        </w:rPr>
        <w:t xml:space="preserve"> </w:t>
      </w:r>
      <w:r w:rsidRPr="00E96E9F">
        <w:rPr>
          <w:shd w:val="clear" w:color="auto" w:fill="FFFFFF"/>
          <w:lang w:eastAsia="zh-CN"/>
        </w:rPr>
        <w:t>neutralizing</w:t>
      </w:r>
      <w:r w:rsidR="00F96B2F" w:rsidRPr="00E96E9F">
        <w:rPr>
          <w:shd w:val="clear" w:color="auto" w:fill="FFFFFF"/>
          <w:lang w:eastAsia="zh-CN"/>
        </w:rPr>
        <w:t xml:space="preserve"> </w:t>
      </w:r>
      <w:r w:rsidRPr="00E96E9F">
        <w:rPr>
          <w:shd w:val="clear" w:color="auto" w:fill="FFFFFF"/>
          <w:lang w:eastAsia="zh-CN"/>
        </w:rPr>
        <w:t>activity.</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Study</w:t>
      </w:r>
      <w:r w:rsidR="00F96B2F" w:rsidRPr="00E96E9F">
        <w:rPr>
          <w:shd w:val="clear" w:color="auto" w:fill="FFFFFF"/>
          <w:lang w:eastAsia="zh-CN"/>
        </w:rPr>
        <w:t xml:space="preserve"> </w:t>
      </w:r>
      <w:r w:rsidRPr="00E96E9F">
        <w:rPr>
          <w:shd w:val="clear" w:color="auto" w:fill="FFFFFF"/>
          <w:lang w:eastAsia="zh-CN"/>
        </w:rPr>
        <w:t>4009,</w:t>
      </w:r>
      <w:r w:rsidR="00F96B2F" w:rsidRPr="00E96E9F">
        <w:rPr>
          <w:shd w:val="clear" w:color="auto" w:fill="FFFFFF"/>
          <w:lang w:eastAsia="zh-CN"/>
        </w:rPr>
        <w:t xml:space="preserve"> </w:t>
      </w:r>
      <w:r w:rsidRPr="00E96E9F">
        <w:rPr>
          <w:shd w:val="clear" w:color="auto" w:fill="FFFFFF"/>
          <w:lang w:eastAsia="zh-CN"/>
        </w:rPr>
        <w:t>anti-drug</w:t>
      </w:r>
      <w:r w:rsidR="00F96B2F" w:rsidRPr="00E96E9F">
        <w:rPr>
          <w:shd w:val="clear" w:color="auto" w:fill="FFFFFF"/>
          <w:lang w:eastAsia="zh-CN"/>
        </w:rPr>
        <w:t xml:space="preserve"> </w:t>
      </w:r>
      <w:r w:rsidRPr="00E96E9F">
        <w:rPr>
          <w:shd w:val="clear" w:color="auto" w:fill="FFFFFF"/>
          <w:lang w:eastAsia="zh-CN"/>
        </w:rPr>
        <w:t>antibodies</w:t>
      </w:r>
      <w:r w:rsidR="00F96B2F" w:rsidRPr="00E96E9F">
        <w:rPr>
          <w:shd w:val="clear" w:color="auto" w:fill="FFFFFF"/>
          <w:lang w:eastAsia="zh-CN"/>
        </w:rPr>
        <w:t xml:space="preserve"> </w:t>
      </w:r>
      <w:r w:rsidRPr="00E96E9F">
        <w:rPr>
          <w:shd w:val="clear" w:color="auto" w:fill="FFFFFF"/>
          <w:lang w:eastAsia="zh-CN"/>
        </w:rPr>
        <w:lastRenderedPageBreak/>
        <w:t>were</w:t>
      </w:r>
      <w:r w:rsidR="00F96B2F" w:rsidRPr="00E96E9F">
        <w:rPr>
          <w:shd w:val="clear" w:color="auto" w:fill="FFFFFF"/>
          <w:lang w:eastAsia="zh-CN"/>
        </w:rPr>
        <w:t xml:space="preserve"> </w:t>
      </w:r>
      <w:r w:rsidRPr="00E96E9F">
        <w:rPr>
          <w:shd w:val="clear" w:color="auto" w:fill="FFFFFF"/>
          <w:lang w:eastAsia="zh-CN"/>
        </w:rPr>
        <w:t>detected</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18/22</w:t>
      </w:r>
      <w:r w:rsidR="00F96B2F" w:rsidRPr="00E96E9F">
        <w:rPr>
          <w:shd w:val="clear" w:color="auto" w:fill="FFFFFF"/>
          <w:lang w:eastAsia="zh-CN"/>
        </w:rPr>
        <w:t xml:space="preserve"> </w:t>
      </w:r>
      <w:r w:rsidR="000D4CB8">
        <w:rPr>
          <w:shd w:val="clear" w:color="auto" w:fill="FFFFFF"/>
          <w:lang w:eastAsia="zh-CN"/>
        </w:rPr>
        <w:t xml:space="preserve">patients using </w:t>
      </w:r>
      <w:proofErr w:type="spellStart"/>
      <w:r w:rsidRPr="00E96E9F">
        <w:rPr>
          <w:shd w:val="clear" w:color="auto" w:fill="FFFFFF"/>
          <w:lang w:eastAsia="zh-CN"/>
        </w:rPr>
        <w:t>somatrogon</w:t>
      </w:r>
      <w:proofErr w:type="spellEnd"/>
      <w:r w:rsidR="000D4CB8">
        <w:rPr>
          <w:shd w:val="clear" w:color="auto" w:fill="FFFFFF"/>
          <w:lang w:eastAsia="zh-CN"/>
        </w:rPr>
        <w:t xml:space="preserve"> versus</w:t>
      </w:r>
      <w:r w:rsidR="00F96B2F" w:rsidRPr="00E96E9F">
        <w:rPr>
          <w:shd w:val="clear" w:color="auto" w:fill="FFFFFF"/>
          <w:lang w:eastAsia="zh-CN"/>
        </w:rPr>
        <w:t xml:space="preserve"> </w:t>
      </w:r>
      <w:r w:rsidRPr="00E96E9F">
        <w:rPr>
          <w:shd w:val="clear" w:color="auto" w:fill="FFFFFF"/>
          <w:lang w:eastAsia="zh-CN"/>
        </w:rPr>
        <w:t>4/22</w:t>
      </w:r>
      <w:r w:rsidR="00F96B2F" w:rsidRPr="00E96E9F">
        <w:rPr>
          <w:shd w:val="clear" w:color="auto" w:fill="FFFFFF"/>
          <w:lang w:eastAsia="zh-CN"/>
        </w:rPr>
        <w:t xml:space="preserve"> </w:t>
      </w:r>
      <w:r w:rsidR="000D4CB8">
        <w:rPr>
          <w:shd w:val="clear" w:color="auto" w:fill="FFFFFF"/>
          <w:lang w:eastAsia="zh-CN"/>
        </w:rPr>
        <w:t xml:space="preserve">patients using </w:t>
      </w:r>
      <w:r w:rsidRPr="00E96E9F">
        <w:rPr>
          <w:shd w:val="clear" w:color="auto" w:fill="FFFFFF"/>
          <w:lang w:eastAsia="zh-CN"/>
        </w:rPr>
        <w:t>somatropin.</w:t>
      </w:r>
      <w:r w:rsidR="00F96B2F" w:rsidRPr="00E96E9F">
        <w:rPr>
          <w:shd w:val="clear" w:color="auto" w:fill="FFFFFF"/>
          <w:lang w:eastAsia="zh-CN"/>
        </w:rPr>
        <w:t xml:space="preserve"> </w:t>
      </w:r>
      <w:r w:rsidRPr="00E96E9F">
        <w:rPr>
          <w:shd w:val="clear" w:color="auto" w:fill="FFFFFF"/>
          <w:lang w:eastAsia="zh-CN"/>
        </w:rPr>
        <w:t>Among</w:t>
      </w:r>
      <w:r w:rsidR="00F96B2F" w:rsidRPr="00E96E9F">
        <w:rPr>
          <w:shd w:val="clear" w:color="auto" w:fill="FFFFFF"/>
          <w:lang w:eastAsia="zh-CN"/>
        </w:rPr>
        <w:t xml:space="preserve"> </w:t>
      </w:r>
      <w:r w:rsidRPr="00E96E9F">
        <w:rPr>
          <w:shd w:val="clear" w:color="auto" w:fill="FFFFFF"/>
          <w:lang w:eastAsia="zh-CN"/>
        </w:rPr>
        <w:t>these,</w:t>
      </w:r>
      <w:r w:rsidR="00F96B2F" w:rsidRPr="00E96E9F">
        <w:rPr>
          <w:shd w:val="clear" w:color="auto" w:fill="FFFFFF"/>
          <w:lang w:eastAsia="zh-CN"/>
        </w:rPr>
        <w:t xml:space="preserve"> </w:t>
      </w:r>
      <w:r w:rsidRPr="00E96E9F">
        <w:rPr>
          <w:shd w:val="clear" w:color="auto" w:fill="FFFFFF"/>
          <w:lang w:eastAsia="zh-CN"/>
        </w:rPr>
        <w:t>2/77</w:t>
      </w:r>
      <w:r w:rsidR="00F96B2F" w:rsidRPr="00E96E9F">
        <w:rPr>
          <w:shd w:val="clear" w:color="auto" w:fill="FFFFFF"/>
          <w:lang w:eastAsia="zh-CN"/>
        </w:rPr>
        <w:t xml:space="preserve">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samples</w:t>
      </w:r>
      <w:r w:rsidR="00F96B2F" w:rsidRPr="00E96E9F">
        <w:rPr>
          <w:shd w:val="clear" w:color="auto" w:fill="FFFFFF"/>
          <w:lang w:eastAsia="zh-CN"/>
        </w:rPr>
        <w:t xml:space="preserve"> </w:t>
      </w:r>
      <w:r w:rsidRPr="00E96E9F">
        <w:rPr>
          <w:shd w:val="clear" w:color="auto" w:fill="FFFFFF"/>
          <w:lang w:eastAsia="zh-CN"/>
        </w:rPr>
        <w:t>had</w:t>
      </w:r>
      <w:r w:rsidR="00F96B2F" w:rsidRPr="00E96E9F">
        <w:rPr>
          <w:shd w:val="clear" w:color="auto" w:fill="FFFFFF"/>
          <w:lang w:eastAsia="zh-CN"/>
        </w:rPr>
        <w:t xml:space="preserve"> </w:t>
      </w:r>
      <w:r w:rsidRPr="00E96E9F">
        <w:rPr>
          <w:shd w:val="clear" w:color="auto" w:fill="FFFFFF"/>
          <w:lang w:eastAsia="zh-CN"/>
        </w:rPr>
        <w:t>neutralizing</w:t>
      </w:r>
      <w:r w:rsidR="00F96B2F" w:rsidRPr="00E96E9F">
        <w:rPr>
          <w:shd w:val="clear" w:color="auto" w:fill="FFFFFF"/>
          <w:lang w:eastAsia="zh-CN"/>
        </w:rPr>
        <w:t xml:space="preserve"> </w:t>
      </w:r>
      <w:r w:rsidRPr="00E96E9F">
        <w:rPr>
          <w:shd w:val="clear" w:color="auto" w:fill="FFFFFF"/>
          <w:lang w:eastAsia="zh-CN"/>
        </w:rPr>
        <w:t>antibodies</w:t>
      </w:r>
      <w:r w:rsidR="00F96B2F" w:rsidRPr="00E96E9F">
        <w:rPr>
          <w:shd w:val="clear" w:color="auto" w:fill="FFFFFF"/>
          <w:lang w:eastAsia="zh-CN"/>
        </w:rPr>
        <w:t xml:space="preserve"> </w:t>
      </w:r>
      <w:r w:rsidR="000D4CB8">
        <w:rPr>
          <w:shd w:val="clear" w:color="auto" w:fill="FFFFFF"/>
          <w:lang w:eastAsia="zh-CN"/>
        </w:rPr>
        <w:t>versus</w:t>
      </w:r>
      <w:r w:rsidR="00F96B2F" w:rsidRPr="00E96E9F">
        <w:rPr>
          <w:shd w:val="clear" w:color="auto" w:fill="FFFFFF"/>
          <w:lang w:eastAsia="zh-CN"/>
        </w:rPr>
        <w:t xml:space="preserve"> </w:t>
      </w:r>
      <w:r w:rsidR="000D4CB8">
        <w:rPr>
          <w:shd w:val="clear" w:color="auto" w:fill="FFFFFF"/>
          <w:lang w:eastAsia="zh-CN"/>
        </w:rPr>
        <w:t>zero</w:t>
      </w:r>
      <w:r w:rsidR="000D4CB8" w:rsidRPr="00E96E9F">
        <w:rPr>
          <w:shd w:val="clear" w:color="auto" w:fill="FFFFFF"/>
          <w:lang w:eastAsia="zh-CN"/>
        </w:rPr>
        <w:t xml:space="preserve"> </w:t>
      </w:r>
      <w:r w:rsidRPr="00E96E9F">
        <w:rPr>
          <w:shd w:val="clear" w:color="auto" w:fill="FFFFFF"/>
          <w:lang w:eastAsia="zh-CN"/>
        </w:rPr>
        <w:t>somatropin</w:t>
      </w:r>
      <w:r w:rsidR="007E3CD0">
        <w:rPr>
          <w:shd w:val="clear" w:color="auto" w:fill="FFFFFF"/>
          <w:lang w:eastAsia="zh-CN"/>
        </w:rPr>
        <w:t xml:space="preserve"> samples</w:t>
      </w:r>
      <w:r w:rsidRPr="00E96E9F">
        <w:rPr>
          <w:shd w:val="clear" w:color="auto" w:fill="FFFFFF"/>
          <w:lang w:eastAsia="zh-CN"/>
        </w:rPr>
        <w:t>.</w:t>
      </w:r>
      <w:r w:rsidR="00F96B2F" w:rsidRPr="00E96E9F">
        <w:rPr>
          <w:shd w:val="clear" w:color="auto" w:fill="FFFFFF"/>
          <w:lang w:eastAsia="zh-CN"/>
        </w:rPr>
        <w:t xml:space="preserve"> </w:t>
      </w:r>
      <w:r w:rsidR="001B6B39" w:rsidRPr="00BF1BFB">
        <w:rPr>
          <w:iCs/>
        </w:rPr>
        <w:t>A</w:t>
      </w:r>
      <w:r w:rsidRPr="00BF1BFB">
        <w:rPr>
          <w:iCs/>
          <w:shd w:val="clear" w:color="auto" w:fill="FFFFFF"/>
          <w:lang w:eastAsia="zh-CN"/>
        </w:rPr>
        <w:t>nti-drug</w:t>
      </w:r>
      <w:r w:rsidR="00F96B2F" w:rsidRPr="00BF1BFB">
        <w:rPr>
          <w:iCs/>
          <w:shd w:val="clear" w:color="auto" w:fill="FFFFFF"/>
          <w:lang w:eastAsia="zh-CN"/>
        </w:rPr>
        <w:t xml:space="preserve"> </w:t>
      </w:r>
      <w:r w:rsidRPr="00BF1BFB">
        <w:rPr>
          <w:iCs/>
          <w:shd w:val="clear" w:color="auto" w:fill="FFFFFF"/>
          <w:lang w:eastAsia="zh-CN"/>
        </w:rPr>
        <w:t>antibodies</w:t>
      </w:r>
      <w:r w:rsidR="00F96B2F" w:rsidRPr="00BF1BFB">
        <w:rPr>
          <w:iCs/>
          <w:shd w:val="clear" w:color="auto" w:fill="FFFFFF"/>
          <w:lang w:eastAsia="zh-CN"/>
        </w:rPr>
        <w:t xml:space="preserve"> </w:t>
      </w:r>
      <w:r w:rsidRPr="00BF1BFB">
        <w:rPr>
          <w:iCs/>
          <w:shd w:val="clear" w:color="auto" w:fill="FFFFFF"/>
          <w:lang w:eastAsia="zh-CN"/>
        </w:rPr>
        <w:t>are</w:t>
      </w:r>
      <w:r w:rsidR="00F96B2F" w:rsidRPr="00BF1BFB">
        <w:rPr>
          <w:iCs/>
          <w:shd w:val="clear" w:color="auto" w:fill="FFFFFF"/>
          <w:lang w:eastAsia="zh-CN"/>
        </w:rPr>
        <w:t xml:space="preserve"> </w:t>
      </w:r>
      <w:r w:rsidRPr="00BF1BFB">
        <w:rPr>
          <w:iCs/>
          <w:shd w:val="clear" w:color="auto" w:fill="FFFFFF"/>
          <w:lang w:eastAsia="zh-CN"/>
        </w:rPr>
        <w:t>not</w:t>
      </w:r>
      <w:r w:rsidR="00F96B2F" w:rsidRPr="00BF1BFB">
        <w:rPr>
          <w:iCs/>
          <w:shd w:val="clear" w:color="auto" w:fill="FFFFFF"/>
          <w:lang w:eastAsia="zh-CN"/>
        </w:rPr>
        <w:t xml:space="preserve"> </w:t>
      </w:r>
      <w:r w:rsidRPr="00BF1BFB">
        <w:rPr>
          <w:iCs/>
          <w:shd w:val="clear" w:color="auto" w:fill="FFFFFF"/>
          <w:lang w:eastAsia="zh-CN"/>
        </w:rPr>
        <w:t>routinely</w:t>
      </w:r>
      <w:r w:rsidR="00F96B2F" w:rsidRPr="00BF1BFB">
        <w:rPr>
          <w:iCs/>
          <w:shd w:val="clear" w:color="auto" w:fill="FFFFFF"/>
          <w:lang w:eastAsia="zh-CN"/>
        </w:rPr>
        <w:t xml:space="preserve"> </w:t>
      </w:r>
      <w:r w:rsidRPr="00BF1BFB">
        <w:rPr>
          <w:iCs/>
          <w:shd w:val="clear" w:color="auto" w:fill="FFFFFF"/>
          <w:lang w:eastAsia="zh-CN"/>
        </w:rPr>
        <w:t>tested</w:t>
      </w:r>
      <w:r w:rsidR="00F96B2F" w:rsidRPr="00BF1BFB">
        <w:rPr>
          <w:iCs/>
          <w:shd w:val="clear" w:color="auto" w:fill="FFFFFF"/>
          <w:lang w:eastAsia="zh-CN"/>
        </w:rPr>
        <w:t xml:space="preserve"> </w:t>
      </w:r>
      <w:r w:rsidRPr="00BF1BFB">
        <w:rPr>
          <w:iCs/>
          <w:shd w:val="clear" w:color="auto" w:fill="FFFFFF"/>
          <w:lang w:eastAsia="zh-CN"/>
        </w:rPr>
        <w:t>in</w:t>
      </w:r>
      <w:r w:rsidR="00F96B2F" w:rsidRPr="00BF1BFB">
        <w:rPr>
          <w:iCs/>
          <w:shd w:val="clear" w:color="auto" w:fill="FFFFFF"/>
          <w:lang w:eastAsia="zh-CN"/>
        </w:rPr>
        <w:t xml:space="preserve"> </w:t>
      </w:r>
      <w:r w:rsidRPr="00BF1BFB">
        <w:rPr>
          <w:iCs/>
          <w:shd w:val="clear" w:color="auto" w:fill="FFFFFF"/>
          <w:lang w:eastAsia="zh-CN"/>
        </w:rPr>
        <w:t>the</w:t>
      </w:r>
      <w:r w:rsidR="00F96B2F" w:rsidRPr="00BF1BFB">
        <w:rPr>
          <w:iCs/>
          <w:shd w:val="clear" w:color="auto" w:fill="FFFFFF"/>
          <w:lang w:eastAsia="zh-CN"/>
        </w:rPr>
        <w:t xml:space="preserve"> </w:t>
      </w:r>
      <w:r w:rsidRPr="00BF1BFB">
        <w:rPr>
          <w:iCs/>
          <w:shd w:val="clear" w:color="auto" w:fill="FFFFFF"/>
          <w:lang w:eastAsia="zh-CN"/>
        </w:rPr>
        <w:t>clinical</w:t>
      </w:r>
      <w:r w:rsidR="00F96B2F" w:rsidRPr="00BF1BFB">
        <w:rPr>
          <w:iCs/>
          <w:shd w:val="clear" w:color="auto" w:fill="FFFFFF"/>
          <w:lang w:eastAsia="zh-CN"/>
        </w:rPr>
        <w:t xml:space="preserve"> </w:t>
      </w:r>
      <w:r w:rsidRPr="00BF1BFB">
        <w:rPr>
          <w:iCs/>
          <w:shd w:val="clear" w:color="auto" w:fill="FFFFFF"/>
          <w:lang w:eastAsia="zh-CN"/>
        </w:rPr>
        <w:t>setting,</w:t>
      </w:r>
      <w:r w:rsidR="00F96B2F" w:rsidRPr="00BF1BFB">
        <w:rPr>
          <w:iCs/>
          <w:shd w:val="clear" w:color="auto" w:fill="FFFFFF"/>
          <w:lang w:eastAsia="zh-CN"/>
        </w:rPr>
        <w:t xml:space="preserve"> </w:t>
      </w:r>
      <w:r w:rsidRPr="00BF1BFB">
        <w:rPr>
          <w:iCs/>
          <w:shd w:val="clear" w:color="auto" w:fill="FFFFFF"/>
          <w:lang w:eastAsia="zh-CN"/>
        </w:rPr>
        <w:t>thus</w:t>
      </w:r>
      <w:r w:rsidR="00F96B2F" w:rsidRPr="00BF1BFB">
        <w:rPr>
          <w:iCs/>
          <w:shd w:val="clear" w:color="auto" w:fill="FFFFFF"/>
          <w:lang w:eastAsia="zh-CN"/>
        </w:rPr>
        <w:t xml:space="preserve"> </w:t>
      </w:r>
      <w:r w:rsidRPr="00BF1BFB">
        <w:rPr>
          <w:iCs/>
          <w:shd w:val="clear" w:color="auto" w:fill="FFFFFF"/>
          <w:lang w:eastAsia="zh-CN"/>
        </w:rPr>
        <w:t>the</w:t>
      </w:r>
      <w:r w:rsidR="00F96B2F" w:rsidRPr="00BF1BFB">
        <w:rPr>
          <w:iCs/>
          <w:shd w:val="clear" w:color="auto" w:fill="FFFFFF"/>
          <w:lang w:eastAsia="zh-CN"/>
        </w:rPr>
        <w:t xml:space="preserve"> </w:t>
      </w:r>
      <w:r w:rsidRPr="00BF1BFB">
        <w:rPr>
          <w:iCs/>
          <w:shd w:val="clear" w:color="auto" w:fill="FFFFFF"/>
          <w:lang w:eastAsia="zh-CN"/>
        </w:rPr>
        <w:t>long-term</w:t>
      </w:r>
      <w:r w:rsidR="00F96B2F" w:rsidRPr="00BF1BFB">
        <w:rPr>
          <w:iCs/>
          <w:shd w:val="clear" w:color="auto" w:fill="FFFFFF"/>
          <w:lang w:eastAsia="zh-CN"/>
        </w:rPr>
        <w:t xml:space="preserve"> </w:t>
      </w:r>
      <w:r w:rsidRPr="00BF1BFB">
        <w:rPr>
          <w:iCs/>
          <w:shd w:val="clear" w:color="auto" w:fill="FFFFFF"/>
          <w:lang w:eastAsia="zh-CN"/>
        </w:rPr>
        <w:t>significance</w:t>
      </w:r>
      <w:r w:rsidR="00F96B2F" w:rsidRPr="00BF1BFB">
        <w:rPr>
          <w:iCs/>
          <w:shd w:val="clear" w:color="auto" w:fill="FFFFFF"/>
          <w:lang w:eastAsia="zh-CN"/>
        </w:rPr>
        <w:t xml:space="preserve"> </w:t>
      </w:r>
      <w:r w:rsidRPr="00BF1BFB">
        <w:rPr>
          <w:iCs/>
          <w:shd w:val="clear" w:color="auto" w:fill="FFFFFF"/>
          <w:lang w:eastAsia="zh-CN"/>
        </w:rPr>
        <w:t>(beyond</w:t>
      </w:r>
      <w:r w:rsidR="00F96B2F" w:rsidRPr="00BF1BFB">
        <w:rPr>
          <w:iCs/>
          <w:shd w:val="clear" w:color="auto" w:fill="FFFFFF"/>
          <w:lang w:eastAsia="zh-CN"/>
        </w:rPr>
        <w:t xml:space="preserve"> </w:t>
      </w:r>
      <w:r w:rsidRPr="00BF1BFB">
        <w:rPr>
          <w:iCs/>
          <w:shd w:val="clear" w:color="auto" w:fill="FFFFFF"/>
          <w:lang w:eastAsia="zh-CN"/>
        </w:rPr>
        <w:t>1</w:t>
      </w:r>
      <w:r w:rsidR="00F96B2F" w:rsidRPr="00BF1BFB">
        <w:rPr>
          <w:iCs/>
          <w:shd w:val="clear" w:color="auto" w:fill="FFFFFF"/>
          <w:lang w:eastAsia="zh-CN"/>
        </w:rPr>
        <w:t xml:space="preserve"> </w:t>
      </w:r>
      <w:r w:rsidRPr="00BF1BFB">
        <w:rPr>
          <w:iCs/>
          <w:shd w:val="clear" w:color="auto" w:fill="FFFFFF"/>
          <w:lang w:eastAsia="zh-CN"/>
        </w:rPr>
        <w:t>year)</w:t>
      </w:r>
      <w:r w:rsidR="00F96B2F" w:rsidRPr="00BF1BFB">
        <w:rPr>
          <w:iCs/>
          <w:shd w:val="clear" w:color="auto" w:fill="FFFFFF"/>
          <w:lang w:eastAsia="zh-CN"/>
        </w:rPr>
        <w:t xml:space="preserve"> </w:t>
      </w:r>
      <w:r w:rsidRPr="00BF1BFB">
        <w:rPr>
          <w:iCs/>
          <w:shd w:val="clear" w:color="auto" w:fill="FFFFFF"/>
          <w:lang w:eastAsia="zh-CN"/>
        </w:rPr>
        <w:t>of</w:t>
      </w:r>
      <w:r w:rsidR="00F96B2F" w:rsidRPr="00BF1BFB">
        <w:rPr>
          <w:iCs/>
          <w:shd w:val="clear" w:color="auto" w:fill="FFFFFF"/>
          <w:lang w:eastAsia="zh-CN"/>
        </w:rPr>
        <w:t xml:space="preserve"> </w:t>
      </w:r>
      <w:r w:rsidRPr="00BF1BFB">
        <w:rPr>
          <w:iCs/>
          <w:shd w:val="clear" w:color="auto" w:fill="FFFFFF"/>
          <w:lang w:eastAsia="zh-CN"/>
        </w:rPr>
        <w:t>this</w:t>
      </w:r>
      <w:r w:rsidR="00F96B2F" w:rsidRPr="00BF1BFB">
        <w:rPr>
          <w:iCs/>
          <w:shd w:val="clear" w:color="auto" w:fill="FFFFFF"/>
          <w:lang w:eastAsia="zh-CN"/>
        </w:rPr>
        <w:t xml:space="preserve"> </w:t>
      </w:r>
      <w:r w:rsidR="000D4CB8">
        <w:rPr>
          <w:iCs/>
          <w:shd w:val="clear" w:color="auto" w:fill="FFFFFF"/>
          <w:lang w:eastAsia="zh-CN"/>
        </w:rPr>
        <w:t>wa</w:t>
      </w:r>
      <w:r w:rsidR="000D4CB8" w:rsidRPr="00BF1BFB">
        <w:rPr>
          <w:iCs/>
          <w:shd w:val="clear" w:color="auto" w:fill="FFFFFF"/>
          <w:lang w:eastAsia="zh-CN"/>
        </w:rPr>
        <w:t xml:space="preserve">s </w:t>
      </w:r>
      <w:r w:rsidRPr="00BF1BFB">
        <w:rPr>
          <w:iCs/>
          <w:shd w:val="clear" w:color="auto" w:fill="FFFFFF"/>
          <w:lang w:eastAsia="zh-CN"/>
        </w:rPr>
        <w:t>uncertain.</w:t>
      </w:r>
      <w:r w:rsidR="00F96B2F" w:rsidRPr="00E96E9F">
        <w:rPr>
          <w:shd w:val="clear" w:color="auto" w:fill="FFFFFF"/>
          <w:lang w:eastAsia="zh-CN"/>
        </w:rPr>
        <w:t xml:space="preserve"> </w:t>
      </w:r>
    </w:p>
    <w:p w14:paraId="0229374B" w14:textId="68EEE313" w:rsidR="00811E0E" w:rsidRPr="00E96E9F" w:rsidRDefault="00811E0E" w:rsidP="006D4B84">
      <w:pPr>
        <w:pStyle w:val="TableFigureHeading"/>
        <w:rPr>
          <w:rStyle w:val="CommentReference"/>
          <w:b/>
        </w:rPr>
      </w:pPr>
      <w:r w:rsidRPr="00E96E9F">
        <w:rPr>
          <w:rStyle w:val="CommentReference"/>
          <w:b/>
        </w:rPr>
        <w:t>Table</w:t>
      </w:r>
      <w:r w:rsidR="00F96B2F" w:rsidRPr="00E96E9F">
        <w:rPr>
          <w:rStyle w:val="CommentReference"/>
          <w:b/>
        </w:rPr>
        <w:t xml:space="preserve"> </w:t>
      </w:r>
      <w:r w:rsidR="00AE06E2" w:rsidRPr="00E96E9F">
        <w:rPr>
          <w:rStyle w:val="CommentReference"/>
          <w:b/>
          <w:bCs w:val="0"/>
        </w:rPr>
        <w:fldChar w:fldCharType="begin"/>
      </w:r>
      <w:r w:rsidR="00AE06E2" w:rsidRPr="00E96E9F">
        <w:rPr>
          <w:rStyle w:val="CommentReference"/>
          <w:b/>
          <w:bCs w:val="0"/>
        </w:rPr>
        <w:instrText xml:space="preserve"> SEQ Table \* ARABIC </w:instrText>
      </w:r>
      <w:r w:rsidR="00AE06E2" w:rsidRPr="00E96E9F">
        <w:rPr>
          <w:rStyle w:val="CommentReference"/>
          <w:b/>
          <w:bCs w:val="0"/>
        </w:rPr>
        <w:fldChar w:fldCharType="separate"/>
      </w:r>
      <w:r w:rsidR="005C48AC">
        <w:rPr>
          <w:rStyle w:val="CommentReference"/>
          <w:b/>
          <w:bCs w:val="0"/>
          <w:noProof/>
        </w:rPr>
        <w:t>5</w:t>
      </w:r>
      <w:r w:rsidR="00AE06E2" w:rsidRPr="00E96E9F">
        <w:rPr>
          <w:rStyle w:val="CommentReference"/>
          <w:b/>
          <w:bCs w:val="0"/>
        </w:rPr>
        <w:fldChar w:fldCharType="end"/>
      </w:r>
      <w:r w:rsidRPr="00E96E9F">
        <w:rPr>
          <w:rStyle w:val="CommentReference"/>
          <w:b/>
          <w:bCs w:val="0"/>
        </w:rPr>
        <w:t>:</w:t>
      </w:r>
      <w:r w:rsidR="00F96B2F" w:rsidRPr="00E96E9F">
        <w:rPr>
          <w:rStyle w:val="CommentReference"/>
          <w:b/>
        </w:rPr>
        <w:t xml:space="preserve"> </w:t>
      </w:r>
      <w:r w:rsidRPr="00E96E9F">
        <w:rPr>
          <w:rStyle w:val="CommentReference"/>
          <w:b/>
        </w:rPr>
        <w:t>Summary</w:t>
      </w:r>
      <w:r w:rsidR="00F96B2F" w:rsidRPr="00E96E9F">
        <w:rPr>
          <w:rStyle w:val="CommentReference"/>
          <w:b/>
        </w:rPr>
        <w:t xml:space="preserve"> </w:t>
      </w:r>
      <w:r w:rsidRPr="00E96E9F">
        <w:rPr>
          <w:rStyle w:val="CommentReference"/>
          <w:b/>
        </w:rPr>
        <w:t>of</w:t>
      </w:r>
      <w:r w:rsidR="00F96B2F" w:rsidRPr="00E96E9F">
        <w:rPr>
          <w:rStyle w:val="CommentReference"/>
          <w:b/>
        </w:rPr>
        <w:t xml:space="preserve"> </w:t>
      </w:r>
      <w:r w:rsidRPr="00E96E9F">
        <w:rPr>
          <w:rStyle w:val="CommentReference"/>
          <w:b/>
        </w:rPr>
        <w:t>key</w:t>
      </w:r>
      <w:r w:rsidR="00F96B2F" w:rsidRPr="00E96E9F">
        <w:rPr>
          <w:rStyle w:val="CommentReference"/>
          <w:b/>
        </w:rPr>
        <w:t xml:space="preserve"> </w:t>
      </w:r>
      <w:r w:rsidRPr="00E96E9F">
        <w:rPr>
          <w:rStyle w:val="CommentReference"/>
          <w:b/>
        </w:rPr>
        <w:t>adverse</w:t>
      </w:r>
      <w:r w:rsidR="00F96B2F" w:rsidRPr="00E96E9F">
        <w:rPr>
          <w:rStyle w:val="CommentReference"/>
          <w:b/>
        </w:rPr>
        <w:t xml:space="preserve"> </w:t>
      </w:r>
      <w:r w:rsidRPr="00E96E9F">
        <w:rPr>
          <w:rStyle w:val="CommentReference"/>
          <w:b/>
        </w:rPr>
        <w:t>events</w:t>
      </w:r>
      <w:r w:rsidR="00F96B2F" w:rsidRPr="00E96E9F">
        <w:rPr>
          <w:rStyle w:val="CommentReference"/>
          <w:b/>
        </w:rPr>
        <w:t xml:space="preserve"> </w:t>
      </w:r>
      <w:r w:rsidRPr="00E96E9F">
        <w:rPr>
          <w:rStyle w:val="CommentReference"/>
          <w:b/>
        </w:rPr>
        <w:t>in</w:t>
      </w:r>
      <w:r w:rsidR="00F96B2F" w:rsidRPr="00E96E9F">
        <w:rPr>
          <w:rStyle w:val="CommentReference"/>
          <w:b/>
        </w:rPr>
        <w:t xml:space="preserve"> </w:t>
      </w:r>
      <w:r w:rsidRPr="00E96E9F">
        <w:rPr>
          <w:rStyle w:val="CommentReference"/>
          <w:b/>
        </w:rPr>
        <w:t>the</w:t>
      </w:r>
      <w:r w:rsidR="00F96B2F" w:rsidRPr="00E96E9F">
        <w:rPr>
          <w:rStyle w:val="CommentReference"/>
          <w:b/>
        </w:rPr>
        <w:t xml:space="preserve"> </w:t>
      </w:r>
      <w:r w:rsidRPr="00E96E9F">
        <w:rPr>
          <w:rStyle w:val="CommentReference"/>
          <w:b/>
        </w:rPr>
        <w:t>trials</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5: Summary of key adverse events in the trials"/>
      </w:tblPr>
      <w:tblGrid>
        <w:gridCol w:w="2324"/>
        <w:gridCol w:w="2219"/>
        <w:gridCol w:w="2219"/>
        <w:gridCol w:w="2249"/>
      </w:tblGrid>
      <w:tr w:rsidR="00811E0E" w:rsidRPr="00E96E9F" w14:paraId="43192E62"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ADFBD" w14:textId="2AAC84FB" w:rsidR="00811E0E" w:rsidRPr="00E96E9F" w:rsidRDefault="00811E0E" w:rsidP="00CF047E">
            <w:pPr>
              <w:jc w:val="left"/>
              <w:textAlignment w:val="baseline"/>
              <w:rPr>
                <w:rFonts w:ascii="Segoe UI" w:hAnsi="Segoe UI" w:cs="Segoe UI"/>
                <w:b/>
                <w:bCs/>
                <w:sz w:val="18"/>
                <w:szCs w:val="18"/>
                <w:lang w:eastAsia="zh-CN"/>
              </w:rPr>
            </w:pPr>
            <w:r w:rsidRPr="00E96E9F">
              <w:rPr>
                <w:rFonts w:ascii="Arial Narrow" w:hAnsi="Arial Narrow" w:cs="Segoe UI"/>
                <w:b/>
                <w:bCs/>
                <w:sz w:val="20"/>
                <w:szCs w:val="20"/>
                <w:lang w:eastAsia="zh-CN"/>
              </w:rPr>
              <w:t>Trial</w:t>
            </w:r>
            <w:r w:rsidR="00F96B2F" w:rsidRPr="00E96E9F">
              <w:rPr>
                <w:rFonts w:ascii="Arial Narrow" w:hAnsi="Arial Narrow" w:cs="Segoe UI"/>
                <w:b/>
                <w:bCs/>
                <w:sz w:val="20"/>
                <w:szCs w:val="20"/>
                <w:lang w:eastAsia="zh-CN"/>
              </w:rPr>
              <w:t xml:space="preserve"> </w:t>
            </w:r>
            <w:r w:rsidRPr="00E96E9F">
              <w:rPr>
                <w:rFonts w:ascii="Arial Narrow" w:hAnsi="Arial Narrow" w:cs="Segoe UI"/>
                <w:b/>
                <w:bCs/>
                <w:sz w:val="20"/>
                <w:szCs w:val="20"/>
                <w:lang w:eastAsia="zh-CN"/>
              </w:rPr>
              <w:t>ID</w:t>
            </w:r>
            <w:r w:rsidR="00F96B2F" w:rsidRPr="00E96E9F">
              <w:rPr>
                <w:rFonts w:ascii="Arial Narrow" w:hAnsi="Arial Narrow" w:cs="Segoe UI"/>
                <w:b/>
                <w:bCs/>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B93E2" w14:textId="77777777" w:rsidR="00E5129A" w:rsidRPr="00E96E9F" w:rsidRDefault="00811E0E" w:rsidP="00CF047E">
            <w:pPr>
              <w:jc w:val="center"/>
              <w:textAlignment w:val="baseline"/>
              <w:rPr>
                <w:rFonts w:ascii="Arial Narrow" w:hAnsi="Arial Narrow" w:cs="Segoe UI"/>
                <w:b/>
                <w:bCs/>
                <w:sz w:val="20"/>
                <w:szCs w:val="20"/>
                <w:lang w:eastAsia="zh-CN"/>
              </w:rPr>
            </w:pPr>
            <w:proofErr w:type="spellStart"/>
            <w:r w:rsidRPr="00E96E9F">
              <w:rPr>
                <w:rFonts w:ascii="Arial Narrow" w:hAnsi="Arial Narrow" w:cs="Segoe UI"/>
                <w:b/>
                <w:bCs/>
                <w:sz w:val="20"/>
                <w:szCs w:val="20"/>
                <w:lang w:eastAsia="zh-CN"/>
              </w:rPr>
              <w:t>Somatr</w:t>
            </w:r>
            <w:r w:rsidR="00DA1478" w:rsidRPr="00E96E9F">
              <w:rPr>
                <w:rFonts w:ascii="Arial Narrow" w:hAnsi="Arial Narrow" w:cs="Segoe UI"/>
                <w:b/>
                <w:bCs/>
                <w:sz w:val="20"/>
                <w:szCs w:val="20"/>
                <w:lang w:eastAsia="zh-CN"/>
              </w:rPr>
              <w:t>o</w:t>
            </w:r>
            <w:r w:rsidRPr="00E96E9F">
              <w:rPr>
                <w:rFonts w:ascii="Arial Narrow" w:hAnsi="Arial Narrow" w:cs="Segoe UI"/>
                <w:b/>
                <w:bCs/>
                <w:sz w:val="20"/>
                <w:szCs w:val="20"/>
                <w:lang w:eastAsia="zh-CN"/>
              </w:rPr>
              <w:t>gon</w:t>
            </w:r>
            <w:proofErr w:type="spellEnd"/>
          </w:p>
          <w:p w14:paraId="26241E9F" w14:textId="63F15EB8" w:rsidR="00811E0E" w:rsidRPr="00E96E9F" w:rsidRDefault="00811E0E" w:rsidP="00CF047E">
            <w:pPr>
              <w:jc w:val="center"/>
              <w:textAlignment w:val="baseline"/>
              <w:rPr>
                <w:rFonts w:ascii="Segoe UI" w:hAnsi="Segoe UI" w:cs="Segoe UI"/>
                <w:b/>
                <w:bCs/>
                <w:sz w:val="18"/>
                <w:szCs w:val="18"/>
                <w:lang w:eastAsia="zh-CN"/>
              </w:rPr>
            </w:pPr>
            <w:r w:rsidRPr="00E96E9F">
              <w:rPr>
                <w:rFonts w:ascii="Arial Narrow" w:hAnsi="Arial Narrow" w:cs="Segoe UI"/>
                <w:b/>
                <w:bCs/>
                <w:sz w:val="20"/>
                <w:szCs w:val="20"/>
                <w:lang w:eastAsia="zh-CN"/>
              </w:rPr>
              <w:t>n</w:t>
            </w:r>
            <w:r w:rsidR="00F96B2F" w:rsidRPr="00E96E9F">
              <w:rPr>
                <w:rFonts w:ascii="Arial Narrow" w:hAnsi="Arial Narrow" w:cs="Segoe UI"/>
                <w:b/>
                <w:bCs/>
                <w:sz w:val="20"/>
                <w:szCs w:val="20"/>
                <w:lang w:eastAsia="zh-CN"/>
              </w:rPr>
              <w:t xml:space="preserve"> </w:t>
            </w:r>
            <w:r w:rsidRPr="00E96E9F">
              <w:rPr>
                <w:rFonts w:ascii="Arial Narrow" w:hAnsi="Arial Narrow" w:cs="Segoe UI"/>
                <w:b/>
                <w:bCs/>
                <w:sz w:val="20"/>
                <w:szCs w:val="20"/>
                <w:lang w:eastAsia="zh-CN"/>
              </w:rPr>
              <w:t>with</w:t>
            </w:r>
            <w:r w:rsidR="00F96B2F" w:rsidRPr="00E96E9F">
              <w:rPr>
                <w:rFonts w:ascii="Arial Narrow" w:hAnsi="Arial Narrow" w:cs="Segoe UI"/>
                <w:b/>
                <w:bCs/>
                <w:sz w:val="20"/>
                <w:szCs w:val="20"/>
                <w:lang w:eastAsia="zh-CN"/>
              </w:rPr>
              <w:t xml:space="preserve"> </w:t>
            </w:r>
            <w:r w:rsidRPr="00E96E9F">
              <w:rPr>
                <w:rFonts w:ascii="Arial Narrow" w:hAnsi="Arial Narrow" w:cs="Segoe UI"/>
                <w:b/>
                <w:bCs/>
                <w:sz w:val="20"/>
                <w:szCs w:val="20"/>
                <w:lang w:eastAsia="zh-CN"/>
              </w:rPr>
              <w:t>event/N</w:t>
            </w:r>
            <w:r w:rsidR="00F96B2F" w:rsidRPr="00E96E9F">
              <w:rPr>
                <w:rFonts w:ascii="Arial Narrow" w:hAnsi="Arial Narrow" w:cs="Segoe UI"/>
                <w:b/>
                <w:bCs/>
                <w:sz w:val="20"/>
                <w:szCs w:val="20"/>
                <w:lang w:eastAsia="zh-CN"/>
              </w:rPr>
              <w:t xml:space="preserve"> </w:t>
            </w:r>
            <w:r w:rsidRPr="00E96E9F">
              <w:rPr>
                <w:rFonts w:ascii="Arial Narrow" w:hAnsi="Arial Narrow" w:cs="Segoe UI"/>
                <w:b/>
                <w:bCs/>
                <w:sz w:val="20"/>
                <w:szCs w:val="20"/>
                <w:lang w:eastAsia="zh-CN"/>
              </w:rPr>
              <w:t>(%)</w:t>
            </w:r>
            <w:r w:rsidR="00F96B2F" w:rsidRPr="00E96E9F">
              <w:rPr>
                <w:rFonts w:ascii="Arial Narrow" w:hAnsi="Arial Narrow" w:cs="Segoe UI"/>
                <w:b/>
                <w:bCs/>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D8986" w14:textId="77777777" w:rsidR="00E5129A" w:rsidRPr="00E96E9F" w:rsidRDefault="00811E0E" w:rsidP="00CF047E">
            <w:pPr>
              <w:jc w:val="center"/>
              <w:textAlignment w:val="baseline"/>
              <w:rPr>
                <w:rFonts w:ascii="Arial Narrow" w:hAnsi="Arial Narrow" w:cs="Segoe UI"/>
                <w:b/>
                <w:bCs/>
                <w:sz w:val="20"/>
                <w:szCs w:val="20"/>
                <w:lang w:eastAsia="zh-CN"/>
              </w:rPr>
            </w:pPr>
            <w:r w:rsidRPr="00E96E9F">
              <w:rPr>
                <w:rFonts w:ascii="Arial Narrow" w:hAnsi="Arial Narrow" w:cs="Segoe UI"/>
                <w:b/>
                <w:bCs/>
                <w:sz w:val="20"/>
                <w:szCs w:val="20"/>
                <w:lang w:eastAsia="zh-CN"/>
              </w:rPr>
              <w:t>Somatropin</w:t>
            </w:r>
          </w:p>
          <w:p w14:paraId="65EBA088" w14:textId="45F5132D" w:rsidR="00811E0E" w:rsidRPr="00E96E9F" w:rsidRDefault="00811E0E" w:rsidP="00CF047E">
            <w:pPr>
              <w:jc w:val="center"/>
              <w:textAlignment w:val="baseline"/>
              <w:rPr>
                <w:rFonts w:ascii="Segoe UI" w:hAnsi="Segoe UI" w:cs="Segoe UI"/>
                <w:b/>
                <w:bCs/>
                <w:sz w:val="18"/>
                <w:szCs w:val="18"/>
                <w:lang w:eastAsia="zh-CN"/>
              </w:rPr>
            </w:pPr>
            <w:r w:rsidRPr="00E96E9F">
              <w:rPr>
                <w:rFonts w:ascii="Arial Narrow" w:hAnsi="Arial Narrow" w:cs="Segoe UI"/>
                <w:b/>
                <w:bCs/>
                <w:sz w:val="20"/>
                <w:szCs w:val="20"/>
                <w:lang w:eastAsia="zh-CN"/>
              </w:rPr>
              <w:t>n</w:t>
            </w:r>
            <w:r w:rsidR="00F96B2F" w:rsidRPr="00E96E9F">
              <w:rPr>
                <w:rFonts w:ascii="Arial Narrow" w:hAnsi="Arial Narrow" w:cs="Segoe UI"/>
                <w:b/>
                <w:bCs/>
                <w:sz w:val="20"/>
                <w:szCs w:val="20"/>
                <w:lang w:eastAsia="zh-CN"/>
              </w:rPr>
              <w:t xml:space="preserve"> </w:t>
            </w:r>
            <w:r w:rsidRPr="00E96E9F">
              <w:rPr>
                <w:rFonts w:ascii="Arial Narrow" w:hAnsi="Arial Narrow" w:cs="Segoe UI"/>
                <w:b/>
                <w:bCs/>
                <w:sz w:val="20"/>
                <w:szCs w:val="20"/>
                <w:lang w:eastAsia="zh-CN"/>
              </w:rPr>
              <w:t>with</w:t>
            </w:r>
            <w:r w:rsidR="00F96B2F" w:rsidRPr="00E96E9F">
              <w:rPr>
                <w:rFonts w:ascii="Arial Narrow" w:hAnsi="Arial Narrow" w:cs="Segoe UI"/>
                <w:b/>
                <w:bCs/>
                <w:sz w:val="20"/>
                <w:szCs w:val="20"/>
                <w:lang w:eastAsia="zh-CN"/>
              </w:rPr>
              <w:t xml:space="preserve"> </w:t>
            </w:r>
            <w:r w:rsidRPr="00E96E9F">
              <w:rPr>
                <w:rFonts w:ascii="Arial Narrow" w:hAnsi="Arial Narrow" w:cs="Segoe UI"/>
                <w:b/>
                <w:bCs/>
                <w:sz w:val="20"/>
                <w:szCs w:val="20"/>
                <w:lang w:eastAsia="zh-CN"/>
              </w:rPr>
              <w:t>event/N</w:t>
            </w:r>
            <w:r w:rsidR="00F96B2F" w:rsidRPr="00E96E9F">
              <w:rPr>
                <w:rFonts w:ascii="Arial Narrow" w:hAnsi="Arial Narrow" w:cs="Segoe UI"/>
                <w:b/>
                <w:bCs/>
                <w:sz w:val="20"/>
                <w:szCs w:val="20"/>
                <w:lang w:eastAsia="zh-CN"/>
              </w:rPr>
              <w:t xml:space="preserve"> </w:t>
            </w:r>
            <w:r w:rsidRPr="00E96E9F">
              <w:rPr>
                <w:rFonts w:ascii="Arial Narrow" w:hAnsi="Arial Narrow" w:cs="Segoe UI"/>
                <w:b/>
                <w:bCs/>
                <w:sz w:val="20"/>
                <w:szCs w:val="20"/>
                <w:lang w:eastAsia="zh-CN"/>
              </w:rPr>
              <w:t>(%)</w:t>
            </w:r>
            <w:r w:rsidR="00F96B2F" w:rsidRPr="00E96E9F">
              <w:rPr>
                <w:rFonts w:ascii="Arial Narrow" w:hAnsi="Arial Narrow" w:cs="Segoe UI"/>
                <w:b/>
                <w:bCs/>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A6FA1" w14:textId="3C9997DC" w:rsidR="00811E0E" w:rsidRPr="00E96E9F" w:rsidRDefault="00811E0E" w:rsidP="00CF047E">
            <w:pPr>
              <w:jc w:val="center"/>
              <w:textAlignment w:val="baseline"/>
              <w:rPr>
                <w:rFonts w:ascii="Segoe UI" w:hAnsi="Segoe UI" w:cs="Segoe UI"/>
                <w:b/>
                <w:bCs/>
                <w:sz w:val="18"/>
                <w:szCs w:val="18"/>
                <w:lang w:eastAsia="zh-CN"/>
              </w:rPr>
            </w:pPr>
            <w:r w:rsidRPr="00E96E9F">
              <w:rPr>
                <w:rFonts w:ascii="Arial Narrow" w:hAnsi="Arial Narrow" w:cs="Segoe UI"/>
                <w:b/>
                <w:bCs/>
                <w:sz w:val="20"/>
                <w:szCs w:val="20"/>
                <w:lang w:eastAsia="zh-CN"/>
              </w:rPr>
              <w:t>RR</w:t>
            </w:r>
            <w:r w:rsidR="00F96B2F" w:rsidRPr="00E96E9F">
              <w:rPr>
                <w:rFonts w:ascii="Arial Narrow" w:hAnsi="Arial Narrow" w:cs="Segoe UI"/>
                <w:b/>
                <w:bCs/>
                <w:sz w:val="20"/>
                <w:szCs w:val="20"/>
                <w:lang w:eastAsia="zh-CN"/>
              </w:rPr>
              <w:t xml:space="preserve"> </w:t>
            </w:r>
            <w:r w:rsidRPr="00E96E9F">
              <w:rPr>
                <w:rFonts w:ascii="Arial Narrow" w:hAnsi="Arial Narrow" w:cs="Segoe UI"/>
                <w:b/>
                <w:bCs/>
                <w:sz w:val="20"/>
                <w:szCs w:val="20"/>
                <w:lang w:eastAsia="zh-CN"/>
              </w:rPr>
              <w:t>(95%</w:t>
            </w:r>
            <w:r w:rsidR="00A766D4">
              <w:rPr>
                <w:rFonts w:ascii="Arial Narrow" w:hAnsi="Arial Narrow" w:cs="Segoe UI"/>
                <w:b/>
                <w:bCs/>
                <w:sz w:val="20"/>
                <w:szCs w:val="20"/>
                <w:lang w:eastAsia="zh-CN"/>
              </w:rPr>
              <w:t xml:space="preserve"> </w:t>
            </w:r>
            <w:proofErr w:type="gramStart"/>
            <w:r w:rsidRPr="00E96E9F">
              <w:rPr>
                <w:rFonts w:ascii="Arial Narrow" w:hAnsi="Arial Narrow" w:cs="Segoe UI"/>
                <w:b/>
                <w:bCs/>
                <w:sz w:val="20"/>
                <w:szCs w:val="20"/>
                <w:lang w:eastAsia="zh-CN"/>
              </w:rPr>
              <w:t>CI)*</w:t>
            </w:r>
            <w:proofErr w:type="gramEnd"/>
            <w:r w:rsidR="00F96B2F" w:rsidRPr="00E96E9F">
              <w:rPr>
                <w:rFonts w:ascii="Arial Narrow" w:hAnsi="Arial Narrow" w:cs="Segoe UI"/>
                <w:b/>
                <w:bCs/>
                <w:sz w:val="20"/>
                <w:szCs w:val="20"/>
                <w:lang w:eastAsia="zh-CN"/>
              </w:rPr>
              <w:t xml:space="preserve"> </w:t>
            </w:r>
          </w:p>
        </w:tc>
      </w:tr>
      <w:tr w:rsidR="00811E0E" w:rsidRPr="00E96E9F" w14:paraId="20DC72FC" w14:textId="77777777" w:rsidTr="00CF047E">
        <w:tc>
          <w:tcPr>
            <w:tcW w:w="901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815369A" w14:textId="3ECAC033" w:rsidR="00811E0E" w:rsidRPr="00E96E9F" w:rsidRDefault="00811E0E" w:rsidP="00BF1BFB">
            <w:pPr>
              <w:pStyle w:val="In-tableHeading"/>
              <w:rPr>
                <w:rFonts w:ascii="Segoe UI" w:hAnsi="Segoe UI"/>
                <w:sz w:val="18"/>
                <w:szCs w:val="18"/>
                <w:lang w:eastAsia="zh-CN"/>
              </w:rPr>
            </w:pPr>
            <w:r w:rsidRPr="00E96E9F">
              <w:rPr>
                <w:lang w:eastAsia="zh-CN"/>
              </w:rPr>
              <w:t>Study</w:t>
            </w:r>
            <w:r w:rsidR="00F96B2F" w:rsidRPr="00E96E9F">
              <w:rPr>
                <w:lang w:eastAsia="zh-CN"/>
              </w:rPr>
              <w:t xml:space="preserve"> </w:t>
            </w:r>
            <w:r w:rsidRPr="00E96E9F">
              <w:rPr>
                <w:lang w:eastAsia="zh-CN"/>
              </w:rPr>
              <w:t>4006</w:t>
            </w:r>
            <w:r w:rsidR="00F96B2F" w:rsidRPr="00E96E9F">
              <w:rPr>
                <w:lang w:eastAsia="zh-CN"/>
              </w:rPr>
              <w:t xml:space="preserve"> </w:t>
            </w:r>
          </w:p>
        </w:tc>
      </w:tr>
      <w:tr w:rsidR="00811E0E" w:rsidRPr="00BF1BFB" w14:paraId="2F96780E"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3FA80" w14:textId="09EB50FD"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Serious</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DC8E2" w14:textId="64E63358"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3/109</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(2.8)</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04B69" w14:textId="25311B68"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2/115</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(1.7)</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49D5A8" w14:textId="727F9BDD" w:rsidR="00811E0E" w:rsidRPr="00BF1BFB" w:rsidRDefault="00372E2C"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1.583 (</w:t>
            </w:r>
            <w:r w:rsidR="00FD5BBB" w:rsidRPr="00BF1BFB">
              <w:rPr>
                <w:rFonts w:ascii="Arial Narrow" w:hAnsi="Arial Narrow" w:cs="Segoe UI"/>
                <w:iCs/>
                <w:sz w:val="20"/>
                <w:szCs w:val="20"/>
                <w:lang w:eastAsia="zh-CN"/>
              </w:rPr>
              <w:t>0.27 to 9.29)</w:t>
            </w:r>
          </w:p>
        </w:tc>
      </w:tr>
      <w:tr w:rsidR="00811E0E" w:rsidRPr="00BF1BFB" w14:paraId="2EBC563F"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88BC0" w14:textId="5FD2144E"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Severe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61659" w14:textId="20B5FED0"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9/109</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(8.3)</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7426C1" w14:textId="38B8A8AF"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6/115</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(5.2)</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FF8C75" w14:textId="6CB8E044" w:rsidR="00811E0E" w:rsidRPr="00BF1BFB" w:rsidRDefault="00D13A17"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1.583</w:t>
            </w:r>
            <w:r w:rsidR="00C6134A" w:rsidRPr="00BF1BFB">
              <w:rPr>
                <w:rFonts w:ascii="Arial Narrow" w:hAnsi="Arial Narrow" w:cs="Segoe UI"/>
                <w:iCs/>
                <w:sz w:val="20"/>
                <w:szCs w:val="20"/>
                <w:lang w:eastAsia="zh-CN"/>
              </w:rPr>
              <w:t xml:space="preserve"> (0.583 to 4.299)</w:t>
            </w:r>
            <w:r w:rsidR="00F96B2F" w:rsidRPr="00BF1BFB">
              <w:rPr>
                <w:rFonts w:ascii="Arial Narrow" w:hAnsi="Arial Narrow" w:cs="Segoe UI"/>
                <w:iCs/>
                <w:sz w:val="20"/>
                <w:szCs w:val="20"/>
                <w:lang w:eastAsia="zh-CN"/>
              </w:rPr>
              <w:t xml:space="preserve"> </w:t>
            </w:r>
          </w:p>
        </w:tc>
      </w:tr>
      <w:tr w:rsidR="00811E0E" w:rsidRPr="00BF1BFB" w14:paraId="4EA7ABC7"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57E64" w14:textId="06CCFE13"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Discontinued</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from</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study</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due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to</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E6B17" w14:textId="5DBB3816"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1</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(0.9)</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2F2400" w14:textId="6A94DF94"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4FB3F" w14:textId="248B689E" w:rsidR="00811E0E" w:rsidRPr="00BF1BFB" w:rsidRDefault="0095415B"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NA</w:t>
            </w:r>
            <w:r w:rsidR="00F96B2F" w:rsidRPr="00BF1BFB">
              <w:rPr>
                <w:rFonts w:ascii="Arial Narrow" w:hAnsi="Arial Narrow" w:cs="Segoe UI"/>
                <w:sz w:val="20"/>
                <w:szCs w:val="20"/>
                <w:lang w:eastAsia="zh-CN"/>
              </w:rPr>
              <w:t xml:space="preserve"> </w:t>
            </w:r>
          </w:p>
        </w:tc>
      </w:tr>
      <w:tr w:rsidR="00811E0E" w:rsidRPr="00E96E9F" w14:paraId="6FB6A0BE" w14:textId="77777777" w:rsidTr="00CF047E">
        <w:tc>
          <w:tcPr>
            <w:tcW w:w="901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175CFEE" w14:textId="4C1E0991" w:rsidR="00811E0E" w:rsidRPr="00E96E9F" w:rsidRDefault="00811E0E" w:rsidP="00BF1BFB">
            <w:pPr>
              <w:pStyle w:val="In-tableHeading"/>
              <w:rPr>
                <w:rFonts w:ascii="Segoe UI" w:hAnsi="Segoe UI"/>
                <w:sz w:val="18"/>
                <w:szCs w:val="18"/>
                <w:lang w:eastAsia="zh-CN"/>
              </w:rPr>
            </w:pPr>
            <w:r w:rsidRPr="00E96E9F">
              <w:rPr>
                <w:lang w:eastAsia="zh-CN"/>
              </w:rPr>
              <w:t>Study</w:t>
            </w:r>
            <w:r w:rsidR="00F96B2F" w:rsidRPr="00E96E9F">
              <w:rPr>
                <w:lang w:eastAsia="zh-CN"/>
              </w:rPr>
              <w:t xml:space="preserve"> </w:t>
            </w:r>
            <w:r w:rsidRPr="00E96E9F">
              <w:rPr>
                <w:lang w:eastAsia="zh-CN"/>
              </w:rPr>
              <w:t>4004</w:t>
            </w:r>
            <w:r w:rsidR="00F96B2F" w:rsidRPr="00E96E9F">
              <w:rPr>
                <w:lang w:eastAsia="zh-CN"/>
              </w:rPr>
              <w:t xml:space="preserve"> </w:t>
            </w:r>
          </w:p>
        </w:tc>
      </w:tr>
      <w:tr w:rsidR="00811E0E" w:rsidRPr="00BF1BFB" w14:paraId="7E85D8A7"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19D92" w14:textId="02647E57"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Serious</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46D052" w14:textId="02565BF0"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28AF2" w14:textId="66838165"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91F62" w14:textId="188AA9DF" w:rsidR="00811E0E" w:rsidRPr="00BF1BFB" w:rsidRDefault="0095415B"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NA</w:t>
            </w:r>
          </w:p>
        </w:tc>
      </w:tr>
      <w:tr w:rsidR="00811E0E" w:rsidRPr="00BF1BFB" w14:paraId="71DA8975"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567A4" w14:textId="48571229"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Severe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F5EAD9" w14:textId="3A60CDC3"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2/42</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(4.8)</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F72CE" w14:textId="03030672"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418DC" w14:textId="1AA37DA5" w:rsidR="00811E0E" w:rsidRPr="00BF1BFB" w:rsidRDefault="003974AB"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NA</w:t>
            </w:r>
            <w:r w:rsidR="00F96B2F" w:rsidRPr="00BF1BFB">
              <w:rPr>
                <w:rFonts w:ascii="Arial Narrow" w:hAnsi="Arial Narrow" w:cs="Segoe UI"/>
                <w:sz w:val="20"/>
                <w:szCs w:val="20"/>
                <w:lang w:eastAsia="zh-CN"/>
              </w:rPr>
              <w:t xml:space="preserve"> </w:t>
            </w:r>
          </w:p>
        </w:tc>
      </w:tr>
      <w:tr w:rsidR="00811E0E" w:rsidRPr="00BF1BFB" w14:paraId="4C680721"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85007" w14:textId="25428046"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Discontinued</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from</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study</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due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to</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30690" w14:textId="3DEB84C2"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FC356" w14:textId="4D6A8A6B"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5B25B" w14:textId="0D17EE2C" w:rsidR="00811E0E" w:rsidRPr="00BF1BFB" w:rsidRDefault="003974AB"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NA</w:t>
            </w:r>
            <w:r w:rsidR="00F96B2F" w:rsidRPr="00BF1BFB">
              <w:rPr>
                <w:rFonts w:ascii="Arial Narrow" w:hAnsi="Arial Narrow" w:cs="Segoe UI"/>
                <w:sz w:val="20"/>
                <w:szCs w:val="20"/>
                <w:lang w:eastAsia="zh-CN"/>
              </w:rPr>
              <w:t xml:space="preserve"> </w:t>
            </w:r>
          </w:p>
        </w:tc>
      </w:tr>
      <w:tr w:rsidR="00811E0E" w:rsidRPr="00E96E9F" w14:paraId="174D83D2" w14:textId="77777777" w:rsidTr="00CF047E">
        <w:tc>
          <w:tcPr>
            <w:tcW w:w="901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DE64E0F" w14:textId="24A2956E" w:rsidR="00811E0E" w:rsidRPr="00E96E9F" w:rsidRDefault="00811E0E" w:rsidP="00BF1BFB">
            <w:pPr>
              <w:pStyle w:val="In-tableHeading"/>
              <w:rPr>
                <w:rFonts w:ascii="Segoe UI" w:hAnsi="Segoe UI"/>
                <w:sz w:val="18"/>
                <w:szCs w:val="18"/>
                <w:lang w:eastAsia="zh-CN"/>
              </w:rPr>
            </w:pPr>
            <w:r w:rsidRPr="00E96E9F">
              <w:rPr>
                <w:lang w:eastAsia="zh-CN"/>
              </w:rPr>
              <w:t>Study</w:t>
            </w:r>
            <w:r w:rsidR="00F96B2F" w:rsidRPr="00E96E9F">
              <w:rPr>
                <w:lang w:eastAsia="zh-CN"/>
              </w:rPr>
              <w:t xml:space="preserve"> </w:t>
            </w:r>
            <w:r w:rsidRPr="00E96E9F">
              <w:rPr>
                <w:lang w:eastAsia="zh-CN"/>
              </w:rPr>
              <w:t>4009</w:t>
            </w:r>
            <w:r w:rsidR="00E5129A" w:rsidRPr="00E96E9F">
              <w:rPr>
                <w:lang w:eastAsia="zh-CN"/>
              </w:rPr>
              <w:t xml:space="preserve"> </w:t>
            </w:r>
          </w:p>
        </w:tc>
      </w:tr>
      <w:tr w:rsidR="00811E0E" w:rsidRPr="00BF1BFB" w14:paraId="3985F0E1"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6D81F" w14:textId="311ABEC0"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Serious</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5DE604" w14:textId="306FE237"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2/22</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(9.1)</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E0F9C" w14:textId="1A80A50E"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2</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(9.1)</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97337" w14:textId="54DF053A" w:rsidR="00811E0E" w:rsidRPr="00BF1BFB" w:rsidRDefault="00A0271E"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1 (0.154 to 6.48)</w:t>
            </w:r>
          </w:p>
        </w:tc>
      </w:tr>
      <w:tr w:rsidR="00811E0E" w:rsidRPr="00BF1BFB" w14:paraId="4DD0CF28"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6C7CB" w14:textId="22E4C412"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Severe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BB1B5" w14:textId="2A1514CC"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2</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(9.1)</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D2300" w14:textId="00E90D0C"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2</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(9.1)</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4A453" w14:textId="281A1907" w:rsidR="00811E0E" w:rsidRPr="00BF1BFB" w:rsidRDefault="00A0271E"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1 (0.154 to 6.48)</w:t>
            </w:r>
          </w:p>
        </w:tc>
      </w:tr>
      <w:tr w:rsidR="00811E0E" w:rsidRPr="00BF1BFB" w14:paraId="2C52016C"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8048D" w14:textId="4EC92717"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Discontinued</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from</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study</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due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to</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C378F3" w14:textId="497B16A3"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3F969" w14:textId="78AB4D1D"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1</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(4.5)</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842A28" w14:textId="63A6D9A8" w:rsidR="00811E0E" w:rsidRPr="00BF1BFB" w:rsidRDefault="003974AB"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NA</w:t>
            </w:r>
          </w:p>
        </w:tc>
      </w:tr>
      <w:tr w:rsidR="00811E0E" w:rsidRPr="00E96E9F" w14:paraId="560CA6DF" w14:textId="77777777" w:rsidTr="00CF047E">
        <w:tc>
          <w:tcPr>
            <w:tcW w:w="901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10D4B3F" w14:textId="458CA57C" w:rsidR="00811E0E" w:rsidRPr="00E96E9F" w:rsidRDefault="00811E0E" w:rsidP="00BF1BFB">
            <w:pPr>
              <w:pStyle w:val="In-tableHeading"/>
              <w:rPr>
                <w:rFonts w:ascii="Segoe UI" w:hAnsi="Segoe UI"/>
                <w:sz w:val="18"/>
                <w:szCs w:val="18"/>
                <w:lang w:eastAsia="zh-CN"/>
              </w:rPr>
            </w:pPr>
            <w:r w:rsidRPr="00E96E9F">
              <w:rPr>
                <w:lang w:eastAsia="zh-CN"/>
              </w:rPr>
              <w:t>Study</w:t>
            </w:r>
            <w:r w:rsidR="00F96B2F" w:rsidRPr="00E96E9F">
              <w:rPr>
                <w:lang w:eastAsia="zh-CN"/>
              </w:rPr>
              <w:t xml:space="preserve"> </w:t>
            </w:r>
            <w:r w:rsidRPr="00E96E9F">
              <w:rPr>
                <w:lang w:eastAsia="zh-CN"/>
              </w:rPr>
              <w:t>1002</w:t>
            </w:r>
            <w:r w:rsidR="00E5129A" w:rsidRPr="00E96E9F">
              <w:rPr>
                <w:lang w:eastAsia="zh-CN"/>
              </w:rPr>
              <w:t xml:space="preserve"> </w:t>
            </w:r>
          </w:p>
        </w:tc>
      </w:tr>
      <w:tr w:rsidR="00811E0E" w:rsidRPr="00BF1BFB" w14:paraId="15EBB8CF"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AA3EF" w14:textId="7C15BFCE"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Serious</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FE962" w14:textId="42B65EA8"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91B1D" w14:textId="242419A3"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A1D818" w14:textId="722E73A0" w:rsidR="00811E0E" w:rsidRPr="00BF1BFB" w:rsidRDefault="003974AB"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NA</w:t>
            </w:r>
          </w:p>
        </w:tc>
      </w:tr>
      <w:tr w:rsidR="00811E0E" w:rsidRPr="00BF1BFB" w14:paraId="5080A3A2"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D9780" w14:textId="7D53D176"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Severe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9B9C0" w14:textId="1430CF86"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7FA0E" w14:textId="39F3C226"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F0B5F0" w14:textId="330F04BF" w:rsidR="00811E0E" w:rsidRPr="00BF1BFB" w:rsidRDefault="003974AB"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NA</w:t>
            </w:r>
          </w:p>
        </w:tc>
      </w:tr>
      <w:tr w:rsidR="00811E0E" w:rsidRPr="00BF1BFB" w14:paraId="3710372B" w14:textId="77777777" w:rsidTr="00CF047E">
        <w:tc>
          <w:tcPr>
            <w:tcW w:w="23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269F8" w14:textId="52001BA5" w:rsidR="00811E0E" w:rsidRPr="00BF1BFB" w:rsidRDefault="00811E0E" w:rsidP="00CF047E">
            <w:pPr>
              <w:jc w:val="left"/>
              <w:textAlignment w:val="baseline"/>
              <w:rPr>
                <w:rFonts w:ascii="Segoe UI" w:hAnsi="Segoe UI" w:cs="Segoe UI"/>
                <w:sz w:val="18"/>
                <w:szCs w:val="18"/>
                <w:lang w:eastAsia="zh-CN"/>
              </w:rPr>
            </w:pPr>
            <w:r w:rsidRPr="00BF1BFB">
              <w:rPr>
                <w:rFonts w:ascii="Arial Narrow" w:hAnsi="Arial Narrow" w:cs="Segoe UI"/>
                <w:sz w:val="20"/>
                <w:szCs w:val="20"/>
                <w:lang w:eastAsia="zh-CN"/>
              </w:rPr>
              <w:t>Discontinued</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from</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study</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due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to</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adverse</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event</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8536B" w14:textId="02D25D5D"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1</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(1.1)</w:t>
            </w:r>
            <w:r w:rsidR="00F96B2F" w:rsidRPr="00BF1BFB">
              <w:rPr>
                <w:rFonts w:ascii="Arial Narrow" w:hAnsi="Arial Narrow" w:cs="Segoe UI"/>
                <w:sz w:val="20"/>
                <w:szCs w:val="20"/>
                <w:lang w:eastAsia="zh-CN"/>
              </w:rPr>
              <w:t xml:space="preserve"> </w:t>
            </w:r>
          </w:p>
        </w:tc>
        <w:tc>
          <w:tcPr>
            <w:tcW w:w="2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50151" w14:textId="3A154DA6" w:rsidR="00811E0E" w:rsidRPr="00BF1BFB" w:rsidRDefault="00811E0E" w:rsidP="00CF047E">
            <w:pPr>
              <w:jc w:val="center"/>
              <w:textAlignment w:val="baseline"/>
              <w:rPr>
                <w:rFonts w:ascii="Segoe UI" w:hAnsi="Segoe UI" w:cs="Segoe UI"/>
                <w:sz w:val="18"/>
                <w:szCs w:val="18"/>
                <w:lang w:eastAsia="zh-CN"/>
              </w:rPr>
            </w:pP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r w:rsidRPr="00BF1BFB">
              <w:rPr>
                <w:rFonts w:ascii="Arial Narrow" w:hAnsi="Arial Narrow" w:cs="Segoe UI"/>
                <w:sz w:val="20"/>
                <w:szCs w:val="20"/>
                <w:lang w:eastAsia="zh-CN"/>
              </w:rPr>
              <w:t>(0)</w:t>
            </w:r>
            <w:r w:rsidR="00F96B2F" w:rsidRPr="00BF1BFB">
              <w:rPr>
                <w:rFonts w:ascii="Arial Narrow" w:hAnsi="Arial Narrow" w:cs="Segoe UI"/>
                <w:sz w:val="20"/>
                <w:szCs w:val="20"/>
                <w:lang w:eastAsia="zh-CN"/>
              </w:rPr>
              <w:t xml:space="preserve"> </w:t>
            </w:r>
          </w:p>
        </w:tc>
        <w:tc>
          <w:tcPr>
            <w:tcW w:w="22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06B47" w14:textId="485F2CD0" w:rsidR="00811E0E" w:rsidRPr="00BF1BFB" w:rsidRDefault="003974AB" w:rsidP="00CF047E">
            <w:pPr>
              <w:jc w:val="center"/>
              <w:textAlignment w:val="baseline"/>
              <w:rPr>
                <w:rFonts w:ascii="Segoe UI" w:hAnsi="Segoe UI" w:cs="Segoe UI"/>
                <w:sz w:val="18"/>
                <w:szCs w:val="18"/>
                <w:lang w:eastAsia="zh-CN"/>
              </w:rPr>
            </w:pPr>
            <w:r w:rsidRPr="00BF1BFB">
              <w:rPr>
                <w:rFonts w:ascii="Arial Narrow" w:hAnsi="Arial Narrow" w:cs="Segoe UI"/>
                <w:iCs/>
                <w:sz w:val="20"/>
                <w:szCs w:val="20"/>
                <w:lang w:eastAsia="zh-CN"/>
              </w:rPr>
              <w:t>NA</w:t>
            </w:r>
          </w:p>
        </w:tc>
      </w:tr>
    </w:tbl>
    <w:p w14:paraId="4BC97E3D" w14:textId="291D87D6" w:rsidR="00903C88" w:rsidRPr="006D4B84" w:rsidRDefault="00903C88" w:rsidP="006D4B84">
      <w:pPr>
        <w:pStyle w:val="TableFigureFooter"/>
      </w:pPr>
      <w:r w:rsidRPr="006D4B84">
        <w:t>Source:</w:t>
      </w:r>
      <w:r w:rsidR="00F96B2F" w:rsidRPr="006D4B84">
        <w:t xml:space="preserve"> </w:t>
      </w:r>
      <w:r w:rsidR="000449FA" w:rsidRPr="006D4B84">
        <w:t>Table</w:t>
      </w:r>
      <w:r w:rsidR="00F96B2F" w:rsidRPr="006D4B84">
        <w:t xml:space="preserve"> </w:t>
      </w:r>
      <w:r w:rsidR="000449FA" w:rsidRPr="006D4B84">
        <w:t>2.</w:t>
      </w:r>
      <w:r w:rsidR="00C759AC" w:rsidRPr="006D4B84">
        <w:t>5.32,</w:t>
      </w:r>
      <w:r w:rsidR="00F96B2F" w:rsidRPr="006D4B84">
        <w:t xml:space="preserve"> </w:t>
      </w:r>
      <w:r w:rsidR="00C759AC" w:rsidRPr="006D4B84">
        <w:t>p</w:t>
      </w:r>
      <w:r w:rsidR="00AE7EF6" w:rsidRPr="006D4B84">
        <w:t>116</w:t>
      </w:r>
      <w:r w:rsidR="00F96B2F" w:rsidRPr="006D4B84">
        <w:t xml:space="preserve"> </w:t>
      </w:r>
      <w:r w:rsidR="00AE7EF6" w:rsidRPr="006D4B84">
        <w:t>of</w:t>
      </w:r>
      <w:r w:rsidR="00F96B2F" w:rsidRPr="006D4B84">
        <w:t xml:space="preserve"> </w:t>
      </w:r>
      <w:r w:rsidR="00AE7EF6" w:rsidRPr="006D4B84">
        <w:t>the</w:t>
      </w:r>
      <w:r w:rsidR="00F96B2F" w:rsidRPr="006D4B84">
        <w:t xml:space="preserve"> </w:t>
      </w:r>
      <w:r w:rsidR="00AE7EF6" w:rsidRPr="006D4B84">
        <w:t>submission.</w:t>
      </w:r>
    </w:p>
    <w:p w14:paraId="7AF8EE78" w14:textId="77777777" w:rsidR="00E5129A" w:rsidRPr="006D4B84" w:rsidRDefault="0095415B" w:rsidP="006D4B84">
      <w:pPr>
        <w:pStyle w:val="TableFigureFooter"/>
      </w:pPr>
      <w:r w:rsidRPr="006D4B84">
        <w:t>NA=Not able to be calc</w:t>
      </w:r>
      <w:r w:rsidR="003974AB" w:rsidRPr="006D4B84">
        <w:t>ulated due to zero value.</w:t>
      </w:r>
    </w:p>
    <w:p w14:paraId="4C882EC9" w14:textId="064707D9" w:rsidR="00AF2D1A" w:rsidRPr="006D4B84" w:rsidRDefault="00AF2D1A" w:rsidP="006D4B84">
      <w:pPr>
        <w:pStyle w:val="TableFigureFooter"/>
      </w:pPr>
      <w:r w:rsidRPr="006D4B84">
        <w:t>*</w:t>
      </w:r>
      <w:r w:rsidR="00F96B2F" w:rsidRPr="006D4B84">
        <w:t xml:space="preserve"> </w:t>
      </w:r>
      <w:r w:rsidR="00AE6CF7" w:rsidRPr="006D4B84">
        <w:t>Risk</w:t>
      </w:r>
      <w:r w:rsidR="00F96B2F" w:rsidRPr="006D4B84">
        <w:t xml:space="preserve"> </w:t>
      </w:r>
      <w:r w:rsidR="00AE6CF7" w:rsidRPr="006D4B84">
        <w:t>difference</w:t>
      </w:r>
      <w:r w:rsidR="00F96B2F" w:rsidRPr="006D4B84">
        <w:t xml:space="preserve"> </w:t>
      </w:r>
      <w:r w:rsidR="00AE6CF7" w:rsidRPr="006D4B84">
        <w:t>(RD)</w:t>
      </w:r>
      <w:r w:rsidR="00F96B2F" w:rsidRPr="006D4B84">
        <w:t xml:space="preserve"> </w:t>
      </w:r>
      <w:r w:rsidR="00AE6CF7" w:rsidRPr="006D4B84">
        <w:t>and</w:t>
      </w:r>
      <w:r w:rsidR="00F96B2F" w:rsidRPr="006D4B84">
        <w:t xml:space="preserve"> </w:t>
      </w:r>
      <w:r w:rsidR="00AE6CF7" w:rsidRPr="006D4B84">
        <w:t>relative</w:t>
      </w:r>
      <w:r w:rsidR="00F96B2F" w:rsidRPr="006D4B84">
        <w:t xml:space="preserve"> </w:t>
      </w:r>
      <w:r w:rsidR="00AE6CF7" w:rsidRPr="006D4B84">
        <w:t>risk</w:t>
      </w:r>
      <w:r w:rsidR="00F96B2F" w:rsidRPr="006D4B84">
        <w:t xml:space="preserve"> </w:t>
      </w:r>
      <w:r w:rsidR="00AE6CF7" w:rsidRPr="006D4B84">
        <w:t>(RR)</w:t>
      </w:r>
      <w:r w:rsidR="00F96B2F" w:rsidRPr="006D4B84">
        <w:t xml:space="preserve"> </w:t>
      </w:r>
      <w:r w:rsidR="00AE6CF7" w:rsidRPr="006D4B84">
        <w:t>were</w:t>
      </w:r>
      <w:r w:rsidR="00F96B2F" w:rsidRPr="006D4B84">
        <w:t xml:space="preserve"> </w:t>
      </w:r>
      <w:r w:rsidR="00AE6CF7" w:rsidRPr="006D4B84">
        <w:t>not</w:t>
      </w:r>
      <w:r w:rsidR="00F96B2F" w:rsidRPr="006D4B84">
        <w:t xml:space="preserve"> </w:t>
      </w:r>
      <w:r w:rsidR="00AE6CF7" w:rsidRPr="006D4B84">
        <w:t>presented</w:t>
      </w:r>
      <w:r w:rsidR="00F96B2F" w:rsidRPr="006D4B84">
        <w:t xml:space="preserve"> </w:t>
      </w:r>
      <w:r w:rsidR="00AE6CF7" w:rsidRPr="006D4B84">
        <w:t>in</w:t>
      </w:r>
      <w:r w:rsidR="00F96B2F" w:rsidRPr="006D4B84">
        <w:t xml:space="preserve"> </w:t>
      </w:r>
      <w:r w:rsidR="00AE6CF7" w:rsidRPr="006D4B84">
        <w:t>the</w:t>
      </w:r>
      <w:r w:rsidR="00F96B2F" w:rsidRPr="006D4B84">
        <w:t xml:space="preserve"> </w:t>
      </w:r>
      <w:r w:rsidR="00AE6CF7" w:rsidRPr="006D4B84">
        <w:t>submission</w:t>
      </w:r>
      <w:r w:rsidR="003974AB" w:rsidRPr="006D4B84">
        <w:t>. Calculated during the evaluation.</w:t>
      </w:r>
    </w:p>
    <w:p w14:paraId="0B6810BE" w14:textId="77777777" w:rsidR="00811E0E" w:rsidRPr="00E96E9F" w:rsidRDefault="00811E0E" w:rsidP="00811E0E">
      <w:pPr>
        <w:pStyle w:val="4-SubsectionHeading"/>
      </w:pPr>
      <w:bookmarkStart w:id="21" w:name="_Toc22897643"/>
      <w:bookmarkStart w:id="22" w:name="_Toc93499822"/>
      <w:r w:rsidRPr="00E96E9F">
        <w:t>Benefits/harms</w:t>
      </w:r>
      <w:bookmarkEnd w:id="21"/>
      <w:bookmarkEnd w:id="22"/>
    </w:p>
    <w:p w14:paraId="0EEC96D8" w14:textId="77777777" w:rsidR="00D660D9" w:rsidRPr="00E96E9F" w:rsidRDefault="00D660D9" w:rsidP="00D660D9">
      <w:pPr>
        <w:pStyle w:val="3-BodyText"/>
      </w:pPr>
      <w:r w:rsidRPr="00BF1BFB">
        <w:t>As the submission claimed non-inferior comparative effectiveness and safety, a benefit and harms table has not been presented.</w:t>
      </w:r>
    </w:p>
    <w:p w14:paraId="3256F562" w14:textId="4C7E40DA" w:rsidR="00811E0E" w:rsidRPr="00E96E9F" w:rsidRDefault="00811E0E" w:rsidP="00811E0E">
      <w:pPr>
        <w:pStyle w:val="3-BodyText"/>
      </w:pPr>
      <w:r w:rsidRPr="00E96E9F">
        <w:t>The</w:t>
      </w:r>
      <w:r w:rsidR="00F96B2F" w:rsidRPr="00E96E9F">
        <w:t xml:space="preserve"> </w:t>
      </w:r>
      <w:r w:rsidR="00AE6ACD" w:rsidRPr="00E96E9F">
        <w:t xml:space="preserve">submission claimed the </w:t>
      </w:r>
      <w:r w:rsidRPr="00E96E9F">
        <w:t>benefit</w:t>
      </w:r>
      <w:r w:rsidR="00F96B2F" w:rsidRPr="00E96E9F">
        <w:t xml:space="preserve"> </w:t>
      </w:r>
      <w:r w:rsidRPr="00E96E9F">
        <w:t>of</w:t>
      </w:r>
      <w:r w:rsidR="00F96B2F" w:rsidRPr="00E96E9F">
        <w:t xml:space="preserve"> </w:t>
      </w:r>
      <w:proofErr w:type="spellStart"/>
      <w:r w:rsidRPr="00E96E9F">
        <w:t>somatrogon</w:t>
      </w:r>
      <w:proofErr w:type="spellEnd"/>
      <w:r w:rsidR="00F96B2F" w:rsidRPr="00E96E9F">
        <w:t xml:space="preserve"> </w:t>
      </w:r>
      <w:r w:rsidRPr="00E96E9F">
        <w:t>is</w:t>
      </w:r>
      <w:r w:rsidR="00F96B2F" w:rsidRPr="00E96E9F">
        <w:t xml:space="preserve"> </w:t>
      </w:r>
      <w:r w:rsidRPr="00E96E9F">
        <w:t>to</w:t>
      </w:r>
      <w:r w:rsidR="00F96B2F" w:rsidRPr="00E96E9F">
        <w:t xml:space="preserve"> </w:t>
      </w:r>
      <w:r w:rsidRPr="00E96E9F">
        <w:t>improve</w:t>
      </w:r>
      <w:r w:rsidR="00F96B2F" w:rsidRPr="00E96E9F">
        <w:t xml:space="preserve"> </w:t>
      </w:r>
      <w:r w:rsidRPr="00E96E9F">
        <w:t>the</w:t>
      </w:r>
      <w:r w:rsidR="00F96B2F" w:rsidRPr="00E96E9F">
        <w:t xml:space="preserve"> </w:t>
      </w:r>
      <w:r w:rsidRPr="00E96E9F">
        <w:t>growth</w:t>
      </w:r>
      <w:r w:rsidR="00F96B2F" w:rsidRPr="00E96E9F">
        <w:t xml:space="preserve"> </w:t>
      </w:r>
      <w:r w:rsidR="007E3CD0">
        <w:t>(</w:t>
      </w:r>
      <w:r w:rsidRPr="00E96E9F">
        <w:t>in</w:t>
      </w:r>
      <w:r w:rsidR="00F96B2F" w:rsidRPr="00E96E9F">
        <w:t xml:space="preserve"> </w:t>
      </w:r>
      <w:r w:rsidRPr="00E96E9F">
        <w:t>terms</w:t>
      </w:r>
      <w:r w:rsidR="00F96B2F" w:rsidRPr="00E96E9F">
        <w:t xml:space="preserve"> </w:t>
      </w:r>
      <w:r w:rsidRPr="00E96E9F">
        <w:t>of</w:t>
      </w:r>
      <w:r w:rsidR="00F96B2F" w:rsidRPr="00E96E9F">
        <w:t xml:space="preserve"> </w:t>
      </w:r>
      <w:r w:rsidR="00251B34" w:rsidRPr="00E96E9F">
        <w:t>HV</w:t>
      </w:r>
      <w:r w:rsidR="007E3CD0">
        <w:t>)</w:t>
      </w:r>
      <w:r w:rsidR="00F96B2F" w:rsidRPr="00E96E9F">
        <w:t xml:space="preserve"> </w:t>
      </w:r>
      <w:r w:rsidRPr="00E96E9F">
        <w:t>of</w:t>
      </w:r>
      <w:r w:rsidR="00F96B2F" w:rsidRPr="00E96E9F">
        <w:t xml:space="preserve"> </w:t>
      </w:r>
      <w:r w:rsidRPr="00E96E9F">
        <w:t>pre-pubertal</w:t>
      </w:r>
      <w:r w:rsidR="00F96B2F" w:rsidRPr="00E96E9F">
        <w:t xml:space="preserve"> </w:t>
      </w:r>
      <w:r w:rsidRPr="00E96E9F">
        <w:t>children</w:t>
      </w:r>
      <w:r w:rsidR="00F96B2F" w:rsidRPr="00E96E9F">
        <w:t xml:space="preserve"> </w:t>
      </w:r>
      <w:r w:rsidRPr="00E96E9F">
        <w:t>with</w:t>
      </w:r>
      <w:r w:rsidR="00F96B2F" w:rsidRPr="00E96E9F">
        <w:t xml:space="preserve"> </w:t>
      </w:r>
      <w:r w:rsidR="007E3CD0">
        <w:t>GHD</w:t>
      </w:r>
      <w:r w:rsidRPr="00E96E9F">
        <w:t>.</w:t>
      </w:r>
      <w:r w:rsidR="00F96B2F" w:rsidRPr="00E96E9F">
        <w:t xml:space="preserve"> </w:t>
      </w:r>
      <w:r w:rsidRPr="00E96E9F">
        <w:t>The</w:t>
      </w:r>
      <w:r w:rsidR="00F96B2F" w:rsidRPr="00E96E9F">
        <w:t xml:space="preserve"> </w:t>
      </w:r>
      <w:r w:rsidRPr="00E96E9F">
        <w:t>weekly</w:t>
      </w:r>
      <w:r w:rsidR="00F96B2F" w:rsidRPr="00E96E9F">
        <w:t xml:space="preserve"> </w:t>
      </w:r>
      <w:r w:rsidRPr="00E96E9F">
        <w:t>dosing</w:t>
      </w:r>
      <w:r w:rsidR="00F96B2F" w:rsidRPr="00E96E9F">
        <w:t xml:space="preserve"> </w:t>
      </w:r>
      <w:r w:rsidRPr="00E96E9F">
        <w:t>of</w:t>
      </w:r>
      <w:r w:rsidR="00F96B2F" w:rsidRPr="00E96E9F">
        <w:t xml:space="preserve"> </w:t>
      </w:r>
      <w:proofErr w:type="spellStart"/>
      <w:r w:rsidRPr="00E96E9F">
        <w:t>somatrogon</w:t>
      </w:r>
      <w:proofErr w:type="spellEnd"/>
      <w:r w:rsidR="00F96B2F" w:rsidRPr="00E96E9F">
        <w:t xml:space="preserve"> </w:t>
      </w:r>
      <w:r w:rsidRPr="00E96E9F">
        <w:t>compared</w:t>
      </w:r>
      <w:r w:rsidR="00F96B2F" w:rsidRPr="00E96E9F">
        <w:t xml:space="preserve"> </w:t>
      </w:r>
      <w:r w:rsidRPr="00E96E9F">
        <w:t>with</w:t>
      </w:r>
      <w:r w:rsidR="00F96B2F" w:rsidRPr="00E96E9F">
        <w:t xml:space="preserve"> </w:t>
      </w:r>
      <w:r w:rsidRPr="00E96E9F">
        <w:t>daily</w:t>
      </w:r>
      <w:r w:rsidR="00F96B2F" w:rsidRPr="00E96E9F">
        <w:t xml:space="preserve"> </w:t>
      </w:r>
      <w:r w:rsidRPr="00E96E9F">
        <w:t>dosing</w:t>
      </w:r>
      <w:r w:rsidR="00F96B2F" w:rsidRPr="00E96E9F">
        <w:t xml:space="preserve"> </w:t>
      </w:r>
      <w:r w:rsidRPr="00E96E9F">
        <w:t>of</w:t>
      </w:r>
      <w:r w:rsidR="00F96B2F" w:rsidRPr="00E96E9F">
        <w:t xml:space="preserve"> </w:t>
      </w:r>
      <w:r w:rsidRPr="00E96E9F">
        <w:t>somatropin</w:t>
      </w:r>
      <w:r w:rsidR="00F96B2F" w:rsidRPr="00E96E9F">
        <w:t xml:space="preserve"> </w:t>
      </w:r>
      <w:r w:rsidRPr="00E96E9F">
        <w:t>could</w:t>
      </w:r>
      <w:r w:rsidR="00F96B2F" w:rsidRPr="00E96E9F">
        <w:t xml:space="preserve"> </w:t>
      </w:r>
      <w:r w:rsidRPr="00E96E9F">
        <w:t>improve</w:t>
      </w:r>
      <w:r w:rsidR="00F96B2F" w:rsidRPr="00E96E9F">
        <w:t xml:space="preserve"> </w:t>
      </w:r>
      <w:r w:rsidRPr="00E96E9F">
        <w:t>treatment</w:t>
      </w:r>
      <w:r w:rsidR="00F96B2F" w:rsidRPr="00E96E9F">
        <w:t xml:space="preserve"> </w:t>
      </w:r>
      <w:r w:rsidRPr="00E96E9F">
        <w:t>satisfaction,</w:t>
      </w:r>
      <w:r w:rsidR="00F96B2F" w:rsidRPr="00E96E9F">
        <w:t xml:space="preserve"> </w:t>
      </w:r>
      <w:r w:rsidRPr="00E96E9F">
        <w:t>patient</w:t>
      </w:r>
      <w:r w:rsidR="00F96B2F" w:rsidRPr="00E96E9F">
        <w:t xml:space="preserve"> </w:t>
      </w:r>
      <w:r w:rsidRPr="00E96E9F">
        <w:t>adherence</w:t>
      </w:r>
      <w:r w:rsidR="00F96B2F" w:rsidRPr="00E96E9F">
        <w:t xml:space="preserve"> </w:t>
      </w:r>
      <w:r w:rsidRPr="00E96E9F">
        <w:t>and</w:t>
      </w:r>
      <w:r w:rsidR="00F96B2F" w:rsidRPr="00E96E9F">
        <w:t xml:space="preserve"> </w:t>
      </w:r>
      <w:r w:rsidRPr="00E96E9F">
        <w:t>potentially,</w:t>
      </w:r>
      <w:r w:rsidR="00F96B2F" w:rsidRPr="00E96E9F">
        <w:t xml:space="preserve"> </w:t>
      </w:r>
      <w:r w:rsidRPr="00E96E9F">
        <w:t>their</w:t>
      </w:r>
      <w:r w:rsidR="00F96B2F" w:rsidRPr="00E96E9F">
        <w:t xml:space="preserve"> </w:t>
      </w:r>
      <w:r w:rsidRPr="00E96E9F">
        <w:t>quality</w:t>
      </w:r>
      <w:r w:rsidR="00F96B2F" w:rsidRPr="00E96E9F">
        <w:t xml:space="preserve"> </w:t>
      </w:r>
      <w:r w:rsidRPr="00E96E9F">
        <w:t>of</w:t>
      </w:r>
      <w:r w:rsidR="00F96B2F" w:rsidRPr="00E96E9F">
        <w:t xml:space="preserve"> </w:t>
      </w:r>
      <w:r w:rsidRPr="00E96E9F">
        <w:t>life.</w:t>
      </w:r>
    </w:p>
    <w:p w14:paraId="76198DF4" w14:textId="2D976CD2" w:rsidR="00E5129A" w:rsidRPr="00E96E9F" w:rsidRDefault="00811E0E" w:rsidP="00811E0E">
      <w:pPr>
        <w:pStyle w:val="3-BodyText"/>
        <w:rPr>
          <w:shd w:val="clear" w:color="auto" w:fill="FFFFFF"/>
          <w:lang w:eastAsia="zh-CN"/>
        </w:rPr>
      </w:pPr>
      <w:r w:rsidRPr="00E96E9F">
        <w:t>Although</w:t>
      </w:r>
      <w:r w:rsidR="00F96B2F" w:rsidRPr="00E96E9F">
        <w:t xml:space="preserve"> </w:t>
      </w:r>
      <w:r w:rsidRPr="00E96E9F">
        <w:t>the</w:t>
      </w:r>
      <w:r w:rsidR="00F96B2F" w:rsidRPr="00E96E9F">
        <w:t xml:space="preserve"> </w:t>
      </w:r>
      <w:r w:rsidRPr="00E96E9F">
        <w:rPr>
          <w:shd w:val="clear" w:color="auto" w:fill="FFFFFF"/>
          <w:lang w:eastAsia="zh-CN"/>
        </w:rPr>
        <w:t>overall</w:t>
      </w:r>
      <w:r w:rsidR="00F96B2F" w:rsidRPr="00E96E9F">
        <w:rPr>
          <w:shd w:val="clear" w:color="auto" w:fill="FFFFFF"/>
          <w:lang w:eastAsia="zh-CN"/>
        </w:rPr>
        <w:t xml:space="preserve"> </w:t>
      </w:r>
      <w:r w:rsidRPr="00E96E9F">
        <w:rPr>
          <w:shd w:val="clear" w:color="auto" w:fill="FFFFFF"/>
          <w:lang w:eastAsia="zh-CN"/>
        </w:rPr>
        <w:t>incidence</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serious</w:t>
      </w:r>
      <w:r w:rsidR="00F96B2F" w:rsidRPr="00E96E9F">
        <w:rPr>
          <w:shd w:val="clear" w:color="auto" w:fill="FFFFFF"/>
          <w:lang w:eastAsia="zh-CN"/>
        </w:rPr>
        <w:t xml:space="preserve"> </w:t>
      </w:r>
      <w:r w:rsidRPr="00E96E9F">
        <w:rPr>
          <w:shd w:val="clear" w:color="auto" w:fill="FFFFFF"/>
          <w:lang w:eastAsia="zh-CN"/>
        </w:rPr>
        <w:t>or</w:t>
      </w:r>
      <w:r w:rsidR="00F96B2F" w:rsidRPr="00E96E9F">
        <w:rPr>
          <w:shd w:val="clear" w:color="auto" w:fill="FFFFFF"/>
          <w:lang w:eastAsia="zh-CN"/>
        </w:rPr>
        <w:t xml:space="preserve"> </w:t>
      </w:r>
      <w:r w:rsidRPr="00E96E9F">
        <w:rPr>
          <w:shd w:val="clear" w:color="auto" w:fill="FFFFFF"/>
          <w:lang w:eastAsia="zh-CN"/>
        </w:rPr>
        <w:t>severe</w:t>
      </w:r>
      <w:r w:rsidR="00F96B2F" w:rsidRPr="00E96E9F">
        <w:rPr>
          <w:shd w:val="clear" w:color="auto" w:fill="FFFFFF"/>
          <w:lang w:eastAsia="zh-CN"/>
        </w:rPr>
        <w:t xml:space="preserve"> </w:t>
      </w:r>
      <w:r w:rsidR="00A64EA9">
        <w:rPr>
          <w:shd w:val="clear" w:color="auto" w:fill="FFFFFF"/>
          <w:lang w:eastAsia="zh-CN"/>
        </w:rPr>
        <w:t>AEs</w:t>
      </w:r>
      <w:r w:rsidR="00F96B2F" w:rsidRPr="00E96E9F">
        <w:rPr>
          <w:shd w:val="clear" w:color="auto" w:fill="FFFFFF"/>
          <w:lang w:eastAsia="zh-CN"/>
        </w:rPr>
        <w:t xml:space="preserve"> </w:t>
      </w:r>
      <w:r w:rsidRPr="00E96E9F">
        <w:rPr>
          <w:shd w:val="clear" w:color="auto" w:fill="FFFFFF"/>
          <w:lang w:eastAsia="zh-CN"/>
        </w:rPr>
        <w:t>are</w:t>
      </w:r>
      <w:r w:rsidR="00F96B2F" w:rsidRPr="00E96E9F">
        <w:rPr>
          <w:shd w:val="clear" w:color="auto" w:fill="FFFFFF"/>
          <w:lang w:eastAsia="zh-CN"/>
        </w:rPr>
        <w:t xml:space="preserve"> </w:t>
      </w:r>
      <w:r w:rsidRPr="00E96E9F">
        <w:rPr>
          <w:shd w:val="clear" w:color="auto" w:fill="FFFFFF"/>
          <w:lang w:eastAsia="zh-CN"/>
        </w:rPr>
        <w:t>comparable</w:t>
      </w:r>
      <w:r w:rsidR="00F96B2F" w:rsidRPr="00E96E9F">
        <w:rPr>
          <w:shd w:val="clear" w:color="auto" w:fill="FFFFFF"/>
          <w:lang w:eastAsia="zh-CN"/>
        </w:rPr>
        <w:t xml:space="preserve"> </w:t>
      </w:r>
      <w:r w:rsidRPr="00E96E9F">
        <w:rPr>
          <w:shd w:val="clear" w:color="auto" w:fill="FFFFFF"/>
          <w:lang w:eastAsia="zh-CN"/>
        </w:rPr>
        <w:t>between</w:t>
      </w:r>
      <w:r w:rsidR="00F96B2F" w:rsidRPr="00E96E9F">
        <w:rPr>
          <w:shd w:val="clear" w:color="auto" w:fill="FFFFFF"/>
          <w:lang w:eastAsia="zh-CN"/>
        </w:rPr>
        <w:t xml:space="preserve">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and</w:t>
      </w:r>
      <w:r w:rsidR="00F96B2F" w:rsidRPr="00E96E9F">
        <w:rPr>
          <w:shd w:val="clear" w:color="auto" w:fill="FFFFFF"/>
          <w:lang w:eastAsia="zh-CN"/>
        </w:rPr>
        <w:t xml:space="preserve"> </w:t>
      </w:r>
      <w:r w:rsidRPr="00E96E9F">
        <w:rPr>
          <w:shd w:val="clear" w:color="auto" w:fill="FFFFFF"/>
          <w:lang w:eastAsia="zh-CN"/>
        </w:rPr>
        <w:t>somatropin,</w:t>
      </w:r>
      <w:r w:rsidR="00F96B2F" w:rsidRPr="00E96E9F">
        <w:rPr>
          <w:shd w:val="clear" w:color="auto" w:fill="FFFFFF"/>
          <w:lang w:eastAsia="zh-CN"/>
        </w:rPr>
        <w:t xml:space="preserve"> </w:t>
      </w:r>
      <w:r w:rsidRPr="00E96E9F">
        <w:rPr>
          <w:shd w:val="clear" w:color="auto" w:fill="FFFFFF"/>
          <w:lang w:eastAsia="zh-CN"/>
        </w:rPr>
        <w:t>there</w:t>
      </w:r>
      <w:r w:rsidR="00F96B2F" w:rsidRPr="00E96E9F">
        <w:rPr>
          <w:shd w:val="clear" w:color="auto" w:fill="FFFFFF"/>
          <w:lang w:eastAsia="zh-CN"/>
        </w:rPr>
        <w:t xml:space="preserve"> </w:t>
      </w:r>
      <w:r w:rsidR="00251B34" w:rsidRPr="00E96E9F">
        <w:rPr>
          <w:shd w:val="clear" w:color="auto" w:fill="FFFFFF"/>
          <w:lang w:eastAsia="zh-CN"/>
        </w:rPr>
        <w:t xml:space="preserve">was </w:t>
      </w:r>
      <w:r w:rsidRPr="00E96E9F">
        <w:rPr>
          <w:shd w:val="clear" w:color="auto" w:fill="FFFFFF"/>
          <w:lang w:eastAsia="zh-CN"/>
        </w:rPr>
        <w:t>higher</w:t>
      </w:r>
      <w:r w:rsidR="00F96B2F" w:rsidRPr="00E96E9F">
        <w:rPr>
          <w:shd w:val="clear" w:color="auto" w:fill="FFFFFF"/>
          <w:lang w:eastAsia="zh-CN"/>
        </w:rPr>
        <w:t xml:space="preserve"> </w:t>
      </w:r>
      <w:r w:rsidRPr="00E96E9F">
        <w:rPr>
          <w:shd w:val="clear" w:color="auto" w:fill="FFFFFF"/>
          <w:lang w:eastAsia="zh-CN"/>
        </w:rPr>
        <w:t>incidence</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injection</w:t>
      </w:r>
      <w:r w:rsidR="00F96B2F" w:rsidRPr="00E96E9F">
        <w:rPr>
          <w:shd w:val="clear" w:color="auto" w:fill="FFFFFF"/>
          <w:lang w:eastAsia="zh-CN"/>
        </w:rPr>
        <w:t xml:space="preserve"> </w:t>
      </w:r>
      <w:r w:rsidRPr="00E96E9F">
        <w:rPr>
          <w:shd w:val="clear" w:color="auto" w:fill="FFFFFF"/>
          <w:lang w:eastAsia="zh-CN"/>
        </w:rPr>
        <w:t>site</w:t>
      </w:r>
      <w:r w:rsidR="00F96B2F" w:rsidRPr="00E96E9F">
        <w:rPr>
          <w:shd w:val="clear" w:color="auto" w:fill="FFFFFF"/>
          <w:lang w:eastAsia="zh-CN"/>
        </w:rPr>
        <w:t xml:space="preserve"> </w:t>
      </w:r>
      <w:r w:rsidRPr="00E96E9F">
        <w:rPr>
          <w:shd w:val="clear" w:color="auto" w:fill="FFFFFF"/>
          <w:lang w:eastAsia="zh-CN"/>
        </w:rPr>
        <w:t>reactions</w:t>
      </w:r>
      <w:r w:rsidR="00F96B2F" w:rsidRPr="00E96E9F">
        <w:rPr>
          <w:shd w:val="clear" w:color="auto" w:fill="FFFFFF"/>
          <w:lang w:eastAsia="zh-CN"/>
        </w:rPr>
        <w:t xml:space="preserve"> </w:t>
      </w:r>
      <w:r w:rsidRPr="00E96E9F">
        <w:rPr>
          <w:shd w:val="clear" w:color="auto" w:fill="FFFFFF"/>
          <w:lang w:eastAsia="zh-CN"/>
        </w:rPr>
        <w:t>(erythema,</w:t>
      </w:r>
      <w:r w:rsidR="00F96B2F" w:rsidRPr="00E96E9F">
        <w:rPr>
          <w:shd w:val="clear" w:color="auto" w:fill="FFFFFF"/>
          <w:lang w:eastAsia="zh-CN"/>
        </w:rPr>
        <w:t xml:space="preserve"> </w:t>
      </w:r>
      <w:r w:rsidRPr="00E96E9F">
        <w:rPr>
          <w:shd w:val="clear" w:color="auto" w:fill="FFFFFF"/>
          <w:lang w:eastAsia="zh-CN"/>
        </w:rPr>
        <w:t>pain,</w:t>
      </w:r>
      <w:r w:rsidR="00F96B2F" w:rsidRPr="00E96E9F">
        <w:rPr>
          <w:shd w:val="clear" w:color="auto" w:fill="FFFFFF"/>
          <w:lang w:eastAsia="zh-CN"/>
        </w:rPr>
        <w:t xml:space="preserve"> </w:t>
      </w:r>
      <w:r w:rsidRPr="00E96E9F">
        <w:rPr>
          <w:shd w:val="clear" w:color="auto" w:fill="FFFFFF"/>
          <w:lang w:eastAsia="zh-CN"/>
        </w:rPr>
        <w:t>pruritus)</w:t>
      </w:r>
      <w:r w:rsidR="00F96B2F" w:rsidRPr="00E96E9F">
        <w:rPr>
          <w:shd w:val="clear" w:color="auto" w:fill="FFFFFF"/>
          <w:lang w:eastAsia="zh-CN"/>
        </w:rPr>
        <w:t xml:space="preserve"> </w:t>
      </w:r>
      <w:r w:rsidR="00C97041">
        <w:rPr>
          <w:shd w:val="clear" w:color="auto" w:fill="FFFFFF"/>
          <w:lang w:eastAsia="zh-CN"/>
        </w:rPr>
        <w:t>with the use of</w:t>
      </w:r>
      <w:r w:rsidR="00C97041" w:rsidRPr="00E96E9F">
        <w:rPr>
          <w:shd w:val="clear" w:color="auto" w:fill="FFFFFF"/>
          <w:lang w:eastAsia="zh-CN"/>
        </w:rPr>
        <w:t xml:space="preserve">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across</w:t>
      </w:r>
      <w:r w:rsidR="00F96B2F" w:rsidRPr="00E96E9F">
        <w:rPr>
          <w:shd w:val="clear" w:color="auto" w:fill="FFFFFF"/>
          <w:lang w:eastAsia="zh-CN"/>
        </w:rPr>
        <w:t xml:space="preserve"> </w:t>
      </w:r>
      <w:r w:rsidRPr="00E96E9F">
        <w:rPr>
          <w:shd w:val="clear" w:color="auto" w:fill="FFFFFF"/>
          <w:lang w:eastAsia="zh-CN"/>
        </w:rPr>
        <w:t>all</w:t>
      </w:r>
      <w:r w:rsidR="00F96B2F" w:rsidRPr="00E96E9F">
        <w:rPr>
          <w:shd w:val="clear" w:color="auto" w:fill="FFFFFF"/>
          <w:lang w:eastAsia="zh-CN"/>
        </w:rPr>
        <w:t xml:space="preserve"> </w:t>
      </w:r>
      <w:r w:rsidRPr="00E96E9F">
        <w:rPr>
          <w:shd w:val="clear" w:color="auto" w:fill="FFFFFF"/>
          <w:lang w:eastAsia="zh-CN"/>
        </w:rPr>
        <w:t>studies.</w:t>
      </w:r>
    </w:p>
    <w:p w14:paraId="0BEA01C4" w14:textId="389F311B" w:rsidR="00811E0E" w:rsidRPr="00BF1BFB" w:rsidRDefault="000D771C" w:rsidP="00811E0E">
      <w:pPr>
        <w:pStyle w:val="3-BodyText"/>
      </w:pPr>
      <w:r w:rsidRPr="00E96E9F">
        <w:rPr>
          <w:shd w:val="clear" w:color="auto" w:fill="FFFFFF"/>
          <w:lang w:eastAsia="zh-CN"/>
        </w:rPr>
        <w:t>Based on</w:t>
      </w:r>
      <w:r w:rsidR="00F96B2F" w:rsidRPr="00E96E9F">
        <w:rPr>
          <w:shd w:val="clear" w:color="auto" w:fill="FFFFFF"/>
          <w:lang w:eastAsia="zh-CN"/>
        </w:rPr>
        <w:t xml:space="preserve"> </w:t>
      </w:r>
      <w:r w:rsidR="00811E0E" w:rsidRPr="00E96E9F">
        <w:rPr>
          <w:shd w:val="clear" w:color="auto" w:fill="FFFFFF"/>
          <w:lang w:eastAsia="zh-CN"/>
        </w:rPr>
        <w:t>the</w:t>
      </w:r>
      <w:r w:rsidR="00F96B2F" w:rsidRPr="00E96E9F">
        <w:rPr>
          <w:shd w:val="clear" w:color="auto" w:fill="FFFFFF"/>
          <w:lang w:eastAsia="zh-CN"/>
        </w:rPr>
        <w:t xml:space="preserve"> </w:t>
      </w:r>
      <w:r w:rsidR="00811E0E" w:rsidRPr="00E96E9F">
        <w:rPr>
          <w:shd w:val="clear" w:color="auto" w:fill="FFFFFF"/>
          <w:lang w:eastAsia="zh-CN"/>
        </w:rPr>
        <w:t>direct</w:t>
      </w:r>
      <w:r w:rsidR="00F96B2F" w:rsidRPr="00E96E9F">
        <w:rPr>
          <w:shd w:val="clear" w:color="auto" w:fill="FFFFFF"/>
          <w:lang w:eastAsia="zh-CN"/>
        </w:rPr>
        <w:t xml:space="preserve"> </w:t>
      </w:r>
      <w:r w:rsidR="00811E0E" w:rsidRPr="00E96E9F">
        <w:rPr>
          <w:shd w:val="clear" w:color="auto" w:fill="FFFFFF"/>
          <w:lang w:eastAsia="zh-CN"/>
        </w:rPr>
        <w:t>evidence</w:t>
      </w:r>
      <w:r w:rsidR="00F96B2F" w:rsidRPr="00E96E9F">
        <w:rPr>
          <w:shd w:val="clear" w:color="auto" w:fill="FFFFFF"/>
          <w:lang w:eastAsia="zh-CN"/>
        </w:rPr>
        <w:t xml:space="preserve"> </w:t>
      </w:r>
      <w:r w:rsidR="00811E0E" w:rsidRPr="00E96E9F">
        <w:rPr>
          <w:shd w:val="clear" w:color="auto" w:fill="FFFFFF"/>
          <w:lang w:eastAsia="zh-CN"/>
        </w:rPr>
        <w:t>presented</w:t>
      </w:r>
      <w:r w:rsidR="00F96B2F" w:rsidRPr="00E96E9F">
        <w:rPr>
          <w:shd w:val="clear" w:color="auto" w:fill="FFFFFF"/>
          <w:lang w:eastAsia="zh-CN"/>
        </w:rPr>
        <w:t xml:space="preserve"> </w:t>
      </w:r>
      <w:r w:rsidR="00811E0E" w:rsidRPr="00E96E9F">
        <w:rPr>
          <w:shd w:val="clear" w:color="auto" w:fill="FFFFFF"/>
          <w:lang w:eastAsia="zh-CN"/>
        </w:rPr>
        <w:t>by</w:t>
      </w:r>
      <w:r w:rsidR="00F96B2F" w:rsidRPr="00E96E9F">
        <w:rPr>
          <w:shd w:val="clear" w:color="auto" w:fill="FFFFFF"/>
          <w:lang w:eastAsia="zh-CN"/>
        </w:rPr>
        <w:t xml:space="preserve"> </w:t>
      </w:r>
      <w:r w:rsidR="00811E0E" w:rsidRPr="00E96E9F">
        <w:rPr>
          <w:shd w:val="clear" w:color="auto" w:fill="FFFFFF"/>
          <w:lang w:eastAsia="zh-CN"/>
        </w:rPr>
        <w:t>the</w:t>
      </w:r>
      <w:r w:rsidR="00F96B2F" w:rsidRPr="00E96E9F">
        <w:rPr>
          <w:shd w:val="clear" w:color="auto" w:fill="FFFFFF"/>
          <w:lang w:eastAsia="zh-CN"/>
        </w:rPr>
        <w:t xml:space="preserve"> </w:t>
      </w:r>
      <w:r w:rsidR="00811E0E" w:rsidRPr="00E96E9F">
        <w:rPr>
          <w:shd w:val="clear" w:color="auto" w:fill="FFFFFF"/>
          <w:lang w:eastAsia="zh-CN"/>
        </w:rPr>
        <w:t>submission</w:t>
      </w:r>
      <w:r w:rsidR="00F96B2F" w:rsidRPr="00E96E9F">
        <w:rPr>
          <w:shd w:val="clear" w:color="auto" w:fill="FFFFFF"/>
          <w:lang w:eastAsia="zh-CN"/>
        </w:rPr>
        <w:t xml:space="preserve"> </w:t>
      </w:r>
      <w:r w:rsidR="00811E0E" w:rsidRPr="00E96E9F">
        <w:rPr>
          <w:shd w:val="clear" w:color="auto" w:fill="FFFFFF"/>
          <w:lang w:eastAsia="zh-CN"/>
        </w:rPr>
        <w:t>for</w:t>
      </w:r>
      <w:r w:rsidR="00F96B2F" w:rsidRPr="00E96E9F">
        <w:rPr>
          <w:shd w:val="clear" w:color="auto" w:fill="FFFFFF"/>
          <w:lang w:eastAsia="zh-CN"/>
        </w:rPr>
        <w:t xml:space="preserve"> </w:t>
      </w:r>
      <w:r w:rsidR="00811E0E" w:rsidRPr="00E96E9F">
        <w:rPr>
          <w:shd w:val="clear" w:color="auto" w:fill="FFFFFF"/>
          <w:lang w:eastAsia="zh-CN"/>
        </w:rPr>
        <w:t>the</w:t>
      </w:r>
      <w:r w:rsidR="00F96B2F" w:rsidRPr="00E96E9F">
        <w:rPr>
          <w:shd w:val="clear" w:color="auto" w:fill="FFFFFF"/>
          <w:lang w:eastAsia="zh-CN"/>
        </w:rPr>
        <w:t xml:space="preserve"> </w:t>
      </w:r>
      <w:r w:rsidR="00811E0E" w:rsidRPr="00E96E9F">
        <w:rPr>
          <w:shd w:val="clear" w:color="auto" w:fill="FFFFFF"/>
          <w:lang w:eastAsia="zh-CN"/>
        </w:rPr>
        <w:t>main</w:t>
      </w:r>
      <w:r w:rsidR="00F96B2F" w:rsidRPr="00E96E9F">
        <w:rPr>
          <w:shd w:val="clear" w:color="auto" w:fill="FFFFFF"/>
          <w:lang w:eastAsia="zh-CN"/>
        </w:rPr>
        <w:t xml:space="preserve"> </w:t>
      </w:r>
      <w:r w:rsidR="00811E0E" w:rsidRPr="00E96E9F">
        <w:rPr>
          <w:shd w:val="clear" w:color="auto" w:fill="FFFFFF"/>
          <w:lang w:eastAsia="zh-CN"/>
        </w:rPr>
        <w:t>clinical</w:t>
      </w:r>
      <w:r w:rsidR="00F96B2F" w:rsidRPr="00E96E9F">
        <w:rPr>
          <w:shd w:val="clear" w:color="auto" w:fill="FFFFFF"/>
          <w:lang w:eastAsia="zh-CN"/>
        </w:rPr>
        <w:t xml:space="preserve"> </w:t>
      </w:r>
      <w:r w:rsidR="00811E0E" w:rsidRPr="00E96E9F">
        <w:rPr>
          <w:shd w:val="clear" w:color="auto" w:fill="FFFFFF"/>
          <w:lang w:eastAsia="zh-CN"/>
        </w:rPr>
        <w:t>trial</w:t>
      </w:r>
      <w:r w:rsidR="00F96B2F" w:rsidRPr="00E96E9F">
        <w:rPr>
          <w:shd w:val="clear" w:color="auto" w:fill="FFFFFF"/>
          <w:lang w:eastAsia="zh-CN"/>
        </w:rPr>
        <w:t xml:space="preserve"> </w:t>
      </w:r>
      <w:r w:rsidR="00811E0E" w:rsidRPr="00E96E9F">
        <w:rPr>
          <w:shd w:val="clear" w:color="auto" w:fill="FFFFFF"/>
          <w:lang w:eastAsia="zh-CN"/>
        </w:rPr>
        <w:t>(Study</w:t>
      </w:r>
      <w:r w:rsidR="00F96B2F" w:rsidRPr="00E96E9F">
        <w:rPr>
          <w:shd w:val="clear" w:color="auto" w:fill="FFFFFF"/>
          <w:lang w:eastAsia="zh-CN"/>
        </w:rPr>
        <w:t xml:space="preserve"> </w:t>
      </w:r>
      <w:r w:rsidR="00811E0E" w:rsidRPr="00E96E9F">
        <w:rPr>
          <w:shd w:val="clear" w:color="auto" w:fill="FFFFFF"/>
          <w:lang w:eastAsia="zh-CN"/>
        </w:rPr>
        <w:t>4006),</w:t>
      </w:r>
      <w:r w:rsidR="00F96B2F" w:rsidRPr="00E96E9F">
        <w:rPr>
          <w:shd w:val="clear" w:color="auto" w:fill="FFFFFF"/>
          <w:lang w:eastAsia="zh-CN"/>
        </w:rPr>
        <w:t xml:space="preserve"> </w:t>
      </w:r>
      <w:r w:rsidR="00811E0E" w:rsidRPr="00E96E9F">
        <w:rPr>
          <w:shd w:val="clear" w:color="auto" w:fill="FFFFFF"/>
          <w:lang w:eastAsia="zh-CN"/>
        </w:rPr>
        <w:t>for</w:t>
      </w:r>
      <w:r w:rsidR="00F96B2F" w:rsidRPr="00E96E9F">
        <w:rPr>
          <w:shd w:val="clear" w:color="auto" w:fill="FFFFFF"/>
          <w:lang w:eastAsia="zh-CN"/>
        </w:rPr>
        <w:t xml:space="preserve"> </w:t>
      </w:r>
      <w:r w:rsidR="00811E0E" w:rsidRPr="00E96E9F">
        <w:rPr>
          <w:shd w:val="clear" w:color="auto" w:fill="FFFFFF"/>
          <w:lang w:eastAsia="zh-CN"/>
        </w:rPr>
        <w:t>every</w:t>
      </w:r>
      <w:r w:rsidR="00F96B2F" w:rsidRPr="00E96E9F">
        <w:rPr>
          <w:shd w:val="clear" w:color="auto" w:fill="FFFFFF"/>
          <w:lang w:eastAsia="zh-CN"/>
        </w:rPr>
        <w:t xml:space="preserve"> </w:t>
      </w:r>
      <w:r w:rsidR="00811E0E" w:rsidRPr="00E96E9F">
        <w:rPr>
          <w:shd w:val="clear" w:color="auto" w:fill="FFFFFF"/>
          <w:lang w:eastAsia="zh-CN"/>
        </w:rPr>
        <w:t>100</w:t>
      </w:r>
      <w:r w:rsidR="00F96B2F" w:rsidRPr="00E96E9F">
        <w:rPr>
          <w:shd w:val="clear" w:color="auto" w:fill="FFFFFF"/>
          <w:lang w:eastAsia="zh-CN"/>
        </w:rPr>
        <w:t xml:space="preserve"> </w:t>
      </w:r>
      <w:r w:rsidR="00811E0E" w:rsidRPr="00E96E9F">
        <w:rPr>
          <w:shd w:val="clear" w:color="auto" w:fill="FFFFFF"/>
          <w:lang w:eastAsia="zh-CN"/>
        </w:rPr>
        <w:t>patients</w:t>
      </w:r>
      <w:r w:rsidR="00F96B2F" w:rsidRPr="00E96E9F">
        <w:rPr>
          <w:shd w:val="clear" w:color="auto" w:fill="FFFFFF"/>
          <w:lang w:eastAsia="zh-CN"/>
        </w:rPr>
        <w:t xml:space="preserve"> </w:t>
      </w:r>
      <w:r w:rsidR="00811E0E" w:rsidRPr="00E96E9F">
        <w:rPr>
          <w:shd w:val="clear" w:color="auto" w:fill="FFFFFF"/>
          <w:lang w:eastAsia="zh-CN"/>
        </w:rPr>
        <w:t>treated</w:t>
      </w:r>
      <w:r w:rsidR="00F96B2F" w:rsidRPr="00E96E9F">
        <w:rPr>
          <w:shd w:val="clear" w:color="auto" w:fill="FFFFFF"/>
          <w:lang w:eastAsia="zh-CN"/>
        </w:rPr>
        <w:t xml:space="preserve"> </w:t>
      </w:r>
      <w:r w:rsidR="00811E0E" w:rsidRPr="00E96E9F">
        <w:rPr>
          <w:shd w:val="clear" w:color="auto" w:fill="FFFFFF"/>
          <w:lang w:eastAsia="zh-CN"/>
        </w:rPr>
        <w:t>with</w:t>
      </w:r>
      <w:r w:rsidR="00F96B2F" w:rsidRPr="00E96E9F">
        <w:rPr>
          <w:shd w:val="clear" w:color="auto" w:fill="FFFFFF"/>
          <w:lang w:eastAsia="zh-CN"/>
        </w:rPr>
        <w:t xml:space="preserve"> </w:t>
      </w:r>
      <w:proofErr w:type="spellStart"/>
      <w:r w:rsidR="00811E0E" w:rsidRPr="00E96E9F">
        <w:rPr>
          <w:shd w:val="clear" w:color="auto" w:fill="FFFFFF"/>
          <w:lang w:eastAsia="zh-CN"/>
        </w:rPr>
        <w:t>somatrogon</w:t>
      </w:r>
      <w:proofErr w:type="spellEnd"/>
      <w:r w:rsidR="00F96B2F" w:rsidRPr="00E96E9F">
        <w:rPr>
          <w:shd w:val="clear" w:color="auto" w:fill="FFFFFF"/>
          <w:lang w:eastAsia="zh-CN"/>
        </w:rPr>
        <w:t xml:space="preserve"> </w:t>
      </w:r>
      <w:r w:rsidR="00811E0E" w:rsidRPr="00E96E9F">
        <w:rPr>
          <w:shd w:val="clear" w:color="auto" w:fill="FFFFFF"/>
          <w:lang w:eastAsia="zh-CN"/>
        </w:rPr>
        <w:t>in</w:t>
      </w:r>
      <w:r w:rsidR="00F96B2F" w:rsidRPr="00E96E9F">
        <w:rPr>
          <w:shd w:val="clear" w:color="auto" w:fill="FFFFFF"/>
          <w:lang w:eastAsia="zh-CN"/>
        </w:rPr>
        <w:t xml:space="preserve"> </w:t>
      </w:r>
      <w:r w:rsidR="00811E0E" w:rsidRPr="00E96E9F">
        <w:rPr>
          <w:shd w:val="clear" w:color="auto" w:fill="FFFFFF"/>
          <w:lang w:eastAsia="zh-CN"/>
        </w:rPr>
        <w:t>comparison</w:t>
      </w:r>
      <w:r w:rsidR="00F96B2F" w:rsidRPr="00E96E9F">
        <w:rPr>
          <w:shd w:val="clear" w:color="auto" w:fill="FFFFFF"/>
          <w:lang w:eastAsia="zh-CN"/>
        </w:rPr>
        <w:t xml:space="preserve"> </w:t>
      </w:r>
      <w:r w:rsidR="00811E0E" w:rsidRPr="00E96E9F">
        <w:rPr>
          <w:shd w:val="clear" w:color="auto" w:fill="FFFFFF"/>
          <w:lang w:eastAsia="zh-CN"/>
        </w:rPr>
        <w:t>with</w:t>
      </w:r>
      <w:r w:rsidR="00F96B2F" w:rsidRPr="00E96E9F">
        <w:rPr>
          <w:shd w:val="clear" w:color="auto" w:fill="FFFFFF"/>
          <w:lang w:eastAsia="zh-CN"/>
        </w:rPr>
        <w:t xml:space="preserve"> </w:t>
      </w:r>
      <w:r w:rsidR="00811E0E" w:rsidRPr="00E96E9F">
        <w:rPr>
          <w:shd w:val="clear" w:color="auto" w:fill="FFFFFF"/>
          <w:lang w:eastAsia="zh-CN"/>
        </w:rPr>
        <w:t>somatropin:</w:t>
      </w:r>
    </w:p>
    <w:p w14:paraId="2B5266D7" w14:textId="6E8182F3" w:rsidR="00811E0E" w:rsidRPr="006D4B84" w:rsidRDefault="00811E0E" w:rsidP="006D4B84">
      <w:pPr>
        <w:pStyle w:val="ListParagraph"/>
      </w:pPr>
      <w:r w:rsidRPr="006D4B84">
        <w:t>Approximately</w:t>
      </w:r>
      <w:r w:rsidR="00F96B2F" w:rsidRPr="006D4B84">
        <w:t xml:space="preserve"> </w:t>
      </w:r>
      <w:r w:rsidRPr="006D4B84">
        <w:t>18</w:t>
      </w:r>
      <w:r w:rsidR="00F96B2F" w:rsidRPr="006D4B84">
        <w:t xml:space="preserve"> </w:t>
      </w:r>
      <w:r w:rsidRPr="006D4B84">
        <w:t>additional</w:t>
      </w:r>
      <w:r w:rsidR="00F96B2F" w:rsidRPr="006D4B84">
        <w:t xml:space="preserve"> </w:t>
      </w:r>
      <w:r w:rsidRPr="006D4B84">
        <w:t>patients</w:t>
      </w:r>
      <w:r w:rsidR="00F96B2F" w:rsidRPr="006D4B84">
        <w:t xml:space="preserve"> </w:t>
      </w:r>
      <w:r w:rsidRPr="006D4B84">
        <w:t>will</w:t>
      </w:r>
      <w:r w:rsidR="00F96B2F" w:rsidRPr="006D4B84">
        <w:t xml:space="preserve"> </w:t>
      </w:r>
      <w:r w:rsidRPr="006D4B84">
        <w:t>have</w:t>
      </w:r>
      <w:r w:rsidR="00F96B2F" w:rsidRPr="006D4B84">
        <w:t xml:space="preserve"> </w:t>
      </w:r>
      <w:r w:rsidRPr="006D4B84">
        <w:t>an</w:t>
      </w:r>
      <w:r w:rsidR="00F96B2F" w:rsidRPr="006D4B84">
        <w:t xml:space="preserve"> </w:t>
      </w:r>
      <w:r w:rsidRPr="006D4B84">
        <w:t>injection</w:t>
      </w:r>
      <w:r w:rsidR="00F96B2F" w:rsidRPr="006D4B84">
        <w:t xml:space="preserve"> </w:t>
      </w:r>
      <w:r w:rsidRPr="006D4B84">
        <w:t>site</w:t>
      </w:r>
      <w:r w:rsidR="00F96B2F" w:rsidRPr="006D4B84">
        <w:t xml:space="preserve"> </w:t>
      </w:r>
      <w:r w:rsidRPr="006D4B84">
        <w:t>reaction</w:t>
      </w:r>
      <w:r w:rsidR="009A4041">
        <w:t>.</w:t>
      </w:r>
    </w:p>
    <w:p w14:paraId="13400725" w14:textId="53ED4D2D" w:rsidR="00811E0E" w:rsidRPr="006D4B84" w:rsidRDefault="00811E0E" w:rsidP="006D4B84">
      <w:pPr>
        <w:pStyle w:val="ListParagraph"/>
      </w:pPr>
      <w:r w:rsidRPr="006D4B84">
        <w:t>Approximately</w:t>
      </w:r>
      <w:r w:rsidR="00F96B2F" w:rsidRPr="006D4B84">
        <w:t xml:space="preserve"> </w:t>
      </w:r>
      <w:r w:rsidRPr="006D4B84">
        <w:t>3</w:t>
      </w:r>
      <w:r w:rsidR="00F96B2F" w:rsidRPr="006D4B84">
        <w:t xml:space="preserve"> </w:t>
      </w:r>
      <w:r w:rsidRPr="006D4B84">
        <w:t>additional</w:t>
      </w:r>
      <w:r w:rsidR="00F96B2F" w:rsidRPr="006D4B84">
        <w:t xml:space="preserve"> </w:t>
      </w:r>
      <w:r w:rsidRPr="006D4B84">
        <w:t>patients</w:t>
      </w:r>
      <w:r w:rsidR="00F96B2F" w:rsidRPr="006D4B84">
        <w:t xml:space="preserve"> </w:t>
      </w:r>
      <w:r w:rsidRPr="006D4B84">
        <w:t>will</w:t>
      </w:r>
      <w:r w:rsidR="00F96B2F" w:rsidRPr="006D4B84">
        <w:t xml:space="preserve"> </w:t>
      </w:r>
      <w:r w:rsidRPr="006D4B84">
        <w:t>have</w:t>
      </w:r>
      <w:r w:rsidR="00F96B2F" w:rsidRPr="006D4B84">
        <w:t xml:space="preserve"> </w:t>
      </w:r>
      <w:r w:rsidRPr="006D4B84">
        <w:t>a</w:t>
      </w:r>
      <w:r w:rsidR="00F96B2F" w:rsidRPr="006D4B84">
        <w:t xml:space="preserve"> </w:t>
      </w:r>
      <w:r w:rsidRPr="006D4B84">
        <w:t>severe</w:t>
      </w:r>
      <w:r w:rsidR="00F96B2F" w:rsidRPr="006D4B84">
        <w:t xml:space="preserve"> </w:t>
      </w:r>
      <w:r w:rsidR="00A64EA9">
        <w:t>AE</w:t>
      </w:r>
      <w:r w:rsidR="009A4041">
        <w:t>.</w:t>
      </w:r>
    </w:p>
    <w:p w14:paraId="1A5EE365" w14:textId="06F6291E" w:rsidR="00811E0E" w:rsidRPr="006D4B84" w:rsidRDefault="00811E0E" w:rsidP="006D4B84">
      <w:pPr>
        <w:pStyle w:val="ListParagraph"/>
        <w:ind w:left="1418" w:hanging="338"/>
      </w:pPr>
      <w:r w:rsidRPr="006D4B84">
        <w:lastRenderedPageBreak/>
        <w:t>Approximately</w:t>
      </w:r>
      <w:r w:rsidR="00F96B2F" w:rsidRPr="006D4B84">
        <w:t xml:space="preserve"> </w:t>
      </w:r>
      <w:r w:rsidRPr="006D4B84">
        <w:t>5</w:t>
      </w:r>
      <w:r w:rsidR="00F96B2F" w:rsidRPr="006D4B84">
        <w:t xml:space="preserve"> </w:t>
      </w:r>
      <w:r w:rsidRPr="006D4B84">
        <w:t>additional</w:t>
      </w:r>
      <w:r w:rsidR="00F96B2F" w:rsidRPr="006D4B84">
        <w:t xml:space="preserve"> </w:t>
      </w:r>
      <w:r w:rsidRPr="006D4B84">
        <w:t>patients</w:t>
      </w:r>
      <w:r w:rsidR="00F96B2F" w:rsidRPr="006D4B84">
        <w:t xml:space="preserve"> </w:t>
      </w:r>
      <w:r w:rsidRPr="006D4B84">
        <w:t>will</w:t>
      </w:r>
      <w:r w:rsidR="00F96B2F" w:rsidRPr="006D4B84">
        <w:t xml:space="preserve"> </w:t>
      </w:r>
      <w:r w:rsidRPr="006D4B84">
        <w:t>have</w:t>
      </w:r>
      <w:r w:rsidR="00F96B2F" w:rsidRPr="006D4B84">
        <w:t xml:space="preserve"> </w:t>
      </w:r>
      <w:r w:rsidRPr="006D4B84">
        <w:t>a</w:t>
      </w:r>
      <w:r w:rsidR="00F96B2F" w:rsidRPr="006D4B84">
        <w:t xml:space="preserve"> </w:t>
      </w:r>
      <w:r w:rsidRPr="006D4B84">
        <w:t>severe</w:t>
      </w:r>
      <w:r w:rsidR="00F96B2F" w:rsidRPr="006D4B84">
        <w:t xml:space="preserve"> </w:t>
      </w:r>
      <w:r w:rsidR="00A64EA9">
        <w:t>AE</w:t>
      </w:r>
      <w:r w:rsidR="00F96B2F" w:rsidRPr="006D4B84">
        <w:t xml:space="preserve"> </w:t>
      </w:r>
      <w:r w:rsidRPr="006D4B84">
        <w:t>(Study</w:t>
      </w:r>
      <w:r w:rsidR="00F96B2F" w:rsidRPr="006D4B84">
        <w:t xml:space="preserve"> </w:t>
      </w:r>
      <w:r w:rsidRPr="006D4B84">
        <w:t>4004)</w:t>
      </w:r>
      <w:r w:rsidR="009A4041">
        <w:t>.</w:t>
      </w:r>
    </w:p>
    <w:p w14:paraId="45466212" w14:textId="622B2C74" w:rsidR="00811E0E" w:rsidRPr="006D4B84" w:rsidRDefault="00811E0E" w:rsidP="006D4B84">
      <w:pPr>
        <w:pStyle w:val="ListParagraph"/>
      </w:pPr>
      <w:r w:rsidRPr="006D4B84">
        <w:t>Approximately</w:t>
      </w:r>
      <w:r w:rsidR="00F96B2F" w:rsidRPr="006D4B84">
        <w:t xml:space="preserve"> </w:t>
      </w:r>
      <w:r w:rsidRPr="006D4B84">
        <w:t>1</w:t>
      </w:r>
      <w:r w:rsidR="00F96B2F" w:rsidRPr="006D4B84">
        <w:t xml:space="preserve"> </w:t>
      </w:r>
      <w:r w:rsidRPr="006D4B84">
        <w:t>additional</w:t>
      </w:r>
      <w:r w:rsidR="00F96B2F" w:rsidRPr="006D4B84">
        <w:t xml:space="preserve"> </w:t>
      </w:r>
      <w:r w:rsidRPr="006D4B84">
        <w:t>patient</w:t>
      </w:r>
      <w:r w:rsidR="00F96B2F" w:rsidRPr="006D4B84">
        <w:t xml:space="preserve"> </w:t>
      </w:r>
      <w:r w:rsidRPr="006D4B84">
        <w:t>will</w:t>
      </w:r>
      <w:r w:rsidR="00F96B2F" w:rsidRPr="006D4B84">
        <w:t xml:space="preserve"> </w:t>
      </w:r>
      <w:r w:rsidRPr="006D4B84">
        <w:t>have</w:t>
      </w:r>
      <w:r w:rsidR="00F96B2F" w:rsidRPr="006D4B84">
        <w:t xml:space="preserve"> </w:t>
      </w:r>
      <w:r w:rsidRPr="006D4B84">
        <w:t>a</w:t>
      </w:r>
      <w:r w:rsidR="00F96B2F" w:rsidRPr="006D4B84">
        <w:t xml:space="preserve"> </w:t>
      </w:r>
      <w:r w:rsidRPr="006D4B84">
        <w:t>serious</w:t>
      </w:r>
      <w:r w:rsidR="00F96B2F" w:rsidRPr="006D4B84">
        <w:t xml:space="preserve"> </w:t>
      </w:r>
      <w:r w:rsidR="00A64EA9">
        <w:t>AE</w:t>
      </w:r>
      <w:r w:rsidR="009A4041">
        <w:t>.</w:t>
      </w:r>
    </w:p>
    <w:p w14:paraId="39D24A22" w14:textId="53A37C8B" w:rsidR="00811E0E" w:rsidRPr="00E96E9F" w:rsidRDefault="00811E0E" w:rsidP="00811E0E">
      <w:pPr>
        <w:pStyle w:val="4-SubsectionHeading"/>
      </w:pPr>
      <w:bookmarkStart w:id="23" w:name="_Toc22897644"/>
      <w:bookmarkStart w:id="24" w:name="_Toc93499823"/>
      <w:r w:rsidRPr="00E96E9F">
        <w:t>Clinical</w:t>
      </w:r>
      <w:r w:rsidR="00F96B2F" w:rsidRPr="00E96E9F">
        <w:t xml:space="preserve"> </w:t>
      </w:r>
      <w:r w:rsidRPr="00E96E9F">
        <w:t>claim</w:t>
      </w:r>
      <w:bookmarkEnd w:id="23"/>
      <w:bookmarkEnd w:id="24"/>
    </w:p>
    <w:p w14:paraId="2107DD2E" w14:textId="5E2A620C" w:rsidR="00E5129A" w:rsidRPr="00BF1BFB" w:rsidRDefault="00811E0E" w:rsidP="00A97822">
      <w:pPr>
        <w:pStyle w:val="3-BodyText"/>
        <w:rPr>
          <w:rStyle w:val="eop"/>
          <w:rFonts w:ascii="Calibri" w:hAnsi="Calibri" w:cs="Calibri"/>
          <w:iCs/>
        </w:rPr>
      </w:pPr>
      <w:r w:rsidRPr="00E96E9F">
        <w:rPr>
          <w:shd w:val="clear" w:color="auto" w:fill="FFFFFF"/>
          <w:lang w:eastAsia="zh-CN"/>
        </w:rPr>
        <w:t>The</w:t>
      </w:r>
      <w:r w:rsidR="00F96B2F" w:rsidRPr="00E96E9F">
        <w:rPr>
          <w:shd w:val="clear" w:color="auto" w:fill="FFFFFF"/>
          <w:lang w:eastAsia="zh-CN"/>
        </w:rPr>
        <w:t xml:space="preserve"> </w:t>
      </w:r>
      <w:r w:rsidRPr="00E96E9F">
        <w:rPr>
          <w:shd w:val="clear" w:color="auto" w:fill="FFFFFF"/>
          <w:lang w:eastAsia="zh-CN"/>
        </w:rPr>
        <w:t>submission</w:t>
      </w:r>
      <w:r w:rsidR="00F96B2F" w:rsidRPr="00E96E9F">
        <w:rPr>
          <w:shd w:val="clear" w:color="auto" w:fill="FFFFFF"/>
          <w:lang w:eastAsia="zh-CN"/>
        </w:rPr>
        <w:t xml:space="preserve"> </w:t>
      </w:r>
      <w:r w:rsidRPr="00E96E9F">
        <w:rPr>
          <w:shd w:val="clear" w:color="auto" w:fill="FFFFFF"/>
          <w:lang w:eastAsia="zh-CN"/>
        </w:rPr>
        <w:t>described</w:t>
      </w:r>
      <w:r w:rsidR="00F96B2F" w:rsidRPr="00E96E9F">
        <w:rPr>
          <w:shd w:val="clear" w:color="auto" w:fill="FFFFFF"/>
          <w:lang w:eastAsia="zh-CN"/>
        </w:rPr>
        <w:t xml:space="preserve"> </w:t>
      </w:r>
      <w:proofErr w:type="spellStart"/>
      <w:r w:rsidRPr="00E96E9F">
        <w:rPr>
          <w:shd w:val="clear" w:color="auto" w:fill="FFFFFF"/>
          <w:lang w:eastAsia="zh-CN"/>
        </w:rPr>
        <w:t>somatrogon</w:t>
      </w:r>
      <w:proofErr w:type="spellEnd"/>
      <w:r w:rsidR="00F96B2F" w:rsidRPr="00E96E9F">
        <w:rPr>
          <w:shd w:val="clear" w:color="auto" w:fill="FFFFFF"/>
          <w:lang w:eastAsia="zh-CN"/>
        </w:rPr>
        <w:t xml:space="preserve"> </w:t>
      </w:r>
      <w:r w:rsidRPr="00E96E9F">
        <w:rPr>
          <w:shd w:val="clear" w:color="auto" w:fill="FFFFFF"/>
          <w:lang w:eastAsia="zh-CN"/>
        </w:rPr>
        <w:t>as</w:t>
      </w:r>
      <w:r w:rsidR="00F96B2F" w:rsidRPr="00E96E9F">
        <w:rPr>
          <w:shd w:val="clear" w:color="auto" w:fill="FFFFFF"/>
          <w:lang w:eastAsia="zh-CN"/>
        </w:rPr>
        <w:t xml:space="preserve"> </w:t>
      </w:r>
      <w:r w:rsidRPr="00E96E9F">
        <w:rPr>
          <w:shd w:val="clear" w:color="auto" w:fill="FFFFFF"/>
          <w:lang w:eastAsia="zh-CN"/>
        </w:rPr>
        <w:t>non-inferior</w:t>
      </w:r>
      <w:r w:rsidR="00F96B2F" w:rsidRPr="00E96E9F">
        <w:rPr>
          <w:shd w:val="clear" w:color="auto" w:fill="FFFFFF"/>
          <w:lang w:eastAsia="zh-CN"/>
        </w:rPr>
        <w:t xml:space="preserve"> </w:t>
      </w:r>
      <w:r w:rsidRPr="00E96E9F">
        <w:rPr>
          <w:shd w:val="clear" w:color="auto" w:fill="FFFFFF"/>
          <w:lang w:eastAsia="zh-CN"/>
        </w:rPr>
        <w:t>in</w:t>
      </w:r>
      <w:r w:rsidR="00F96B2F" w:rsidRPr="00E96E9F">
        <w:rPr>
          <w:shd w:val="clear" w:color="auto" w:fill="FFFFFF"/>
          <w:lang w:eastAsia="zh-CN"/>
        </w:rPr>
        <w:t xml:space="preserve"> </w:t>
      </w:r>
      <w:r w:rsidRPr="00E96E9F">
        <w:rPr>
          <w:shd w:val="clear" w:color="auto" w:fill="FFFFFF"/>
          <w:lang w:eastAsia="zh-CN"/>
        </w:rPr>
        <w:t>terms</w:t>
      </w:r>
      <w:r w:rsidR="00F96B2F" w:rsidRPr="00E96E9F">
        <w:rPr>
          <w:shd w:val="clear" w:color="auto" w:fill="FFFFFF"/>
          <w:lang w:eastAsia="zh-CN"/>
        </w:rPr>
        <w:t xml:space="preserve"> </w:t>
      </w:r>
      <w:r w:rsidRPr="00E96E9F">
        <w:rPr>
          <w:shd w:val="clear" w:color="auto" w:fill="FFFFFF"/>
          <w:lang w:eastAsia="zh-CN"/>
        </w:rPr>
        <w:t>of</w:t>
      </w:r>
      <w:r w:rsidR="00F96B2F" w:rsidRPr="00E96E9F">
        <w:rPr>
          <w:shd w:val="clear" w:color="auto" w:fill="FFFFFF"/>
          <w:lang w:eastAsia="zh-CN"/>
        </w:rPr>
        <w:t xml:space="preserve"> </w:t>
      </w:r>
      <w:r w:rsidRPr="00E96E9F">
        <w:rPr>
          <w:shd w:val="clear" w:color="auto" w:fill="FFFFFF"/>
          <w:lang w:eastAsia="zh-CN"/>
        </w:rPr>
        <w:t>effectiveness</w:t>
      </w:r>
      <w:r w:rsidR="00F96B2F" w:rsidRPr="00E96E9F">
        <w:rPr>
          <w:shd w:val="clear" w:color="auto" w:fill="FFFFFF"/>
          <w:lang w:eastAsia="zh-CN"/>
        </w:rPr>
        <w:t xml:space="preserve"> </w:t>
      </w:r>
      <w:r w:rsidR="009A4041">
        <w:rPr>
          <w:shd w:val="clear" w:color="auto" w:fill="FFFFFF"/>
          <w:lang w:eastAsia="zh-CN"/>
        </w:rPr>
        <w:t>and</w:t>
      </w:r>
      <w:r w:rsidR="00F96B2F" w:rsidRPr="00E96E9F">
        <w:rPr>
          <w:shd w:val="clear" w:color="auto" w:fill="FFFFFF"/>
          <w:lang w:eastAsia="zh-CN"/>
        </w:rPr>
        <w:t xml:space="preserve"> </w:t>
      </w:r>
      <w:r w:rsidRPr="00E96E9F">
        <w:rPr>
          <w:shd w:val="clear" w:color="auto" w:fill="FFFFFF"/>
          <w:lang w:eastAsia="zh-CN"/>
        </w:rPr>
        <w:t>safety</w:t>
      </w:r>
      <w:r w:rsidR="00F96B2F" w:rsidRPr="00E96E9F">
        <w:rPr>
          <w:shd w:val="clear" w:color="auto" w:fill="FFFFFF"/>
          <w:lang w:eastAsia="zh-CN"/>
        </w:rPr>
        <w:t xml:space="preserve"> </w:t>
      </w:r>
      <w:r w:rsidR="009A4041">
        <w:rPr>
          <w:shd w:val="clear" w:color="auto" w:fill="FFFFFF"/>
          <w:lang w:eastAsia="zh-CN"/>
        </w:rPr>
        <w:t xml:space="preserve">when </w:t>
      </w:r>
      <w:r w:rsidRPr="00E96E9F">
        <w:rPr>
          <w:shd w:val="clear" w:color="auto" w:fill="FFFFFF"/>
          <w:lang w:eastAsia="zh-CN"/>
        </w:rPr>
        <w:t>compared</w:t>
      </w:r>
      <w:r w:rsidR="00F96B2F" w:rsidRPr="00E96E9F">
        <w:rPr>
          <w:shd w:val="clear" w:color="auto" w:fill="FFFFFF"/>
          <w:lang w:eastAsia="zh-CN"/>
        </w:rPr>
        <w:t xml:space="preserve"> </w:t>
      </w:r>
      <w:r w:rsidRPr="00E96E9F">
        <w:rPr>
          <w:shd w:val="clear" w:color="auto" w:fill="FFFFFF"/>
          <w:lang w:eastAsia="zh-CN"/>
        </w:rPr>
        <w:t>to</w:t>
      </w:r>
      <w:r w:rsidR="00F96B2F" w:rsidRPr="00E96E9F">
        <w:rPr>
          <w:shd w:val="clear" w:color="auto" w:fill="FFFFFF"/>
          <w:lang w:eastAsia="zh-CN"/>
        </w:rPr>
        <w:t xml:space="preserve"> </w:t>
      </w:r>
      <w:r w:rsidRPr="00E96E9F">
        <w:rPr>
          <w:shd w:val="clear" w:color="auto" w:fill="FFFFFF"/>
          <w:lang w:eastAsia="zh-CN"/>
        </w:rPr>
        <w:t>somatropin.</w:t>
      </w:r>
      <w:r w:rsidR="00F96B2F" w:rsidRPr="00E96E9F">
        <w:rPr>
          <w:shd w:val="clear" w:color="auto" w:fill="FFFFFF"/>
          <w:lang w:eastAsia="zh-CN"/>
        </w:rPr>
        <w:t xml:space="preserve"> </w:t>
      </w:r>
      <w:r w:rsidRPr="00BF1BFB">
        <w:rPr>
          <w:rStyle w:val="normaltextrun"/>
          <w:rFonts w:ascii="Calibri" w:hAnsi="Calibri" w:cs="Calibri"/>
          <w:iCs/>
        </w:rPr>
        <w:t>This</w:t>
      </w:r>
      <w:r w:rsidR="00F96B2F" w:rsidRPr="00BF1BFB">
        <w:rPr>
          <w:rStyle w:val="normaltextrun"/>
          <w:rFonts w:ascii="Calibri" w:hAnsi="Calibri" w:cs="Calibri"/>
          <w:iCs/>
        </w:rPr>
        <w:t xml:space="preserve"> </w:t>
      </w:r>
      <w:r w:rsidRPr="00BF1BFB">
        <w:rPr>
          <w:rStyle w:val="normaltextrun"/>
          <w:rFonts w:ascii="Calibri" w:hAnsi="Calibri" w:cs="Calibri"/>
          <w:iCs/>
        </w:rPr>
        <w:t>claim</w:t>
      </w:r>
      <w:r w:rsidR="00F96B2F" w:rsidRPr="00BF1BFB">
        <w:rPr>
          <w:rStyle w:val="normaltextrun"/>
          <w:rFonts w:ascii="Calibri" w:hAnsi="Calibri" w:cs="Calibri"/>
          <w:iCs/>
        </w:rPr>
        <w:t xml:space="preserve"> </w:t>
      </w:r>
      <w:r w:rsidRPr="00BF1BFB">
        <w:rPr>
          <w:rStyle w:val="normaltextrun"/>
          <w:rFonts w:ascii="Calibri" w:hAnsi="Calibri" w:cs="Calibri"/>
          <w:iCs/>
        </w:rPr>
        <w:t>was</w:t>
      </w:r>
      <w:r w:rsidR="00F96B2F" w:rsidRPr="00BF1BFB">
        <w:rPr>
          <w:rStyle w:val="normaltextrun"/>
          <w:rFonts w:ascii="Calibri" w:hAnsi="Calibri" w:cs="Calibri"/>
          <w:iCs/>
        </w:rPr>
        <w:t xml:space="preserve"> </w:t>
      </w:r>
      <w:r w:rsidRPr="00BF1BFB">
        <w:rPr>
          <w:rStyle w:val="normaltextrun"/>
          <w:rFonts w:ascii="Calibri" w:hAnsi="Calibri" w:cs="Calibri"/>
          <w:iCs/>
        </w:rPr>
        <w:t>mostly</w:t>
      </w:r>
      <w:r w:rsidR="00F96B2F" w:rsidRPr="00BF1BFB">
        <w:rPr>
          <w:rStyle w:val="normaltextrun"/>
          <w:rFonts w:ascii="Calibri" w:hAnsi="Calibri" w:cs="Calibri"/>
          <w:iCs/>
        </w:rPr>
        <w:t xml:space="preserve"> </w:t>
      </w:r>
      <w:r w:rsidRPr="00BF1BFB">
        <w:rPr>
          <w:rStyle w:val="normaltextrun"/>
          <w:rFonts w:ascii="Calibri" w:hAnsi="Calibri" w:cs="Calibri"/>
          <w:iCs/>
        </w:rPr>
        <w:t>supported</w:t>
      </w:r>
      <w:r w:rsidR="00F96B2F" w:rsidRPr="00BF1BFB">
        <w:rPr>
          <w:rStyle w:val="normaltextrun"/>
          <w:rFonts w:ascii="Calibri" w:hAnsi="Calibri" w:cs="Calibri"/>
          <w:iCs/>
        </w:rPr>
        <w:t xml:space="preserve"> </w:t>
      </w:r>
      <w:r w:rsidRPr="00BF1BFB">
        <w:rPr>
          <w:rStyle w:val="normaltextrun"/>
          <w:rFonts w:ascii="Calibri" w:hAnsi="Calibri" w:cs="Calibri"/>
          <w:iCs/>
        </w:rPr>
        <w:t>by</w:t>
      </w:r>
      <w:r w:rsidR="00F96B2F" w:rsidRPr="00BF1BFB">
        <w:rPr>
          <w:rStyle w:val="normaltextrun"/>
          <w:rFonts w:ascii="Calibri" w:hAnsi="Calibri" w:cs="Calibri"/>
          <w:iCs/>
        </w:rPr>
        <w:t xml:space="preserve"> </w:t>
      </w:r>
      <w:r w:rsidRPr="00BF1BFB">
        <w:rPr>
          <w:rStyle w:val="normaltextrun"/>
          <w:rFonts w:ascii="Calibri" w:hAnsi="Calibri" w:cs="Calibri"/>
          <w:iCs/>
        </w:rPr>
        <w:t>the</w:t>
      </w:r>
      <w:r w:rsidR="00F96B2F" w:rsidRPr="00BF1BFB">
        <w:rPr>
          <w:rStyle w:val="normaltextrun"/>
          <w:rFonts w:ascii="Calibri" w:hAnsi="Calibri" w:cs="Calibri"/>
          <w:iCs/>
        </w:rPr>
        <w:t xml:space="preserve"> </w:t>
      </w:r>
      <w:r w:rsidRPr="00BF1BFB">
        <w:rPr>
          <w:rStyle w:val="normaltextrun"/>
          <w:rFonts w:ascii="Calibri" w:hAnsi="Calibri" w:cs="Calibri"/>
          <w:iCs/>
        </w:rPr>
        <w:t>evidence</w:t>
      </w:r>
      <w:r w:rsidR="00F96B2F" w:rsidRPr="00BF1BFB">
        <w:rPr>
          <w:rStyle w:val="normaltextrun"/>
          <w:rFonts w:ascii="Calibri" w:hAnsi="Calibri" w:cs="Calibri"/>
          <w:iCs/>
        </w:rPr>
        <w:t xml:space="preserve"> </w:t>
      </w:r>
      <w:r w:rsidRPr="00BF1BFB">
        <w:rPr>
          <w:rStyle w:val="normaltextrun"/>
          <w:rFonts w:ascii="Calibri" w:hAnsi="Calibri" w:cs="Calibri"/>
          <w:iCs/>
        </w:rPr>
        <w:t>presented</w:t>
      </w:r>
      <w:r w:rsidR="00F96B2F" w:rsidRPr="00BF1BFB">
        <w:rPr>
          <w:rStyle w:val="normaltextrun"/>
          <w:rFonts w:ascii="Calibri" w:hAnsi="Calibri" w:cs="Calibri"/>
          <w:iCs/>
        </w:rPr>
        <w:t xml:space="preserve"> </w:t>
      </w:r>
      <w:r w:rsidRPr="00BF1BFB">
        <w:rPr>
          <w:rStyle w:val="normaltextrun"/>
          <w:rFonts w:ascii="Calibri" w:hAnsi="Calibri" w:cs="Calibri"/>
          <w:iCs/>
        </w:rPr>
        <w:t>in</w:t>
      </w:r>
      <w:r w:rsidR="00F96B2F" w:rsidRPr="00BF1BFB">
        <w:rPr>
          <w:rStyle w:val="normaltextrun"/>
          <w:rFonts w:ascii="Calibri" w:hAnsi="Calibri" w:cs="Calibri"/>
          <w:iCs/>
        </w:rPr>
        <w:t xml:space="preserve"> </w:t>
      </w:r>
      <w:r w:rsidR="002D5BA0" w:rsidRPr="004C584D">
        <w:rPr>
          <w:rStyle w:val="normaltextrun"/>
          <w:rFonts w:ascii="Calibri" w:hAnsi="Calibri" w:cs="Calibri"/>
          <w:iCs/>
        </w:rPr>
        <w:t>the submission</w:t>
      </w:r>
      <w:r w:rsidR="005A48FF" w:rsidRPr="00BF1BFB">
        <w:rPr>
          <w:rStyle w:val="normaltextrun"/>
          <w:rFonts w:ascii="Calibri" w:hAnsi="Calibri" w:cs="Calibri"/>
          <w:iCs/>
        </w:rPr>
        <w:t>. The key issues include</w:t>
      </w:r>
      <w:r w:rsidR="009A4041">
        <w:rPr>
          <w:rStyle w:val="normaltextrun"/>
          <w:rFonts w:ascii="Calibri" w:hAnsi="Calibri" w:cs="Calibri"/>
          <w:iCs/>
        </w:rPr>
        <w:t>d</w:t>
      </w:r>
      <w:r w:rsidRPr="00BF1BFB">
        <w:rPr>
          <w:rStyle w:val="normaltextrun"/>
          <w:rFonts w:ascii="Calibri" w:hAnsi="Calibri" w:cs="Calibri"/>
          <w:iCs/>
        </w:rPr>
        <w:t>:</w:t>
      </w:r>
    </w:p>
    <w:p w14:paraId="73F053C0" w14:textId="5A7A40C1" w:rsidR="00811E0E" w:rsidRPr="00BF1BFB" w:rsidRDefault="00811E0E" w:rsidP="00A97822">
      <w:pPr>
        <w:pStyle w:val="ListParagraph"/>
        <w:jc w:val="both"/>
        <w:rPr>
          <w:rStyle w:val="normaltextrun"/>
        </w:rPr>
      </w:pPr>
      <w:r w:rsidRPr="00BF1BFB">
        <w:rPr>
          <w:rStyle w:val="normaltextrun"/>
          <w:rFonts w:ascii="Calibri" w:hAnsi="Calibri" w:cs="Calibri"/>
        </w:rPr>
        <w:t>The</w:t>
      </w:r>
      <w:r w:rsidR="00F96B2F" w:rsidRPr="00BF1BFB">
        <w:rPr>
          <w:rStyle w:val="normaltextrun"/>
          <w:rFonts w:ascii="Calibri" w:hAnsi="Calibri" w:cs="Calibri"/>
        </w:rPr>
        <w:t xml:space="preserve"> </w:t>
      </w:r>
      <w:r w:rsidRPr="00BF1BFB">
        <w:rPr>
          <w:rStyle w:val="normaltextrun"/>
          <w:rFonts w:ascii="Calibri" w:hAnsi="Calibri" w:cs="Calibri"/>
        </w:rPr>
        <w:t>clinical</w:t>
      </w:r>
      <w:r w:rsidR="00F96B2F" w:rsidRPr="00BF1BFB">
        <w:rPr>
          <w:rStyle w:val="normaltextrun"/>
          <w:rFonts w:ascii="Calibri" w:hAnsi="Calibri" w:cs="Calibri"/>
        </w:rPr>
        <w:t xml:space="preserve"> </w:t>
      </w:r>
      <w:r w:rsidRPr="00BF1BFB">
        <w:rPr>
          <w:rStyle w:val="normaltextrun"/>
          <w:rFonts w:ascii="Calibri" w:hAnsi="Calibri" w:cs="Calibri"/>
        </w:rPr>
        <w:t>trial</w:t>
      </w:r>
      <w:r w:rsidR="00F96B2F" w:rsidRPr="00BF1BFB">
        <w:rPr>
          <w:rStyle w:val="normaltextrun"/>
          <w:rFonts w:ascii="Calibri" w:hAnsi="Calibri" w:cs="Calibri"/>
        </w:rPr>
        <w:t xml:space="preserve"> </w:t>
      </w:r>
      <w:r w:rsidRPr="00BF1BFB">
        <w:rPr>
          <w:rStyle w:val="normaltextrun"/>
          <w:rFonts w:ascii="Calibri" w:hAnsi="Calibri" w:cs="Calibri"/>
        </w:rPr>
        <w:t>evidence</w:t>
      </w:r>
      <w:r w:rsidR="00F96B2F" w:rsidRPr="00BF1BFB">
        <w:rPr>
          <w:rStyle w:val="normaltextrun"/>
          <w:rFonts w:ascii="Calibri" w:hAnsi="Calibri" w:cs="Calibri"/>
        </w:rPr>
        <w:t xml:space="preserve"> </w:t>
      </w:r>
      <w:r w:rsidR="0012188F">
        <w:rPr>
          <w:rStyle w:val="normaltextrun"/>
          <w:rFonts w:ascii="Calibri" w:hAnsi="Calibri" w:cs="Calibri"/>
        </w:rPr>
        <w:t>wa</w:t>
      </w:r>
      <w:r w:rsidR="0012188F" w:rsidRPr="00BF1BFB">
        <w:rPr>
          <w:rStyle w:val="normaltextrun"/>
          <w:rFonts w:ascii="Calibri" w:hAnsi="Calibri" w:cs="Calibri"/>
        </w:rPr>
        <w:t xml:space="preserve">s </w:t>
      </w:r>
      <w:r w:rsidR="0012188F">
        <w:rPr>
          <w:rStyle w:val="normaltextrun"/>
          <w:rFonts w:ascii="Calibri" w:hAnsi="Calibri" w:cs="Calibri"/>
        </w:rPr>
        <w:t>that of</w:t>
      </w:r>
      <w:r w:rsidR="0012188F" w:rsidRPr="00BF1BFB">
        <w:rPr>
          <w:rStyle w:val="normaltextrun"/>
          <w:rFonts w:ascii="Calibri" w:hAnsi="Calibri" w:cs="Calibri"/>
        </w:rPr>
        <w:t xml:space="preserve"> </w:t>
      </w:r>
      <w:r w:rsidRPr="00BF1BFB">
        <w:rPr>
          <w:rStyle w:val="normaltextrun"/>
          <w:rFonts w:ascii="Calibri" w:hAnsi="Calibri" w:cs="Calibri"/>
        </w:rPr>
        <w:t>pre-pubertal</w:t>
      </w:r>
      <w:r w:rsidR="00F96B2F" w:rsidRPr="00BF1BFB">
        <w:rPr>
          <w:rStyle w:val="normaltextrun"/>
          <w:rFonts w:ascii="Calibri" w:hAnsi="Calibri" w:cs="Calibri"/>
        </w:rPr>
        <w:t xml:space="preserve"> </w:t>
      </w:r>
      <w:r w:rsidRPr="00BF1BFB">
        <w:rPr>
          <w:rStyle w:val="normaltextrun"/>
          <w:rFonts w:ascii="Calibri" w:hAnsi="Calibri" w:cs="Calibri"/>
        </w:rPr>
        <w:t>children</w:t>
      </w:r>
      <w:r w:rsidR="00F96B2F" w:rsidRPr="00BF1BFB">
        <w:rPr>
          <w:rStyle w:val="normaltextrun"/>
          <w:rFonts w:ascii="Calibri" w:hAnsi="Calibri" w:cs="Calibri"/>
        </w:rPr>
        <w:t xml:space="preserve"> </w:t>
      </w:r>
      <w:r w:rsidRPr="00BF1BFB">
        <w:rPr>
          <w:rStyle w:val="normaltextrun"/>
          <w:rFonts w:ascii="Calibri" w:hAnsi="Calibri" w:cs="Calibri"/>
        </w:rPr>
        <w:t>(Study</w:t>
      </w:r>
      <w:r w:rsidR="00F96B2F" w:rsidRPr="00BF1BFB">
        <w:rPr>
          <w:rStyle w:val="normaltextrun"/>
          <w:rFonts w:ascii="Calibri" w:hAnsi="Calibri" w:cs="Calibri"/>
        </w:rPr>
        <w:t xml:space="preserve"> </w:t>
      </w:r>
      <w:r w:rsidRPr="00BF1BFB">
        <w:rPr>
          <w:rStyle w:val="normaltextrun"/>
          <w:rFonts w:ascii="Calibri" w:hAnsi="Calibri" w:cs="Calibri"/>
        </w:rPr>
        <w:t>4004:</w:t>
      </w:r>
      <w:r w:rsidR="00F96B2F" w:rsidRPr="00BF1BFB">
        <w:rPr>
          <w:rStyle w:val="normaltextrun"/>
          <w:rFonts w:ascii="Calibri" w:hAnsi="Calibri" w:cs="Calibri"/>
        </w:rPr>
        <w:t xml:space="preserve"> </w:t>
      </w:r>
      <w:r w:rsidRPr="00BF1BFB">
        <w:rPr>
          <w:rStyle w:val="normaltextrun"/>
          <w:rFonts w:ascii="Calibri" w:hAnsi="Calibri" w:cs="Calibri"/>
        </w:rPr>
        <w:t>&lt;11</w:t>
      </w:r>
      <w:r w:rsidR="00F96B2F" w:rsidRPr="00BF1BFB">
        <w:rPr>
          <w:rStyle w:val="normaltextrun"/>
          <w:rFonts w:ascii="Calibri" w:hAnsi="Calibri" w:cs="Calibri"/>
        </w:rPr>
        <w:t xml:space="preserve"> </w:t>
      </w:r>
      <w:r w:rsidRPr="00BF1BFB">
        <w:rPr>
          <w:rStyle w:val="normaltextrun"/>
          <w:rFonts w:ascii="Calibri" w:hAnsi="Calibri" w:cs="Calibri"/>
        </w:rPr>
        <w:t>years</w:t>
      </w:r>
      <w:r w:rsidR="00F96B2F" w:rsidRPr="00BF1BFB">
        <w:rPr>
          <w:rStyle w:val="normaltextrun"/>
          <w:rFonts w:ascii="Calibri" w:hAnsi="Calibri" w:cs="Calibri"/>
        </w:rPr>
        <w:t xml:space="preserve"> </w:t>
      </w:r>
      <w:r w:rsidRPr="00BF1BFB">
        <w:rPr>
          <w:rStyle w:val="normaltextrun"/>
          <w:rFonts w:ascii="Calibri" w:hAnsi="Calibri" w:cs="Calibri"/>
        </w:rPr>
        <w:t>for</w:t>
      </w:r>
      <w:r w:rsidR="00F96B2F" w:rsidRPr="00BF1BFB">
        <w:rPr>
          <w:rStyle w:val="normaltextrun"/>
          <w:rFonts w:ascii="Calibri" w:hAnsi="Calibri" w:cs="Calibri"/>
        </w:rPr>
        <w:t xml:space="preserve"> </w:t>
      </w:r>
      <w:r w:rsidRPr="00BF1BFB">
        <w:rPr>
          <w:rStyle w:val="normaltextrun"/>
          <w:rFonts w:ascii="Calibri" w:hAnsi="Calibri" w:cs="Calibri"/>
        </w:rPr>
        <w:t>girls</w:t>
      </w:r>
      <w:r w:rsidR="00F96B2F" w:rsidRPr="00BF1BFB">
        <w:rPr>
          <w:rStyle w:val="normaltextrun"/>
          <w:rFonts w:ascii="Calibri" w:hAnsi="Calibri" w:cs="Calibri"/>
        </w:rPr>
        <w:t xml:space="preserve"> </w:t>
      </w:r>
      <w:r w:rsidRPr="00BF1BFB">
        <w:rPr>
          <w:rStyle w:val="normaltextrun"/>
          <w:rFonts w:ascii="Calibri" w:hAnsi="Calibri" w:cs="Calibri"/>
        </w:rPr>
        <w:t>and</w:t>
      </w:r>
      <w:r w:rsidR="00F96B2F" w:rsidRPr="00BF1BFB">
        <w:rPr>
          <w:rStyle w:val="normaltextrun"/>
          <w:rFonts w:ascii="Calibri" w:hAnsi="Calibri" w:cs="Calibri"/>
        </w:rPr>
        <w:t xml:space="preserve"> </w:t>
      </w:r>
      <w:r w:rsidRPr="00BF1BFB">
        <w:rPr>
          <w:rStyle w:val="normaltextrun"/>
          <w:rFonts w:ascii="Calibri" w:hAnsi="Calibri" w:cs="Calibri"/>
        </w:rPr>
        <w:t>&lt;12</w:t>
      </w:r>
      <w:r w:rsidR="00F96B2F" w:rsidRPr="00BF1BFB">
        <w:rPr>
          <w:rStyle w:val="normaltextrun"/>
          <w:rFonts w:ascii="Calibri" w:hAnsi="Calibri" w:cs="Calibri"/>
        </w:rPr>
        <w:t xml:space="preserve"> </w:t>
      </w:r>
      <w:r w:rsidRPr="00BF1BFB">
        <w:rPr>
          <w:rStyle w:val="normaltextrun"/>
          <w:rFonts w:ascii="Calibri" w:hAnsi="Calibri" w:cs="Calibri"/>
        </w:rPr>
        <w:t>for</w:t>
      </w:r>
      <w:r w:rsidR="00F96B2F" w:rsidRPr="00BF1BFB">
        <w:rPr>
          <w:rStyle w:val="normaltextrun"/>
          <w:rFonts w:ascii="Calibri" w:hAnsi="Calibri" w:cs="Calibri"/>
        </w:rPr>
        <w:t xml:space="preserve"> </w:t>
      </w:r>
      <w:r w:rsidRPr="00BF1BFB">
        <w:rPr>
          <w:rStyle w:val="normaltextrun"/>
          <w:rFonts w:ascii="Calibri" w:hAnsi="Calibri" w:cs="Calibri"/>
        </w:rPr>
        <w:t>boys;</w:t>
      </w:r>
      <w:r w:rsidR="00F96B2F" w:rsidRPr="00BF1BFB">
        <w:rPr>
          <w:rStyle w:val="normaltextrun"/>
          <w:rFonts w:ascii="Calibri" w:hAnsi="Calibri" w:cs="Calibri"/>
        </w:rPr>
        <w:t xml:space="preserve"> </w:t>
      </w:r>
      <w:r w:rsidRPr="00BF1BFB">
        <w:rPr>
          <w:rStyle w:val="normaltextrun"/>
          <w:rFonts w:ascii="Calibri" w:hAnsi="Calibri" w:cs="Calibri"/>
        </w:rPr>
        <w:t>Studies</w:t>
      </w:r>
      <w:r w:rsidR="00F96B2F" w:rsidRPr="00BF1BFB">
        <w:rPr>
          <w:rStyle w:val="normaltextrun"/>
          <w:rFonts w:ascii="Calibri" w:hAnsi="Calibri" w:cs="Calibri"/>
        </w:rPr>
        <w:t xml:space="preserve"> </w:t>
      </w:r>
      <w:r w:rsidRPr="00BF1BFB">
        <w:rPr>
          <w:rStyle w:val="normaltextrun"/>
          <w:rFonts w:ascii="Calibri" w:hAnsi="Calibri" w:cs="Calibri"/>
        </w:rPr>
        <w:t>4006</w:t>
      </w:r>
      <w:r w:rsidR="00F96B2F" w:rsidRPr="00BF1BFB">
        <w:rPr>
          <w:rStyle w:val="normaltextrun"/>
          <w:rFonts w:ascii="Calibri" w:hAnsi="Calibri" w:cs="Calibri"/>
        </w:rPr>
        <w:t xml:space="preserve"> </w:t>
      </w:r>
      <w:r w:rsidRPr="00BF1BFB">
        <w:rPr>
          <w:rStyle w:val="normaltextrun"/>
          <w:rFonts w:ascii="Calibri" w:hAnsi="Calibri" w:cs="Calibri"/>
        </w:rPr>
        <w:t>and</w:t>
      </w:r>
      <w:r w:rsidR="00F96B2F" w:rsidRPr="00BF1BFB">
        <w:rPr>
          <w:rStyle w:val="normaltextrun"/>
          <w:rFonts w:ascii="Calibri" w:hAnsi="Calibri" w:cs="Calibri"/>
        </w:rPr>
        <w:t xml:space="preserve"> </w:t>
      </w:r>
      <w:r w:rsidRPr="00BF1BFB">
        <w:rPr>
          <w:rStyle w:val="normaltextrun"/>
          <w:rFonts w:ascii="Calibri" w:hAnsi="Calibri" w:cs="Calibri"/>
        </w:rPr>
        <w:t>4009:</w:t>
      </w:r>
      <w:r w:rsidR="00F96B2F" w:rsidRPr="00BF1BFB">
        <w:rPr>
          <w:rStyle w:val="normaltextrun"/>
          <w:rFonts w:ascii="Calibri" w:hAnsi="Calibri" w:cs="Calibri"/>
        </w:rPr>
        <w:t xml:space="preserve"> </w:t>
      </w:r>
      <w:r w:rsidRPr="00BF1BFB">
        <w:rPr>
          <w:rStyle w:val="normaltextrun"/>
          <w:rFonts w:ascii="Calibri" w:hAnsi="Calibri" w:cs="Calibri"/>
        </w:rPr>
        <w:t>&lt;10</w:t>
      </w:r>
      <w:r w:rsidR="00F96B2F" w:rsidRPr="00BF1BFB">
        <w:rPr>
          <w:rStyle w:val="normaltextrun"/>
          <w:rFonts w:ascii="Calibri" w:hAnsi="Calibri" w:cs="Calibri"/>
        </w:rPr>
        <w:t xml:space="preserve"> </w:t>
      </w:r>
      <w:r w:rsidRPr="00BF1BFB">
        <w:rPr>
          <w:rStyle w:val="normaltextrun"/>
          <w:rFonts w:ascii="Calibri" w:hAnsi="Calibri" w:cs="Calibri"/>
        </w:rPr>
        <w:t>years</w:t>
      </w:r>
      <w:r w:rsidR="00F96B2F" w:rsidRPr="00BF1BFB">
        <w:rPr>
          <w:rStyle w:val="normaltextrun"/>
          <w:rFonts w:ascii="Calibri" w:hAnsi="Calibri" w:cs="Calibri"/>
        </w:rPr>
        <w:t xml:space="preserve"> </w:t>
      </w:r>
      <w:r w:rsidRPr="00BF1BFB">
        <w:rPr>
          <w:rStyle w:val="normaltextrun"/>
          <w:rFonts w:ascii="Calibri" w:hAnsi="Calibri" w:cs="Calibri"/>
        </w:rPr>
        <w:t>for</w:t>
      </w:r>
      <w:r w:rsidR="00F96B2F" w:rsidRPr="00BF1BFB">
        <w:rPr>
          <w:rStyle w:val="normaltextrun"/>
          <w:rFonts w:ascii="Calibri" w:hAnsi="Calibri" w:cs="Calibri"/>
        </w:rPr>
        <w:t xml:space="preserve"> </w:t>
      </w:r>
      <w:r w:rsidRPr="00BF1BFB">
        <w:rPr>
          <w:rStyle w:val="normaltextrun"/>
          <w:rFonts w:ascii="Calibri" w:hAnsi="Calibri" w:cs="Calibri"/>
        </w:rPr>
        <w:t>girls</w:t>
      </w:r>
      <w:r w:rsidR="00F96B2F" w:rsidRPr="00BF1BFB">
        <w:rPr>
          <w:rStyle w:val="normaltextrun"/>
          <w:rFonts w:ascii="Calibri" w:hAnsi="Calibri" w:cs="Calibri"/>
        </w:rPr>
        <w:t xml:space="preserve"> </w:t>
      </w:r>
      <w:r w:rsidRPr="00BF1BFB">
        <w:rPr>
          <w:rStyle w:val="normaltextrun"/>
          <w:rFonts w:ascii="Calibri" w:hAnsi="Calibri" w:cs="Calibri"/>
        </w:rPr>
        <w:t>and</w:t>
      </w:r>
      <w:r w:rsidR="00F96B2F" w:rsidRPr="00BF1BFB">
        <w:rPr>
          <w:rStyle w:val="normaltextrun"/>
          <w:rFonts w:ascii="Calibri" w:hAnsi="Calibri" w:cs="Calibri"/>
        </w:rPr>
        <w:t xml:space="preserve"> </w:t>
      </w:r>
      <w:r w:rsidRPr="00BF1BFB">
        <w:rPr>
          <w:rStyle w:val="normaltextrun"/>
          <w:rFonts w:ascii="Calibri" w:hAnsi="Calibri" w:cs="Calibri"/>
        </w:rPr>
        <w:t>&lt;11</w:t>
      </w:r>
      <w:r w:rsidR="00F96B2F" w:rsidRPr="00BF1BFB">
        <w:rPr>
          <w:rStyle w:val="normaltextrun"/>
          <w:rFonts w:ascii="Calibri" w:hAnsi="Calibri" w:cs="Calibri"/>
        </w:rPr>
        <w:t xml:space="preserve"> </w:t>
      </w:r>
      <w:r w:rsidRPr="00BF1BFB">
        <w:rPr>
          <w:rStyle w:val="normaltextrun"/>
          <w:rFonts w:ascii="Calibri" w:hAnsi="Calibri" w:cs="Calibri"/>
        </w:rPr>
        <w:t>years</w:t>
      </w:r>
      <w:r w:rsidR="00F96B2F" w:rsidRPr="00BF1BFB">
        <w:rPr>
          <w:rStyle w:val="normaltextrun"/>
          <w:rFonts w:ascii="Calibri" w:hAnsi="Calibri" w:cs="Calibri"/>
        </w:rPr>
        <w:t xml:space="preserve"> </w:t>
      </w:r>
      <w:r w:rsidRPr="00BF1BFB">
        <w:rPr>
          <w:rStyle w:val="normaltextrun"/>
          <w:rFonts w:ascii="Calibri" w:hAnsi="Calibri" w:cs="Calibri"/>
        </w:rPr>
        <w:t>for</w:t>
      </w:r>
      <w:r w:rsidR="00F96B2F" w:rsidRPr="00BF1BFB">
        <w:rPr>
          <w:rStyle w:val="normaltextrun"/>
          <w:rFonts w:ascii="Calibri" w:hAnsi="Calibri" w:cs="Calibri"/>
        </w:rPr>
        <w:t xml:space="preserve"> </w:t>
      </w:r>
      <w:r w:rsidRPr="00BF1BFB">
        <w:rPr>
          <w:rStyle w:val="normaltextrun"/>
          <w:rFonts w:ascii="Calibri" w:hAnsi="Calibri" w:cs="Calibri"/>
        </w:rPr>
        <w:t>boys)</w:t>
      </w:r>
      <w:r w:rsidR="00F96B2F" w:rsidRPr="00BF1BFB">
        <w:rPr>
          <w:rStyle w:val="normaltextrun"/>
          <w:rFonts w:ascii="Calibri" w:hAnsi="Calibri" w:cs="Calibri"/>
        </w:rPr>
        <w:t xml:space="preserve"> </w:t>
      </w:r>
      <w:r w:rsidRPr="00BF1BFB">
        <w:rPr>
          <w:rStyle w:val="normaltextrun"/>
          <w:rFonts w:ascii="Calibri" w:hAnsi="Calibri" w:cs="Calibri"/>
        </w:rPr>
        <w:t>whereas</w:t>
      </w:r>
      <w:r w:rsidR="00F96B2F" w:rsidRPr="00BF1BFB">
        <w:rPr>
          <w:rStyle w:val="normaltextrun"/>
          <w:rFonts w:ascii="Calibri" w:hAnsi="Calibri" w:cs="Calibri"/>
        </w:rPr>
        <w:t xml:space="preserve"> </w:t>
      </w:r>
      <w:r w:rsidRPr="00BF1BFB">
        <w:rPr>
          <w:rStyle w:val="normaltextrun"/>
          <w:rFonts w:ascii="Calibri" w:hAnsi="Calibri" w:cs="Calibri"/>
        </w:rPr>
        <w:t>the</w:t>
      </w:r>
      <w:r w:rsidR="00F96B2F" w:rsidRPr="00BF1BFB">
        <w:rPr>
          <w:rStyle w:val="normaltextrun"/>
          <w:rFonts w:ascii="Calibri" w:hAnsi="Calibri" w:cs="Calibri"/>
        </w:rPr>
        <w:t xml:space="preserve"> </w:t>
      </w:r>
      <w:r w:rsidRPr="00BF1BFB">
        <w:rPr>
          <w:rStyle w:val="normaltextrun"/>
          <w:rFonts w:ascii="Calibri" w:hAnsi="Calibri" w:cs="Calibri"/>
        </w:rPr>
        <w:t>proposed</w:t>
      </w:r>
      <w:r w:rsidR="00F96B2F" w:rsidRPr="00BF1BFB">
        <w:rPr>
          <w:rStyle w:val="normaltextrun"/>
          <w:rFonts w:ascii="Calibri" w:hAnsi="Calibri" w:cs="Calibri"/>
        </w:rPr>
        <w:t xml:space="preserve"> </w:t>
      </w:r>
      <w:r w:rsidRPr="00BF1BFB">
        <w:rPr>
          <w:rStyle w:val="normaltextrun"/>
          <w:rFonts w:ascii="Calibri" w:hAnsi="Calibri" w:cs="Calibri"/>
        </w:rPr>
        <w:t>PBS</w:t>
      </w:r>
      <w:r w:rsidR="00F96B2F" w:rsidRPr="00BF1BFB">
        <w:rPr>
          <w:rStyle w:val="normaltextrun"/>
          <w:rFonts w:ascii="Calibri" w:hAnsi="Calibri" w:cs="Calibri"/>
        </w:rPr>
        <w:t xml:space="preserve"> </w:t>
      </w:r>
      <w:r w:rsidRPr="00BF1BFB">
        <w:rPr>
          <w:rStyle w:val="normaltextrun"/>
          <w:rFonts w:ascii="Calibri" w:hAnsi="Calibri" w:cs="Calibri"/>
        </w:rPr>
        <w:t>restrictions</w:t>
      </w:r>
      <w:r w:rsidR="00F96B2F" w:rsidRPr="00BF1BFB">
        <w:rPr>
          <w:rStyle w:val="normaltextrun"/>
          <w:rFonts w:ascii="Calibri" w:hAnsi="Calibri" w:cs="Calibri"/>
        </w:rPr>
        <w:t xml:space="preserve"> </w:t>
      </w:r>
      <w:r w:rsidRPr="00BF1BFB">
        <w:rPr>
          <w:rStyle w:val="normaltextrun"/>
          <w:rFonts w:ascii="Calibri" w:hAnsi="Calibri" w:cs="Calibri"/>
        </w:rPr>
        <w:t>are</w:t>
      </w:r>
      <w:r w:rsidR="00F96B2F" w:rsidRPr="00BF1BFB">
        <w:rPr>
          <w:rStyle w:val="normaltextrun"/>
          <w:rFonts w:ascii="Calibri" w:hAnsi="Calibri" w:cs="Calibri"/>
        </w:rPr>
        <w:t xml:space="preserve"> </w:t>
      </w:r>
      <w:r w:rsidRPr="00BF1BFB">
        <w:rPr>
          <w:rStyle w:val="normaltextrun"/>
          <w:rFonts w:ascii="Calibri" w:hAnsi="Calibri" w:cs="Calibri"/>
        </w:rPr>
        <w:t>for</w:t>
      </w:r>
      <w:r w:rsidR="00F96B2F" w:rsidRPr="00BF1BFB">
        <w:rPr>
          <w:rStyle w:val="normaltextrun"/>
          <w:rFonts w:ascii="Calibri" w:hAnsi="Calibri" w:cs="Calibri"/>
        </w:rPr>
        <w:t xml:space="preserve"> </w:t>
      </w:r>
      <w:r w:rsidRPr="00BF1BFB">
        <w:rPr>
          <w:rStyle w:val="normaltextrun"/>
          <w:rFonts w:ascii="Calibri" w:hAnsi="Calibri" w:cs="Calibri"/>
        </w:rPr>
        <w:t>patients</w:t>
      </w:r>
      <w:r w:rsidR="00F96B2F" w:rsidRPr="00BF1BFB">
        <w:rPr>
          <w:rStyle w:val="normaltextrun"/>
          <w:rFonts w:ascii="Calibri" w:hAnsi="Calibri" w:cs="Calibri"/>
        </w:rPr>
        <w:t xml:space="preserve"> </w:t>
      </w:r>
      <w:r w:rsidRPr="00BF1BFB">
        <w:rPr>
          <w:rStyle w:val="normaltextrun"/>
          <w:rFonts w:ascii="Calibri" w:hAnsi="Calibri" w:cs="Calibri"/>
        </w:rPr>
        <w:t>with</w:t>
      </w:r>
      <w:r w:rsidR="00F96B2F" w:rsidRPr="00BF1BFB">
        <w:rPr>
          <w:rStyle w:val="normaltextrun"/>
          <w:rFonts w:ascii="Calibri" w:hAnsi="Calibri" w:cs="Calibri"/>
        </w:rPr>
        <w:t xml:space="preserve"> </w:t>
      </w:r>
      <w:r w:rsidRPr="00BF1BFB">
        <w:rPr>
          <w:rStyle w:val="normaltextrun"/>
          <w:rFonts w:ascii="Calibri" w:hAnsi="Calibri" w:cs="Calibri"/>
        </w:rPr>
        <w:t>a</w:t>
      </w:r>
      <w:r w:rsidR="00F96B2F" w:rsidRPr="00BF1BFB">
        <w:rPr>
          <w:rStyle w:val="normaltextrun"/>
          <w:rFonts w:ascii="Calibri" w:hAnsi="Calibri" w:cs="Calibri"/>
        </w:rPr>
        <w:t xml:space="preserve"> </w:t>
      </w:r>
      <w:r w:rsidRPr="00BF1BFB">
        <w:rPr>
          <w:rStyle w:val="normaltextrun"/>
          <w:rFonts w:ascii="Calibri" w:hAnsi="Calibri" w:cs="Calibri"/>
        </w:rPr>
        <w:t>bone</w:t>
      </w:r>
      <w:r w:rsidR="00F96B2F" w:rsidRPr="00BF1BFB">
        <w:rPr>
          <w:rStyle w:val="normaltextrun"/>
          <w:rFonts w:ascii="Calibri" w:hAnsi="Calibri" w:cs="Calibri"/>
        </w:rPr>
        <w:t xml:space="preserve"> </w:t>
      </w:r>
      <w:r w:rsidRPr="00BF1BFB">
        <w:rPr>
          <w:rStyle w:val="normaltextrun"/>
          <w:rFonts w:ascii="Calibri" w:hAnsi="Calibri" w:cs="Calibri"/>
        </w:rPr>
        <w:t>age</w:t>
      </w:r>
      <w:r w:rsidR="00F96B2F" w:rsidRPr="00BF1BFB">
        <w:rPr>
          <w:rStyle w:val="normaltextrun"/>
          <w:rFonts w:ascii="Calibri" w:hAnsi="Calibri" w:cs="Calibri"/>
        </w:rPr>
        <w:t xml:space="preserve"> </w:t>
      </w:r>
      <w:r w:rsidR="005A48FF" w:rsidRPr="00BF1BFB">
        <w:rPr>
          <w:rStyle w:val="normaltextrun"/>
          <w:rFonts w:ascii="Calibri" w:hAnsi="Calibri" w:cs="Calibri"/>
        </w:rPr>
        <w:t>(</w:t>
      </w:r>
      <w:r w:rsidRPr="00BF1BFB">
        <w:rPr>
          <w:rStyle w:val="normaltextrun"/>
          <w:rFonts w:ascii="Calibri" w:hAnsi="Calibri" w:cs="Calibri"/>
        </w:rPr>
        <w:t>up</w:t>
      </w:r>
      <w:r w:rsidR="00F96B2F" w:rsidRPr="00BF1BFB">
        <w:rPr>
          <w:rStyle w:val="normaltextrun"/>
          <w:rFonts w:ascii="Calibri" w:hAnsi="Calibri" w:cs="Calibri"/>
        </w:rPr>
        <w:t xml:space="preserve"> </w:t>
      </w:r>
      <w:r w:rsidRPr="00BF1BFB">
        <w:rPr>
          <w:rStyle w:val="normaltextrun"/>
          <w:rFonts w:ascii="Calibri" w:hAnsi="Calibri" w:cs="Calibri"/>
        </w:rPr>
        <w:t>to</w:t>
      </w:r>
      <w:r w:rsidR="00F96B2F" w:rsidRPr="00BF1BFB">
        <w:rPr>
          <w:rStyle w:val="normaltextrun"/>
          <w:rFonts w:ascii="Calibri" w:hAnsi="Calibri" w:cs="Calibri"/>
        </w:rPr>
        <w:t xml:space="preserve"> </w:t>
      </w:r>
      <w:r w:rsidRPr="00BF1BFB">
        <w:rPr>
          <w:rStyle w:val="normaltextrun"/>
          <w:rFonts w:ascii="Calibri" w:hAnsi="Calibri" w:cs="Calibri"/>
        </w:rPr>
        <w:t>13.5</w:t>
      </w:r>
      <w:r w:rsidR="00F96B2F" w:rsidRPr="00BF1BFB">
        <w:rPr>
          <w:rStyle w:val="normaltextrun"/>
          <w:rFonts w:ascii="Calibri" w:hAnsi="Calibri" w:cs="Calibri"/>
        </w:rPr>
        <w:t xml:space="preserve"> </w:t>
      </w:r>
      <w:r w:rsidRPr="00BF1BFB">
        <w:rPr>
          <w:rStyle w:val="normaltextrun"/>
          <w:rFonts w:ascii="Calibri" w:hAnsi="Calibri" w:cs="Calibri"/>
        </w:rPr>
        <w:t>for</w:t>
      </w:r>
      <w:r w:rsidR="00F96B2F" w:rsidRPr="00BF1BFB">
        <w:rPr>
          <w:rStyle w:val="normaltextrun"/>
          <w:rFonts w:ascii="Calibri" w:hAnsi="Calibri" w:cs="Calibri"/>
        </w:rPr>
        <w:t xml:space="preserve"> </w:t>
      </w:r>
      <w:r w:rsidRPr="00BF1BFB">
        <w:rPr>
          <w:rStyle w:val="normaltextrun"/>
          <w:rFonts w:ascii="Calibri" w:hAnsi="Calibri" w:cs="Calibri"/>
        </w:rPr>
        <w:t>girls</w:t>
      </w:r>
      <w:r w:rsidR="00F96B2F" w:rsidRPr="00BF1BFB">
        <w:rPr>
          <w:rStyle w:val="normaltextrun"/>
          <w:rFonts w:ascii="Calibri" w:hAnsi="Calibri" w:cs="Calibri"/>
        </w:rPr>
        <w:t xml:space="preserve"> </w:t>
      </w:r>
      <w:r w:rsidRPr="00BF1BFB">
        <w:rPr>
          <w:rStyle w:val="normaltextrun"/>
          <w:rFonts w:ascii="Calibri" w:hAnsi="Calibri" w:cs="Calibri"/>
        </w:rPr>
        <w:t>and</w:t>
      </w:r>
      <w:r w:rsidR="00F96B2F" w:rsidRPr="00BF1BFB">
        <w:rPr>
          <w:rStyle w:val="normaltextrun"/>
          <w:rFonts w:ascii="Calibri" w:hAnsi="Calibri" w:cs="Calibri"/>
        </w:rPr>
        <w:t xml:space="preserve"> </w:t>
      </w:r>
      <w:r w:rsidRPr="00BF1BFB">
        <w:rPr>
          <w:rStyle w:val="normaltextrun"/>
          <w:rFonts w:ascii="Calibri" w:hAnsi="Calibri" w:cs="Calibri"/>
        </w:rPr>
        <w:t>15.5</w:t>
      </w:r>
      <w:r w:rsidR="00F96B2F" w:rsidRPr="00BF1BFB">
        <w:rPr>
          <w:rStyle w:val="normaltextrun"/>
          <w:rFonts w:ascii="Calibri" w:hAnsi="Calibri" w:cs="Calibri"/>
        </w:rPr>
        <w:t xml:space="preserve"> </w:t>
      </w:r>
      <w:r w:rsidRPr="00BF1BFB">
        <w:rPr>
          <w:rStyle w:val="normaltextrun"/>
          <w:rFonts w:ascii="Calibri" w:hAnsi="Calibri" w:cs="Calibri"/>
        </w:rPr>
        <w:t>years</w:t>
      </w:r>
      <w:r w:rsidR="00F96B2F" w:rsidRPr="00BF1BFB">
        <w:rPr>
          <w:rStyle w:val="normaltextrun"/>
          <w:rFonts w:ascii="Calibri" w:hAnsi="Calibri" w:cs="Calibri"/>
        </w:rPr>
        <w:t xml:space="preserve"> </w:t>
      </w:r>
      <w:r w:rsidRPr="00BF1BFB">
        <w:rPr>
          <w:rStyle w:val="normaltextrun"/>
          <w:rFonts w:ascii="Calibri" w:hAnsi="Calibri" w:cs="Calibri"/>
        </w:rPr>
        <w:t>for</w:t>
      </w:r>
      <w:r w:rsidR="00F96B2F" w:rsidRPr="00BF1BFB">
        <w:rPr>
          <w:rStyle w:val="normaltextrun"/>
          <w:rFonts w:ascii="Calibri" w:hAnsi="Calibri" w:cs="Calibri"/>
        </w:rPr>
        <w:t xml:space="preserve"> </w:t>
      </w:r>
      <w:r w:rsidRPr="00BF1BFB">
        <w:rPr>
          <w:rStyle w:val="normaltextrun"/>
          <w:rFonts w:ascii="Calibri" w:hAnsi="Calibri" w:cs="Calibri"/>
        </w:rPr>
        <w:t>boys</w:t>
      </w:r>
      <w:r w:rsidR="005A48FF" w:rsidRPr="00BF1BFB">
        <w:rPr>
          <w:rStyle w:val="normaltextrun"/>
          <w:rFonts w:ascii="Calibri" w:hAnsi="Calibri" w:cs="Calibri"/>
        </w:rPr>
        <w:t>)</w:t>
      </w:r>
      <w:r w:rsidRPr="00BF1BFB">
        <w:rPr>
          <w:rStyle w:val="normaltextrun"/>
          <w:rFonts w:ascii="Calibri" w:hAnsi="Calibri" w:cs="Calibri"/>
        </w:rPr>
        <w:t>.</w:t>
      </w:r>
    </w:p>
    <w:p w14:paraId="72D8044D" w14:textId="5B42A9E8" w:rsidR="00277E4E" w:rsidRPr="00E96E9F" w:rsidRDefault="00811E0E" w:rsidP="00A97822">
      <w:pPr>
        <w:pStyle w:val="ListParagraph"/>
        <w:jc w:val="both"/>
        <w:rPr>
          <w:rFonts w:eastAsia="Calibri"/>
        </w:rPr>
      </w:pPr>
      <w:r w:rsidRPr="00E96E9F">
        <w:rPr>
          <w:rStyle w:val="normaltextrun"/>
          <w:rFonts w:ascii="Calibri" w:hAnsi="Calibri" w:cs="Calibri"/>
        </w:rPr>
        <w:t>The</w:t>
      </w:r>
      <w:r w:rsidR="00F96B2F" w:rsidRPr="00E96E9F">
        <w:rPr>
          <w:rStyle w:val="normaltextrun"/>
          <w:rFonts w:ascii="Calibri" w:hAnsi="Calibri" w:cs="Calibri"/>
        </w:rPr>
        <w:t xml:space="preserve"> </w:t>
      </w:r>
      <w:r w:rsidRPr="00E96E9F">
        <w:rPr>
          <w:rStyle w:val="normaltextrun"/>
          <w:rFonts w:ascii="Calibri" w:hAnsi="Calibri" w:cs="Calibri"/>
        </w:rPr>
        <w:t>pivotal</w:t>
      </w:r>
      <w:r w:rsidR="00F96B2F" w:rsidRPr="00E96E9F">
        <w:rPr>
          <w:rStyle w:val="normaltextrun"/>
          <w:rFonts w:ascii="Calibri" w:hAnsi="Calibri" w:cs="Calibri"/>
        </w:rPr>
        <w:t xml:space="preserve"> </w:t>
      </w:r>
      <w:r w:rsidRPr="00E96E9F">
        <w:rPr>
          <w:rStyle w:val="normaltextrun"/>
          <w:rFonts w:ascii="Calibri" w:hAnsi="Calibri" w:cs="Calibri"/>
        </w:rPr>
        <w:t>trial,</w:t>
      </w:r>
      <w:r w:rsidR="00F96B2F" w:rsidRPr="00E96E9F">
        <w:rPr>
          <w:rStyle w:val="normaltextrun"/>
          <w:rFonts w:ascii="Calibri" w:hAnsi="Calibri" w:cs="Calibri"/>
        </w:rPr>
        <w:t xml:space="preserve"> </w:t>
      </w:r>
      <w:r w:rsidRPr="00E96E9F">
        <w:rPr>
          <w:rStyle w:val="normaltextrun"/>
          <w:rFonts w:ascii="Calibri" w:hAnsi="Calibri" w:cs="Calibri"/>
        </w:rPr>
        <w:t>Study</w:t>
      </w:r>
      <w:r w:rsidR="00F96B2F" w:rsidRPr="00E96E9F">
        <w:rPr>
          <w:rStyle w:val="normaltextrun"/>
          <w:rFonts w:ascii="Calibri" w:hAnsi="Calibri" w:cs="Calibri"/>
        </w:rPr>
        <w:t xml:space="preserve"> </w:t>
      </w:r>
      <w:r w:rsidRPr="00E96E9F">
        <w:rPr>
          <w:rStyle w:val="normaltextrun"/>
          <w:rFonts w:ascii="Calibri" w:hAnsi="Calibri" w:cs="Calibri"/>
        </w:rPr>
        <w:t>4006</w:t>
      </w:r>
      <w:r w:rsidR="00F96B2F" w:rsidRPr="00E96E9F">
        <w:rPr>
          <w:rStyle w:val="normaltextrun"/>
          <w:rFonts w:ascii="Calibri" w:hAnsi="Calibri" w:cs="Calibri"/>
        </w:rPr>
        <w:t xml:space="preserve"> </w:t>
      </w:r>
      <w:r w:rsidRPr="00E96E9F">
        <w:rPr>
          <w:rStyle w:val="normaltextrun"/>
          <w:rFonts w:ascii="Calibri" w:hAnsi="Calibri" w:cs="Calibri"/>
        </w:rPr>
        <w:t>together</w:t>
      </w:r>
      <w:r w:rsidR="00F96B2F" w:rsidRPr="00E96E9F">
        <w:rPr>
          <w:rStyle w:val="normaltextrun"/>
          <w:rFonts w:ascii="Calibri" w:hAnsi="Calibri" w:cs="Calibri"/>
        </w:rPr>
        <w:t xml:space="preserve"> </w:t>
      </w:r>
      <w:r w:rsidRPr="00E96E9F">
        <w:rPr>
          <w:rStyle w:val="normaltextrun"/>
          <w:rFonts w:ascii="Calibri" w:hAnsi="Calibri" w:cs="Calibri"/>
        </w:rPr>
        <w:t>with</w:t>
      </w:r>
      <w:r w:rsidR="00F96B2F" w:rsidRPr="00E96E9F">
        <w:rPr>
          <w:rStyle w:val="normaltextrun"/>
          <w:rFonts w:ascii="Calibri" w:hAnsi="Calibri" w:cs="Calibri"/>
        </w:rPr>
        <w:t xml:space="preserve"> </w:t>
      </w:r>
      <w:r w:rsidRPr="00E96E9F">
        <w:rPr>
          <w:rStyle w:val="normaltextrun"/>
          <w:rFonts w:ascii="Calibri" w:hAnsi="Calibri" w:cs="Calibri"/>
        </w:rPr>
        <w:t>two</w:t>
      </w:r>
      <w:r w:rsidR="00F96B2F" w:rsidRPr="00E96E9F">
        <w:rPr>
          <w:rStyle w:val="normaltextrun"/>
          <w:rFonts w:ascii="Calibri" w:hAnsi="Calibri" w:cs="Calibri"/>
        </w:rPr>
        <w:t xml:space="preserve"> </w:t>
      </w:r>
      <w:r w:rsidRPr="00E96E9F">
        <w:rPr>
          <w:rStyle w:val="normaltextrun"/>
          <w:rFonts w:ascii="Calibri" w:hAnsi="Calibri" w:cs="Calibri"/>
        </w:rPr>
        <w:t>supportive</w:t>
      </w:r>
      <w:r w:rsidR="00F96B2F" w:rsidRPr="00E96E9F">
        <w:rPr>
          <w:rStyle w:val="normaltextrun"/>
          <w:rFonts w:ascii="Calibri" w:hAnsi="Calibri" w:cs="Calibri"/>
        </w:rPr>
        <w:t xml:space="preserve"> </w:t>
      </w:r>
      <w:r w:rsidRPr="00E96E9F">
        <w:rPr>
          <w:rStyle w:val="normaltextrun"/>
          <w:rFonts w:ascii="Calibri" w:hAnsi="Calibri" w:cs="Calibri"/>
        </w:rPr>
        <w:t>trials</w:t>
      </w:r>
      <w:r w:rsidR="00F96B2F" w:rsidRPr="00E96E9F">
        <w:rPr>
          <w:rStyle w:val="normaltextrun"/>
          <w:rFonts w:ascii="Calibri" w:hAnsi="Calibri" w:cs="Calibri"/>
        </w:rPr>
        <w:t xml:space="preserve"> </w:t>
      </w:r>
      <w:r w:rsidRPr="00E96E9F">
        <w:rPr>
          <w:rStyle w:val="normaltextrun"/>
          <w:rFonts w:ascii="Calibri" w:hAnsi="Calibri" w:cs="Calibri"/>
        </w:rPr>
        <w:t>(Study</w:t>
      </w:r>
      <w:r w:rsidR="00F96B2F" w:rsidRPr="00E96E9F">
        <w:rPr>
          <w:rStyle w:val="normaltextrun"/>
          <w:rFonts w:ascii="Calibri" w:hAnsi="Calibri" w:cs="Calibri"/>
        </w:rPr>
        <w:t xml:space="preserve"> </w:t>
      </w:r>
      <w:r w:rsidRPr="00E96E9F">
        <w:rPr>
          <w:rStyle w:val="normaltextrun"/>
          <w:rFonts w:ascii="Calibri" w:hAnsi="Calibri" w:cs="Calibri"/>
        </w:rPr>
        <w:t>4004</w:t>
      </w:r>
      <w:r w:rsidR="00F96B2F" w:rsidRPr="00E96E9F">
        <w:rPr>
          <w:rStyle w:val="normaltextrun"/>
          <w:rFonts w:ascii="Calibri" w:hAnsi="Calibri" w:cs="Calibri"/>
        </w:rPr>
        <w:t xml:space="preserve"> </w:t>
      </w:r>
      <w:r w:rsidRPr="00E96E9F">
        <w:rPr>
          <w:rStyle w:val="normaltextrun"/>
          <w:rFonts w:ascii="Calibri" w:hAnsi="Calibri" w:cs="Calibri"/>
        </w:rPr>
        <w:t>and</w:t>
      </w:r>
      <w:r w:rsidR="00F96B2F" w:rsidRPr="00E96E9F">
        <w:rPr>
          <w:rStyle w:val="normaltextrun"/>
          <w:rFonts w:ascii="Calibri" w:hAnsi="Calibri" w:cs="Calibri"/>
        </w:rPr>
        <w:t xml:space="preserve"> </w:t>
      </w:r>
      <w:r w:rsidRPr="00E96E9F">
        <w:rPr>
          <w:rStyle w:val="normaltextrun"/>
          <w:rFonts w:ascii="Calibri" w:hAnsi="Calibri" w:cs="Calibri"/>
        </w:rPr>
        <w:t>Study</w:t>
      </w:r>
      <w:r w:rsidR="00F96B2F" w:rsidRPr="00E96E9F">
        <w:rPr>
          <w:rStyle w:val="normaltextrun"/>
          <w:rFonts w:ascii="Calibri" w:hAnsi="Calibri" w:cs="Calibri"/>
        </w:rPr>
        <w:t xml:space="preserve"> </w:t>
      </w:r>
      <w:r w:rsidRPr="00E96E9F">
        <w:rPr>
          <w:rStyle w:val="normaltextrun"/>
          <w:rFonts w:ascii="Calibri" w:hAnsi="Calibri" w:cs="Calibri"/>
        </w:rPr>
        <w:t>4009)</w:t>
      </w:r>
      <w:r w:rsidR="00F96B2F" w:rsidRPr="00E96E9F">
        <w:rPr>
          <w:rStyle w:val="normaltextrun"/>
          <w:rFonts w:ascii="Calibri" w:hAnsi="Calibri" w:cs="Calibri"/>
        </w:rPr>
        <w:t xml:space="preserve"> </w:t>
      </w:r>
      <w:r w:rsidRPr="00E96E9F">
        <w:rPr>
          <w:rStyle w:val="normaltextrun"/>
          <w:rFonts w:ascii="Calibri" w:hAnsi="Calibri" w:cs="Calibri"/>
        </w:rPr>
        <w:t>demonstrate</w:t>
      </w:r>
      <w:r w:rsidR="008966C7">
        <w:rPr>
          <w:rStyle w:val="normaltextrun"/>
          <w:rFonts w:ascii="Calibri" w:hAnsi="Calibri" w:cs="Calibri"/>
        </w:rPr>
        <w:t>d</w:t>
      </w:r>
      <w:r w:rsidR="00F96B2F" w:rsidRPr="00E96E9F">
        <w:rPr>
          <w:rStyle w:val="normaltextrun"/>
          <w:rFonts w:ascii="Calibri" w:hAnsi="Calibri" w:cs="Calibri"/>
        </w:rPr>
        <w:t xml:space="preserve"> </w:t>
      </w:r>
      <w:r w:rsidRPr="00E96E9F">
        <w:rPr>
          <w:rStyle w:val="normaltextrun"/>
          <w:rFonts w:ascii="Calibri" w:hAnsi="Calibri" w:cs="Calibri"/>
        </w:rPr>
        <w:t>non-inferiority</w:t>
      </w:r>
      <w:r w:rsidR="00F96B2F" w:rsidRPr="00E96E9F">
        <w:rPr>
          <w:rStyle w:val="normaltextrun"/>
          <w:rFonts w:ascii="Calibri" w:hAnsi="Calibri" w:cs="Calibri"/>
        </w:rPr>
        <w:t xml:space="preserve"> </w:t>
      </w:r>
      <w:r w:rsidRPr="00E96E9F">
        <w:rPr>
          <w:rStyle w:val="normaltextrun"/>
          <w:rFonts w:ascii="Calibri" w:hAnsi="Calibri" w:cs="Calibri"/>
        </w:rPr>
        <w:t>in</w:t>
      </w:r>
      <w:r w:rsidR="00F96B2F" w:rsidRPr="00E96E9F">
        <w:rPr>
          <w:rStyle w:val="normaltextrun"/>
          <w:rFonts w:ascii="Calibri" w:hAnsi="Calibri" w:cs="Calibri"/>
        </w:rPr>
        <w:t xml:space="preserve"> </w:t>
      </w:r>
      <w:r w:rsidRPr="00E96E9F">
        <w:rPr>
          <w:rStyle w:val="normaltextrun"/>
          <w:rFonts w:ascii="Calibri" w:hAnsi="Calibri" w:cs="Calibri"/>
        </w:rPr>
        <w:t>terms</w:t>
      </w:r>
      <w:r w:rsidR="00F96B2F" w:rsidRPr="00E96E9F">
        <w:rPr>
          <w:rStyle w:val="normaltextrun"/>
          <w:rFonts w:ascii="Calibri" w:hAnsi="Calibri" w:cs="Calibri"/>
        </w:rPr>
        <w:t xml:space="preserve"> </w:t>
      </w:r>
      <w:r w:rsidRPr="00E96E9F">
        <w:rPr>
          <w:rStyle w:val="normaltextrun"/>
          <w:rFonts w:ascii="Calibri" w:hAnsi="Calibri" w:cs="Calibri"/>
        </w:rPr>
        <w:t>of</w:t>
      </w:r>
      <w:r w:rsidR="00F96B2F" w:rsidRPr="00E96E9F">
        <w:rPr>
          <w:rStyle w:val="normaltextrun"/>
          <w:rFonts w:ascii="Calibri" w:hAnsi="Calibri" w:cs="Calibri"/>
        </w:rPr>
        <w:t xml:space="preserve"> </w:t>
      </w:r>
      <w:r w:rsidRPr="00E96E9F">
        <w:rPr>
          <w:rStyle w:val="normaltextrun"/>
          <w:rFonts w:ascii="Calibri" w:hAnsi="Calibri" w:cs="Calibri"/>
        </w:rPr>
        <w:t>annualized</w:t>
      </w:r>
      <w:r w:rsidR="00F96B2F" w:rsidRPr="00E96E9F">
        <w:rPr>
          <w:rStyle w:val="normaltextrun"/>
          <w:rFonts w:ascii="Calibri" w:hAnsi="Calibri" w:cs="Calibri"/>
        </w:rPr>
        <w:t xml:space="preserve"> </w:t>
      </w:r>
      <w:r w:rsidR="00046E65">
        <w:rPr>
          <w:rStyle w:val="normaltextrun"/>
          <w:rFonts w:ascii="Calibri" w:hAnsi="Calibri" w:cs="Calibri"/>
        </w:rPr>
        <w:t>HV</w:t>
      </w:r>
      <w:r w:rsidR="00F96B2F" w:rsidRPr="00E96E9F">
        <w:rPr>
          <w:rStyle w:val="normaltextrun"/>
          <w:rFonts w:ascii="Calibri" w:hAnsi="Calibri" w:cs="Calibri"/>
        </w:rPr>
        <w:t xml:space="preserve"> </w:t>
      </w:r>
      <w:r w:rsidRPr="00E96E9F">
        <w:rPr>
          <w:rStyle w:val="normaltextrun"/>
          <w:rFonts w:ascii="Calibri" w:hAnsi="Calibri" w:cs="Calibri"/>
        </w:rPr>
        <w:t>at</w:t>
      </w:r>
      <w:r w:rsidR="00F96B2F" w:rsidRPr="00E96E9F">
        <w:rPr>
          <w:rStyle w:val="normaltextrun"/>
          <w:rFonts w:ascii="Calibri" w:hAnsi="Calibri" w:cs="Calibri"/>
        </w:rPr>
        <w:t xml:space="preserve"> </w:t>
      </w:r>
      <w:r w:rsidRPr="00E96E9F">
        <w:rPr>
          <w:rStyle w:val="normaltextrun"/>
          <w:rFonts w:ascii="Calibri" w:hAnsi="Calibri" w:cs="Calibri"/>
        </w:rPr>
        <w:t>12</w:t>
      </w:r>
      <w:r w:rsidR="00F96B2F" w:rsidRPr="00E96E9F">
        <w:rPr>
          <w:rStyle w:val="normaltextrun"/>
          <w:rFonts w:ascii="Calibri" w:hAnsi="Calibri" w:cs="Calibri"/>
        </w:rPr>
        <w:t xml:space="preserve"> </w:t>
      </w:r>
      <w:r w:rsidRPr="00E96E9F">
        <w:rPr>
          <w:rStyle w:val="normaltextrun"/>
          <w:rFonts w:ascii="Calibri" w:hAnsi="Calibri" w:cs="Calibri"/>
        </w:rPr>
        <w:t>months.</w:t>
      </w:r>
      <w:r w:rsidR="00277E4E" w:rsidRPr="00E96E9F">
        <w:rPr>
          <w:rStyle w:val="normaltextrun"/>
          <w:rFonts w:ascii="Calibri" w:hAnsi="Calibri" w:cs="Calibri"/>
        </w:rPr>
        <w:t xml:space="preserve"> </w:t>
      </w:r>
      <w:r w:rsidR="00AC08D7" w:rsidRPr="00BF1BFB">
        <w:rPr>
          <w:rStyle w:val="normaltextrun"/>
          <w:rFonts w:ascii="Calibri" w:hAnsi="Calibri" w:cs="Calibri"/>
        </w:rPr>
        <w:t>How</w:t>
      </w:r>
      <w:r w:rsidR="00AC08D7" w:rsidRPr="00BF1BFB">
        <w:rPr>
          <w:rStyle w:val="normaltextrun"/>
          <w:rFonts w:ascii="Calibri" w:hAnsi="Calibri" w:cs="Calibri"/>
          <w:iCs/>
        </w:rPr>
        <w:t xml:space="preserve">ever, </w:t>
      </w:r>
      <w:r w:rsidR="00D6096C" w:rsidRPr="00BF1BFB">
        <w:rPr>
          <w:rStyle w:val="normaltextrun"/>
          <w:rFonts w:ascii="Calibri" w:hAnsi="Calibri" w:cs="Calibri"/>
          <w:iCs/>
        </w:rPr>
        <w:t xml:space="preserve">Study 4004’s </w:t>
      </w:r>
      <w:r w:rsidR="00CB628A" w:rsidRPr="00BF1BFB">
        <w:rPr>
          <w:rStyle w:val="normaltextrun"/>
          <w:rFonts w:ascii="Calibri" w:hAnsi="Calibri" w:cs="Calibri"/>
          <w:iCs/>
        </w:rPr>
        <w:t xml:space="preserve">reliance </w:t>
      </w:r>
      <w:r w:rsidR="00277E4E" w:rsidRPr="00BF1BFB">
        <w:rPr>
          <w:rStyle w:val="normaltextrun"/>
          <w:rFonts w:ascii="Calibri" w:hAnsi="Calibri" w:cs="Calibri"/>
          <w:iCs/>
        </w:rPr>
        <w:t xml:space="preserve">on </w:t>
      </w:r>
      <w:r w:rsidRPr="00BF1BFB">
        <w:rPr>
          <w:rStyle w:val="normaltextrun"/>
          <w:rFonts w:ascii="Calibri" w:hAnsi="Calibri" w:cs="Calibri"/>
          <w:iCs/>
        </w:rPr>
        <w:t>overlapping</w:t>
      </w:r>
      <w:r w:rsidR="00F96B2F" w:rsidRPr="00BF1BFB">
        <w:rPr>
          <w:rStyle w:val="normaltextrun"/>
          <w:rFonts w:ascii="Calibri" w:hAnsi="Calibri" w:cs="Calibri"/>
          <w:iCs/>
        </w:rPr>
        <w:t xml:space="preserve"> </w:t>
      </w:r>
      <w:r w:rsidRPr="00BF1BFB">
        <w:rPr>
          <w:rStyle w:val="normaltextrun"/>
          <w:rFonts w:ascii="Calibri" w:hAnsi="Calibri" w:cs="Calibri"/>
          <w:iCs/>
        </w:rPr>
        <w:t>95%</w:t>
      </w:r>
      <w:r w:rsidR="00F96B2F" w:rsidRPr="00BF1BFB">
        <w:rPr>
          <w:rStyle w:val="normaltextrun"/>
          <w:rFonts w:ascii="Calibri" w:hAnsi="Calibri" w:cs="Calibri"/>
          <w:iCs/>
        </w:rPr>
        <w:t xml:space="preserve"> </w:t>
      </w:r>
      <w:r w:rsidRPr="00BF1BFB">
        <w:rPr>
          <w:rStyle w:val="normaltextrun"/>
          <w:rFonts w:ascii="Calibri" w:hAnsi="Calibri" w:cs="Calibri"/>
          <w:iCs/>
        </w:rPr>
        <w:t>confidence</w:t>
      </w:r>
      <w:r w:rsidR="00F96B2F" w:rsidRPr="00BF1BFB">
        <w:rPr>
          <w:rStyle w:val="normaltextrun"/>
          <w:rFonts w:ascii="Calibri" w:hAnsi="Calibri" w:cs="Calibri"/>
          <w:iCs/>
        </w:rPr>
        <w:t xml:space="preserve"> </w:t>
      </w:r>
      <w:r w:rsidRPr="002D5BA0">
        <w:rPr>
          <w:rStyle w:val="normaltextrun"/>
          <w:rFonts w:ascii="Calibri" w:hAnsi="Calibri" w:cs="Calibri"/>
          <w:iCs/>
        </w:rPr>
        <w:t>intervals</w:t>
      </w:r>
      <w:r w:rsidR="00F96B2F" w:rsidRPr="002D5BA0">
        <w:rPr>
          <w:rStyle w:val="normaltextrun"/>
          <w:rFonts w:ascii="Calibri" w:hAnsi="Calibri" w:cs="Calibri"/>
          <w:iCs/>
        </w:rPr>
        <w:t xml:space="preserve"> </w:t>
      </w:r>
      <w:r w:rsidR="002974AB" w:rsidRPr="002D5BA0">
        <w:rPr>
          <w:rStyle w:val="normaltextrun"/>
          <w:rFonts w:ascii="Calibri" w:hAnsi="Calibri" w:cs="Calibri"/>
          <w:iCs/>
        </w:rPr>
        <w:t>to</w:t>
      </w:r>
      <w:r w:rsidR="002974AB" w:rsidRPr="00BF1BFB">
        <w:rPr>
          <w:rStyle w:val="normaltextrun"/>
          <w:rFonts w:ascii="Calibri" w:hAnsi="Calibri" w:cs="Calibri"/>
          <w:iCs/>
        </w:rPr>
        <w:t xml:space="preserve"> determine non-inferiority </w:t>
      </w:r>
      <w:r w:rsidR="00AE6ACD" w:rsidRPr="00BF1BFB">
        <w:rPr>
          <w:rStyle w:val="normaltextrun"/>
          <w:rFonts w:ascii="Calibri" w:hAnsi="Calibri" w:cs="Calibri"/>
          <w:iCs/>
        </w:rPr>
        <w:t xml:space="preserve">may </w:t>
      </w:r>
      <w:r w:rsidR="002974AB" w:rsidRPr="00BF1BFB">
        <w:rPr>
          <w:rStyle w:val="normaltextrun"/>
          <w:rFonts w:ascii="Calibri" w:hAnsi="Calibri" w:cs="Calibri"/>
          <w:iCs/>
        </w:rPr>
        <w:t xml:space="preserve">not </w:t>
      </w:r>
      <w:r w:rsidR="00AE6ACD" w:rsidRPr="00BF1BFB">
        <w:rPr>
          <w:rStyle w:val="normaltextrun"/>
          <w:rFonts w:ascii="Calibri" w:hAnsi="Calibri" w:cs="Calibri"/>
          <w:iCs/>
        </w:rPr>
        <w:t xml:space="preserve">be </w:t>
      </w:r>
      <w:r w:rsidR="002974AB" w:rsidRPr="00BF1BFB">
        <w:rPr>
          <w:rStyle w:val="normaltextrun"/>
          <w:rFonts w:ascii="Calibri" w:hAnsi="Calibri" w:cs="Calibri"/>
          <w:iCs/>
        </w:rPr>
        <w:t>appropriate.</w:t>
      </w:r>
    </w:p>
    <w:p w14:paraId="0D57EC9E" w14:textId="44586C52" w:rsidR="00811E0E" w:rsidRPr="00BF1BFB" w:rsidRDefault="00811E0E" w:rsidP="00A97822">
      <w:pPr>
        <w:pStyle w:val="ListParagraph"/>
        <w:jc w:val="both"/>
        <w:rPr>
          <w:rStyle w:val="normaltextrun"/>
          <w:rFonts w:eastAsia="Calibri"/>
          <w:iCs/>
        </w:rPr>
      </w:pPr>
      <w:r w:rsidRPr="00E96E9F">
        <w:rPr>
          <w:rStyle w:val="normaltextrun"/>
          <w:rFonts w:ascii="Calibri" w:hAnsi="Calibri" w:cs="Calibri"/>
        </w:rPr>
        <w:t>Study</w:t>
      </w:r>
      <w:r w:rsidR="00F96B2F" w:rsidRPr="00E96E9F">
        <w:rPr>
          <w:rStyle w:val="normaltextrun"/>
          <w:rFonts w:ascii="Calibri" w:hAnsi="Calibri" w:cs="Calibri"/>
        </w:rPr>
        <w:t xml:space="preserve"> </w:t>
      </w:r>
      <w:r w:rsidRPr="00E96E9F">
        <w:rPr>
          <w:rStyle w:val="normaltextrun"/>
          <w:rFonts w:ascii="Calibri" w:hAnsi="Calibri" w:cs="Calibri"/>
        </w:rPr>
        <w:t>1002</w:t>
      </w:r>
      <w:r w:rsidR="00F96B2F" w:rsidRPr="00E96E9F">
        <w:rPr>
          <w:rStyle w:val="normaltextrun"/>
          <w:rFonts w:ascii="Calibri" w:hAnsi="Calibri" w:cs="Calibri"/>
        </w:rPr>
        <w:t xml:space="preserve"> </w:t>
      </w:r>
      <w:r w:rsidRPr="00E96E9F">
        <w:rPr>
          <w:rStyle w:val="normaltextrun"/>
          <w:rFonts w:ascii="Calibri" w:hAnsi="Calibri" w:cs="Calibri"/>
        </w:rPr>
        <w:t>provided</w:t>
      </w:r>
      <w:r w:rsidR="00F96B2F" w:rsidRPr="00E96E9F">
        <w:rPr>
          <w:rStyle w:val="normaltextrun"/>
          <w:rFonts w:ascii="Calibri" w:hAnsi="Calibri" w:cs="Calibri"/>
        </w:rPr>
        <w:t xml:space="preserve"> </w:t>
      </w:r>
      <w:r w:rsidRPr="00E96E9F">
        <w:rPr>
          <w:rStyle w:val="normaltextrun"/>
          <w:rFonts w:ascii="Calibri" w:hAnsi="Calibri" w:cs="Calibri"/>
        </w:rPr>
        <w:t>data</w:t>
      </w:r>
      <w:r w:rsidR="00F96B2F" w:rsidRPr="00E96E9F">
        <w:rPr>
          <w:rStyle w:val="normaltextrun"/>
          <w:rFonts w:ascii="Calibri" w:hAnsi="Calibri" w:cs="Calibri"/>
        </w:rPr>
        <w:t xml:space="preserve"> </w:t>
      </w:r>
      <w:r w:rsidRPr="00E96E9F">
        <w:rPr>
          <w:rStyle w:val="normaltextrun"/>
          <w:rFonts w:ascii="Calibri" w:hAnsi="Calibri" w:cs="Calibri"/>
        </w:rPr>
        <w:t>demonstrating</w:t>
      </w:r>
      <w:r w:rsidR="00F96B2F" w:rsidRPr="00E96E9F">
        <w:rPr>
          <w:rStyle w:val="normaltextrun"/>
          <w:rFonts w:ascii="Calibri" w:hAnsi="Calibri" w:cs="Calibri"/>
        </w:rPr>
        <w:t xml:space="preserve"> </w:t>
      </w:r>
      <w:r w:rsidRPr="00E96E9F">
        <w:rPr>
          <w:rStyle w:val="normaltextrun"/>
          <w:rFonts w:ascii="Calibri" w:hAnsi="Calibri" w:cs="Calibri"/>
        </w:rPr>
        <w:t>improvements</w:t>
      </w:r>
      <w:r w:rsidR="00F96B2F" w:rsidRPr="00E96E9F">
        <w:rPr>
          <w:rStyle w:val="normaltextrun"/>
          <w:rFonts w:ascii="Calibri" w:hAnsi="Calibri" w:cs="Calibri"/>
        </w:rPr>
        <w:t xml:space="preserve"> </w:t>
      </w:r>
      <w:r w:rsidRPr="00E96E9F">
        <w:rPr>
          <w:rStyle w:val="normaltextrun"/>
          <w:rFonts w:ascii="Calibri" w:hAnsi="Calibri" w:cs="Calibri"/>
        </w:rPr>
        <w:t>in</w:t>
      </w:r>
      <w:r w:rsidR="008966C7">
        <w:rPr>
          <w:rStyle w:val="normaltextrun"/>
          <w:rFonts w:ascii="Calibri" w:hAnsi="Calibri" w:cs="Calibri"/>
        </w:rPr>
        <w:t xml:space="preserve"> the</w:t>
      </w:r>
      <w:r w:rsidR="00F96B2F" w:rsidRPr="00E96E9F">
        <w:rPr>
          <w:rStyle w:val="normaltextrun"/>
          <w:rFonts w:ascii="Calibri" w:hAnsi="Calibri" w:cs="Calibri"/>
        </w:rPr>
        <w:t xml:space="preserve"> </w:t>
      </w:r>
      <w:r w:rsidRPr="00E96E9F">
        <w:rPr>
          <w:rStyle w:val="normaltextrun"/>
          <w:rFonts w:ascii="Calibri" w:hAnsi="Calibri" w:cs="Calibri"/>
        </w:rPr>
        <w:t>treatment</w:t>
      </w:r>
      <w:r w:rsidR="00F96B2F" w:rsidRPr="00E96E9F">
        <w:rPr>
          <w:rStyle w:val="normaltextrun"/>
          <w:rFonts w:ascii="Calibri" w:hAnsi="Calibri" w:cs="Calibri"/>
        </w:rPr>
        <w:t xml:space="preserve"> </w:t>
      </w:r>
      <w:r w:rsidRPr="00E96E9F">
        <w:rPr>
          <w:rStyle w:val="normaltextrun"/>
          <w:rFonts w:ascii="Calibri" w:hAnsi="Calibri" w:cs="Calibri"/>
        </w:rPr>
        <w:t>burden</w:t>
      </w:r>
      <w:r w:rsidR="00F96B2F" w:rsidRPr="00E96E9F">
        <w:rPr>
          <w:rStyle w:val="normaltextrun"/>
          <w:rFonts w:ascii="Calibri" w:hAnsi="Calibri" w:cs="Calibri"/>
        </w:rPr>
        <w:t xml:space="preserve"> </w:t>
      </w:r>
      <w:r w:rsidRPr="00E96E9F">
        <w:rPr>
          <w:rStyle w:val="normaltextrun"/>
          <w:rFonts w:ascii="Calibri" w:hAnsi="Calibri" w:cs="Calibri"/>
        </w:rPr>
        <w:t>and</w:t>
      </w:r>
      <w:r w:rsidR="00F96B2F" w:rsidRPr="00E96E9F">
        <w:rPr>
          <w:rStyle w:val="normaltextrun"/>
          <w:rFonts w:ascii="Calibri" w:hAnsi="Calibri" w:cs="Calibri"/>
        </w:rPr>
        <w:t xml:space="preserve"> </w:t>
      </w:r>
      <w:r w:rsidRPr="00E96E9F">
        <w:rPr>
          <w:rStyle w:val="normaltextrun"/>
          <w:rFonts w:ascii="Calibri" w:hAnsi="Calibri" w:cs="Calibri"/>
        </w:rPr>
        <w:t>treatment</w:t>
      </w:r>
      <w:r w:rsidR="00F96B2F" w:rsidRPr="00E96E9F">
        <w:rPr>
          <w:rStyle w:val="normaltextrun"/>
          <w:rFonts w:ascii="Calibri" w:hAnsi="Calibri" w:cs="Calibri"/>
        </w:rPr>
        <w:t xml:space="preserve"> </w:t>
      </w:r>
      <w:r w:rsidRPr="00E96E9F">
        <w:rPr>
          <w:rStyle w:val="normaltextrun"/>
          <w:rFonts w:ascii="Calibri" w:hAnsi="Calibri" w:cs="Calibri"/>
        </w:rPr>
        <w:t>experience</w:t>
      </w:r>
      <w:r w:rsidR="00F96B2F" w:rsidRPr="00E96E9F">
        <w:rPr>
          <w:rStyle w:val="normaltextrun"/>
          <w:rFonts w:ascii="Calibri" w:hAnsi="Calibri" w:cs="Calibri"/>
        </w:rPr>
        <w:t xml:space="preserve"> </w:t>
      </w:r>
      <w:r w:rsidRPr="00E96E9F">
        <w:rPr>
          <w:rStyle w:val="normaltextrun"/>
          <w:rFonts w:ascii="Calibri" w:hAnsi="Calibri" w:cs="Calibri"/>
        </w:rPr>
        <w:t>of</w:t>
      </w:r>
      <w:r w:rsidR="00F96B2F" w:rsidRPr="00E96E9F">
        <w:rPr>
          <w:rStyle w:val="normaltextrun"/>
          <w:rFonts w:ascii="Calibri" w:hAnsi="Calibri" w:cs="Calibri"/>
        </w:rPr>
        <w:t xml:space="preserve"> </w:t>
      </w:r>
      <w:proofErr w:type="spellStart"/>
      <w:r w:rsidRPr="00E96E9F">
        <w:rPr>
          <w:rStyle w:val="normaltextrun"/>
          <w:rFonts w:ascii="Calibri" w:hAnsi="Calibri" w:cs="Calibri"/>
        </w:rPr>
        <w:t>somatrogon</w:t>
      </w:r>
      <w:proofErr w:type="spellEnd"/>
      <w:r w:rsidR="00F96B2F" w:rsidRPr="00E96E9F">
        <w:rPr>
          <w:rStyle w:val="normaltextrun"/>
          <w:rFonts w:ascii="Calibri" w:hAnsi="Calibri" w:cs="Calibri"/>
        </w:rPr>
        <w:t xml:space="preserve"> </w:t>
      </w:r>
      <w:r w:rsidR="008624F9" w:rsidRPr="00E96E9F">
        <w:rPr>
          <w:rStyle w:val="normaltextrun"/>
          <w:rFonts w:ascii="Calibri" w:hAnsi="Calibri" w:cs="Calibri"/>
        </w:rPr>
        <w:t>versus</w:t>
      </w:r>
      <w:r w:rsidR="00F96B2F" w:rsidRPr="00E96E9F">
        <w:rPr>
          <w:rStyle w:val="normaltextrun"/>
          <w:rFonts w:ascii="Calibri" w:hAnsi="Calibri" w:cs="Calibri"/>
        </w:rPr>
        <w:t xml:space="preserve"> </w:t>
      </w:r>
      <w:r w:rsidRPr="00E96E9F">
        <w:rPr>
          <w:rStyle w:val="normaltextrun"/>
          <w:rFonts w:ascii="Calibri" w:hAnsi="Calibri" w:cs="Calibri"/>
        </w:rPr>
        <w:t>somatropin.</w:t>
      </w:r>
      <w:r w:rsidR="00F96B2F" w:rsidRPr="00E96E9F">
        <w:rPr>
          <w:rStyle w:val="normaltextrun"/>
          <w:rFonts w:ascii="Calibri" w:hAnsi="Calibri" w:cs="Calibri"/>
        </w:rPr>
        <w:t xml:space="preserve"> </w:t>
      </w:r>
      <w:r w:rsidRPr="00BF1BFB">
        <w:rPr>
          <w:rStyle w:val="normaltextrun"/>
          <w:rFonts w:ascii="Calibri" w:hAnsi="Calibri" w:cs="Calibri"/>
          <w:iCs/>
        </w:rPr>
        <w:t>These</w:t>
      </w:r>
      <w:r w:rsidR="00F96B2F" w:rsidRPr="00BF1BFB">
        <w:rPr>
          <w:rStyle w:val="normaltextrun"/>
          <w:rFonts w:ascii="Calibri" w:hAnsi="Calibri" w:cs="Calibri"/>
          <w:iCs/>
        </w:rPr>
        <w:t xml:space="preserve"> </w:t>
      </w:r>
      <w:r w:rsidRPr="00BF1BFB">
        <w:rPr>
          <w:rStyle w:val="normaltextrun"/>
          <w:rFonts w:ascii="Calibri" w:hAnsi="Calibri" w:cs="Calibri"/>
          <w:iCs/>
        </w:rPr>
        <w:t>data</w:t>
      </w:r>
      <w:r w:rsidR="00F96B2F" w:rsidRPr="00BF1BFB">
        <w:rPr>
          <w:rStyle w:val="normaltextrun"/>
          <w:rFonts w:ascii="Calibri" w:hAnsi="Calibri" w:cs="Calibri"/>
          <w:iCs/>
        </w:rPr>
        <w:t xml:space="preserve"> </w:t>
      </w:r>
      <w:r w:rsidRPr="00BF1BFB">
        <w:rPr>
          <w:rStyle w:val="normaltextrun"/>
          <w:rFonts w:ascii="Calibri" w:hAnsi="Calibri" w:cs="Calibri"/>
          <w:iCs/>
        </w:rPr>
        <w:t>are</w:t>
      </w:r>
      <w:r w:rsidR="00F96B2F" w:rsidRPr="00BF1BFB">
        <w:rPr>
          <w:rStyle w:val="normaltextrun"/>
          <w:rFonts w:ascii="Calibri" w:hAnsi="Calibri" w:cs="Calibri"/>
          <w:iCs/>
        </w:rPr>
        <w:t xml:space="preserve"> </w:t>
      </w:r>
      <w:r w:rsidR="00251B34" w:rsidRPr="00BF1BFB">
        <w:rPr>
          <w:rStyle w:val="normaltextrun"/>
          <w:rFonts w:ascii="Calibri" w:hAnsi="Calibri" w:cs="Calibri"/>
          <w:iCs/>
        </w:rPr>
        <w:t xml:space="preserve">informative </w:t>
      </w:r>
      <w:r w:rsidRPr="00BF1BFB">
        <w:rPr>
          <w:rStyle w:val="normaltextrun"/>
          <w:rFonts w:ascii="Calibri" w:hAnsi="Calibri" w:cs="Calibri"/>
          <w:iCs/>
        </w:rPr>
        <w:t>but</w:t>
      </w:r>
      <w:r w:rsidR="00F96B2F" w:rsidRPr="00BF1BFB">
        <w:rPr>
          <w:rStyle w:val="normaltextrun"/>
          <w:rFonts w:ascii="Calibri" w:hAnsi="Calibri" w:cs="Calibri"/>
          <w:iCs/>
        </w:rPr>
        <w:t xml:space="preserve"> </w:t>
      </w:r>
      <w:r w:rsidRPr="00BF1BFB">
        <w:rPr>
          <w:rStyle w:val="normaltextrun"/>
          <w:rFonts w:ascii="Calibri" w:hAnsi="Calibri" w:cs="Calibri"/>
          <w:iCs/>
        </w:rPr>
        <w:t>need</w:t>
      </w:r>
      <w:r w:rsidR="00F96B2F" w:rsidRPr="00BF1BFB">
        <w:rPr>
          <w:rStyle w:val="normaltextrun"/>
          <w:rFonts w:ascii="Calibri" w:hAnsi="Calibri" w:cs="Calibri"/>
          <w:iCs/>
        </w:rPr>
        <w:t xml:space="preserve"> </w:t>
      </w:r>
      <w:r w:rsidRPr="00BF1BFB">
        <w:rPr>
          <w:rStyle w:val="normaltextrun"/>
          <w:rFonts w:ascii="Calibri" w:hAnsi="Calibri" w:cs="Calibri"/>
          <w:iCs/>
        </w:rPr>
        <w:t>to</w:t>
      </w:r>
      <w:r w:rsidR="00F96B2F" w:rsidRPr="00BF1BFB">
        <w:rPr>
          <w:rStyle w:val="normaltextrun"/>
          <w:rFonts w:ascii="Calibri" w:hAnsi="Calibri" w:cs="Calibri"/>
          <w:iCs/>
        </w:rPr>
        <w:t xml:space="preserve"> </w:t>
      </w:r>
      <w:r w:rsidRPr="00BF1BFB">
        <w:rPr>
          <w:rStyle w:val="normaltextrun"/>
          <w:rFonts w:ascii="Calibri" w:hAnsi="Calibri" w:cs="Calibri"/>
          <w:iCs/>
        </w:rPr>
        <w:t>be</w:t>
      </w:r>
      <w:r w:rsidR="006E75F1" w:rsidRPr="00BF1BFB">
        <w:rPr>
          <w:rStyle w:val="normaltextrun"/>
          <w:rFonts w:ascii="Calibri" w:hAnsi="Calibri" w:cs="Calibri"/>
          <w:iCs/>
        </w:rPr>
        <w:t xml:space="preserve"> interpreted with caution</w:t>
      </w:r>
      <w:r w:rsidR="00F96B2F" w:rsidRPr="00BF1BFB">
        <w:rPr>
          <w:rStyle w:val="normaltextrun"/>
          <w:rFonts w:ascii="Calibri" w:hAnsi="Calibri" w:cs="Calibri"/>
          <w:iCs/>
        </w:rPr>
        <w:t xml:space="preserve"> </w:t>
      </w:r>
      <w:r w:rsidRPr="00BF1BFB">
        <w:rPr>
          <w:rStyle w:val="normaltextrun"/>
          <w:rFonts w:ascii="Calibri" w:hAnsi="Calibri" w:cs="Calibri"/>
          <w:iCs/>
        </w:rPr>
        <w:t>as</w:t>
      </w:r>
      <w:r w:rsidR="00F96B2F" w:rsidRPr="00BF1BFB">
        <w:rPr>
          <w:rStyle w:val="normaltextrun"/>
          <w:rFonts w:ascii="Calibri" w:hAnsi="Calibri" w:cs="Calibri"/>
          <w:iCs/>
        </w:rPr>
        <w:t xml:space="preserve"> </w:t>
      </w:r>
      <w:r w:rsidR="00E37612">
        <w:rPr>
          <w:bCs/>
          <w:iCs/>
          <w:lang w:eastAsia="en-US"/>
        </w:rPr>
        <w:t xml:space="preserve">the </w:t>
      </w:r>
      <w:r w:rsidR="008950A4" w:rsidRPr="004C584D">
        <w:rPr>
          <w:rStyle w:val="normaltextrun"/>
          <w:rFonts w:ascii="Calibri" w:hAnsi="Calibri" w:cs="Calibri"/>
          <w:iCs/>
        </w:rPr>
        <w:t>PGIS-IDA</w:t>
      </w:r>
      <w:r w:rsidR="008950A4" w:rsidRPr="00BF1BFB" w:rsidDel="008950A4">
        <w:rPr>
          <w:rStyle w:val="normaltextrun"/>
          <w:rFonts w:ascii="Calibri" w:hAnsi="Calibri" w:cs="Calibri"/>
          <w:iCs/>
        </w:rPr>
        <w:t xml:space="preserve"> </w:t>
      </w:r>
      <w:r w:rsidR="008950A4" w:rsidRPr="004C584D">
        <w:rPr>
          <w:rStyle w:val="normaltextrun"/>
          <w:rFonts w:ascii="Calibri" w:hAnsi="Calibri" w:cs="Calibri"/>
          <w:iCs/>
        </w:rPr>
        <w:t xml:space="preserve">is </w:t>
      </w:r>
      <w:r w:rsidRPr="00BF1BFB">
        <w:rPr>
          <w:rStyle w:val="normaltextrun"/>
          <w:rFonts w:ascii="Calibri" w:hAnsi="Calibri" w:cs="Calibri"/>
          <w:iCs/>
        </w:rPr>
        <w:t>not</w:t>
      </w:r>
      <w:r w:rsidR="00F96B2F" w:rsidRPr="00BF1BFB">
        <w:rPr>
          <w:rStyle w:val="normaltextrun"/>
          <w:rFonts w:ascii="Calibri" w:hAnsi="Calibri" w:cs="Calibri"/>
          <w:iCs/>
        </w:rPr>
        <w:t xml:space="preserve"> </w:t>
      </w:r>
      <w:r w:rsidRPr="00BF1BFB">
        <w:rPr>
          <w:rStyle w:val="normaltextrun"/>
          <w:rFonts w:ascii="Calibri" w:hAnsi="Calibri" w:cs="Calibri"/>
          <w:iCs/>
        </w:rPr>
        <w:t>validated</w:t>
      </w:r>
      <w:r w:rsidR="00F96B2F" w:rsidRPr="00BF1BFB">
        <w:rPr>
          <w:rStyle w:val="normaltextrun"/>
          <w:rFonts w:ascii="Calibri" w:hAnsi="Calibri" w:cs="Calibri"/>
          <w:iCs/>
        </w:rPr>
        <w:t xml:space="preserve"> </w:t>
      </w:r>
      <w:r w:rsidRPr="00BF1BFB">
        <w:rPr>
          <w:rStyle w:val="normaltextrun"/>
          <w:rFonts w:ascii="Calibri" w:hAnsi="Calibri" w:cs="Calibri"/>
          <w:iCs/>
        </w:rPr>
        <w:t>for</w:t>
      </w:r>
      <w:r w:rsidR="00F96B2F" w:rsidRPr="00BF1BFB">
        <w:rPr>
          <w:rStyle w:val="normaltextrun"/>
          <w:rFonts w:ascii="Calibri" w:hAnsi="Calibri" w:cs="Calibri"/>
          <w:iCs/>
        </w:rPr>
        <w:t xml:space="preserve"> </w:t>
      </w:r>
      <w:r w:rsidRPr="00BF1BFB">
        <w:rPr>
          <w:rStyle w:val="normaltextrun"/>
          <w:rFonts w:ascii="Calibri" w:hAnsi="Calibri" w:cs="Calibri"/>
          <w:iCs/>
        </w:rPr>
        <w:t>children</w:t>
      </w:r>
      <w:r w:rsidR="00F96B2F" w:rsidRPr="00BF1BFB">
        <w:rPr>
          <w:rStyle w:val="normaltextrun"/>
          <w:rFonts w:ascii="Calibri" w:hAnsi="Calibri" w:cs="Calibri"/>
          <w:iCs/>
        </w:rPr>
        <w:t xml:space="preserve"> </w:t>
      </w:r>
      <w:r w:rsidRPr="00BF1BFB">
        <w:rPr>
          <w:rStyle w:val="normaltextrun"/>
          <w:rFonts w:ascii="Calibri" w:hAnsi="Calibri" w:cs="Calibri"/>
          <w:iCs/>
        </w:rPr>
        <w:t>with</w:t>
      </w:r>
      <w:r w:rsidR="00F96B2F" w:rsidRPr="00BF1BFB">
        <w:rPr>
          <w:rStyle w:val="normaltextrun"/>
          <w:rFonts w:ascii="Calibri" w:hAnsi="Calibri" w:cs="Calibri"/>
          <w:iCs/>
        </w:rPr>
        <w:t xml:space="preserve"> </w:t>
      </w:r>
      <w:r w:rsidRPr="00BF1BFB">
        <w:rPr>
          <w:rStyle w:val="normaltextrun"/>
          <w:rFonts w:ascii="Calibri" w:hAnsi="Calibri" w:cs="Calibri"/>
          <w:iCs/>
        </w:rPr>
        <w:t>GHD.</w:t>
      </w:r>
    </w:p>
    <w:p w14:paraId="3A3A3923" w14:textId="5B29160A" w:rsidR="00E5129A" w:rsidRPr="00E96E9F" w:rsidRDefault="00811E0E" w:rsidP="00A97822">
      <w:pPr>
        <w:pStyle w:val="ListParagraph"/>
        <w:jc w:val="both"/>
        <w:rPr>
          <w:rStyle w:val="normaltextrun"/>
          <w:rFonts w:ascii="Calibri" w:hAnsi="Calibri" w:cs="Calibri"/>
        </w:rPr>
      </w:pPr>
      <w:r w:rsidRPr="00E96E9F">
        <w:rPr>
          <w:rStyle w:val="normaltextrun"/>
          <w:rFonts w:ascii="Calibri" w:hAnsi="Calibri" w:cs="Calibri"/>
        </w:rPr>
        <w:t>Two</w:t>
      </w:r>
      <w:r w:rsidR="00F96B2F" w:rsidRPr="00E96E9F">
        <w:rPr>
          <w:rStyle w:val="normaltextrun"/>
          <w:rFonts w:ascii="Calibri" w:hAnsi="Calibri" w:cs="Calibri"/>
        </w:rPr>
        <w:t xml:space="preserve"> </w:t>
      </w:r>
      <w:r w:rsidRPr="00E96E9F">
        <w:rPr>
          <w:rStyle w:val="normaltextrun"/>
          <w:rFonts w:ascii="Calibri" w:hAnsi="Calibri" w:cs="Calibri"/>
        </w:rPr>
        <w:t>OLE</w:t>
      </w:r>
      <w:r w:rsidR="00F96B2F" w:rsidRPr="00E96E9F">
        <w:rPr>
          <w:rStyle w:val="normaltextrun"/>
          <w:rFonts w:ascii="Calibri" w:hAnsi="Calibri" w:cs="Calibri"/>
        </w:rPr>
        <w:t xml:space="preserve"> </w:t>
      </w:r>
      <w:r w:rsidRPr="00E96E9F">
        <w:rPr>
          <w:rStyle w:val="normaltextrun"/>
          <w:rFonts w:ascii="Calibri" w:hAnsi="Calibri" w:cs="Calibri"/>
        </w:rPr>
        <w:t>studies</w:t>
      </w:r>
      <w:r w:rsidR="00F96B2F" w:rsidRPr="00E96E9F">
        <w:rPr>
          <w:rStyle w:val="normaltextrun"/>
          <w:rFonts w:ascii="Calibri" w:hAnsi="Calibri" w:cs="Calibri"/>
        </w:rPr>
        <w:t xml:space="preserve"> </w:t>
      </w:r>
      <w:r w:rsidRPr="00E96E9F">
        <w:rPr>
          <w:rStyle w:val="normaltextrun"/>
          <w:rFonts w:ascii="Calibri" w:hAnsi="Calibri" w:cs="Calibri"/>
        </w:rPr>
        <w:t>provide</w:t>
      </w:r>
      <w:r w:rsidR="00254185">
        <w:rPr>
          <w:rStyle w:val="normaltextrun"/>
          <w:rFonts w:ascii="Calibri" w:hAnsi="Calibri" w:cs="Calibri"/>
        </w:rPr>
        <w:t>d</w:t>
      </w:r>
      <w:r w:rsidR="00F96B2F" w:rsidRPr="00E96E9F">
        <w:rPr>
          <w:rStyle w:val="normaltextrun"/>
          <w:rFonts w:ascii="Calibri" w:hAnsi="Calibri" w:cs="Calibri"/>
        </w:rPr>
        <w:t xml:space="preserve"> </w:t>
      </w:r>
      <w:r w:rsidRPr="00E96E9F">
        <w:rPr>
          <w:rStyle w:val="normaltextrun"/>
          <w:rFonts w:ascii="Calibri" w:hAnsi="Calibri" w:cs="Calibri"/>
        </w:rPr>
        <w:t>further</w:t>
      </w:r>
      <w:r w:rsidR="00F96B2F" w:rsidRPr="00E96E9F">
        <w:rPr>
          <w:rStyle w:val="normaltextrun"/>
          <w:rFonts w:ascii="Calibri" w:hAnsi="Calibri" w:cs="Calibri"/>
        </w:rPr>
        <w:t xml:space="preserve"> </w:t>
      </w:r>
      <w:r w:rsidRPr="00E96E9F">
        <w:rPr>
          <w:rStyle w:val="normaltextrun"/>
          <w:rFonts w:ascii="Calibri" w:hAnsi="Calibri" w:cs="Calibri"/>
        </w:rPr>
        <w:t>evidence</w:t>
      </w:r>
      <w:r w:rsidR="00F96B2F" w:rsidRPr="00E96E9F">
        <w:rPr>
          <w:rStyle w:val="normaltextrun"/>
          <w:rFonts w:ascii="Calibri" w:hAnsi="Calibri" w:cs="Calibri"/>
        </w:rPr>
        <w:t xml:space="preserve"> </w:t>
      </w:r>
      <w:r w:rsidRPr="00E96E9F">
        <w:rPr>
          <w:rStyle w:val="normaltextrun"/>
          <w:rFonts w:ascii="Calibri" w:hAnsi="Calibri" w:cs="Calibri"/>
        </w:rPr>
        <w:t>for</w:t>
      </w:r>
      <w:r w:rsidR="00F96B2F" w:rsidRPr="00E96E9F">
        <w:rPr>
          <w:rStyle w:val="normaltextrun"/>
          <w:rFonts w:ascii="Calibri" w:hAnsi="Calibri" w:cs="Calibri"/>
        </w:rPr>
        <w:t xml:space="preserve"> </w:t>
      </w:r>
      <w:r w:rsidRPr="00E96E9F">
        <w:rPr>
          <w:rStyle w:val="normaltextrun"/>
          <w:rFonts w:ascii="Calibri" w:hAnsi="Calibri" w:cs="Calibri"/>
        </w:rPr>
        <w:t>longer-term</w:t>
      </w:r>
      <w:r w:rsidR="00F96B2F" w:rsidRPr="00E96E9F">
        <w:rPr>
          <w:rStyle w:val="normaltextrun"/>
          <w:rFonts w:ascii="Calibri" w:hAnsi="Calibri" w:cs="Calibri"/>
        </w:rPr>
        <w:t xml:space="preserve"> </w:t>
      </w:r>
      <w:r w:rsidRPr="00E96E9F">
        <w:rPr>
          <w:rStyle w:val="normaltextrun"/>
          <w:rFonts w:ascii="Calibri" w:hAnsi="Calibri" w:cs="Calibri"/>
        </w:rPr>
        <w:t>safety</w:t>
      </w:r>
      <w:r w:rsidR="00F96B2F" w:rsidRPr="00E96E9F">
        <w:rPr>
          <w:rStyle w:val="normaltextrun"/>
          <w:rFonts w:ascii="Calibri" w:hAnsi="Calibri" w:cs="Calibri"/>
        </w:rPr>
        <w:t xml:space="preserve"> </w:t>
      </w:r>
      <w:r w:rsidRPr="00E96E9F">
        <w:rPr>
          <w:rStyle w:val="normaltextrun"/>
          <w:rFonts w:ascii="Calibri" w:hAnsi="Calibri" w:cs="Calibri"/>
        </w:rPr>
        <w:t>and</w:t>
      </w:r>
      <w:r w:rsidR="00F96B2F" w:rsidRPr="00E96E9F">
        <w:rPr>
          <w:rStyle w:val="normaltextrun"/>
          <w:rFonts w:ascii="Calibri" w:hAnsi="Calibri" w:cs="Calibri"/>
        </w:rPr>
        <w:t xml:space="preserve"> </w:t>
      </w:r>
      <w:r w:rsidRPr="00E96E9F">
        <w:rPr>
          <w:rStyle w:val="normaltextrun"/>
          <w:rFonts w:ascii="Calibri" w:hAnsi="Calibri" w:cs="Calibri"/>
        </w:rPr>
        <w:t>efficacy</w:t>
      </w:r>
      <w:r w:rsidR="00254185">
        <w:rPr>
          <w:rStyle w:val="normaltextrun"/>
          <w:rFonts w:ascii="Calibri" w:hAnsi="Calibri" w:cs="Calibri"/>
        </w:rPr>
        <w:t xml:space="preserve">; the Study </w:t>
      </w:r>
      <w:r w:rsidR="00254185" w:rsidRPr="00E96E9F">
        <w:rPr>
          <w:rStyle w:val="normaltextrun"/>
          <w:rFonts w:ascii="Calibri" w:hAnsi="Calibri" w:cs="Calibri"/>
        </w:rPr>
        <w:t>4006 OLE</w:t>
      </w:r>
      <w:r w:rsidR="00254185">
        <w:rPr>
          <w:rStyle w:val="normaltextrun"/>
          <w:rFonts w:ascii="Calibri" w:hAnsi="Calibri" w:cs="Calibri"/>
        </w:rPr>
        <w:t xml:space="preserve"> and the Study</w:t>
      </w:r>
      <w:r w:rsidR="00254185" w:rsidRPr="00E96E9F">
        <w:rPr>
          <w:rStyle w:val="normaltextrun"/>
          <w:rFonts w:ascii="Calibri" w:hAnsi="Calibri" w:cs="Calibri"/>
        </w:rPr>
        <w:t xml:space="preserve"> 4004 OLE</w:t>
      </w:r>
      <w:r w:rsidRPr="00E96E9F">
        <w:rPr>
          <w:rStyle w:val="normaltextrun"/>
          <w:rFonts w:ascii="Calibri" w:hAnsi="Calibri" w:cs="Calibri"/>
        </w:rPr>
        <w:t>.</w:t>
      </w:r>
      <w:r w:rsidR="00F96B2F" w:rsidRPr="00E96E9F">
        <w:rPr>
          <w:rStyle w:val="normaltextrun"/>
          <w:rFonts w:ascii="Calibri" w:hAnsi="Calibri" w:cs="Calibri"/>
        </w:rPr>
        <w:t xml:space="preserve"> </w:t>
      </w:r>
      <w:r w:rsidR="00254185">
        <w:rPr>
          <w:rStyle w:val="normaltextrun"/>
          <w:rFonts w:ascii="Calibri" w:hAnsi="Calibri" w:cs="Calibri"/>
        </w:rPr>
        <w:t xml:space="preserve">The </w:t>
      </w:r>
      <w:r w:rsidRPr="00BF1BFB">
        <w:rPr>
          <w:rStyle w:val="normaltextrun"/>
          <w:rFonts w:ascii="Calibri" w:hAnsi="Calibri" w:cs="Calibri"/>
          <w:iCs/>
        </w:rPr>
        <w:t>Study</w:t>
      </w:r>
      <w:r w:rsidR="00F96B2F" w:rsidRPr="00BF1BFB">
        <w:rPr>
          <w:rStyle w:val="normaltextrun"/>
          <w:rFonts w:ascii="Calibri" w:hAnsi="Calibri" w:cs="Calibri"/>
          <w:iCs/>
        </w:rPr>
        <w:t xml:space="preserve"> </w:t>
      </w:r>
      <w:r w:rsidRPr="00BF1BFB">
        <w:rPr>
          <w:rStyle w:val="normaltextrun"/>
          <w:rFonts w:ascii="Calibri" w:hAnsi="Calibri" w:cs="Calibri"/>
          <w:iCs/>
        </w:rPr>
        <w:t>4006</w:t>
      </w:r>
      <w:r w:rsidR="00F96B2F" w:rsidRPr="00BF1BFB">
        <w:rPr>
          <w:rStyle w:val="normaltextrun"/>
          <w:rFonts w:ascii="Calibri" w:hAnsi="Calibri" w:cs="Calibri"/>
          <w:iCs/>
        </w:rPr>
        <w:t xml:space="preserve"> </w:t>
      </w:r>
      <w:r w:rsidRPr="00BF1BFB">
        <w:rPr>
          <w:rStyle w:val="normaltextrun"/>
          <w:rFonts w:ascii="Calibri" w:hAnsi="Calibri" w:cs="Calibri"/>
          <w:iCs/>
        </w:rPr>
        <w:t>OLE</w:t>
      </w:r>
      <w:r w:rsidR="00F96B2F" w:rsidRPr="00BF1BFB">
        <w:rPr>
          <w:rStyle w:val="normaltextrun"/>
          <w:rFonts w:ascii="Calibri" w:hAnsi="Calibri" w:cs="Calibri"/>
          <w:iCs/>
        </w:rPr>
        <w:t xml:space="preserve"> </w:t>
      </w:r>
      <w:r w:rsidRPr="00BF1BFB">
        <w:rPr>
          <w:rStyle w:val="normaltextrun"/>
          <w:rFonts w:ascii="Calibri" w:hAnsi="Calibri" w:cs="Calibri"/>
          <w:iCs/>
        </w:rPr>
        <w:t>likely</w:t>
      </w:r>
      <w:r w:rsidR="00F96B2F" w:rsidRPr="00BF1BFB">
        <w:rPr>
          <w:rStyle w:val="normaltextrun"/>
          <w:rFonts w:ascii="Calibri" w:hAnsi="Calibri" w:cs="Calibri"/>
          <w:iCs/>
        </w:rPr>
        <w:t xml:space="preserve"> </w:t>
      </w:r>
      <w:r w:rsidRPr="00BF1BFB">
        <w:rPr>
          <w:rStyle w:val="normaltextrun"/>
          <w:rFonts w:ascii="Calibri" w:hAnsi="Calibri" w:cs="Calibri"/>
          <w:iCs/>
        </w:rPr>
        <w:t>provides</w:t>
      </w:r>
      <w:r w:rsidR="00F96B2F" w:rsidRPr="00BF1BFB">
        <w:rPr>
          <w:rStyle w:val="normaltextrun"/>
          <w:rFonts w:ascii="Calibri" w:hAnsi="Calibri" w:cs="Calibri"/>
          <w:iCs/>
        </w:rPr>
        <w:t xml:space="preserve"> </w:t>
      </w:r>
      <w:r w:rsidRPr="00BF1BFB">
        <w:rPr>
          <w:rStyle w:val="normaltextrun"/>
          <w:rFonts w:ascii="Calibri" w:hAnsi="Calibri" w:cs="Calibri"/>
          <w:iCs/>
        </w:rPr>
        <w:t>1</w:t>
      </w:r>
      <w:r w:rsidR="00F96B2F" w:rsidRPr="00BF1BFB">
        <w:rPr>
          <w:rStyle w:val="normaltextrun"/>
          <w:rFonts w:ascii="Calibri" w:hAnsi="Calibri" w:cs="Calibri"/>
          <w:iCs/>
        </w:rPr>
        <w:t xml:space="preserve"> </w:t>
      </w:r>
      <w:r w:rsidRPr="00BF1BFB">
        <w:rPr>
          <w:rStyle w:val="normaltextrun"/>
          <w:rFonts w:ascii="Calibri" w:hAnsi="Calibri" w:cs="Calibri"/>
          <w:iCs/>
        </w:rPr>
        <w:t>additional</w:t>
      </w:r>
      <w:r w:rsidR="00F96B2F" w:rsidRPr="00BF1BFB">
        <w:rPr>
          <w:rStyle w:val="normaltextrun"/>
          <w:rFonts w:ascii="Calibri" w:hAnsi="Calibri" w:cs="Calibri"/>
          <w:iCs/>
        </w:rPr>
        <w:t xml:space="preserve"> </w:t>
      </w:r>
      <w:r w:rsidRPr="00BF1BFB">
        <w:rPr>
          <w:rStyle w:val="normaltextrun"/>
          <w:rFonts w:ascii="Calibri" w:hAnsi="Calibri" w:cs="Calibri"/>
          <w:iCs/>
        </w:rPr>
        <w:t>year</w:t>
      </w:r>
      <w:r w:rsidR="00F96B2F" w:rsidRPr="00BF1BFB">
        <w:rPr>
          <w:rStyle w:val="normaltextrun"/>
          <w:rFonts w:ascii="Calibri" w:hAnsi="Calibri" w:cs="Calibri"/>
          <w:iCs/>
        </w:rPr>
        <w:t xml:space="preserve"> </w:t>
      </w:r>
      <w:r w:rsidRPr="00BF1BFB">
        <w:rPr>
          <w:rStyle w:val="normaltextrun"/>
          <w:rFonts w:ascii="Calibri" w:hAnsi="Calibri" w:cs="Calibri"/>
          <w:iCs/>
        </w:rPr>
        <w:t>of</w:t>
      </w:r>
      <w:r w:rsidR="00F96B2F" w:rsidRPr="00BF1BFB">
        <w:rPr>
          <w:rStyle w:val="normaltextrun"/>
          <w:rFonts w:ascii="Calibri" w:hAnsi="Calibri" w:cs="Calibri"/>
          <w:iCs/>
        </w:rPr>
        <w:t xml:space="preserve"> </w:t>
      </w:r>
      <w:r w:rsidRPr="00BF1BFB">
        <w:rPr>
          <w:rStyle w:val="normaltextrun"/>
          <w:rFonts w:ascii="Calibri" w:hAnsi="Calibri" w:cs="Calibri"/>
          <w:iCs/>
        </w:rPr>
        <w:t>data</w:t>
      </w:r>
      <w:r w:rsidR="00F96B2F" w:rsidRPr="00BF1BFB">
        <w:rPr>
          <w:rStyle w:val="normaltextrun"/>
          <w:rFonts w:ascii="Calibri" w:hAnsi="Calibri" w:cs="Calibri"/>
          <w:iCs/>
        </w:rPr>
        <w:t xml:space="preserve"> </w:t>
      </w:r>
      <w:r w:rsidRPr="00BF1BFB">
        <w:rPr>
          <w:rStyle w:val="normaltextrun"/>
          <w:rFonts w:ascii="Calibri" w:hAnsi="Calibri" w:cs="Calibri"/>
          <w:iCs/>
        </w:rPr>
        <w:t>and</w:t>
      </w:r>
      <w:r w:rsidR="00F96B2F" w:rsidRPr="00BF1BFB">
        <w:rPr>
          <w:rStyle w:val="normaltextrun"/>
          <w:rFonts w:ascii="Calibri" w:hAnsi="Calibri" w:cs="Calibri"/>
          <w:iCs/>
        </w:rPr>
        <w:t xml:space="preserve"> </w:t>
      </w:r>
      <w:r w:rsidRPr="00BF1BFB">
        <w:rPr>
          <w:rStyle w:val="normaltextrun"/>
          <w:rFonts w:ascii="Calibri" w:hAnsi="Calibri" w:cs="Calibri"/>
          <w:iCs/>
        </w:rPr>
        <w:t>support</w:t>
      </w:r>
      <w:r w:rsidR="00F96B2F" w:rsidRPr="00BF1BFB">
        <w:rPr>
          <w:rStyle w:val="normaltextrun"/>
          <w:rFonts w:ascii="Calibri" w:hAnsi="Calibri" w:cs="Calibri"/>
          <w:iCs/>
        </w:rPr>
        <w:t xml:space="preserve"> </w:t>
      </w:r>
      <w:r w:rsidRPr="00BF1BFB">
        <w:rPr>
          <w:rStyle w:val="normaltextrun"/>
          <w:rFonts w:ascii="Calibri" w:hAnsi="Calibri" w:cs="Calibri"/>
          <w:iCs/>
        </w:rPr>
        <w:t>for</w:t>
      </w:r>
      <w:r w:rsidR="00F96B2F" w:rsidRPr="00BF1BFB">
        <w:rPr>
          <w:rStyle w:val="normaltextrun"/>
          <w:rFonts w:ascii="Calibri" w:hAnsi="Calibri" w:cs="Calibri"/>
          <w:iCs/>
        </w:rPr>
        <w:t xml:space="preserve"> </w:t>
      </w:r>
      <w:r w:rsidRPr="00BF1BFB">
        <w:rPr>
          <w:rStyle w:val="normaltextrun"/>
          <w:rFonts w:ascii="Calibri" w:hAnsi="Calibri" w:cs="Calibri"/>
          <w:iCs/>
        </w:rPr>
        <w:t>a</w:t>
      </w:r>
      <w:r w:rsidR="00F96B2F" w:rsidRPr="00BF1BFB">
        <w:rPr>
          <w:rStyle w:val="normaltextrun"/>
          <w:rFonts w:ascii="Calibri" w:hAnsi="Calibri" w:cs="Calibri"/>
          <w:iCs/>
        </w:rPr>
        <w:t xml:space="preserve"> </w:t>
      </w:r>
      <w:r w:rsidRPr="00BF1BFB">
        <w:rPr>
          <w:rStyle w:val="normaltextrun"/>
          <w:rFonts w:ascii="Calibri" w:hAnsi="Calibri" w:cs="Calibri"/>
          <w:iCs/>
        </w:rPr>
        <w:t>non-inferior</w:t>
      </w:r>
      <w:r w:rsidR="00F96B2F" w:rsidRPr="00BF1BFB">
        <w:rPr>
          <w:rStyle w:val="normaltextrun"/>
          <w:rFonts w:ascii="Calibri" w:hAnsi="Calibri" w:cs="Calibri"/>
          <w:iCs/>
        </w:rPr>
        <w:t xml:space="preserve"> </w:t>
      </w:r>
      <w:r w:rsidRPr="00BF1BFB">
        <w:rPr>
          <w:rStyle w:val="normaltextrun"/>
          <w:rFonts w:ascii="Calibri" w:hAnsi="Calibri" w:cs="Calibri"/>
          <w:iCs/>
        </w:rPr>
        <w:t>clinical</w:t>
      </w:r>
      <w:r w:rsidR="00F96B2F" w:rsidRPr="00BF1BFB">
        <w:rPr>
          <w:rStyle w:val="normaltextrun"/>
          <w:rFonts w:ascii="Calibri" w:hAnsi="Calibri" w:cs="Calibri"/>
          <w:iCs/>
        </w:rPr>
        <w:t xml:space="preserve"> </w:t>
      </w:r>
      <w:r w:rsidRPr="00BF1BFB">
        <w:rPr>
          <w:rStyle w:val="normaltextrun"/>
          <w:rFonts w:ascii="Calibri" w:hAnsi="Calibri" w:cs="Calibri"/>
          <w:iCs/>
        </w:rPr>
        <w:t>effectiveness</w:t>
      </w:r>
      <w:r w:rsidR="00F96B2F" w:rsidRPr="00BF1BFB">
        <w:rPr>
          <w:rStyle w:val="normaltextrun"/>
          <w:rFonts w:ascii="Calibri" w:hAnsi="Calibri" w:cs="Calibri"/>
          <w:iCs/>
        </w:rPr>
        <w:t xml:space="preserve"> </w:t>
      </w:r>
      <w:r w:rsidRPr="00BF1BFB">
        <w:rPr>
          <w:rStyle w:val="normaltextrun"/>
          <w:rFonts w:ascii="Calibri" w:hAnsi="Calibri" w:cs="Calibri"/>
          <w:iCs/>
        </w:rPr>
        <w:t>claim.</w:t>
      </w:r>
      <w:r w:rsidR="00F96B2F" w:rsidRPr="00E96E9F">
        <w:rPr>
          <w:rStyle w:val="normaltextrun"/>
          <w:rFonts w:ascii="Calibri" w:hAnsi="Calibri" w:cs="Calibri"/>
        </w:rPr>
        <w:t xml:space="preserve"> </w:t>
      </w:r>
      <w:r w:rsidR="00254185">
        <w:rPr>
          <w:rStyle w:val="normaltextrun"/>
          <w:rFonts w:ascii="Calibri" w:hAnsi="Calibri" w:cs="Calibri"/>
        </w:rPr>
        <w:t xml:space="preserve">The </w:t>
      </w:r>
      <w:r w:rsidRPr="00BF1BFB">
        <w:rPr>
          <w:rStyle w:val="normaltextrun"/>
          <w:rFonts w:ascii="Calibri" w:hAnsi="Calibri" w:cs="Calibri"/>
          <w:iCs/>
        </w:rPr>
        <w:t>Study</w:t>
      </w:r>
      <w:r w:rsidR="00F96B2F" w:rsidRPr="00BF1BFB">
        <w:rPr>
          <w:rStyle w:val="normaltextrun"/>
          <w:rFonts w:ascii="Calibri" w:hAnsi="Calibri" w:cs="Calibri"/>
          <w:iCs/>
        </w:rPr>
        <w:t xml:space="preserve"> </w:t>
      </w:r>
      <w:r w:rsidRPr="00BF1BFB">
        <w:rPr>
          <w:rStyle w:val="normaltextrun"/>
          <w:rFonts w:ascii="Calibri" w:hAnsi="Calibri" w:cs="Calibri"/>
          <w:iCs/>
        </w:rPr>
        <w:t>4004</w:t>
      </w:r>
      <w:r w:rsidR="00F96B2F" w:rsidRPr="00BF1BFB">
        <w:rPr>
          <w:rStyle w:val="normaltextrun"/>
          <w:rFonts w:ascii="Calibri" w:hAnsi="Calibri" w:cs="Calibri"/>
          <w:iCs/>
        </w:rPr>
        <w:t xml:space="preserve"> </w:t>
      </w:r>
      <w:r w:rsidRPr="00BF1BFB">
        <w:rPr>
          <w:rStyle w:val="normaltextrun"/>
          <w:rFonts w:ascii="Calibri" w:hAnsi="Calibri" w:cs="Calibri"/>
          <w:iCs/>
        </w:rPr>
        <w:t>OLE</w:t>
      </w:r>
      <w:r w:rsidR="00F96B2F" w:rsidRPr="00BF1BFB">
        <w:rPr>
          <w:rStyle w:val="normaltextrun"/>
          <w:rFonts w:ascii="Calibri" w:hAnsi="Calibri" w:cs="Calibri"/>
          <w:iCs/>
        </w:rPr>
        <w:t xml:space="preserve"> </w:t>
      </w:r>
      <w:r w:rsidRPr="00BF1BFB">
        <w:rPr>
          <w:rStyle w:val="normaltextrun"/>
          <w:rFonts w:ascii="Calibri" w:hAnsi="Calibri" w:cs="Calibri"/>
          <w:iCs/>
        </w:rPr>
        <w:t>provides</w:t>
      </w:r>
      <w:r w:rsidR="00F96B2F" w:rsidRPr="00BF1BFB">
        <w:rPr>
          <w:rStyle w:val="normaltextrun"/>
          <w:rFonts w:ascii="Calibri" w:hAnsi="Calibri" w:cs="Calibri"/>
          <w:iCs/>
        </w:rPr>
        <w:t xml:space="preserve"> </w:t>
      </w:r>
      <w:r w:rsidRPr="00BF1BFB">
        <w:rPr>
          <w:rStyle w:val="normaltextrun"/>
          <w:rFonts w:ascii="Calibri" w:hAnsi="Calibri" w:cs="Calibri"/>
          <w:iCs/>
        </w:rPr>
        <w:t>information</w:t>
      </w:r>
      <w:r w:rsidR="00F96B2F" w:rsidRPr="00BF1BFB">
        <w:rPr>
          <w:rStyle w:val="normaltextrun"/>
          <w:rFonts w:ascii="Calibri" w:hAnsi="Calibri" w:cs="Calibri"/>
          <w:iCs/>
        </w:rPr>
        <w:t xml:space="preserve"> </w:t>
      </w:r>
      <w:r w:rsidRPr="00BF1BFB">
        <w:rPr>
          <w:rStyle w:val="normaltextrun"/>
          <w:rFonts w:ascii="Calibri" w:hAnsi="Calibri" w:cs="Calibri"/>
          <w:iCs/>
        </w:rPr>
        <w:t>on</w:t>
      </w:r>
      <w:r w:rsidR="00F96B2F" w:rsidRPr="00BF1BFB">
        <w:rPr>
          <w:rStyle w:val="normaltextrun"/>
          <w:rFonts w:ascii="Calibri" w:hAnsi="Calibri" w:cs="Calibri"/>
          <w:iCs/>
        </w:rPr>
        <w:t xml:space="preserve"> </w:t>
      </w:r>
      <w:r w:rsidRPr="00BF1BFB">
        <w:rPr>
          <w:rStyle w:val="normaltextrun"/>
          <w:rFonts w:ascii="Calibri" w:hAnsi="Calibri" w:cs="Calibri"/>
          <w:iCs/>
        </w:rPr>
        <w:t>secondary</w:t>
      </w:r>
      <w:r w:rsidR="00F96B2F" w:rsidRPr="00BF1BFB">
        <w:rPr>
          <w:rStyle w:val="normaltextrun"/>
          <w:rFonts w:ascii="Calibri" w:hAnsi="Calibri" w:cs="Calibri"/>
          <w:iCs/>
        </w:rPr>
        <w:t xml:space="preserve"> </w:t>
      </w:r>
      <w:r w:rsidRPr="00BF1BFB">
        <w:rPr>
          <w:rStyle w:val="normaltextrun"/>
          <w:rFonts w:ascii="Calibri" w:hAnsi="Calibri" w:cs="Calibri"/>
          <w:iCs/>
        </w:rPr>
        <w:t>outcomes</w:t>
      </w:r>
      <w:r w:rsidR="00F96B2F" w:rsidRPr="00BF1BFB">
        <w:rPr>
          <w:rStyle w:val="normaltextrun"/>
          <w:rFonts w:ascii="Calibri" w:hAnsi="Calibri" w:cs="Calibri"/>
          <w:iCs/>
        </w:rPr>
        <w:t xml:space="preserve"> </w:t>
      </w:r>
      <w:r w:rsidRPr="00BF1BFB">
        <w:rPr>
          <w:rStyle w:val="normaltextrun"/>
          <w:rFonts w:ascii="Calibri" w:hAnsi="Calibri" w:cs="Calibri"/>
          <w:iCs/>
        </w:rPr>
        <w:t>at</w:t>
      </w:r>
      <w:r w:rsidR="00F96B2F" w:rsidRPr="00BF1BFB">
        <w:rPr>
          <w:rStyle w:val="normaltextrun"/>
          <w:rFonts w:ascii="Calibri" w:hAnsi="Calibri" w:cs="Calibri"/>
          <w:iCs/>
        </w:rPr>
        <w:t xml:space="preserve"> </w:t>
      </w:r>
      <w:r w:rsidRPr="00BF1BFB">
        <w:rPr>
          <w:rStyle w:val="normaltextrun"/>
          <w:rFonts w:ascii="Calibri" w:hAnsi="Calibri" w:cs="Calibri"/>
          <w:iCs/>
        </w:rPr>
        <w:t>5</w:t>
      </w:r>
      <w:r w:rsidR="00F96B2F" w:rsidRPr="00BF1BFB">
        <w:rPr>
          <w:rStyle w:val="normaltextrun"/>
          <w:rFonts w:ascii="Calibri" w:hAnsi="Calibri" w:cs="Calibri"/>
          <w:iCs/>
        </w:rPr>
        <w:t xml:space="preserve"> </w:t>
      </w:r>
      <w:r w:rsidRPr="00BF1BFB">
        <w:rPr>
          <w:rStyle w:val="normaltextrun"/>
          <w:rFonts w:ascii="Calibri" w:hAnsi="Calibri" w:cs="Calibri"/>
          <w:iCs/>
        </w:rPr>
        <w:t>years</w:t>
      </w:r>
      <w:r w:rsidR="00F96B2F" w:rsidRPr="00BF1BFB">
        <w:rPr>
          <w:rStyle w:val="normaltextrun"/>
          <w:rFonts w:ascii="Calibri" w:hAnsi="Calibri" w:cs="Calibri"/>
          <w:iCs/>
        </w:rPr>
        <w:t xml:space="preserve"> </w:t>
      </w:r>
      <w:r w:rsidRPr="00BF1BFB">
        <w:rPr>
          <w:rStyle w:val="normaltextrun"/>
          <w:rFonts w:ascii="Calibri" w:hAnsi="Calibri" w:cs="Calibri"/>
          <w:iCs/>
        </w:rPr>
        <w:t>but</w:t>
      </w:r>
      <w:r w:rsidR="00F96B2F" w:rsidRPr="00BF1BFB">
        <w:rPr>
          <w:rStyle w:val="normaltextrun"/>
          <w:rFonts w:ascii="Calibri" w:hAnsi="Calibri" w:cs="Calibri"/>
          <w:iCs/>
        </w:rPr>
        <w:t xml:space="preserve"> </w:t>
      </w:r>
      <w:r w:rsidRPr="00BF1BFB">
        <w:rPr>
          <w:rStyle w:val="normaltextrun"/>
          <w:rFonts w:ascii="Calibri" w:hAnsi="Calibri" w:cs="Calibri"/>
          <w:iCs/>
        </w:rPr>
        <w:t>the</w:t>
      </w:r>
      <w:r w:rsidR="00F96B2F" w:rsidRPr="00BF1BFB">
        <w:rPr>
          <w:rStyle w:val="normaltextrun"/>
          <w:rFonts w:ascii="Calibri" w:hAnsi="Calibri" w:cs="Calibri"/>
          <w:iCs/>
        </w:rPr>
        <w:t xml:space="preserve"> </w:t>
      </w:r>
      <w:r w:rsidRPr="00BF1BFB">
        <w:rPr>
          <w:rStyle w:val="normaltextrun"/>
          <w:rFonts w:ascii="Calibri" w:hAnsi="Calibri" w:cs="Calibri"/>
          <w:iCs/>
        </w:rPr>
        <w:t>clinical</w:t>
      </w:r>
      <w:r w:rsidR="00F96B2F" w:rsidRPr="00BF1BFB">
        <w:rPr>
          <w:rStyle w:val="normaltextrun"/>
          <w:rFonts w:ascii="Calibri" w:hAnsi="Calibri" w:cs="Calibri"/>
          <w:iCs/>
        </w:rPr>
        <w:t xml:space="preserve"> </w:t>
      </w:r>
      <w:r w:rsidRPr="00BF1BFB">
        <w:rPr>
          <w:rStyle w:val="normaltextrun"/>
          <w:rFonts w:ascii="Calibri" w:hAnsi="Calibri" w:cs="Calibri"/>
          <w:iCs/>
        </w:rPr>
        <w:t>significance</w:t>
      </w:r>
      <w:r w:rsidR="00F96B2F" w:rsidRPr="00BF1BFB">
        <w:rPr>
          <w:rStyle w:val="normaltextrun"/>
          <w:rFonts w:ascii="Calibri" w:hAnsi="Calibri" w:cs="Calibri"/>
          <w:iCs/>
        </w:rPr>
        <w:t xml:space="preserve"> </w:t>
      </w:r>
      <w:r w:rsidRPr="00BF1BFB">
        <w:rPr>
          <w:rStyle w:val="normaltextrun"/>
          <w:rFonts w:ascii="Calibri" w:hAnsi="Calibri" w:cs="Calibri"/>
          <w:iCs/>
        </w:rPr>
        <w:t>and</w:t>
      </w:r>
      <w:r w:rsidR="00F96B2F" w:rsidRPr="00BF1BFB">
        <w:rPr>
          <w:rStyle w:val="normaltextrun"/>
          <w:rFonts w:ascii="Calibri" w:hAnsi="Calibri" w:cs="Calibri"/>
          <w:iCs/>
        </w:rPr>
        <w:t xml:space="preserve"> </w:t>
      </w:r>
      <w:r w:rsidRPr="00BF1BFB">
        <w:rPr>
          <w:rStyle w:val="normaltextrun"/>
          <w:rFonts w:ascii="Calibri" w:hAnsi="Calibri" w:cs="Calibri"/>
          <w:iCs/>
        </w:rPr>
        <w:t>support</w:t>
      </w:r>
      <w:r w:rsidR="00F96B2F" w:rsidRPr="00BF1BFB">
        <w:rPr>
          <w:rStyle w:val="normaltextrun"/>
          <w:rFonts w:ascii="Calibri" w:hAnsi="Calibri" w:cs="Calibri"/>
          <w:iCs/>
        </w:rPr>
        <w:t xml:space="preserve"> </w:t>
      </w:r>
      <w:r w:rsidRPr="00BF1BFB">
        <w:rPr>
          <w:rStyle w:val="normaltextrun"/>
          <w:rFonts w:ascii="Calibri" w:hAnsi="Calibri" w:cs="Calibri"/>
          <w:iCs/>
        </w:rPr>
        <w:t>for</w:t>
      </w:r>
      <w:r w:rsidR="00F96B2F" w:rsidRPr="00BF1BFB">
        <w:rPr>
          <w:rStyle w:val="normaltextrun"/>
          <w:rFonts w:ascii="Calibri" w:hAnsi="Calibri" w:cs="Calibri"/>
          <w:iCs/>
        </w:rPr>
        <w:t xml:space="preserve"> </w:t>
      </w:r>
      <w:r w:rsidRPr="00BF1BFB">
        <w:rPr>
          <w:rStyle w:val="normaltextrun"/>
          <w:rFonts w:ascii="Calibri" w:hAnsi="Calibri" w:cs="Calibri"/>
          <w:iCs/>
        </w:rPr>
        <w:t>non-inferiority</w:t>
      </w:r>
      <w:r w:rsidR="00F96B2F" w:rsidRPr="00BF1BFB">
        <w:rPr>
          <w:rStyle w:val="normaltextrun"/>
          <w:rFonts w:ascii="Calibri" w:hAnsi="Calibri" w:cs="Calibri"/>
          <w:iCs/>
        </w:rPr>
        <w:t xml:space="preserve"> </w:t>
      </w:r>
      <w:r w:rsidR="00E04586">
        <w:rPr>
          <w:rStyle w:val="normaltextrun"/>
          <w:rFonts w:ascii="Calibri" w:hAnsi="Calibri" w:cs="Calibri"/>
          <w:iCs/>
        </w:rPr>
        <w:t>wa</w:t>
      </w:r>
      <w:r w:rsidR="00E04586" w:rsidRPr="00BF1BFB">
        <w:rPr>
          <w:rStyle w:val="normaltextrun"/>
          <w:rFonts w:ascii="Calibri" w:hAnsi="Calibri" w:cs="Calibri"/>
          <w:iCs/>
        </w:rPr>
        <w:t xml:space="preserve">s </w:t>
      </w:r>
      <w:r w:rsidRPr="00BF1BFB">
        <w:rPr>
          <w:rStyle w:val="normaltextrun"/>
          <w:rFonts w:ascii="Calibri" w:hAnsi="Calibri" w:cs="Calibri"/>
          <w:iCs/>
        </w:rPr>
        <w:t>unclear</w:t>
      </w:r>
      <w:r w:rsidRPr="00E96E9F">
        <w:rPr>
          <w:rStyle w:val="normaltextrun"/>
          <w:rFonts w:ascii="Calibri" w:hAnsi="Calibri" w:cs="Calibri"/>
        </w:rPr>
        <w:t>.</w:t>
      </w:r>
    </w:p>
    <w:p w14:paraId="54D56FF4" w14:textId="52D84300" w:rsidR="00811E0E" w:rsidRDefault="00811E0E" w:rsidP="00A97822">
      <w:pPr>
        <w:pStyle w:val="ListParagraph"/>
        <w:jc w:val="both"/>
        <w:rPr>
          <w:rStyle w:val="normaltextrun"/>
          <w:rFonts w:ascii="Calibri" w:hAnsi="Calibri" w:cs="Calibri"/>
          <w:iCs/>
        </w:rPr>
      </w:pPr>
      <w:r w:rsidRPr="00E96E9F">
        <w:rPr>
          <w:rStyle w:val="normaltextrun"/>
          <w:rFonts w:ascii="Calibri" w:hAnsi="Calibri" w:cs="Calibri"/>
        </w:rPr>
        <w:t>Safety</w:t>
      </w:r>
      <w:r w:rsidR="00F96B2F" w:rsidRPr="00E96E9F">
        <w:rPr>
          <w:rStyle w:val="normaltextrun"/>
          <w:rFonts w:ascii="Calibri" w:hAnsi="Calibri" w:cs="Calibri"/>
        </w:rPr>
        <w:t xml:space="preserve"> </w:t>
      </w:r>
      <w:r w:rsidRPr="00E96E9F">
        <w:rPr>
          <w:rStyle w:val="normaltextrun"/>
          <w:rFonts w:ascii="Calibri" w:hAnsi="Calibri" w:cs="Calibri"/>
        </w:rPr>
        <w:t>data</w:t>
      </w:r>
      <w:r w:rsidR="00F96B2F" w:rsidRPr="00E96E9F">
        <w:rPr>
          <w:rStyle w:val="normaltextrun"/>
          <w:rFonts w:ascii="Calibri" w:hAnsi="Calibri" w:cs="Calibri"/>
        </w:rPr>
        <w:t xml:space="preserve"> </w:t>
      </w:r>
      <w:r w:rsidRPr="00E96E9F">
        <w:rPr>
          <w:rStyle w:val="normaltextrun"/>
          <w:rFonts w:ascii="Calibri" w:hAnsi="Calibri" w:cs="Calibri"/>
        </w:rPr>
        <w:t>presented</w:t>
      </w:r>
      <w:r w:rsidR="00F96B2F" w:rsidRPr="00E96E9F">
        <w:rPr>
          <w:rStyle w:val="normaltextrun"/>
          <w:rFonts w:ascii="Calibri" w:hAnsi="Calibri" w:cs="Calibri"/>
        </w:rPr>
        <w:t xml:space="preserve"> </w:t>
      </w:r>
      <w:r w:rsidRPr="00E96E9F">
        <w:rPr>
          <w:rStyle w:val="normaltextrun"/>
          <w:rFonts w:ascii="Calibri" w:hAnsi="Calibri" w:cs="Calibri"/>
        </w:rPr>
        <w:t>showed</w:t>
      </w:r>
      <w:r w:rsidR="00F96B2F" w:rsidRPr="00E96E9F">
        <w:rPr>
          <w:rStyle w:val="normaltextrun"/>
          <w:rFonts w:ascii="Calibri" w:hAnsi="Calibri" w:cs="Calibri"/>
        </w:rPr>
        <w:t xml:space="preserve"> </w:t>
      </w:r>
      <w:r w:rsidRPr="00E96E9F">
        <w:rPr>
          <w:rStyle w:val="normaltextrun"/>
          <w:rFonts w:ascii="Calibri" w:hAnsi="Calibri" w:cs="Calibri"/>
        </w:rPr>
        <w:t>no</w:t>
      </w:r>
      <w:r w:rsidR="00F96B2F" w:rsidRPr="00E96E9F">
        <w:rPr>
          <w:rStyle w:val="normaltextrun"/>
          <w:rFonts w:ascii="Calibri" w:hAnsi="Calibri" w:cs="Calibri"/>
        </w:rPr>
        <w:t xml:space="preserve"> </w:t>
      </w:r>
      <w:r w:rsidRPr="00E96E9F">
        <w:rPr>
          <w:rStyle w:val="normaltextrun"/>
          <w:rFonts w:ascii="Calibri" w:hAnsi="Calibri" w:cs="Calibri"/>
        </w:rPr>
        <w:t>significant</w:t>
      </w:r>
      <w:r w:rsidR="00F96B2F" w:rsidRPr="00E96E9F">
        <w:rPr>
          <w:rStyle w:val="normaltextrun"/>
          <w:rFonts w:ascii="Calibri" w:hAnsi="Calibri" w:cs="Calibri"/>
        </w:rPr>
        <w:t xml:space="preserve"> </w:t>
      </w:r>
      <w:r w:rsidRPr="00E96E9F">
        <w:rPr>
          <w:rStyle w:val="normaltextrun"/>
          <w:rFonts w:ascii="Calibri" w:hAnsi="Calibri" w:cs="Calibri"/>
        </w:rPr>
        <w:t>difference</w:t>
      </w:r>
      <w:r w:rsidR="00F96B2F" w:rsidRPr="00E96E9F">
        <w:rPr>
          <w:rStyle w:val="normaltextrun"/>
          <w:rFonts w:ascii="Calibri" w:hAnsi="Calibri" w:cs="Calibri"/>
        </w:rPr>
        <w:t xml:space="preserve"> </w:t>
      </w:r>
      <w:r w:rsidRPr="00E96E9F">
        <w:rPr>
          <w:rStyle w:val="normaltextrun"/>
          <w:rFonts w:ascii="Calibri" w:hAnsi="Calibri" w:cs="Calibri"/>
        </w:rPr>
        <w:t>in</w:t>
      </w:r>
      <w:r w:rsidR="00F96B2F" w:rsidRPr="00E96E9F">
        <w:rPr>
          <w:rStyle w:val="normaltextrun"/>
          <w:rFonts w:ascii="Calibri" w:hAnsi="Calibri" w:cs="Calibri"/>
        </w:rPr>
        <w:t xml:space="preserve"> </w:t>
      </w:r>
      <w:r w:rsidRPr="00E96E9F">
        <w:rPr>
          <w:rStyle w:val="normaltextrun"/>
          <w:rFonts w:ascii="Calibri" w:hAnsi="Calibri" w:cs="Calibri"/>
        </w:rPr>
        <w:t>serious</w:t>
      </w:r>
      <w:r w:rsidR="00F96B2F" w:rsidRPr="00E96E9F">
        <w:rPr>
          <w:rStyle w:val="normaltextrun"/>
          <w:rFonts w:ascii="Calibri" w:hAnsi="Calibri" w:cs="Calibri"/>
        </w:rPr>
        <w:t xml:space="preserve"> </w:t>
      </w:r>
      <w:r w:rsidRPr="00E96E9F">
        <w:rPr>
          <w:rStyle w:val="normaltextrun"/>
          <w:rFonts w:ascii="Calibri" w:hAnsi="Calibri" w:cs="Calibri"/>
        </w:rPr>
        <w:t>or</w:t>
      </w:r>
      <w:r w:rsidR="00F96B2F" w:rsidRPr="00E96E9F">
        <w:rPr>
          <w:rStyle w:val="normaltextrun"/>
          <w:rFonts w:ascii="Calibri" w:hAnsi="Calibri" w:cs="Calibri"/>
        </w:rPr>
        <w:t xml:space="preserve"> </w:t>
      </w:r>
      <w:r w:rsidRPr="00E96E9F">
        <w:rPr>
          <w:rStyle w:val="normaltextrun"/>
          <w:rFonts w:ascii="Calibri" w:hAnsi="Calibri" w:cs="Calibri"/>
        </w:rPr>
        <w:t>severe</w:t>
      </w:r>
      <w:r w:rsidR="00F96B2F" w:rsidRPr="00E96E9F">
        <w:rPr>
          <w:rStyle w:val="normaltextrun"/>
          <w:rFonts w:ascii="Calibri" w:hAnsi="Calibri" w:cs="Calibri"/>
        </w:rPr>
        <w:t xml:space="preserve"> </w:t>
      </w:r>
      <w:r w:rsidR="00A64EA9">
        <w:rPr>
          <w:rStyle w:val="normaltextrun"/>
          <w:rFonts w:ascii="Calibri" w:hAnsi="Calibri" w:cs="Calibri"/>
        </w:rPr>
        <w:t>AE</w:t>
      </w:r>
      <w:r w:rsidR="00A64EA9" w:rsidRPr="00E96E9F">
        <w:rPr>
          <w:rStyle w:val="normaltextrun"/>
          <w:rFonts w:ascii="Calibri" w:hAnsi="Calibri" w:cs="Calibri"/>
        </w:rPr>
        <w:t xml:space="preserve">s </w:t>
      </w:r>
      <w:r w:rsidRPr="00E96E9F">
        <w:rPr>
          <w:rStyle w:val="normaltextrun"/>
          <w:rFonts w:ascii="Calibri" w:hAnsi="Calibri" w:cs="Calibri"/>
        </w:rPr>
        <w:t>between</w:t>
      </w:r>
      <w:r w:rsidR="00F96B2F" w:rsidRPr="00E96E9F">
        <w:rPr>
          <w:rStyle w:val="normaltextrun"/>
          <w:rFonts w:ascii="Calibri" w:hAnsi="Calibri" w:cs="Calibri"/>
        </w:rPr>
        <w:t xml:space="preserve"> </w:t>
      </w:r>
      <w:proofErr w:type="spellStart"/>
      <w:r w:rsidRPr="00E96E9F">
        <w:rPr>
          <w:rStyle w:val="normaltextrun"/>
          <w:rFonts w:ascii="Calibri" w:hAnsi="Calibri" w:cs="Calibri"/>
        </w:rPr>
        <w:t>somatrogon</w:t>
      </w:r>
      <w:proofErr w:type="spellEnd"/>
      <w:r w:rsidR="00F96B2F" w:rsidRPr="00E96E9F">
        <w:rPr>
          <w:rStyle w:val="normaltextrun"/>
          <w:rFonts w:ascii="Calibri" w:hAnsi="Calibri" w:cs="Calibri"/>
        </w:rPr>
        <w:t xml:space="preserve"> </w:t>
      </w:r>
      <w:r w:rsidRPr="00E96E9F">
        <w:rPr>
          <w:rStyle w:val="normaltextrun"/>
          <w:rFonts w:ascii="Calibri" w:hAnsi="Calibri" w:cs="Calibri"/>
        </w:rPr>
        <w:t>and</w:t>
      </w:r>
      <w:r w:rsidR="00F96B2F" w:rsidRPr="00E96E9F">
        <w:rPr>
          <w:rStyle w:val="normaltextrun"/>
          <w:rFonts w:ascii="Calibri" w:hAnsi="Calibri" w:cs="Calibri"/>
        </w:rPr>
        <w:t xml:space="preserve"> </w:t>
      </w:r>
      <w:r w:rsidRPr="00E96E9F">
        <w:rPr>
          <w:rStyle w:val="normaltextrun"/>
          <w:rFonts w:ascii="Calibri" w:hAnsi="Calibri" w:cs="Calibri"/>
        </w:rPr>
        <w:t>somatropin.</w:t>
      </w:r>
      <w:r w:rsidR="00F96B2F" w:rsidRPr="00E96E9F">
        <w:rPr>
          <w:rStyle w:val="normaltextrun"/>
          <w:rFonts w:ascii="Calibri" w:hAnsi="Calibri" w:cs="Calibri"/>
        </w:rPr>
        <w:t xml:space="preserve"> </w:t>
      </w:r>
      <w:r w:rsidR="00251B34" w:rsidRPr="00BF1BFB">
        <w:rPr>
          <w:rStyle w:val="normaltextrun"/>
          <w:rFonts w:ascii="Calibri" w:hAnsi="Calibri" w:cs="Calibri"/>
          <w:iCs/>
        </w:rPr>
        <w:t>T</w:t>
      </w:r>
      <w:r w:rsidRPr="00BF1BFB">
        <w:rPr>
          <w:rStyle w:val="normaltextrun"/>
          <w:rFonts w:ascii="Calibri" w:hAnsi="Calibri" w:cs="Calibri"/>
          <w:iCs/>
        </w:rPr>
        <w:t>here</w:t>
      </w:r>
      <w:r w:rsidR="00F96B2F" w:rsidRPr="00BF1BFB">
        <w:rPr>
          <w:rStyle w:val="normaltextrun"/>
          <w:rFonts w:ascii="Calibri" w:hAnsi="Calibri" w:cs="Calibri"/>
          <w:iCs/>
        </w:rPr>
        <w:t xml:space="preserve"> </w:t>
      </w:r>
      <w:r w:rsidR="00251B34" w:rsidRPr="00BF1BFB">
        <w:rPr>
          <w:rStyle w:val="normaltextrun"/>
          <w:rFonts w:ascii="Calibri" w:hAnsi="Calibri" w:cs="Calibri"/>
          <w:iCs/>
        </w:rPr>
        <w:t>was</w:t>
      </w:r>
      <w:r w:rsidR="00F96B2F" w:rsidRPr="00BF1BFB">
        <w:rPr>
          <w:rStyle w:val="normaltextrun"/>
          <w:rFonts w:ascii="Calibri" w:hAnsi="Calibri" w:cs="Calibri"/>
          <w:iCs/>
        </w:rPr>
        <w:t xml:space="preserve"> </w:t>
      </w:r>
      <w:r w:rsidRPr="00BF1BFB">
        <w:rPr>
          <w:rStyle w:val="normaltextrun"/>
          <w:rFonts w:ascii="Calibri" w:hAnsi="Calibri" w:cs="Calibri"/>
          <w:iCs/>
        </w:rPr>
        <w:t>a</w:t>
      </w:r>
      <w:r w:rsidR="00F96B2F" w:rsidRPr="00BF1BFB">
        <w:rPr>
          <w:rStyle w:val="normaltextrun"/>
          <w:rFonts w:ascii="Calibri" w:hAnsi="Calibri" w:cs="Calibri"/>
          <w:iCs/>
        </w:rPr>
        <w:t xml:space="preserve"> </w:t>
      </w:r>
      <w:r w:rsidRPr="00BF1BFB">
        <w:rPr>
          <w:rStyle w:val="normaltextrun"/>
          <w:rFonts w:ascii="Calibri" w:hAnsi="Calibri" w:cs="Calibri"/>
          <w:iCs/>
        </w:rPr>
        <w:t>higher</w:t>
      </w:r>
      <w:r w:rsidR="00F96B2F" w:rsidRPr="00BF1BFB">
        <w:rPr>
          <w:rStyle w:val="normaltextrun"/>
          <w:rFonts w:ascii="Calibri" w:hAnsi="Calibri" w:cs="Calibri"/>
          <w:iCs/>
        </w:rPr>
        <w:t xml:space="preserve"> </w:t>
      </w:r>
      <w:r w:rsidRPr="00BF1BFB">
        <w:rPr>
          <w:rStyle w:val="normaltextrun"/>
          <w:rFonts w:ascii="Calibri" w:hAnsi="Calibri" w:cs="Calibri"/>
          <w:iCs/>
        </w:rPr>
        <w:t>incidence</w:t>
      </w:r>
      <w:r w:rsidR="00F96B2F" w:rsidRPr="00BF1BFB">
        <w:rPr>
          <w:rStyle w:val="normaltextrun"/>
          <w:rFonts w:ascii="Calibri" w:hAnsi="Calibri" w:cs="Calibri"/>
          <w:iCs/>
        </w:rPr>
        <w:t xml:space="preserve"> </w:t>
      </w:r>
      <w:r w:rsidRPr="00BF1BFB">
        <w:rPr>
          <w:rStyle w:val="normaltextrun"/>
          <w:rFonts w:ascii="Calibri" w:hAnsi="Calibri" w:cs="Calibri"/>
          <w:iCs/>
        </w:rPr>
        <w:t>of</w:t>
      </w:r>
      <w:r w:rsidR="00F96B2F" w:rsidRPr="00BF1BFB">
        <w:rPr>
          <w:rStyle w:val="normaltextrun"/>
          <w:rFonts w:ascii="Calibri" w:hAnsi="Calibri" w:cs="Calibri"/>
          <w:iCs/>
        </w:rPr>
        <w:t xml:space="preserve"> </w:t>
      </w:r>
      <w:r w:rsidRPr="00BF1BFB">
        <w:rPr>
          <w:rStyle w:val="normaltextrun"/>
          <w:rFonts w:ascii="Calibri" w:hAnsi="Calibri" w:cs="Calibri"/>
          <w:iCs/>
        </w:rPr>
        <w:t>injection</w:t>
      </w:r>
      <w:r w:rsidR="00F96B2F" w:rsidRPr="00BF1BFB">
        <w:rPr>
          <w:rStyle w:val="normaltextrun"/>
          <w:rFonts w:ascii="Calibri" w:hAnsi="Calibri" w:cs="Calibri"/>
          <w:iCs/>
        </w:rPr>
        <w:t xml:space="preserve"> </w:t>
      </w:r>
      <w:r w:rsidRPr="00BF1BFB">
        <w:rPr>
          <w:rStyle w:val="normaltextrun"/>
          <w:rFonts w:ascii="Calibri" w:hAnsi="Calibri" w:cs="Calibri"/>
          <w:iCs/>
        </w:rPr>
        <w:t>site</w:t>
      </w:r>
      <w:r w:rsidR="00F96B2F" w:rsidRPr="00BF1BFB">
        <w:rPr>
          <w:rStyle w:val="normaltextrun"/>
          <w:rFonts w:ascii="Calibri" w:hAnsi="Calibri" w:cs="Calibri"/>
          <w:iCs/>
        </w:rPr>
        <w:t xml:space="preserve"> </w:t>
      </w:r>
      <w:r w:rsidRPr="00BF1BFB">
        <w:rPr>
          <w:rStyle w:val="normaltextrun"/>
          <w:rFonts w:ascii="Calibri" w:hAnsi="Calibri" w:cs="Calibri"/>
          <w:iCs/>
        </w:rPr>
        <w:t>reactions</w:t>
      </w:r>
      <w:r w:rsidR="00F96B2F" w:rsidRPr="00BF1BFB">
        <w:rPr>
          <w:rStyle w:val="normaltextrun"/>
          <w:rFonts w:ascii="Calibri" w:hAnsi="Calibri" w:cs="Calibri"/>
          <w:iCs/>
        </w:rPr>
        <w:t xml:space="preserve"> </w:t>
      </w:r>
      <w:r w:rsidRPr="00BF1BFB">
        <w:rPr>
          <w:rStyle w:val="normaltextrun"/>
          <w:rFonts w:ascii="Calibri" w:hAnsi="Calibri" w:cs="Calibri"/>
          <w:iCs/>
        </w:rPr>
        <w:t>for</w:t>
      </w:r>
      <w:r w:rsidR="00F96B2F" w:rsidRPr="00BF1BFB">
        <w:rPr>
          <w:rStyle w:val="normaltextrun"/>
          <w:rFonts w:ascii="Calibri" w:hAnsi="Calibri" w:cs="Calibri"/>
          <w:iCs/>
        </w:rPr>
        <w:t xml:space="preserve"> </w:t>
      </w:r>
      <w:proofErr w:type="spellStart"/>
      <w:r w:rsidRPr="00BF1BFB">
        <w:rPr>
          <w:rStyle w:val="normaltextrun"/>
          <w:rFonts w:ascii="Calibri" w:hAnsi="Calibri" w:cs="Calibri"/>
          <w:iCs/>
        </w:rPr>
        <w:t>somatrogon</w:t>
      </w:r>
      <w:proofErr w:type="spellEnd"/>
      <w:r w:rsidR="00F96B2F" w:rsidRPr="00BF1BFB">
        <w:rPr>
          <w:rStyle w:val="normaltextrun"/>
          <w:rFonts w:ascii="Calibri" w:hAnsi="Calibri" w:cs="Calibri"/>
          <w:iCs/>
        </w:rPr>
        <w:t xml:space="preserve"> </w:t>
      </w:r>
      <w:r w:rsidRPr="00BF1BFB">
        <w:rPr>
          <w:rStyle w:val="normaltextrun"/>
          <w:rFonts w:ascii="Calibri" w:hAnsi="Calibri" w:cs="Calibri"/>
          <w:iCs/>
        </w:rPr>
        <w:t>at</w:t>
      </w:r>
      <w:r w:rsidR="00F96B2F" w:rsidRPr="00BF1BFB">
        <w:rPr>
          <w:rStyle w:val="normaltextrun"/>
          <w:rFonts w:ascii="Calibri" w:hAnsi="Calibri" w:cs="Calibri"/>
          <w:iCs/>
        </w:rPr>
        <w:t xml:space="preserve"> </w:t>
      </w:r>
      <w:r w:rsidRPr="00BF1BFB">
        <w:rPr>
          <w:rStyle w:val="normaltextrun"/>
          <w:rFonts w:ascii="Calibri" w:hAnsi="Calibri" w:cs="Calibri"/>
          <w:iCs/>
        </w:rPr>
        <w:t>12</w:t>
      </w:r>
      <w:r w:rsidR="00F96B2F" w:rsidRPr="00BF1BFB">
        <w:rPr>
          <w:rStyle w:val="normaltextrun"/>
          <w:rFonts w:ascii="Calibri" w:hAnsi="Calibri" w:cs="Calibri"/>
          <w:iCs/>
        </w:rPr>
        <w:t xml:space="preserve"> </w:t>
      </w:r>
      <w:r w:rsidR="00E24EAD" w:rsidRPr="00BF1BFB">
        <w:rPr>
          <w:rStyle w:val="normaltextrun"/>
          <w:rFonts w:ascii="Calibri" w:hAnsi="Calibri" w:cs="Calibri"/>
          <w:iCs/>
        </w:rPr>
        <w:t>months,</w:t>
      </w:r>
      <w:r w:rsidR="00F96B2F" w:rsidRPr="00BF1BFB">
        <w:rPr>
          <w:rStyle w:val="normaltextrun"/>
          <w:rFonts w:ascii="Calibri" w:hAnsi="Calibri" w:cs="Calibri"/>
          <w:iCs/>
        </w:rPr>
        <w:t xml:space="preserve"> </w:t>
      </w:r>
      <w:r w:rsidRPr="00BF1BFB">
        <w:rPr>
          <w:rStyle w:val="normaltextrun"/>
          <w:rFonts w:ascii="Calibri" w:hAnsi="Calibri" w:cs="Calibri"/>
          <w:iCs/>
        </w:rPr>
        <w:t>but</w:t>
      </w:r>
      <w:r w:rsidR="00F96B2F" w:rsidRPr="00BF1BFB">
        <w:rPr>
          <w:rStyle w:val="normaltextrun"/>
          <w:rFonts w:ascii="Calibri" w:hAnsi="Calibri" w:cs="Calibri"/>
          <w:iCs/>
        </w:rPr>
        <w:t xml:space="preserve"> </w:t>
      </w:r>
      <w:r w:rsidR="00866FF1" w:rsidRPr="00BF1BFB">
        <w:rPr>
          <w:rStyle w:val="normaltextrun"/>
          <w:rFonts w:ascii="Calibri" w:hAnsi="Calibri" w:cs="Calibri"/>
          <w:iCs/>
        </w:rPr>
        <w:t>th</w:t>
      </w:r>
      <w:r w:rsidR="00866FF1">
        <w:rPr>
          <w:rStyle w:val="normaltextrun"/>
          <w:rFonts w:ascii="Calibri" w:hAnsi="Calibri" w:cs="Calibri"/>
          <w:iCs/>
        </w:rPr>
        <w:t>is</w:t>
      </w:r>
      <w:r w:rsidR="00866FF1" w:rsidRPr="00BF1BFB">
        <w:rPr>
          <w:rStyle w:val="normaltextrun"/>
          <w:rFonts w:ascii="Calibri" w:hAnsi="Calibri" w:cs="Calibri"/>
          <w:iCs/>
        </w:rPr>
        <w:t xml:space="preserve"> </w:t>
      </w:r>
      <w:r w:rsidRPr="00BF1BFB">
        <w:rPr>
          <w:rStyle w:val="normaltextrun"/>
          <w:rFonts w:ascii="Calibri" w:hAnsi="Calibri" w:cs="Calibri"/>
          <w:iCs/>
        </w:rPr>
        <w:t>rarely</w:t>
      </w:r>
      <w:r w:rsidR="00F96B2F" w:rsidRPr="00BF1BFB">
        <w:rPr>
          <w:rStyle w:val="normaltextrun"/>
          <w:rFonts w:ascii="Calibri" w:hAnsi="Calibri" w:cs="Calibri"/>
          <w:iCs/>
        </w:rPr>
        <w:t xml:space="preserve"> </w:t>
      </w:r>
      <w:r w:rsidRPr="00BF1BFB">
        <w:rPr>
          <w:rStyle w:val="normaltextrun"/>
          <w:rFonts w:ascii="Calibri" w:hAnsi="Calibri" w:cs="Calibri"/>
          <w:iCs/>
        </w:rPr>
        <w:t>led</w:t>
      </w:r>
      <w:r w:rsidR="00F96B2F" w:rsidRPr="00BF1BFB">
        <w:rPr>
          <w:rStyle w:val="normaltextrun"/>
          <w:rFonts w:ascii="Calibri" w:hAnsi="Calibri" w:cs="Calibri"/>
          <w:iCs/>
        </w:rPr>
        <w:t xml:space="preserve"> </w:t>
      </w:r>
      <w:r w:rsidRPr="00BF1BFB">
        <w:rPr>
          <w:rStyle w:val="normaltextrun"/>
          <w:rFonts w:ascii="Calibri" w:hAnsi="Calibri" w:cs="Calibri"/>
          <w:iCs/>
        </w:rPr>
        <w:t>to</w:t>
      </w:r>
      <w:r w:rsidR="00F96B2F" w:rsidRPr="00BF1BFB">
        <w:rPr>
          <w:rStyle w:val="normaltextrun"/>
          <w:rFonts w:ascii="Calibri" w:hAnsi="Calibri" w:cs="Calibri"/>
          <w:iCs/>
        </w:rPr>
        <w:t xml:space="preserve"> </w:t>
      </w:r>
      <w:r w:rsidRPr="00BF1BFB">
        <w:rPr>
          <w:rStyle w:val="normaltextrun"/>
          <w:rFonts w:ascii="Calibri" w:hAnsi="Calibri" w:cs="Calibri"/>
          <w:iCs/>
        </w:rPr>
        <w:t>discontinuation</w:t>
      </w:r>
      <w:r w:rsidR="00F96B2F" w:rsidRPr="00BF1BFB">
        <w:rPr>
          <w:rStyle w:val="normaltextrun"/>
          <w:rFonts w:ascii="Calibri" w:hAnsi="Calibri" w:cs="Calibri"/>
          <w:iCs/>
        </w:rPr>
        <w:t xml:space="preserve"> </w:t>
      </w:r>
      <w:r w:rsidRPr="00BF1BFB">
        <w:rPr>
          <w:rStyle w:val="normaltextrun"/>
          <w:rFonts w:ascii="Calibri" w:hAnsi="Calibri" w:cs="Calibri"/>
          <w:iCs/>
        </w:rPr>
        <w:t>of</w:t>
      </w:r>
      <w:r w:rsidR="00F96B2F" w:rsidRPr="00BF1BFB">
        <w:rPr>
          <w:rStyle w:val="normaltextrun"/>
          <w:rFonts w:ascii="Calibri" w:hAnsi="Calibri" w:cs="Calibri"/>
          <w:iCs/>
        </w:rPr>
        <w:t xml:space="preserve"> </w:t>
      </w:r>
      <w:r w:rsidRPr="00BF1BFB">
        <w:rPr>
          <w:rStyle w:val="normaltextrun"/>
          <w:rFonts w:ascii="Calibri" w:hAnsi="Calibri" w:cs="Calibri"/>
          <w:iCs/>
        </w:rPr>
        <w:t>the</w:t>
      </w:r>
      <w:r w:rsidR="00F96B2F" w:rsidRPr="00BF1BFB">
        <w:rPr>
          <w:rStyle w:val="normaltextrun"/>
          <w:rFonts w:ascii="Calibri" w:hAnsi="Calibri" w:cs="Calibri"/>
          <w:iCs/>
        </w:rPr>
        <w:t xml:space="preserve"> </w:t>
      </w:r>
      <w:r w:rsidRPr="00BF1BFB">
        <w:rPr>
          <w:rStyle w:val="normaltextrun"/>
          <w:rFonts w:ascii="Calibri" w:hAnsi="Calibri" w:cs="Calibri"/>
          <w:iCs/>
        </w:rPr>
        <w:t>drug.</w:t>
      </w:r>
      <w:r w:rsidR="00F96B2F" w:rsidRPr="00BF1BFB">
        <w:rPr>
          <w:rStyle w:val="normaltextrun"/>
          <w:rFonts w:ascii="Calibri" w:hAnsi="Calibri" w:cs="Calibri"/>
          <w:iCs/>
        </w:rPr>
        <w:t xml:space="preserve"> </w:t>
      </w:r>
      <w:r w:rsidRPr="00BF1BFB">
        <w:rPr>
          <w:rStyle w:val="normaltextrun"/>
          <w:rFonts w:ascii="Calibri" w:hAnsi="Calibri" w:cs="Calibri"/>
          <w:iCs/>
        </w:rPr>
        <w:t>Injection</w:t>
      </w:r>
      <w:r w:rsidR="00F96B2F" w:rsidRPr="00BF1BFB">
        <w:rPr>
          <w:rStyle w:val="normaltextrun"/>
          <w:rFonts w:ascii="Calibri" w:hAnsi="Calibri" w:cs="Calibri"/>
          <w:iCs/>
        </w:rPr>
        <w:t xml:space="preserve"> </w:t>
      </w:r>
      <w:r w:rsidRPr="00BF1BFB">
        <w:rPr>
          <w:rStyle w:val="normaltextrun"/>
          <w:rFonts w:ascii="Calibri" w:hAnsi="Calibri" w:cs="Calibri"/>
          <w:iCs/>
        </w:rPr>
        <w:t>site</w:t>
      </w:r>
      <w:r w:rsidR="00F96B2F" w:rsidRPr="00BF1BFB">
        <w:rPr>
          <w:rStyle w:val="normaltextrun"/>
          <w:rFonts w:ascii="Calibri" w:hAnsi="Calibri" w:cs="Calibri"/>
          <w:iCs/>
        </w:rPr>
        <w:t xml:space="preserve"> </w:t>
      </w:r>
      <w:r w:rsidRPr="00BF1BFB">
        <w:rPr>
          <w:rStyle w:val="normaltextrun"/>
          <w:rFonts w:ascii="Calibri" w:hAnsi="Calibri" w:cs="Calibri"/>
          <w:iCs/>
        </w:rPr>
        <w:t>reactions</w:t>
      </w:r>
      <w:r w:rsidR="00F96B2F" w:rsidRPr="00BF1BFB">
        <w:rPr>
          <w:rStyle w:val="normaltextrun"/>
          <w:rFonts w:ascii="Calibri" w:hAnsi="Calibri" w:cs="Calibri"/>
          <w:iCs/>
        </w:rPr>
        <w:t xml:space="preserve"> </w:t>
      </w:r>
      <w:r w:rsidR="00866FF1" w:rsidRPr="00BF1BFB">
        <w:rPr>
          <w:rStyle w:val="normaltextrun"/>
          <w:rFonts w:ascii="Calibri" w:hAnsi="Calibri" w:cs="Calibri"/>
          <w:iCs/>
        </w:rPr>
        <w:t>m</w:t>
      </w:r>
      <w:r w:rsidR="00866FF1">
        <w:rPr>
          <w:rStyle w:val="normaltextrun"/>
          <w:rFonts w:ascii="Calibri" w:hAnsi="Calibri" w:cs="Calibri"/>
          <w:iCs/>
        </w:rPr>
        <w:t>ay</w:t>
      </w:r>
      <w:r w:rsidR="00866FF1" w:rsidRPr="00BF1BFB">
        <w:rPr>
          <w:rStyle w:val="normaltextrun"/>
          <w:rFonts w:ascii="Calibri" w:hAnsi="Calibri" w:cs="Calibri"/>
          <w:iCs/>
        </w:rPr>
        <w:t xml:space="preserve"> </w:t>
      </w:r>
      <w:r w:rsidRPr="00BF1BFB">
        <w:rPr>
          <w:rStyle w:val="normaltextrun"/>
          <w:rFonts w:ascii="Calibri" w:hAnsi="Calibri" w:cs="Calibri"/>
          <w:iCs/>
        </w:rPr>
        <w:t>decrease</w:t>
      </w:r>
      <w:r w:rsidR="00F96B2F" w:rsidRPr="00BF1BFB">
        <w:rPr>
          <w:rStyle w:val="normaltextrun"/>
          <w:rFonts w:ascii="Calibri" w:hAnsi="Calibri" w:cs="Calibri"/>
          <w:iCs/>
        </w:rPr>
        <w:t xml:space="preserve"> </w:t>
      </w:r>
      <w:r w:rsidRPr="00BF1BFB">
        <w:rPr>
          <w:rStyle w:val="normaltextrun"/>
          <w:rFonts w:ascii="Calibri" w:hAnsi="Calibri" w:cs="Calibri"/>
          <w:iCs/>
        </w:rPr>
        <w:t>over</w:t>
      </w:r>
      <w:r w:rsidR="00F96B2F" w:rsidRPr="00BF1BFB">
        <w:rPr>
          <w:rStyle w:val="normaltextrun"/>
          <w:rFonts w:ascii="Calibri" w:hAnsi="Calibri" w:cs="Calibri"/>
          <w:iCs/>
        </w:rPr>
        <w:t xml:space="preserve"> </w:t>
      </w:r>
      <w:r w:rsidR="00E24EAD" w:rsidRPr="00BF1BFB">
        <w:rPr>
          <w:rStyle w:val="normaltextrun"/>
          <w:rFonts w:ascii="Calibri" w:hAnsi="Calibri" w:cs="Calibri"/>
          <w:iCs/>
        </w:rPr>
        <w:t>time,</w:t>
      </w:r>
      <w:r w:rsidR="00F96B2F" w:rsidRPr="00BF1BFB">
        <w:rPr>
          <w:rStyle w:val="normaltextrun"/>
          <w:rFonts w:ascii="Calibri" w:hAnsi="Calibri" w:cs="Calibri"/>
          <w:iCs/>
        </w:rPr>
        <w:t xml:space="preserve"> </w:t>
      </w:r>
      <w:r w:rsidRPr="00BF1BFB">
        <w:rPr>
          <w:rStyle w:val="normaltextrun"/>
          <w:rFonts w:ascii="Calibri" w:hAnsi="Calibri" w:cs="Calibri"/>
          <w:iCs/>
        </w:rPr>
        <w:t>but</w:t>
      </w:r>
      <w:r w:rsidR="00F96B2F" w:rsidRPr="00BF1BFB">
        <w:rPr>
          <w:rStyle w:val="normaltextrun"/>
          <w:rFonts w:ascii="Calibri" w:hAnsi="Calibri" w:cs="Calibri"/>
          <w:iCs/>
        </w:rPr>
        <w:t xml:space="preserve"> </w:t>
      </w:r>
      <w:r w:rsidRPr="00BF1BFB">
        <w:rPr>
          <w:rStyle w:val="normaltextrun"/>
          <w:rFonts w:ascii="Calibri" w:hAnsi="Calibri" w:cs="Calibri"/>
          <w:iCs/>
        </w:rPr>
        <w:t>the</w:t>
      </w:r>
      <w:r w:rsidR="00F96B2F" w:rsidRPr="00BF1BFB">
        <w:rPr>
          <w:rStyle w:val="normaltextrun"/>
          <w:rFonts w:ascii="Calibri" w:hAnsi="Calibri" w:cs="Calibri"/>
          <w:iCs/>
        </w:rPr>
        <w:t xml:space="preserve"> </w:t>
      </w:r>
      <w:r w:rsidRPr="00BF1BFB">
        <w:rPr>
          <w:rStyle w:val="normaltextrun"/>
          <w:rFonts w:ascii="Calibri" w:hAnsi="Calibri" w:cs="Calibri"/>
          <w:iCs/>
        </w:rPr>
        <w:t>evidence</w:t>
      </w:r>
      <w:r w:rsidR="00866FF1">
        <w:rPr>
          <w:rStyle w:val="normaltextrun"/>
          <w:rFonts w:ascii="Calibri" w:hAnsi="Calibri" w:cs="Calibri"/>
          <w:iCs/>
        </w:rPr>
        <w:t xml:space="preserve"> of this</w:t>
      </w:r>
      <w:r w:rsidR="00F96B2F" w:rsidRPr="00BF1BFB">
        <w:rPr>
          <w:rStyle w:val="normaltextrun"/>
          <w:rFonts w:ascii="Calibri" w:hAnsi="Calibri" w:cs="Calibri"/>
          <w:iCs/>
        </w:rPr>
        <w:t xml:space="preserve"> </w:t>
      </w:r>
      <w:r w:rsidR="00866FF1">
        <w:rPr>
          <w:rStyle w:val="normaltextrun"/>
          <w:rFonts w:ascii="Calibri" w:hAnsi="Calibri" w:cs="Calibri"/>
          <w:iCs/>
        </w:rPr>
        <w:t>wa</w:t>
      </w:r>
      <w:r w:rsidR="00866FF1" w:rsidRPr="00BF1BFB">
        <w:rPr>
          <w:rStyle w:val="normaltextrun"/>
          <w:rFonts w:ascii="Calibri" w:hAnsi="Calibri" w:cs="Calibri"/>
          <w:iCs/>
        </w:rPr>
        <w:t xml:space="preserve">s </w:t>
      </w:r>
      <w:r w:rsidRPr="00BF1BFB">
        <w:rPr>
          <w:rStyle w:val="normaltextrun"/>
          <w:rFonts w:ascii="Calibri" w:hAnsi="Calibri" w:cs="Calibri"/>
          <w:iCs/>
        </w:rPr>
        <w:t>limited.</w:t>
      </w:r>
    </w:p>
    <w:p w14:paraId="4E12043B" w14:textId="319659F5" w:rsidR="00C10DD7" w:rsidRPr="00CE42B4" w:rsidRDefault="00C10DD7" w:rsidP="00A97822">
      <w:pPr>
        <w:widowControl w:val="0"/>
        <w:numPr>
          <w:ilvl w:val="1"/>
          <w:numId w:val="1"/>
        </w:numPr>
        <w:spacing w:after="120"/>
        <w:rPr>
          <w:rFonts w:asciiTheme="minorHAnsi" w:hAnsiTheme="minorHAnsi"/>
          <w:snapToGrid w:val="0"/>
          <w:szCs w:val="20"/>
        </w:rPr>
      </w:pPr>
      <w:bookmarkStart w:id="25"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 </w:t>
      </w:r>
      <w:r w:rsidR="00866FF1">
        <w:rPr>
          <w:rFonts w:asciiTheme="minorHAnsi" w:hAnsiTheme="minorHAnsi"/>
          <w:snapToGrid w:val="0"/>
          <w:szCs w:val="20"/>
        </w:rPr>
        <w:t>and</w:t>
      </w:r>
      <w:r w:rsidRPr="00CE42B4">
        <w:rPr>
          <w:rFonts w:asciiTheme="minorHAnsi" w:hAnsiTheme="minorHAnsi"/>
          <w:snapToGrid w:val="0"/>
          <w:szCs w:val="20"/>
        </w:rPr>
        <w:t xml:space="preserve"> safety was reasonable.</w:t>
      </w:r>
    </w:p>
    <w:p w14:paraId="689285F1" w14:textId="77777777" w:rsidR="00E5129A" w:rsidRPr="00E96E9F" w:rsidRDefault="00811E0E" w:rsidP="00811E0E">
      <w:pPr>
        <w:pStyle w:val="4-SubsectionHeading"/>
      </w:pPr>
      <w:bookmarkStart w:id="26" w:name="_Toc22897645"/>
      <w:bookmarkStart w:id="27" w:name="_Toc93499824"/>
      <w:bookmarkEnd w:id="25"/>
      <w:r w:rsidRPr="00E96E9F">
        <w:t>Economic</w:t>
      </w:r>
      <w:r w:rsidR="00F96B2F" w:rsidRPr="00E96E9F">
        <w:t xml:space="preserve"> </w:t>
      </w:r>
      <w:r w:rsidRPr="00E96E9F">
        <w:t>analysis</w:t>
      </w:r>
      <w:bookmarkEnd w:id="26"/>
      <w:bookmarkEnd w:id="27"/>
    </w:p>
    <w:p w14:paraId="04597ADB" w14:textId="3121CACB" w:rsidR="00AB5599" w:rsidRPr="00E96E9F" w:rsidRDefault="00811E0E" w:rsidP="007F077D">
      <w:pPr>
        <w:pStyle w:val="3-BodyText"/>
        <w:rPr>
          <w:rStyle w:val="normaltextrun"/>
        </w:rPr>
      </w:pPr>
      <w:r w:rsidRPr="00E96E9F">
        <w:t>The</w:t>
      </w:r>
      <w:r w:rsidR="00F96B2F" w:rsidRPr="00E96E9F">
        <w:t xml:space="preserve"> </w:t>
      </w:r>
      <w:r w:rsidRPr="00E96E9F">
        <w:t>submission</w:t>
      </w:r>
      <w:r w:rsidR="00F96B2F" w:rsidRPr="00E96E9F">
        <w:t xml:space="preserve"> </w:t>
      </w:r>
      <w:r w:rsidRPr="00E96E9F">
        <w:t>presented</w:t>
      </w:r>
      <w:r w:rsidR="00F96B2F" w:rsidRPr="00E96E9F">
        <w:t xml:space="preserve"> </w:t>
      </w:r>
      <w:r w:rsidRPr="00E96E9F">
        <w:t>a</w:t>
      </w:r>
      <w:r w:rsidR="00F96B2F" w:rsidRPr="00E96E9F">
        <w:t xml:space="preserve"> </w:t>
      </w:r>
      <w:r w:rsidRPr="00E96E9F">
        <w:t>cost-minimisation</w:t>
      </w:r>
      <w:r w:rsidR="00F96B2F" w:rsidRPr="00E96E9F">
        <w:t xml:space="preserve"> </w:t>
      </w:r>
      <w:r w:rsidRPr="00E96E9F">
        <w:t>analysis</w:t>
      </w:r>
      <w:r w:rsidR="00F96B2F" w:rsidRPr="00E96E9F">
        <w:t xml:space="preserve"> </w:t>
      </w:r>
      <w:r w:rsidRPr="00E96E9F">
        <w:t>of</w:t>
      </w:r>
      <w:r w:rsidR="00F96B2F" w:rsidRPr="00E96E9F">
        <w:t xml:space="preserve"> </w:t>
      </w:r>
      <w:r w:rsidRPr="00E96E9F">
        <w:t>once-weekly</w:t>
      </w:r>
      <w:r w:rsidR="00F96B2F" w:rsidRPr="00E96E9F">
        <w:t xml:space="preserve"> </w:t>
      </w:r>
      <w:proofErr w:type="spellStart"/>
      <w:r w:rsidRPr="00E96E9F">
        <w:t>somatrogon</w:t>
      </w:r>
      <w:proofErr w:type="spellEnd"/>
      <w:r w:rsidR="00F96B2F" w:rsidRPr="00E96E9F">
        <w:t xml:space="preserve"> </w:t>
      </w:r>
      <w:r w:rsidRPr="00E96E9F">
        <w:t>compared</w:t>
      </w:r>
      <w:r w:rsidR="00F96B2F" w:rsidRPr="00E96E9F">
        <w:t xml:space="preserve"> </w:t>
      </w:r>
      <w:r w:rsidRPr="00E96E9F">
        <w:t>to</w:t>
      </w:r>
      <w:r w:rsidR="00F96B2F" w:rsidRPr="00E96E9F">
        <w:t xml:space="preserve"> </w:t>
      </w:r>
      <w:r w:rsidRPr="00E96E9F">
        <w:t>daily</w:t>
      </w:r>
      <w:r w:rsidR="00F96B2F" w:rsidRPr="00E96E9F">
        <w:t xml:space="preserve"> </w:t>
      </w:r>
      <w:r w:rsidRPr="00E96E9F">
        <w:t>somatropin</w:t>
      </w:r>
      <w:r w:rsidR="00F96B2F" w:rsidRPr="00E96E9F">
        <w:t xml:space="preserve"> </w:t>
      </w:r>
      <w:r w:rsidRPr="00E96E9F">
        <w:t>in</w:t>
      </w:r>
      <w:r w:rsidR="00F96B2F" w:rsidRPr="00E96E9F">
        <w:t xml:space="preserve"> </w:t>
      </w:r>
      <w:r w:rsidRPr="00E96E9F">
        <w:t>paediatric</w:t>
      </w:r>
      <w:r w:rsidR="00F96B2F" w:rsidRPr="00E96E9F">
        <w:t xml:space="preserve"> </w:t>
      </w:r>
      <w:r w:rsidRPr="00E96E9F">
        <w:t>patients</w:t>
      </w:r>
      <w:r w:rsidR="00F96B2F" w:rsidRPr="00E96E9F">
        <w:t xml:space="preserve"> </w:t>
      </w:r>
      <w:r w:rsidRPr="00E96E9F">
        <w:t>for</w:t>
      </w:r>
      <w:r w:rsidR="00F96B2F" w:rsidRPr="00E96E9F">
        <w:t xml:space="preserve"> </w:t>
      </w:r>
      <w:r w:rsidRPr="00E96E9F">
        <w:t>the</w:t>
      </w:r>
      <w:r w:rsidR="00F96B2F" w:rsidRPr="00E96E9F">
        <w:t xml:space="preserve"> </w:t>
      </w:r>
      <w:r w:rsidRPr="00E96E9F">
        <w:t>treatment</w:t>
      </w:r>
      <w:r w:rsidR="00F96B2F" w:rsidRPr="00E96E9F">
        <w:t xml:space="preserve"> </w:t>
      </w:r>
      <w:r w:rsidRPr="00E96E9F">
        <w:t>of</w:t>
      </w:r>
      <w:r w:rsidR="00F96B2F" w:rsidRPr="00E96E9F">
        <w:t xml:space="preserve"> </w:t>
      </w:r>
      <w:r w:rsidR="007F077D">
        <w:t>SSAB</w:t>
      </w:r>
      <w:r w:rsidRPr="00E96E9F">
        <w:t>GHD,</w:t>
      </w:r>
      <w:r w:rsidR="00F96B2F" w:rsidRPr="00E96E9F">
        <w:t xml:space="preserve"> </w:t>
      </w:r>
      <w:r w:rsidRPr="00E96E9F">
        <w:t>and</w:t>
      </w:r>
      <w:r w:rsidR="00F96B2F" w:rsidRPr="00E96E9F">
        <w:t xml:space="preserve"> </w:t>
      </w:r>
      <w:r w:rsidR="007F077D">
        <w:t>SSSG</w:t>
      </w:r>
      <w:r w:rsidRPr="00E96E9F">
        <w:t>.</w:t>
      </w:r>
      <w:r w:rsidR="00F96B2F" w:rsidRPr="00E96E9F">
        <w:t xml:space="preserve"> </w:t>
      </w:r>
      <w:r w:rsidRPr="00E96E9F">
        <w:t>The</w:t>
      </w:r>
      <w:r w:rsidR="00F96B2F" w:rsidRPr="00E96E9F">
        <w:t xml:space="preserve"> </w:t>
      </w:r>
      <w:r w:rsidRPr="00E96E9F">
        <w:t>submission</w:t>
      </w:r>
      <w:r w:rsidR="00F96B2F" w:rsidRPr="00E96E9F">
        <w:t xml:space="preserve"> </w:t>
      </w:r>
      <w:r w:rsidRPr="00E96E9F">
        <w:t>assumed</w:t>
      </w:r>
      <w:r w:rsidR="00F96B2F" w:rsidRPr="00E96E9F">
        <w:t xml:space="preserve"> </w:t>
      </w:r>
      <w:r w:rsidRPr="00E96E9F">
        <w:t>non-inferior</w:t>
      </w:r>
      <w:r w:rsidR="00F96B2F" w:rsidRPr="00E96E9F">
        <w:t xml:space="preserve"> </w:t>
      </w:r>
      <w:r w:rsidRPr="00E96E9F">
        <w:t>effectiveness</w:t>
      </w:r>
      <w:r w:rsidR="007F077D">
        <w:t xml:space="preserve"> to somatropin</w:t>
      </w:r>
      <w:r w:rsidR="00F96B2F" w:rsidRPr="00E96E9F">
        <w:t xml:space="preserve"> </w:t>
      </w:r>
      <w:r w:rsidRPr="00E96E9F">
        <w:t>in</w:t>
      </w:r>
      <w:r w:rsidR="00F96B2F" w:rsidRPr="00E96E9F">
        <w:t xml:space="preserve"> </w:t>
      </w:r>
      <w:r w:rsidRPr="00E96E9F">
        <w:t>terms</w:t>
      </w:r>
      <w:r w:rsidR="00F96B2F" w:rsidRPr="00E96E9F">
        <w:t xml:space="preserve"> </w:t>
      </w:r>
      <w:r w:rsidRPr="00E96E9F">
        <w:t>of</w:t>
      </w:r>
      <w:r w:rsidR="00F96B2F" w:rsidRPr="00E96E9F">
        <w:t xml:space="preserve"> </w:t>
      </w:r>
      <w:r w:rsidRPr="00E96E9F">
        <w:t>annual</w:t>
      </w:r>
      <w:r w:rsidR="00F96B2F" w:rsidRPr="00E96E9F">
        <w:t xml:space="preserve"> </w:t>
      </w:r>
      <w:r w:rsidR="00A64EA9">
        <w:t>HV</w:t>
      </w:r>
      <w:r w:rsidR="00F96B2F" w:rsidRPr="00E96E9F">
        <w:t xml:space="preserve"> </w:t>
      </w:r>
      <w:r w:rsidRPr="00E96E9F">
        <w:t>at</w:t>
      </w:r>
      <w:r w:rsidR="00F96B2F" w:rsidRPr="00E96E9F">
        <w:t xml:space="preserve"> </w:t>
      </w:r>
      <w:r w:rsidRPr="00E96E9F">
        <w:t>12</w:t>
      </w:r>
      <w:r w:rsidR="00F96B2F" w:rsidRPr="00E96E9F">
        <w:t xml:space="preserve"> </w:t>
      </w:r>
      <w:r w:rsidRPr="00E96E9F">
        <w:t>months,</w:t>
      </w:r>
      <w:r w:rsidR="00F96B2F" w:rsidRPr="00E96E9F">
        <w:t xml:space="preserve"> </w:t>
      </w:r>
      <w:r w:rsidRPr="00E96E9F">
        <w:t>and</w:t>
      </w:r>
      <w:r w:rsidR="00F96B2F" w:rsidRPr="00E96E9F">
        <w:t xml:space="preserve"> </w:t>
      </w:r>
      <w:r w:rsidRPr="00E96E9F">
        <w:t>non-inferior</w:t>
      </w:r>
      <w:r w:rsidR="007F077D">
        <w:t xml:space="preserve"> </w:t>
      </w:r>
      <w:r w:rsidRPr="00E96E9F">
        <w:t>safety</w:t>
      </w:r>
      <w:r w:rsidR="00F96B2F" w:rsidRPr="00E96E9F">
        <w:t xml:space="preserve"> </w:t>
      </w:r>
      <w:r w:rsidRPr="00E96E9F">
        <w:t>in</w:t>
      </w:r>
      <w:r w:rsidR="00F96B2F" w:rsidRPr="00E96E9F">
        <w:t xml:space="preserve"> </w:t>
      </w:r>
      <w:r w:rsidRPr="00E96E9F">
        <w:t>terms</w:t>
      </w:r>
      <w:r w:rsidR="00F96B2F" w:rsidRPr="00E96E9F">
        <w:t xml:space="preserve"> </w:t>
      </w:r>
      <w:r w:rsidRPr="00E96E9F">
        <w:t>of</w:t>
      </w:r>
      <w:r w:rsidR="00F96B2F" w:rsidRPr="00E96E9F">
        <w:t xml:space="preserve"> </w:t>
      </w:r>
      <w:r w:rsidRPr="00E96E9F">
        <w:t>AEs</w:t>
      </w:r>
      <w:r w:rsidR="00F96B2F" w:rsidRPr="00E96E9F">
        <w:t xml:space="preserve"> </w:t>
      </w:r>
      <w:r w:rsidRPr="00E96E9F">
        <w:t>at</w:t>
      </w:r>
      <w:r w:rsidR="00F96B2F" w:rsidRPr="00E96E9F">
        <w:t xml:space="preserve"> </w:t>
      </w:r>
      <w:r w:rsidRPr="00E96E9F">
        <w:t>12</w:t>
      </w:r>
      <w:r w:rsidR="00F96B2F" w:rsidRPr="00E96E9F">
        <w:t xml:space="preserve"> </w:t>
      </w:r>
      <w:r w:rsidRPr="00E96E9F">
        <w:t>months.</w:t>
      </w:r>
      <w:r w:rsidR="00F96B2F" w:rsidRPr="00E96E9F">
        <w:t xml:space="preserve"> </w:t>
      </w:r>
      <w:r w:rsidRPr="00BF1BFB">
        <w:rPr>
          <w:iCs/>
        </w:rPr>
        <w:t>The</w:t>
      </w:r>
      <w:r w:rsidR="00F96B2F" w:rsidRPr="00BF1BFB">
        <w:rPr>
          <w:iCs/>
        </w:rPr>
        <w:t xml:space="preserve"> </w:t>
      </w:r>
      <w:r w:rsidRPr="00BF1BFB">
        <w:rPr>
          <w:iCs/>
        </w:rPr>
        <w:t>use</w:t>
      </w:r>
      <w:r w:rsidR="00F96B2F" w:rsidRPr="00BF1BFB">
        <w:rPr>
          <w:iCs/>
        </w:rPr>
        <w:t xml:space="preserve"> </w:t>
      </w:r>
      <w:r w:rsidRPr="00BF1BFB">
        <w:rPr>
          <w:iCs/>
        </w:rPr>
        <w:t>of</w:t>
      </w:r>
      <w:r w:rsidR="00F96B2F" w:rsidRPr="00BF1BFB">
        <w:rPr>
          <w:iCs/>
        </w:rPr>
        <w:t xml:space="preserve"> </w:t>
      </w:r>
      <w:r w:rsidR="007F077D">
        <w:rPr>
          <w:iCs/>
        </w:rPr>
        <w:t xml:space="preserve">a </w:t>
      </w:r>
      <w:r w:rsidRPr="00BF1BFB">
        <w:rPr>
          <w:iCs/>
        </w:rPr>
        <w:t>cost-minimisation</w:t>
      </w:r>
      <w:r w:rsidR="00F96B2F" w:rsidRPr="00BF1BFB">
        <w:rPr>
          <w:iCs/>
        </w:rPr>
        <w:t xml:space="preserve"> </w:t>
      </w:r>
      <w:r w:rsidR="007F077D">
        <w:rPr>
          <w:iCs/>
        </w:rPr>
        <w:t>wa</w:t>
      </w:r>
      <w:r w:rsidR="007F077D" w:rsidRPr="00BF1BFB">
        <w:rPr>
          <w:iCs/>
        </w:rPr>
        <w:t xml:space="preserve">s </w:t>
      </w:r>
      <w:r w:rsidRPr="00BF1BFB">
        <w:rPr>
          <w:iCs/>
        </w:rPr>
        <w:t>appropriate</w:t>
      </w:r>
      <w:r w:rsidR="00F96B2F" w:rsidRPr="00BF1BFB">
        <w:rPr>
          <w:iCs/>
        </w:rPr>
        <w:t xml:space="preserve"> </w:t>
      </w:r>
      <w:r w:rsidRPr="00BF1BFB">
        <w:rPr>
          <w:iCs/>
        </w:rPr>
        <w:t>considering</w:t>
      </w:r>
      <w:r w:rsidR="00F96B2F" w:rsidRPr="00BF1BFB">
        <w:rPr>
          <w:iCs/>
        </w:rPr>
        <w:t xml:space="preserve"> </w:t>
      </w:r>
      <w:r w:rsidRPr="00BF1BFB">
        <w:rPr>
          <w:iCs/>
        </w:rPr>
        <w:t>that</w:t>
      </w:r>
      <w:r w:rsidR="00F96B2F" w:rsidRPr="00BF1BFB">
        <w:rPr>
          <w:iCs/>
        </w:rPr>
        <w:t xml:space="preserve"> </w:t>
      </w:r>
      <w:r w:rsidRPr="00BF1BFB">
        <w:rPr>
          <w:iCs/>
        </w:rPr>
        <w:t>the</w:t>
      </w:r>
      <w:r w:rsidR="00F96B2F" w:rsidRPr="00BF1BFB">
        <w:rPr>
          <w:iCs/>
        </w:rPr>
        <w:t xml:space="preserve"> </w:t>
      </w:r>
      <w:r w:rsidRPr="00BF1BFB">
        <w:rPr>
          <w:iCs/>
        </w:rPr>
        <w:t>claim</w:t>
      </w:r>
      <w:r w:rsidR="00F96B2F" w:rsidRPr="00BF1BFB">
        <w:rPr>
          <w:iCs/>
        </w:rPr>
        <w:t xml:space="preserve"> </w:t>
      </w:r>
      <w:r w:rsidRPr="00BF1BFB">
        <w:rPr>
          <w:rStyle w:val="normaltextrun"/>
          <w:rFonts w:ascii="Calibri" w:hAnsi="Calibri" w:cs="Calibri"/>
          <w:iCs/>
        </w:rPr>
        <w:t>of</w:t>
      </w:r>
      <w:r w:rsidR="00F96B2F" w:rsidRPr="00BF1BFB">
        <w:rPr>
          <w:rStyle w:val="normaltextrun"/>
          <w:rFonts w:ascii="Calibri" w:hAnsi="Calibri" w:cs="Calibri"/>
          <w:iCs/>
        </w:rPr>
        <w:t xml:space="preserve"> </w:t>
      </w:r>
      <w:r w:rsidRPr="00BF1BFB">
        <w:rPr>
          <w:rStyle w:val="normaltextrun"/>
          <w:rFonts w:ascii="Calibri" w:hAnsi="Calibri" w:cs="Calibri"/>
          <w:iCs/>
        </w:rPr>
        <w:t>non-inferiority</w:t>
      </w:r>
      <w:r w:rsidR="00F96B2F" w:rsidRPr="00BF1BFB">
        <w:rPr>
          <w:rStyle w:val="normaltextrun"/>
          <w:rFonts w:ascii="Calibri" w:hAnsi="Calibri" w:cs="Calibri"/>
          <w:iCs/>
        </w:rPr>
        <w:t xml:space="preserve"> </w:t>
      </w:r>
      <w:r w:rsidRPr="00BF1BFB">
        <w:rPr>
          <w:rStyle w:val="normaltextrun"/>
          <w:rFonts w:ascii="Calibri" w:hAnsi="Calibri" w:cs="Calibri"/>
          <w:iCs/>
        </w:rPr>
        <w:t>was</w:t>
      </w:r>
      <w:r w:rsidR="00F96B2F" w:rsidRPr="00BF1BFB">
        <w:rPr>
          <w:rStyle w:val="normaltextrun"/>
          <w:rFonts w:ascii="Calibri" w:hAnsi="Calibri" w:cs="Calibri"/>
          <w:iCs/>
        </w:rPr>
        <w:t xml:space="preserve"> </w:t>
      </w:r>
      <w:r w:rsidRPr="00BF1BFB">
        <w:rPr>
          <w:rStyle w:val="normaltextrun"/>
          <w:rFonts w:ascii="Calibri" w:hAnsi="Calibri" w:cs="Calibri"/>
          <w:iCs/>
        </w:rPr>
        <w:t>mostly</w:t>
      </w:r>
      <w:r w:rsidR="00F96B2F" w:rsidRPr="00BF1BFB">
        <w:rPr>
          <w:rStyle w:val="normaltextrun"/>
          <w:rFonts w:ascii="Calibri" w:hAnsi="Calibri" w:cs="Calibri"/>
          <w:iCs/>
        </w:rPr>
        <w:t xml:space="preserve"> </w:t>
      </w:r>
      <w:r w:rsidRPr="00BF1BFB">
        <w:rPr>
          <w:rStyle w:val="normaltextrun"/>
          <w:rFonts w:ascii="Calibri" w:hAnsi="Calibri" w:cs="Calibri"/>
          <w:iCs/>
        </w:rPr>
        <w:t>supported</w:t>
      </w:r>
      <w:r w:rsidR="00F96B2F" w:rsidRPr="00BF1BFB">
        <w:rPr>
          <w:rStyle w:val="normaltextrun"/>
          <w:rFonts w:ascii="Calibri" w:hAnsi="Calibri" w:cs="Calibri"/>
          <w:iCs/>
        </w:rPr>
        <w:t xml:space="preserve"> </w:t>
      </w:r>
      <w:r w:rsidRPr="00BF1BFB">
        <w:rPr>
          <w:rStyle w:val="normaltextrun"/>
          <w:rFonts w:ascii="Calibri" w:hAnsi="Calibri" w:cs="Calibri"/>
          <w:iCs/>
        </w:rPr>
        <w:t>by</w:t>
      </w:r>
      <w:r w:rsidR="00F96B2F" w:rsidRPr="00BF1BFB">
        <w:rPr>
          <w:rStyle w:val="normaltextrun"/>
          <w:rFonts w:ascii="Calibri" w:hAnsi="Calibri" w:cs="Calibri"/>
          <w:iCs/>
        </w:rPr>
        <w:t xml:space="preserve"> </w:t>
      </w:r>
      <w:r w:rsidRPr="00BF1BFB">
        <w:rPr>
          <w:rStyle w:val="normaltextrun"/>
          <w:rFonts w:ascii="Calibri" w:hAnsi="Calibri" w:cs="Calibri"/>
          <w:iCs/>
        </w:rPr>
        <w:t>the</w:t>
      </w:r>
      <w:r w:rsidR="00F96B2F" w:rsidRPr="00BF1BFB">
        <w:rPr>
          <w:rStyle w:val="normaltextrun"/>
          <w:rFonts w:ascii="Calibri" w:hAnsi="Calibri" w:cs="Calibri"/>
          <w:iCs/>
        </w:rPr>
        <w:t xml:space="preserve"> </w:t>
      </w:r>
      <w:r w:rsidRPr="00BF1BFB">
        <w:rPr>
          <w:rStyle w:val="normaltextrun"/>
          <w:rFonts w:ascii="Calibri" w:hAnsi="Calibri" w:cs="Calibri"/>
          <w:iCs/>
        </w:rPr>
        <w:t>evidence.</w:t>
      </w:r>
    </w:p>
    <w:p w14:paraId="0A8B8811" w14:textId="60B90891" w:rsidR="00811E0E" w:rsidRPr="00E96E9F" w:rsidRDefault="00811E0E" w:rsidP="006D4B84">
      <w:pPr>
        <w:pStyle w:val="TableFigureHeading"/>
        <w:rPr>
          <w:rStyle w:val="CommentReference"/>
          <w:b/>
        </w:rPr>
      </w:pPr>
      <w:r w:rsidRPr="00E96E9F">
        <w:rPr>
          <w:rStyle w:val="CommentReference"/>
          <w:b/>
        </w:rPr>
        <w:lastRenderedPageBreak/>
        <w:t>Table</w:t>
      </w:r>
      <w:r w:rsidR="00F96B2F" w:rsidRPr="00E96E9F">
        <w:rPr>
          <w:rStyle w:val="CommentReference"/>
          <w:b/>
        </w:rPr>
        <w:t xml:space="preserve"> </w:t>
      </w:r>
      <w:r w:rsidR="00AE06E2" w:rsidRPr="00E96E9F">
        <w:rPr>
          <w:rStyle w:val="CommentReference"/>
          <w:b/>
          <w:bCs w:val="0"/>
        </w:rPr>
        <w:fldChar w:fldCharType="begin"/>
      </w:r>
      <w:r w:rsidR="00AE06E2" w:rsidRPr="00E96E9F">
        <w:rPr>
          <w:rStyle w:val="CommentReference"/>
          <w:b/>
          <w:bCs w:val="0"/>
        </w:rPr>
        <w:instrText xml:space="preserve"> SEQ Table \* ARABIC </w:instrText>
      </w:r>
      <w:r w:rsidR="00AE06E2" w:rsidRPr="00E96E9F">
        <w:rPr>
          <w:rStyle w:val="CommentReference"/>
          <w:b/>
          <w:bCs w:val="0"/>
        </w:rPr>
        <w:fldChar w:fldCharType="separate"/>
      </w:r>
      <w:r w:rsidR="005C48AC">
        <w:rPr>
          <w:rStyle w:val="CommentReference"/>
          <w:b/>
          <w:bCs w:val="0"/>
          <w:noProof/>
        </w:rPr>
        <w:t>6</w:t>
      </w:r>
      <w:r w:rsidR="00AE06E2" w:rsidRPr="00E96E9F">
        <w:rPr>
          <w:rStyle w:val="CommentReference"/>
          <w:b/>
          <w:bCs w:val="0"/>
        </w:rPr>
        <w:fldChar w:fldCharType="end"/>
      </w:r>
      <w:r w:rsidRPr="00E96E9F">
        <w:rPr>
          <w:rStyle w:val="CommentReference"/>
          <w:b/>
          <w:bCs w:val="0"/>
        </w:rPr>
        <w:t>:</w:t>
      </w:r>
      <w:r w:rsidR="00F96B2F" w:rsidRPr="00E96E9F">
        <w:rPr>
          <w:rStyle w:val="CommentReference"/>
          <w:b/>
        </w:rPr>
        <w:t xml:space="preserve"> </w:t>
      </w:r>
      <w:r w:rsidRPr="00E96E9F">
        <w:rPr>
          <w:rStyle w:val="CommentReference"/>
          <w:b/>
        </w:rPr>
        <w:t>Key</w:t>
      </w:r>
      <w:r w:rsidR="00F96B2F" w:rsidRPr="00E96E9F">
        <w:rPr>
          <w:rStyle w:val="CommentReference"/>
          <w:b/>
        </w:rPr>
        <w:t xml:space="preserve"> </w:t>
      </w:r>
      <w:r w:rsidRPr="00E96E9F">
        <w:rPr>
          <w:rStyle w:val="CommentReference"/>
          <w:b/>
        </w:rPr>
        <w:t>components</w:t>
      </w:r>
      <w:r w:rsidR="00F96B2F" w:rsidRPr="00E96E9F">
        <w:rPr>
          <w:rStyle w:val="CommentReference"/>
          <w:b/>
        </w:rPr>
        <w:t xml:space="preserve"> </w:t>
      </w:r>
      <w:r w:rsidRPr="00E96E9F">
        <w:rPr>
          <w:rStyle w:val="CommentReference"/>
          <w:b/>
        </w:rPr>
        <w:t>and</w:t>
      </w:r>
      <w:r w:rsidR="00F96B2F" w:rsidRPr="00E96E9F">
        <w:rPr>
          <w:rStyle w:val="CommentReference"/>
          <w:b/>
        </w:rPr>
        <w:t xml:space="preserve"> </w:t>
      </w:r>
      <w:r w:rsidRPr="00E96E9F">
        <w:rPr>
          <w:rStyle w:val="CommentReference"/>
          <w:b/>
        </w:rPr>
        <w:t>assumptions</w:t>
      </w:r>
      <w:r w:rsidR="00F96B2F" w:rsidRPr="00E96E9F">
        <w:rPr>
          <w:rStyle w:val="CommentReference"/>
          <w:b/>
        </w:rPr>
        <w:t xml:space="preserve"> </w:t>
      </w:r>
      <w:r w:rsidRPr="00E96E9F">
        <w:rPr>
          <w:rStyle w:val="CommentReference"/>
          <w:b/>
        </w:rPr>
        <w:t>of</w:t>
      </w:r>
      <w:r w:rsidR="00F96B2F" w:rsidRPr="00E96E9F">
        <w:rPr>
          <w:rStyle w:val="CommentReference"/>
          <w:b/>
        </w:rPr>
        <w:t xml:space="preserve"> </w:t>
      </w:r>
      <w:r w:rsidRPr="00E96E9F">
        <w:rPr>
          <w:rStyle w:val="CommentReference"/>
          <w:b/>
        </w:rPr>
        <w:t>the</w:t>
      </w:r>
      <w:r w:rsidR="00F96B2F" w:rsidRPr="00E96E9F">
        <w:rPr>
          <w:rStyle w:val="CommentReference"/>
          <w:b/>
        </w:rPr>
        <w:t xml:space="preserve"> </w:t>
      </w:r>
      <w:r w:rsidRPr="00E96E9F">
        <w:rPr>
          <w:rStyle w:val="CommentReference"/>
          <w:b/>
        </w:rPr>
        <w:t>cost-minimisation</w:t>
      </w:r>
      <w:r w:rsidR="00F96B2F" w:rsidRPr="00E96E9F">
        <w:rPr>
          <w:rStyle w:val="CommentReference"/>
          <w:b/>
        </w:rPr>
        <w:t xml:space="preserve"> </w:t>
      </w:r>
      <w:r w:rsidRPr="00E96E9F">
        <w:rPr>
          <w:rStyle w:val="CommentReference"/>
          <w:b/>
        </w:rPr>
        <w:t>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Key components and assumptions of the cost-minimisation analysis"/>
      </w:tblPr>
      <w:tblGrid>
        <w:gridCol w:w="2660"/>
        <w:gridCol w:w="6520"/>
      </w:tblGrid>
      <w:tr w:rsidR="00811E0E" w:rsidRPr="00E96E9F" w14:paraId="5C7EAE5A" w14:textId="77777777" w:rsidTr="00CF047E">
        <w:tc>
          <w:tcPr>
            <w:tcW w:w="2660" w:type="dxa"/>
            <w:vAlign w:val="center"/>
          </w:tcPr>
          <w:p w14:paraId="25EFA8C7" w14:textId="77777777" w:rsidR="00811E0E" w:rsidRPr="00E96E9F" w:rsidRDefault="00811E0E" w:rsidP="00DB65AC">
            <w:pPr>
              <w:pStyle w:val="In-tableHeading"/>
              <w:widowControl w:val="0"/>
              <w:rPr>
                <w:lang w:val="en-AU"/>
              </w:rPr>
            </w:pPr>
            <w:r w:rsidRPr="00E96E9F">
              <w:rPr>
                <w:lang w:val="en-AU"/>
              </w:rPr>
              <w:t>Component</w:t>
            </w:r>
          </w:p>
        </w:tc>
        <w:tc>
          <w:tcPr>
            <w:tcW w:w="6520" w:type="dxa"/>
            <w:vAlign w:val="center"/>
          </w:tcPr>
          <w:p w14:paraId="762AA166" w14:textId="5F663F72" w:rsidR="00811E0E" w:rsidRPr="00E96E9F" w:rsidRDefault="00811E0E" w:rsidP="00DB65AC">
            <w:pPr>
              <w:pStyle w:val="In-tableHeading"/>
              <w:widowControl w:val="0"/>
              <w:rPr>
                <w:lang w:val="en-AU"/>
              </w:rPr>
            </w:pPr>
            <w:r w:rsidRPr="00E96E9F">
              <w:rPr>
                <w:lang w:val="en-AU"/>
              </w:rPr>
              <w:t>Claim</w:t>
            </w:r>
            <w:r w:rsidR="00F96B2F" w:rsidRPr="00E96E9F">
              <w:rPr>
                <w:lang w:val="en-AU"/>
              </w:rPr>
              <w:t xml:space="preserve"> </w:t>
            </w:r>
            <w:r w:rsidRPr="00E96E9F">
              <w:rPr>
                <w:lang w:val="en-AU"/>
              </w:rPr>
              <w:t>or</w:t>
            </w:r>
            <w:r w:rsidR="00F96B2F" w:rsidRPr="00E96E9F">
              <w:rPr>
                <w:lang w:val="en-AU"/>
              </w:rPr>
              <w:t xml:space="preserve"> </w:t>
            </w:r>
            <w:r w:rsidRPr="00E96E9F">
              <w:rPr>
                <w:lang w:val="en-AU"/>
              </w:rPr>
              <w:t>assumption</w:t>
            </w:r>
          </w:p>
        </w:tc>
      </w:tr>
      <w:tr w:rsidR="00811E0E" w:rsidRPr="00E96E9F" w14:paraId="6733113F" w14:textId="77777777" w:rsidTr="00CF047E">
        <w:tc>
          <w:tcPr>
            <w:tcW w:w="2660" w:type="dxa"/>
            <w:vAlign w:val="center"/>
          </w:tcPr>
          <w:p w14:paraId="02F3ACE8" w14:textId="2437D1B6" w:rsidR="00811E0E" w:rsidRPr="00E96E9F" w:rsidRDefault="00811E0E" w:rsidP="00DB65AC">
            <w:pPr>
              <w:pStyle w:val="TableText0"/>
              <w:widowControl w:val="0"/>
            </w:pPr>
            <w:r w:rsidRPr="00E96E9F">
              <w:t>Therapeutic</w:t>
            </w:r>
            <w:r w:rsidR="00F96B2F" w:rsidRPr="00E96E9F">
              <w:t xml:space="preserve"> </w:t>
            </w:r>
            <w:r w:rsidRPr="00E96E9F">
              <w:t>claim:</w:t>
            </w:r>
            <w:r w:rsidR="00F96B2F" w:rsidRPr="00E96E9F">
              <w:t xml:space="preserve"> </w:t>
            </w:r>
            <w:r w:rsidRPr="00E96E9F">
              <w:t>effectiveness</w:t>
            </w:r>
          </w:p>
        </w:tc>
        <w:tc>
          <w:tcPr>
            <w:tcW w:w="6520" w:type="dxa"/>
          </w:tcPr>
          <w:p w14:paraId="7C6C70DF" w14:textId="6AABEEF4" w:rsidR="00811E0E" w:rsidRPr="00E96E9F" w:rsidRDefault="002D5BA0" w:rsidP="005E1BA2">
            <w:pPr>
              <w:pStyle w:val="TableText0"/>
              <w:widowControl w:val="0"/>
              <w:rPr>
                <w:rFonts w:eastAsia="MS Gothic" w:cs="Times New Roman"/>
                <w:i/>
                <w:iCs/>
              </w:rPr>
            </w:pPr>
            <w:proofErr w:type="spellStart"/>
            <w:r>
              <w:t>S</w:t>
            </w:r>
            <w:r w:rsidR="00811E0E" w:rsidRPr="00E96E9F">
              <w:t>omatrogon</w:t>
            </w:r>
            <w:proofErr w:type="spellEnd"/>
            <w:r w:rsidR="00F96B2F" w:rsidRPr="00E96E9F">
              <w:t xml:space="preserve"> </w:t>
            </w:r>
            <w:r w:rsidR="00811E0E" w:rsidRPr="00E96E9F">
              <w:t>was</w:t>
            </w:r>
            <w:r w:rsidR="00F96B2F" w:rsidRPr="00E96E9F">
              <w:t xml:space="preserve"> </w:t>
            </w:r>
            <w:r w:rsidR="00811E0E" w:rsidRPr="00E96E9F">
              <w:t>assumed</w:t>
            </w:r>
            <w:r w:rsidR="00F96B2F" w:rsidRPr="00E96E9F">
              <w:t xml:space="preserve"> </w:t>
            </w:r>
            <w:r w:rsidR="00811E0E" w:rsidRPr="00E96E9F">
              <w:t>to</w:t>
            </w:r>
            <w:r w:rsidR="00F96B2F" w:rsidRPr="00E96E9F">
              <w:t xml:space="preserve"> </w:t>
            </w:r>
            <w:r w:rsidR="00811E0E" w:rsidRPr="00E96E9F">
              <w:t>be</w:t>
            </w:r>
            <w:r w:rsidR="00F96B2F" w:rsidRPr="00E96E9F">
              <w:t xml:space="preserve"> </w:t>
            </w:r>
            <w:r w:rsidR="00811E0E" w:rsidRPr="00E96E9F">
              <w:t>non-inferior</w:t>
            </w:r>
            <w:r w:rsidR="00F96B2F" w:rsidRPr="00E96E9F">
              <w:t xml:space="preserve"> </w:t>
            </w:r>
            <w:r w:rsidR="00811E0E" w:rsidRPr="00E96E9F">
              <w:t>to</w:t>
            </w:r>
            <w:r w:rsidR="00F96B2F" w:rsidRPr="00E96E9F">
              <w:t xml:space="preserve"> </w:t>
            </w:r>
            <w:r w:rsidR="00811E0E" w:rsidRPr="00E96E9F">
              <w:rPr>
                <w:rFonts w:cs="Calibri"/>
              </w:rPr>
              <w:t>somatropin</w:t>
            </w:r>
            <w:r w:rsidR="00ED0DDD">
              <w:rPr>
                <w:rFonts w:cs="Calibri"/>
              </w:rPr>
              <w:t xml:space="preserve"> for the treatment of </w:t>
            </w:r>
            <w:proofErr w:type="spellStart"/>
            <w:r w:rsidR="00ED0DDD">
              <w:rPr>
                <w:rFonts w:cs="Calibri"/>
              </w:rPr>
              <w:t>pGHD</w:t>
            </w:r>
            <w:proofErr w:type="spellEnd"/>
            <w:r w:rsidR="00F96B2F" w:rsidRPr="00E96E9F">
              <w:rPr>
                <w:rFonts w:cs="Calibri"/>
              </w:rPr>
              <w:t xml:space="preserve"> </w:t>
            </w:r>
            <w:r w:rsidR="00811E0E" w:rsidRPr="00E96E9F">
              <w:t>with</w:t>
            </w:r>
            <w:r w:rsidR="00F96B2F" w:rsidRPr="00E96E9F">
              <w:t xml:space="preserve"> </w:t>
            </w:r>
            <w:r w:rsidR="00811E0E" w:rsidRPr="00E96E9F">
              <w:t>respect</w:t>
            </w:r>
            <w:r w:rsidR="00F96B2F" w:rsidRPr="00E96E9F">
              <w:t xml:space="preserve"> </w:t>
            </w:r>
            <w:r w:rsidR="00811E0E" w:rsidRPr="00E96E9F">
              <w:t>to</w:t>
            </w:r>
            <w:r w:rsidR="00F96B2F" w:rsidRPr="00E96E9F">
              <w:t xml:space="preserve"> </w:t>
            </w:r>
            <w:r w:rsidR="00811E0E" w:rsidRPr="00E96E9F">
              <w:t>annual</w:t>
            </w:r>
            <w:r w:rsidR="00F96B2F" w:rsidRPr="00E96E9F">
              <w:t xml:space="preserve"> </w:t>
            </w:r>
            <w:r w:rsidR="00811E0E" w:rsidRPr="00E96E9F">
              <w:t>height</w:t>
            </w:r>
            <w:r w:rsidR="00F96B2F" w:rsidRPr="00E96E9F">
              <w:t xml:space="preserve"> </w:t>
            </w:r>
            <w:r w:rsidR="00811E0E" w:rsidRPr="00E96E9F">
              <w:t>velocity</w:t>
            </w:r>
            <w:r w:rsidR="00F96B2F" w:rsidRPr="00E96E9F">
              <w:t xml:space="preserve"> </w:t>
            </w:r>
            <w:r w:rsidR="00811E0E" w:rsidRPr="00E96E9F">
              <w:t>at</w:t>
            </w:r>
            <w:r w:rsidR="00F96B2F" w:rsidRPr="00E96E9F">
              <w:t xml:space="preserve"> </w:t>
            </w:r>
            <w:r w:rsidR="00811E0E" w:rsidRPr="00E96E9F">
              <w:t>12</w:t>
            </w:r>
            <w:r w:rsidR="00F96B2F" w:rsidRPr="00E96E9F">
              <w:t xml:space="preserve"> </w:t>
            </w:r>
            <w:r w:rsidR="00811E0E" w:rsidRPr="00E96E9F">
              <w:t>months.</w:t>
            </w:r>
          </w:p>
        </w:tc>
      </w:tr>
      <w:tr w:rsidR="00811E0E" w:rsidRPr="00E96E9F" w14:paraId="562B771A" w14:textId="77777777" w:rsidTr="00CF047E">
        <w:tc>
          <w:tcPr>
            <w:tcW w:w="2660" w:type="dxa"/>
            <w:vAlign w:val="center"/>
          </w:tcPr>
          <w:p w14:paraId="2D299001" w14:textId="50FE131F" w:rsidR="00811E0E" w:rsidRPr="00E96E9F" w:rsidRDefault="00811E0E" w:rsidP="00DB65AC">
            <w:pPr>
              <w:pStyle w:val="TableText0"/>
              <w:widowControl w:val="0"/>
            </w:pPr>
            <w:r w:rsidRPr="00E96E9F">
              <w:t>Therapeutic</w:t>
            </w:r>
            <w:r w:rsidR="00F96B2F" w:rsidRPr="00E96E9F">
              <w:t xml:space="preserve"> </w:t>
            </w:r>
            <w:r w:rsidRPr="00E96E9F">
              <w:t>claim:</w:t>
            </w:r>
            <w:r w:rsidR="00F96B2F" w:rsidRPr="00E96E9F">
              <w:t xml:space="preserve"> </w:t>
            </w:r>
            <w:r w:rsidRPr="00E96E9F">
              <w:t>safety</w:t>
            </w:r>
          </w:p>
        </w:tc>
        <w:tc>
          <w:tcPr>
            <w:tcW w:w="6520" w:type="dxa"/>
          </w:tcPr>
          <w:p w14:paraId="306963EE" w14:textId="16D230DF" w:rsidR="00811E0E" w:rsidRPr="00E96E9F" w:rsidRDefault="002D5BA0" w:rsidP="005E1BA2">
            <w:pPr>
              <w:pStyle w:val="TableText0"/>
              <w:widowControl w:val="0"/>
              <w:rPr>
                <w:rFonts w:eastAsia="MS Gothic" w:cs="Times New Roman"/>
              </w:rPr>
            </w:pPr>
            <w:proofErr w:type="spellStart"/>
            <w:r>
              <w:t>S</w:t>
            </w:r>
            <w:r w:rsidR="00811E0E" w:rsidRPr="00E96E9F">
              <w:t>omatrogon</w:t>
            </w:r>
            <w:proofErr w:type="spellEnd"/>
            <w:r w:rsidR="00F96B2F" w:rsidRPr="00E96E9F">
              <w:t xml:space="preserve"> </w:t>
            </w:r>
            <w:r w:rsidR="00811E0E" w:rsidRPr="00E96E9F">
              <w:t>was</w:t>
            </w:r>
            <w:r w:rsidR="00F96B2F" w:rsidRPr="00E96E9F">
              <w:t xml:space="preserve"> </w:t>
            </w:r>
            <w:r w:rsidR="00811E0E" w:rsidRPr="00E96E9F">
              <w:t>assumed</w:t>
            </w:r>
            <w:r w:rsidR="00F96B2F" w:rsidRPr="00E96E9F">
              <w:t xml:space="preserve"> </w:t>
            </w:r>
            <w:r w:rsidR="00811E0E" w:rsidRPr="00E96E9F">
              <w:t>to</w:t>
            </w:r>
            <w:r w:rsidR="00F96B2F" w:rsidRPr="00E96E9F">
              <w:t xml:space="preserve"> </w:t>
            </w:r>
            <w:r w:rsidR="00811E0E" w:rsidRPr="00E96E9F">
              <w:t>be</w:t>
            </w:r>
            <w:r w:rsidR="00F96B2F" w:rsidRPr="00E96E9F">
              <w:t xml:space="preserve"> </w:t>
            </w:r>
            <w:r w:rsidR="00811E0E" w:rsidRPr="00E96E9F">
              <w:t>non-inferior</w:t>
            </w:r>
            <w:r w:rsidR="00F96B2F" w:rsidRPr="00E96E9F">
              <w:t xml:space="preserve"> </w:t>
            </w:r>
            <w:r w:rsidR="00811E0E" w:rsidRPr="00E96E9F">
              <w:t>to</w:t>
            </w:r>
            <w:r w:rsidR="00F96B2F" w:rsidRPr="00E96E9F">
              <w:t xml:space="preserve"> </w:t>
            </w:r>
            <w:r w:rsidR="00811E0E" w:rsidRPr="00E96E9F">
              <w:rPr>
                <w:rFonts w:cs="Calibri"/>
              </w:rPr>
              <w:t>somatropin</w:t>
            </w:r>
            <w:r w:rsidR="00ED0DDD">
              <w:rPr>
                <w:rFonts w:cs="Calibri"/>
              </w:rPr>
              <w:t xml:space="preserve"> for the treatment of </w:t>
            </w:r>
            <w:proofErr w:type="spellStart"/>
            <w:r w:rsidR="00ED0DDD">
              <w:rPr>
                <w:rFonts w:cs="Calibri"/>
              </w:rPr>
              <w:t>pGHD</w:t>
            </w:r>
            <w:proofErr w:type="spellEnd"/>
            <w:r w:rsidR="00F96B2F" w:rsidRPr="00E96E9F">
              <w:rPr>
                <w:rFonts w:cs="Calibri"/>
              </w:rPr>
              <w:t xml:space="preserve"> </w:t>
            </w:r>
            <w:r w:rsidR="00811E0E" w:rsidRPr="00E96E9F">
              <w:t>with</w:t>
            </w:r>
            <w:r w:rsidR="00F96B2F" w:rsidRPr="00E96E9F">
              <w:t xml:space="preserve"> </w:t>
            </w:r>
            <w:r w:rsidR="00811E0E" w:rsidRPr="00E96E9F">
              <w:t>respect</w:t>
            </w:r>
            <w:r w:rsidR="00F96B2F" w:rsidRPr="00E96E9F">
              <w:t xml:space="preserve"> </w:t>
            </w:r>
            <w:r w:rsidR="00811E0E" w:rsidRPr="00E96E9F">
              <w:t>to</w:t>
            </w:r>
            <w:r w:rsidR="00F96B2F" w:rsidRPr="00E96E9F">
              <w:t xml:space="preserve"> </w:t>
            </w:r>
            <w:r w:rsidR="00811E0E" w:rsidRPr="00E96E9F">
              <w:t>AEs</w:t>
            </w:r>
            <w:r w:rsidR="00F96B2F" w:rsidRPr="00E96E9F">
              <w:t xml:space="preserve"> </w:t>
            </w:r>
            <w:r w:rsidR="00811E0E" w:rsidRPr="00E96E9F">
              <w:t>at</w:t>
            </w:r>
            <w:r w:rsidR="00F96B2F" w:rsidRPr="00E96E9F">
              <w:t xml:space="preserve"> </w:t>
            </w:r>
            <w:r w:rsidR="00811E0E" w:rsidRPr="00E96E9F">
              <w:t>12</w:t>
            </w:r>
            <w:r w:rsidR="00F96B2F" w:rsidRPr="00E96E9F">
              <w:t xml:space="preserve"> </w:t>
            </w:r>
            <w:r w:rsidR="00811E0E" w:rsidRPr="00E96E9F">
              <w:t>months.</w:t>
            </w:r>
          </w:p>
        </w:tc>
      </w:tr>
      <w:tr w:rsidR="00811E0E" w:rsidRPr="00E96E9F" w14:paraId="012040C1" w14:textId="77777777" w:rsidTr="00CF047E">
        <w:tc>
          <w:tcPr>
            <w:tcW w:w="2660" w:type="dxa"/>
            <w:vAlign w:val="center"/>
          </w:tcPr>
          <w:p w14:paraId="5C8511E3" w14:textId="499201D1" w:rsidR="00811E0E" w:rsidRPr="00E96E9F" w:rsidRDefault="00811E0E" w:rsidP="00DB65AC">
            <w:pPr>
              <w:pStyle w:val="TableText0"/>
              <w:widowControl w:val="0"/>
            </w:pPr>
            <w:r w:rsidRPr="00E96E9F">
              <w:t>Evidence</w:t>
            </w:r>
            <w:r w:rsidR="00F96B2F" w:rsidRPr="00E96E9F">
              <w:t xml:space="preserve"> </w:t>
            </w:r>
            <w:r w:rsidRPr="00E96E9F">
              <w:t>base</w:t>
            </w:r>
          </w:p>
        </w:tc>
        <w:tc>
          <w:tcPr>
            <w:tcW w:w="6520" w:type="dxa"/>
          </w:tcPr>
          <w:p w14:paraId="780C0B73" w14:textId="18A9966F" w:rsidR="00811E0E" w:rsidRPr="00E96E9F" w:rsidRDefault="00811E0E" w:rsidP="00DB65AC">
            <w:pPr>
              <w:pStyle w:val="TableText0"/>
              <w:widowControl w:val="0"/>
            </w:pPr>
            <w:r w:rsidRPr="00E96E9F">
              <w:t>Direct</w:t>
            </w:r>
            <w:r w:rsidR="00F96B2F" w:rsidRPr="00E96E9F">
              <w:t xml:space="preserve"> </w:t>
            </w:r>
            <w:r w:rsidRPr="00E96E9F">
              <w:t>comparison</w:t>
            </w:r>
            <w:r w:rsidR="00F96B2F" w:rsidRPr="00E96E9F">
              <w:t xml:space="preserve"> </w:t>
            </w:r>
            <w:r w:rsidRPr="00E96E9F">
              <w:t>of</w:t>
            </w:r>
            <w:r w:rsidR="00F96B2F" w:rsidRPr="00E96E9F">
              <w:t xml:space="preserve"> </w:t>
            </w:r>
            <w:proofErr w:type="spellStart"/>
            <w:r w:rsidRPr="00E96E9F">
              <w:t>somatrogon</w:t>
            </w:r>
            <w:proofErr w:type="spellEnd"/>
            <w:r w:rsidR="00F96B2F" w:rsidRPr="00E96E9F">
              <w:t xml:space="preserve"> </w:t>
            </w:r>
            <w:r w:rsidRPr="00E96E9F">
              <w:t>and</w:t>
            </w:r>
            <w:r w:rsidR="00F96B2F" w:rsidRPr="00E96E9F">
              <w:t xml:space="preserve"> </w:t>
            </w:r>
            <w:r w:rsidRPr="00E96E9F">
              <w:rPr>
                <w:rFonts w:cs="Calibri"/>
              </w:rPr>
              <w:t>somatropin</w:t>
            </w:r>
            <w:r w:rsidR="00F96B2F" w:rsidRPr="00E96E9F">
              <w:rPr>
                <w:rFonts w:cs="Calibri"/>
              </w:rPr>
              <w:t xml:space="preserve"> </w:t>
            </w:r>
            <w:r w:rsidRPr="00E96E9F">
              <w:t>using</w:t>
            </w:r>
            <w:r w:rsidR="00F96B2F" w:rsidRPr="00E96E9F">
              <w:t xml:space="preserve"> </w:t>
            </w:r>
            <w:r w:rsidRPr="00E96E9F">
              <w:t>the</w:t>
            </w:r>
            <w:r w:rsidR="00F96B2F" w:rsidRPr="00E96E9F">
              <w:t xml:space="preserve"> </w:t>
            </w:r>
            <w:r w:rsidRPr="00E96E9F">
              <w:t>pivotal</w:t>
            </w:r>
            <w:r w:rsidR="00F96B2F" w:rsidRPr="00E96E9F">
              <w:t xml:space="preserve"> </w:t>
            </w:r>
            <w:r w:rsidRPr="00E96E9F">
              <w:t>Phase</w:t>
            </w:r>
            <w:r w:rsidR="00F96B2F" w:rsidRPr="00E96E9F">
              <w:t xml:space="preserve"> </w:t>
            </w:r>
            <w:r w:rsidRPr="00E96E9F">
              <w:t>3</w:t>
            </w:r>
            <w:r w:rsidR="00F96B2F" w:rsidRPr="00E96E9F">
              <w:t xml:space="preserve"> </w:t>
            </w:r>
            <w:r w:rsidRPr="00E96E9F">
              <w:t>randomised</w:t>
            </w:r>
            <w:r w:rsidR="00F96B2F" w:rsidRPr="00E96E9F">
              <w:t xml:space="preserve"> </w:t>
            </w:r>
            <w:r w:rsidRPr="00E96E9F">
              <w:t>trial</w:t>
            </w:r>
            <w:r w:rsidR="00F96B2F" w:rsidRPr="00E96E9F">
              <w:t xml:space="preserve"> </w:t>
            </w:r>
            <w:r w:rsidRPr="00E96E9F">
              <w:t>(Study</w:t>
            </w:r>
            <w:r w:rsidR="00F96B2F" w:rsidRPr="00E96E9F">
              <w:t xml:space="preserve"> </w:t>
            </w:r>
            <w:r w:rsidRPr="00E96E9F">
              <w:t>4006).</w:t>
            </w:r>
          </w:p>
        </w:tc>
      </w:tr>
      <w:tr w:rsidR="00811E0E" w:rsidRPr="00E96E9F" w14:paraId="13F44C72" w14:textId="77777777" w:rsidTr="00CF047E">
        <w:tc>
          <w:tcPr>
            <w:tcW w:w="2660" w:type="dxa"/>
            <w:vAlign w:val="center"/>
          </w:tcPr>
          <w:p w14:paraId="4D60D6E6" w14:textId="34A3004D" w:rsidR="00811E0E" w:rsidRPr="00E96E9F" w:rsidRDefault="00811E0E" w:rsidP="00DB65AC">
            <w:pPr>
              <w:pStyle w:val="TableText0"/>
              <w:widowControl w:val="0"/>
            </w:pPr>
            <w:proofErr w:type="spellStart"/>
            <w:r w:rsidRPr="00E96E9F">
              <w:t>Equi</w:t>
            </w:r>
            <w:proofErr w:type="spellEnd"/>
            <w:r w:rsidRPr="00E96E9F">
              <w:t>-effective</w:t>
            </w:r>
            <w:r w:rsidR="00F96B2F" w:rsidRPr="00E96E9F">
              <w:t xml:space="preserve"> </w:t>
            </w:r>
            <w:r w:rsidRPr="00E96E9F">
              <w:t>doses</w:t>
            </w:r>
          </w:p>
        </w:tc>
        <w:tc>
          <w:tcPr>
            <w:tcW w:w="6520" w:type="dxa"/>
          </w:tcPr>
          <w:p w14:paraId="2CE9293C" w14:textId="1865980F" w:rsidR="00E5129A" w:rsidRPr="00E96E9F" w:rsidRDefault="00811E0E" w:rsidP="00DB65AC">
            <w:pPr>
              <w:pStyle w:val="TableText0"/>
              <w:widowControl w:val="0"/>
            </w:pPr>
            <w:r w:rsidRPr="00E96E9F">
              <w:t>0.66</w:t>
            </w:r>
            <w:r w:rsidR="00F96B2F" w:rsidRPr="00E96E9F">
              <w:t xml:space="preserve"> </w:t>
            </w:r>
            <w:r w:rsidRPr="00E96E9F">
              <w:t>mg/kg/week</w:t>
            </w:r>
            <w:r w:rsidR="00F96B2F" w:rsidRPr="00E96E9F">
              <w:t xml:space="preserve"> </w:t>
            </w:r>
            <w:r w:rsidRPr="00E96E9F">
              <w:t>of</w:t>
            </w:r>
            <w:r w:rsidR="00F96B2F" w:rsidRPr="00E96E9F">
              <w:t xml:space="preserve"> </w:t>
            </w:r>
            <w:proofErr w:type="spellStart"/>
            <w:r w:rsidRPr="00E96E9F">
              <w:t>somatrogon</w:t>
            </w:r>
            <w:proofErr w:type="spellEnd"/>
            <w:r w:rsidR="00F96B2F" w:rsidRPr="00E96E9F">
              <w:t xml:space="preserve"> </w:t>
            </w:r>
            <w:r w:rsidRPr="00E96E9F">
              <w:t>is</w:t>
            </w:r>
            <w:r w:rsidR="00F96B2F" w:rsidRPr="00E96E9F">
              <w:t xml:space="preserve"> </w:t>
            </w:r>
            <w:proofErr w:type="spellStart"/>
            <w:r w:rsidRPr="00E96E9F">
              <w:t>equi</w:t>
            </w:r>
            <w:proofErr w:type="spellEnd"/>
            <w:r w:rsidRPr="00E96E9F">
              <w:t>-effective</w:t>
            </w:r>
            <w:r w:rsidR="00F96B2F" w:rsidRPr="00E96E9F">
              <w:t xml:space="preserve"> </w:t>
            </w:r>
            <w:r w:rsidRPr="00E96E9F">
              <w:t>to</w:t>
            </w:r>
            <w:r w:rsidR="00F96B2F" w:rsidRPr="00E96E9F">
              <w:t xml:space="preserve"> </w:t>
            </w:r>
            <w:r w:rsidRPr="00E96E9F">
              <w:t>0.034</w:t>
            </w:r>
            <w:r w:rsidR="00F96B2F" w:rsidRPr="00E96E9F">
              <w:t xml:space="preserve"> </w:t>
            </w:r>
            <w:r w:rsidRPr="00E96E9F">
              <w:t>mg/kg/day</w:t>
            </w:r>
            <w:r w:rsidR="00F96B2F" w:rsidRPr="00E96E9F">
              <w:t xml:space="preserve"> </w:t>
            </w:r>
            <w:r w:rsidRPr="00E96E9F">
              <w:t>(0.238</w:t>
            </w:r>
            <w:r w:rsidR="00251B34" w:rsidRPr="00E96E9F">
              <w:t> </w:t>
            </w:r>
            <w:r w:rsidRPr="00E96E9F">
              <w:t>mg/kg/week)</w:t>
            </w:r>
            <w:r w:rsidR="00F96B2F" w:rsidRPr="00E96E9F">
              <w:t xml:space="preserve"> </w:t>
            </w:r>
            <w:r w:rsidRPr="00E96E9F">
              <w:t>of</w:t>
            </w:r>
            <w:r w:rsidR="00F96B2F" w:rsidRPr="00E96E9F">
              <w:t xml:space="preserve"> </w:t>
            </w:r>
            <w:r w:rsidRPr="00E96E9F">
              <w:rPr>
                <w:rFonts w:cs="Calibri"/>
              </w:rPr>
              <w:t>somatropin</w:t>
            </w:r>
            <w:r w:rsidRPr="00E96E9F">
              <w:t>.</w:t>
            </w:r>
          </w:p>
          <w:p w14:paraId="68B7A594" w14:textId="46D678E8" w:rsidR="00811E0E" w:rsidRPr="00E96E9F" w:rsidRDefault="00811E0E" w:rsidP="00DB65AC">
            <w:pPr>
              <w:pStyle w:val="TableText0"/>
              <w:widowControl w:val="0"/>
              <w:rPr>
                <w:rFonts w:eastAsia="Yu Gothic Light" w:cs="Times New Roman"/>
                <w:szCs w:val="20"/>
              </w:rPr>
            </w:pPr>
          </w:p>
          <w:p w14:paraId="6858063D" w14:textId="6BF437E7" w:rsidR="00811E0E" w:rsidRPr="00E96E9F" w:rsidRDefault="00811E0E" w:rsidP="00DB65AC">
            <w:pPr>
              <w:pStyle w:val="TableText0"/>
              <w:widowControl w:val="0"/>
              <w:rPr>
                <w:rFonts w:eastAsia="MS Gothic"/>
              </w:rPr>
            </w:pPr>
            <w:r w:rsidRPr="00BF1BFB">
              <w:rPr>
                <w:iCs/>
                <w:lang w:eastAsia="en-US"/>
              </w:rPr>
              <w:t>The</w:t>
            </w:r>
            <w:r w:rsidR="00F96B2F" w:rsidRPr="00BF1BFB">
              <w:rPr>
                <w:iCs/>
                <w:lang w:eastAsia="en-US"/>
              </w:rPr>
              <w:t xml:space="preserve"> </w:t>
            </w:r>
            <w:r w:rsidRPr="00BF1BFB">
              <w:rPr>
                <w:iCs/>
                <w:lang w:eastAsia="en-US"/>
              </w:rPr>
              <w:t>use</w:t>
            </w:r>
            <w:r w:rsidR="00F96B2F" w:rsidRPr="00BF1BFB">
              <w:rPr>
                <w:iCs/>
                <w:lang w:eastAsia="en-US"/>
              </w:rPr>
              <w:t xml:space="preserve"> </w:t>
            </w:r>
            <w:r w:rsidRPr="00BF1BFB">
              <w:rPr>
                <w:iCs/>
                <w:lang w:eastAsia="en-US"/>
              </w:rPr>
              <w:t>of</w:t>
            </w:r>
            <w:r w:rsidR="00F96B2F" w:rsidRPr="00BF1BFB">
              <w:rPr>
                <w:iCs/>
                <w:lang w:eastAsia="en-US"/>
              </w:rPr>
              <w:t xml:space="preserve"> </w:t>
            </w:r>
            <w:r w:rsidR="0075741F">
              <w:rPr>
                <w:iCs/>
                <w:lang w:eastAsia="en-US"/>
              </w:rPr>
              <w:t xml:space="preserve">the </w:t>
            </w:r>
            <w:r w:rsidRPr="00BF1BFB">
              <w:rPr>
                <w:iCs/>
                <w:lang w:eastAsia="en-US"/>
              </w:rPr>
              <w:t>median</w:t>
            </w:r>
            <w:r w:rsidR="00F96B2F" w:rsidRPr="00BF1BFB">
              <w:rPr>
                <w:iCs/>
                <w:lang w:eastAsia="en-US"/>
              </w:rPr>
              <w:t xml:space="preserve"> </w:t>
            </w:r>
            <w:r w:rsidRPr="00BF1BFB">
              <w:rPr>
                <w:iCs/>
                <w:lang w:eastAsia="en-US"/>
              </w:rPr>
              <w:t>treatment</w:t>
            </w:r>
            <w:r w:rsidR="00F96B2F" w:rsidRPr="00BF1BFB">
              <w:rPr>
                <w:iCs/>
                <w:lang w:eastAsia="en-US"/>
              </w:rPr>
              <w:t xml:space="preserve"> </w:t>
            </w:r>
            <w:r w:rsidRPr="00BF1BFB">
              <w:rPr>
                <w:iCs/>
                <w:lang w:eastAsia="en-US"/>
              </w:rPr>
              <w:t>doses</w:t>
            </w:r>
            <w:r w:rsidR="00F96B2F" w:rsidRPr="00BF1BFB">
              <w:rPr>
                <w:iCs/>
                <w:lang w:eastAsia="en-US"/>
              </w:rPr>
              <w:t xml:space="preserve"> </w:t>
            </w:r>
            <w:r w:rsidR="0075741F">
              <w:rPr>
                <w:iCs/>
                <w:lang w:eastAsia="en-US"/>
              </w:rPr>
              <w:t>of</w:t>
            </w:r>
            <w:r w:rsidR="0075741F" w:rsidRPr="00BF1BFB">
              <w:rPr>
                <w:iCs/>
                <w:lang w:eastAsia="en-US"/>
              </w:rPr>
              <w:t xml:space="preserve"> </w:t>
            </w:r>
            <w:proofErr w:type="spellStart"/>
            <w:r w:rsidRPr="00BF1BFB">
              <w:rPr>
                <w:iCs/>
                <w:lang w:eastAsia="en-US"/>
              </w:rPr>
              <w:t>somatrogon</w:t>
            </w:r>
            <w:proofErr w:type="spellEnd"/>
            <w:r w:rsidR="00F96B2F" w:rsidRPr="00BF1BFB">
              <w:rPr>
                <w:iCs/>
                <w:lang w:eastAsia="en-US"/>
              </w:rPr>
              <w:t xml:space="preserve"> </w:t>
            </w:r>
            <w:r w:rsidRPr="00BF1BFB">
              <w:rPr>
                <w:iCs/>
                <w:lang w:eastAsia="en-US"/>
              </w:rPr>
              <w:t>and</w:t>
            </w:r>
            <w:r w:rsidR="00F96B2F" w:rsidRPr="00BF1BFB">
              <w:rPr>
                <w:iCs/>
                <w:lang w:eastAsia="en-US"/>
              </w:rPr>
              <w:t xml:space="preserve"> </w:t>
            </w:r>
            <w:r w:rsidRPr="00BF1BFB">
              <w:rPr>
                <w:iCs/>
                <w:lang w:eastAsia="en-US"/>
              </w:rPr>
              <w:t>somatropin</w:t>
            </w:r>
            <w:r w:rsidR="00F96B2F" w:rsidRPr="00BF1BFB">
              <w:rPr>
                <w:iCs/>
                <w:lang w:eastAsia="en-US"/>
              </w:rPr>
              <w:t xml:space="preserve"> </w:t>
            </w:r>
            <w:r w:rsidR="0075741F">
              <w:rPr>
                <w:iCs/>
                <w:lang w:eastAsia="en-US"/>
              </w:rPr>
              <w:t>to derive</w:t>
            </w:r>
            <w:r w:rsidR="00F96B2F" w:rsidRPr="00BF1BFB">
              <w:rPr>
                <w:iCs/>
                <w:lang w:eastAsia="en-US"/>
              </w:rPr>
              <w:t xml:space="preserve"> </w:t>
            </w:r>
            <w:r w:rsidR="0075741F">
              <w:rPr>
                <w:iCs/>
                <w:lang w:eastAsia="en-US"/>
              </w:rPr>
              <w:t xml:space="preserve">the </w:t>
            </w:r>
            <w:proofErr w:type="spellStart"/>
            <w:r w:rsidRPr="00BF1BFB">
              <w:rPr>
                <w:iCs/>
                <w:lang w:eastAsia="en-US"/>
              </w:rPr>
              <w:t>equi</w:t>
            </w:r>
            <w:proofErr w:type="spellEnd"/>
            <w:r w:rsidRPr="00BF1BFB">
              <w:rPr>
                <w:iCs/>
                <w:lang w:eastAsia="en-US"/>
              </w:rPr>
              <w:t>-effective</w:t>
            </w:r>
            <w:r w:rsidR="00F96B2F" w:rsidRPr="00BF1BFB">
              <w:rPr>
                <w:iCs/>
                <w:lang w:eastAsia="en-US"/>
              </w:rPr>
              <w:t xml:space="preserve"> </w:t>
            </w:r>
            <w:r w:rsidRPr="00BF1BFB">
              <w:rPr>
                <w:iCs/>
                <w:lang w:eastAsia="en-US"/>
              </w:rPr>
              <w:t>doses</w:t>
            </w:r>
            <w:r w:rsidR="00F96B2F" w:rsidRPr="00BF1BFB">
              <w:rPr>
                <w:iCs/>
                <w:lang w:eastAsia="en-US"/>
              </w:rPr>
              <w:t xml:space="preserve"> </w:t>
            </w:r>
            <w:r w:rsidRPr="00BF1BFB">
              <w:rPr>
                <w:iCs/>
                <w:lang w:eastAsia="en-US"/>
              </w:rPr>
              <w:t>may</w:t>
            </w:r>
            <w:r w:rsidR="00F96B2F" w:rsidRPr="00BF1BFB">
              <w:rPr>
                <w:iCs/>
                <w:lang w:eastAsia="en-US"/>
              </w:rPr>
              <w:t xml:space="preserve"> </w:t>
            </w:r>
            <w:r w:rsidRPr="00BF1BFB">
              <w:rPr>
                <w:iCs/>
                <w:lang w:eastAsia="en-US"/>
              </w:rPr>
              <w:t>not</w:t>
            </w:r>
            <w:r w:rsidR="00F96B2F" w:rsidRPr="00BF1BFB">
              <w:rPr>
                <w:iCs/>
                <w:lang w:eastAsia="en-US"/>
              </w:rPr>
              <w:t xml:space="preserve"> </w:t>
            </w:r>
            <w:r w:rsidRPr="00BF1BFB">
              <w:rPr>
                <w:iCs/>
                <w:lang w:eastAsia="en-US"/>
              </w:rPr>
              <w:t>provide</w:t>
            </w:r>
            <w:r w:rsidR="00F96B2F" w:rsidRPr="00BF1BFB">
              <w:rPr>
                <w:iCs/>
                <w:lang w:eastAsia="en-US"/>
              </w:rPr>
              <w:t xml:space="preserve"> </w:t>
            </w:r>
            <w:r w:rsidRPr="00BF1BFB">
              <w:rPr>
                <w:iCs/>
                <w:lang w:eastAsia="en-US"/>
              </w:rPr>
              <w:t>a</w:t>
            </w:r>
            <w:r w:rsidR="00F96B2F" w:rsidRPr="00BF1BFB">
              <w:rPr>
                <w:iCs/>
                <w:lang w:eastAsia="en-US"/>
              </w:rPr>
              <w:t xml:space="preserve"> </w:t>
            </w:r>
            <w:r w:rsidRPr="00BF1BFB">
              <w:rPr>
                <w:iCs/>
                <w:lang w:eastAsia="en-US"/>
              </w:rPr>
              <w:t>robust</w:t>
            </w:r>
            <w:r w:rsidR="00F96B2F" w:rsidRPr="00BF1BFB">
              <w:rPr>
                <w:iCs/>
                <w:lang w:eastAsia="en-US"/>
              </w:rPr>
              <w:t xml:space="preserve"> </w:t>
            </w:r>
            <w:r w:rsidRPr="00BF1BFB">
              <w:rPr>
                <w:iCs/>
                <w:lang w:eastAsia="en-US"/>
              </w:rPr>
              <w:t>comparison</w:t>
            </w:r>
            <w:r w:rsidR="00F96B2F" w:rsidRPr="00BF1BFB">
              <w:rPr>
                <w:iCs/>
                <w:lang w:eastAsia="en-US"/>
              </w:rPr>
              <w:t xml:space="preserve"> </w:t>
            </w:r>
            <w:r w:rsidRPr="00BF1BFB">
              <w:rPr>
                <w:iCs/>
                <w:lang w:eastAsia="en-US"/>
              </w:rPr>
              <w:t>of</w:t>
            </w:r>
            <w:r w:rsidR="00F96B2F" w:rsidRPr="00BF1BFB">
              <w:rPr>
                <w:iCs/>
                <w:lang w:eastAsia="en-US"/>
              </w:rPr>
              <w:t xml:space="preserve"> </w:t>
            </w:r>
            <w:r w:rsidRPr="00BF1BFB">
              <w:rPr>
                <w:iCs/>
                <w:lang w:eastAsia="en-US"/>
              </w:rPr>
              <w:t>steady-state</w:t>
            </w:r>
            <w:r w:rsidR="00F96B2F" w:rsidRPr="00BF1BFB">
              <w:rPr>
                <w:iCs/>
                <w:lang w:eastAsia="en-US"/>
              </w:rPr>
              <w:t xml:space="preserve"> </w:t>
            </w:r>
            <w:r w:rsidRPr="00BF1BFB">
              <w:rPr>
                <w:iCs/>
                <w:lang w:eastAsia="en-US"/>
              </w:rPr>
              <w:t>doses.</w:t>
            </w:r>
            <w:r w:rsidR="00F96B2F" w:rsidRPr="00BF1BFB">
              <w:rPr>
                <w:iCs/>
                <w:lang w:eastAsia="en-US"/>
              </w:rPr>
              <w:t xml:space="preserve"> </w:t>
            </w:r>
            <w:r w:rsidRPr="00BF1BFB">
              <w:rPr>
                <w:iCs/>
                <w:lang w:eastAsia="en-US"/>
              </w:rPr>
              <w:t>The</w:t>
            </w:r>
            <w:r w:rsidR="00F96B2F" w:rsidRPr="00BF1BFB">
              <w:rPr>
                <w:iCs/>
                <w:lang w:eastAsia="en-US"/>
              </w:rPr>
              <w:t xml:space="preserve"> </w:t>
            </w:r>
            <w:r w:rsidRPr="00BF1BFB">
              <w:rPr>
                <w:iCs/>
                <w:lang w:eastAsia="en-US"/>
              </w:rPr>
              <w:t>mean</w:t>
            </w:r>
            <w:r w:rsidR="00F96B2F" w:rsidRPr="00BF1BFB">
              <w:rPr>
                <w:iCs/>
                <w:lang w:eastAsia="en-US"/>
              </w:rPr>
              <w:t xml:space="preserve"> </w:t>
            </w:r>
            <w:r w:rsidRPr="00BF1BFB">
              <w:rPr>
                <w:iCs/>
                <w:lang w:eastAsia="en-US"/>
              </w:rPr>
              <w:t>treatment</w:t>
            </w:r>
            <w:r w:rsidR="00F96B2F" w:rsidRPr="00BF1BFB">
              <w:rPr>
                <w:iCs/>
                <w:lang w:eastAsia="en-US"/>
              </w:rPr>
              <w:t xml:space="preserve"> </w:t>
            </w:r>
            <w:r w:rsidRPr="00BF1BFB">
              <w:rPr>
                <w:iCs/>
                <w:lang w:eastAsia="en-US"/>
              </w:rPr>
              <w:t>doses</w:t>
            </w:r>
            <w:r w:rsidR="00F96B2F" w:rsidRPr="00BF1BFB">
              <w:rPr>
                <w:iCs/>
                <w:lang w:eastAsia="en-US"/>
              </w:rPr>
              <w:t xml:space="preserve"> </w:t>
            </w:r>
            <w:r w:rsidR="0075741F">
              <w:rPr>
                <w:iCs/>
                <w:lang w:eastAsia="en-US"/>
              </w:rPr>
              <w:t>of</w:t>
            </w:r>
            <w:r w:rsidR="0075741F" w:rsidRPr="00BF1BFB">
              <w:rPr>
                <w:iCs/>
                <w:lang w:eastAsia="en-US"/>
              </w:rPr>
              <w:t xml:space="preserve"> </w:t>
            </w:r>
            <w:proofErr w:type="spellStart"/>
            <w:r w:rsidRPr="00BF1BFB">
              <w:rPr>
                <w:iCs/>
                <w:lang w:eastAsia="en-US"/>
              </w:rPr>
              <w:t>somatrogon</w:t>
            </w:r>
            <w:proofErr w:type="spellEnd"/>
            <w:r w:rsidR="00F96B2F" w:rsidRPr="00BF1BFB">
              <w:rPr>
                <w:iCs/>
                <w:lang w:eastAsia="en-US"/>
              </w:rPr>
              <w:t xml:space="preserve"> </w:t>
            </w:r>
            <w:r w:rsidRPr="00BF1BFB">
              <w:rPr>
                <w:iCs/>
                <w:lang w:eastAsia="en-US"/>
              </w:rPr>
              <w:t>and</w:t>
            </w:r>
            <w:r w:rsidR="00F96B2F" w:rsidRPr="00BF1BFB">
              <w:rPr>
                <w:iCs/>
                <w:lang w:eastAsia="en-US"/>
              </w:rPr>
              <w:t xml:space="preserve"> </w:t>
            </w:r>
            <w:r w:rsidRPr="00BF1BFB">
              <w:rPr>
                <w:iCs/>
                <w:lang w:eastAsia="en-US"/>
              </w:rPr>
              <w:t>somatropin</w:t>
            </w:r>
            <w:r w:rsidR="00F96B2F" w:rsidRPr="00BF1BFB">
              <w:rPr>
                <w:iCs/>
                <w:lang w:eastAsia="en-US"/>
              </w:rPr>
              <w:t xml:space="preserve"> </w:t>
            </w:r>
            <w:r w:rsidR="0075741F">
              <w:rPr>
                <w:iCs/>
                <w:lang w:eastAsia="en-US"/>
              </w:rPr>
              <w:t>we</w:t>
            </w:r>
            <w:r w:rsidR="0075741F" w:rsidRPr="00BF1BFB">
              <w:rPr>
                <w:iCs/>
                <w:lang w:eastAsia="en-US"/>
              </w:rPr>
              <w:t xml:space="preserve">re </w:t>
            </w:r>
            <w:r w:rsidRPr="00BF1BFB">
              <w:rPr>
                <w:iCs/>
                <w:lang w:eastAsia="en-US"/>
              </w:rPr>
              <w:t>more</w:t>
            </w:r>
            <w:r w:rsidR="00F96B2F" w:rsidRPr="00BF1BFB">
              <w:rPr>
                <w:iCs/>
                <w:lang w:eastAsia="en-US"/>
              </w:rPr>
              <w:t xml:space="preserve"> </w:t>
            </w:r>
            <w:r w:rsidRPr="00BF1BFB">
              <w:rPr>
                <w:iCs/>
                <w:lang w:eastAsia="en-US"/>
              </w:rPr>
              <w:t>appropriate.</w:t>
            </w:r>
            <w:r w:rsidR="00F96B2F" w:rsidRPr="00BF1BFB">
              <w:rPr>
                <w:iCs/>
                <w:lang w:eastAsia="en-US"/>
              </w:rPr>
              <w:t xml:space="preserve"> </w:t>
            </w:r>
            <w:r w:rsidRPr="00BF1BFB">
              <w:rPr>
                <w:iCs/>
                <w:lang w:eastAsia="en-US"/>
              </w:rPr>
              <w:t>The</w:t>
            </w:r>
            <w:r w:rsidR="00F96B2F" w:rsidRPr="00BF1BFB">
              <w:rPr>
                <w:iCs/>
                <w:lang w:eastAsia="en-US"/>
              </w:rPr>
              <w:t xml:space="preserve"> </w:t>
            </w:r>
            <w:proofErr w:type="spellStart"/>
            <w:r w:rsidRPr="00BF1BFB">
              <w:rPr>
                <w:iCs/>
                <w:lang w:eastAsia="en-US"/>
              </w:rPr>
              <w:t>equi</w:t>
            </w:r>
            <w:proofErr w:type="spellEnd"/>
            <w:r w:rsidRPr="00BF1BFB">
              <w:rPr>
                <w:iCs/>
                <w:lang w:eastAsia="en-US"/>
              </w:rPr>
              <w:t>-effective</w:t>
            </w:r>
            <w:r w:rsidR="00F96B2F" w:rsidRPr="00BF1BFB">
              <w:rPr>
                <w:iCs/>
                <w:lang w:eastAsia="en-US"/>
              </w:rPr>
              <w:t xml:space="preserve"> </w:t>
            </w:r>
            <w:r w:rsidRPr="00BF1BFB">
              <w:rPr>
                <w:iCs/>
                <w:lang w:eastAsia="en-US"/>
              </w:rPr>
              <w:t>doses</w:t>
            </w:r>
            <w:r w:rsidR="00F96B2F" w:rsidRPr="00BF1BFB">
              <w:rPr>
                <w:iCs/>
                <w:lang w:eastAsia="en-US"/>
              </w:rPr>
              <w:t xml:space="preserve"> </w:t>
            </w:r>
            <w:r w:rsidRPr="00BF1BFB">
              <w:rPr>
                <w:iCs/>
                <w:lang w:eastAsia="en-US"/>
              </w:rPr>
              <w:t>derived</w:t>
            </w:r>
            <w:r w:rsidR="00F96B2F" w:rsidRPr="00BF1BFB">
              <w:rPr>
                <w:iCs/>
                <w:lang w:eastAsia="en-US"/>
              </w:rPr>
              <w:t xml:space="preserve"> </w:t>
            </w:r>
            <w:r w:rsidRPr="00BF1BFB">
              <w:rPr>
                <w:iCs/>
                <w:lang w:eastAsia="en-US"/>
              </w:rPr>
              <w:t>from</w:t>
            </w:r>
            <w:r w:rsidR="00F96B2F" w:rsidRPr="00BF1BFB">
              <w:rPr>
                <w:iCs/>
                <w:lang w:eastAsia="en-US"/>
              </w:rPr>
              <w:t xml:space="preserve"> </w:t>
            </w:r>
            <w:r w:rsidR="0075741F">
              <w:rPr>
                <w:iCs/>
                <w:lang w:eastAsia="en-US"/>
              </w:rPr>
              <w:t xml:space="preserve">the </w:t>
            </w:r>
            <w:r w:rsidRPr="00BF1BFB">
              <w:rPr>
                <w:iCs/>
                <w:lang w:eastAsia="en-US"/>
              </w:rPr>
              <w:t>mean</w:t>
            </w:r>
            <w:r w:rsidR="00F96B2F" w:rsidRPr="00BF1BFB">
              <w:rPr>
                <w:iCs/>
                <w:lang w:eastAsia="en-US"/>
              </w:rPr>
              <w:t xml:space="preserve"> </w:t>
            </w:r>
            <w:r w:rsidRPr="00BF1BFB">
              <w:rPr>
                <w:iCs/>
                <w:lang w:eastAsia="en-US"/>
              </w:rPr>
              <w:t>treatment</w:t>
            </w:r>
            <w:r w:rsidR="00F96B2F" w:rsidRPr="00BF1BFB">
              <w:rPr>
                <w:iCs/>
                <w:lang w:eastAsia="en-US"/>
              </w:rPr>
              <w:t xml:space="preserve"> </w:t>
            </w:r>
            <w:r w:rsidRPr="00BF1BFB">
              <w:rPr>
                <w:iCs/>
                <w:lang w:eastAsia="en-US"/>
              </w:rPr>
              <w:t>doses</w:t>
            </w:r>
            <w:r w:rsidR="00F96B2F" w:rsidRPr="00BF1BFB">
              <w:rPr>
                <w:iCs/>
                <w:lang w:eastAsia="en-US"/>
              </w:rPr>
              <w:t xml:space="preserve"> </w:t>
            </w:r>
            <w:r w:rsidRPr="00BF1BFB">
              <w:rPr>
                <w:iCs/>
                <w:lang w:eastAsia="en-US"/>
              </w:rPr>
              <w:t>from</w:t>
            </w:r>
            <w:r w:rsidR="00F96B2F" w:rsidRPr="00BF1BFB">
              <w:rPr>
                <w:iCs/>
                <w:lang w:eastAsia="en-US"/>
              </w:rPr>
              <w:t xml:space="preserve"> </w:t>
            </w:r>
            <w:r w:rsidRPr="00BF1BFB">
              <w:rPr>
                <w:iCs/>
                <w:lang w:eastAsia="en-US"/>
              </w:rPr>
              <w:t>Study</w:t>
            </w:r>
            <w:r w:rsidR="00F96B2F" w:rsidRPr="00BF1BFB">
              <w:rPr>
                <w:iCs/>
                <w:lang w:eastAsia="en-US"/>
              </w:rPr>
              <w:t xml:space="preserve"> </w:t>
            </w:r>
            <w:r w:rsidRPr="00BF1BFB">
              <w:rPr>
                <w:iCs/>
                <w:lang w:eastAsia="en-US"/>
              </w:rPr>
              <w:t>4006</w:t>
            </w:r>
            <w:r w:rsidR="00F96B2F" w:rsidRPr="00BF1BFB">
              <w:rPr>
                <w:iCs/>
                <w:lang w:eastAsia="en-US"/>
              </w:rPr>
              <w:t xml:space="preserve"> </w:t>
            </w:r>
            <w:r w:rsidR="0075741F">
              <w:rPr>
                <w:iCs/>
                <w:lang w:eastAsia="en-US"/>
              </w:rPr>
              <w:t>are</w:t>
            </w:r>
            <w:r w:rsidR="0075741F" w:rsidRPr="00BF1BFB">
              <w:rPr>
                <w:iCs/>
                <w:lang w:eastAsia="en-US"/>
              </w:rPr>
              <w:t xml:space="preserve"> </w:t>
            </w:r>
            <w:r w:rsidRPr="00BF1BFB">
              <w:rPr>
                <w:iCs/>
                <w:lang w:eastAsia="en-US"/>
              </w:rPr>
              <w:t>0.655</w:t>
            </w:r>
            <w:r w:rsidR="00251B34" w:rsidRPr="00BF1BFB">
              <w:rPr>
                <w:iCs/>
                <w:lang w:eastAsia="en-US"/>
              </w:rPr>
              <w:t> </w:t>
            </w:r>
            <w:r w:rsidRPr="00BF1BFB">
              <w:rPr>
                <w:iCs/>
                <w:lang w:eastAsia="en-US"/>
              </w:rPr>
              <w:t>mg/kg/week</w:t>
            </w:r>
            <w:r w:rsidR="00F96B2F" w:rsidRPr="00BF1BFB">
              <w:rPr>
                <w:iCs/>
                <w:lang w:eastAsia="en-US"/>
              </w:rPr>
              <w:t xml:space="preserve"> </w:t>
            </w:r>
            <w:r w:rsidRPr="00BF1BFB">
              <w:rPr>
                <w:iCs/>
                <w:lang w:eastAsia="en-US"/>
              </w:rPr>
              <w:t>of</w:t>
            </w:r>
            <w:r w:rsidR="00F96B2F" w:rsidRPr="00BF1BFB">
              <w:rPr>
                <w:iCs/>
                <w:lang w:eastAsia="en-US"/>
              </w:rPr>
              <w:t xml:space="preserve"> </w:t>
            </w:r>
            <w:r w:rsidRPr="00BF1BFB">
              <w:rPr>
                <w:iCs/>
                <w:lang w:eastAsia="en-US"/>
              </w:rPr>
              <w:t>somatropin</w:t>
            </w:r>
            <w:r w:rsidR="00F96B2F" w:rsidRPr="00BF1BFB">
              <w:rPr>
                <w:iCs/>
                <w:lang w:eastAsia="en-US"/>
              </w:rPr>
              <w:t xml:space="preserve"> </w:t>
            </w:r>
            <w:r w:rsidRPr="00BF1BFB">
              <w:rPr>
                <w:iCs/>
                <w:lang w:eastAsia="en-US"/>
              </w:rPr>
              <w:t>is</w:t>
            </w:r>
            <w:r w:rsidR="00F96B2F" w:rsidRPr="00BF1BFB">
              <w:rPr>
                <w:iCs/>
                <w:lang w:eastAsia="en-US"/>
              </w:rPr>
              <w:t xml:space="preserve"> </w:t>
            </w:r>
            <w:proofErr w:type="spellStart"/>
            <w:r w:rsidRPr="00BF1BFB">
              <w:rPr>
                <w:iCs/>
                <w:lang w:eastAsia="en-US"/>
              </w:rPr>
              <w:t>equi</w:t>
            </w:r>
            <w:proofErr w:type="spellEnd"/>
            <w:r w:rsidRPr="00BF1BFB">
              <w:rPr>
                <w:iCs/>
                <w:lang w:eastAsia="en-US"/>
              </w:rPr>
              <w:t>-effective</w:t>
            </w:r>
            <w:r w:rsidR="00F96B2F" w:rsidRPr="00BF1BFB">
              <w:rPr>
                <w:iCs/>
                <w:lang w:eastAsia="en-US"/>
              </w:rPr>
              <w:t xml:space="preserve"> </w:t>
            </w:r>
            <w:r w:rsidRPr="00BF1BFB">
              <w:rPr>
                <w:iCs/>
                <w:lang w:eastAsia="en-US"/>
              </w:rPr>
              <w:t>to</w:t>
            </w:r>
            <w:r w:rsidR="00F96B2F" w:rsidRPr="00BF1BFB">
              <w:rPr>
                <w:iCs/>
                <w:lang w:eastAsia="en-US"/>
              </w:rPr>
              <w:t xml:space="preserve"> </w:t>
            </w:r>
            <w:r w:rsidRPr="00BF1BFB">
              <w:rPr>
                <w:iCs/>
                <w:lang w:eastAsia="en-US"/>
              </w:rPr>
              <w:t>0.034</w:t>
            </w:r>
            <w:r w:rsidR="00F96B2F" w:rsidRPr="00BF1BFB">
              <w:rPr>
                <w:iCs/>
                <w:lang w:eastAsia="en-US"/>
              </w:rPr>
              <w:t xml:space="preserve"> </w:t>
            </w:r>
            <w:r w:rsidRPr="00BF1BFB">
              <w:rPr>
                <w:iCs/>
                <w:lang w:eastAsia="en-US"/>
              </w:rPr>
              <w:t>mg/kg/day</w:t>
            </w:r>
            <w:r w:rsidR="00F96B2F" w:rsidRPr="00BF1BFB">
              <w:rPr>
                <w:iCs/>
                <w:lang w:eastAsia="en-US"/>
              </w:rPr>
              <w:t xml:space="preserve"> </w:t>
            </w:r>
            <w:r w:rsidRPr="00BF1BFB">
              <w:rPr>
                <w:iCs/>
                <w:lang w:eastAsia="en-US"/>
              </w:rPr>
              <w:t>(0.237</w:t>
            </w:r>
            <w:r w:rsidR="00251B34" w:rsidRPr="00BF1BFB">
              <w:rPr>
                <w:iCs/>
                <w:lang w:eastAsia="en-US"/>
              </w:rPr>
              <w:t> </w:t>
            </w:r>
            <w:r w:rsidRPr="00BF1BFB">
              <w:rPr>
                <w:iCs/>
                <w:lang w:eastAsia="en-US"/>
              </w:rPr>
              <w:t>mg/kg/week)</w:t>
            </w:r>
            <w:r w:rsidR="00F96B2F" w:rsidRPr="00BF1BFB">
              <w:rPr>
                <w:iCs/>
                <w:lang w:eastAsia="en-US"/>
              </w:rPr>
              <w:t xml:space="preserve"> </w:t>
            </w:r>
            <w:r w:rsidRPr="00BF1BFB">
              <w:rPr>
                <w:iCs/>
                <w:lang w:eastAsia="en-US"/>
              </w:rPr>
              <w:t>of</w:t>
            </w:r>
            <w:r w:rsidR="00F96B2F" w:rsidRPr="00BF1BFB">
              <w:rPr>
                <w:iCs/>
                <w:lang w:eastAsia="en-US"/>
              </w:rPr>
              <w:t xml:space="preserve"> </w:t>
            </w:r>
            <w:r w:rsidRPr="00BF1BFB">
              <w:rPr>
                <w:iCs/>
                <w:lang w:eastAsia="en-US"/>
              </w:rPr>
              <w:t>somatropin.</w:t>
            </w:r>
          </w:p>
        </w:tc>
      </w:tr>
      <w:tr w:rsidR="00811E0E" w:rsidRPr="00E96E9F" w14:paraId="4C0F451C" w14:textId="77777777" w:rsidTr="00CF047E">
        <w:tc>
          <w:tcPr>
            <w:tcW w:w="2660" w:type="dxa"/>
            <w:vAlign w:val="center"/>
          </w:tcPr>
          <w:p w14:paraId="1E2575AD" w14:textId="7B0456A1" w:rsidR="00811E0E" w:rsidRPr="00E96E9F" w:rsidRDefault="00811E0E" w:rsidP="00DB65AC">
            <w:pPr>
              <w:pStyle w:val="TableText0"/>
              <w:widowControl w:val="0"/>
            </w:pPr>
            <w:r w:rsidRPr="00E96E9F">
              <w:t>Direct</w:t>
            </w:r>
            <w:r w:rsidR="00F96B2F" w:rsidRPr="00E96E9F">
              <w:t xml:space="preserve"> </w:t>
            </w:r>
            <w:r w:rsidRPr="00E96E9F">
              <w:t>medicine</w:t>
            </w:r>
            <w:r w:rsidR="00F96B2F" w:rsidRPr="00E96E9F">
              <w:t xml:space="preserve"> </w:t>
            </w:r>
            <w:r w:rsidRPr="00E96E9F">
              <w:t>costs</w:t>
            </w:r>
          </w:p>
        </w:tc>
        <w:tc>
          <w:tcPr>
            <w:tcW w:w="6520" w:type="dxa"/>
          </w:tcPr>
          <w:p w14:paraId="2AB6C905" w14:textId="393A218E" w:rsidR="00E5129A" w:rsidRPr="00747476" w:rsidRDefault="00811E0E" w:rsidP="00DB65AC">
            <w:pPr>
              <w:pStyle w:val="TableText0"/>
              <w:widowControl w:val="0"/>
            </w:pPr>
            <w:r w:rsidRPr="00747476">
              <w:t>Based</w:t>
            </w:r>
            <w:r w:rsidR="00F96B2F" w:rsidRPr="00747476">
              <w:t xml:space="preserve"> </w:t>
            </w:r>
            <w:r w:rsidRPr="00747476">
              <w:t>upon</w:t>
            </w:r>
            <w:r w:rsidR="00F96B2F" w:rsidRPr="00747476">
              <w:t xml:space="preserve"> </w:t>
            </w:r>
            <w:r w:rsidRPr="00747476">
              <w:t>the</w:t>
            </w:r>
            <w:r w:rsidR="00F96B2F" w:rsidRPr="00747476">
              <w:t xml:space="preserve"> </w:t>
            </w:r>
            <w:r w:rsidRPr="00747476">
              <w:t>effective</w:t>
            </w:r>
            <w:r w:rsidR="00F96B2F" w:rsidRPr="00747476">
              <w:t xml:space="preserve"> </w:t>
            </w:r>
            <w:r w:rsidRPr="00747476">
              <w:t>AEMP</w:t>
            </w:r>
            <w:r w:rsidR="00F96B2F" w:rsidRPr="00747476">
              <w:t xml:space="preserve"> </w:t>
            </w:r>
            <w:r w:rsidRPr="00747476">
              <w:t>of</w:t>
            </w:r>
            <w:r w:rsidR="00F96B2F" w:rsidRPr="00747476">
              <w:t xml:space="preserve"> </w:t>
            </w:r>
            <w:r w:rsidRPr="00747476">
              <w:t>somatropin</w:t>
            </w:r>
            <w:r w:rsidR="00F96B2F" w:rsidRPr="00747476">
              <w:t xml:space="preserve"> </w:t>
            </w:r>
            <w:r w:rsidRPr="00747476">
              <w:t>($41.58</w:t>
            </w:r>
            <w:r w:rsidR="00F96B2F" w:rsidRPr="00747476">
              <w:t xml:space="preserve"> </w:t>
            </w:r>
            <w:r w:rsidRPr="00747476">
              <w:t>per</w:t>
            </w:r>
            <w:r w:rsidR="00F96B2F" w:rsidRPr="00747476">
              <w:t xml:space="preserve"> </w:t>
            </w:r>
            <w:r w:rsidRPr="00747476">
              <w:t>mg)</w:t>
            </w:r>
            <w:r w:rsidR="00F96B2F" w:rsidRPr="00747476">
              <w:t xml:space="preserve"> </w:t>
            </w:r>
            <w:r w:rsidRPr="00747476">
              <w:t>across</w:t>
            </w:r>
            <w:r w:rsidR="00F96B2F" w:rsidRPr="00747476">
              <w:t xml:space="preserve"> </w:t>
            </w:r>
            <w:r w:rsidRPr="00747476">
              <w:t>all</w:t>
            </w:r>
            <w:r w:rsidR="00F96B2F" w:rsidRPr="00747476">
              <w:t xml:space="preserve"> </w:t>
            </w:r>
            <w:r w:rsidRPr="00747476">
              <w:t>branded</w:t>
            </w:r>
            <w:r w:rsidR="00F96B2F" w:rsidRPr="00747476">
              <w:t xml:space="preserve"> </w:t>
            </w:r>
            <w:r w:rsidRPr="00747476">
              <w:t>products</w:t>
            </w:r>
            <w:r w:rsidR="00F96B2F" w:rsidRPr="00747476">
              <w:t xml:space="preserve"> </w:t>
            </w:r>
            <w:r w:rsidRPr="00747476">
              <w:t>for</w:t>
            </w:r>
            <w:r w:rsidR="00F96B2F" w:rsidRPr="00747476">
              <w:t xml:space="preserve"> </w:t>
            </w:r>
            <w:r w:rsidRPr="00747476">
              <w:t>the</w:t>
            </w:r>
            <w:r w:rsidR="00F96B2F" w:rsidRPr="00747476">
              <w:t xml:space="preserve"> </w:t>
            </w:r>
            <w:proofErr w:type="spellStart"/>
            <w:r w:rsidRPr="00747476">
              <w:t>pGHD</w:t>
            </w:r>
            <w:proofErr w:type="spellEnd"/>
            <w:r w:rsidR="0075741F" w:rsidRPr="00747476">
              <w:t xml:space="preserve"> indication</w:t>
            </w:r>
            <w:r w:rsidR="00F96B2F" w:rsidRPr="00747476">
              <w:t xml:space="preserve"> </w:t>
            </w:r>
            <w:r w:rsidRPr="00747476">
              <w:t>and</w:t>
            </w:r>
            <w:r w:rsidR="00F96B2F" w:rsidRPr="00747476">
              <w:t xml:space="preserve"> </w:t>
            </w:r>
            <w:r w:rsidRPr="00747476">
              <w:t>the</w:t>
            </w:r>
            <w:r w:rsidR="00F96B2F" w:rsidRPr="00747476">
              <w:t xml:space="preserve"> </w:t>
            </w:r>
            <w:proofErr w:type="spellStart"/>
            <w:r w:rsidRPr="00747476">
              <w:t>equi</w:t>
            </w:r>
            <w:proofErr w:type="spellEnd"/>
            <w:r w:rsidRPr="00747476">
              <w:t>-effective</w:t>
            </w:r>
            <w:r w:rsidR="00F96B2F" w:rsidRPr="00747476">
              <w:t xml:space="preserve"> </w:t>
            </w:r>
            <w:r w:rsidRPr="00747476">
              <w:t>doses</w:t>
            </w:r>
            <w:r w:rsidR="00F96B2F" w:rsidRPr="00747476">
              <w:t xml:space="preserve"> </w:t>
            </w:r>
            <w:r w:rsidRPr="00747476">
              <w:t>of</w:t>
            </w:r>
            <w:r w:rsidR="00F96B2F" w:rsidRPr="00747476">
              <w:t xml:space="preserve"> </w:t>
            </w:r>
            <w:proofErr w:type="spellStart"/>
            <w:r w:rsidRPr="00747476">
              <w:t>somatrogon</w:t>
            </w:r>
            <w:proofErr w:type="spellEnd"/>
            <w:r w:rsidR="00F96B2F" w:rsidRPr="00747476">
              <w:t xml:space="preserve"> </w:t>
            </w:r>
            <w:r w:rsidRPr="00747476">
              <w:t>and</w:t>
            </w:r>
            <w:r w:rsidR="00F96B2F" w:rsidRPr="00747476">
              <w:t xml:space="preserve"> </w:t>
            </w:r>
            <w:r w:rsidRPr="00747476">
              <w:t>somatropin,</w:t>
            </w:r>
            <w:r w:rsidR="00F96B2F" w:rsidRPr="00747476">
              <w:t xml:space="preserve"> </w:t>
            </w:r>
            <w:r w:rsidRPr="00747476">
              <w:t>the</w:t>
            </w:r>
            <w:r w:rsidR="00F96B2F" w:rsidRPr="00747476">
              <w:t xml:space="preserve"> </w:t>
            </w:r>
            <w:r w:rsidRPr="00747476">
              <w:t>calculated</w:t>
            </w:r>
            <w:r w:rsidR="00F96B2F" w:rsidRPr="00747476">
              <w:t xml:space="preserve"> </w:t>
            </w:r>
            <w:r w:rsidRPr="00747476">
              <w:t>cost</w:t>
            </w:r>
            <w:r w:rsidR="0075741F" w:rsidRPr="00747476">
              <w:t xml:space="preserve"> of somatropin</w:t>
            </w:r>
            <w:r w:rsidR="00F96B2F" w:rsidRPr="00747476">
              <w:t xml:space="preserve"> </w:t>
            </w:r>
            <w:r w:rsidRPr="00747476">
              <w:t>per</w:t>
            </w:r>
            <w:r w:rsidR="00F96B2F" w:rsidRPr="00747476">
              <w:t xml:space="preserve"> </w:t>
            </w:r>
            <w:r w:rsidRPr="00747476">
              <w:t>kilogram</w:t>
            </w:r>
            <w:r w:rsidR="0075741F" w:rsidRPr="00747476">
              <w:t xml:space="preserve"> of</w:t>
            </w:r>
            <w:r w:rsidR="00F96B2F" w:rsidRPr="00747476">
              <w:t xml:space="preserve"> </w:t>
            </w:r>
            <w:r w:rsidRPr="00747476">
              <w:t>body</w:t>
            </w:r>
            <w:r w:rsidR="00F96B2F" w:rsidRPr="00747476">
              <w:t xml:space="preserve"> </w:t>
            </w:r>
            <w:r w:rsidRPr="00747476">
              <w:t>weight</w:t>
            </w:r>
            <w:r w:rsidR="00F96B2F" w:rsidRPr="00747476">
              <w:t xml:space="preserve"> </w:t>
            </w:r>
            <w:r w:rsidRPr="00747476">
              <w:t>per</w:t>
            </w:r>
            <w:r w:rsidR="00F96B2F" w:rsidRPr="00747476">
              <w:t xml:space="preserve"> </w:t>
            </w:r>
            <w:r w:rsidRPr="00747476">
              <w:t>week</w:t>
            </w:r>
            <w:r w:rsidR="00F96B2F" w:rsidRPr="00747476">
              <w:t xml:space="preserve"> </w:t>
            </w:r>
            <w:r w:rsidRPr="00747476">
              <w:t>was</w:t>
            </w:r>
            <w:r w:rsidR="00F96B2F" w:rsidRPr="00747476">
              <w:t xml:space="preserve"> </w:t>
            </w:r>
            <w:r w:rsidRPr="00747476">
              <w:t>$9.90.</w:t>
            </w:r>
          </w:p>
          <w:p w14:paraId="5465BF66" w14:textId="07DFAB2E" w:rsidR="00811E0E" w:rsidRPr="00747476" w:rsidRDefault="00811E0E" w:rsidP="00DB65AC">
            <w:pPr>
              <w:pStyle w:val="TableText0"/>
              <w:widowControl w:val="0"/>
            </w:pPr>
          </w:p>
          <w:p w14:paraId="5E6C8179" w14:textId="69E36E19" w:rsidR="00811E0E" w:rsidRPr="00747476" w:rsidRDefault="00811E0E" w:rsidP="00DB65AC">
            <w:pPr>
              <w:pStyle w:val="TableText0"/>
              <w:widowControl w:val="0"/>
            </w:pPr>
            <w:r w:rsidRPr="00747476">
              <w:t>The</w:t>
            </w:r>
            <w:r w:rsidR="00F96B2F" w:rsidRPr="00747476">
              <w:t xml:space="preserve"> </w:t>
            </w:r>
            <w:r w:rsidRPr="00747476">
              <w:t>calculated</w:t>
            </w:r>
            <w:r w:rsidR="00F96B2F" w:rsidRPr="00747476">
              <w:t xml:space="preserve"> </w:t>
            </w:r>
            <w:r w:rsidRPr="00747476">
              <w:t>cost</w:t>
            </w:r>
            <w:r w:rsidR="00F96B2F" w:rsidRPr="00747476">
              <w:t xml:space="preserve"> </w:t>
            </w:r>
            <w:r w:rsidR="0075741F" w:rsidRPr="00747476">
              <w:t xml:space="preserve">of somatropin </w:t>
            </w:r>
            <w:r w:rsidRPr="00747476">
              <w:t>per</w:t>
            </w:r>
            <w:r w:rsidR="00F96B2F" w:rsidRPr="00747476">
              <w:t xml:space="preserve"> </w:t>
            </w:r>
            <w:r w:rsidRPr="00747476">
              <w:t>kilogram</w:t>
            </w:r>
            <w:r w:rsidR="00F96B2F" w:rsidRPr="00747476">
              <w:t xml:space="preserve"> </w:t>
            </w:r>
            <w:r w:rsidR="0075741F" w:rsidRPr="00747476">
              <w:t xml:space="preserve">of </w:t>
            </w:r>
            <w:r w:rsidRPr="00747476">
              <w:t>body</w:t>
            </w:r>
            <w:r w:rsidR="00F96B2F" w:rsidRPr="00747476">
              <w:t xml:space="preserve"> </w:t>
            </w:r>
            <w:r w:rsidRPr="00747476">
              <w:t>weight</w:t>
            </w:r>
            <w:r w:rsidR="00F96B2F" w:rsidRPr="00747476">
              <w:t xml:space="preserve"> </w:t>
            </w:r>
            <w:r w:rsidRPr="00747476">
              <w:t>per</w:t>
            </w:r>
            <w:r w:rsidR="00F96B2F" w:rsidRPr="00747476">
              <w:t xml:space="preserve"> </w:t>
            </w:r>
            <w:r w:rsidRPr="00747476">
              <w:t>week</w:t>
            </w:r>
            <w:r w:rsidR="00F96B2F" w:rsidRPr="00747476">
              <w:t xml:space="preserve"> </w:t>
            </w:r>
            <w:r w:rsidRPr="00747476">
              <w:t>($9.90)</w:t>
            </w:r>
            <w:r w:rsidR="00F96B2F" w:rsidRPr="00747476">
              <w:t xml:space="preserve"> </w:t>
            </w:r>
            <w:r w:rsidRPr="00747476">
              <w:t>was</w:t>
            </w:r>
            <w:r w:rsidR="00F96B2F" w:rsidRPr="00747476">
              <w:t xml:space="preserve"> </w:t>
            </w:r>
            <w:r w:rsidRPr="00747476">
              <w:t>apportioned</w:t>
            </w:r>
            <w:r w:rsidR="00F96B2F" w:rsidRPr="00747476">
              <w:t xml:space="preserve"> </w:t>
            </w:r>
            <w:r w:rsidRPr="00747476">
              <w:t>to</w:t>
            </w:r>
            <w:r w:rsidR="00F96B2F" w:rsidRPr="00747476">
              <w:t xml:space="preserve"> </w:t>
            </w:r>
            <w:r w:rsidRPr="00747476">
              <w:t>the</w:t>
            </w:r>
            <w:r w:rsidR="00F96B2F" w:rsidRPr="00747476">
              <w:t xml:space="preserve"> </w:t>
            </w:r>
            <w:r w:rsidRPr="00747476">
              <w:t>unit</w:t>
            </w:r>
            <w:r w:rsidR="00F96B2F" w:rsidRPr="00747476">
              <w:t xml:space="preserve"> </w:t>
            </w:r>
            <w:r w:rsidRPr="00747476">
              <w:t>costs</w:t>
            </w:r>
            <w:r w:rsidR="00F96B2F" w:rsidRPr="00747476">
              <w:t xml:space="preserve"> </w:t>
            </w:r>
            <w:r w:rsidRPr="00747476">
              <w:t>of</w:t>
            </w:r>
            <w:r w:rsidR="00F96B2F" w:rsidRPr="00747476">
              <w:t xml:space="preserve"> </w:t>
            </w:r>
            <w:proofErr w:type="spellStart"/>
            <w:r w:rsidRPr="00747476">
              <w:t>somatrogon</w:t>
            </w:r>
            <w:proofErr w:type="spellEnd"/>
            <w:r w:rsidR="00F96B2F" w:rsidRPr="00747476">
              <w:t xml:space="preserve"> </w:t>
            </w:r>
            <w:r w:rsidRPr="00747476">
              <w:t>using</w:t>
            </w:r>
            <w:r w:rsidR="00F96B2F" w:rsidRPr="00747476">
              <w:t xml:space="preserve"> </w:t>
            </w:r>
            <w:r w:rsidRPr="00747476">
              <w:t>the</w:t>
            </w:r>
            <w:r w:rsidR="00F96B2F" w:rsidRPr="00747476">
              <w:t xml:space="preserve"> </w:t>
            </w:r>
            <w:proofErr w:type="spellStart"/>
            <w:r w:rsidRPr="00747476">
              <w:t>equi</w:t>
            </w:r>
            <w:proofErr w:type="spellEnd"/>
            <w:r w:rsidRPr="00747476">
              <w:t>-effective</w:t>
            </w:r>
            <w:r w:rsidR="00F96B2F" w:rsidRPr="00747476">
              <w:t xml:space="preserve"> </w:t>
            </w:r>
            <w:r w:rsidRPr="00747476">
              <w:t>doses</w:t>
            </w:r>
            <w:r w:rsidR="00F96B2F" w:rsidRPr="00747476">
              <w:t xml:space="preserve"> </w:t>
            </w:r>
            <w:r w:rsidRPr="00747476">
              <w:t>of</w:t>
            </w:r>
            <w:r w:rsidR="00F96B2F" w:rsidRPr="00747476">
              <w:t xml:space="preserve"> </w:t>
            </w:r>
            <w:proofErr w:type="spellStart"/>
            <w:r w:rsidRPr="00747476">
              <w:t>somatrogon</w:t>
            </w:r>
            <w:proofErr w:type="spellEnd"/>
            <w:r w:rsidR="00F96B2F" w:rsidRPr="00747476">
              <w:t xml:space="preserve"> </w:t>
            </w:r>
            <w:r w:rsidRPr="00747476">
              <w:t>and</w:t>
            </w:r>
            <w:r w:rsidR="00F96B2F" w:rsidRPr="00747476">
              <w:t xml:space="preserve"> </w:t>
            </w:r>
            <w:r w:rsidRPr="00747476">
              <w:t>somatropin,</w:t>
            </w:r>
            <w:r w:rsidR="00F96B2F" w:rsidRPr="00747476">
              <w:t xml:space="preserve"> </w:t>
            </w:r>
            <w:r w:rsidRPr="00747476">
              <w:t>to</w:t>
            </w:r>
            <w:r w:rsidR="00F96B2F" w:rsidRPr="00747476">
              <w:t xml:space="preserve"> </w:t>
            </w:r>
            <w:r w:rsidRPr="00747476">
              <w:t>arrive</w:t>
            </w:r>
            <w:r w:rsidR="00F96B2F" w:rsidRPr="00747476">
              <w:t xml:space="preserve"> </w:t>
            </w:r>
            <w:r w:rsidRPr="00747476">
              <w:t>at</w:t>
            </w:r>
            <w:r w:rsidR="00F96B2F" w:rsidRPr="00747476">
              <w:t xml:space="preserve"> </w:t>
            </w:r>
            <w:r w:rsidRPr="00747476">
              <w:t>an</w:t>
            </w:r>
            <w:r w:rsidR="00F96B2F" w:rsidRPr="00747476">
              <w:t xml:space="preserve"> </w:t>
            </w:r>
            <w:r w:rsidRPr="00747476">
              <w:t>equivalent</w:t>
            </w:r>
            <w:r w:rsidR="00F96B2F" w:rsidRPr="00747476">
              <w:t xml:space="preserve"> </w:t>
            </w:r>
            <w:r w:rsidRPr="00747476">
              <w:t>weekly</w:t>
            </w:r>
            <w:r w:rsidR="00F96B2F" w:rsidRPr="00747476">
              <w:t xml:space="preserve"> </w:t>
            </w:r>
            <w:r w:rsidRPr="00747476">
              <w:t>treatment</w:t>
            </w:r>
            <w:r w:rsidR="00F96B2F" w:rsidRPr="00747476">
              <w:t xml:space="preserve"> </w:t>
            </w:r>
            <w:r w:rsidRPr="00747476">
              <w:t>cost</w:t>
            </w:r>
            <w:r w:rsidR="0075741F" w:rsidRPr="00747476">
              <w:t xml:space="preserve"> of </w:t>
            </w:r>
            <w:proofErr w:type="spellStart"/>
            <w:r w:rsidR="0075741F" w:rsidRPr="00747476">
              <w:t>somatrogon</w:t>
            </w:r>
            <w:proofErr w:type="spellEnd"/>
            <w:r w:rsidR="00F96B2F" w:rsidRPr="00747476">
              <w:t xml:space="preserve"> </w:t>
            </w:r>
            <w:r w:rsidRPr="00747476">
              <w:t>per</w:t>
            </w:r>
            <w:r w:rsidR="00F96B2F" w:rsidRPr="00747476">
              <w:t xml:space="preserve"> </w:t>
            </w:r>
            <w:r w:rsidRPr="00747476">
              <w:t>kilogram</w:t>
            </w:r>
            <w:r w:rsidR="00F96B2F" w:rsidRPr="00747476">
              <w:t xml:space="preserve"> </w:t>
            </w:r>
            <w:r w:rsidR="0075741F" w:rsidRPr="00747476">
              <w:t xml:space="preserve">of </w:t>
            </w:r>
            <w:r w:rsidRPr="00747476">
              <w:t>body</w:t>
            </w:r>
            <w:r w:rsidR="00F96B2F" w:rsidRPr="00747476">
              <w:t xml:space="preserve"> </w:t>
            </w:r>
            <w:r w:rsidRPr="00747476">
              <w:t>weight</w:t>
            </w:r>
            <w:r w:rsidR="00F96B2F" w:rsidRPr="00747476">
              <w:t xml:space="preserve"> </w:t>
            </w:r>
            <w:r w:rsidRPr="00747476">
              <w:t>($9.90).</w:t>
            </w:r>
          </w:p>
          <w:p w14:paraId="03AFDB7F" w14:textId="77777777" w:rsidR="00811E0E" w:rsidRPr="00747476" w:rsidRDefault="00811E0E" w:rsidP="00DB65AC">
            <w:pPr>
              <w:pStyle w:val="TableText0"/>
              <w:widowControl w:val="0"/>
              <w:rPr>
                <w:rFonts w:eastAsia="Yu Gothic Light" w:cs="Times New Roman"/>
                <w:szCs w:val="20"/>
              </w:rPr>
            </w:pPr>
          </w:p>
          <w:p w14:paraId="0C845721" w14:textId="46BBE227" w:rsidR="00811E0E" w:rsidRPr="00E96E9F" w:rsidRDefault="00811E0E" w:rsidP="00DB65AC">
            <w:pPr>
              <w:pStyle w:val="TableText0"/>
              <w:widowControl w:val="0"/>
              <w:rPr>
                <w:rFonts w:eastAsia="Yu Gothic Light" w:cs="Times New Roman"/>
                <w:i/>
                <w:iCs/>
              </w:rPr>
            </w:pPr>
            <w:r w:rsidRPr="00747476">
              <w:rPr>
                <w:rFonts w:eastAsia="Yu Gothic Light" w:cs="Times New Roman"/>
                <w:iCs/>
              </w:rPr>
              <w:t>The</w:t>
            </w:r>
            <w:r w:rsidR="00F96B2F" w:rsidRPr="00747476">
              <w:rPr>
                <w:rFonts w:eastAsia="Yu Gothic Light" w:cs="Times New Roman"/>
                <w:iCs/>
              </w:rPr>
              <w:t xml:space="preserve"> </w:t>
            </w:r>
            <w:r w:rsidRPr="00747476">
              <w:rPr>
                <w:rFonts w:eastAsia="Yu Gothic Light" w:cs="Times New Roman"/>
                <w:iCs/>
              </w:rPr>
              <w:t>submission</w:t>
            </w:r>
            <w:r w:rsidR="00F96B2F" w:rsidRPr="00747476">
              <w:rPr>
                <w:rFonts w:eastAsia="Yu Gothic Light" w:cs="Times New Roman"/>
                <w:iCs/>
              </w:rPr>
              <w:t xml:space="preserve"> </w:t>
            </w:r>
            <w:r w:rsidRPr="00747476">
              <w:rPr>
                <w:rFonts w:eastAsia="Yu Gothic Light" w:cs="Times New Roman"/>
                <w:iCs/>
              </w:rPr>
              <w:t>presented</w:t>
            </w:r>
            <w:r w:rsidR="00F96B2F" w:rsidRPr="00747476">
              <w:rPr>
                <w:rFonts w:eastAsia="Yu Gothic Light" w:cs="Times New Roman"/>
                <w:iCs/>
              </w:rPr>
              <w:t xml:space="preserve"> </w:t>
            </w:r>
            <w:r w:rsidR="0075741F" w:rsidRPr="00747476">
              <w:rPr>
                <w:rFonts w:eastAsia="Yu Gothic Light" w:cs="Times New Roman"/>
                <w:iCs/>
              </w:rPr>
              <w:t xml:space="preserve">a </w:t>
            </w:r>
            <w:r w:rsidRPr="00747476">
              <w:rPr>
                <w:rFonts w:eastAsia="Yu Gothic Light" w:cs="Times New Roman"/>
                <w:iCs/>
              </w:rPr>
              <w:t>cost-minimisation</w:t>
            </w:r>
            <w:r w:rsidR="00F96B2F" w:rsidRPr="00747476">
              <w:rPr>
                <w:rFonts w:eastAsia="Yu Gothic Light" w:cs="Times New Roman"/>
                <w:iCs/>
              </w:rPr>
              <w:t xml:space="preserve"> </w:t>
            </w:r>
            <w:r w:rsidRPr="00747476">
              <w:rPr>
                <w:rFonts w:eastAsia="Yu Gothic Light" w:cs="Times New Roman"/>
                <w:iCs/>
              </w:rPr>
              <w:t>analysis</w:t>
            </w:r>
            <w:r w:rsidR="00F96B2F" w:rsidRPr="00747476">
              <w:rPr>
                <w:rFonts w:eastAsia="Yu Gothic Light" w:cs="Times New Roman"/>
                <w:iCs/>
              </w:rPr>
              <w:t xml:space="preserve"> </w:t>
            </w:r>
            <w:r w:rsidRPr="00747476">
              <w:rPr>
                <w:rFonts w:eastAsia="Yu Gothic Light" w:cs="Times New Roman"/>
                <w:iCs/>
              </w:rPr>
              <w:t>using</w:t>
            </w:r>
            <w:r w:rsidR="0075741F" w:rsidRPr="00747476">
              <w:rPr>
                <w:rFonts w:eastAsia="Yu Gothic Light" w:cs="Times New Roman"/>
                <w:iCs/>
              </w:rPr>
              <w:t xml:space="preserve"> the</w:t>
            </w:r>
            <w:r w:rsidR="00F96B2F" w:rsidRPr="00747476">
              <w:rPr>
                <w:rFonts w:eastAsia="Yu Gothic Light" w:cs="Times New Roman"/>
                <w:iCs/>
              </w:rPr>
              <w:t xml:space="preserve"> </w:t>
            </w:r>
            <w:proofErr w:type="spellStart"/>
            <w:r w:rsidRPr="00747476">
              <w:rPr>
                <w:rFonts w:eastAsia="Yu Gothic Light" w:cs="Times New Roman"/>
                <w:iCs/>
              </w:rPr>
              <w:t>equi</w:t>
            </w:r>
            <w:proofErr w:type="spellEnd"/>
            <w:r w:rsidRPr="00747476">
              <w:rPr>
                <w:rFonts w:eastAsia="Yu Gothic Light" w:cs="Times New Roman"/>
                <w:iCs/>
              </w:rPr>
              <w:t>-effective</w:t>
            </w:r>
            <w:r w:rsidR="00F96B2F" w:rsidRPr="00747476">
              <w:rPr>
                <w:rFonts w:eastAsia="Yu Gothic Light" w:cs="Times New Roman"/>
                <w:iCs/>
              </w:rPr>
              <w:t xml:space="preserve"> </w:t>
            </w:r>
            <w:r w:rsidRPr="00747476">
              <w:rPr>
                <w:rFonts w:eastAsia="Yu Gothic Light" w:cs="Times New Roman"/>
                <w:iCs/>
              </w:rPr>
              <w:t>doses</w:t>
            </w:r>
            <w:r w:rsidR="00F96B2F" w:rsidRPr="00747476">
              <w:rPr>
                <w:rFonts w:eastAsia="Yu Gothic Light" w:cs="Times New Roman"/>
                <w:iCs/>
              </w:rPr>
              <w:t xml:space="preserve"> </w:t>
            </w:r>
            <w:r w:rsidRPr="00747476">
              <w:rPr>
                <w:rFonts w:eastAsia="Yu Gothic Light" w:cs="Times New Roman"/>
                <w:iCs/>
              </w:rPr>
              <w:t>derived</w:t>
            </w:r>
            <w:r w:rsidR="00F96B2F" w:rsidRPr="00747476">
              <w:rPr>
                <w:rFonts w:eastAsia="Yu Gothic Light" w:cs="Times New Roman"/>
                <w:iCs/>
              </w:rPr>
              <w:t xml:space="preserve"> </w:t>
            </w:r>
            <w:r w:rsidRPr="00747476">
              <w:rPr>
                <w:rFonts w:eastAsia="Yu Gothic Light" w:cs="Times New Roman"/>
                <w:iCs/>
              </w:rPr>
              <w:t>from</w:t>
            </w:r>
            <w:r w:rsidR="00F96B2F" w:rsidRPr="00747476">
              <w:rPr>
                <w:rFonts w:eastAsia="Yu Gothic Light" w:cs="Times New Roman"/>
                <w:iCs/>
              </w:rPr>
              <w:t xml:space="preserve"> </w:t>
            </w:r>
            <w:r w:rsidR="0075741F" w:rsidRPr="00747476">
              <w:rPr>
                <w:rFonts w:eastAsia="Yu Gothic Light" w:cs="Times New Roman"/>
                <w:iCs/>
              </w:rPr>
              <w:t xml:space="preserve">the </w:t>
            </w:r>
            <w:r w:rsidRPr="00747476">
              <w:rPr>
                <w:rFonts w:eastAsia="Yu Gothic Light" w:cs="Times New Roman"/>
                <w:iCs/>
              </w:rPr>
              <w:t>median</w:t>
            </w:r>
            <w:r w:rsidR="00F96B2F" w:rsidRPr="00747476">
              <w:rPr>
                <w:rFonts w:eastAsia="Yu Gothic Light" w:cs="Times New Roman"/>
                <w:iCs/>
              </w:rPr>
              <w:t xml:space="preserve"> </w:t>
            </w:r>
            <w:r w:rsidRPr="00747476">
              <w:rPr>
                <w:rFonts w:eastAsia="Yu Gothic Light" w:cs="Times New Roman"/>
                <w:iCs/>
              </w:rPr>
              <w:t>treatment</w:t>
            </w:r>
            <w:r w:rsidR="00F96B2F" w:rsidRPr="00747476">
              <w:rPr>
                <w:rFonts w:eastAsia="Yu Gothic Light" w:cs="Times New Roman"/>
                <w:iCs/>
              </w:rPr>
              <w:t xml:space="preserve"> </w:t>
            </w:r>
            <w:r w:rsidRPr="00747476">
              <w:rPr>
                <w:rFonts w:eastAsia="Yu Gothic Light" w:cs="Times New Roman"/>
                <w:iCs/>
              </w:rPr>
              <w:t>doses</w:t>
            </w:r>
            <w:r w:rsidR="00F96B2F" w:rsidRPr="00747476">
              <w:rPr>
                <w:rFonts w:eastAsia="Yu Gothic Light" w:cs="Times New Roman"/>
                <w:iCs/>
              </w:rPr>
              <w:t xml:space="preserve"> </w:t>
            </w:r>
            <w:r w:rsidR="0075741F" w:rsidRPr="00747476">
              <w:rPr>
                <w:rFonts w:eastAsia="Yu Gothic Light" w:cs="Times New Roman"/>
                <w:iCs/>
              </w:rPr>
              <w:t xml:space="preserve">of </w:t>
            </w:r>
            <w:r w:rsidRPr="00747476">
              <w:rPr>
                <w:rFonts w:eastAsia="Yu Gothic Light" w:cs="Times New Roman"/>
                <w:iCs/>
              </w:rPr>
              <w:t>Study</w:t>
            </w:r>
            <w:r w:rsidR="00F96B2F" w:rsidRPr="00747476">
              <w:rPr>
                <w:rFonts w:eastAsia="Yu Gothic Light" w:cs="Times New Roman"/>
                <w:iCs/>
              </w:rPr>
              <w:t xml:space="preserve"> </w:t>
            </w:r>
            <w:r w:rsidRPr="00747476">
              <w:rPr>
                <w:rFonts w:eastAsia="Yu Gothic Light" w:cs="Times New Roman"/>
                <w:iCs/>
              </w:rPr>
              <w:t>4006.</w:t>
            </w:r>
            <w:r w:rsidR="00F96B2F" w:rsidRPr="00747476">
              <w:rPr>
                <w:rFonts w:eastAsia="Yu Gothic Light" w:cs="Times New Roman"/>
                <w:iCs/>
              </w:rPr>
              <w:t xml:space="preserve"> </w:t>
            </w:r>
            <w:r w:rsidRPr="00747476">
              <w:rPr>
                <w:rFonts w:eastAsia="Yu Gothic Light" w:cs="Times New Roman"/>
                <w:iCs/>
              </w:rPr>
              <w:t>The</w:t>
            </w:r>
            <w:r w:rsidR="00F96B2F" w:rsidRPr="00747476">
              <w:rPr>
                <w:rFonts w:eastAsia="Yu Gothic Light" w:cs="Times New Roman"/>
                <w:iCs/>
              </w:rPr>
              <w:t xml:space="preserve"> </w:t>
            </w:r>
            <w:r w:rsidRPr="00747476">
              <w:rPr>
                <w:rFonts w:eastAsia="Yu Gothic Light" w:cs="Times New Roman"/>
                <w:iCs/>
              </w:rPr>
              <w:t>results</w:t>
            </w:r>
            <w:r w:rsidR="00F96B2F" w:rsidRPr="00747476">
              <w:rPr>
                <w:rFonts w:eastAsia="Yu Gothic Light" w:cs="Times New Roman"/>
                <w:iCs/>
              </w:rPr>
              <w:t xml:space="preserve"> </w:t>
            </w:r>
            <w:r w:rsidRPr="00747476">
              <w:rPr>
                <w:rFonts w:eastAsia="Yu Gothic Light" w:cs="Times New Roman"/>
                <w:iCs/>
              </w:rPr>
              <w:t>of</w:t>
            </w:r>
            <w:r w:rsidR="00F96B2F" w:rsidRPr="00747476">
              <w:rPr>
                <w:rFonts w:eastAsia="Yu Gothic Light" w:cs="Times New Roman"/>
                <w:iCs/>
              </w:rPr>
              <w:t xml:space="preserve"> </w:t>
            </w:r>
            <w:r w:rsidRPr="00747476">
              <w:rPr>
                <w:rFonts w:eastAsia="Yu Gothic Light" w:cs="Times New Roman"/>
                <w:iCs/>
              </w:rPr>
              <w:t>the</w:t>
            </w:r>
            <w:r w:rsidR="00F96B2F" w:rsidRPr="00747476">
              <w:rPr>
                <w:rFonts w:eastAsia="Yu Gothic Light" w:cs="Times New Roman"/>
                <w:iCs/>
              </w:rPr>
              <w:t xml:space="preserve"> </w:t>
            </w:r>
            <w:r w:rsidRPr="00747476">
              <w:rPr>
                <w:rFonts w:eastAsia="Yu Gothic Light" w:cs="Times New Roman"/>
                <w:iCs/>
              </w:rPr>
              <w:t>cost-minimisation</w:t>
            </w:r>
            <w:r w:rsidR="00F96B2F" w:rsidRPr="00747476">
              <w:rPr>
                <w:rFonts w:eastAsia="Yu Gothic Light" w:cs="Times New Roman"/>
                <w:iCs/>
              </w:rPr>
              <w:t xml:space="preserve"> </w:t>
            </w:r>
            <w:r w:rsidRPr="00747476">
              <w:rPr>
                <w:rFonts w:eastAsia="Yu Gothic Light" w:cs="Times New Roman"/>
                <w:iCs/>
              </w:rPr>
              <w:t>analysis</w:t>
            </w:r>
            <w:r w:rsidR="00F96B2F" w:rsidRPr="00747476">
              <w:rPr>
                <w:rFonts w:eastAsia="Yu Gothic Light" w:cs="Times New Roman"/>
                <w:iCs/>
              </w:rPr>
              <w:t xml:space="preserve"> </w:t>
            </w:r>
            <w:r w:rsidRPr="00747476">
              <w:rPr>
                <w:rFonts w:eastAsia="Yu Gothic Light" w:cs="Times New Roman"/>
                <w:iCs/>
              </w:rPr>
              <w:t>according</w:t>
            </w:r>
            <w:r w:rsidR="00F96B2F" w:rsidRPr="00747476">
              <w:rPr>
                <w:rFonts w:eastAsia="Yu Gothic Light" w:cs="Times New Roman"/>
                <w:iCs/>
              </w:rPr>
              <w:t xml:space="preserve"> </w:t>
            </w:r>
            <w:r w:rsidRPr="00747476">
              <w:rPr>
                <w:rFonts w:eastAsia="Yu Gothic Light" w:cs="Times New Roman"/>
                <w:iCs/>
              </w:rPr>
              <w:t>to</w:t>
            </w:r>
            <w:r w:rsidR="00F96B2F" w:rsidRPr="00747476">
              <w:rPr>
                <w:rFonts w:eastAsia="Yu Gothic Light" w:cs="Times New Roman"/>
                <w:iCs/>
              </w:rPr>
              <w:t xml:space="preserve"> </w:t>
            </w:r>
            <w:proofErr w:type="spellStart"/>
            <w:r w:rsidRPr="00747476">
              <w:rPr>
                <w:rFonts w:eastAsia="Yu Gothic Light" w:cs="Times New Roman"/>
                <w:iCs/>
              </w:rPr>
              <w:t>equi</w:t>
            </w:r>
            <w:proofErr w:type="spellEnd"/>
            <w:r w:rsidRPr="00747476">
              <w:rPr>
                <w:rFonts w:eastAsia="Yu Gothic Light" w:cs="Times New Roman"/>
                <w:iCs/>
              </w:rPr>
              <w:t>-effective</w:t>
            </w:r>
            <w:r w:rsidR="00F96B2F" w:rsidRPr="00747476">
              <w:rPr>
                <w:rFonts w:eastAsia="Yu Gothic Light" w:cs="Times New Roman"/>
                <w:iCs/>
              </w:rPr>
              <w:t xml:space="preserve"> </w:t>
            </w:r>
            <w:r w:rsidRPr="00747476">
              <w:rPr>
                <w:rFonts w:eastAsia="Yu Gothic Light" w:cs="Times New Roman"/>
                <w:iCs/>
              </w:rPr>
              <w:t>doses</w:t>
            </w:r>
            <w:r w:rsidR="00F96B2F" w:rsidRPr="00747476">
              <w:rPr>
                <w:rFonts w:eastAsia="Yu Gothic Light" w:cs="Times New Roman"/>
                <w:iCs/>
              </w:rPr>
              <w:t xml:space="preserve"> </w:t>
            </w:r>
            <w:r w:rsidRPr="00747476">
              <w:rPr>
                <w:rFonts w:eastAsia="Yu Gothic Light" w:cs="Times New Roman"/>
                <w:iCs/>
              </w:rPr>
              <w:t>based</w:t>
            </w:r>
            <w:r w:rsidR="00F96B2F" w:rsidRPr="00747476">
              <w:rPr>
                <w:rFonts w:eastAsia="Yu Gothic Light" w:cs="Times New Roman"/>
                <w:iCs/>
              </w:rPr>
              <w:t xml:space="preserve"> </w:t>
            </w:r>
            <w:r w:rsidRPr="00747476">
              <w:rPr>
                <w:rFonts w:eastAsia="Yu Gothic Light" w:cs="Times New Roman"/>
                <w:iCs/>
              </w:rPr>
              <w:t>on</w:t>
            </w:r>
            <w:r w:rsidR="0075741F" w:rsidRPr="00747476">
              <w:rPr>
                <w:rFonts w:eastAsia="Yu Gothic Light" w:cs="Times New Roman"/>
                <w:iCs/>
              </w:rPr>
              <w:t xml:space="preserve"> the</w:t>
            </w:r>
            <w:r w:rsidR="00F96B2F" w:rsidRPr="00747476">
              <w:rPr>
                <w:rFonts w:eastAsia="Yu Gothic Light" w:cs="Times New Roman"/>
                <w:iCs/>
              </w:rPr>
              <w:t xml:space="preserve"> </w:t>
            </w:r>
            <w:r w:rsidRPr="00747476">
              <w:rPr>
                <w:rFonts w:eastAsia="Yu Gothic Light" w:cs="Times New Roman"/>
                <w:iCs/>
              </w:rPr>
              <w:t>mean</w:t>
            </w:r>
            <w:r w:rsidR="00F96B2F" w:rsidRPr="00747476">
              <w:rPr>
                <w:rFonts w:eastAsia="Yu Gothic Light" w:cs="Times New Roman"/>
                <w:iCs/>
              </w:rPr>
              <w:t xml:space="preserve"> </w:t>
            </w:r>
            <w:r w:rsidRPr="00747476">
              <w:rPr>
                <w:rFonts w:eastAsia="Yu Gothic Light" w:cs="Times New Roman"/>
                <w:iCs/>
              </w:rPr>
              <w:t>treatment</w:t>
            </w:r>
            <w:r w:rsidR="00F96B2F" w:rsidRPr="00747476">
              <w:rPr>
                <w:rFonts w:eastAsia="Yu Gothic Light" w:cs="Times New Roman"/>
                <w:iCs/>
              </w:rPr>
              <w:t xml:space="preserve"> </w:t>
            </w:r>
            <w:r w:rsidRPr="00747476">
              <w:rPr>
                <w:rFonts w:eastAsia="Yu Gothic Light" w:cs="Times New Roman"/>
                <w:iCs/>
              </w:rPr>
              <w:t>doses</w:t>
            </w:r>
            <w:r w:rsidR="00F96B2F" w:rsidRPr="00747476">
              <w:rPr>
                <w:rFonts w:eastAsia="Yu Gothic Light" w:cs="Times New Roman"/>
                <w:iCs/>
              </w:rPr>
              <w:t xml:space="preserve"> </w:t>
            </w:r>
            <w:r w:rsidRPr="00747476">
              <w:rPr>
                <w:rFonts w:eastAsia="Yu Gothic Light" w:cs="Times New Roman"/>
                <w:iCs/>
              </w:rPr>
              <w:t>were</w:t>
            </w:r>
            <w:r w:rsidR="00F96B2F" w:rsidRPr="00747476">
              <w:rPr>
                <w:rFonts w:eastAsia="Yu Gothic Light" w:cs="Times New Roman"/>
                <w:iCs/>
              </w:rPr>
              <w:t xml:space="preserve"> </w:t>
            </w:r>
            <w:r w:rsidRPr="00747476">
              <w:rPr>
                <w:rFonts w:eastAsia="Yu Gothic Light" w:cs="Times New Roman"/>
                <w:iCs/>
              </w:rPr>
              <w:t>$</w:t>
            </w:r>
            <w:r w:rsidR="00806B82" w:rsidRPr="00747476">
              <w:rPr>
                <w:rFonts w:eastAsia="Yu Gothic Light" w:cs="Times New Roman"/>
              </w:rPr>
              <w:t>9.8</w:t>
            </w:r>
            <w:r w:rsidRPr="00747476">
              <w:rPr>
                <w:rFonts w:eastAsia="Yu Gothic Light" w:cs="Times New Roman"/>
              </w:rPr>
              <w:t>5</w:t>
            </w:r>
            <w:r w:rsidR="00F96B2F" w:rsidRPr="00747476">
              <w:rPr>
                <w:rFonts w:eastAsia="Yu Gothic Light" w:cs="Times New Roman"/>
                <w:iCs/>
              </w:rPr>
              <w:t xml:space="preserve"> </w:t>
            </w:r>
            <w:r w:rsidRPr="00747476">
              <w:rPr>
                <w:rFonts w:eastAsia="Yu Gothic Light" w:cs="Times New Roman"/>
                <w:iCs/>
              </w:rPr>
              <w:t>per</w:t>
            </w:r>
            <w:r w:rsidR="00F96B2F" w:rsidRPr="00747476">
              <w:rPr>
                <w:rFonts w:eastAsia="Yu Gothic Light" w:cs="Times New Roman"/>
                <w:iCs/>
              </w:rPr>
              <w:t xml:space="preserve"> </w:t>
            </w:r>
            <w:r w:rsidRPr="00747476">
              <w:rPr>
                <w:rFonts w:eastAsia="Yu Gothic Light" w:cs="Times New Roman"/>
                <w:iCs/>
              </w:rPr>
              <w:t>kilogram</w:t>
            </w:r>
            <w:r w:rsidR="00F96B2F" w:rsidRPr="00747476">
              <w:rPr>
                <w:rFonts w:eastAsia="Yu Gothic Light" w:cs="Times New Roman"/>
                <w:iCs/>
              </w:rPr>
              <w:t xml:space="preserve"> </w:t>
            </w:r>
            <w:r w:rsidR="0075741F" w:rsidRPr="00747476">
              <w:rPr>
                <w:rFonts w:eastAsia="Yu Gothic Light" w:cs="Times New Roman"/>
                <w:iCs/>
              </w:rPr>
              <w:t xml:space="preserve">of </w:t>
            </w:r>
            <w:r w:rsidRPr="00747476">
              <w:rPr>
                <w:rFonts w:eastAsia="Yu Gothic Light" w:cs="Times New Roman"/>
                <w:iCs/>
              </w:rPr>
              <w:t>body</w:t>
            </w:r>
            <w:r w:rsidR="00F96B2F" w:rsidRPr="00747476">
              <w:rPr>
                <w:rFonts w:eastAsia="Yu Gothic Light" w:cs="Times New Roman"/>
                <w:iCs/>
              </w:rPr>
              <w:t xml:space="preserve"> </w:t>
            </w:r>
            <w:r w:rsidRPr="00747476">
              <w:rPr>
                <w:rFonts w:eastAsia="Yu Gothic Light" w:cs="Times New Roman"/>
                <w:iCs/>
              </w:rPr>
              <w:t>weight</w:t>
            </w:r>
            <w:r w:rsidR="00F96B2F" w:rsidRPr="00747476">
              <w:rPr>
                <w:rFonts w:eastAsia="Yu Gothic Light" w:cs="Times New Roman"/>
                <w:iCs/>
              </w:rPr>
              <w:t xml:space="preserve"> </w:t>
            </w:r>
            <w:r w:rsidRPr="00747476">
              <w:rPr>
                <w:rFonts w:eastAsia="Yu Gothic Light" w:cs="Times New Roman"/>
                <w:iCs/>
              </w:rPr>
              <w:t>for</w:t>
            </w:r>
            <w:r w:rsidR="00F96B2F" w:rsidRPr="00747476">
              <w:rPr>
                <w:rFonts w:eastAsia="Yu Gothic Light" w:cs="Times New Roman"/>
                <w:iCs/>
              </w:rPr>
              <w:t xml:space="preserve"> </w:t>
            </w:r>
            <w:proofErr w:type="spellStart"/>
            <w:r w:rsidRPr="00747476">
              <w:rPr>
                <w:rFonts w:eastAsia="Yu Gothic Light" w:cs="Times New Roman"/>
                <w:iCs/>
              </w:rPr>
              <w:t>somatrogon</w:t>
            </w:r>
            <w:proofErr w:type="spellEnd"/>
            <w:r w:rsidR="00F96B2F" w:rsidRPr="00747476">
              <w:rPr>
                <w:rFonts w:eastAsia="Yu Gothic Light" w:cs="Times New Roman"/>
                <w:iCs/>
              </w:rPr>
              <w:t xml:space="preserve"> </w:t>
            </w:r>
            <w:r w:rsidRPr="00747476">
              <w:rPr>
                <w:rFonts w:eastAsia="Yu Gothic Light" w:cs="Times New Roman"/>
                <w:iCs/>
              </w:rPr>
              <w:t>versus</w:t>
            </w:r>
            <w:r w:rsidR="00F96B2F" w:rsidRPr="00747476">
              <w:rPr>
                <w:rFonts w:eastAsia="Yu Gothic Light" w:cs="Times New Roman"/>
                <w:iCs/>
              </w:rPr>
              <w:t xml:space="preserve"> </w:t>
            </w:r>
            <w:r w:rsidRPr="00747476">
              <w:rPr>
                <w:rFonts w:eastAsia="Yu Gothic Light" w:cs="Times New Roman"/>
                <w:iCs/>
              </w:rPr>
              <w:t>$</w:t>
            </w:r>
            <w:r w:rsidR="00806B82" w:rsidRPr="00747476">
              <w:rPr>
                <w:rFonts w:eastAsia="Yu Gothic Light" w:cs="Times New Roman"/>
              </w:rPr>
              <w:t>9.8</w:t>
            </w:r>
            <w:r w:rsidRPr="00747476">
              <w:rPr>
                <w:rFonts w:eastAsia="Yu Gothic Light" w:cs="Times New Roman"/>
              </w:rPr>
              <w:t>5</w:t>
            </w:r>
            <w:r w:rsidR="00F96B2F" w:rsidRPr="00747476">
              <w:rPr>
                <w:rFonts w:eastAsia="Yu Gothic Light" w:cs="Times New Roman"/>
                <w:iCs/>
              </w:rPr>
              <w:t xml:space="preserve"> </w:t>
            </w:r>
            <w:r w:rsidRPr="00747476">
              <w:rPr>
                <w:rFonts w:eastAsia="Yu Gothic Light" w:cs="Times New Roman"/>
                <w:iCs/>
              </w:rPr>
              <w:t>per</w:t>
            </w:r>
            <w:r w:rsidR="00F96B2F" w:rsidRPr="00747476">
              <w:rPr>
                <w:rFonts w:eastAsia="Yu Gothic Light" w:cs="Times New Roman"/>
                <w:iCs/>
              </w:rPr>
              <w:t xml:space="preserve"> </w:t>
            </w:r>
            <w:r w:rsidRPr="00747476">
              <w:rPr>
                <w:rFonts w:eastAsia="Yu Gothic Light" w:cs="Times New Roman"/>
                <w:iCs/>
              </w:rPr>
              <w:t>kilogram</w:t>
            </w:r>
            <w:r w:rsidR="00F96B2F" w:rsidRPr="00747476">
              <w:rPr>
                <w:rFonts w:eastAsia="Yu Gothic Light" w:cs="Times New Roman"/>
                <w:iCs/>
              </w:rPr>
              <w:t xml:space="preserve"> </w:t>
            </w:r>
            <w:r w:rsidR="0075741F" w:rsidRPr="00747476">
              <w:rPr>
                <w:rFonts w:eastAsia="Yu Gothic Light" w:cs="Times New Roman"/>
                <w:iCs/>
              </w:rPr>
              <w:t xml:space="preserve">of </w:t>
            </w:r>
            <w:r w:rsidRPr="00747476">
              <w:rPr>
                <w:rFonts w:eastAsia="Yu Gothic Light" w:cs="Times New Roman"/>
                <w:iCs/>
              </w:rPr>
              <w:t>body</w:t>
            </w:r>
            <w:r w:rsidR="00F96B2F" w:rsidRPr="00747476">
              <w:rPr>
                <w:rFonts w:eastAsia="Yu Gothic Light" w:cs="Times New Roman"/>
                <w:iCs/>
              </w:rPr>
              <w:t xml:space="preserve"> </w:t>
            </w:r>
            <w:r w:rsidRPr="00747476">
              <w:rPr>
                <w:rFonts w:eastAsia="Yu Gothic Light" w:cs="Times New Roman"/>
                <w:iCs/>
              </w:rPr>
              <w:t>weight</w:t>
            </w:r>
            <w:r w:rsidR="00F96B2F" w:rsidRPr="00747476">
              <w:rPr>
                <w:rFonts w:eastAsia="Yu Gothic Light" w:cs="Times New Roman"/>
                <w:iCs/>
              </w:rPr>
              <w:t xml:space="preserve"> </w:t>
            </w:r>
            <w:r w:rsidRPr="00747476">
              <w:rPr>
                <w:rFonts w:eastAsia="Yu Gothic Light" w:cs="Times New Roman"/>
                <w:iCs/>
              </w:rPr>
              <w:t>for</w:t>
            </w:r>
            <w:r w:rsidR="00F96B2F" w:rsidRPr="00747476">
              <w:rPr>
                <w:rFonts w:eastAsia="Yu Gothic Light" w:cs="Times New Roman"/>
                <w:iCs/>
              </w:rPr>
              <w:t xml:space="preserve"> </w:t>
            </w:r>
            <w:r w:rsidRPr="00747476">
              <w:rPr>
                <w:rFonts w:eastAsia="Yu Gothic Light" w:cs="Times New Roman"/>
                <w:iCs/>
              </w:rPr>
              <w:t>somatropin.</w:t>
            </w:r>
          </w:p>
        </w:tc>
      </w:tr>
      <w:tr w:rsidR="00811E0E" w:rsidRPr="00E96E9F" w14:paraId="3F66E27F" w14:textId="77777777" w:rsidTr="00CF047E">
        <w:tc>
          <w:tcPr>
            <w:tcW w:w="2660" w:type="dxa"/>
            <w:vAlign w:val="center"/>
          </w:tcPr>
          <w:p w14:paraId="00DB1EE3" w14:textId="2414EFCF" w:rsidR="00811E0E" w:rsidRPr="00E96E9F" w:rsidRDefault="00811E0E" w:rsidP="00DB65AC">
            <w:pPr>
              <w:pStyle w:val="TableText0"/>
              <w:widowControl w:val="0"/>
            </w:pPr>
            <w:r w:rsidRPr="00E96E9F">
              <w:t>Other</w:t>
            </w:r>
            <w:r w:rsidR="00F96B2F" w:rsidRPr="00E96E9F">
              <w:t xml:space="preserve"> </w:t>
            </w:r>
            <w:r w:rsidRPr="00E96E9F">
              <w:t>costs</w:t>
            </w:r>
            <w:r w:rsidR="00F96B2F" w:rsidRPr="00E96E9F">
              <w:t xml:space="preserve"> </w:t>
            </w:r>
            <w:r w:rsidRPr="00E96E9F">
              <w:t>or</w:t>
            </w:r>
            <w:r w:rsidR="00F96B2F" w:rsidRPr="00E96E9F">
              <w:t xml:space="preserve"> </w:t>
            </w:r>
            <w:r w:rsidRPr="00E96E9F">
              <w:t>cost</w:t>
            </w:r>
            <w:r w:rsidR="00F96B2F" w:rsidRPr="00E96E9F">
              <w:t xml:space="preserve"> </w:t>
            </w:r>
            <w:r w:rsidRPr="00E96E9F">
              <w:t>offsets</w:t>
            </w:r>
          </w:p>
        </w:tc>
        <w:tc>
          <w:tcPr>
            <w:tcW w:w="6520" w:type="dxa"/>
          </w:tcPr>
          <w:p w14:paraId="713CAA87" w14:textId="663014AF" w:rsidR="00811E0E" w:rsidRPr="00E96E9F" w:rsidRDefault="00811E0E" w:rsidP="00DB65AC">
            <w:pPr>
              <w:pStyle w:val="TableText0"/>
              <w:widowControl w:val="0"/>
              <w:spacing w:line="259" w:lineRule="auto"/>
              <w:rPr>
                <w:rFonts w:eastAsia="MS Gothic"/>
              </w:rPr>
            </w:pPr>
            <w:r w:rsidRPr="00E96E9F">
              <w:t>No</w:t>
            </w:r>
            <w:r w:rsidR="00F96B2F" w:rsidRPr="00E96E9F">
              <w:t xml:space="preserve"> </w:t>
            </w:r>
            <w:r w:rsidRPr="00E96E9F">
              <w:t>additional</w:t>
            </w:r>
            <w:r w:rsidR="00F96B2F" w:rsidRPr="00E96E9F">
              <w:t xml:space="preserve"> </w:t>
            </w:r>
            <w:r w:rsidRPr="00E96E9F">
              <w:t>cost</w:t>
            </w:r>
            <w:r w:rsidR="0075741F">
              <w:t>s</w:t>
            </w:r>
            <w:r w:rsidR="00F96B2F" w:rsidRPr="00E96E9F">
              <w:t xml:space="preserve"> </w:t>
            </w:r>
            <w:r w:rsidRPr="00E96E9F">
              <w:t>or</w:t>
            </w:r>
            <w:r w:rsidR="00F96B2F" w:rsidRPr="00E96E9F">
              <w:t xml:space="preserve"> </w:t>
            </w:r>
            <w:r w:rsidRPr="00E96E9F">
              <w:t>cost</w:t>
            </w:r>
            <w:r w:rsidR="00F96B2F" w:rsidRPr="00E96E9F">
              <w:t xml:space="preserve"> </w:t>
            </w:r>
            <w:r w:rsidRPr="00E96E9F">
              <w:t>offsets</w:t>
            </w:r>
            <w:r w:rsidR="00F96B2F" w:rsidRPr="00E96E9F">
              <w:t xml:space="preserve"> </w:t>
            </w:r>
            <w:r w:rsidRPr="00E96E9F">
              <w:t>were</w:t>
            </w:r>
            <w:r w:rsidR="00F96B2F" w:rsidRPr="00E96E9F">
              <w:t xml:space="preserve"> </w:t>
            </w:r>
            <w:r w:rsidRPr="00E96E9F">
              <w:t>included</w:t>
            </w:r>
            <w:r w:rsidR="00F96B2F" w:rsidRPr="00E96E9F">
              <w:t xml:space="preserve"> </w:t>
            </w:r>
            <w:r w:rsidRPr="00E96E9F">
              <w:t>in</w:t>
            </w:r>
            <w:r w:rsidR="00F96B2F" w:rsidRPr="00E96E9F">
              <w:t xml:space="preserve"> </w:t>
            </w:r>
            <w:r w:rsidRPr="00E96E9F">
              <w:t>the</w:t>
            </w:r>
            <w:r w:rsidR="00F96B2F" w:rsidRPr="00E96E9F">
              <w:t xml:space="preserve"> </w:t>
            </w:r>
            <w:r w:rsidRPr="00E96E9F">
              <w:t>cost</w:t>
            </w:r>
            <w:r w:rsidR="00F96B2F" w:rsidRPr="00E96E9F">
              <w:t xml:space="preserve"> </w:t>
            </w:r>
            <w:r w:rsidRPr="00E96E9F">
              <w:t>minimisation</w:t>
            </w:r>
            <w:r w:rsidR="00F96B2F" w:rsidRPr="00E96E9F">
              <w:t xml:space="preserve"> </w:t>
            </w:r>
            <w:r w:rsidRPr="00E96E9F">
              <w:t>analysis.</w:t>
            </w:r>
          </w:p>
        </w:tc>
      </w:tr>
    </w:tbl>
    <w:p w14:paraId="690C0544" w14:textId="0ED2798C" w:rsidR="00811E0E" w:rsidRPr="006D4B84" w:rsidRDefault="00811E0E" w:rsidP="006D4B84">
      <w:pPr>
        <w:pStyle w:val="TableFigureFooter"/>
      </w:pPr>
      <w:r w:rsidRPr="006D4B84">
        <w:t>Source:</w:t>
      </w:r>
      <w:r w:rsidR="00F96B2F" w:rsidRPr="006D4B84">
        <w:t xml:space="preserve"> </w:t>
      </w:r>
      <w:r w:rsidRPr="006D4B84">
        <w:t>Table</w:t>
      </w:r>
      <w:r w:rsidR="00F96B2F" w:rsidRPr="006D4B84">
        <w:t xml:space="preserve"> </w:t>
      </w:r>
      <w:r w:rsidRPr="006D4B84">
        <w:t>3.1.1,</w:t>
      </w:r>
      <w:r w:rsidR="00F96B2F" w:rsidRPr="006D4B84">
        <w:t xml:space="preserve"> </w:t>
      </w:r>
      <w:r w:rsidRPr="006D4B84">
        <w:t>p172</w:t>
      </w:r>
      <w:r w:rsidR="00F96B2F" w:rsidRPr="006D4B84">
        <w:t xml:space="preserve"> </w:t>
      </w:r>
      <w:r w:rsidRPr="006D4B84">
        <w:t>of</w:t>
      </w:r>
      <w:r w:rsidR="00F96B2F" w:rsidRPr="006D4B84">
        <w:t xml:space="preserve"> </w:t>
      </w:r>
      <w:r w:rsidRPr="006D4B84">
        <w:t>the</w:t>
      </w:r>
      <w:r w:rsidR="00F96B2F" w:rsidRPr="006D4B84">
        <w:t xml:space="preserve"> </w:t>
      </w:r>
      <w:r w:rsidRPr="006D4B84">
        <w:t>submission</w:t>
      </w:r>
    </w:p>
    <w:p w14:paraId="0D32E776" w14:textId="4C810230" w:rsidR="00811E0E" w:rsidRPr="006D4B84" w:rsidRDefault="00811E0E" w:rsidP="006D4B84">
      <w:pPr>
        <w:pStyle w:val="TableFigureFooter"/>
      </w:pPr>
      <w:r w:rsidRPr="006D4B84">
        <w:t>AE</w:t>
      </w:r>
      <w:r w:rsidR="00F96B2F" w:rsidRPr="006D4B84">
        <w:t xml:space="preserve"> </w:t>
      </w:r>
      <w:r w:rsidRPr="006D4B84">
        <w:t>=</w:t>
      </w:r>
      <w:r w:rsidR="00F96B2F" w:rsidRPr="006D4B84">
        <w:t xml:space="preserve"> </w:t>
      </w:r>
      <w:r w:rsidRPr="006D4B84">
        <w:t>adverse</w:t>
      </w:r>
      <w:r w:rsidR="00F96B2F" w:rsidRPr="006D4B84">
        <w:t xml:space="preserve"> </w:t>
      </w:r>
      <w:r w:rsidRPr="006D4B84">
        <w:t>events;</w:t>
      </w:r>
      <w:r w:rsidR="00F96B2F" w:rsidRPr="006D4B84">
        <w:t xml:space="preserve"> </w:t>
      </w:r>
      <w:r w:rsidRPr="006D4B84">
        <w:t>AEMP</w:t>
      </w:r>
      <w:r w:rsidR="00F96B2F" w:rsidRPr="006D4B84">
        <w:t xml:space="preserve"> </w:t>
      </w:r>
      <w:r w:rsidRPr="006D4B84">
        <w:t>=</w:t>
      </w:r>
      <w:r w:rsidR="00F96B2F" w:rsidRPr="006D4B84">
        <w:t xml:space="preserve"> </w:t>
      </w:r>
      <w:r w:rsidRPr="006D4B84">
        <w:t>approved</w:t>
      </w:r>
      <w:r w:rsidR="00F96B2F" w:rsidRPr="006D4B84">
        <w:t xml:space="preserve"> </w:t>
      </w:r>
      <w:r w:rsidRPr="006D4B84">
        <w:t>ex-manufacturer</w:t>
      </w:r>
      <w:r w:rsidR="00F96B2F" w:rsidRPr="006D4B84">
        <w:t xml:space="preserve"> </w:t>
      </w:r>
      <w:r w:rsidRPr="006D4B84">
        <w:t>price;</w:t>
      </w:r>
      <w:r w:rsidR="00F96B2F" w:rsidRPr="006D4B84">
        <w:t xml:space="preserve"> </w:t>
      </w:r>
      <w:proofErr w:type="spellStart"/>
      <w:r w:rsidR="00A47143">
        <w:t>p</w:t>
      </w:r>
      <w:r w:rsidRPr="006D4B84">
        <w:t>GHD</w:t>
      </w:r>
      <w:proofErr w:type="spellEnd"/>
      <w:r w:rsidR="00F96B2F" w:rsidRPr="006D4B84">
        <w:t xml:space="preserve"> </w:t>
      </w:r>
      <w:r w:rsidRPr="006D4B84">
        <w:t>=</w:t>
      </w:r>
      <w:r w:rsidR="00F96B2F" w:rsidRPr="006D4B84">
        <w:t xml:space="preserve"> </w:t>
      </w:r>
      <w:r w:rsidR="00A47143">
        <w:t xml:space="preserve">paediatric </w:t>
      </w:r>
      <w:r w:rsidRPr="006D4B84">
        <w:t>growth</w:t>
      </w:r>
      <w:r w:rsidR="00F96B2F" w:rsidRPr="006D4B84">
        <w:t xml:space="preserve"> </w:t>
      </w:r>
      <w:r w:rsidRPr="006D4B84">
        <w:t>hormone</w:t>
      </w:r>
      <w:r w:rsidR="00F96B2F" w:rsidRPr="006D4B84">
        <w:t xml:space="preserve"> </w:t>
      </w:r>
      <w:r w:rsidRPr="006D4B84">
        <w:t>deficiency;</w:t>
      </w:r>
      <w:r w:rsidR="00F96B2F" w:rsidRPr="006D4B84">
        <w:t xml:space="preserve"> </w:t>
      </w:r>
      <w:r w:rsidRPr="006D4B84">
        <w:t>kg</w:t>
      </w:r>
      <w:r w:rsidR="00F96B2F" w:rsidRPr="006D4B84">
        <w:t xml:space="preserve"> </w:t>
      </w:r>
      <w:r w:rsidRPr="006D4B84">
        <w:t>=</w:t>
      </w:r>
      <w:r w:rsidR="00F96B2F" w:rsidRPr="006D4B84">
        <w:t xml:space="preserve"> </w:t>
      </w:r>
      <w:r w:rsidRPr="006D4B84">
        <w:t>kilograms;</w:t>
      </w:r>
      <w:r w:rsidR="00F96B2F" w:rsidRPr="006D4B84">
        <w:t xml:space="preserve"> </w:t>
      </w:r>
      <w:r w:rsidRPr="006D4B84">
        <w:t>mg</w:t>
      </w:r>
      <w:r w:rsidR="00F96B2F" w:rsidRPr="006D4B84">
        <w:t xml:space="preserve"> </w:t>
      </w:r>
      <w:r w:rsidRPr="006D4B84">
        <w:t>=</w:t>
      </w:r>
      <w:r w:rsidR="00F96B2F" w:rsidRPr="006D4B84">
        <w:t xml:space="preserve"> </w:t>
      </w:r>
      <w:r w:rsidRPr="006D4B84">
        <w:t>milligrams</w:t>
      </w:r>
    </w:p>
    <w:p w14:paraId="66CF438A" w14:textId="4683E492" w:rsidR="00E5129A" w:rsidRPr="00BF1BFB" w:rsidRDefault="00811E0E" w:rsidP="00811E0E">
      <w:pPr>
        <w:pStyle w:val="3-BodyText"/>
        <w:rPr>
          <w:iCs/>
        </w:rPr>
      </w:pPr>
      <w:r w:rsidRPr="00E96E9F">
        <w:t>The</w:t>
      </w:r>
      <w:r w:rsidR="00F96B2F" w:rsidRPr="00E96E9F">
        <w:t xml:space="preserve"> </w:t>
      </w:r>
      <w:r w:rsidRPr="00E96E9F">
        <w:t>results</w:t>
      </w:r>
      <w:r w:rsidR="00F96B2F" w:rsidRPr="00E96E9F">
        <w:t xml:space="preserve"> </w:t>
      </w:r>
      <w:r w:rsidRPr="00E96E9F">
        <w:t>of</w:t>
      </w:r>
      <w:r w:rsidR="00F96B2F" w:rsidRPr="00E96E9F">
        <w:t xml:space="preserve"> </w:t>
      </w:r>
      <w:r w:rsidRPr="00E96E9F">
        <w:t>the</w:t>
      </w:r>
      <w:r w:rsidR="00F96B2F" w:rsidRPr="00E96E9F">
        <w:t xml:space="preserve"> </w:t>
      </w:r>
      <w:r w:rsidRPr="00E96E9F">
        <w:t>cost</w:t>
      </w:r>
      <w:r w:rsidR="00F96B2F" w:rsidRPr="00E96E9F">
        <w:t xml:space="preserve"> </w:t>
      </w:r>
      <w:r w:rsidRPr="00E96E9F">
        <w:t>minimisation</w:t>
      </w:r>
      <w:r w:rsidR="00F96B2F" w:rsidRPr="00E96E9F">
        <w:t xml:space="preserve"> </w:t>
      </w:r>
      <w:r w:rsidRPr="00E96E9F">
        <w:t>analysis</w:t>
      </w:r>
      <w:r w:rsidR="00F96B2F" w:rsidRPr="00E96E9F">
        <w:t xml:space="preserve"> </w:t>
      </w:r>
      <w:r w:rsidRPr="00E96E9F">
        <w:t>are</w:t>
      </w:r>
      <w:r w:rsidR="00F96B2F" w:rsidRPr="00E96E9F">
        <w:t xml:space="preserve"> </w:t>
      </w:r>
      <w:r w:rsidRPr="00E96E9F">
        <w:t>presented</w:t>
      </w:r>
      <w:r w:rsidR="00F96B2F" w:rsidRPr="00E96E9F">
        <w:t xml:space="preserve"> </w:t>
      </w:r>
      <w:r w:rsidRPr="00E96E9F">
        <w:t>in</w:t>
      </w:r>
      <w:r w:rsidR="00F96B2F" w:rsidRPr="00E96E9F">
        <w:t xml:space="preserve"> </w:t>
      </w:r>
      <w:r w:rsidRPr="00E96E9F">
        <w:t>the</w:t>
      </w:r>
      <w:r w:rsidR="00F96B2F" w:rsidRPr="00E96E9F">
        <w:t xml:space="preserve"> </w:t>
      </w:r>
      <w:r w:rsidRPr="00E96E9F">
        <w:t>table</w:t>
      </w:r>
      <w:r w:rsidR="00F96B2F" w:rsidRPr="00E96E9F">
        <w:t xml:space="preserve"> </w:t>
      </w:r>
      <w:r w:rsidRPr="00E96E9F">
        <w:t>below.</w:t>
      </w:r>
      <w:r w:rsidR="00F96B2F" w:rsidRPr="00E96E9F">
        <w:t xml:space="preserve"> </w:t>
      </w:r>
      <w:r w:rsidR="0075741F">
        <w:rPr>
          <w:iCs/>
        </w:rPr>
        <w:t>The r</w:t>
      </w:r>
      <w:r w:rsidR="0075741F" w:rsidRPr="00BF1BFB">
        <w:rPr>
          <w:iCs/>
        </w:rPr>
        <w:t xml:space="preserve">esults </w:t>
      </w:r>
      <w:r w:rsidRPr="00BF1BFB">
        <w:rPr>
          <w:iCs/>
        </w:rPr>
        <w:t>based</w:t>
      </w:r>
      <w:r w:rsidR="00F96B2F" w:rsidRPr="00BF1BFB">
        <w:rPr>
          <w:iCs/>
        </w:rPr>
        <w:t xml:space="preserve"> </w:t>
      </w:r>
      <w:r w:rsidRPr="00BF1BFB">
        <w:rPr>
          <w:iCs/>
        </w:rPr>
        <w:t>on</w:t>
      </w:r>
      <w:r w:rsidR="00F96B2F" w:rsidRPr="00BF1BFB">
        <w:rPr>
          <w:iCs/>
        </w:rPr>
        <w:t xml:space="preserve"> </w:t>
      </w:r>
      <w:r w:rsidRPr="00BF1BFB">
        <w:rPr>
          <w:iCs/>
        </w:rPr>
        <w:t>mean</w:t>
      </w:r>
      <w:r w:rsidR="00F96B2F" w:rsidRPr="00BF1BFB">
        <w:rPr>
          <w:iCs/>
        </w:rPr>
        <w:t xml:space="preserve"> </w:t>
      </w:r>
      <w:r w:rsidRPr="00BF1BFB">
        <w:rPr>
          <w:iCs/>
        </w:rPr>
        <w:t>doses</w:t>
      </w:r>
      <w:r w:rsidR="00F96B2F" w:rsidRPr="00BF1BFB">
        <w:rPr>
          <w:iCs/>
        </w:rPr>
        <w:t xml:space="preserve"> </w:t>
      </w:r>
      <w:r w:rsidRPr="00BF1BFB">
        <w:rPr>
          <w:iCs/>
        </w:rPr>
        <w:t>were</w:t>
      </w:r>
      <w:r w:rsidR="00F96B2F" w:rsidRPr="00BF1BFB">
        <w:rPr>
          <w:iCs/>
        </w:rPr>
        <w:t xml:space="preserve"> </w:t>
      </w:r>
      <w:r w:rsidRPr="00BF1BFB">
        <w:rPr>
          <w:iCs/>
        </w:rPr>
        <w:t>added</w:t>
      </w:r>
      <w:r w:rsidR="00F96B2F" w:rsidRPr="00BF1BFB">
        <w:rPr>
          <w:iCs/>
        </w:rPr>
        <w:t xml:space="preserve"> </w:t>
      </w:r>
      <w:r w:rsidRPr="00BF1BFB">
        <w:rPr>
          <w:iCs/>
        </w:rPr>
        <w:t>during</w:t>
      </w:r>
      <w:r w:rsidR="00F96B2F" w:rsidRPr="00BF1BFB">
        <w:rPr>
          <w:iCs/>
        </w:rPr>
        <w:t xml:space="preserve"> </w:t>
      </w:r>
      <w:r w:rsidRPr="00BF1BFB">
        <w:rPr>
          <w:iCs/>
        </w:rPr>
        <w:t>the</w:t>
      </w:r>
      <w:r w:rsidR="00F96B2F" w:rsidRPr="00BF1BFB">
        <w:rPr>
          <w:iCs/>
        </w:rPr>
        <w:t xml:space="preserve"> </w:t>
      </w:r>
      <w:r w:rsidRPr="00BF1BFB">
        <w:rPr>
          <w:iCs/>
        </w:rPr>
        <w:t>evaluation</w:t>
      </w:r>
      <w:r w:rsidR="00490603">
        <w:rPr>
          <w:iCs/>
        </w:rPr>
        <w:t xml:space="preserve"> </w:t>
      </w:r>
      <w:r w:rsidR="00490603" w:rsidRPr="004C584D">
        <w:rPr>
          <w:iCs/>
        </w:rPr>
        <w:t>and corrected in the Pre-Sub-Committee Response (PSCR)</w:t>
      </w:r>
      <w:r w:rsidRPr="00BF1BFB">
        <w:rPr>
          <w:iCs/>
        </w:rPr>
        <w:t>.</w:t>
      </w:r>
    </w:p>
    <w:p w14:paraId="404950A0" w14:textId="19039402" w:rsidR="00811E0E" w:rsidRPr="00E96E9F" w:rsidRDefault="00811E0E" w:rsidP="006D4B84">
      <w:pPr>
        <w:pStyle w:val="TableFigureHeading"/>
        <w:rPr>
          <w:rStyle w:val="CommentReference"/>
          <w:b/>
        </w:rPr>
      </w:pPr>
      <w:r w:rsidRPr="00E96E9F">
        <w:t>Table</w:t>
      </w:r>
      <w:r w:rsidR="00F96B2F" w:rsidRPr="00E96E9F">
        <w:t xml:space="preserve"> </w:t>
      </w:r>
      <w:r w:rsidR="005C48AC">
        <w:fldChar w:fldCharType="begin"/>
      </w:r>
      <w:r w:rsidR="005C48AC">
        <w:instrText xml:space="preserve"> SEQ Table \* ARABIC </w:instrText>
      </w:r>
      <w:r w:rsidR="005C48AC">
        <w:fldChar w:fldCharType="separate"/>
      </w:r>
      <w:r w:rsidR="005C48AC">
        <w:rPr>
          <w:noProof/>
        </w:rPr>
        <w:t>7</w:t>
      </w:r>
      <w:r w:rsidR="005C48AC">
        <w:fldChar w:fldCharType="end"/>
      </w:r>
      <w:r w:rsidRPr="00E96E9F">
        <w:rPr>
          <w:rStyle w:val="CommentReference"/>
          <w:b/>
        </w:rPr>
        <w:t>:</w:t>
      </w:r>
      <w:r w:rsidR="00F96B2F" w:rsidRPr="00E96E9F">
        <w:rPr>
          <w:rStyle w:val="CommentReference"/>
          <w:b/>
        </w:rPr>
        <w:t xml:space="preserve"> </w:t>
      </w:r>
      <w:r w:rsidRPr="00E96E9F">
        <w:rPr>
          <w:rStyle w:val="CommentReference"/>
          <w:b/>
        </w:rPr>
        <w:t>Results</w:t>
      </w:r>
      <w:r w:rsidR="00F96B2F" w:rsidRPr="00E96E9F">
        <w:rPr>
          <w:rStyle w:val="CommentReference"/>
          <w:b/>
        </w:rPr>
        <w:t xml:space="preserve"> </w:t>
      </w:r>
      <w:r w:rsidRPr="00E96E9F">
        <w:rPr>
          <w:rStyle w:val="CommentReference"/>
          <w:b/>
        </w:rPr>
        <w:t>of</w:t>
      </w:r>
      <w:r w:rsidR="00F96B2F" w:rsidRPr="00E96E9F">
        <w:rPr>
          <w:rStyle w:val="CommentReference"/>
          <w:b/>
        </w:rPr>
        <w:t xml:space="preserve"> </w:t>
      </w:r>
      <w:r w:rsidRPr="00E96E9F">
        <w:rPr>
          <w:rStyle w:val="CommentReference"/>
          <w:b/>
        </w:rPr>
        <w:t>the</w:t>
      </w:r>
      <w:r w:rsidR="00F96B2F" w:rsidRPr="00E96E9F">
        <w:rPr>
          <w:rStyle w:val="CommentReference"/>
          <w:b/>
        </w:rPr>
        <w:t xml:space="preserve"> </w:t>
      </w:r>
      <w:r w:rsidRPr="00E96E9F">
        <w:rPr>
          <w:rStyle w:val="CommentReference"/>
          <w:b/>
        </w:rPr>
        <w:t>cost-minimisation</w:t>
      </w:r>
      <w:r w:rsidR="00F96B2F" w:rsidRPr="00E96E9F">
        <w:rPr>
          <w:rStyle w:val="CommentReference"/>
          <w:b/>
        </w:rPr>
        <w:t xml:space="preserve"> </w:t>
      </w:r>
      <w:r w:rsidRPr="00E96E9F">
        <w:rPr>
          <w:rStyle w:val="CommentReference"/>
          <w:b/>
        </w:rPr>
        <w:t>analysis</w:t>
      </w:r>
      <w:r w:rsidR="00A1626C">
        <w:rPr>
          <w:rStyle w:val="CommentReference"/>
          <w:b/>
        </w:rPr>
        <w:t>; corrected in the Pre-Sub-Committee Response</w:t>
      </w:r>
    </w:p>
    <w:tbl>
      <w:tblPr>
        <w:tblW w:w="9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firstRow="1" w:lastRow="0" w:firstColumn="1" w:lastColumn="0" w:noHBand="1" w:noVBand="1"/>
        <w:tblCaption w:val="Table 7: Results of the cost-minimisation analysis; corrected in the Pre-Sub-Committee Response"/>
      </w:tblPr>
      <w:tblGrid>
        <w:gridCol w:w="3015"/>
        <w:gridCol w:w="1370"/>
        <w:gridCol w:w="1417"/>
        <w:gridCol w:w="1559"/>
        <w:gridCol w:w="1701"/>
      </w:tblGrid>
      <w:tr w:rsidR="00811E0E" w:rsidRPr="00E96E9F" w14:paraId="0D45C162" w14:textId="77777777" w:rsidTr="00461B31">
        <w:tc>
          <w:tcPr>
            <w:tcW w:w="3015" w:type="dxa"/>
          </w:tcPr>
          <w:p w14:paraId="57A6ED8E" w14:textId="77777777" w:rsidR="00811E0E" w:rsidRPr="00E96E9F" w:rsidRDefault="00811E0E" w:rsidP="00DB65AC">
            <w:pPr>
              <w:keepNext/>
              <w:widowControl w:val="0"/>
            </w:pPr>
            <w:r w:rsidRPr="00E96E9F">
              <w:rPr>
                <w:rFonts w:ascii="Arial Narrow" w:eastAsia="Arial Narrow" w:hAnsi="Arial Narrow" w:cs="Arial Narrow"/>
                <w:b/>
                <w:bCs/>
                <w:sz w:val="20"/>
                <w:szCs w:val="20"/>
              </w:rPr>
              <w:t>Component</w:t>
            </w:r>
          </w:p>
        </w:tc>
        <w:tc>
          <w:tcPr>
            <w:tcW w:w="2787" w:type="dxa"/>
            <w:gridSpan w:val="2"/>
          </w:tcPr>
          <w:p w14:paraId="39F43BD9" w14:textId="77777777" w:rsidR="00811E0E" w:rsidRPr="00E96E9F" w:rsidRDefault="00811E0E" w:rsidP="008A04C2">
            <w:pPr>
              <w:keepNext/>
              <w:widowControl w:val="0"/>
              <w:jc w:val="center"/>
              <w:rPr>
                <w:rFonts w:ascii="Arial Narrow" w:eastAsia="Arial Narrow" w:hAnsi="Arial Narrow" w:cs="Arial Narrow"/>
                <w:b/>
                <w:bCs/>
                <w:sz w:val="20"/>
                <w:szCs w:val="20"/>
              </w:rPr>
            </w:pPr>
            <w:proofErr w:type="spellStart"/>
            <w:r w:rsidRPr="00E96E9F">
              <w:rPr>
                <w:rFonts w:ascii="Arial Narrow" w:eastAsia="Arial Narrow" w:hAnsi="Arial Narrow" w:cs="Arial Narrow"/>
                <w:b/>
                <w:bCs/>
                <w:sz w:val="20"/>
                <w:szCs w:val="20"/>
              </w:rPr>
              <w:t>Somatrogon</w:t>
            </w:r>
            <w:proofErr w:type="spellEnd"/>
          </w:p>
        </w:tc>
        <w:tc>
          <w:tcPr>
            <w:tcW w:w="3260" w:type="dxa"/>
            <w:gridSpan w:val="2"/>
          </w:tcPr>
          <w:p w14:paraId="69A8D6CF" w14:textId="48F402A7" w:rsidR="00811E0E" w:rsidRPr="00E96E9F" w:rsidRDefault="00811E0E" w:rsidP="008A04C2">
            <w:pPr>
              <w:keepNext/>
              <w:widowControl w:val="0"/>
              <w:jc w:val="center"/>
              <w:rPr>
                <w:rFonts w:ascii="Arial Narrow" w:eastAsia="Arial Narrow" w:hAnsi="Arial Narrow" w:cs="Arial Narrow"/>
                <w:b/>
                <w:bCs/>
                <w:sz w:val="20"/>
                <w:szCs w:val="20"/>
              </w:rPr>
            </w:pPr>
            <w:r w:rsidRPr="00E96E9F">
              <w:rPr>
                <w:rFonts w:ascii="Arial Narrow" w:eastAsia="Arial Narrow" w:hAnsi="Arial Narrow" w:cs="Arial Narrow"/>
                <w:b/>
                <w:bCs/>
                <w:sz w:val="20"/>
                <w:szCs w:val="20"/>
              </w:rPr>
              <w:t>Somatropin</w:t>
            </w:r>
          </w:p>
        </w:tc>
      </w:tr>
      <w:tr w:rsidR="00811E0E" w:rsidRPr="00747476" w14:paraId="31FFF307" w14:textId="77777777" w:rsidTr="00461B31">
        <w:tc>
          <w:tcPr>
            <w:tcW w:w="3015" w:type="dxa"/>
          </w:tcPr>
          <w:p w14:paraId="48187B95" w14:textId="77777777" w:rsidR="00811E0E" w:rsidRPr="00BF1BFB" w:rsidRDefault="00811E0E" w:rsidP="00DB65AC">
            <w:pPr>
              <w:keepNext/>
              <w:widowControl w:val="0"/>
              <w:rPr>
                <w:rFonts w:ascii="Arial Narrow" w:eastAsia="Arial Narrow" w:hAnsi="Arial Narrow" w:cs="Arial Narrow"/>
                <w:sz w:val="20"/>
                <w:szCs w:val="20"/>
              </w:rPr>
            </w:pPr>
          </w:p>
        </w:tc>
        <w:tc>
          <w:tcPr>
            <w:tcW w:w="1370" w:type="dxa"/>
          </w:tcPr>
          <w:p w14:paraId="6E49D8B2" w14:textId="77777777" w:rsidR="00811E0E" w:rsidRPr="00747476" w:rsidRDefault="00811E0E" w:rsidP="008A04C2">
            <w:pPr>
              <w:keepNext/>
              <w:widowControl w:val="0"/>
              <w:jc w:val="center"/>
              <w:rPr>
                <w:rFonts w:ascii="Arial Narrow" w:eastAsia="Arial Narrow" w:hAnsi="Arial Narrow" w:cs="Arial Narrow"/>
                <w:sz w:val="20"/>
                <w:szCs w:val="20"/>
              </w:rPr>
            </w:pPr>
            <w:r w:rsidRPr="00747476">
              <w:rPr>
                <w:rFonts w:ascii="Arial Narrow" w:eastAsia="Arial Narrow" w:hAnsi="Arial Narrow" w:cs="Arial Narrow"/>
                <w:sz w:val="20"/>
                <w:szCs w:val="20"/>
              </w:rPr>
              <w:t>Median</w:t>
            </w:r>
          </w:p>
        </w:tc>
        <w:tc>
          <w:tcPr>
            <w:tcW w:w="1417" w:type="dxa"/>
          </w:tcPr>
          <w:p w14:paraId="220B0F24" w14:textId="77777777"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Mean</w:t>
            </w:r>
          </w:p>
        </w:tc>
        <w:tc>
          <w:tcPr>
            <w:tcW w:w="1559" w:type="dxa"/>
          </w:tcPr>
          <w:p w14:paraId="1D508FE7" w14:textId="77777777" w:rsidR="00811E0E" w:rsidRPr="00747476" w:rsidRDefault="00811E0E" w:rsidP="008A04C2">
            <w:pPr>
              <w:keepNext/>
              <w:widowControl w:val="0"/>
              <w:jc w:val="center"/>
              <w:rPr>
                <w:rFonts w:ascii="Arial Narrow" w:eastAsia="Arial Narrow" w:hAnsi="Arial Narrow" w:cs="Arial Narrow"/>
                <w:sz w:val="20"/>
                <w:szCs w:val="20"/>
              </w:rPr>
            </w:pPr>
            <w:r w:rsidRPr="00747476">
              <w:rPr>
                <w:rFonts w:ascii="Arial Narrow" w:eastAsia="Arial Narrow" w:hAnsi="Arial Narrow" w:cs="Arial Narrow"/>
                <w:sz w:val="20"/>
                <w:szCs w:val="20"/>
              </w:rPr>
              <w:t>Median</w:t>
            </w:r>
          </w:p>
        </w:tc>
        <w:tc>
          <w:tcPr>
            <w:tcW w:w="1701" w:type="dxa"/>
          </w:tcPr>
          <w:p w14:paraId="36AD50C2" w14:textId="77777777"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Mean</w:t>
            </w:r>
          </w:p>
        </w:tc>
      </w:tr>
      <w:tr w:rsidR="00811E0E" w:rsidRPr="00747476" w14:paraId="1099F4F6" w14:textId="77777777" w:rsidTr="00461B31">
        <w:tc>
          <w:tcPr>
            <w:tcW w:w="3015" w:type="dxa"/>
          </w:tcPr>
          <w:p w14:paraId="431B1122" w14:textId="54145CBA" w:rsidR="00811E0E" w:rsidRPr="00747476" w:rsidRDefault="00811E0E" w:rsidP="00DB65AC">
            <w:pPr>
              <w:keepNext/>
              <w:widowControl w:val="0"/>
            </w:pPr>
            <w:r w:rsidRPr="00747476">
              <w:rPr>
                <w:rFonts w:ascii="Arial Narrow" w:eastAsia="Arial Narrow" w:hAnsi="Arial Narrow" w:cs="Arial Narrow"/>
                <w:sz w:val="20"/>
                <w:szCs w:val="20"/>
              </w:rPr>
              <w:t>Treatment</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dose</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per</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week</w:t>
            </w:r>
          </w:p>
        </w:tc>
        <w:tc>
          <w:tcPr>
            <w:tcW w:w="1370" w:type="dxa"/>
          </w:tcPr>
          <w:p w14:paraId="006D2B09" w14:textId="54169FD3" w:rsidR="00811E0E" w:rsidRPr="00747476" w:rsidRDefault="00811E0E" w:rsidP="008A04C2">
            <w:pPr>
              <w:keepNext/>
              <w:widowControl w:val="0"/>
              <w:jc w:val="center"/>
            </w:pPr>
            <w:r w:rsidRPr="00747476">
              <w:rPr>
                <w:rFonts w:ascii="Arial Narrow" w:eastAsia="Arial Narrow" w:hAnsi="Arial Narrow" w:cs="Arial Narrow"/>
                <w:sz w:val="20"/>
                <w:szCs w:val="20"/>
              </w:rPr>
              <w:t>0.66</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mg</w:t>
            </w:r>
          </w:p>
        </w:tc>
        <w:tc>
          <w:tcPr>
            <w:tcW w:w="1417" w:type="dxa"/>
          </w:tcPr>
          <w:p w14:paraId="77189809" w14:textId="77777777"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0.655</w:t>
            </w:r>
          </w:p>
        </w:tc>
        <w:tc>
          <w:tcPr>
            <w:tcW w:w="1559" w:type="dxa"/>
          </w:tcPr>
          <w:p w14:paraId="058D9214" w14:textId="30302AC9" w:rsidR="00811E0E" w:rsidRPr="00747476" w:rsidRDefault="00811E0E" w:rsidP="008A04C2">
            <w:pPr>
              <w:keepNext/>
              <w:widowControl w:val="0"/>
              <w:jc w:val="center"/>
            </w:pPr>
            <w:r w:rsidRPr="00747476">
              <w:rPr>
                <w:rFonts w:ascii="Arial Narrow" w:eastAsia="Arial Narrow" w:hAnsi="Arial Narrow" w:cs="Arial Narrow"/>
                <w:sz w:val="20"/>
                <w:szCs w:val="20"/>
              </w:rPr>
              <w:t>0.238</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mg</w:t>
            </w:r>
          </w:p>
        </w:tc>
        <w:tc>
          <w:tcPr>
            <w:tcW w:w="1701" w:type="dxa"/>
          </w:tcPr>
          <w:p w14:paraId="2329AB36" w14:textId="77777777"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0.237</w:t>
            </w:r>
          </w:p>
        </w:tc>
      </w:tr>
      <w:tr w:rsidR="00811E0E" w:rsidRPr="00747476" w14:paraId="54DFDB77" w14:textId="77777777" w:rsidTr="00461B31">
        <w:tc>
          <w:tcPr>
            <w:tcW w:w="3015" w:type="dxa"/>
          </w:tcPr>
          <w:p w14:paraId="7D5739A3" w14:textId="60F351AC" w:rsidR="00811E0E" w:rsidRPr="00747476" w:rsidRDefault="00811E0E" w:rsidP="00DB65AC">
            <w:pPr>
              <w:keepNext/>
              <w:widowControl w:val="0"/>
            </w:pPr>
            <w:r w:rsidRPr="00747476">
              <w:rPr>
                <w:rFonts w:ascii="Arial Narrow" w:eastAsia="Arial Narrow" w:hAnsi="Arial Narrow" w:cs="Arial Narrow"/>
                <w:sz w:val="20"/>
                <w:szCs w:val="20"/>
              </w:rPr>
              <w:t>Cost</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per</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mg</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(AEMP)</w:t>
            </w:r>
          </w:p>
        </w:tc>
        <w:tc>
          <w:tcPr>
            <w:tcW w:w="1370" w:type="dxa"/>
          </w:tcPr>
          <w:p w14:paraId="164B0BDE" w14:textId="77777777" w:rsidR="00811E0E" w:rsidRPr="00747476" w:rsidRDefault="00811E0E" w:rsidP="008A04C2">
            <w:pPr>
              <w:keepNext/>
              <w:widowControl w:val="0"/>
              <w:jc w:val="center"/>
            </w:pPr>
            <w:r w:rsidRPr="00747476">
              <w:rPr>
                <w:rFonts w:ascii="Arial Narrow" w:eastAsia="Arial Narrow" w:hAnsi="Arial Narrow" w:cs="Arial Narrow"/>
                <w:sz w:val="20"/>
                <w:szCs w:val="20"/>
              </w:rPr>
              <w:t>$14.99</w:t>
            </w:r>
          </w:p>
        </w:tc>
        <w:tc>
          <w:tcPr>
            <w:tcW w:w="1417" w:type="dxa"/>
          </w:tcPr>
          <w:p w14:paraId="5812FB9E" w14:textId="77777777"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$15.04</w:t>
            </w:r>
          </w:p>
        </w:tc>
        <w:tc>
          <w:tcPr>
            <w:tcW w:w="1559" w:type="dxa"/>
          </w:tcPr>
          <w:p w14:paraId="6B4BD089" w14:textId="77777777" w:rsidR="00811E0E" w:rsidRPr="00747476" w:rsidRDefault="00811E0E" w:rsidP="008A04C2">
            <w:pPr>
              <w:keepNext/>
              <w:widowControl w:val="0"/>
              <w:jc w:val="center"/>
            </w:pPr>
            <w:r w:rsidRPr="00747476">
              <w:rPr>
                <w:rFonts w:ascii="Arial Narrow" w:eastAsia="Arial Narrow" w:hAnsi="Arial Narrow" w:cs="Arial Narrow"/>
                <w:sz w:val="20"/>
                <w:szCs w:val="20"/>
              </w:rPr>
              <w:t>$14.58</w:t>
            </w:r>
          </w:p>
        </w:tc>
        <w:tc>
          <w:tcPr>
            <w:tcW w:w="1701" w:type="dxa"/>
          </w:tcPr>
          <w:p w14:paraId="568C0670" w14:textId="77777777"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$41.58</w:t>
            </w:r>
          </w:p>
        </w:tc>
      </w:tr>
      <w:tr w:rsidR="00811E0E" w:rsidRPr="00747476" w14:paraId="6B178BD9" w14:textId="77777777" w:rsidTr="00461B31">
        <w:tc>
          <w:tcPr>
            <w:tcW w:w="3015" w:type="dxa"/>
          </w:tcPr>
          <w:p w14:paraId="2AF349D6" w14:textId="6DB62818" w:rsidR="00811E0E" w:rsidRPr="00747476" w:rsidRDefault="00811E0E" w:rsidP="00DB65AC">
            <w:pPr>
              <w:keepNext/>
              <w:widowControl w:val="0"/>
              <w:rPr>
                <w:rFonts w:ascii="Arial Narrow" w:eastAsia="Arial Narrow" w:hAnsi="Arial Narrow" w:cs="Arial Narrow"/>
                <w:sz w:val="20"/>
                <w:szCs w:val="20"/>
              </w:rPr>
            </w:pPr>
            <w:r w:rsidRPr="00747476">
              <w:rPr>
                <w:rFonts w:ascii="Arial Narrow" w:eastAsia="Arial Narrow" w:hAnsi="Arial Narrow" w:cs="Arial Narrow"/>
                <w:sz w:val="20"/>
                <w:szCs w:val="20"/>
              </w:rPr>
              <w:t>Total</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medicine</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cost/kg/week</w:t>
            </w:r>
            <w:r w:rsidR="00F96B2F" w:rsidRPr="00747476">
              <w:rPr>
                <w:rFonts w:ascii="Arial Narrow" w:eastAsia="Arial Narrow" w:hAnsi="Arial Narrow" w:cs="Arial Narrow"/>
                <w:sz w:val="20"/>
                <w:szCs w:val="20"/>
              </w:rPr>
              <w:t xml:space="preserve"> </w:t>
            </w:r>
          </w:p>
        </w:tc>
        <w:tc>
          <w:tcPr>
            <w:tcW w:w="1370" w:type="dxa"/>
          </w:tcPr>
          <w:p w14:paraId="526455E8" w14:textId="77777777" w:rsidR="00811E0E" w:rsidRPr="00747476" w:rsidRDefault="00811E0E" w:rsidP="008A04C2">
            <w:pPr>
              <w:keepNext/>
              <w:widowControl w:val="0"/>
              <w:jc w:val="center"/>
              <w:rPr>
                <w:rFonts w:ascii="Arial Narrow" w:eastAsia="Arial Narrow" w:hAnsi="Arial Narrow" w:cs="Arial Narrow"/>
                <w:sz w:val="20"/>
                <w:szCs w:val="20"/>
              </w:rPr>
            </w:pPr>
            <w:r w:rsidRPr="00747476">
              <w:rPr>
                <w:rFonts w:ascii="Arial Narrow" w:eastAsia="Arial Narrow" w:hAnsi="Arial Narrow" w:cs="Arial Narrow"/>
                <w:sz w:val="20"/>
                <w:szCs w:val="20"/>
              </w:rPr>
              <w:t>$9.90</w:t>
            </w:r>
          </w:p>
        </w:tc>
        <w:tc>
          <w:tcPr>
            <w:tcW w:w="1417" w:type="dxa"/>
          </w:tcPr>
          <w:p w14:paraId="6E4083D7" w14:textId="49A0DF35"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w:t>
            </w:r>
            <w:r w:rsidR="00806B82" w:rsidRPr="00747476">
              <w:rPr>
                <w:rFonts w:ascii="Arial Narrow" w:eastAsia="Arial Narrow" w:hAnsi="Arial Narrow" w:cs="Arial Narrow"/>
                <w:sz w:val="20"/>
                <w:szCs w:val="20"/>
              </w:rPr>
              <w:t>9.85</w:t>
            </w:r>
          </w:p>
        </w:tc>
        <w:tc>
          <w:tcPr>
            <w:tcW w:w="1559" w:type="dxa"/>
          </w:tcPr>
          <w:p w14:paraId="3C0EB1C9" w14:textId="77777777" w:rsidR="00811E0E" w:rsidRPr="00747476" w:rsidRDefault="00811E0E" w:rsidP="008A04C2">
            <w:pPr>
              <w:keepNext/>
              <w:widowControl w:val="0"/>
              <w:jc w:val="center"/>
              <w:rPr>
                <w:rFonts w:ascii="Arial Narrow" w:eastAsia="Arial Narrow" w:hAnsi="Arial Narrow" w:cs="Arial Narrow"/>
                <w:sz w:val="20"/>
                <w:szCs w:val="20"/>
              </w:rPr>
            </w:pPr>
            <w:r w:rsidRPr="00747476">
              <w:rPr>
                <w:rFonts w:ascii="Arial Narrow" w:eastAsia="Arial Narrow" w:hAnsi="Arial Narrow" w:cs="Arial Narrow"/>
                <w:sz w:val="20"/>
                <w:szCs w:val="20"/>
              </w:rPr>
              <w:t>$9.90</w:t>
            </w:r>
          </w:p>
        </w:tc>
        <w:tc>
          <w:tcPr>
            <w:tcW w:w="1701" w:type="dxa"/>
          </w:tcPr>
          <w:p w14:paraId="1AC74E67" w14:textId="1C44546C"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w:t>
            </w:r>
            <w:r w:rsidR="00806B82" w:rsidRPr="00747476">
              <w:rPr>
                <w:rFonts w:ascii="Arial Narrow" w:eastAsia="Arial Narrow" w:hAnsi="Arial Narrow" w:cs="Arial Narrow"/>
                <w:sz w:val="20"/>
                <w:szCs w:val="20"/>
              </w:rPr>
              <w:t>9.85</w:t>
            </w:r>
          </w:p>
        </w:tc>
      </w:tr>
      <w:tr w:rsidR="00811E0E" w:rsidRPr="00747476" w14:paraId="1088EE55" w14:textId="77777777" w:rsidTr="00461B31">
        <w:tc>
          <w:tcPr>
            <w:tcW w:w="3015" w:type="dxa"/>
          </w:tcPr>
          <w:p w14:paraId="015CFA26" w14:textId="5DFE935C" w:rsidR="00811E0E" w:rsidRPr="00747476" w:rsidRDefault="00811E0E" w:rsidP="00DB65AC">
            <w:pPr>
              <w:keepNext/>
              <w:widowControl w:val="0"/>
            </w:pPr>
            <w:r w:rsidRPr="00747476">
              <w:rPr>
                <w:rFonts w:ascii="Arial Narrow" w:eastAsia="Arial Narrow" w:hAnsi="Arial Narrow" w:cs="Arial Narrow"/>
                <w:sz w:val="20"/>
                <w:szCs w:val="20"/>
              </w:rPr>
              <w:t>Incremental</w:t>
            </w:r>
            <w:r w:rsidR="00F96B2F" w:rsidRPr="00747476">
              <w:rPr>
                <w:rFonts w:ascii="Arial Narrow" w:eastAsia="Arial Narrow" w:hAnsi="Arial Narrow" w:cs="Arial Narrow"/>
                <w:sz w:val="20"/>
                <w:szCs w:val="20"/>
              </w:rPr>
              <w:t xml:space="preserve"> </w:t>
            </w:r>
            <w:r w:rsidRPr="00747476">
              <w:rPr>
                <w:rFonts w:ascii="Arial Narrow" w:eastAsia="Arial Narrow" w:hAnsi="Arial Narrow" w:cs="Arial Narrow"/>
                <w:sz w:val="20"/>
                <w:szCs w:val="20"/>
              </w:rPr>
              <w:t>cost</w:t>
            </w:r>
          </w:p>
        </w:tc>
        <w:tc>
          <w:tcPr>
            <w:tcW w:w="1370" w:type="dxa"/>
          </w:tcPr>
          <w:p w14:paraId="66F53016" w14:textId="77777777" w:rsidR="00811E0E" w:rsidRPr="00747476" w:rsidRDefault="00811E0E" w:rsidP="008A04C2">
            <w:pPr>
              <w:keepNext/>
              <w:widowControl w:val="0"/>
              <w:jc w:val="center"/>
            </w:pPr>
            <w:r w:rsidRPr="00747476">
              <w:rPr>
                <w:rFonts w:ascii="Arial Narrow" w:eastAsia="Arial Narrow" w:hAnsi="Arial Narrow" w:cs="Arial Narrow"/>
                <w:sz w:val="20"/>
                <w:szCs w:val="20"/>
              </w:rPr>
              <w:t>$0.00</w:t>
            </w:r>
          </w:p>
        </w:tc>
        <w:tc>
          <w:tcPr>
            <w:tcW w:w="1417" w:type="dxa"/>
          </w:tcPr>
          <w:p w14:paraId="6742A33E" w14:textId="77777777"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$0.00</w:t>
            </w:r>
          </w:p>
        </w:tc>
        <w:tc>
          <w:tcPr>
            <w:tcW w:w="1559" w:type="dxa"/>
          </w:tcPr>
          <w:p w14:paraId="027D725F" w14:textId="77777777" w:rsidR="00811E0E" w:rsidRPr="00747476" w:rsidRDefault="00811E0E" w:rsidP="008A04C2">
            <w:pPr>
              <w:keepNext/>
              <w:widowControl w:val="0"/>
              <w:jc w:val="center"/>
            </w:pPr>
            <w:r w:rsidRPr="00747476">
              <w:rPr>
                <w:rFonts w:ascii="Arial Narrow" w:eastAsia="Arial Narrow" w:hAnsi="Arial Narrow" w:cs="Arial Narrow"/>
                <w:sz w:val="20"/>
                <w:szCs w:val="20"/>
              </w:rPr>
              <w:t>$0.00</w:t>
            </w:r>
          </w:p>
        </w:tc>
        <w:tc>
          <w:tcPr>
            <w:tcW w:w="1701" w:type="dxa"/>
          </w:tcPr>
          <w:p w14:paraId="219948C2" w14:textId="77777777" w:rsidR="00811E0E" w:rsidRPr="00747476" w:rsidRDefault="00811E0E" w:rsidP="008A04C2">
            <w:pPr>
              <w:keepNext/>
              <w:widowControl w:val="0"/>
              <w:jc w:val="center"/>
              <w:rPr>
                <w:rFonts w:ascii="Arial Narrow" w:eastAsia="Arial Narrow" w:hAnsi="Arial Narrow" w:cs="Arial Narrow"/>
                <w:iCs/>
                <w:sz w:val="20"/>
                <w:szCs w:val="20"/>
              </w:rPr>
            </w:pPr>
            <w:r w:rsidRPr="00747476">
              <w:rPr>
                <w:rFonts w:ascii="Arial Narrow" w:eastAsia="Arial Narrow" w:hAnsi="Arial Narrow" w:cs="Arial Narrow"/>
                <w:iCs/>
                <w:sz w:val="20"/>
                <w:szCs w:val="20"/>
              </w:rPr>
              <w:t>$0.00</w:t>
            </w:r>
          </w:p>
        </w:tc>
      </w:tr>
    </w:tbl>
    <w:p w14:paraId="702BF1AB" w14:textId="1EF3ABD9" w:rsidR="00811E0E" w:rsidRPr="006D4B84" w:rsidRDefault="00811E0E" w:rsidP="006D4B84">
      <w:pPr>
        <w:pStyle w:val="TableFigureFooter"/>
      </w:pPr>
      <w:r w:rsidRPr="00747476">
        <w:rPr>
          <w:rFonts w:eastAsia="Arial Narrow"/>
        </w:rPr>
        <w:t>Source:</w:t>
      </w:r>
      <w:r w:rsidR="00F96B2F" w:rsidRPr="00747476">
        <w:rPr>
          <w:rFonts w:eastAsia="Arial Narrow"/>
        </w:rPr>
        <w:t xml:space="preserve"> </w:t>
      </w:r>
      <w:r w:rsidRPr="00747476">
        <w:rPr>
          <w:rFonts w:eastAsia="Arial Narrow"/>
        </w:rPr>
        <w:t>Table</w:t>
      </w:r>
      <w:r w:rsidR="00F96B2F" w:rsidRPr="00747476">
        <w:rPr>
          <w:rFonts w:eastAsia="Arial Narrow"/>
        </w:rPr>
        <w:t xml:space="preserve"> </w:t>
      </w:r>
      <w:r w:rsidRPr="00747476">
        <w:rPr>
          <w:rFonts w:eastAsia="Arial Narrow"/>
        </w:rPr>
        <w:t>3.4.1,</w:t>
      </w:r>
      <w:r w:rsidR="00F96B2F" w:rsidRPr="00747476">
        <w:rPr>
          <w:rFonts w:eastAsia="Arial Narrow"/>
        </w:rPr>
        <w:t xml:space="preserve"> </w:t>
      </w:r>
      <w:r w:rsidRPr="00747476">
        <w:rPr>
          <w:rFonts w:eastAsia="Arial Narrow"/>
        </w:rPr>
        <w:t>p175</w:t>
      </w:r>
      <w:r w:rsidR="00F96B2F" w:rsidRPr="00747476">
        <w:rPr>
          <w:rFonts w:eastAsia="Arial Narrow"/>
        </w:rPr>
        <w:t xml:space="preserve"> </w:t>
      </w:r>
      <w:r w:rsidRPr="00747476">
        <w:rPr>
          <w:rFonts w:eastAsia="Arial Narrow"/>
        </w:rPr>
        <w:t>of</w:t>
      </w:r>
      <w:r w:rsidR="00F96B2F" w:rsidRPr="00747476">
        <w:rPr>
          <w:rFonts w:eastAsia="Arial Narrow"/>
        </w:rPr>
        <w:t xml:space="preserve"> </w:t>
      </w:r>
      <w:r w:rsidRPr="00747476">
        <w:rPr>
          <w:rFonts w:eastAsia="Arial Narrow"/>
        </w:rPr>
        <w:t>the</w:t>
      </w:r>
      <w:r w:rsidR="00F96B2F" w:rsidRPr="00747476">
        <w:rPr>
          <w:rFonts w:eastAsia="Arial Narrow"/>
        </w:rPr>
        <w:t xml:space="preserve"> </w:t>
      </w:r>
      <w:r w:rsidRPr="00747476">
        <w:rPr>
          <w:rFonts w:eastAsia="Arial Narrow"/>
        </w:rPr>
        <w:t>submission</w:t>
      </w:r>
      <w:r w:rsidR="00F96B2F" w:rsidRPr="00747476">
        <w:rPr>
          <w:rFonts w:eastAsia="Arial Narrow"/>
        </w:rPr>
        <w:t xml:space="preserve"> </w:t>
      </w:r>
      <w:r w:rsidRPr="00747476">
        <w:rPr>
          <w:rFonts w:eastAsia="Arial Narrow"/>
        </w:rPr>
        <w:t>and</w:t>
      </w:r>
      <w:r w:rsidR="00F96B2F" w:rsidRPr="00747476">
        <w:rPr>
          <w:rFonts w:eastAsia="Arial Narrow"/>
        </w:rPr>
        <w:t xml:space="preserve"> </w:t>
      </w:r>
      <w:r w:rsidRPr="00747476">
        <w:rPr>
          <w:rFonts w:eastAsia="Arial Narrow"/>
        </w:rPr>
        <w:t>added</w:t>
      </w:r>
      <w:r w:rsidR="00F96B2F" w:rsidRPr="00747476">
        <w:rPr>
          <w:rFonts w:eastAsia="Arial Narrow"/>
        </w:rPr>
        <w:t xml:space="preserve"> </w:t>
      </w:r>
      <w:r w:rsidRPr="00747476">
        <w:rPr>
          <w:rFonts w:eastAsia="Arial Narrow"/>
        </w:rPr>
        <w:t>during</w:t>
      </w:r>
      <w:r w:rsidR="00F96B2F" w:rsidRPr="00747476">
        <w:rPr>
          <w:rFonts w:eastAsia="Arial Narrow"/>
        </w:rPr>
        <w:t xml:space="preserve"> </w:t>
      </w:r>
      <w:r w:rsidRPr="00747476">
        <w:rPr>
          <w:rFonts w:eastAsia="Arial Narrow"/>
        </w:rPr>
        <w:t>the</w:t>
      </w:r>
      <w:r w:rsidR="00F96B2F" w:rsidRPr="00747476">
        <w:rPr>
          <w:rFonts w:eastAsia="Arial Narrow"/>
        </w:rPr>
        <w:t xml:space="preserve"> </w:t>
      </w:r>
      <w:r w:rsidRPr="00747476">
        <w:rPr>
          <w:rFonts w:eastAsia="Arial Narrow"/>
        </w:rPr>
        <w:t>evaluation</w:t>
      </w:r>
      <w:r w:rsidR="00A1626C" w:rsidRPr="00747476">
        <w:rPr>
          <w:rFonts w:eastAsia="Arial Narrow"/>
        </w:rPr>
        <w:t xml:space="preserve"> and corrected in th</w:t>
      </w:r>
      <w:r w:rsidR="00A1626C">
        <w:rPr>
          <w:rFonts w:eastAsia="Arial Narrow"/>
        </w:rPr>
        <w:t>e Pre-Sub-Committee Response</w:t>
      </w:r>
    </w:p>
    <w:p w14:paraId="60E30F33" w14:textId="0A50892D" w:rsidR="00811E0E" w:rsidRPr="00E96E9F" w:rsidRDefault="00811E0E" w:rsidP="006D4B84">
      <w:pPr>
        <w:pStyle w:val="TableFigureFooter"/>
      </w:pPr>
      <w:r w:rsidRPr="006D4B84">
        <w:t>AEMP</w:t>
      </w:r>
      <w:r w:rsidR="00F96B2F" w:rsidRPr="006D4B84">
        <w:t xml:space="preserve"> </w:t>
      </w:r>
      <w:r w:rsidRPr="006D4B84">
        <w:t>=</w:t>
      </w:r>
      <w:r w:rsidR="00F96B2F" w:rsidRPr="006D4B84">
        <w:t xml:space="preserve"> </w:t>
      </w:r>
      <w:r w:rsidRPr="006D4B84">
        <w:t>approved</w:t>
      </w:r>
      <w:r w:rsidR="00F96B2F" w:rsidRPr="006D4B84">
        <w:t xml:space="preserve"> </w:t>
      </w:r>
      <w:r w:rsidRPr="006D4B84">
        <w:t>ex-manufacturer</w:t>
      </w:r>
      <w:r w:rsidR="00F96B2F" w:rsidRPr="006D4B84">
        <w:t xml:space="preserve"> </w:t>
      </w:r>
      <w:r w:rsidRPr="006D4B84">
        <w:t>price;</w:t>
      </w:r>
      <w:r w:rsidR="00F96B2F" w:rsidRPr="006D4B84">
        <w:t xml:space="preserve"> </w:t>
      </w:r>
      <w:r w:rsidRPr="006D4B84">
        <w:t>kg</w:t>
      </w:r>
      <w:r w:rsidR="00F96B2F" w:rsidRPr="006D4B84">
        <w:t xml:space="preserve"> </w:t>
      </w:r>
      <w:r w:rsidRPr="006D4B84">
        <w:t>=</w:t>
      </w:r>
      <w:r w:rsidR="00F96B2F" w:rsidRPr="006D4B84">
        <w:t xml:space="preserve"> </w:t>
      </w:r>
      <w:r w:rsidRPr="006D4B84">
        <w:t>kilograms;</w:t>
      </w:r>
      <w:r w:rsidR="00F96B2F" w:rsidRPr="006D4B84">
        <w:t xml:space="preserve"> </w:t>
      </w:r>
      <w:r w:rsidRPr="006D4B84">
        <w:t>mg</w:t>
      </w:r>
      <w:r w:rsidR="00F96B2F" w:rsidRPr="006D4B84">
        <w:t xml:space="preserve"> </w:t>
      </w:r>
      <w:r w:rsidRPr="006D4B84">
        <w:t>=</w:t>
      </w:r>
      <w:r w:rsidR="00F96B2F" w:rsidRPr="006D4B84">
        <w:t xml:space="preserve"> </w:t>
      </w:r>
      <w:r w:rsidRPr="006D4B84">
        <w:t>milligrams</w:t>
      </w:r>
    </w:p>
    <w:p w14:paraId="2ABC66B5" w14:textId="654DA636" w:rsidR="00E5129A" w:rsidRPr="00BF1BFB" w:rsidRDefault="0032667D" w:rsidP="0032667D">
      <w:pPr>
        <w:pStyle w:val="3-BodyText"/>
        <w:rPr>
          <w:iCs/>
          <w:lang w:eastAsia="en-US"/>
        </w:rPr>
      </w:pPr>
      <w:r w:rsidRPr="00E96E9F">
        <w:t xml:space="preserve">The </w:t>
      </w:r>
      <w:proofErr w:type="spellStart"/>
      <w:r w:rsidRPr="00E96E9F">
        <w:t>equi</w:t>
      </w:r>
      <w:proofErr w:type="spellEnd"/>
      <w:r w:rsidRPr="00E96E9F">
        <w:t xml:space="preserve">-effective doses were estimated from Study 4006 at 12 months as </w:t>
      </w:r>
      <w:proofErr w:type="spellStart"/>
      <w:r w:rsidRPr="00E96E9F">
        <w:t>somatrogon</w:t>
      </w:r>
      <w:proofErr w:type="spellEnd"/>
      <w:r w:rsidRPr="00E96E9F">
        <w:t xml:space="preserve"> 0.66 mg/kg/week and somatropin 0.238</w:t>
      </w:r>
      <w:r w:rsidR="00343E9B" w:rsidRPr="00E96E9F">
        <w:t> </w:t>
      </w:r>
      <w:r w:rsidRPr="00E96E9F">
        <w:t xml:space="preserve">mg/kg/week based on median doses. </w:t>
      </w:r>
      <w:r w:rsidRPr="00BF1BFB">
        <w:rPr>
          <w:rStyle w:val="normaltextrun"/>
          <w:rFonts w:ascii="Calibri" w:hAnsi="Calibri" w:cs="Calibri"/>
          <w:iCs/>
        </w:rPr>
        <w:t xml:space="preserve">The use of median treatment doses for </w:t>
      </w:r>
      <w:proofErr w:type="spellStart"/>
      <w:r w:rsidRPr="00BF1BFB">
        <w:rPr>
          <w:rStyle w:val="normaltextrun"/>
          <w:rFonts w:ascii="Calibri" w:hAnsi="Calibri" w:cs="Calibri"/>
          <w:iCs/>
        </w:rPr>
        <w:t>somatrogon</w:t>
      </w:r>
      <w:proofErr w:type="spellEnd"/>
      <w:r w:rsidRPr="00BF1BFB">
        <w:rPr>
          <w:rStyle w:val="normaltextrun"/>
          <w:rFonts w:ascii="Calibri" w:hAnsi="Calibri" w:cs="Calibri"/>
          <w:iCs/>
        </w:rPr>
        <w:t xml:space="preserve"> and somatropin to </w:t>
      </w:r>
      <w:r w:rsidRPr="00BF1BFB">
        <w:rPr>
          <w:rStyle w:val="normaltextrun"/>
          <w:rFonts w:ascii="Calibri" w:hAnsi="Calibri" w:cs="Calibri"/>
          <w:iCs/>
        </w:rPr>
        <w:lastRenderedPageBreak/>
        <w:t xml:space="preserve">determine the </w:t>
      </w:r>
      <w:proofErr w:type="spellStart"/>
      <w:r w:rsidRPr="00BF1BFB">
        <w:rPr>
          <w:rStyle w:val="normaltextrun"/>
          <w:rFonts w:ascii="Calibri" w:hAnsi="Calibri" w:cs="Calibri"/>
          <w:iCs/>
        </w:rPr>
        <w:t>equi</w:t>
      </w:r>
      <w:proofErr w:type="spellEnd"/>
      <w:r w:rsidRPr="00BF1BFB">
        <w:rPr>
          <w:rStyle w:val="normaltextrun"/>
          <w:rFonts w:ascii="Calibri" w:hAnsi="Calibri" w:cs="Calibri"/>
          <w:iCs/>
        </w:rPr>
        <w:t xml:space="preserve">-effective doses may not provide a robust comparison of steady-state doses between the two medicines among </w:t>
      </w:r>
      <w:r w:rsidR="008A04C2">
        <w:rPr>
          <w:rStyle w:val="normaltextrun"/>
          <w:rFonts w:ascii="Calibri" w:hAnsi="Calibri" w:cs="Calibri"/>
          <w:iCs/>
        </w:rPr>
        <w:t xml:space="preserve">patients with </w:t>
      </w:r>
      <w:proofErr w:type="spellStart"/>
      <w:r w:rsidRPr="00BF1BFB">
        <w:rPr>
          <w:rStyle w:val="normaltextrun"/>
          <w:rFonts w:ascii="Calibri" w:hAnsi="Calibri" w:cs="Calibri"/>
          <w:iCs/>
        </w:rPr>
        <w:t>pGHD</w:t>
      </w:r>
      <w:proofErr w:type="spellEnd"/>
      <w:r w:rsidRPr="00BF1BFB">
        <w:rPr>
          <w:rStyle w:val="normaltextrun"/>
          <w:rFonts w:ascii="Calibri" w:hAnsi="Calibri" w:cs="Calibri"/>
          <w:iCs/>
        </w:rPr>
        <w:t xml:space="preserve">. The treatment dosing data reported in Study </w:t>
      </w:r>
      <w:r w:rsidRPr="00490603">
        <w:rPr>
          <w:rStyle w:val="normaltextrun"/>
          <w:rFonts w:ascii="Calibri" w:hAnsi="Calibri" w:cs="Calibri"/>
          <w:iCs/>
        </w:rPr>
        <w:t xml:space="preserve">4006 </w:t>
      </w:r>
      <w:r w:rsidR="008A04C2">
        <w:rPr>
          <w:rStyle w:val="normaltextrun"/>
          <w:rFonts w:ascii="Calibri" w:hAnsi="Calibri" w:cs="Calibri"/>
          <w:iCs/>
        </w:rPr>
        <w:t>wa</w:t>
      </w:r>
      <w:r w:rsidRPr="00BF1BFB">
        <w:rPr>
          <w:rStyle w:val="normaltextrun"/>
          <w:rFonts w:ascii="Calibri" w:hAnsi="Calibri" w:cs="Calibri"/>
          <w:iCs/>
        </w:rPr>
        <w:t xml:space="preserve">s </w:t>
      </w:r>
      <w:r w:rsidR="00B20CD2" w:rsidRPr="00BF1BFB">
        <w:rPr>
          <w:rStyle w:val="normaltextrun"/>
          <w:rFonts w:ascii="Calibri" w:hAnsi="Calibri" w:cs="Calibri"/>
          <w:iCs/>
        </w:rPr>
        <w:t xml:space="preserve">not </w:t>
      </w:r>
      <w:r w:rsidRPr="00BF1BFB">
        <w:rPr>
          <w:rStyle w:val="normaltextrun"/>
          <w:rFonts w:ascii="Calibri" w:hAnsi="Calibri" w:cs="Calibri"/>
          <w:iCs/>
        </w:rPr>
        <w:t xml:space="preserve">likely </w:t>
      </w:r>
      <w:r w:rsidR="0010334D" w:rsidRPr="00BF1BFB">
        <w:rPr>
          <w:rStyle w:val="normaltextrun"/>
          <w:rFonts w:ascii="Calibri" w:hAnsi="Calibri" w:cs="Calibri"/>
          <w:iCs/>
        </w:rPr>
        <w:t xml:space="preserve">to be </w:t>
      </w:r>
      <w:r w:rsidRPr="00BF1BFB">
        <w:rPr>
          <w:rStyle w:val="normaltextrun"/>
          <w:rFonts w:ascii="Calibri" w:hAnsi="Calibri" w:cs="Calibri"/>
          <w:iCs/>
        </w:rPr>
        <w:t>normally distributed (</w:t>
      </w:r>
      <w:proofErr w:type="gramStart"/>
      <w:r w:rsidR="007F33C3">
        <w:rPr>
          <w:rStyle w:val="normaltextrun"/>
          <w:rFonts w:ascii="Calibri" w:hAnsi="Calibri" w:cs="Calibri"/>
          <w:iCs/>
        </w:rPr>
        <w:t>i.e.</w:t>
      </w:r>
      <w:proofErr w:type="gramEnd"/>
      <w:r w:rsidR="007F33C3">
        <w:rPr>
          <w:rStyle w:val="normaltextrun"/>
          <w:rFonts w:ascii="Calibri" w:hAnsi="Calibri" w:cs="Calibri"/>
          <w:iCs/>
        </w:rPr>
        <w:t xml:space="preserve"> </w:t>
      </w:r>
      <w:r w:rsidR="008A04C2">
        <w:rPr>
          <w:rStyle w:val="normaltextrun"/>
          <w:rFonts w:ascii="Calibri" w:hAnsi="Calibri" w:cs="Calibri"/>
          <w:iCs/>
        </w:rPr>
        <w:t xml:space="preserve">the </w:t>
      </w:r>
      <w:r w:rsidRPr="00BF1BFB">
        <w:rPr>
          <w:rStyle w:val="normaltextrun"/>
          <w:rFonts w:ascii="Calibri" w:hAnsi="Calibri" w:cs="Calibri"/>
          <w:iCs/>
        </w:rPr>
        <w:t xml:space="preserve">median values </w:t>
      </w:r>
      <w:r w:rsidR="008A04C2">
        <w:rPr>
          <w:rStyle w:val="normaltextrun"/>
          <w:rFonts w:ascii="Calibri" w:hAnsi="Calibri" w:cs="Calibri"/>
          <w:iCs/>
        </w:rPr>
        <w:t>we</w:t>
      </w:r>
      <w:r w:rsidR="008A04C2" w:rsidRPr="00BF1BFB">
        <w:rPr>
          <w:rStyle w:val="normaltextrun"/>
          <w:rFonts w:ascii="Calibri" w:hAnsi="Calibri" w:cs="Calibri"/>
          <w:iCs/>
        </w:rPr>
        <w:t xml:space="preserve">re </w:t>
      </w:r>
      <w:r w:rsidRPr="00BF1BFB">
        <w:rPr>
          <w:rStyle w:val="normaltextrun"/>
          <w:rFonts w:ascii="Calibri" w:hAnsi="Calibri" w:cs="Calibri"/>
          <w:iCs/>
        </w:rPr>
        <w:t>greater than</w:t>
      </w:r>
      <w:r w:rsidR="008A04C2">
        <w:rPr>
          <w:rStyle w:val="normaltextrun"/>
          <w:rFonts w:ascii="Calibri" w:hAnsi="Calibri" w:cs="Calibri"/>
          <w:iCs/>
        </w:rPr>
        <w:t xml:space="preserve"> the</w:t>
      </w:r>
      <w:r w:rsidRPr="00BF1BFB">
        <w:rPr>
          <w:rStyle w:val="normaltextrun"/>
          <w:rFonts w:ascii="Calibri" w:hAnsi="Calibri" w:cs="Calibri"/>
          <w:iCs/>
        </w:rPr>
        <w:t xml:space="preserve"> mean values for both </w:t>
      </w:r>
      <w:proofErr w:type="spellStart"/>
      <w:r w:rsidRPr="00BF1BFB">
        <w:rPr>
          <w:rStyle w:val="normaltextrun"/>
          <w:rFonts w:ascii="Calibri" w:hAnsi="Calibri" w:cs="Calibri"/>
          <w:iCs/>
        </w:rPr>
        <w:t>somatrogon</w:t>
      </w:r>
      <w:proofErr w:type="spellEnd"/>
      <w:r w:rsidRPr="00BF1BFB">
        <w:rPr>
          <w:rStyle w:val="normaltextrun"/>
          <w:rFonts w:ascii="Calibri" w:hAnsi="Calibri" w:cs="Calibri"/>
          <w:iCs/>
        </w:rPr>
        <w:t xml:space="preserve"> and somatropin). The mean treatment doses for </w:t>
      </w:r>
      <w:proofErr w:type="spellStart"/>
      <w:r w:rsidRPr="00BF1BFB">
        <w:rPr>
          <w:rStyle w:val="normaltextrun"/>
          <w:rFonts w:ascii="Calibri" w:hAnsi="Calibri" w:cs="Calibri"/>
          <w:iCs/>
        </w:rPr>
        <w:t>somatrogon</w:t>
      </w:r>
      <w:proofErr w:type="spellEnd"/>
      <w:r w:rsidRPr="00BF1BFB">
        <w:rPr>
          <w:rStyle w:val="normaltextrun"/>
          <w:rFonts w:ascii="Calibri" w:hAnsi="Calibri" w:cs="Calibri"/>
          <w:iCs/>
        </w:rPr>
        <w:t xml:space="preserve"> and somatropin </w:t>
      </w:r>
      <w:r w:rsidR="008A04C2">
        <w:rPr>
          <w:rStyle w:val="normaltextrun"/>
          <w:rFonts w:ascii="Calibri" w:hAnsi="Calibri" w:cs="Calibri"/>
          <w:iCs/>
        </w:rPr>
        <w:t>we</w:t>
      </w:r>
      <w:r w:rsidR="008A04C2" w:rsidRPr="00BF1BFB">
        <w:rPr>
          <w:rStyle w:val="normaltextrun"/>
          <w:rFonts w:ascii="Calibri" w:hAnsi="Calibri" w:cs="Calibri"/>
          <w:iCs/>
        </w:rPr>
        <w:t xml:space="preserve">re </w:t>
      </w:r>
      <w:r w:rsidRPr="00BF1BFB">
        <w:rPr>
          <w:rStyle w:val="normaltextrun"/>
          <w:rFonts w:ascii="Calibri" w:hAnsi="Calibri" w:cs="Calibri"/>
          <w:iCs/>
        </w:rPr>
        <w:t xml:space="preserve">likely more conservative in accounting for the range of doses observed in Study 4006, which may reflect the likely range within clinical practice. </w:t>
      </w:r>
      <w:r w:rsidRPr="00BF1BFB">
        <w:rPr>
          <w:iCs/>
        </w:rPr>
        <w:t xml:space="preserve">The </w:t>
      </w:r>
      <w:proofErr w:type="spellStart"/>
      <w:r w:rsidRPr="00BF1BFB">
        <w:rPr>
          <w:iCs/>
        </w:rPr>
        <w:t>equi</w:t>
      </w:r>
      <w:proofErr w:type="spellEnd"/>
      <w:r w:rsidRPr="00BF1BFB">
        <w:rPr>
          <w:iCs/>
        </w:rPr>
        <w:t xml:space="preserve">-effective doses derived using the mean treatment doses from Study 4006 </w:t>
      </w:r>
      <w:r w:rsidR="008A04C2">
        <w:rPr>
          <w:iCs/>
        </w:rPr>
        <w:t>are</w:t>
      </w:r>
      <w:r w:rsidR="008A04C2" w:rsidRPr="00BF1BFB">
        <w:rPr>
          <w:iCs/>
        </w:rPr>
        <w:t xml:space="preserve"> </w:t>
      </w:r>
      <w:proofErr w:type="spellStart"/>
      <w:r w:rsidRPr="00BF1BFB">
        <w:rPr>
          <w:iCs/>
        </w:rPr>
        <w:t>somatrogon</w:t>
      </w:r>
      <w:proofErr w:type="spellEnd"/>
      <w:r w:rsidRPr="00BF1BFB">
        <w:rPr>
          <w:iCs/>
        </w:rPr>
        <w:t xml:space="preserve"> 0.655 mg/kg/week and somatropin 0.237 mg/kg/week.</w:t>
      </w:r>
      <w:r w:rsidRPr="00E96E9F">
        <w:t xml:space="preserve"> </w:t>
      </w:r>
      <w:r w:rsidR="008A04C2">
        <w:t>The t</w:t>
      </w:r>
      <w:r w:rsidR="008A04C2" w:rsidRPr="00E96E9F">
        <w:t xml:space="preserve">reatment </w:t>
      </w:r>
      <w:r w:rsidRPr="00E96E9F">
        <w:t>is expected to be ongoing with discontinuation expected when children near adult height or when height is in</w:t>
      </w:r>
      <w:r w:rsidR="008A04C2">
        <w:t xml:space="preserve"> the</w:t>
      </w:r>
      <w:r w:rsidRPr="00E96E9F">
        <w:t xml:space="preserve"> adult range.</w:t>
      </w:r>
      <w:r w:rsidR="00E5129A" w:rsidRPr="00E96E9F">
        <w:t xml:space="preserve"> </w:t>
      </w:r>
      <w:r w:rsidRPr="00BF1BFB">
        <w:rPr>
          <w:iCs/>
          <w:lang w:eastAsia="en-US"/>
        </w:rPr>
        <w:t xml:space="preserve">The recommended dosing of </w:t>
      </w:r>
      <w:proofErr w:type="spellStart"/>
      <w:r w:rsidRPr="00BF1BFB">
        <w:rPr>
          <w:iCs/>
          <w:lang w:eastAsia="en-US"/>
        </w:rPr>
        <w:t>somatrogon</w:t>
      </w:r>
      <w:proofErr w:type="spellEnd"/>
      <w:r w:rsidRPr="00BF1BFB">
        <w:rPr>
          <w:iCs/>
          <w:lang w:eastAsia="en-US"/>
        </w:rPr>
        <w:t xml:space="preserve"> (0.66</w:t>
      </w:r>
      <w:r w:rsidR="00343E9B" w:rsidRPr="00BF1BFB">
        <w:rPr>
          <w:iCs/>
          <w:lang w:eastAsia="en-US"/>
        </w:rPr>
        <w:t> </w:t>
      </w:r>
      <w:r w:rsidRPr="00BF1BFB">
        <w:rPr>
          <w:iCs/>
          <w:lang w:eastAsia="en-US"/>
        </w:rPr>
        <w:t xml:space="preserve">mg/kg/week) is slightly higher than the </w:t>
      </w:r>
      <w:r w:rsidR="0010334D" w:rsidRPr="00BF1BFB">
        <w:rPr>
          <w:iCs/>
          <w:lang w:eastAsia="en-US"/>
        </w:rPr>
        <w:t>mean</w:t>
      </w:r>
      <w:r w:rsidRPr="00BF1BFB">
        <w:rPr>
          <w:iCs/>
          <w:lang w:eastAsia="en-US"/>
        </w:rPr>
        <w:t xml:space="preserve"> treatment dose for </w:t>
      </w:r>
      <w:proofErr w:type="spellStart"/>
      <w:r w:rsidRPr="00BF1BFB">
        <w:rPr>
          <w:iCs/>
          <w:lang w:eastAsia="en-US"/>
        </w:rPr>
        <w:t>somatrogon</w:t>
      </w:r>
      <w:proofErr w:type="spellEnd"/>
      <w:r w:rsidRPr="00BF1BFB">
        <w:rPr>
          <w:iCs/>
          <w:lang w:eastAsia="en-US"/>
        </w:rPr>
        <w:t xml:space="preserve"> (0.655 mg/kg/week).</w:t>
      </w:r>
    </w:p>
    <w:p w14:paraId="425ADB11" w14:textId="1AA65FED" w:rsidR="0032667D" w:rsidRPr="00E96E9F" w:rsidRDefault="0032667D" w:rsidP="0032667D">
      <w:pPr>
        <w:pStyle w:val="3-BodyText"/>
      </w:pPr>
      <w:r w:rsidRPr="00E96E9F">
        <w:t xml:space="preserve">The submission suggested no additional costs and/or cost offsets in the cost-minimisation analysis. The trials did report more injection site reactions with </w:t>
      </w:r>
      <w:proofErr w:type="spellStart"/>
      <w:r w:rsidRPr="00E96E9F">
        <w:t>somatrogon</w:t>
      </w:r>
      <w:proofErr w:type="spellEnd"/>
      <w:r w:rsidRPr="00E96E9F">
        <w:t xml:space="preserve"> compared to somatropin although these were mostly mild.</w:t>
      </w:r>
    </w:p>
    <w:p w14:paraId="660701DD" w14:textId="3DAA2606" w:rsidR="00811E0E" w:rsidRPr="00747476" w:rsidRDefault="00811E0E" w:rsidP="00811E0E">
      <w:pPr>
        <w:pStyle w:val="3-BodyText"/>
      </w:pPr>
      <w:r w:rsidRPr="00E96E9F">
        <w:t>The</w:t>
      </w:r>
      <w:r w:rsidR="00F96B2F" w:rsidRPr="00E96E9F">
        <w:t xml:space="preserve"> </w:t>
      </w:r>
      <w:r w:rsidRPr="00E96E9F">
        <w:t>requested</w:t>
      </w:r>
      <w:r w:rsidR="00F96B2F" w:rsidRPr="00E96E9F">
        <w:t xml:space="preserve"> </w:t>
      </w:r>
      <w:r w:rsidRPr="00747476">
        <w:t>AEMP</w:t>
      </w:r>
      <w:r w:rsidR="00F96B2F" w:rsidRPr="00747476">
        <w:t xml:space="preserve"> </w:t>
      </w:r>
      <w:r w:rsidRPr="00747476">
        <w:t>for</w:t>
      </w:r>
      <w:r w:rsidR="00F96B2F" w:rsidRPr="00747476">
        <w:t xml:space="preserve"> </w:t>
      </w:r>
      <w:proofErr w:type="spellStart"/>
      <w:r w:rsidRPr="00747476">
        <w:t>somatrogon</w:t>
      </w:r>
      <w:proofErr w:type="spellEnd"/>
      <w:r w:rsidR="00F96B2F" w:rsidRPr="00747476">
        <w:t xml:space="preserve"> </w:t>
      </w:r>
      <w:r w:rsidRPr="00747476">
        <w:t>24</w:t>
      </w:r>
      <w:r w:rsidR="00F96B2F" w:rsidRPr="00747476">
        <w:t xml:space="preserve"> </w:t>
      </w:r>
      <w:r w:rsidRPr="00747476">
        <w:t>mg</w:t>
      </w:r>
      <w:r w:rsidR="00F96B2F" w:rsidRPr="00747476">
        <w:t xml:space="preserve"> </w:t>
      </w:r>
      <w:r w:rsidRPr="00747476">
        <w:t>was</w:t>
      </w:r>
      <w:r w:rsidR="00F96B2F" w:rsidRPr="00747476">
        <w:t xml:space="preserve"> </w:t>
      </w:r>
      <w:r w:rsidRPr="00747476">
        <w:t>$359.86</w:t>
      </w:r>
      <w:r w:rsidR="00F96B2F" w:rsidRPr="00747476">
        <w:t xml:space="preserve"> </w:t>
      </w:r>
      <w:r w:rsidRPr="00747476">
        <w:t>and</w:t>
      </w:r>
      <w:r w:rsidR="00F96B2F" w:rsidRPr="00747476">
        <w:t xml:space="preserve"> </w:t>
      </w:r>
      <w:r w:rsidR="00564A3F" w:rsidRPr="00747476">
        <w:t xml:space="preserve">for </w:t>
      </w:r>
      <w:proofErr w:type="spellStart"/>
      <w:r w:rsidRPr="00747476">
        <w:t>somatrogon</w:t>
      </w:r>
      <w:proofErr w:type="spellEnd"/>
      <w:r w:rsidR="00F96B2F" w:rsidRPr="00747476">
        <w:t xml:space="preserve"> </w:t>
      </w:r>
      <w:r w:rsidRPr="00747476">
        <w:t>60</w:t>
      </w:r>
      <w:r w:rsidR="00F96B2F" w:rsidRPr="00747476">
        <w:t xml:space="preserve"> </w:t>
      </w:r>
      <w:r w:rsidRPr="00747476">
        <w:t>mg</w:t>
      </w:r>
      <w:r w:rsidR="00F96B2F" w:rsidRPr="00747476">
        <w:t xml:space="preserve"> </w:t>
      </w:r>
      <w:r w:rsidRPr="00747476">
        <w:t>was</w:t>
      </w:r>
      <w:r w:rsidR="00F96B2F" w:rsidRPr="00747476">
        <w:t xml:space="preserve"> </w:t>
      </w:r>
      <w:r w:rsidRPr="00747476">
        <w:t>$899.64</w:t>
      </w:r>
      <w:r w:rsidR="00F96B2F" w:rsidRPr="00747476">
        <w:t xml:space="preserve"> </w:t>
      </w:r>
      <w:r w:rsidRPr="00747476">
        <w:t>based</w:t>
      </w:r>
      <w:r w:rsidR="00F96B2F" w:rsidRPr="00747476">
        <w:t xml:space="preserve"> </w:t>
      </w:r>
      <w:r w:rsidRPr="00747476">
        <w:t>on</w:t>
      </w:r>
      <w:r w:rsidR="00F96B2F" w:rsidRPr="00747476">
        <w:t xml:space="preserve"> </w:t>
      </w:r>
      <w:r w:rsidRPr="00747476">
        <w:t>median</w:t>
      </w:r>
      <w:r w:rsidR="00F96B2F" w:rsidRPr="00747476">
        <w:t xml:space="preserve"> </w:t>
      </w:r>
      <w:r w:rsidRPr="00747476">
        <w:t>dose</w:t>
      </w:r>
      <w:r w:rsidR="00564A3F" w:rsidRPr="00747476">
        <w:t>s</w:t>
      </w:r>
      <w:r w:rsidRPr="00747476">
        <w:t>.</w:t>
      </w:r>
      <w:r w:rsidR="00F96B2F" w:rsidRPr="00747476">
        <w:t xml:space="preserve"> </w:t>
      </w:r>
      <w:r w:rsidRPr="00747476">
        <w:rPr>
          <w:iCs/>
        </w:rPr>
        <w:t>The</w:t>
      </w:r>
      <w:r w:rsidR="00F96B2F" w:rsidRPr="00747476">
        <w:rPr>
          <w:iCs/>
        </w:rPr>
        <w:t xml:space="preserve"> </w:t>
      </w:r>
      <w:r w:rsidRPr="00747476">
        <w:rPr>
          <w:iCs/>
        </w:rPr>
        <w:t>equivalent</w:t>
      </w:r>
      <w:r w:rsidR="00F96B2F" w:rsidRPr="00747476">
        <w:rPr>
          <w:iCs/>
        </w:rPr>
        <w:t xml:space="preserve"> </w:t>
      </w:r>
      <w:r w:rsidRPr="00747476">
        <w:rPr>
          <w:iCs/>
        </w:rPr>
        <w:t>AEMP</w:t>
      </w:r>
      <w:r w:rsidR="00F96B2F" w:rsidRPr="00747476">
        <w:rPr>
          <w:iCs/>
        </w:rPr>
        <w:t xml:space="preserve"> </w:t>
      </w:r>
      <w:r w:rsidRPr="00747476">
        <w:rPr>
          <w:iCs/>
        </w:rPr>
        <w:t>based</w:t>
      </w:r>
      <w:r w:rsidR="00F96B2F" w:rsidRPr="00747476">
        <w:rPr>
          <w:iCs/>
        </w:rPr>
        <w:t xml:space="preserve"> </w:t>
      </w:r>
      <w:r w:rsidRPr="00747476">
        <w:rPr>
          <w:iCs/>
        </w:rPr>
        <w:t>on</w:t>
      </w:r>
      <w:r w:rsidR="00F96B2F" w:rsidRPr="00747476">
        <w:rPr>
          <w:iCs/>
        </w:rPr>
        <w:t xml:space="preserve"> </w:t>
      </w:r>
      <w:r w:rsidRPr="00747476">
        <w:rPr>
          <w:iCs/>
        </w:rPr>
        <w:t>mean</w:t>
      </w:r>
      <w:r w:rsidR="00F96B2F" w:rsidRPr="00747476">
        <w:rPr>
          <w:iCs/>
        </w:rPr>
        <w:t xml:space="preserve"> </w:t>
      </w:r>
      <w:r w:rsidRPr="00747476">
        <w:rPr>
          <w:iCs/>
        </w:rPr>
        <w:t>doses</w:t>
      </w:r>
      <w:r w:rsidR="00F96B2F" w:rsidRPr="00747476">
        <w:rPr>
          <w:iCs/>
        </w:rPr>
        <w:t xml:space="preserve"> </w:t>
      </w:r>
      <w:r w:rsidR="00564A3F" w:rsidRPr="00747476">
        <w:rPr>
          <w:iCs/>
        </w:rPr>
        <w:t xml:space="preserve">for </w:t>
      </w:r>
      <w:proofErr w:type="spellStart"/>
      <w:r w:rsidRPr="00747476">
        <w:rPr>
          <w:iCs/>
        </w:rPr>
        <w:t>somatrogon</w:t>
      </w:r>
      <w:proofErr w:type="spellEnd"/>
      <w:r w:rsidR="00F96B2F" w:rsidRPr="00747476">
        <w:rPr>
          <w:iCs/>
        </w:rPr>
        <w:t xml:space="preserve"> </w:t>
      </w:r>
      <w:r w:rsidRPr="00747476">
        <w:rPr>
          <w:iCs/>
        </w:rPr>
        <w:t>24</w:t>
      </w:r>
      <w:r w:rsidR="00F96B2F" w:rsidRPr="00747476">
        <w:rPr>
          <w:iCs/>
        </w:rPr>
        <w:t xml:space="preserve"> </w:t>
      </w:r>
      <w:r w:rsidRPr="00747476">
        <w:rPr>
          <w:iCs/>
        </w:rPr>
        <w:t>mg</w:t>
      </w:r>
      <w:r w:rsidR="00F96B2F" w:rsidRPr="00747476">
        <w:rPr>
          <w:iCs/>
        </w:rPr>
        <w:t xml:space="preserve"> </w:t>
      </w:r>
      <w:r w:rsidR="00564A3F" w:rsidRPr="00747476">
        <w:rPr>
          <w:iCs/>
        </w:rPr>
        <w:t xml:space="preserve">was </w:t>
      </w:r>
      <w:r w:rsidRPr="00747476">
        <w:rPr>
          <w:iCs/>
        </w:rPr>
        <w:t>$36</w:t>
      </w:r>
      <w:r w:rsidR="00490603" w:rsidRPr="00747476">
        <w:rPr>
          <w:iCs/>
        </w:rPr>
        <w:t>1.08</w:t>
      </w:r>
      <w:r w:rsidR="00177A9E" w:rsidRPr="00747476">
        <w:rPr>
          <w:iCs/>
        </w:rPr>
        <w:t xml:space="preserve"> </w:t>
      </w:r>
      <w:r w:rsidRPr="00747476">
        <w:rPr>
          <w:iCs/>
        </w:rPr>
        <w:t>and</w:t>
      </w:r>
      <w:r w:rsidR="00F96B2F" w:rsidRPr="00747476">
        <w:rPr>
          <w:iCs/>
        </w:rPr>
        <w:t xml:space="preserve"> </w:t>
      </w:r>
      <w:r w:rsidR="00564A3F" w:rsidRPr="00747476">
        <w:rPr>
          <w:iCs/>
        </w:rPr>
        <w:t xml:space="preserve">for </w:t>
      </w:r>
      <w:proofErr w:type="spellStart"/>
      <w:r w:rsidRPr="00747476">
        <w:rPr>
          <w:iCs/>
        </w:rPr>
        <w:t>somatrogon</w:t>
      </w:r>
      <w:proofErr w:type="spellEnd"/>
      <w:r w:rsidR="00F96B2F" w:rsidRPr="00747476">
        <w:rPr>
          <w:iCs/>
        </w:rPr>
        <w:t xml:space="preserve"> </w:t>
      </w:r>
      <w:r w:rsidRPr="00747476">
        <w:rPr>
          <w:iCs/>
        </w:rPr>
        <w:t>60</w:t>
      </w:r>
      <w:r w:rsidR="00F96B2F" w:rsidRPr="00747476">
        <w:rPr>
          <w:iCs/>
        </w:rPr>
        <w:t xml:space="preserve"> </w:t>
      </w:r>
      <w:r w:rsidRPr="00747476">
        <w:rPr>
          <w:iCs/>
        </w:rPr>
        <w:t>mg</w:t>
      </w:r>
      <w:r w:rsidR="00F96B2F" w:rsidRPr="00747476">
        <w:rPr>
          <w:iCs/>
        </w:rPr>
        <w:t xml:space="preserve"> </w:t>
      </w:r>
      <w:r w:rsidR="00564A3F" w:rsidRPr="00747476">
        <w:rPr>
          <w:iCs/>
        </w:rPr>
        <w:t xml:space="preserve">was </w:t>
      </w:r>
      <w:r w:rsidRPr="00747476">
        <w:rPr>
          <w:iCs/>
        </w:rPr>
        <w:t>$902.</w:t>
      </w:r>
      <w:r w:rsidR="00490603" w:rsidRPr="00747476">
        <w:rPr>
          <w:iCs/>
        </w:rPr>
        <w:t>70</w:t>
      </w:r>
      <w:r w:rsidRPr="00747476">
        <w:rPr>
          <w:iCs/>
        </w:rPr>
        <w:t>.</w:t>
      </w:r>
    </w:p>
    <w:p w14:paraId="35DF6E9A" w14:textId="5216CAAF" w:rsidR="00811E0E" w:rsidRPr="00E96E9F" w:rsidRDefault="00811E0E" w:rsidP="00811E0E">
      <w:pPr>
        <w:pStyle w:val="4-SubsectionHeading"/>
      </w:pPr>
      <w:bookmarkStart w:id="28" w:name="_Toc22897646"/>
      <w:bookmarkStart w:id="29" w:name="_Toc93499825"/>
      <w:r w:rsidRPr="00E96E9F">
        <w:t>Drug</w:t>
      </w:r>
      <w:r w:rsidR="00F96B2F" w:rsidRPr="00E96E9F">
        <w:t xml:space="preserve"> </w:t>
      </w:r>
      <w:r w:rsidRPr="00E96E9F">
        <w:t>cost/patient/year</w:t>
      </w:r>
      <w:bookmarkEnd w:id="28"/>
      <w:bookmarkEnd w:id="29"/>
    </w:p>
    <w:p w14:paraId="25BC90B2" w14:textId="0A8C2CBC" w:rsidR="00E5129A" w:rsidRPr="00E96E9F" w:rsidRDefault="00564A3F" w:rsidP="00811E0E">
      <w:pPr>
        <w:pStyle w:val="3-BodyText"/>
      </w:pPr>
      <w:r>
        <w:rPr>
          <w:iCs/>
        </w:rPr>
        <w:t>The e</w:t>
      </w:r>
      <w:r w:rsidRPr="00BF1BFB">
        <w:rPr>
          <w:iCs/>
        </w:rPr>
        <w:t>stimate</w:t>
      </w:r>
      <w:r>
        <w:rPr>
          <w:iCs/>
        </w:rPr>
        <w:t>d</w:t>
      </w:r>
      <w:r w:rsidRPr="00BF1BFB">
        <w:rPr>
          <w:iCs/>
        </w:rPr>
        <w:t xml:space="preserve"> </w:t>
      </w:r>
      <w:r w:rsidR="00811E0E" w:rsidRPr="00BF1BFB">
        <w:rPr>
          <w:iCs/>
        </w:rPr>
        <w:t>of</w:t>
      </w:r>
      <w:r w:rsidR="00F96B2F" w:rsidRPr="00BF1BFB">
        <w:rPr>
          <w:iCs/>
        </w:rPr>
        <w:t xml:space="preserve"> </w:t>
      </w:r>
      <w:r w:rsidR="00811E0E" w:rsidRPr="00BF1BFB">
        <w:rPr>
          <w:iCs/>
        </w:rPr>
        <w:t>cost</w:t>
      </w:r>
      <w:r w:rsidR="00F96B2F" w:rsidRPr="00BF1BFB">
        <w:rPr>
          <w:iCs/>
        </w:rPr>
        <w:t xml:space="preserve"> </w:t>
      </w:r>
      <w:r w:rsidR="00811E0E" w:rsidRPr="00BF1BFB">
        <w:rPr>
          <w:iCs/>
        </w:rPr>
        <w:t>per</w:t>
      </w:r>
      <w:r w:rsidR="00F96B2F" w:rsidRPr="00BF1BFB">
        <w:rPr>
          <w:iCs/>
        </w:rPr>
        <w:t xml:space="preserve"> </w:t>
      </w:r>
      <w:r w:rsidR="00811E0E" w:rsidRPr="00BF1BFB">
        <w:rPr>
          <w:iCs/>
        </w:rPr>
        <w:t>patient</w:t>
      </w:r>
      <w:r w:rsidR="00F96B2F" w:rsidRPr="00BF1BFB">
        <w:rPr>
          <w:iCs/>
        </w:rPr>
        <w:t xml:space="preserve"> </w:t>
      </w:r>
      <w:r w:rsidR="00811E0E" w:rsidRPr="00BF1BFB">
        <w:rPr>
          <w:iCs/>
        </w:rPr>
        <w:t>per</w:t>
      </w:r>
      <w:r w:rsidR="00F96B2F" w:rsidRPr="00BF1BFB">
        <w:rPr>
          <w:iCs/>
        </w:rPr>
        <w:t xml:space="preserve"> </w:t>
      </w:r>
      <w:r w:rsidR="00811E0E" w:rsidRPr="00BF1BFB">
        <w:rPr>
          <w:iCs/>
        </w:rPr>
        <w:t>year</w:t>
      </w:r>
      <w:r w:rsidR="00F96B2F" w:rsidRPr="00BF1BFB">
        <w:rPr>
          <w:iCs/>
        </w:rPr>
        <w:t xml:space="preserve"> </w:t>
      </w:r>
      <w:r w:rsidR="00811E0E" w:rsidRPr="00BF1BFB">
        <w:rPr>
          <w:iCs/>
        </w:rPr>
        <w:t>in</w:t>
      </w:r>
      <w:r w:rsidR="00F96B2F" w:rsidRPr="00BF1BFB">
        <w:rPr>
          <w:iCs/>
        </w:rPr>
        <w:t xml:space="preserve"> </w:t>
      </w:r>
      <w:r w:rsidR="00811E0E" w:rsidRPr="00BF1BFB">
        <w:rPr>
          <w:iCs/>
        </w:rPr>
        <w:t>this</w:t>
      </w:r>
      <w:r w:rsidR="00F96B2F" w:rsidRPr="00BF1BFB">
        <w:rPr>
          <w:iCs/>
        </w:rPr>
        <w:t xml:space="preserve"> </w:t>
      </w:r>
      <w:r w:rsidR="00811E0E" w:rsidRPr="00BF1BFB">
        <w:rPr>
          <w:iCs/>
        </w:rPr>
        <w:t>paediatric</w:t>
      </w:r>
      <w:r w:rsidR="00F96B2F" w:rsidRPr="00BF1BFB">
        <w:rPr>
          <w:iCs/>
        </w:rPr>
        <w:t xml:space="preserve"> </w:t>
      </w:r>
      <w:r w:rsidR="00811E0E" w:rsidRPr="00BF1BFB">
        <w:rPr>
          <w:iCs/>
        </w:rPr>
        <w:t>population</w:t>
      </w:r>
      <w:r w:rsidRPr="00564A3F">
        <w:rPr>
          <w:iCs/>
        </w:rPr>
        <w:t xml:space="preserve"> </w:t>
      </w:r>
      <w:r>
        <w:rPr>
          <w:iCs/>
        </w:rPr>
        <w:t xml:space="preserve">is </w:t>
      </w:r>
      <w:r w:rsidRPr="00BF1BFB">
        <w:rPr>
          <w:iCs/>
        </w:rPr>
        <w:t>depend</w:t>
      </w:r>
      <w:r>
        <w:rPr>
          <w:iCs/>
        </w:rPr>
        <w:t>ent</w:t>
      </w:r>
      <w:r w:rsidRPr="00BF1BFB">
        <w:rPr>
          <w:iCs/>
        </w:rPr>
        <w:t xml:space="preserve"> on patient weight</w:t>
      </w:r>
      <w:r w:rsidR="00811E0E" w:rsidRPr="00BF1BFB">
        <w:rPr>
          <w:iCs/>
        </w:rPr>
        <w:t>.</w:t>
      </w:r>
      <w:r>
        <w:rPr>
          <w:iCs/>
        </w:rPr>
        <w:t xml:space="preserve"> The</w:t>
      </w:r>
      <w:r w:rsidR="00F96B2F" w:rsidRPr="00BF1BFB">
        <w:rPr>
          <w:iCs/>
        </w:rPr>
        <w:t xml:space="preserve"> </w:t>
      </w:r>
      <w:r>
        <w:rPr>
          <w:iCs/>
        </w:rPr>
        <w:t>c</w:t>
      </w:r>
      <w:r w:rsidRPr="00BF1BFB">
        <w:rPr>
          <w:iCs/>
        </w:rPr>
        <w:t xml:space="preserve">ost </w:t>
      </w:r>
      <w:r w:rsidR="00811E0E" w:rsidRPr="00BF1BFB">
        <w:rPr>
          <w:iCs/>
        </w:rPr>
        <w:t>per</w:t>
      </w:r>
      <w:r w:rsidR="00F96B2F" w:rsidRPr="00BF1BFB">
        <w:rPr>
          <w:iCs/>
        </w:rPr>
        <w:t xml:space="preserve"> </w:t>
      </w:r>
      <w:r w:rsidR="00811E0E" w:rsidRPr="00BF1BFB">
        <w:rPr>
          <w:iCs/>
        </w:rPr>
        <w:t>week</w:t>
      </w:r>
      <w:r w:rsidR="00F96B2F" w:rsidRPr="00BF1BFB">
        <w:rPr>
          <w:iCs/>
        </w:rPr>
        <w:t xml:space="preserve"> </w:t>
      </w:r>
      <w:r w:rsidR="00811E0E" w:rsidRPr="00BF1BFB">
        <w:rPr>
          <w:iCs/>
        </w:rPr>
        <w:t>was</w:t>
      </w:r>
      <w:r w:rsidR="00F96B2F" w:rsidRPr="00BF1BFB">
        <w:rPr>
          <w:iCs/>
        </w:rPr>
        <w:t xml:space="preserve"> </w:t>
      </w:r>
      <w:r w:rsidR="00811E0E" w:rsidRPr="00BF1BFB">
        <w:rPr>
          <w:iCs/>
        </w:rPr>
        <w:t>presented</w:t>
      </w:r>
      <w:r w:rsidR="00F96B2F" w:rsidRPr="00BF1BFB">
        <w:rPr>
          <w:iCs/>
        </w:rPr>
        <w:t xml:space="preserve"> </w:t>
      </w:r>
      <w:r w:rsidR="00811E0E" w:rsidRPr="00BF1BFB">
        <w:rPr>
          <w:iCs/>
        </w:rPr>
        <w:t>during</w:t>
      </w:r>
      <w:r w:rsidR="00F96B2F" w:rsidRPr="00BF1BFB">
        <w:rPr>
          <w:iCs/>
        </w:rPr>
        <w:t xml:space="preserve"> </w:t>
      </w:r>
      <w:r w:rsidR="00811E0E" w:rsidRPr="00BF1BFB">
        <w:rPr>
          <w:iCs/>
        </w:rPr>
        <w:t>the</w:t>
      </w:r>
      <w:r w:rsidR="00F96B2F" w:rsidRPr="00BF1BFB">
        <w:rPr>
          <w:iCs/>
        </w:rPr>
        <w:t xml:space="preserve"> </w:t>
      </w:r>
      <w:r w:rsidR="00811E0E" w:rsidRPr="00BF1BFB">
        <w:rPr>
          <w:iCs/>
        </w:rPr>
        <w:t>submission</w:t>
      </w:r>
      <w:r w:rsidR="00F96B2F" w:rsidRPr="00BF1BFB">
        <w:rPr>
          <w:iCs/>
        </w:rPr>
        <w:t xml:space="preserve"> </w:t>
      </w:r>
      <w:r w:rsidR="00811E0E" w:rsidRPr="00BF1BFB">
        <w:rPr>
          <w:iCs/>
        </w:rPr>
        <w:t>and</w:t>
      </w:r>
      <w:r w:rsidR="00F96B2F" w:rsidRPr="00BF1BFB">
        <w:rPr>
          <w:iCs/>
        </w:rPr>
        <w:t xml:space="preserve"> </w:t>
      </w:r>
      <w:r w:rsidR="00811E0E" w:rsidRPr="00BF1BFB">
        <w:rPr>
          <w:iCs/>
        </w:rPr>
        <w:t>calculated</w:t>
      </w:r>
      <w:r w:rsidR="00F96B2F" w:rsidRPr="00BF1BFB">
        <w:rPr>
          <w:iCs/>
        </w:rPr>
        <w:t xml:space="preserve"> </w:t>
      </w:r>
      <w:r w:rsidR="00811E0E" w:rsidRPr="00BF1BFB">
        <w:rPr>
          <w:iCs/>
        </w:rPr>
        <w:t>for</w:t>
      </w:r>
      <w:r w:rsidR="00F96B2F" w:rsidRPr="00BF1BFB">
        <w:rPr>
          <w:iCs/>
        </w:rPr>
        <w:t xml:space="preserve"> </w:t>
      </w:r>
      <w:r w:rsidR="00811E0E" w:rsidRPr="00BF1BFB">
        <w:rPr>
          <w:iCs/>
        </w:rPr>
        <w:t>additional</w:t>
      </w:r>
      <w:r w:rsidR="00F96B2F" w:rsidRPr="00BF1BFB">
        <w:rPr>
          <w:iCs/>
        </w:rPr>
        <w:t xml:space="preserve"> </w:t>
      </w:r>
      <w:r w:rsidR="00811E0E" w:rsidRPr="00BF1BFB">
        <w:rPr>
          <w:iCs/>
        </w:rPr>
        <w:t>child</w:t>
      </w:r>
      <w:r w:rsidR="00F96B2F" w:rsidRPr="00BF1BFB">
        <w:rPr>
          <w:iCs/>
        </w:rPr>
        <w:t xml:space="preserve"> </w:t>
      </w:r>
      <w:r w:rsidR="00811E0E" w:rsidRPr="00BF1BFB">
        <w:rPr>
          <w:iCs/>
        </w:rPr>
        <w:t>weights</w:t>
      </w:r>
      <w:r w:rsidR="00F96B2F" w:rsidRPr="00BF1BFB">
        <w:rPr>
          <w:iCs/>
        </w:rPr>
        <w:t xml:space="preserve"> </w:t>
      </w:r>
      <w:r w:rsidR="00811E0E" w:rsidRPr="00BF1BFB">
        <w:rPr>
          <w:iCs/>
        </w:rPr>
        <w:t>during</w:t>
      </w:r>
      <w:r w:rsidR="00F96B2F" w:rsidRPr="00BF1BFB">
        <w:rPr>
          <w:iCs/>
        </w:rPr>
        <w:t xml:space="preserve"> </w:t>
      </w:r>
      <w:r w:rsidR="00811E0E" w:rsidRPr="00BF1BFB">
        <w:rPr>
          <w:iCs/>
        </w:rPr>
        <w:t>the</w:t>
      </w:r>
      <w:r w:rsidR="00F96B2F" w:rsidRPr="00BF1BFB">
        <w:rPr>
          <w:iCs/>
        </w:rPr>
        <w:t xml:space="preserve"> </w:t>
      </w:r>
      <w:r w:rsidR="00811E0E" w:rsidRPr="00BF1BFB">
        <w:rPr>
          <w:iCs/>
        </w:rPr>
        <w:t>evaluation</w:t>
      </w:r>
      <w:r w:rsidR="00F96B2F" w:rsidRPr="00BF1BFB">
        <w:rPr>
          <w:iCs/>
        </w:rPr>
        <w:t xml:space="preserve"> </w:t>
      </w:r>
      <w:r w:rsidR="00811E0E" w:rsidRPr="00BF1BFB">
        <w:rPr>
          <w:iCs/>
        </w:rPr>
        <w:t>as</w:t>
      </w:r>
      <w:r w:rsidR="00F96B2F" w:rsidRPr="00BF1BFB">
        <w:rPr>
          <w:iCs/>
        </w:rPr>
        <w:t xml:space="preserve"> </w:t>
      </w:r>
      <w:r w:rsidR="00811E0E" w:rsidRPr="00BF1BFB">
        <w:rPr>
          <w:iCs/>
        </w:rPr>
        <w:t>presented</w:t>
      </w:r>
      <w:r w:rsidR="00F96B2F" w:rsidRPr="00BF1BFB">
        <w:rPr>
          <w:iCs/>
        </w:rPr>
        <w:t xml:space="preserve"> </w:t>
      </w:r>
      <w:r w:rsidR="00811E0E" w:rsidRPr="00BF1BFB">
        <w:rPr>
          <w:iCs/>
        </w:rPr>
        <w:t>in</w:t>
      </w:r>
      <w:r w:rsidR="00F96B2F" w:rsidRPr="00BF1BFB">
        <w:rPr>
          <w:iCs/>
        </w:rPr>
        <w:t xml:space="preserve"> </w:t>
      </w:r>
      <w:r w:rsidR="00811E0E" w:rsidRPr="00BF1BFB">
        <w:rPr>
          <w:iCs/>
        </w:rPr>
        <w:t>Table</w:t>
      </w:r>
      <w:r w:rsidR="00F96B2F" w:rsidRPr="00BF1BFB">
        <w:rPr>
          <w:iCs/>
        </w:rPr>
        <w:t xml:space="preserve"> </w:t>
      </w:r>
      <w:r w:rsidR="009A3C98" w:rsidRPr="00BF1BFB">
        <w:rPr>
          <w:iCs/>
        </w:rPr>
        <w:t>8</w:t>
      </w:r>
      <w:r w:rsidR="00811E0E" w:rsidRPr="00BF1BFB">
        <w:rPr>
          <w:iCs/>
        </w:rPr>
        <w:t>.</w:t>
      </w:r>
      <w:r w:rsidR="00F96B2F" w:rsidRPr="00BF1BFB">
        <w:rPr>
          <w:iCs/>
        </w:rPr>
        <w:t xml:space="preserve"> </w:t>
      </w:r>
      <w:r>
        <w:rPr>
          <w:iCs/>
        </w:rPr>
        <w:t>The c</w:t>
      </w:r>
      <w:r w:rsidRPr="00BF1BFB">
        <w:rPr>
          <w:iCs/>
        </w:rPr>
        <w:t xml:space="preserve">alculations </w:t>
      </w:r>
      <w:r w:rsidR="00811E0E" w:rsidRPr="00BF1BFB">
        <w:rPr>
          <w:iCs/>
        </w:rPr>
        <w:t>are</w:t>
      </w:r>
      <w:r w:rsidR="00F96B2F" w:rsidRPr="00BF1BFB">
        <w:rPr>
          <w:iCs/>
        </w:rPr>
        <w:t xml:space="preserve"> </w:t>
      </w:r>
      <w:r w:rsidR="00811E0E" w:rsidRPr="00BF1BFB">
        <w:rPr>
          <w:iCs/>
        </w:rPr>
        <w:t>shown</w:t>
      </w:r>
      <w:r w:rsidR="00F96B2F" w:rsidRPr="00BF1BFB">
        <w:rPr>
          <w:iCs/>
        </w:rPr>
        <w:t xml:space="preserve"> </w:t>
      </w:r>
      <w:r w:rsidR="00811E0E" w:rsidRPr="00BF1BFB">
        <w:rPr>
          <w:iCs/>
        </w:rPr>
        <w:t>for</w:t>
      </w:r>
      <w:r w:rsidR="00F96B2F" w:rsidRPr="00BF1BFB">
        <w:rPr>
          <w:iCs/>
        </w:rPr>
        <w:t xml:space="preserve"> </w:t>
      </w:r>
      <w:r w:rsidR="00811E0E" w:rsidRPr="00BF1BFB">
        <w:rPr>
          <w:iCs/>
        </w:rPr>
        <w:t>20</w:t>
      </w:r>
      <w:r w:rsidR="00197C64" w:rsidRPr="00BF1BFB">
        <w:rPr>
          <w:iCs/>
        </w:rPr>
        <w:t>-</w:t>
      </w:r>
      <w:r w:rsidR="00811E0E" w:rsidRPr="00BF1BFB">
        <w:rPr>
          <w:iCs/>
        </w:rPr>
        <w:t>kilogram</w:t>
      </w:r>
      <w:r>
        <w:rPr>
          <w:iCs/>
        </w:rPr>
        <w:t>s of</w:t>
      </w:r>
      <w:r w:rsidR="00F96B2F" w:rsidRPr="00BF1BFB">
        <w:rPr>
          <w:iCs/>
        </w:rPr>
        <w:t xml:space="preserve"> </w:t>
      </w:r>
      <w:r w:rsidR="00811E0E" w:rsidRPr="00BF1BFB">
        <w:rPr>
          <w:iCs/>
        </w:rPr>
        <w:t>body</w:t>
      </w:r>
      <w:r w:rsidR="00F96B2F" w:rsidRPr="00BF1BFB">
        <w:rPr>
          <w:iCs/>
        </w:rPr>
        <w:t xml:space="preserve"> </w:t>
      </w:r>
      <w:r w:rsidR="00811E0E" w:rsidRPr="00BF1BFB">
        <w:rPr>
          <w:iCs/>
        </w:rPr>
        <w:t>weight.</w:t>
      </w:r>
    </w:p>
    <w:p w14:paraId="1FDE1E20" w14:textId="4825AD5F" w:rsidR="00811E0E" w:rsidRPr="00E96E9F" w:rsidRDefault="00811E0E" w:rsidP="006D4B84">
      <w:pPr>
        <w:pStyle w:val="TableFigureHeading"/>
        <w:rPr>
          <w:rStyle w:val="CommentReference"/>
          <w:b/>
        </w:rPr>
      </w:pPr>
      <w:bookmarkStart w:id="30" w:name="_Toc22897647"/>
      <w:r w:rsidRPr="00E96E9F">
        <w:rPr>
          <w:rStyle w:val="CommentReference"/>
          <w:b/>
        </w:rPr>
        <w:t>Table</w:t>
      </w:r>
      <w:r w:rsidR="00F96B2F" w:rsidRPr="00E96E9F">
        <w:rPr>
          <w:rStyle w:val="CommentReference"/>
          <w:b/>
        </w:rPr>
        <w:t xml:space="preserve"> </w:t>
      </w:r>
      <w:r w:rsidR="00DB65AC" w:rsidRPr="00E96E9F">
        <w:rPr>
          <w:rStyle w:val="CommentReference"/>
          <w:b/>
          <w:bCs w:val="0"/>
        </w:rPr>
        <w:fldChar w:fldCharType="begin"/>
      </w:r>
      <w:r w:rsidR="00DB65AC" w:rsidRPr="00E96E9F">
        <w:rPr>
          <w:rStyle w:val="CommentReference"/>
          <w:b/>
          <w:bCs w:val="0"/>
        </w:rPr>
        <w:instrText xml:space="preserve"> SEQ Table \* ARABIC </w:instrText>
      </w:r>
      <w:r w:rsidR="00DB65AC" w:rsidRPr="00E96E9F">
        <w:rPr>
          <w:rStyle w:val="CommentReference"/>
          <w:b/>
          <w:bCs w:val="0"/>
        </w:rPr>
        <w:fldChar w:fldCharType="separate"/>
      </w:r>
      <w:r w:rsidR="005C48AC">
        <w:rPr>
          <w:rStyle w:val="CommentReference"/>
          <w:b/>
          <w:bCs w:val="0"/>
          <w:noProof/>
        </w:rPr>
        <w:t>8</w:t>
      </w:r>
      <w:r w:rsidR="00DB65AC" w:rsidRPr="00E96E9F">
        <w:rPr>
          <w:rStyle w:val="CommentReference"/>
          <w:b/>
          <w:bCs w:val="0"/>
        </w:rPr>
        <w:fldChar w:fldCharType="end"/>
      </w:r>
      <w:r w:rsidRPr="00E96E9F">
        <w:rPr>
          <w:rStyle w:val="CommentReference"/>
          <w:b/>
          <w:bCs w:val="0"/>
        </w:rPr>
        <w:t>:</w:t>
      </w:r>
      <w:r w:rsidR="00F96B2F" w:rsidRPr="00E96E9F">
        <w:rPr>
          <w:rStyle w:val="CommentReference"/>
          <w:b/>
        </w:rPr>
        <w:t xml:space="preserve"> </w:t>
      </w:r>
      <w:proofErr w:type="spellStart"/>
      <w:r w:rsidRPr="00E96E9F">
        <w:rPr>
          <w:rStyle w:val="CommentReference"/>
          <w:b/>
        </w:rPr>
        <w:t>Somatrogon</w:t>
      </w:r>
      <w:proofErr w:type="spellEnd"/>
      <w:r w:rsidR="00F96B2F" w:rsidRPr="00E96E9F">
        <w:rPr>
          <w:rStyle w:val="CommentReference"/>
          <w:b/>
        </w:rPr>
        <w:t xml:space="preserve"> </w:t>
      </w:r>
      <w:r w:rsidRPr="00E96E9F">
        <w:rPr>
          <w:rStyle w:val="CommentReference"/>
          <w:b/>
        </w:rPr>
        <w:t>and</w:t>
      </w:r>
      <w:r w:rsidR="00F96B2F" w:rsidRPr="00E96E9F">
        <w:rPr>
          <w:rStyle w:val="CommentReference"/>
          <w:b/>
        </w:rPr>
        <w:t xml:space="preserve"> </w:t>
      </w:r>
      <w:r w:rsidRPr="00E96E9F">
        <w:rPr>
          <w:rStyle w:val="CommentReference"/>
          <w:b/>
        </w:rPr>
        <w:t>somatropin</w:t>
      </w:r>
      <w:r w:rsidR="00F96B2F" w:rsidRPr="00E96E9F">
        <w:rPr>
          <w:rStyle w:val="CommentReference"/>
          <w:b/>
        </w:rPr>
        <w:t xml:space="preserve"> </w:t>
      </w:r>
      <w:r w:rsidRPr="00E96E9F">
        <w:rPr>
          <w:rStyle w:val="CommentReference"/>
          <w:b/>
        </w:rPr>
        <w:t>patient</w:t>
      </w:r>
      <w:r w:rsidR="00F96B2F" w:rsidRPr="00E96E9F">
        <w:rPr>
          <w:rStyle w:val="CommentReference"/>
          <w:b/>
        </w:rPr>
        <w:t xml:space="preserve"> </w:t>
      </w:r>
      <w:r w:rsidRPr="00E96E9F">
        <w:rPr>
          <w:rStyle w:val="CommentReference"/>
          <w:b/>
        </w:rPr>
        <w:t>weight,</w:t>
      </w:r>
      <w:r w:rsidR="00F96B2F" w:rsidRPr="00E96E9F">
        <w:rPr>
          <w:rStyle w:val="CommentReference"/>
          <w:b/>
        </w:rPr>
        <w:t xml:space="preserve"> </w:t>
      </w:r>
      <w:r w:rsidRPr="00E96E9F">
        <w:rPr>
          <w:rStyle w:val="CommentReference"/>
          <w:b/>
        </w:rPr>
        <w:t>cost</w:t>
      </w:r>
      <w:r w:rsidR="00F96B2F" w:rsidRPr="00E96E9F">
        <w:rPr>
          <w:rStyle w:val="CommentReference"/>
          <w:b/>
        </w:rPr>
        <w:t xml:space="preserve"> </w:t>
      </w:r>
      <w:r w:rsidRPr="00E96E9F">
        <w:rPr>
          <w:rStyle w:val="CommentReference"/>
          <w:b/>
        </w:rPr>
        <w:t>per</w:t>
      </w:r>
      <w:r w:rsidR="00F96B2F" w:rsidRPr="00E96E9F">
        <w:rPr>
          <w:rStyle w:val="CommentReference"/>
          <w:b/>
        </w:rPr>
        <w:t xml:space="preserve"> </w:t>
      </w:r>
      <w:r w:rsidRPr="00E96E9F">
        <w:rPr>
          <w:rStyle w:val="CommentReference"/>
          <w:b/>
        </w:rPr>
        <w:t>mg,</w:t>
      </w:r>
      <w:r w:rsidR="00F96B2F" w:rsidRPr="00E96E9F">
        <w:rPr>
          <w:rStyle w:val="CommentReference"/>
          <w:b/>
        </w:rPr>
        <w:t xml:space="preserve"> </w:t>
      </w:r>
      <w:r w:rsidRPr="00E96E9F">
        <w:rPr>
          <w:rStyle w:val="CommentReference"/>
          <w:b/>
        </w:rPr>
        <w:t>cost</w:t>
      </w:r>
      <w:r w:rsidR="00F96B2F" w:rsidRPr="00E96E9F">
        <w:rPr>
          <w:rStyle w:val="CommentReference"/>
          <w:b/>
        </w:rPr>
        <w:t xml:space="preserve"> </w:t>
      </w:r>
      <w:r w:rsidRPr="00E96E9F">
        <w:rPr>
          <w:rStyle w:val="CommentReference"/>
          <w:b/>
        </w:rPr>
        <w:t>per</w:t>
      </w:r>
      <w:r w:rsidR="00F96B2F" w:rsidRPr="00E96E9F">
        <w:rPr>
          <w:rStyle w:val="CommentReference"/>
          <w:b/>
        </w:rPr>
        <w:t xml:space="preserve"> </w:t>
      </w:r>
      <w:r w:rsidRPr="00E96E9F">
        <w:rPr>
          <w:rStyle w:val="CommentReference"/>
          <w:b/>
        </w:rPr>
        <w:t>week</w:t>
      </w:r>
    </w:p>
    <w:tbl>
      <w:tblPr>
        <w:tblStyle w:val="TableGrid"/>
        <w:tblW w:w="5000" w:type="pct"/>
        <w:tblLook w:val="04A0" w:firstRow="1" w:lastRow="0" w:firstColumn="1" w:lastColumn="0" w:noHBand="0" w:noVBand="1"/>
        <w:tblCaption w:val="Table 8: Somatrogon and somatropin patient weight, cost per mg, cost per week"/>
      </w:tblPr>
      <w:tblGrid>
        <w:gridCol w:w="4106"/>
        <w:gridCol w:w="22"/>
        <w:gridCol w:w="2530"/>
        <w:gridCol w:w="2359"/>
      </w:tblGrid>
      <w:tr w:rsidR="00811E0E" w:rsidRPr="00E96E9F" w14:paraId="679DC93C" w14:textId="77777777" w:rsidTr="00CF047E">
        <w:tc>
          <w:tcPr>
            <w:tcW w:w="2289" w:type="pct"/>
            <w:gridSpan w:val="2"/>
          </w:tcPr>
          <w:p w14:paraId="2736669A" w14:textId="3D61789D" w:rsidR="00811E0E" w:rsidRPr="00E96E9F" w:rsidRDefault="00811E0E" w:rsidP="00CF047E">
            <w:pPr>
              <w:pStyle w:val="TableText0"/>
              <w:keepLines/>
              <w:rPr>
                <w:b/>
                <w:bCs w:val="0"/>
              </w:rPr>
            </w:pPr>
            <w:r w:rsidRPr="00E96E9F">
              <w:rPr>
                <w:b/>
                <w:bCs w:val="0"/>
              </w:rPr>
              <w:t>Component</w:t>
            </w:r>
            <w:r w:rsidR="00F96B2F" w:rsidRPr="00E96E9F">
              <w:rPr>
                <w:b/>
                <w:bCs w:val="0"/>
              </w:rPr>
              <w:t xml:space="preserve"> </w:t>
            </w:r>
          </w:p>
        </w:tc>
        <w:tc>
          <w:tcPr>
            <w:tcW w:w="1403" w:type="pct"/>
          </w:tcPr>
          <w:p w14:paraId="6D0AE587" w14:textId="77777777" w:rsidR="00811E0E" w:rsidRPr="00E96E9F" w:rsidRDefault="00811E0E" w:rsidP="00CF047E">
            <w:pPr>
              <w:pStyle w:val="TableText0"/>
              <w:keepLines/>
              <w:rPr>
                <w:b/>
              </w:rPr>
            </w:pPr>
            <w:proofErr w:type="spellStart"/>
            <w:r w:rsidRPr="00E96E9F">
              <w:rPr>
                <w:b/>
              </w:rPr>
              <w:t>Somatrogon</w:t>
            </w:r>
            <w:proofErr w:type="spellEnd"/>
          </w:p>
        </w:tc>
        <w:tc>
          <w:tcPr>
            <w:tcW w:w="1308" w:type="pct"/>
            <w:vAlign w:val="center"/>
          </w:tcPr>
          <w:p w14:paraId="5614661A" w14:textId="77777777" w:rsidR="00811E0E" w:rsidRPr="00E96E9F" w:rsidRDefault="00811E0E" w:rsidP="00CF047E">
            <w:pPr>
              <w:pStyle w:val="TableText0"/>
              <w:keepLines/>
              <w:rPr>
                <w:b/>
              </w:rPr>
            </w:pPr>
            <w:r w:rsidRPr="00E96E9F">
              <w:rPr>
                <w:b/>
              </w:rPr>
              <w:t>Somatropin</w:t>
            </w:r>
          </w:p>
        </w:tc>
      </w:tr>
      <w:tr w:rsidR="00811E0E" w:rsidRPr="00E96E9F" w14:paraId="7573D85E" w14:textId="77777777" w:rsidTr="00CF047E">
        <w:tc>
          <w:tcPr>
            <w:tcW w:w="2289" w:type="pct"/>
            <w:gridSpan w:val="2"/>
          </w:tcPr>
          <w:p w14:paraId="2B3E022D" w14:textId="4C8D61BA" w:rsidR="00811E0E" w:rsidRPr="00E96E9F" w:rsidRDefault="00811E0E" w:rsidP="00CF047E">
            <w:pPr>
              <w:pStyle w:val="TableText0"/>
              <w:keepLines/>
              <w:rPr>
                <w:b/>
                <w:bCs w:val="0"/>
              </w:rPr>
            </w:pPr>
            <w:r w:rsidRPr="00E96E9F">
              <w:t>Cost</w:t>
            </w:r>
            <w:r w:rsidR="00F96B2F" w:rsidRPr="00E96E9F">
              <w:t xml:space="preserve"> </w:t>
            </w:r>
            <w:r w:rsidRPr="00E96E9F">
              <w:t>per</w:t>
            </w:r>
            <w:r w:rsidR="00F96B2F" w:rsidRPr="00E96E9F">
              <w:t xml:space="preserve"> </w:t>
            </w:r>
            <w:r w:rsidRPr="00E96E9F">
              <w:t>mg</w:t>
            </w:r>
            <w:r w:rsidR="00F96B2F" w:rsidRPr="00E96E9F">
              <w:t xml:space="preserve"> </w:t>
            </w:r>
            <w:r w:rsidRPr="00E96E9F">
              <w:t>(B)</w:t>
            </w:r>
          </w:p>
        </w:tc>
        <w:tc>
          <w:tcPr>
            <w:tcW w:w="1403" w:type="pct"/>
            <w:vAlign w:val="center"/>
          </w:tcPr>
          <w:p w14:paraId="04E64A19" w14:textId="77777777" w:rsidR="00811E0E" w:rsidRPr="00E96E9F" w:rsidRDefault="00811E0E" w:rsidP="00CF047E">
            <w:pPr>
              <w:pStyle w:val="TableText0"/>
              <w:keepLines/>
              <w:rPr>
                <w:b/>
              </w:rPr>
            </w:pPr>
            <w:r w:rsidRPr="00E96E9F">
              <w:t>$</w:t>
            </w:r>
            <w:r w:rsidRPr="00747476">
              <w:t>14.99</w:t>
            </w:r>
          </w:p>
        </w:tc>
        <w:tc>
          <w:tcPr>
            <w:tcW w:w="1308" w:type="pct"/>
            <w:vAlign w:val="center"/>
          </w:tcPr>
          <w:p w14:paraId="11B55B14" w14:textId="77777777" w:rsidR="00811E0E" w:rsidRPr="00E96E9F" w:rsidRDefault="00811E0E" w:rsidP="00CF047E">
            <w:pPr>
              <w:pStyle w:val="TableText0"/>
              <w:keepLines/>
              <w:rPr>
                <w:b/>
              </w:rPr>
            </w:pPr>
            <w:r w:rsidRPr="00E96E9F">
              <w:t>$41.58</w:t>
            </w:r>
          </w:p>
        </w:tc>
      </w:tr>
      <w:tr w:rsidR="00811E0E" w:rsidRPr="00E96E9F" w14:paraId="4F49DE1F" w14:textId="77777777" w:rsidTr="00CF047E">
        <w:tc>
          <w:tcPr>
            <w:tcW w:w="2289" w:type="pct"/>
            <w:gridSpan w:val="2"/>
          </w:tcPr>
          <w:p w14:paraId="784080A3" w14:textId="13F15739" w:rsidR="00811E0E" w:rsidRPr="00E96E9F" w:rsidRDefault="00811E0E" w:rsidP="00CF047E">
            <w:pPr>
              <w:pStyle w:val="TableText0"/>
              <w:keepLines/>
              <w:rPr>
                <w:b/>
                <w:bCs w:val="0"/>
              </w:rPr>
            </w:pPr>
            <w:r w:rsidRPr="00E96E9F">
              <w:t>Dose</w:t>
            </w:r>
            <w:r w:rsidR="00F96B2F" w:rsidRPr="00E96E9F">
              <w:t xml:space="preserve"> </w:t>
            </w:r>
            <w:r w:rsidRPr="00E96E9F">
              <w:t>(mg)</w:t>
            </w:r>
            <w:r w:rsidR="00F96B2F" w:rsidRPr="00E96E9F">
              <w:t xml:space="preserve"> </w:t>
            </w:r>
            <w:r w:rsidRPr="00E96E9F">
              <w:t>per</w:t>
            </w:r>
            <w:r w:rsidR="00F96B2F" w:rsidRPr="00E96E9F">
              <w:t xml:space="preserve"> </w:t>
            </w:r>
            <w:r w:rsidRPr="00E96E9F">
              <w:t>kg</w:t>
            </w:r>
            <w:r w:rsidR="00F96B2F" w:rsidRPr="00E96E9F">
              <w:t xml:space="preserve"> </w:t>
            </w:r>
            <w:r w:rsidRPr="00E96E9F">
              <w:t>per</w:t>
            </w:r>
            <w:r w:rsidR="00F96B2F" w:rsidRPr="00E96E9F">
              <w:t xml:space="preserve"> </w:t>
            </w:r>
            <w:r w:rsidRPr="00E96E9F">
              <w:t>week</w:t>
            </w:r>
            <w:r w:rsidR="00F96B2F" w:rsidRPr="00E96E9F">
              <w:t xml:space="preserve"> </w:t>
            </w:r>
            <w:r w:rsidRPr="00E96E9F">
              <w:t>(C)</w:t>
            </w:r>
          </w:p>
        </w:tc>
        <w:tc>
          <w:tcPr>
            <w:tcW w:w="1403" w:type="pct"/>
            <w:vAlign w:val="center"/>
          </w:tcPr>
          <w:p w14:paraId="5D93DC08" w14:textId="77777777" w:rsidR="00811E0E" w:rsidRPr="00E96E9F" w:rsidRDefault="00811E0E" w:rsidP="00CF047E">
            <w:pPr>
              <w:pStyle w:val="TableText0"/>
              <w:keepLines/>
              <w:rPr>
                <w:b/>
              </w:rPr>
            </w:pPr>
            <w:r w:rsidRPr="00E96E9F">
              <w:t>0.66</w:t>
            </w:r>
          </w:p>
        </w:tc>
        <w:tc>
          <w:tcPr>
            <w:tcW w:w="1308" w:type="pct"/>
            <w:vAlign w:val="center"/>
          </w:tcPr>
          <w:p w14:paraId="0C6D11A0" w14:textId="77777777" w:rsidR="00811E0E" w:rsidRPr="00E96E9F" w:rsidRDefault="00811E0E" w:rsidP="00CF047E">
            <w:pPr>
              <w:pStyle w:val="TableText0"/>
              <w:keepLines/>
              <w:rPr>
                <w:b/>
              </w:rPr>
            </w:pPr>
            <w:r w:rsidRPr="00E96E9F">
              <w:t>0.238</w:t>
            </w:r>
          </w:p>
        </w:tc>
      </w:tr>
      <w:tr w:rsidR="00811E0E" w:rsidRPr="00E96E9F" w14:paraId="770852A5" w14:textId="77777777" w:rsidTr="00CF047E">
        <w:tc>
          <w:tcPr>
            <w:tcW w:w="5000" w:type="pct"/>
            <w:gridSpan w:val="4"/>
          </w:tcPr>
          <w:p w14:paraId="5FDB318A" w14:textId="413A9E1C" w:rsidR="00811E0E" w:rsidRPr="00E96E9F" w:rsidRDefault="00811E0E" w:rsidP="00CF047E">
            <w:pPr>
              <w:pStyle w:val="TableText0"/>
              <w:keepLines/>
              <w:rPr>
                <w:b/>
                <w:bCs w:val="0"/>
              </w:rPr>
            </w:pPr>
            <w:r w:rsidRPr="00E96E9F">
              <w:rPr>
                <w:b/>
                <w:bCs w:val="0"/>
              </w:rPr>
              <w:t>20</w:t>
            </w:r>
            <w:r w:rsidR="00F96B2F" w:rsidRPr="00E96E9F">
              <w:rPr>
                <w:b/>
                <w:bCs w:val="0"/>
              </w:rPr>
              <w:t xml:space="preserve"> </w:t>
            </w:r>
            <w:r w:rsidRPr="00E96E9F">
              <w:rPr>
                <w:b/>
                <w:bCs w:val="0"/>
              </w:rPr>
              <w:t>kg</w:t>
            </w:r>
            <w:r w:rsidR="00F96B2F" w:rsidRPr="00E96E9F">
              <w:rPr>
                <w:b/>
                <w:bCs w:val="0"/>
              </w:rPr>
              <w:t xml:space="preserve"> </w:t>
            </w:r>
            <w:r w:rsidRPr="00E96E9F">
              <w:rPr>
                <w:b/>
                <w:bCs w:val="0"/>
              </w:rPr>
              <w:t>body</w:t>
            </w:r>
            <w:r w:rsidR="00F96B2F" w:rsidRPr="00E96E9F">
              <w:rPr>
                <w:b/>
                <w:bCs w:val="0"/>
              </w:rPr>
              <w:t xml:space="preserve"> </w:t>
            </w:r>
            <w:r w:rsidRPr="00E96E9F">
              <w:rPr>
                <w:b/>
                <w:bCs w:val="0"/>
              </w:rPr>
              <w:t>weight</w:t>
            </w:r>
            <w:r w:rsidR="00F96B2F" w:rsidRPr="00E96E9F">
              <w:rPr>
                <w:b/>
                <w:bCs w:val="0"/>
              </w:rPr>
              <w:t xml:space="preserve"> </w:t>
            </w:r>
            <w:r w:rsidRPr="00E96E9F">
              <w:rPr>
                <w:b/>
                <w:bCs w:val="0"/>
              </w:rPr>
              <w:t>patient</w:t>
            </w:r>
            <w:r w:rsidR="00F96B2F" w:rsidRPr="00E96E9F">
              <w:rPr>
                <w:b/>
                <w:bCs w:val="0"/>
              </w:rPr>
              <w:t xml:space="preserve"> </w:t>
            </w:r>
            <w:r w:rsidRPr="00E96E9F">
              <w:rPr>
                <w:b/>
                <w:bCs w:val="0"/>
              </w:rPr>
              <w:t>(A)</w:t>
            </w:r>
          </w:p>
        </w:tc>
      </w:tr>
      <w:tr w:rsidR="00811E0E" w:rsidRPr="00E96E9F" w14:paraId="3CBE326F" w14:textId="77777777" w:rsidTr="00CF047E">
        <w:tc>
          <w:tcPr>
            <w:tcW w:w="2289" w:type="pct"/>
            <w:gridSpan w:val="2"/>
          </w:tcPr>
          <w:p w14:paraId="15578A24" w14:textId="65EB39BE" w:rsidR="00811E0E" w:rsidRPr="00E96E9F" w:rsidRDefault="00811E0E" w:rsidP="00CF047E">
            <w:pPr>
              <w:pStyle w:val="TableText0"/>
            </w:pPr>
            <w:r w:rsidRPr="00E96E9F">
              <w:t>Dose</w:t>
            </w:r>
            <w:r w:rsidR="00F96B2F" w:rsidRPr="00E96E9F">
              <w:t xml:space="preserve"> </w:t>
            </w:r>
            <w:r w:rsidRPr="00E96E9F">
              <w:t>(mg)</w:t>
            </w:r>
            <w:r w:rsidR="00F96B2F" w:rsidRPr="00E96E9F">
              <w:t xml:space="preserve"> </w:t>
            </w:r>
            <w:r w:rsidRPr="00E96E9F">
              <w:t>per</w:t>
            </w:r>
            <w:r w:rsidR="00F96B2F" w:rsidRPr="00E96E9F">
              <w:t xml:space="preserve"> </w:t>
            </w:r>
            <w:r w:rsidRPr="00E96E9F">
              <w:t>week</w:t>
            </w:r>
            <w:r w:rsidR="00F96B2F" w:rsidRPr="00E96E9F">
              <w:t xml:space="preserve"> </w:t>
            </w:r>
            <w:r w:rsidRPr="00E96E9F">
              <w:t>(A</w:t>
            </w:r>
            <w:r w:rsidR="00F96B2F" w:rsidRPr="00E96E9F">
              <w:t xml:space="preserve"> </w:t>
            </w:r>
            <w:r w:rsidRPr="00E96E9F">
              <w:t>x</w:t>
            </w:r>
            <w:r w:rsidR="00F96B2F" w:rsidRPr="00E96E9F">
              <w:t xml:space="preserve"> </w:t>
            </w:r>
            <w:r w:rsidRPr="00E96E9F">
              <w:t>C)</w:t>
            </w:r>
          </w:p>
        </w:tc>
        <w:tc>
          <w:tcPr>
            <w:tcW w:w="1403" w:type="pct"/>
            <w:vAlign w:val="center"/>
          </w:tcPr>
          <w:p w14:paraId="5A5B46D7" w14:textId="77777777" w:rsidR="00811E0E" w:rsidRPr="00747476" w:rsidRDefault="00811E0E" w:rsidP="00CF047E">
            <w:pPr>
              <w:pStyle w:val="TableText0"/>
            </w:pPr>
            <w:r w:rsidRPr="00747476">
              <w:t>13.2</w:t>
            </w:r>
          </w:p>
        </w:tc>
        <w:tc>
          <w:tcPr>
            <w:tcW w:w="1308" w:type="pct"/>
            <w:vAlign w:val="center"/>
          </w:tcPr>
          <w:p w14:paraId="7AB9960C" w14:textId="77777777" w:rsidR="00811E0E" w:rsidRPr="00E96E9F" w:rsidRDefault="00811E0E" w:rsidP="00CF047E">
            <w:pPr>
              <w:pStyle w:val="TableText0"/>
            </w:pPr>
            <w:r w:rsidRPr="00E96E9F">
              <w:t>4.76</w:t>
            </w:r>
          </w:p>
        </w:tc>
      </w:tr>
      <w:tr w:rsidR="00811E0E" w:rsidRPr="00E96E9F" w14:paraId="0EAC89A6" w14:textId="77777777" w:rsidTr="00CF047E">
        <w:tc>
          <w:tcPr>
            <w:tcW w:w="2289" w:type="pct"/>
            <w:gridSpan w:val="2"/>
          </w:tcPr>
          <w:p w14:paraId="67A1B1B3" w14:textId="4B8A7058" w:rsidR="00811E0E" w:rsidRPr="00E96E9F" w:rsidRDefault="00811E0E" w:rsidP="00CF047E">
            <w:pPr>
              <w:pStyle w:val="TableText0"/>
            </w:pPr>
            <w:r w:rsidRPr="00E96E9F">
              <w:t>Cost</w:t>
            </w:r>
            <w:r w:rsidR="00F96B2F" w:rsidRPr="00E96E9F">
              <w:t xml:space="preserve"> </w:t>
            </w:r>
            <w:r w:rsidRPr="00E96E9F">
              <w:t>per</w:t>
            </w:r>
            <w:r w:rsidR="00F96B2F" w:rsidRPr="00E96E9F">
              <w:t xml:space="preserve"> </w:t>
            </w:r>
            <w:r w:rsidRPr="00E96E9F">
              <w:t>week</w:t>
            </w:r>
            <w:r w:rsidR="00F96B2F" w:rsidRPr="00E96E9F">
              <w:t xml:space="preserve"> </w:t>
            </w:r>
            <w:r w:rsidRPr="00E96E9F">
              <w:t>((A</w:t>
            </w:r>
            <w:r w:rsidR="00F96B2F" w:rsidRPr="00E96E9F">
              <w:t xml:space="preserve"> </w:t>
            </w:r>
            <w:r w:rsidRPr="00E96E9F">
              <w:t>x</w:t>
            </w:r>
            <w:r w:rsidR="00F96B2F" w:rsidRPr="00E96E9F">
              <w:t xml:space="preserve"> </w:t>
            </w:r>
            <w:r w:rsidRPr="00E96E9F">
              <w:t>C)</w:t>
            </w:r>
            <w:r w:rsidR="00F96B2F" w:rsidRPr="00E96E9F">
              <w:t xml:space="preserve"> </w:t>
            </w:r>
            <w:r w:rsidRPr="00E96E9F">
              <w:t>x</w:t>
            </w:r>
            <w:r w:rsidR="00F96B2F" w:rsidRPr="00E96E9F">
              <w:t xml:space="preserve"> </w:t>
            </w:r>
            <w:r w:rsidRPr="00E96E9F">
              <w:t>B)</w:t>
            </w:r>
          </w:p>
        </w:tc>
        <w:tc>
          <w:tcPr>
            <w:tcW w:w="1403" w:type="pct"/>
            <w:vAlign w:val="center"/>
          </w:tcPr>
          <w:p w14:paraId="412B1704" w14:textId="77777777" w:rsidR="00811E0E" w:rsidRPr="00747476" w:rsidRDefault="00811E0E" w:rsidP="00CF047E">
            <w:pPr>
              <w:pStyle w:val="TableText0"/>
            </w:pPr>
            <w:r w:rsidRPr="00747476">
              <w:t>$197.92</w:t>
            </w:r>
          </w:p>
        </w:tc>
        <w:tc>
          <w:tcPr>
            <w:tcW w:w="1308" w:type="pct"/>
            <w:vAlign w:val="center"/>
          </w:tcPr>
          <w:p w14:paraId="2D1EB904" w14:textId="77777777" w:rsidR="00811E0E" w:rsidRPr="00E96E9F" w:rsidRDefault="00811E0E" w:rsidP="00CF047E">
            <w:pPr>
              <w:pStyle w:val="TableText0"/>
            </w:pPr>
            <w:r w:rsidRPr="00E96E9F">
              <w:t>$197.92</w:t>
            </w:r>
          </w:p>
        </w:tc>
      </w:tr>
      <w:tr w:rsidR="00811E0E" w:rsidRPr="00E96E9F" w14:paraId="2C19E17B" w14:textId="77777777" w:rsidTr="00CF047E">
        <w:tc>
          <w:tcPr>
            <w:tcW w:w="5000" w:type="pct"/>
            <w:gridSpan w:val="4"/>
          </w:tcPr>
          <w:p w14:paraId="0C296BD1" w14:textId="7164C25C" w:rsidR="00811E0E" w:rsidRPr="00747476" w:rsidRDefault="00811E0E" w:rsidP="00BF1BFB">
            <w:pPr>
              <w:pStyle w:val="In-tableHeading"/>
            </w:pPr>
            <w:r w:rsidRPr="00747476">
              <w:t>15kg</w:t>
            </w:r>
            <w:r w:rsidR="00F96B2F" w:rsidRPr="00747476">
              <w:t xml:space="preserve"> </w:t>
            </w:r>
            <w:r w:rsidRPr="00747476">
              <w:t>body</w:t>
            </w:r>
            <w:r w:rsidR="00F96B2F" w:rsidRPr="00747476">
              <w:t xml:space="preserve"> </w:t>
            </w:r>
            <w:r w:rsidRPr="00747476">
              <w:t>weight</w:t>
            </w:r>
            <w:r w:rsidR="00F96B2F" w:rsidRPr="00747476">
              <w:t xml:space="preserve"> </w:t>
            </w:r>
            <w:r w:rsidRPr="00747476">
              <w:t>patient</w:t>
            </w:r>
            <w:r w:rsidR="00F96B2F" w:rsidRPr="00747476">
              <w:t xml:space="preserve"> </w:t>
            </w:r>
          </w:p>
        </w:tc>
      </w:tr>
      <w:tr w:rsidR="006D4B84" w:rsidRPr="00E96E9F" w14:paraId="49EFEC77" w14:textId="77777777" w:rsidTr="00211DD3">
        <w:trPr>
          <w:trHeight w:val="248"/>
        </w:trPr>
        <w:tc>
          <w:tcPr>
            <w:tcW w:w="2277" w:type="pct"/>
          </w:tcPr>
          <w:p w14:paraId="459A6E61" w14:textId="7697745D" w:rsidR="006D4B84" w:rsidRPr="00BF1BFB" w:rsidRDefault="006D4B84" w:rsidP="006D4B84">
            <w:pPr>
              <w:pStyle w:val="TableText0"/>
            </w:pPr>
            <w:r w:rsidRPr="00BF1BFB">
              <w:t xml:space="preserve">Dose (mg) per week </w:t>
            </w:r>
          </w:p>
        </w:tc>
        <w:tc>
          <w:tcPr>
            <w:tcW w:w="1415" w:type="pct"/>
            <w:gridSpan w:val="2"/>
            <w:vAlign w:val="center"/>
          </w:tcPr>
          <w:p w14:paraId="50894D3E" w14:textId="2B5815CA" w:rsidR="006D4B84" w:rsidRPr="00747476" w:rsidRDefault="006D4B84" w:rsidP="006D4B84">
            <w:pPr>
              <w:pStyle w:val="TableText0"/>
            </w:pPr>
            <w:r w:rsidRPr="00747476">
              <w:t xml:space="preserve">9.9 </w:t>
            </w:r>
          </w:p>
        </w:tc>
        <w:tc>
          <w:tcPr>
            <w:tcW w:w="1308" w:type="pct"/>
            <w:vAlign w:val="center"/>
          </w:tcPr>
          <w:p w14:paraId="7D6C9729" w14:textId="6D489F8D" w:rsidR="006D4B84" w:rsidRPr="00BF1BFB" w:rsidRDefault="006D4B84" w:rsidP="006D4B84">
            <w:pPr>
              <w:pStyle w:val="TableText0"/>
            </w:pPr>
            <w:r w:rsidRPr="00BF1BFB">
              <w:t xml:space="preserve">3.57 </w:t>
            </w:r>
          </w:p>
        </w:tc>
      </w:tr>
      <w:tr w:rsidR="006D4B84" w:rsidRPr="00E96E9F" w14:paraId="0245F9E6" w14:textId="77777777" w:rsidTr="00211DD3">
        <w:trPr>
          <w:trHeight w:val="238"/>
        </w:trPr>
        <w:tc>
          <w:tcPr>
            <w:tcW w:w="2277" w:type="pct"/>
          </w:tcPr>
          <w:p w14:paraId="7FC0DFE2" w14:textId="161DD4C5" w:rsidR="006D4B84" w:rsidRPr="00BF1BFB" w:rsidRDefault="006D4B84" w:rsidP="006D4B84">
            <w:pPr>
              <w:pStyle w:val="TableText0"/>
            </w:pPr>
            <w:r w:rsidRPr="00BF1BFB">
              <w:t xml:space="preserve">Cost per week </w:t>
            </w:r>
          </w:p>
        </w:tc>
        <w:tc>
          <w:tcPr>
            <w:tcW w:w="1415" w:type="pct"/>
            <w:gridSpan w:val="2"/>
            <w:vAlign w:val="center"/>
          </w:tcPr>
          <w:p w14:paraId="2559D997" w14:textId="11783674" w:rsidR="006D4B84" w:rsidRPr="00747476" w:rsidRDefault="006D4B84" w:rsidP="006D4B84">
            <w:pPr>
              <w:pStyle w:val="TableText0"/>
            </w:pPr>
            <w:r w:rsidRPr="00747476">
              <w:t xml:space="preserve">$148.40 </w:t>
            </w:r>
          </w:p>
        </w:tc>
        <w:tc>
          <w:tcPr>
            <w:tcW w:w="1308" w:type="pct"/>
            <w:vAlign w:val="center"/>
          </w:tcPr>
          <w:p w14:paraId="7389A32D" w14:textId="4BCDAC0C" w:rsidR="006D4B84" w:rsidRPr="00BF1BFB" w:rsidRDefault="006D4B84" w:rsidP="006D4B84">
            <w:pPr>
              <w:pStyle w:val="TableText0"/>
            </w:pPr>
            <w:r w:rsidRPr="00BF1BFB">
              <w:t xml:space="preserve">$148.44 </w:t>
            </w:r>
          </w:p>
        </w:tc>
      </w:tr>
      <w:tr w:rsidR="006D4B84" w:rsidRPr="00E96E9F" w14:paraId="36354F1D" w14:textId="77777777" w:rsidTr="00211DD3">
        <w:trPr>
          <w:trHeight w:val="238"/>
        </w:trPr>
        <w:tc>
          <w:tcPr>
            <w:tcW w:w="2277" w:type="pct"/>
          </w:tcPr>
          <w:p w14:paraId="179C5DA2" w14:textId="2C4E3322" w:rsidR="006D4B84" w:rsidRPr="00BF1BFB" w:rsidRDefault="006D4B84" w:rsidP="006D4B84">
            <w:pPr>
              <w:pStyle w:val="TableText0"/>
            </w:pPr>
            <w:r w:rsidRPr="00BF1BFB">
              <w:t>Difference in cost per week compared to 20kg</w:t>
            </w:r>
          </w:p>
        </w:tc>
        <w:tc>
          <w:tcPr>
            <w:tcW w:w="1415" w:type="pct"/>
            <w:gridSpan w:val="2"/>
            <w:vAlign w:val="center"/>
          </w:tcPr>
          <w:p w14:paraId="64C0BC6F" w14:textId="4F0C72F9" w:rsidR="006D4B84" w:rsidRPr="00747476" w:rsidRDefault="006D4B84" w:rsidP="006D4B84">
            <w:pPr>
              <w:pStyle w:val="TableText0"/>
            </w:pPr>
            <w:r w:rsidRPr="00747476">
              <w:t xml:space="preserve">-$0.04 </w:t>
            </w:r>
          </w:p>
        </w:tc>
        <w:tc>
          <w:tcPr>
            <w:tcW w:w="1308" w:type="pct"/>
            <w:vAlign w:val="center"/>
          </w:tcPr>
          <w:p w14:paraId="5190AC78" w14:textId="2BA38935" w:rsidR="006D4B84" w:rsidRPr="00BF1BFB" w:rsidRDefault="006D4B84" w:rsidP="006D4B84">
            <w:pPr>
              <w:pStyle w:val="TableText0"/>
            </w:pPr>
            <w:r w:rsidRPr="00BF1BFB">
              <w:t xml:space="preserve">$- </w:t>
            </w:r>
          </w:p>
        </w:tc>
      </w:tr>
      <w:tr w:rsidR="006D4B84" w:rsidRPr="00E96E9F" w14:paraId="588D15B6" w14:textId="77777777" w:rsidTr="006D4B84">
        <w:trPr>
          <w:trHeight w:val="238"/>
        </w:trPr>
        <w:tc>
          <w:tcPr>
            <w:tcW w:w="2277" w:type="pct"/>
          </w:tcPr>
          <w:p w14:paraId="5D1EF081" w14:textId="3BD38C6C" w:rsidR="006D4B84" w:rsidRPr="006D4B84" w:rsidRDefault="006D4B84" w:rsidP="006D4B84">
            <w:pPr>
              <w:pStyle w:val="In-tableHeading"/>
            </w:pPr>
            <w:r w:rsidRPr="006D4B84">
              <w:t xml:space="preserve">30kg body weight patient </w:t>
            </w:r>
          </w:p>
        </w:tc>
        <w:tc>
          <w:tcPr>
            <w:tcW w:w="1415" w:type="pct"/>
            <w:gridSpan w:val="2"/>
          </w:tcPr>
          <w:p w14:paraId="06FD6753" w14:textId="77777777" w:rsidR="006D4B84" w:rsidRPr="00747476" w:rsidRDefault="006D4B84" w:rsidP="006D4B84">
            <w:pPr>
              <w:pStyle w:val="TableText0"/>
            </w:pPr>
          </w:p>
        </w:tc>
        <w:tc>
          <w:tcPr>
            <w:tcW w:w="1308" w:type="pct"/>
          </w:tcPr>
          <w:p w14:paraId="3628DC02" w14:textId="26FD43CE" w:rsidR="006D4B84" w:rsidRPr="00BF1BFB" w:rsidRDefault="006D4B84" w:rsidP="006D4B84">
            <w:pPr>
              <w:pStyle w:val="TableText0"/>
            </w:pPr>
          </w:p>
        </w:tc>
      </w:tr>
      <w:tr w:rsidR="006D4B84" w:rsidRPr="00E96E9F" w14:paraId="4A098D21" w14:textId="77777777" w:rsidTr="00211DD3">
        <w:trPr>
          <w:trHeight w:val="238"/>
        </w:trPr>
        <w:tc>
          <w:tcPr>
            <w:tcW w:w="2277" w:type="pct"/>
          </w:tcPr>
          <w:p w14:paraId="1D8EA4F3" w14:textId="3DBEE0BA" w:rsidR="006D4B84" w:rsidRPr="006D4B84" w:rsidRDefault="006D4B84" w:rsidP="006D4B84">
            <w:pPr>
              <w:pStyle w:val="TableText0"/>
            </w:pPr>
            <w:r w:rsidRPr="006D4B84">
              <w:t xml:space="preserve">Dose (mg) per week </w:t>
            </w:r>
          </w:p>
        </w:tc>
        <w:tc>
          <w:tcPr>
            <w:tcW w:w="1415" w:type="pct"/>
            <w:gridSpan w:val="2"/>
            <w:vAlign w:val="center"/>
          </w:tcPr>
          <w:p w14:paraId="045AB5CE" w14:textId="5EC02313" w:rsidR="006D4B84" w:rsidRPr="00747476" w:rsidRDefault="006D4B84" w:rsidP="006D4B84">
            <w:pPr>
              <w:pStyle w:val="TableText0"/>
            </w:pPr>
            <w:r w:rsidRPr="00747476">
              <w:t xml:space="preserve">19.8 </w:t>
            </w:r>
          </w:p>
        </w:tc>
        <w:tc>
          <w:tcPr>
            <w:tcW w:w="1308" w:type="pct"/>
            <w:vAlign w:val="center"/>
          </w:tcPr>
          <w:p w14:paraId="3786D0EB" w14:textId="0C0E7223" w:rsidR="006D4B84" w:rsidRPr="00BF1BFB" w:rsidRDefault="006D4B84" w:rsidP="006D4B84">
            <w:pPr>
              <w:pStyle w:val="TableText0"/>
            </w:pPr>
            <w:r w:rsidRPr="00BF1BFB">
              <w:t xml:space="preserve">7.14 </w:t>
            </w:r>
          </w:p>
        </w:tc>
      </w:tr>
      <w:tr w:rsidR="006D4B84" w:rsidRPr="00E96E9F" w14:paraId="76FC2392" w14:textId="77777777" w:rsidTr="00211DD3">
        <w:trPr>
          <w:trHeight w:val="238"/>
        </w:trPr>
        <w:tc>
          <w:tcPr>
            <w:tcW w:w="2277" w:type="pct"/>
          </w:tcPr>
          <w:p w14:paraId="2A2DB09B" w14:textId="213D6137" w:rsidR="006D4B84" w:rsidRPr="006D4B84" w:rsidRDefault="006D4B84" w:rsidP="006D4B84">
            <w:pPr>
              <w:pStyle w:val="TableText0"/>
            </w:pPr>
            <w:r w:rsidRPr="006D4B84">
              <w:t xml:space="preserve">Cost per week </w:t>
            </w:r>
          </w:p>
        </w:tc>
        <w:tc>
          <w:tcPr>
            <w:tcW w:w="1415" w:type="pct"/>
            <w:gridSpan w:val="2"/>
            <w:vAlign w:val="center"/>
          </w:tcPr>
          <w:p w14:paraId="35DCE893" w14:textId="4AC72CCF" w:rsidR="006D4B84" w:rsidRPr="00747476" w:rsidRDefault="006D4B84" w:rsidP="006D4B84">
            <w:pPr>
              <w:pStyle w:val="TableText0"/>
            </w:pPr>
            <w:r w:rsidRPr="00747476">
              <w:t xml:space="preserve">$296.80 </w:t>
            </w:r>
          </w:p>
        </w:tc>
        <w:tc>
          <w:tcPr>
            <w:tcW w:w="1308" w:type="pct"/>
            <w:vAlign w:val="center"/>
          </w:tcPr>
          <w:p w14:paraId="6B7808F2" w14:textId="560ED305" w:rsidR="006D4B84" w:rsidRPr="00BF1BFB" w:rsidRDefault="006D4B84" w:rsidP="006D4B84">
            <w:pPr>
              <w:pStyle w:val="TableText0"/>
            </w:pPr>
            <w:r w:rsidRPr="00BF1BFB">
              <w:t xml:space="preserve">$296.88 </w:t>
            </w:r>
          </w:p>
        </w:tc>
      </w:tr>
      <w:tr w:rsidR="006D4B84" w:rsidRPr="00E96E9F" w14:paraId="536F0ED6" w14:textId="77777777" w:rsidTr="00211DD3">
        <w:trPr>
          <w:trHeight w:val="238"/>
        </w:trPr>
        <w:tc>
          <w:tcPr>
            <w:tcW w:w="2277" w:type="pct"/>
          </w:tcPr>
          <w:p w14:paraId="23C4569D" w14:textId="11C24E25" w:rsidR="006D4B84" w:rsidRPr="006D4B84" w:rsidRDefault="006D4B84" w:rsidP="006D4B84">
            <w:pPr>
              <w:pStyle w:val="TableText0"/>
            </w:pPr>
            <w:r w:rsidRPr="006D4B84">
              <w:t>Difference in cost per week compared to 20kg</w:t>
            </w:r>
          </w:p>
        </w:tc>
        <w:tc>
          <w:tcPr>
            <w:tcW w:w="1415" w:type="pct"/>
            <w:gridSpan w:val="2"/>
            <w:vAlign w:val="center"/>
          </w:tcPr>
          <w:p w14:paraId="3E3B9403" w14:textId="663CA76C" w:rsidR="006D4B84" w:rsidRPr="00747476" w:rsidRDefault="006D4B84" w:rsidP="006D4B84">
            <w:pPr>
              <w:pStyle w:val="TableText0"/>
            </w:pPr>
            <w:r w:rsidRPr="00747476">
              <w:t xml:space="preserve">-$0.08 </w:t>
            </w:r>
          </w:p>
        </w:tc>
        <w:tc>
          <w:tcPr>
            <w:tcW w:w="1308" w:type="pct"/>
            <w:vAlign w:val="center"/>
          </w:tcPr>
          <w:p w14:paraId="41ED9B63" w14:textId="3FEFCD1A" w:rsidR="006D4B84" w:rsidRPr="00BF1BFB" w:rsidRDefault="006D4B84" w:rsidP="006D4B84">
            <w:pPr>
              <w:pStyle w:val="TableText0"/>
            </w:pPr>
            <w:r w:rsidRPr="00BF1BFB">
              <w:t xml:space="preserve">$- </w:t>
            </w:r>
          </w:p>
        </w:tc>
      </w:tr>
      <w:tr w:rsidR="006D4B84" w:rsidRPr="00E96E9F" w14:paraId="1AA73738" w14:textId="77777777" w:rsidTr="006D4B84">
        <w:trPr>
          <w:trHeight w:val="238"/>
        </w:trPr>
        <w:tc>
          <w:tcPr>
            <w:tcW w:w="2277" w:type="pct"/>
          </w:tcPr>
          <w:p w14:paraId="6971736D" w14:textId="6D9C2360" w:rsidR="006D4B84" w:rsidRPr="00BF1BFB" w:rsidRDefault="006D4B84" w:rsidP="006D4B84">
            <w:pPr>
              <w:pStyle w:val="In-tableHeading"/>
            </w:pPr>
            <w:r w:rsidRPr="00BF1BFB">
              <w:t xml:space="preserve">50kg body weight patient </w:t>
            </w:r>
          </w:p>
        </w:tc>
        <w:tc>
          <w:tcPr>
            <w:tcW w:w="1415" w:type="pct"/>
            <w:gridSpan w:val="2"/>
          </w:tcPr>
          <w:p w14:paraId="40661CF3" w14:textId="77777777" w:rsidR="006D4B84" w:rsidRPr="00747476" w:rsidRDefault="006D4B84" w:rsidP="006D4B84">
            <w:pPr>
              <w:pStyle w:val="TableText0"/>
            </w:pPr>
          </w:p>
        </w:tc>
        <w:tc>
          <w:tcPr>
            <w:tcW w:w="1308" w:type="pct"/>
          </w:tcPr>
          <w:p w14:paraId="66991AD4" w14:textId="6D9ADF32" w:rsidR="006D4B84" w:rsidRPr="00BF1BFB" w:rsidRDefault="006D4B84" w:rsidP="006D4B84">
            <w:pPr>
              <w:pStyle w:val="TableText0"/>
            </w:pPr>
          </w:p>
        </w:tc>
      </w:tr>
      <w:tr w:rsidR="006D4B84" w:rsidRPr="00E96E9F" w14:paraId="01AB3FD9" w14:textId="77777777" w:rsidTr="00211DD3">
        <w:trPr>
          <w:trHeight w:val="238"/>
        </w:trPr>
        <w:tc>
          <w:tcPr>
            <w:tcW w:w="2277" w:type="pct"/>
          </w:tcPr>
          <w:p w14:paraId="659DBE73" w14:textId="1A061E47" w:rsidR="006D4B84" w:rsidRPr="00BF1BFB" w:rsidRDefault="006D4B84" w:rsidP="006D4B84">
            <w:pPr>
              <w:pStyle w:val="TableText0"/>
            </w:pPr>
            <w:r w:rsidRPr="00BF1BFB">
              <w:t xml:space="preserve">Dose (mg) per week </w:t>
            </w:r>
          </w:p>
        </w:tc>
        <w:tc>
          <w:tcPr>
            <w:tcW w:w="1415" w:type="pct"/>
            <w:gridSpan w:val="2"/>
            <w:vAlign w:val="center"/>
          </w:tcPr>
          <w:p w14:paraId="6FA0243B" w14:textId="77C43BC4" w:rsidR="006D4B84" w:rsidRPr="00747476" w:rsidRDefault="006D4B84" w:rsidP="006D4B84">
            <w:pPr>
              <w:pStyle w:val="TableText0"/>
            </w:pPr>
            <w:r w:rsidRPr="00747476">
              <w:t xml:space="preserve">33.0 </w:t>
            </w:r>
          </w:p>
        </w:tc>
        <w:tc>
          <w:tcPr>
            <w:tcW w:w="1308" w:type="pct"/>
            <w:vAlign w:val="center"/>
          </w:tcPr>
          <w:p w14:paraId="1BFE3105" w14:textId="3E35D453" w:rsidR="006D4B84" w:rsidRPr="00BF1BFB" w:rsidRDefault="006D4B84" w:rsidP="006D4B84">
            <w:pPr>
              <w:pStyle w:val="TableText0"/>
            </w:pPr>
            <w:r w:rsidRPr="00BF1BFB">
              <w:t xml:space="preserve">11.9 </w:t>
            </w:r>
          </w:p>
        </w:tc>
      </w:tr>
      <w:tr w:rsidR="006D4B84" w:rsidRPr="00E96E9F" w14:paraId="6D0FEB6B" w14:textId="77777777" w:rsidTr="00211DD3">
        <w:trPr>
          <w:trHeight w:val="238"/>
        </w:trPr>
        <w:tc>
          <w:tcPr>
            <w:tcW w:w="2277" w:type="pct"/>
          </w:tcPr>
          <w:p w14:paraId="4338D7BC" w14:textId="321F5363" w:rsidR="006D4B84" w:rsidRPr="00BF1BFB" w:rsidRDefault="006D4B84" w:rsidP="006D4B84">
            <w:pPr>
              <w:pStyle w:val="TableText0"/>
            </w:pPr>
            <w:r w:rsidRPr="00BF1BFB">
              <w:t xml:space="preserve">Cost per week </w:t>
            </w:r>
          </w:p>
        </w:tc>
        <w:tc>
          <w:tcPr>
            <w:tcW w:w="1415" w:type="pct"/>
            <w:gridSpan w:val="2"/>
            <w:vAlign w:val="center"/>
          </w:tcPr>
          <w:p w14:paraId="76B9252E" w14:textId="76CED1A1" w:rsidR="006D4B84" w:rsidRPr="00747476" w:rsidRDefault="006D4B84" w:rsidP="006D4B84">
            <w:pPr>
              <w:pStyle w:val="TableText0"/>
            </w:pPr>
            <w:r w:rsidRPr="00747476">
              <w:t xml:space="preserve">$494.67 </w:t>
            </w:r>
          </w:p>
        </w:tc>
        <w:tc>
          <w:tcPr>
            <w:tcW w:w="1308" w:type="pct"/>
            <w:vAlign w:val="center"/>
          </w:tcPr>
          <w:p w14:paraId="21BD0FB2" w14:textId="774D176E" w:rsidR="006D4B84" w:rsidRPr="00BF1BFB" w:rsidRDefault="006D4B84" w:rsidP="006D4B84">
            <w:pPr>
              <w:pStyle w:val="TableText0"/>
            </w:pPr>
            <w:r w:rsidRPr="00BF1BFB">
              <w:t xml:space="preserve">$494.80 </w:t>
            </w:r>
          </w:p>
        </w:tc>
      </w:tr>
      <w:tr w:rsidR="006D4B84" w:rsidRPr="00E96E9F" w14:paraId="768F6515" w14:textId="77777777" w:rsidTr="00211DD3">
        <w:trPr>
          <w:trHeight w:val="238"/>
        </w:trPr>
        <w:tc>
          <w:tcPr>
            <w:tcW w:w="2277" w:type="pct"/>
          </w:tcPr>
          <w:p w14:paraId="7A69344F" w14:textId="6388C03C" w:rsidR="006D4B84" w:rsidRPr="00BF1BFB" w:rsidRDefault="006D4B84" w:rsidP="006D4B84">
            <w:pPr>
              <w:pStyle w:val="TableText0"/>
            </w:pPr>
            <w:r w:rsidRPr="00BF1BFB">
              <w:t>Difference in cost per week compared to 20kg</w:t>
            </w:r>
          </w:p>
        </w:tc>
        <w:tc>
          <w:tcPr>
            <w:tcW w:w="1415" w:type="pct"/>
            <w:gridSpan w:val="2"/>
            <w:vAlign w:val="center"/>
          </w:tcPr>
          <w:p w14:paraId="3108AF83" w14:textId="10439F95" w:rsidR="006D4B84" w:rsidRPr="00747476" w:rsidRDefault="006D4B84" w:rsidP="006D4B84">
            <w:pPr>
              <w:pStyle w:val="TableText0"/>
            </w:pPr>
            <w:r w:rsidRPr="00747476">
              <w:t xml:space="preserve">-$0.13 </w:t>
            </w:r>
          </w:p>
        </w:tc>
        <w:tc>
          <w:tcPr>
            <w:tcW w:w="1308" w:type="pct"/>
            <w:vAlign w:val="center"/>
          </w:tcPr>
          <w:p w14:paraId="16C74ADB" w14:textId="0D4DCC2E" w:rsidR="006D4B84" w:rsidRPr="00BF1BFB" w:rsidRDefault="006D4B84" w:rsidP="006D4B84">
            <w:pPr>
              <w:pStyle w:val="TableText0"/>
            </w:pPr>
            <w:r w:rsidRPr="00BF1BFB">
              <w:t>$-</w:t>
            </w:r>
          </w:p>
        </w:tc>
      </w:tr>
    </w:tbl>
    <w:p w14:paraId="1B921D7F" w14:textId="77777777" w:rsidR="00E5129A" w:rsidRPr="00BF1BFB" w:rsidRDefault="00811E0E" w:rsidP="00811E0E">
      <w:pPr>
        <w:pStyle w:val="TableFigureFooter"/>
        <w:rPr>
          <w:iCs/>
        </w:rPr>
      </w:pPr>
      <w:r w:rsidRPr="00E96E9F">
        <w:t>Source:</w:t>
      </w:r>
      <w:r w:rsidR="00F96B2F" w:rsidRPr="00E96E9F">
        <w:t xml:space="preserve"> </w:t>
      </w:r>
      <w:proofErr w:type="spellStart"/>
      <w:r w:rsidRPr="00E96E9F">
        <w:t>Somatrogon</w:t>
      </w:r>
      <w:proofErr w:type="spellEnd"/>
      <w:r w:rsidR="00F96B2F" w:rsidRPr="00E96E9F">
        <w:t xml:space="preserve"> </w:t>
      </w:r>
      <w:r w:rsidRPr="00E96E9F">
        <w:t>CMA</w:t>
      </w:r>
      <w:r w:rsidR="00F96B2F" w:rsidRPr="00E96E9F">
        <w:t xml:space="preserve"> </w:t>
      </w:r>
      <w:r w:rsidRPr="00E96E9F">
        <w:t>spreadsheet,</w:t>
      </w:r>
      <w:r w:rsidR="00F96B2F" w:rsidRPr="00E96E9F">
        <w:t xml:space="preserve"> </w:t>
      </w:r>
      <w:r w:rsidRPr="00E96E9F">
        <w:t>sheet</w:t>
      </w:r>
      <w:r w:rsidR="00F96B2F" w:rsidRPr="00E96E9F">
        <w:t xml:space="preserve"> </w:t>
      </w:r>
      <w:r w:rsidRPr="00E96E9F">
        <w:t>1</w:t>
      </w:r>
      <w:r w:rsidR="00F96B2F" w:rsidRPr="00E96E9F">
        <w:t xml:space="preserve"> </w:t>
      </w:r>
      <w:r w:rsidRPr="00E96E9F">
        <w:t>“CMA</w:t>
      </w:r>
      <w:r w:rsidR="00F96B2F" w:rsidRPr="00E96E9F">
        <w:t xml:space="preserve"> </w:t>
      </w:r>
      <w:r w:rsidRPr="00E96E9F">
        <w:t>calculations”,</w:t>
      </w:r>
      <w:r w:rsidR="00F96B2F" w:rsidRPr="00E96E9F">
        <w:t xml:space="preserve"> </w:t>
      </w:r>
      <w:r w:rsidRPr="00E96E9F">
        <w:t>p176</w:t>
      </w:r>
      <w:r w:rsidR="00F96B2F" w:rsidRPr="00E96E9F">
        <w:t xml:space="preserve"> </w:t>
      </w:r>
      <w:r w:rsidRPr="00E96E9F">
        <w:t>of</w:t>
      </w:r>
      <w:r w:rsidR="00F96B2F" w:rsidRPr="00E96E9F">
        <w:t xml:space="preserve"> </w:t>
      </w:r>
      <w:r w:rsidRPr="00E96E9F">
        <w:t>the</w:t>
      </w:r>
      <w:r w:rsidR="00F96B2F" w:rsidRPr="00E96E9F">
        <w:t xml:space="preserve"> </w:t>
      </w:r>
      <w:r w:rsidRPr="00E96E9F">
        <w:t>submission</w:t>
      </w:r>
      <w:r w:rsidR="00F96B2F" w:rsidRPr="00E96E9F">
        <w:t xml:space="preserve"> </w:t>
      </w:r>
      <w:r w:rsidRPr="00BF1BFB">
        <w:rPr>
          <w:iCs/>
        </w:rPr>
        <w:t>and</w:t>
      </w:r>
      <w:r w:rsidR="00F96B2F" w:rsidRPr="00BF1BFB">
        <w:rPr>
          <w:iCs/>
        </w:rPr>
        <w:t xml:space="preserve"> </w:t>
      </w:r>
      <w:r w:rsidRPr="00BF1BFB">
        <w:rPr>
          <w:iCs/>
        </w:rPr>
        <w:t>added</w:t>
      </w:r>
      <w:r w:rsidR="00F96B2F" w:rsidRPr="00BF1BFB">
        <w:rPr>
          <w:iCs/>
        </w:rPr>
        <w:t xml:space="preserve"> </w:t>
      </w:r>
      <w:r w:rsidRPr="00BF1BFB">
        <w:rPr>
          <w:iCs/>
        </w:rPr>
        <w:t>during</w:t>
      </w:r>
      <w:r w:rsidR="00F96B2F" w:rsidRPr="00BF1BFB">
        <w:rPr>
          <w:iCs/>
        </w:rPr>
        <w:t xml:space="preserve"> </w:t>
      </w:r>
      <w:r w:rsidRPr="00BF1BFB">
        <w:rPr>
          <w:iCs/>
        </w:rPr>
        <w:t>the</w:t>
      </w:r>
      <w:r w:rsidR="00F96B2F" w:rsidRPr="00BF1BFB">
        <w:rPr>
          <w:iCs/>
        </w:rPr>
        <w:t xml:space="preserve"> </w:t>
      </w:r>
      <w:r w:rsidRPr="00BF1BFB">
        <w:rPr>
          <w:iCs/>
        </w:rPr>
        <w:t>evaluation</w:t>
      </w:r>
      <w:r w:rsidR="00F96B2F" w:rsidRPr="00BF1BFB">
        <w:rPr>
          <w:iCs/>
        </w:rPr>
        <w:t xml:space="preserve"> </w:t>
      </w:r>
      <w:r w:rsidRPr="00BF1BFB">
        <w:rPr>
          <w:iCs/>
        </w:rPr>
        <w:t>for</w:t>
      </w:r>
      <w:r w:rsidR="00F96B2F" w:rsidRPr="00BF1BFB">
        <w:rPr>
          <w:iCs/>
        </w:rPr>
        <w:t xml:space="preserve"> </w:t>
      </w:r>
      <w:r w:rsidRPr="00BF1BFB">
        <w:rPr>
          <w:iCs/>
        </w:rPr>
        <w:t>additional</w:t>
      </w:r>
      <w:r w:rsidR="00F96B2F" w:rsidRPr="00BF1BFB">
        <w:rPr>
          <w:iCs/>
        </w:rPr>
        <w:t xml:space="preserve"> </w:t>
      </w:r>
      <w:r w:rsidRPr="00BF1BFB">
        <w:rPr>
          <w:iCs/>
        </w:rPr>
        <w:t>body</w:t>
      </w:r>
      <w:r w:rsidR="00F96B2F" w:rsidRPr="00BF1BFB">
        <w:rPr>
          <w:iCs/>
        </w:rPr>
        <w:t xml:space="preserve"> </w:t>
      </w:r>
      <w:r w:rsidRPr="00BF1BFB">
        <w:rPr>
          <w:iCs/>
        </w:rPr>
        <w:t>weights.</w:t>
      </w:r>
    </w:p>
    <w:p w14:paraId="38B169DD" w14:textId="778563A4" w:rsidR="00811E0E" w:rsidRPr="00E96E9F" w:rsidRDefault="00811E0E" w:rsidP="00811E0E">
      <w:pPr>
        <w:pStyle w:val="TableFigureFooter"/>
      </w:pPr>
      <w:r w:rsidRPr="00E96E9F">
        <w:t>kg</w:t>
      </w:r>
      <w:r w:rsidR="00F96B2F" w:rsidRPr="00E96E9F">
        <w:t xml:space="preserve"> </w:t>
      </w:r>
      <w:r w:rsidRPr="00E96E9F">
        <w:t>=</w:t>
      </w:r>
      <w:r w:rsidR="00F96B2F" w:rsidRPr="00E96E9F">
        <w:t xml:space="preserve"> </w:t>
      </w:r>
      <w:r w:rsidRPr="00E96E9F">
        <w:t>kilograms;</w:t>
      </w:r>
      <w:r w:rsidR="00F96B2F" w:rsidRPr="00E96E9F">
        <w:t xml:space="preserve"> </w:t>
      </w:r>
      <w:r w:rsidRPr="00E96E9F">
        <w:t>mg</w:t>
      </w:r>
      <w:r w:rsidR="00F96B2F" w:rsidRPr="00E96E9F">
        <w:t xml:space="preserve"> </w:t>
      </w:r>
      <w:r w:rsidRPr="00E96E9F">
        <w:t>=</w:t>
      </w:r>
      <w:r w:rsidR="00F96B2F" w:rsidRPr="00E96E9F">
        <w:t xml:space="preserve"> </w:t>
      </w:r>
      <w:r w:rsidRPr="00E96E9F">
        <w:t>milligrams</w:t>
      </w:r>
    </w:p>
    <w:p w14:paraId="222BA8E3" w14:textId="6ED13EAE" w:rsidR="00811E0E" w:rsidRPr="00BF1BFB" w:rsidRDefault="00811E0E" w:rsidP="00811E0E">
      <w:pPr>
        <w:pStyle w:val="3-BodyText"/>
        <w:rPr>
          <w:iCs/>
        </w:rPr>
      </w:pPr>
      <w:r w:rsidRPr="00BF1BFB">
        <w:rPr>
          <w:iCs/>
        </w:rPr>
        <w:lastRenderedPageBreak/>
        <w:t>These</w:t>
      </w:r>
      <w:r w:rsidR="00F96B2F" w:rsidRPr="00BF1BFB">
        <w:rPr>
          <w:iCs/>
        </w:rPr>
        <w:t xml:space="preserve"> </w:t>
      </w:r>
      <w:r w:rsidRPr="00747476">
        <w:rPr>
          <w:iCs/>
        </w:rPr>
        <w:t>estimates</w:t>
      </w:r>
      <w:r w:rsidR="00F96B2F" w:rsidRPr="00747476">
        <w:rPr>
          <w:iCs/>
        </w:rPr>
        <w:t xml:space="preserve"> </w:t>
      </w:r>
      <w:r w:rsidRPr="00747476">
        <w:rPr>
          <w:iCs/>
        </w:rPr>
        <w:t>translate</w:t>
      </w:r>
      <w:r w:rsidR="00F96B2F" w:rsidRPr="00747476">
        <w:rPr>
          <w:iCs/>
        </w:rPr>
        <w:t xml:space="preserve"> </w:t>
      </w:r>
      <w:r w:rsidRPr="00747476">
        <w:rPr>
          <w:iCs/>
        </w:rPr>
        <w:t>into</w:t>
      </w:r>
      <w:r w:rsidR="00F96B2F" w:rsidRPr="00747476">
        <w:rPr>
          <w:iCs/>
        </w:rPr>
        <w:t xml:space="preserve"> </w:t>
      </w:r>
      <w:r w:rsidRPr="00747476">
        <w:rPr>
          <w:iCs/>
        </w:rPr>
        <w:t>a</w:t>
      </w:r>
      <w:r w:rsidR="00F96B2F" w:rsidRPr="00747476">
        <w:rPr>
          <w:iCs/>
        </w:rPr>
        <w:t xml:space="preserve"> </w:t>
      </w:r>
      <w:proofErr w:type="spellStart"/>
      <w:r w:rsidRPr="00747476">
        <w:rPr>
          <w:iCs/>
        </w:rPr>
        <w:t>somatrogon</w:t>
      </w:r>
      <w:proofErr w:type="spellEnd"/>
      <w:r w:rsidR="00F96B2F" w:rsidRPr="00747476">
        <w:rPr>
          <w:iCs/>
        </w:rPr>
        <w:t xml:space="preserve"> </w:t>
      </w:r>
      <w:r w:rsidRPr="00747476">
        <w:rPr>
          <w:iCs/>
        </w:rPr>
        <w:t>cost</w:t>
      </w:r>
      <w:r w:rsidR="00F96B2F" w:rsidRPr="00747476">
        <w:rPr>
          <w:iCs/>
        </w:rPr>
        <w:t xml:space="preserve"> </w:t>
      </w:r>
      <w:r w:rsidRPr="00747476">
        <w:rPr>
          <w:iCs/>
        </w:rPr>
        <w:t>per</w:t>
      </w:r>
      <w:r w:rsidR="00F96B2F" w:rsidRPr="00747476">
        <w:rPr>
          <w:iCs/>
        </w:rPr>
        <w:t xml:space="preserve"> </w:t>
      </w:r>
      <w:r w:rsidRPr="00747476">
        <w:rPr>
          <w:iCs/>
        </w:rPr>
        <w:t>year</w:t>
      </w:r>
      <w:r w:rsidR="00F96B2F" w:rsidRPr="00747476">
        <w:rPr>
          <w:iCs/>
        </w:rPr>
        <w:t xml:space="preserve"> </w:t>
      </w:r>
      <w:r w:rsidRPr="00747476">
        <w:rPr>
          <w:iCs/>
        </w:rPr>
        <w:t>(cost</w:t>
      </w:r>
      <w:r w:rsidR="00F96B2F" w:rsidRPr="00747476">
        <w:rPr>
          <w:iCs/>
        </w:rPr>
        <w:t xml:space="preserve"> </w:t>
      </w:r>
      <w:r w:rsidRPr="00747476">
        <w:rPr>
          <w:iCs/>
        </w:rPr>
        <w:t>per</w:t>
      </w:r>
      <w:r w:rsidR="00F96B2F" w:rsidRPr="00747476">
        <w:rPr>
          <w:iCs/>
        </w:rPr>
        <w:t xml:space="preserve"> </w:t>
      </w:r>
      <w:r w:rsidRPr="00747476">
        <w:rPr>
          <w:iCs/>
        </w:rPr>
        <w:t>week</w:t>
      </w:r>
      <w:r w:rsidR="00F96B2F" w:rsidRPr="00747476">
        <w:rPr>
          <w:iCs/>
        </w:rPr>
        <w:t xml:space="preserve"> </w:t>
      </w:r>
      <w:r w:rsidRPr="00747476">
        <w:rPr>
          <w:iCs/>
        </w:rPr>
        <w:t>multiplied</w:t>
      </w:r>
      <w:r w:rsidR="00F96B2F" w:rsidRPr="00747476">
        <w:rPr>
          <w:iCs/>
        </w:rPr>
        <w:t xml:space="preserve"> </w:t>
      </w:r>
      <w:r w:rsidRPr="00747476">
        <w:rPr>
          <w:iCs/>
        </w:rPr>
        <w:t>by</w:t>
      </w:r>
      <w:r w:rsidR="00F96B2F" w:rsidRPr="00747476">
        <w:rPr>
          <w:iCs/>
        </w:rPr>
        <w:t xml:space="preserve"> </w:t>
      </w:r>
      <w:r w:rsidRPr="00747476">
        <w:rPr>
          <w:iCs/>
        </w:rPr>
        <w:t>52</w:t>
      </w:r>
      <w:r w:rsidR="00F96B2F" w:rsidRPr="00747476">
        <w:rPr>
          <w:iCs/>
        </w:rPr>
        <w:t xml:space="preserve"> </w:t>
      </w:r>
      <w:r w:rsidRPr="00747476">
        <w:rPr>
          <w:iCs/>
        </w:rPr>
        <w:t>weeks)</w:t>
      </w:r>
      <w:r w:rsidR="00F96B2F" w:rsidRPr="00747476">
        <w:rPr>
          <w:iCs/>
        </w:rPr>
        <w:t xml:space="preserve"> </w:t>
      </w:r>
      <w:r w:rsidRPr="00747476">
        <w:rPr>
          <w:iCs/>
        </w:rPr>
        <w:t>of</w:t>
      </w:r>
      <w:r w:rsidR="00F96B2F" w:rsidRPr="00747476">
        <w:rPr>
          <w:iCs/>
        </w:rPr>
        <w:t xml:space="preserve"> </w:t>
      </w:r>
      <w:r w:rsidRPr="00747476">
        <w:rPr>
          <w:iCs/>
        </w:rPr>
        <w:t>$7,716.80</w:t>
      </w:r>
      <w:r w:rsidR="00F96B2F" w:rsidRPr="00747476">
        <w:rPr>
          <w:iCs/>
        </w:rPr>
        <w:t xml:space="preserve"> </w:t>
      </w:r>
      <w:r w:rsidRPr="00747476">
        <w:rPr>
          <w:iCs/>
        </w:rPr>
        <w:t>for</w:t>
      </w:r>
      <w:r w:rsidR="00F96B2F" w:rsidRPr="00747476">
        <w:rPr>
          <w:iCs/>
        </w:rPr>
        <w:t xml:space="preserve"> </w:t>
      </w:r>
      <w:r w:rsidRPr="00747476">
        <w:rPr>
          <w:iCs/>
        </w:rPr>
        <w:t>a</w:t>
      </w:r>
      <w:r w:rsidR="00F96B2F" w:rsidRPr="00747476">
        <w:rPr>
          <w:iCs/>
        </w:rPr>
        <w:t xml:space="preserve"> </w:t>
      </w:r>
      <w:r w:rsidRPr="00747476">
        <w:rPr>
          <w:iCs/>
        </w:rPr>
        <w:t>15</w:t>
      </w:r>
      <w:r w:rsidR="001C6736" w:rsidRPr="00747476">
        <w:rPr>
          <w:iCs/>
        </w:rPr>
        <w:t xml:space="preserve"> </w:t>
      </w:r>
      <w:r w:rsidRPr="00747476">
        <w:rPr>
          <w:iCs/>
        </w:rPr>
        <w:t>kg</w:t>
      </w:r>
      <w:r w:rsidR="00F96B2F" w:rsidRPr="00747476">
        <w:rPr>
          <w:iCs/>
        </w:rPr>
        <w:t xml:space="preserve"> </w:t>
      </w:r>
      <w:r w:rsidRPr="00747476">
        <w:rPr>
          <w:iCs/>
        </w:rPr>
        <w:t>child,</w:t>
      </w:r>
      <w:r w:rsidR="00F96B2F" w:rsidRPr="00747476">
        <w:rPr>
          <w:iCs/>
        </w:rPr>
        <w:t xml:space="preserve"> </w:t>
      </w:r>
      <w:r w:rsidRPr="00747476">
        <w:rPr>
          <w:iCs/>
        </w:rPr>
        <w:t>$10,291.84</w:t>
      </w:r>
      <w:r w:rsidR="00F96B2F" w:rsidRPr="00747476">
        <w:rPr>
          <w:iCs/>
        </w:rPr>
        <w:t xml:space="preserve"> </w:t>
      </w:r>
      <w:r w:rsidRPr="00747476">
        <w:rPr>
          <w:iCs/>
        </w:rPr>
        <w:t>for</w:t>
      </w:r>
      <w:r w:rsidR="00F96B2F" w:rsidRPr="00747476">
        <w:rPr>
          <w:iCs/>
        </w:rPr>
        <w:t xml:space="preserve"> </w:t>
      </w:r>
      <w:r w:rsidRPr="00747476">
        <w:rPr>
          <w:iCs/>
        </w:rPr>
        <w:t>a</w:t>
      </w:r>
      <w:r w:rsidR="00F96B2F" w:rsidRPr="00747476">
        <w:rPr>
          <w:iCs/>
        </w:rPr>
        <w:t xml:space="preserve"> </w:t>
      </w:r>
      <w:r w:rsidRPr="00747476">
        <w:rPr>
          <w:iCs/>
        </w:rPr>
        <w:t>20</w:t>
      </w:r>
      <w:r w:rsidR="001C6736" w:rsidRPr="00747476">
        <w:rPr>
          <w:iCs/>
        </w:rPr>
        <w:t xml:space="preserve"> </w:t>
      </w:r>
      <w:r w:rsidRPr="00747476">
        <w:rPr>
          <w:iCs/>
        </w:rPr>
        <w:t>kg</w:t>
      </w:r>
      <w:r w:rsidR="00F96B2F" w:rsidRPr="00747476">
        <w:rPr>
          <w:iCs/>
        </w:rPr>
        <w:t xml:space="preserve"> </w:t>
      </w:r>
      <w:r w:rsidRPr="00747476">
        <w:rPr>
          <w:iCs/>
        </w:rPr>
        <w:t>child,</w:t>
      </w:r>
      <w:r w:rsidR="00F96B2F" w:rsidRPr="00747476">
        <w:rPr>
          <w:iCs/>
        </w:rPr>
        <w:t xml:space="preserve"> </w:t>
      </w:r>
      <w:r w:rsidRPr="00747476">
        <w:rPr>
          <w:iCs/>
        </w:rPr>
        <w:t>$15,433.60</w:t>
      </w:r>
      <w:r w:rsidR="00F96B2F" w:rsidRPr="00747476">
        <w:rPr>
          <w:iCs/>
        </w:rPr>
        <w:t xml:space="preserve"> </w:t>
      </w:r>
      <w:r w:rsidRPr="00747476">
        <w:rPr>
          <w:iCs/>
        </w:rPr>
        <w:t>for</w:t>
      </w:r>
      <w:r w:rsidR="00F96B2F" w:rsidRPr="00747476">
        <w:rPr>
          <w:iCs/>
        </w:rPr>
        <w:t xml:space="preserve"> </w:t>
      </w:r>
      <w:r w:rsidRPr="00747476">
        <w:rPr>
          <w:iCs/>
        </w:rPr>
        <w:t>a</w:t>
      </w:r>
      <w:r w:rsidR="00F96B2F" w:rsidRPr="00747476">
        <w:rPr>
          <w:iCs/>
        </w:rPr>
        <w:t xml:space="preserve"> </w:t>
      </w:r>
      <w:r w:rsidRPr="00747476">
        <w:rPr>
          <w:iCs/>
        </w:rPr>
        <w:t>30</w:t>
      </w:r>
      <w:r w:rsidR="001C6736" w:rsidRPr="00747476">
        <w:rPr>
          <w:iCs/>
        </w:rPr>
        <w:t xml:space="preserve"> </w:t>
      </w:r>
      <w:r w:rsidRPr="00747476">
        <w:rPr>
          <w:iCs/>
        </w:rPr>
        <w:t>kg</w:t>
      </w:r>
      <w:r w:rsidR="00F96B2F" w:rsidRPr="00747476">
        <w:rPr>
          <w:iCs/>
        </w:rPr>
        <w:t xml:space="preserve"> </w:t>
      </w:r>
      <w:r w:rsidRPr="00747476">
        <w:rPr>
          <w:iCs/>
        </w:rPr>
        <w:t>child</w:t>
      </w:r>
      <w:r w:rsidR="00F96B2F" w:rsidRPr="00747476">
        <w:rPr>
          <w:iCs/>
        </w:rPr>
        <w:t xml:space="preserve"> </w:t>
      </w:r>
      <w:r w:rsidRPr="00747476">
        <w:rPr>
          <w:iCs/>
        </w:rPr>
        <w:t>or</w:t>
      </w:r>
      <w:r w:rsidR="00F96B2F" w:rsidRPr="00747476">
        <w:rPr>
          <w:iCs/>
        </w:rPr>
        <w:t xml:space="preserve"> </w:t>
      </w:r>
      <w:r w:rsidRPr="00747476">
        <w:rPr>
          <w:iCs/>
        </w:rPr>
        <w:t>$25,722.84</w:t>
      </w:r>
      <w:r w:rsidR="00F96B2F" w:rsidRPr="00747476">
        <w:rPr>
          <w:iCs/>
        </w:rPr>
        <w:t xml:space="preserve"> </w:t>
      </w:r>
      <w:r w:rsidRPr="00747476">
        <w:rPr>
          <w:iCs/>
        </w:rPr>
        <w:t>for</w:t>
      </w:r>
      <w:r w:rsidR="00F96B2F" w:rsidRPr="00747476">
        <w:rPr>
          <w:iCs/>
        </w:rPr>
        <w:t xml:space="preserve"> </w:t>
      </w:r>
      <w:r w:rsidRPr="00747476">
        <w:rPr>
          <w:iCs/>
        </w:rPr>
        <w:t>a</w:t>
      </w:r>
      <w:r w:rsidR="00F96B2F" w:rsidRPr="00747476">
        <w:rPr>
          <w:iCs/>
        </w:rPr>
        <w:t xml:space="preserve"> </w:t>
      </w:r>
      <w:r w:rsidRPr="00747476">
        <w:rPr>
          <w:iCs/>
        </w:rPr>
        <w:t>50</w:t>
      </w:r>
      <w:r w:rsidR="001C6736" w:rsidRPr="00747476">
        <w:rPr>
          <w:iCs/>
        </w:rPr>
        <w:t xml:space="preserve"> </w:t>
      </w:r>
      <w:r w:rsidRPr="00747476">
        <w:rPr>
          <w:iCs/>
        </w:rPr>
        <w:t>kg</w:t>
      </w:r>
      <w:r w:rsidR="00F96B2F" w:rsidRPr="00747476">
        <w:rPr>
          <w:iCs/>
        </w:rPr>
        <w:t xml:space="preserve"> </w:t>
      </w:r>
      <w:r w:rsidRPr="00747476">
        <w:rPr>
          <w:iCs/>
        </w:rPr>
        <w:t>child.</w:t>
      </w:r>
      <w:r w:rsidR="00F96B2F" w:rsidRPr="00747476">
        <w:rPr>
          <w:iCs/>
        </w:rPr>
        <w:t xml:space="preserve"> </w:t>
      </w:r>
      <w:r w:rsidRPr="00747476">
        <w:rPr>
          <w:iCs/>
        </w:rPr>
        <w:t>The</w:t>
      </w:r>
      <w:r w:rsidR="00F96B2F" w:rsidRPr="00747476">
        <w:rPr>
          <w:iCs/>
        </w:rPr>
        <w:t xml:space="preserve"> </w:t>
      </w:r>
      <w:r w:rsidRPr="00747476">
        <w:rPr>
          <w:iCs/>
        </w:rPr>
        <w:t>calculations</w:t>
      </w:r>
      <w:r w:rsidR="00F96B2F" w:rsidRPr="00747476">
        <w:rPr>
          <w:iCs/>
        </w:rPr>
        <w:t xml:space="preserve"> </w:t>
      </w:r>
      <w:r w:rsidRPr="00747476">
        <w:rPr>
          <w:iCs/>
        </w:rPr>
        <w:t>performed</w:t>
      </w:r>
      <w:r w:rsidR="00F96B2F" w:rsidRPr="00747476">
        <w:rPr>
          <w:iCs/>
        </w:rPr>
        <w:t xml:space="preserve"> </w:t>
      </w:r>
      <w:r w:rsidRPr="00747476">
        <w:rPr>
          <w:iCs/>
        </w:rPr>
        <w:t>during</w:t>
      </w:r>
      <w:r w:rsidR="00F96B2F" w:rsidRPr="00747476">
        <w:rPr>
          <w:iCs/>
        </w:rPr>
        <w:t xml:space="preserve"> </w:t>
      </w:r>
      <w:r w:rsidRPr="00747476">
        <w:rPr>
          <w:iCs/>
        </w:rPr>
        <w:t>the</w:t>
      </w:r>
      <w:r w:rsidR="00F96B2F" w:rsidRPr="00747476">
        <w:rPr>
          <w:iCs/>
        </w:rPr>
        <w:t xml:space="preserve"> </w:t>
      </w:r>
      <w:r w:rsidRPr="00747476">
        <w:rPr>
          <w:iCs/>
        </w:rPr>
        <w:t>evaluation</w:t>
      </w:r>
      <w:r w:rsidR="00F96B2F" w:rsidRPr="00747476">
        <w:rPr>
          <w:iCs/>
        </w:rPr>
        <w:t xml:space="preserve"> </w:t>
      </w:r>
      <w:r w:rsidRPr="00747476">
        <w:rPr>
          <w:iCs/>
        </w:rPr>
        <w:t>rely</w:t>
      </w:r>
      <w:r w:rsidR="00F96B2F" w:rsidRPr="00747476">
        <w:rPr>
          <w:iCs/>
        </w:rPr>
        <w:t xml:space="preserve"> </w:t>
      </w:r>
      <w:r w:rsidRPr="00747476">
        <w:rPr>
          <w:iCs/>
        </w:rPr>
        <w:t>on</w:t>
      </w:r>
      <w:r w:rsidR="00F96B2F" w:rsidRPr="00747476">
        <w:rPr>
          <w:iCs/>
        </w:rPr>
        <w:t xml:space="preserve"> </w:t>
      </w:r>
      <w:r w:rsidR="001C6736" w:rsidRPr="00747476">
        <w:rPr>
          <w:iCs/>
        </w:rPr>
        <w:t xml:space="preserve">the assumption that </w:t>
      </w:r>
      <w:r w:rsidRPr="00747476">
        <w:rPr>
          <w:iCs/>
        </w:rPr>
        <w:t>a</w:t>
      </w:r>
      <w:r w:rsidR="00F96B2F" w:rsidRPr="00747476">
        <w:rPr>
          <w:iCs/>
        </w:rPr>
        <w:t xml:space="preserve"> </w:t>
      </w:r>
      <w:r w:rsidRPr="00747476">
        <w:rPr>
          <w:iCs/>
        </w:rPr>
        <w:t>child</w:t>
      </w:r>
      <w:r w:rsidR="00F96B2F" w:rsidRPr="00BF1BFB">
        <w:rPr>
          <w:iCs/>
        </w:rPr>
        <w:t xml:space="preserve"> </w:t>
      </w:r>
      <w:r w:rsidR="001C6736">
        <w:rPr>
          <w:iCs/>
        </w:rPr>
        <w:t xml:space="preserve">will </w:t>
      </w:r>
      <w:r w:rsidRPr="00BF1BFB">
        <w:rPr>
          <w:iCs/>
        </w:rPr>
        <w:t>not</w:t>
      </w:r>
      <w:r w:rsidR="00F96B2F" w:rsidRPr="00BF1BFB">
        <w:rPr>
          <w:iCs/>
        </w:rPr>
        <w:t xml:space="preserve"> </w:t>
      </w:r>
      <w:r w:rsidR="001C6736" w:rsidRPr="00BF1BFB">
        <w:rPr>
          <w:iCs/>
        </w:rPr>
        <w:t>chang</w:t>
      </w:r>
      <w:r w:rsidR="001C6736">
        <w:rPr>
          <w:iCs/>
        </w:rPr>
        <w:t>e</w:t>
      </w:r>
      <w:r w:rsidR="001C6736" w:rsidRPr="00BF1BFB">
        <w:rPr>
          <w:iCs/>
        </w:rPr>
        <w:t xml:space="preserve"> </w:t>
      </w:r>
      <w:r w:rsidRPr="00BF1BFB">
        <w:rPr>
          <w:iCs/>
        </w:rPr>
        <w:t>weight</w:t>
      </w:r>
      <w:r w:rsidR="00F96B2F" w:rsidRPr="00BF1BFB">
        <w:rPr>
          <w:iCs/>
        </w:rPr>
        <w:t xml:space="preserve"> </w:t>
      </w:r>
      <w:r w:rsidRPr="00BF1BFB">
        <w:rPr>
          <w:iCs/>
        </w:rPr>
        <w:t>for</w:t>
      </w:r>
      <w:r w:rsidR="00F96B2F" w:rsidRPr="00BF1BFB">
        <w:rPr>
          <w:iCs/>
        </w:rPr>
        <w:t xml:space="preserve"> </w:t>
      </w:r>
      <w:r w:rsidRPr="00BF1BFB">
        <w:rPr>
          <w:iCs/>
        </w:rPr>
        <w:t>the</w:t>
      </w:r>
      <w:r w:rsidR="00F96B2F" w:rsidRPr="00BF1BFB">
        <w:rPr>
          <w:iCs/>
        </w:rPr>
        <w:t xml:space="preserve"> </w:t>
      </w:r>
      <w:r w:rsidRPr="00BF1BFB">
        <w:rPr>
          <w:iCs/>
        </w:rPr>
        <w:t>annual</w:t>
      </w:r>
      <w:r w:rsidR="00F96B2F" w:rsidRPr="00BF1BFB">
        <w:rPr>
          <w:iCs/>
        </w:rPr>
        <w:t xml:space="preserve"> </w:t>
      </w:r>
      <w:r w:rsidRPr="00BF1BFB">
        <w:rPr>
          <w:iCs/>
        </w:rPr>
        <w:t>period</w:t>
      </w:r>
      <w:r w:rsidR="00F96B2F" w:rsidRPr="00BF1BFB">
        <w:rPr>
          <w:iCs/>
        </w:rPr>
        <w:t xml:space="preserve"> </w:t>
      </w:r>
      <w:r w:rsidR="009A3C98" w:rsidRPr="00BF1BFB">
        <w:rPr>
          <w:iCs/>
        </w:rPr>
        <w:t>of</w:t>
      </w:r>
      <w:r w:rsidR="00F96B2F" w:rsidRPr="00BF1BFB">
        <w:rPr>
          <w:iCs/>
        </w:rPr>
        <w:t xml:space="preserve"> </w:t>
      </w:r>
      <w:r w:rsidR="001C6736">
        <w:rPr>
          <w:iCs/>
        </w:rPr>
        <w:t xml:space="preserve">the </w:t>
      </w:r>
      <w:r w:rsidR="009A3C98" w:rsidRPr="00BF1BFB">
        <w:rPr>
          <w:iCs/>
        </w:rPr>
        <w:t>cost</w:t>
      </w:r>
      <w:r w:rsidR="00F96B2F" w:rsidRPr="00BF1BFB">
        <w:rPr>
          <w:iCs/>
        </w:rPr>
        <w:t xml:space="preserve"> </w:t>
      </w:r>
      <w:r w:rsidR="009A3C98" w:rsidRPr="00BF1BFB">
        <w:rPr>
          <w:iCs/>
        </w:rPr>
        <w:t>calculation</w:t>
      </w:r>
      <w:r w:rsidRPr="00BF1BFB">
        <w:rPr>
          <w:iCs/>
        </w:rPr>
        <w:t>.</w:t>
      </w:r>
    </w:p>
    <w:p w14:paraId="7FFAC52F" w14:textId="2504A25C" w:rsidR="00811E0E" w:rsidRPr="00E96E9F" w:rsidRDefault="00811E0E" w:rsidP="00811E0E">
      <w:pPr>
        <w:pStyle w:val="4-SubsectionHeading"/>
      </w:pPr>
      <w:bookmarkStart w:id="31" w:name="_Toc93499826"/>
      <w:r w:rsidRPr="00E96E9F">
        <w:t>Estimated</w:t>
      </w:r>
      <w:r w:rsidR="00F96B2F" w:rsidRPr="00E96E9F">
        <w:t xml:space="preserve"> </w:t>
      </w:r>
      <w:r w:rsidRPr="00E96E9F">
        <w:t>PBS</w:t>
      </w:r>
      <w:r w:rsidR="00F96B2F" w:rsidRPr="00E96E9F">
        <w:t xml:space="preserve"> </w:t>
      </w:r>
      <w:r w:rsidRPr="00E96E9F">
        <w:t>usage</w:t>
      </w:r>
      <w:r w:rsidR="00F96B2F" w:rsidRPr="00E96E9F">
        <w:t xml:space="preserve"> </w:t>
      </w:r>
      <w:r w:rsidRPr="00E96E9F">
        <w:t>&amp;</w:t>
      </w:r>
      <w:r w:rsidR="00F96B2F" w:rsidRPr="00E96E9F">
        <w:t xml:space="preserve"> </w:t>
      </w:r>
      <w:r w:rsidRPr="00E96E9F">
        <w:t>financial</w:t>
      </w:r>
      <w:r w:rsidR="00F96B2F" w:rsidRPr="00E96E9F">
        <w:t xml:space="preserve"> </w:t>
      </w:r>
      <w:r w:rsidRPr="00E96E9F">
        <w:t>implications</w:t>
      </w:r>
      <w:bookmarkEnd w:id="30"/>
      <w:bookmarkEnd w:id="31"/>
    </w:p>
    <w:p w14:paraId="718A6460" w14:textId="6E116EFA" w:rsidR="00E5129A" w:rsidRPr="00E96E9F" w:rsidRDefault="00811E0E" w:rsidP="00811E0E">
      <w:pPr>
        <w:pStyle w:val="3-BodyText"/>
      </w:pPr>
      <w:r w:rsidRPr="00E96E9F">
        <w:t>This</w:t>
      </w:r>
      <w:r w:rsidR="00F96B2F" w:rsidRPr="00E96E9F">
        <w:t xml:space="preserve"> </w:t>
      </w:r>
      <w:r w:rsidRPr="00E96E9F">
        <w:t>submission</w:t>
      </w:r>
      <w:r w:rsidR="00F96B2F" w:rsidRPr="00E96E9F">
        <w:t xml:space="preserve"> </w:t>
      </w:r>
      <w:r w:rsidR="00131DB0">
        <w:t xml:space="preserve">was </w:t>
      </w:r>
      <w:r w:rsidRPr="00E96E9F">
        <w:t>not</w:t>
      </w:r>
      <w:r w:rsidR="00F96B2F" w:rsidRPr="00E96E9F">
        <w:t xml:space="preserve"> </w:t>
      </w:r>
      <w:r w:rsidRPr="00E96E9F">
        <w:t>considered</w:t>
      </w:r>
      <w:r w:rsidR="00F96B2F" w:rsidRPr="00E96E9F">
        <w:t xml:space="preserve"> </w:t>
      </w:r>
      <w:r w:rsidRPr="00E96E9F">
        <w:t>by</w:t>
      </w:r>
      <w:r w:rsidR="00F96B2F" w:rsidRPr="00E96E9F">
        <w:t xml:space="preserve"> </w:t>
      </w:r>
      <w:r w:rsidRPr="00E96E9F">
        <w:t>DUSC.</w:t>
      </w:r>
    </w:p>
    <w:p w14:paraId="0CACB848" w14:textId="6E2C8B0F" w:rsidR="00424004" w:rsidRPr="00E96E9F" w:rsidRDefault="00424004" w:rsidP="00424004">
      <w:pPr>
        <w:pStyle w:val="3-BodyText"/>
      </w:pPr>
      <w:r w:rsidRPr="00E96E9F">
        <w:rPr>
          <w:color w:val="000000" w:themeColor="text1"/>
        </w:rPr>
        <w:t>The submission</w:t>
      </w:r>
      <w:r w:rsidRPr="00E96E9F">
        <w:t xml:space="preserve"> proposed a DPMQ for </w:t>
      </w:r>
      <w:proofErr w:type="spellStart"/>
      <w:r w:rsidRPr="00747476">
        <w:t>somatrogon</w:t>
      </w:r>
      <w:proofErr w:type="spellEnd"/>
      <w:r w:rsidRPr="00747476">
        <w:t xml:space="preserve"> of $382.03 for a 24 mg/1.2 mL pre-filled pen (maximum single-dose</w:t>
      </w:r>
      <w:r w:rsidR="001C6736" w:rsidRPr="00747476">
        <w:t xml:space="preserve"> of</w:t>
      </w:r>
      <w:r w:rsidRPr="00747476">
        <w:t xml:space="preserve"> 12 mg) and $943.41 for</w:t>
      </w:r>
      <w:r w:rsidRPr="00E96E9F">
        <w:t xml:space="preserve"> a 60 mg/1.2 mL</w:t>
      </w:r>
      <w:r>
        <w:t xml:space="preserve"> pre-filled pen</w:t>
      </w:r>
      <w:r w:rsidRPr="00E96E9F">
        <w:t xml:space="preserve"> (maximum single-dose</w:t>
      </w:r>
      <w:r w:rsidR="001C6736">
        <w:t xml:space="preserve"> of</w:t>
      </w:r>
      <w:r w:rsidRPr="00E96E9F">
        <w:t xml:space="preserve"> 30 mg).</w:t>
      </w:r>
    </w:p>
    <w:p w14:paraId="526B892B" w14:textId="49CEAD62" w:rsidR="00811E0E" w:rsidRPr="00E96E9F" w:rsidRDefault="00811E0E" w:rsidP="00811E0E">
      <w:pPr>
        <w:pStyle w:val="3-BodyText"/>
      </w:pPr>
      <w:r w:rsidRPr="00E96E9F">
        <w:t>The</w:t>
      </w:r>
      <w:r w:rsidR="00F96B2F" w:rsidRPr="00E96E9F">
        <w:t xml:space="preserve"> </w:t>
      </w:r>
      <w:r w:rsidRPr="00E96E9F">
        <w:t>submission</w:t>
      </w:r>
      <w:r w:rsidR="00F96B2F" w:rsidRPr="00E96E9F">
        <w:t xml:space="preserve"> </w:t>
      </w:r>
      <w:r w:rsidRPr="00E96E9F">
        <w:t>used</w:t>
      </w:r>
      <w:r w:rsidR="00F96B2F" w:rsidRPr="00E96E9F">
        <w:t xml:space="preserve"> </w:t>
      </w:r>
      <w:r w:rsidRPr="00E96E9F">
        <w:t>a</w:t>
      </w:r>
      <w:r w:rsidR="00F96B2F" w:rsidRPr="00E96E9F">
        <w:t xml:space="preserve"> </w:t>
      </w:r>
      <w:r w:rsidRPr="00E96E9F">
        <w:t>market-share</w:t>
      </w:r>
      <w:r w:rsidR="00F96B2F" w:rsidRPr="00E96E9F">
        <w:t xml:space="preserve"> </w:t>
      </w:r>
      <w:r w:rsidRPr="00E96E9F">
        <w:t>approach</w:t>
      </w:r>
      <w:r w:rsidR="00F96B2F" w:rsidRPr="00E96E9F">
        <w:t xml:space="preserve"> </w:t>
      </w:r>
      <w:r w:rsidRPr="00E96E9F">
        <w:t>to</w:t>
      </w:r>
      <w:r w:rsidR="00F96B2F" w:rsidRPr="00E96E9F">
        <w:t xml:space="preserve"> </w:t>
      </w:r>
      <w:r w:rsidRPr="00E96E9F">
        <w:t>estimate</w:t>
      </w:r>
      <w:r w:rsidR="00F96B2F" w:rsidRPr="00E96E9F">
        <w:t xml:space="preserve"> </w:t>
      </w:r>
      <w:r w:rsidRPr="00E96E9F">
        <w:t>the</w:t>
      </w:r>
      <w:r w:rsidR="00F96B2F" w:rsidRPr="00E96E9F">
        <w:t xml:space="preserve"> </w:t>
      </w:r>
      <w:r w:rsidRPr="00E96E9F">
        <w:t>usage</w:t>
      </w:r>
      <w:r w:rsidR="00F96B2F" w:rsidRPr="00E96E9F">
        <w:t xml:space="preserve"> </w:t>
      </w:r>
      <w:r w:rsidRPr="00E96E9F">
        <w:t>and</w:t>
      </w:r>
      <w:r w:rsidR="00F96B2F" w:rsidRPr="00E96E9F">
        <w:t xml:space="preserve"> </w:t>
      </w:r>
      <w:r w:rsidRPr="00E96E9F">
        <w:t>financial</w:t>
      </w:r>
      <w:r w:rsidR="00F96B2F" w:rsidRPr="00E96E9F">
        <w:t xml:space="preserve"> </w:t>
      </w:r>
      <w:r w:rsidRPr="00E96E9F">
        <w:t>impact</w:t>
      </w:r>
      <w:r w:rsidR="00F96B2F" w:rsidRPr="00E96E9F">
        <w:t xml:space="preserve"> </w:t>
      </w:r>
      <w:r w:rsidRPr="00E96E9F">
        <w:t>of</w:t>
      </w:r>
      <w:r w:rsidR="00F96B2F" w:rsidRPr="00E96E9F">
        <w:t xml:space="preserve"> </w:t>
      </w:r>
      <w:r w:rsidRPr="00E96E9F">
        <w:t>listing</w:t>
      </w:r>
      <w:r w:rsidR="00F96B2F" w:rsidRPr="00E96E9F">
        <w:t xml:space="preserve"> </w:t>
      </w:r>
      <w:r w:rsidRPr="00E96E9F">
        <w:t>weekly</w:t>
      </w:r>
      <w:r w:rsidR="00F96B2F" w:rsidRPr="00E96E9F">
        <w:t xml:space="preserve"> </w:t>
      </w:r>
      <w:proofErr w:type="spellStart"/>
      <w:r w:rsidRPr="00E96E9F">
        <w:t>somatrogon</w:t>
      </w:r>
      <w:proofErr w:type="spellEnd"/>
      <w:r w:rsidR="00F96B2F" w:rsidRPr="00E96E9F">
        <w:t xml:space="preserve"> </w:t>
      </w:r>
      <w:r w:rsidRPr="00E96E9F">
        <w:t>on</w:t>
      </w:r>
      <w:r w:rsidR="00F96B2F" w:rsidRPr="00E96E9F">
        <w:t xml:space="preserve"> </w:t>
      </w:r>
      <w:r w:rsidRPr="00E96E9F">
        <w:t>the</w:t>
      </w:r>
      <w:r w:rsidR="00F96B2F" w:rsidRPr="00E96E9F">
        <w:t xml:space="preserve"> </w:t>
      </w:r>
      <w:r w:rsidRPr="00E96E9F">
        <w:t>PBS</w:t>
      </w:r>
      <w:r w:rsidR="00F96B2F" w:rsidRPr="00E96E9F">
        <w:t xml:space="preserve"> </w:t>
      </w:r>
      <w:r w:rsidRPr="00E96E9F">
        <w:t>as</w:t>
      </w:r>
      <w:r w:rsidR="00F96B2F" w:rsidRPr="00E96E9F">
        <w:t xml:space="preserve"> </w:t>
      </w:r>
      <w:r w:rsidRPr="00E96E9F">
        <w:t>an</w:t>
      </w:r>
      <w:r w:rsidR="00F96B2F" w:rsidRPr="00E96E9F">
        <w:t xml:space="preserve"> </w:t>
      </w:r>
      <w:r w:rsidRPr="00E96E9F">
        <w:t>alternative</w:t>
      </w:r>
      <w:r w:rsidR="00F96B2F" w:rsidRPr="00E96E9F">
        <w:t xml:space="preserve"> </w:t>
      </w:r>
      <w:r w:rsidRPr="00E96E9F">
        <w:t>to</w:t>
      </w:r>
      <w:r w:rsidR="00F96B2F" w:rsidRPr="00E96E9F">
        <w:t xml:space="preserve"> </w:t>
      </w:r>
      <w:r w:rsidRPr="00E96E9F">
        <w:t>daily</w:t>
      </w:r>
      <w:r w:rsidR="00F96B2F" w:rsidRPr="00E96E9F">
        <w:t xml:space="preserve"> </w:t>
      </w:r>
      <w:r w:rsidRPr="00E96E9F">
        <w:t>somatropin</w:t>
      </w:r>
      <w:r w:rsidR="00F96B2F" w:rsidRPr="00E96E9F">
        <w:t xml:space="preserve"> </w:t>
      </w:r>
      <w:r w:rsidRPr="00E96E9F">
        <w:t>in</w:t>
      </w:r>
      <w:r w:rsidR="00F96B2F" w:rsidRPr="00E96E9F">
        <w:t xml:space="preserve"> </w:t>
      </w:r>
      <w:r w:rsidRPr="00E96E9F">
        <w:t>paediatric</w:t>
      </w:r>
      <w:r w:rsidR="00F96B2F" w:rsidRPr="00E96E9F">
        <w:t xml:space="preserve"> </w:t>
      </w:r>
      <w:r w:rsidRPr="00E96E9F">
        <w:t>patients</w:t>
      </w:r>
      <w:r w:rsidR="00F96B2F" w:rsidRPr="00E96E9F">
        <w:t xml:space="preserve"> </w:t>
      </w:r>
      <w:r w:rsidRPr="00E96E9F">
        <w:t>for</w:t>
      </w:r>
      <w:r w:rsidR="00F96B2F" w:rsidRPr="00E96E9F">
        <w:t xml:space="preserve"> </w:t>
      </w:r>
      <w:r w:rsidRPr="00E96E9F">
        <w:t>the</w:t>
      </w:r>
      <w:r w:rsidR="00F96B2F" w:rsidRPr="00E96E9F">
        <w:t xml:space="preserve"> </w:t>
      </w:r>
      <w:r w:rsidRPr="00E96E9F">
        <w:t>treatment</w:t>
      </w:r>
      <w:r w:rsidR="00F96B2F" w:rsidRPr="00E96E9F">
        <w:t xml:space="preserve"> </w:t>
      </w:r>
      <w:r w:rsidRPr="00E96E9F">
        <w:t>of</w:t>
      </w:r>
      <w:r w:rsidR="00F96B2F" w:rsidRPr="00E96E9F">
        <w:t xml:space="preserve"> </w:t>
      </w:r>
      <w:r w:rsidR="00B70332">
        <w:t>SSABGHD and SSSG</w:t>
      </w:r>
      <w:r w:rsidRPr="00E96E9F">
        <w:t>.</w:t>
      </w:r>
      <w:r w:rsidR="00F96B2F" w:rsidRPr="00E96E9F">
        <w:t xml:space="preserve"> </w:t>
      </w:r>
      <w:r w:rsidRPr="00E96E9F">
        <w:t>The</w:t>
      </w:r>
      <w:r w:rsidR="00F96B2F" w:rsidRPr="00E96E9F">
        <w:t xml:space="preserve"> </w:t>
      </w:r>
      <w:r w:rsidRPr="00E96E9F">
        <w:t>data</w:t>
      </w:r>
      <w:r w:rsidR="00F96B2F" w:rsidRPr="00E96E9F">
        <w:t xml:space="preserve"> </w:t>
      </w:r>
      <w:r w:rsidRPr="00E96E9F">
        <w:t>sources</w:t>
      </w:r>
      <w:r w:rsidR="00F96B2F" w:rsidRPr="00E96E9F">
        <w:t xml:space="preserve"> </w:t>
      </w:r>
      <w:r w:rsidRPr="00E96E9F">
        <w:t>within</w:t>
      </w:r>
      <w:r w:rsidR="00F96B2F" w:rsidRPr="00E96E9F">
        <w:t xml:space="preserve"> </w:t>
      </w:r>
      <w:r w:rsidRPr="00E96E9F">
        <w:t>the</w:t>
      </w:r>
      <w:r w:rsidR="00F96B2F" w:rsidRPr="00E96E9F">
        <w:t xml:space="preserve"> </w:t>
      </w:r>
      <w:r w:rsidRPr="00747476">
        <w:t>submission</w:t>
      </w:r>
      <w:r w:rsidR="00F96B2F" w:rsidRPr="00747476">
        <w:t xml:space="preserve"> </w:t>
      </w:r>
      <w:r w:rsidR="00B70332" w:rsidRPr="00747476">
        <w:t xml:space="preserve">were </w:t>
      </w:r>
      <w:r w:rsidRPr="00747476">
        <w:t>market</w:t>
      </w:r>
      <w:r w:rsidR="00F96B2F" w:rsidRPr="00747476">
        <w:t xml:space="preserve"> </w:t>
      </w:r>
      <w:r w:rsidRPr="00747476">
        <w:t>data</w:t>
      </w:r>
      <w:r w:rsidR="00F96B2F" w:rsidRPr="00747476">
        <w:t xml:space="preserve"> </w:t>
      </w:r>
      <w:r w:rsidRPr="00747476">
        <w:t>from</w:t>
      </w:r>
      <w:r w:rsidR="00F96B2F" w:rsidRPr="00747476">
        <w:t xml:space="preserve"> </w:t>
      </w:r>
      <w:r w:rsidRPr="00747476">
        <w:t>PBS</w:t>
      </w:r>
      <w:r w:rsidR="00F96B2F" w:rsidRPr="00747476">
        <w:t xml:space="preserve"> </w:t>
      </w:r>
      <w:r w:rsidRPr="00747476">
        <w:t>1</w:t>
      </w:r>
      <w:r w:rsidR="00F96B2F" w:rsidRPr="00747476">
        <w:t xml:space="preserve"> </w:t>
      </w:r>
      <w:r w:rsidRPr="00747476">
        <w:t>in</w:t>
      </w:r>
      <w:r w:rsidR="00F96B2F" w:rsidRPr="00747476">
        <w:t xml:space="preserve"> </w:t>
      </w:r>
      <w:r w:rsidRPr="00747476">
        <w:t>10</w:t>
      </w:r>
      <w:r w:rsidR="00F96B2F" w:rsidRPr="00747476">
        <w:t xml:space="preserve"> </w:t>
      </w:r>
      <w:r w:rsidRPr="00747476">
        <w:t>data,</w:t>
      </w:r>
      <w:r w:rsidR="00F96B2F" w:rsidRPr="00747476">
        <w:t xml:space="preserve"> </w:t>
      </w:r>
      <w:r w:rsidRPr="00747476">
        <w:t>PBS</w:t>
      </w:r>
      <w:r w:rsidR="00F96B2F" w:rsidRPr="00747476">
        <w:t xml:space="preserve"> </w:t>
      </w:r>
      <w:r w:rsidR="00B70332" w:rsidRPr="00747476">
        <w:t>Statistics,</w:t>
      </w:r>
      <w:r w:rsidR="00F96B2F" w:rsidRPr="00747476">
        <w:t xml:space="preserve"> </w:t>
      </w:r>
      <w:r w:rsidRPr="00747476">
        <w:t>and</w:t>
      </w:r>
      <w:r w:rsidR="00F96B2F" w:rsidRPr="00747476">
        <w:t xml:space="preserve"> </w:t>
      </w:r>
      <w:r w:rsidR="00E25A36" w:rsidRPr="00747476">
        <w:t>Centres for Disease Control and Prevention (</w:t>
      </w:r>
      <w:r w:rsidRPr="00747476">
        <w:t>CDC</w:t>
      </w:r>
      <w:r w:rsidR="00E25A36" w:rsidRPr="00747476">
        <w:t>)</w:t>
      </w:r>
      <w:r w:rsidR="00F96B2F" w:rsidRPr="00747476">
        <w:t xml:space="preserve"> </w:t>
      </w:r>
      <w:r w:rsidRPr="00747476">
        <w:t>growth</w:t>
      </w:r>
      <w:r w:rsidR="00F96B2F" w:rsidRPr="00747476">
        <w:t xml:space="preserve"> </w:t>
      </w:r>
      <w:r w:rsidRPr="00747476">
        <w:t>charts.</w:t>
      </w:r>
      <w:r w:rsidR="00F96B2F" w:rsidRPr="00747476">
        <w:t xml:space="preserve"> </w:t>
      </w:r>
      <w:r w:rsidRPr="00747476">
        <w:t>The</w:t>
      </w:r>
      <w:r w:rsidR="00F96B2F" w:rsidRPr="00747476">
        <w:t xml:space="preserve"> </w:t>
      </w:r>
      <w:r w:rsidRPr="00747476">
        <w:t>market</w:t>
      </w:r>
      <w:r w:rsidR="00F96B2F" w:rsidRPr="00747476">
        <w:t xml:space="preserve"> </w:t>
      </w:r>
      <w:r w:rsidRPr="00747476">
        <w:t>share</w:t>
      </w:r>
      <w:r w:rsidR="00F96B2F" w:rsidRPr="00747476">
        <w:t xml:space="preserve"> </w:t>
      </w:r>
      <w:r w:rsidRPr="00747476">
        <w:t>approach</w:t>
      </w:r>
      <w:r w:rsidR="00F96B2F" w:rsidRPr="00747476">
        <w:t xml:space="preserve"> </w:t>
      </w:r>
      <w:r w:rsidRPr="00747476">
        <w:t>assumed</w:t>
      </w:r>
      <w:r w:rsidR="00F96B2F" w:rsidRPr="00747476">
        <w:t xml:space="preserve"> </w:t>
      </w:r>
      <w:r w:rsidRPr="00747476">
        <w:t>that</w:t>
      </w:r>
      <w:r w:rsidR="00F96B2F" w:rsidRPr="00747476">
        <w:t xml:space="preserve"> </w:t>
      </w:r>
      <w:r w:rsidRPr="00747476">
        <w:t>20%</w:t>
      </w:r>
      <w:r w:rsidR="00F96B2F" w:rsidRPr="00747476">
        <w:t xml:space="preserve"> </w:t>
      </w:r>
      <w:r w:rsidRPr="00747476">
        <w:t>of</w:t>
      </w:r>
      <w:r w:rsidR="00F96B2F" w:rsidRPr="00747476">
        <w:t xml:space="preserve"> </w:t>
      </w:r>
      <w:r w:rsidR="00B70332" w:rsidRPr="00747476">
        <w:t xml:space="preserve">the </w:t>
      </w:r>
      <w:r w:rsidRPr="00747476">
        <w:t>estimated</w:t>
      </w:r>
      <w:r w:rsidR="00F96B2F" w:rsidRPr="00747476">
        <w:t xml:space="preserve"> </w:t>
      </w:r>
      <w:r w:rsidRPr="00747476">
        <w:t>patients</w:t>
      </w:r>
      <w:r w:rsidR="00F96B2F" w:rsidRPr="00747476">
        <w:t xml:space="preserve"> </w:t>
      </w:r>
      <w:r w:rsidRPr="00747476">
        <w:t>in</w:t>
      </w:r>
      <w:r w:rsidR="00F96B2F" w:rsidRPr="00747476">
        <w:t xml:space="preserve"> </w:t>
      </w:r>
      <w:r w:rsidRPr="00747476">
        <w:t>2022</w:t>
      </w:r>
      <w:r w:rsidR="00F96B2F" w:rsidRPr="00747476">
        <w:t xml:space="preserve"> </w:t>
      </w:r>
      <w:r w:rsidRPr="00747476">
        <w:t>(year</w:t>
      </w:r>
      <w:r w:rsidR="00F96B2F" w:rsidRPr="00747476">
        <w:t xml:space="preserve"> </w:t>
      </w:r>
      <w:r w:rsidRPr="00747476">
        <w:t>1)</w:t>
      </w:r>
      <w:r w:rsidR="00F96B2F" w:rsidRPr="00747476">
        <w:t xml:space="preserve"> </w:t>
      </w:r>
      <w:r w:rsidRPr="00747476">
        <w:t>will</w:t>
      </w:r>
      <w:r w:rsidR="00F96B2F" w:rsidRPr="00747476">
        <w:t xml:space="preserve"> </w:t>
      </w:r>
      <w:r w:rsidRPr="00747476">
        <w:t>substitute</w:t>
      </w:r>
      <w:r w:rsidR="00F96B2F" w:rsidRPr="00747476">
        <w:t xml:space="preserve"> </w:t>
      </w:r>
      <w:r w:rsidRPr="00747476">
        <w:t>to</w:t>
      </w:r>
      <w:r w:rsidR="00F96B2F" w:rsidRPr="00747476">
        <w:t xml:space="preserve"> </w:t>
      </w:r>
      <w:r w:rsidRPr="00747476">
        <w:t>weekly</w:t>
      </w:r>
      <w:r w:rsidR="00F96B2F" w:rsidRPr="00747476">
        <w:t xml:space="preserve"> </w:t>
      </w:r>
      <w:proofErr w:type="spellStart"/>
      <w:r w:rsidRPr="00747476">
        <w:t>somatrogon</w:t>
      </w:r>
      <w:proofErr w:type="spellEnd"/>
      <w:r w:rsidR="00F96B2F" w:rsidRPr="00747476">
        <w:t xml:space="preserve"> </w:t>
      </w:r>
      <w:r w:rsidRPr="00747476">
        <w:t>from</w:t>
      </w:r>
      <w:r w:rsidR="00F96B2F" w:rsidRPr="00747476">
        <w:t xml:space="preserve"> </w:t>
      </w:r>
      <w:r w:rsidRPr="00747476">
        <w:t>daily</w:t>
      </w:r>
      <w:r w:rsidR="00F96B2F" w:rsidRPr="00747476">
        <w:t xml:space="preserve"> </w:t>
      </w:r>
      <w:r w:rsidRPr="00747476">
        <w:t>somatropin</w:t>
      </w:r>
      <w:r w:rsidR="00F96B2F" w:rsidRPr="00747476">
        <w:t xml:space="preserve"> </w:t>
      </w:r>
      <w:r w:rsidRPr="00747476">
        <w:t>and</w:t>
      </w:r>
      <w:r w:rsidR="00F96B2F" w:rsidRPr="00747476">
        <w:t xml:space="preserve"> </w:t>
      </w:r>
      <w:r w:rsidRPr="00747476">
        <w:t>65%</w:t>
      </w:r>
      <w:r w:rsidR="00F96B2F" w:rsidRPr="00747476">
        <w:t xml:space="preserve"> </w:t>
      </w:r>
      <w:r w:rsidRPr="00747476">
        <w:t>thereafter</w:t>
      </w:r>
      <w:r w:rsidR="00F96B2F" w:rsidRPr="00E96E9F">
        <w:t xml:space="preserve"> </w:t>
      </w:r>
      <w:r w:rsidRPr="00E96E9F">
        <w:t>at</w:t>
      </w:r>
      <w:r w:rsidR="00F96B2F" w:rsidRPr="00E96E9F">
        <w:t xml:space="preserve"> </w:t>
      </w:r>
      <w:r w:rsidRPr="00E96E9F">
        <w:t>2027</w:t>
      </w:r>
      <w:r w:rsidR="00F96B2F" w:rsidRPr="00E96E9F">
        <w:t xml:space="preserve"> </w:t>
      </w:r>
      <w:r w:rsidRPr="00E96E9F">
        <w:t>(year</w:t>
      </w:r>
      <w:r w:rsidR="00F96B2F" w:rsidRPr="00E96E9F">
        <w:t xml:space="preserve"> </w:t>
      </w:r>
      <w:r w:rsidRPr="00E96E9F">
        <w:t>6).</w:t>
      </w:r>
    </w:p>
    <w:p w14:paraId="027A2272" w14:textId="24C4435C" w:rsidR="00811E0E" w:rsidRPr="00E96E9F" w:rsidRDefault="00811E0E" w:rsidP="006D4B84">
      <w:pPr>
        <w:pStyle w:val="TableFigureHeading"/>
        <w:rPr>
          <w:rStyle w:val="CommentReference"/>
          <w:b/>
        </w:rPr>
      </w:pPr>
      <w:r w:rsidRPr="00E96E9F">
        <w:rPr>
          <w:rStyle w:val="CommentReference"/>
          <w:b/>
        </w:rPr>
        <w:lastRenderedPageBreak/>
        <w:t>Table</w:t>
      </w:r>
      <w:r w:rsidR="00F96B2F" w:rsidRPr="00E96E9F">
        <w:rPr>
          <w:rStyle w:val="CommentReference"/>
          <w:b/>
        </w:rPr>
        <w:t xml:space="preserve"> </w:t>
      </w:r>
      <w:r w:rsidR="00DB65AC" w:rsidRPr="00E96E9F">
        <w:rPr>
          <w:rStyle w:val="CommentReference"/>
          <w:b/>
          <w:bCs w:val="0"/>
        </w:rPr>
        <w:fldChar w:fldCharType="begin"/>
      </w:r>
      <w:r w:rsidR="00DB65AC" w:rsidRPr="00E96E9F">
        <w:rPr>
          <w:rStyle w:val="CommentReference"/>
          <w:b/>
          <w:bCs w:val="0"/>
        </w:rPr>
        <w:instrText xml:space="preserve"> SEQ Table \* ARABIC </w:instrText>
      </w:r>
      <w:r w:rsidR="00DB65AC" w:rsidRPr="00E96E9F">
        <w:rPr>
          <w:rStyle w:val="CommentReference"/>
          <w:b/>
          <w:bCs w:val="0"/>
        </w:rPr>
        <w:fldChar w:fldCharType="separate"/>
      </w:r>
      <w:r w:rsidR="005C48AC">
        <w:rPr>
          <w:rStyle w:val="CommentReference"/>
          <w:b/>
          <w:bCs w:val="0"/>
          <w:noProof/>
        </w:rPr>
        <w:t>9</w:t>
      </w:r>
      <w:r w:rsidR="00DB65AC" w:rsidRPr="00E96E9F">
        <w:rPr>
          <w:rStyle w:val="CommentReference"/>
          <w:b/>
          <w:bCs w:val="0"/>
        </w:rPr>
        <w:fldChar w:fldCharType="end"/>
      </w:r>
      <w:r w:rsidRPr="00E96E9F">
        <w:rPr>
          <w:rStyle w:val="CommentReference"/>
          <w:b/>
          <w:bCs w:val="0"/>
        </w:rPr>
        <w:t>:</w:t>
      </w:r>
      <w:r w:rsidR="00F96B2F" w:rsidRPr="00E96E9F">
        <w:rPr>
          <w:rStyle w:val="CommentReference"/>
          <w:b/>
        </w:rPr>
        <w:t xml:space="preserve"> </w:t>
      </w:r>
      <w:r w:rsidRPr="00E96E9F">
        <w:rPr>
          <w:rStyle w:val="CommentReference"/>
          <w:b/>
        </w:rPr>
        <w:t>Key</w:t>
      </w:r>
      <w:r w:rsidR="00F96B2F" w:rsidRPr="00E96E9F">
        <w:rPr>
          <w:rStyle w:val="CommentReference"/>
          <w:b/>
        </w:rPr>
        <w:t xml:space="preserve"> </w:t>
      </w:r>
      <w:r w:rsidRPr="00E96E9F">
        <w:rPr>
          <w:rStyle w:val="CommentReference"/>
          <w:b/>
        </w:rPr>
        <w:t>inputs</w:t>
      </w:r>
      <w:r w:rsidR="00F96B2F" w:rsidRPr="00E96E9F">
        <w:rPr>
          <w:rStyle w:val="CommentReference"/>
          <w:b/>
        </w:rPr>
        <w:t xml:space="preserve"> </w:t>
      </w:r>
      <w:r w:rsidRPr="00E96E9F">
        <w:rPr>
          <w:rStyle w:val="CommentReference"/>
          <w:b/>
        </w:rPr>
        <w:t>for</w:t>
      </w:r>
      <w:r w:rsidR="00F96B2F" w:rsidRPr="00E96E9F">
        <w:rPr>
          <w:rStyle w:val="CommentReference"/>
          <w:b/>
        </w:rPr>
        <w:t xml:space="preserve"> </w:t>
      </w:r>
      <w:r w:rsidRPr="00E96E9F">
        <w:rPr>
          <w:rStyle w:val="CommentReference"/>
          <w:b/>
        </w:rPr>
        <w:t>financial</w:t>
      </w:r>
      <w:r w:rsidR="00F96B2F" w:rsidRPr="00E96E9F">
        <w:rPr>
          <w:rStyle w:val="CommentReference"/>
          <w:b/>
        </w:rPr>
        <w:t xml:space="preserve"> </w:t>
      </w:r>
      <w:r w:rsidRPr="00E96E9F">
        <w:rPr>
          <w:rStyle w:val="CommentReference"/>
          <w:b/>
        </w:rPr>
        <w:t>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inputs for financial estimates"/>
      </w:tblPr>
      <w:tblGrid>
        <w:gridCol w:w="1713"/>
        <w:gridCol w:w="4094"/>
        <w:gridCol w:w="3210"/>
      </w:tblGrid>
      <w:tr w:rsidR="00811E0E" w:rsidRPr="00E96E9F" w14:paraId="569799E3" w14:textId="77777777" w:rsidTr="00CF047E">
        <w:trPr>
          <w:tblHeader/>
        </w:trPr>
        <w:tc>
          <w:tcPr>
            <w:tcW w:w="950" w:type="pct"/>
            <w:shd w:val="clear" w:color="auto" w:fill="auto"/>
            <w:vAlign w:val="center"/>
          </w:tcPr>
          <w:p w14:paraId="22883181" w14:textId="77777777" w:rsidR="00811E0E" w:rsidRPr="00E96E9F" w:rsidRDefault="00811E0E" w:rsidP="00DB65AC">
            <w:pPr>
              <w:pStyle w:val="In-tableHeading"/>
              <w:widowControl w:val="0"/>
              <w:rPr>
                <w:lang w:val="en-AU"/>
              </w:rPr>
            </w:pPr>
            <w:r w:rsidRPr="00E96E9F">
              <w:rPr>
                <w:lang w:val="en-AU"/>
              </w:rPr>
              <w:t>Parameter</w:t>
            </w:r>
          </w:p>
        </w:tc>
        <w:tc>
          <w:tcPr>
            <w:tcW w:w="2270" w:type="pct"/>
            <w:shd w:val="clear" w:color="auto" w:fill="auto"/>
            <w:vAlign w:val="center"/>
          </w:tcPr>
          <w:p w14:paraId="5DDFDD48" w14:textId="4133AABD" w:rsidR="00811E0E" w:rsidRPr="00E96E9F" w:rsidRDefault="00811E0E" w:rsidP="00DB65AC">
            <w:pPr>
              <w:pStyle w:val="In-tableHeading"/>
              <w:widowControl w:val="0"/>
              <w:rPr>
                <w:lang w:val="en-AU"/>
              </w:rPr>
            </w:pPr>
            <w:r w:rsidRPr="00E96E9F">
              <w:rPr>
                <w:lang w:val="en-AU"/>
              </w:rPr>
              <w:t>Value</w:t>
            </w:r>
            <w:r w:rsidR="00F96B2F" w:rsidRPr="00E96E9F">
              <w:rPr>
                <w:lang w:val="en-AU"/>
              </w:rPr>
              <w:t xml:space="preserve"> </w:t>
            </w:r>
            <w:r w:rsidRPr="00E96E9F">
              <w:rPr>
                <w:lang w:val="en-AU"/>
              </w:rPr>
              <w:t>applied</w:t>
            </w:r>
            <w:r w:rsidR="00F96B2F" w:rsidRPr="00E96E9F">
              <w:rPr>
                <w:lang w:val="en-AU"/>
              </w:rPr>
              <w:t xml:space="preserve"> </w:t>
            </w:r>
            <w:r w:rsidRPr="00E96E9F">
              <w:rPr>
                <w:lang w:val="en-AU"/>
              </w:rPr>
              <w:t>and</w:t>
            </w:r>
            <w:r w:rsidR="00F96B2F" w:rsidRPr="00E96E9F">
              <w:rPr>
                <w:lang w:val="en-AU"/>
              </w:rPr>
              <w:t xml:space="preserve"> </w:t>
            </w:r>
            <w:r w:rsidRPr="00E96E9F">
              <w:rPr>
                <w:lang w:val="en-AU"/>
              </w:rPr>
              <w:t>source</w:t>
            </w:r>
          </w:p>
        </w:tc>
        <w:tc>
          <w:tcPr>
            <w:tcW w:w="1780" w:type="pct"/>
            <w:shd w:val="clear" w:color="auto" w:fill="auto"/>
            <w:vAlign w:val="center"/>
          </w:tcPr>
          <w:p w14:paraId="70390592" w14:textId="77777777" w:rsidR="00811E0E" w:rsidRPr="00E96E9F" w:rsidRDefault="00811E0E" w:rsidP="00DB65AC">
            <w:pPr>
              <w:pStyle w:val="In-tableHeading"/>
              <w:widowControl w:val="0"/>
              <w:rPr>
                <w:lang w:val="en-AU"/>
              </w:rPr>
            </w:pPr>
            <w:r w:rsidRPr="00E96E9F">
              <w:rPr>
                <w:lang w:val="en-AU"/>
              </w:rPr>
              <w:t>Comment</w:t>
            </w:r>
          </w:p>
        </w:tc>
      </w:tr>
      <w:tr w:rsidR="00811E0E" w:rsidRPr="00747476" w14:paraId="5DEE0202" w14:textId="77777777" w:rsidTr="00CF047E">
        <w:tc>
          <w:tcPr>
            <w:tcW w:w="950" w:type="pct"/>
            <w:shd w:val="clear" w:color="auto" w:fill="auto"/>
            <w:vAlign w:val="center"/>
          </w:tcPr>
          <w:p w14:paraId="10F79061" w14:textId="77777777" w:rsidR="00811E0E" w:rsidRPr="00747476" w:rsidRDefault="00811E0E" w:rsidP="00DB65AC">
            <w:pPr>
              <w:pStyle w:val="TableText0"/>
              <w:widowControl w:val="0"/>
            </w:pPr>
            <w:r w:rsidRPr="00747476">
              <w:t>Population</w:t>
            </w:r>
          </w:p>
        </w:tc>
        <w:tc>
          <w:tcPr>
            <w:tcW w:w="2270" w:type="pct"/>
            <w:shd w:val="clear" w:color="auto" w:fill="auto"/>
            <w:vAlign w:val="center"/>
          </w:tcPr>
          <w:p w14:paraId="046A96D5" w14:textId="48EE11A3" w:rsidR="00811E0E" w:rsidRPr="00747476" w:rsidRDefault="00B70332" w:rsidP="00DB65AC">
            <w:pPr>
              <w:pStyle w:val="TableText0"/>
              <w:widowControl w:val="0"/>
            </w:pPr>
            <w:r w:rsidRPr="00747476">
              <w:t xml:space="preserve">The estimated </w:t>
            </w:r>
            <w:r w:rsidR="00811E0E" w:rsidRPr="00747476">
              <w:t>number</w:t>
            </w:r>
            <w:r w:rsidR="00F96B2F" w:rsidRPr="00747476">
              <w:t xml:space="preserve"> </w:t>
            </w:r>
            <w:r w:rsidR="00811E0E" w:rsidRPr="00747476">
              <w:t>of</w:t>
            </w:r>
            <w:r w:rsidR="00F96B2F" w:rsidRPr="00747476">
              <w:t xml:space="preserve"> </w:t>
            </w:r>
            <w:r w:rsidR="00811E0E" w:rsidRPr="00747476">
              <w:t>patients</w:t>
            </w:r>
            <w:r w:rsidR="00F96B2F" w:rsidRPr="00747476">
              <w:t xml:space="preserve"> </w:t>
            </w:r>
            <w:r w:rsidR="00811E0E" w:rsidRPr="00747476">
              <w:t>treated</w:t>
            </w:r>
            <w:r w:rsidR="00F96B2F" w:rsidRPr="00747476">
              <w:t xml:space="preserve"> </w:t>
            </w:r>
            <w:r w:rsidR="00811E0E" w:rsidRPr="00747476">
              <w:t>with</w:t>
            </w:r>
            <w:r w:rsidR="00F96B2F" w:rsidRPr="00747476">
              <w:t xml:space="preserve"> </w:t>
            </w:r>
            <w:r w:rsidR="00811E0E" w:rsidRPr="00747476">
              <w:t>daily</w:t>
            </w:r>
            <w:r w:rsidR="00F96B2F" w:rsidRPr="00747476">
              <w:t xml:space="preserve"> </w:t>
            </w:r>
            <w:r w:rsidR="00811E0E" w:rsidRPr="00747476">
              <w:t>GH</w:t>
            </w:r>
            <w:r w:rsidR="00F96B2F" w:rsidRPr="00747476">
              <w:t xml:space="preserve"> </w:t>
            </w:r>
            <w:r w:rsidRPr="00747476">
              <w:t xml:space="preserve">from </w:t>
            </w:r>
            <w:r w:rsidR="00811E0E" w:rsidRPr="00747476">
              <w:t>2022</w:t>
            </w:r>
            <w:r w:rsidR="00F96B2F" w:rsidRPr="00747476">
              <w:t xml:space="preserve"> </w:t>
            </w:r>
            <w:r w:rsidR="00811E0E" w:rsidRPr="00747476">
              <w:t>to</w:t>
            </w:r>
            <w:r w:rsidR="00F96B2F" w:rsidRPr="00747476">
              <w:t xml:space="preserve"> </w:t>
            </w:r>
            <w:r w:rsidR="00811E0E" w:rsidRPr="00747476">
              <w:t>2027</w:t>
            </w:r>
            <w:r w:rsidR="00F96B2F" w:rsidRPr="00747476">
              <w:t xml:space="preserve"> </w:t>
            </w:r>
            <w:r w:rsidR="00811E0E" w:rsidRPr="00747476">
              <w:t>using</w:t>
            </w:r>
            <w:r w:rsidRPr="00747476">
              <w:t xml:space="preserve"> a</w:t>
            </w:r>
            <w:r w:rsidR="00F96B2F" w:rsidRPr="00747476">
              <w:t xml:space="preserve"> </w:t>
            </w:r>
            <w:r w:rsidR="00811E0E" w:rsidRPr="00747476">
              <w:t>linear</w:t>
            </w:r>
            <w:r w:rsidR="00F96B2F" w:rsidRPr="00747476">
              <w:t xml:space="preserve"> </w:t>
            </w:r>
            <w:r w:rsidR="00811E0E" w:rsidRPr="00747476">
              <w:t>extrapolation</w:t>
            </w:r>
            <w:r w:rsidR="00F96B2F" w:rsidRPr="00747476">
              <w:t xml:space="preserve"> </w:t>
            </w:r>
            <w:r w:rsidR="00811E0E" w:rsidRPr="00747476">
              <w:t>of</w:t>
            </w:r>
            <w:r w:rsidR="00F96B2F" w:rsidRPr="00747476">
              <w:t xml:space="preserve"> </w:t>
            </w:r>
            <w:r w:rsidR="00811E0E" w:rsidRPr="00747476">
              <w:t>PBS</w:t>
            </w:r>
            <w:r w:rsidR="00F96B2F" w:rsidRPr="00747476">
              <w:t xml:space="preserve"> </w:t>
            </w:r>
            <w:r w:rsidR="00811E0E" w:rsidRPr="00747476">
              <w:t>1</w:t>
            </w:r>
            <w:r w:rsidR="00F96B2F" w:rsidRPr="00747476">
              <w:t xml:space="preserve"> </w:t>
            </w:r>
            <w:r w:rsidR="00811E0E" w:rsidRPr="00747476">
              <w:t>in</w:t>
            </w:r>
            <w:r w:rsidR="00F96B2F" w:rsidRPr="00747476">
              <w:t xml:space="preserve"> </w:t>
            </w:r>
            <w:r w:rsidR="00811E0E" w:rsidRPr="00747476">
              <w:t>10</w:t>
            </w:r>
            <w:r w:rsidR="00F96B2F" w:rsidRPr="00747476">
              <w:t xml:space="preserve"> </w:t>
            </w:r>
            <w:r w:rsidR="00811E0E" w:rsidRPr="00747476">
              <w:t>data</w:t>
            </w:r>
            <w:r w:rsidR="00F96B2F" w:rsidRPr="00747476">
              <w:t xml:space="preserve"> </w:t>
            </w:r>
            <w:r w:rsidR="00811E0E" w:rsidRPr="00747476">
              <w:t>from</w:t>
            </w:r>
            <w:r w:rsidR="00F96B2F" w:rsidRPr="00747476">
              <w:t xml:space="preserve"> </w:t>
            </w:r>
            <w:r w:rsidR="00811E0E" w:rsidRPr="00747476">
              <w:t>2016</w:t>
            </w:r>
            <w:r w:rsidR="00F96B2F" w:rsidRPr="00747476">
              <w:t xml:space="preserve"> </w:t>
            </w:r>
            <w:r w:rsidR="00811E0E" w:rsidRPr="00747476">
              <w:t>to</w:t>
            </w:r>
            <w:r w:rsidR="00F96B2F" w:rsidRPr="00747476">
              <w:t xml:space="preserve"> </w:t>
            </w:r>
            <w:r w:rsidR="00811E0E" w:rsidRPr="00747476">
              <w:t>2019</w:t>
            </w:r>
          </w:p>
          <w:tbl>
            <w:tblPr>
              <w:tblStyle w:val="TableGrid"/>
              <w:tblW w:w="0" w:type="auto"/>
              <w:tblLayout w:type="fixed"/>
              <w:tblLook w:val="04A0" w:firstRow="1" w:lastRow="0" w:firstColumn="1" w:lastColumn="0" w:noHBand="0" w:noVBand="1"/>
            </w:tblPr>
            <w:tblGrid>
              <w:gridCol w:w="805"/>
              <w:gridCol w:w="805"/>
              <w:gridCol w:w="806"/>
              <w:gridCol w:w="806"/>
              <w:gridCol w:w="806"/>
            </w:tblGrid>
            <w:tr w:rsidR="00811E0E" w:rsidRPr="00747476" w14:paraId="03998AB7" w14:textId="77777777" w:rsidTr="00CF047E">
              <w:tc>
                <w:tcPr>
                  <w:tcW w:w="805" w:type="dxa"/>
                </w:tcPr>
                <w:p w14:paraId="082928B2" w14:textId="77777777" w:rsidR="00811E0E" w:rsidRPr="00747476" w:rsidRDefault="00811E0E" w:rsidP="00DB65AC">
                  <w:pPr>
                    <w:pStyle w:val="TableText0"/>
                    <w:widowControl w:val="0"/>
                    <w:jc w:val="center"/>
                  </w:pPr>
                </w:p>
              </w:tc>
              <w:tc>
                <w:tcPr>
                  <w:tcW w:w="805" w:type="dxa"/>
                </w:tcPr>
                <w:p w14:paraId="2E0AFACC" w14:textId="03DC0288" w:rsidR="00811E0E" w:rsidRPr="00747476" w:rsidRDefault="00811E0E" w:rsidP="00DB65AC">
                  <w:pPr>
                    <w:pStyle w:val="TableText0"/>
                    <w:widowControl w:val="0"/>
                    <w:jc w:val="center"/>
                  </w:pPr>
                  <w:r w:rsidRPr="00747476">
                    <w:t>Age</w:t>
                  </w:r>
                  <w:r w:rsidR="00F96B2F" w:rsidRPr="00747476">
                    <w:t xml:space="preserve"> </w:t>
                  </w:r>
                  <w:r w:rsidRPr="00747476">
                    <w:t>&lt;5</w:t>
                  </w:r>
                </w:p>
              </w:tc>
              <w:tc>
                <w:tcPr>
                  <w:tcW w:w="806" w:type="dxa"/>
                </w:tcPr>
                <w:p w14:paraId="76443E8B" w14:textId="77777777" w:rsidR="00811E0E" w:rsidRPr="00747476" w:rsidRDefault="00811E0E" w:rsidP="00DB65AC">
                  <w:pPr>
                    <w:pStyle w:val="TableText0"/>
                    <w:widowControl w:val="0"/>
                    <w:jc w:val="center"/>
                  </w:pPr>
                  <w:r w:rsidRPr="00747476">
                    <w:t>5-9</w:t>
                  </w:r>
                </w:p>
              </w:tc>
              <w:tc>
                <w:tcPr>
                  <w:tcW w:w="806" w:type="dxa"/>
                </w:tcPr>
                <w:p w14:paraId="332063EA" w14:textId="77777777" w:rsidR="00811E0E" w:rsidRPr="00747476" w:rsidRDefault="00811E0E" w:rsidP="00DB65AC">
                  <w:pPr>
                    <w:pStyle w:val="TableText0"/>
                    <w:widowControl w:val="0"/>
                    <w:jc w:val="center"/>
                  </w:pPr>
                  <w:r w:rsidRPr="00747476">
                    <w:t>10-14</w:t>
                  </w:r>
                </w:p>
              </w:tc>
              <w:tc>
                <w:tcPr>
                  <w:tcW w:w="806" w:type="dxa"/>
                </w:tcPr>
                <w:p w14:paraId="7CA5E6F0" w14:textId="77777777" w:rsidR="00811E0E" w:rsidRPr="00747476" w:rsidRDefault="00811E0E" w:rsidP="00DB65AC">
                  <w:pPr>
                    <w:pStyle w:val="TableText0"/>
                    <w:widowControl w:val="0"/>
                    <w:jc w:val="center"/>
                  </w:pPr>
                  <w:r w:rsidRPr="00747476">
                    <w:t>Total</w:t>
                  </w:r>
                </w:p>
              </w:tc>
            </w:tr>
            <w:tr w:rsidR="00811E0E" w:rsidRPr="00747476" w14:paraId="72B41FDD" w14:textId="77777777" w:rsidTr="00CF047E">
              <w:tc>
                <w:tcPr>
                  <w:tcW w:w="805" w:type="dxa"/>
                </w:tcPr>
                <w:p w14:paraId="346B35F8" w14:textId="539BD7AD" w:rsidR="00811E0E" w:rsidRPr="00747476" w:rsidRDefault="00811E0E" w:rsidP="00DB65AC">
                  <w:pPr>
                    <w:pStyle w:val="TableText0"/>
                    <w:widowControl w:val="0"/>
                    <w:jc w:val="center"/>
                  </w:pPr>
                  <w:r w:rsidRPr="00747476">
                    <w:t>Year</w:t>
                  </w:r>
                  <w:r w:rsidR="00F96B2F" w:rsidRPr="00747476">
                    <w:t xml:space="preserve"> </w:t>
                  </w:r>
                  <w:r w:rsidRPr="00747476">
                    <w:t>1</w:t>
                  </w:r>
                </w:p>
              </w:tc>
              <w:tc>
                <w:tcPr>
                  <w:tcW w:w="805" w:type="dxa"/>
                </w:tcPr>
                <w:p w14:paraId="10023A5F" w14:textId="77777777" w:rsidR="00811E0E" w:rsidRPr="00747476" w:rsidRDefault="00811E0E" w:rsidP="00DB65AC">
                  <w:pPr>
                    <w:pStyle w:val="TableText0"/>
                    <w:widowControl w:val="0"/>
                    <w:jc w:val="center"/>
                  </w:pPr>
                  <w:r w:rsidRPr="00747476">
                    <w:t>102</w:t>
                  </w:r>
                </w:p>
              </w:tc>
              <w:tc>
                <w:tcPr>
                  <w:tcW w:w="806" w:type="dxa"/>
                </w:tcPr>
                <w:p w14:paraId="408608BB" w14:textId="77777777" w:rsidR="00811E0E" w:rsidRPr="00747476" w:rsidRDefault="00811E0E" w:rsidP="00DB65AC">
                  <w:pPr>
                    <w:pStyle w:val="TableText0"/>
                    <w:widowControl w:val="0"/>
                    <w:jc w:val="center"/>
                  </w:pPr>
                  <w:r w:rsidRPr="00747476">
                    <w:t>356</w:t>
                  </w:r>
                </w:p>
              </w:tc>
              <w:tc>
                <w:tcPr>
                  <w:tcW w:w="806" w:type="dxa"/>
                </w:tcPr>
                <w:p w14:paraId="7109CCF1" w14:textId="77777777" w:rsidR="00811E0E" w:rsidRPr="00747476" w:rsidRDefault="00811E0E" w:rsidP="00DB65AC">
                  <w:pPr>
                    <w:pStyle w:val="TableText0"/>
                    <w:widowControl w:val="0"/>
                    <w:jc w:val="center"/>
                  </w:pPr>
                  <w:r w:rsidRPr="00747476">
                    <w:t>999</w:t>
                  </w:r>
                </w:p>
              </w:tc>
              <w:tc>
                <w:tcPr>
                  <w:tcW w:w="806" w:type="dxa"/>
                </w:tcPr>
                <w:p w14:paraId="20081FAE" w14:textId="77777777" w:rsidR="00811E0E" w:rsidRPr="00747476" w:rsidRDefault="00811E0E" w:rsidP="00DB65AC">
                  <w:pPr>
                    <w:pStyle w:val="TableText0"/>
                    <w:widowControl w:val="0"/>
                    <w:jc w:val="center"/>
                  </w:pPr>
                  <w:r w:rsidRPr="00747476">
                    <w:t>1,457</w:t>
                  </w:r>
                </w:p>
              </w:tc>
            </w:tr>
            <w:tr w:rsidR="00811E0E" w:rsidRPr="00747476" w14:paraId="79AE3D36" w14:textId="77777777" w:rsidTr="00CF047E">
              <w:tc>
                <w:tcPr>
                  <w:tcW w:w="805" w:type="dxa"/>
                </w:tcPr>
                <w:p w14:paraId="03375055" w14:textId="5752FC1D" w:rsidR="00811E0E" w:rsidRPr="00747476" w:rsidRDefault="00811E0E" w:rsidP="00DB65AC">
                  <w:pPr>
                    <w:pStyle w:val="TableText0"/>
                    <w:widowControl w:val="0"/>
                    <w:jc w:val="center"/>
                  </w:pPr>
                  <w:r w:rsidRPr="00747476">
                    <w:t>Year</w:t>
                  </w:r>
                  <w:r w:rsidR="00F96B2F" w:rsidRPr="00747476">
                    <w:t xml:space="preserve"> </w:t>
                  </w:r>
                  <w:r w:rsidRPr="00747476">
                    <w:t>2</w:t>
                  </w:r>
                </w:p>
              </w:tc>
              <w:tc>
                <w:tcPr>
                  <w:tcW w:w="805" w:type="dxa"/>
                </w:tcPr>
                <w:p w14:paraId="7C1187D8" w14:textId="77777777" w:rsidR="00811E0E" w:rsidRPr="00747476" w:rsidRDefault="00811E0E" w:rsidP="00DB65AC">
                  <w:pPr>
                    <w:pStyle w:val="TableText0"/>
                    <w:widowControl w:val="0"/>
                    <w:jc w:val="center"/>
                  </w:pPr>
                  <w:r w:rsidRPr="00747476">
                    <w:t>107</w:t>
                  </w:r>
                </w:p>
              </w:tc>
              <w:tc>
                <w:tcPr>
                  <w:tcW w:w="806" w:type="dxa"/>
                </w:tcPr>
                <w:p w14:paraId="479567CD" w14:textId="77777777" w:rsidR="00811E0E" w:rsidRPr="00747476" w:rsidRDefault="00811E0E" w:rsidP="00DB65AC">
                  <w:pPr>
                    <w:pStyle w:val="TableText0"/>
                    <w:widowControl w:val="0"/>
                    <w:jc w:val="center"/>
                  </w:pPr>
                  <w:r w:rsidRPr="00747476">
                    <w:t>348</w:t>
                  </w:r>
                </w:p>
              </w:tc>
              <w:tc>
                <w:tcPr>
                  <w:tcW w:w="806" w:type="dxa"/>
                </w:tcPr>
                <w:p w14:paraId="49BBF778" w14:textId="77777777" w:rsidR="00811E0E" w:rsidRPr="00747476" w:rsidRDefault="00811E0E" w:rsidP="00DB65AC">
                  <w:pPr>
                    <w:pStyle w:val="TableText0"/>
                    <w:widowControl w:val="0"/>
                    <w:jc w:val="center"/>
                  </w:pPr>
                  <w:r w:rsidRPr="00747476">
                    <w:t>1,046</w:t>
                  </w:r>
                </w:p>
              </w:tc>
              <w:tc>
                <w:tcPr>
                  <w:tcW w:w="806" w:type="dxa"/>
                </w:tcPr>
                <w:p w14:paraId="4B1181D2" w14:textId="77777777" w:rsidR="00811E0E" w:rsidRPr="00747476" w:rsidRDefault="00811E0E" w:rsidP="00DB65AC">
                  <w:pPr>
                    <w:pStyle w:val="TableText0"/>
                    <w:widowControl w:val="0"/>
                    <w:jc w:val="center"/>
                  </w:pPr>
                  <w:r w:rsidRPr="00747476">
                    <w:t>1,500</w:t>
                  </w:r>
                </w:p>
              </w:tc>
            </w:tr>
            <w:tr w:rsidR="00811E0E" w:rsidRPr="00747476" w14:paraId="4CC43E3E" w14:textId="77777777" w:rsidTr="00CF047E">
              <w:tc>
                <w:tcPr>
                  <w:tcW w:w="805" w:type="dxa"/>
                </w:tcPr>
                <w:p w14:paraId="2C6F3E59" w14:textId="5994F108" w:rsidR="00811E0E" w:rsidRPr="00747476" w:rsidRDefault="00811E0E" w:rsidP="00DB65AC">
                  <w:pPr>
                    <w:pStyle w:val="TableText0"/>
                    <w:widowControl w:val="0"/>
                    <w:jc w:val="center"/>
                  </w:pPr>
                  <w:r w:rsidRPr="00747476">
                    <w:t>Year</w:t>
                  </w:r>
                  <w:r w:rsidR="00F96B2F" w:rsidRPr="00747476">
                    <w:t xml:space="preserve"> </w:t>
                  </w:r>
                  <w:r w:rsidRPr="00747476">
                    <w:t>3</w:t>
                  </w:r>
                </w:p>
              </w:tc>
              <w:tc>
                <w:tcPr>
                  <w:tcW w:w="805" w:type="dxa"/>
                </w:tcPr>
                <w:p w14:paraId="42B7AE61" w14:textId="77777777" w:rsidR="00811E0E" w:rsidRPr="00747476" w:rsidRDefault="00811E0E" w:rsidP="00DB65AC">
                  <w:pPr>
                    <w:pStyle w:val="TableText0"/>
                    <w:widowControl w:val="0"/>
                    <w:jc w:val="center"/>
                  </w:pPr>
                  <w:r w:rsidRPr="00747476">
                    <w:t>111</w:t>
                  </w:r>
                </w:p>
              </w:tc>
              <w:tc>
                <w:tcPr>
                  <w:tcW w:w="806" w:type="dxa"/>
                </w:tcPr>
                <w:p w14:paraId="1BA9951C" w14:textId="77777777" w:rsidR="00811E0E" w:rsidRPr="00747476" w:rsidRDefault="00811E0E" w:rsidP="00DB65AC">
                  <w:pPr>
                    <w:pStyle w:val="TableText0"/>
                    <w:widowControl w:val="0"/>
                    <w:jc w:val="center"/>
                  </w:pPr>
                  <w:r w:rsidRPr="00747476">
                    <w:t>340</w:t>
                  </w:r>
                </w:p>
              </w:tc>
              <w:tc>
                <w:tcPr>
                  <w:tcW w:w="806" w:type="dxa"/>
                </w:tcPr>
                <w:p w14:paraId="53CA0CCA" w14:textId="77777777" w:rsidR="00811E0E" w:rsidRPr="00747476" w:rsidRDefault="00811E0E" w:rsidP="00DB65AC">
                  <w:pPr>
                    <w:pStyle w:val="TableText0"/>
                    <w:widowControl w:val="0"/>
                    <w:jc w:val="center"/>
                  </w:pPr>
                  <w:r w:rsidRPr="00747476">
                    <w:t>1,092</w:t>
                  </w:r>
                </w:p>
              </w:tc>
              <w:tc>
                <w:tcPr>
                  <w:tcW w:w="806" w:type="dxa"/>
                </w:tcPr>
                <w:p w14:paraId="09599560" w14:textId="77777777" w:rsidR="00811E0E" w:rsidRPr="00747476" w:rsidRDefault="00811E0E" w:rsidP="00DB65AC">
                  <w:pPr>
                    <w:pStyle w:val="TableText0"/>
                    <w:widowControl w:val="0"/>
                    <w:jc w:val="center"/>
                  </w:pPr>
                  <w:r w:rsidRPr="00747476">
                    <w:t>1,543</w:t>
                  </w:r>
                </w:p>
              </w:tc>
            </w:tr>
            <w:tr w:rsidR="00811E0E" w:rsidRPr="00747476" w14:paraId="4D2C9E3F" w14:textId="77777777" w:rsidTr="00CF047E">
              <w:tc>
                <w:tcPr>
                  <w:tcW w:w="805" w:type="dxa"/>
                </w:tcPr>
                <w:p w14:paraId="1F94BD79" w14:textId="22D28491" w:rsidR="00811E0E" w:rsidRPr="00747476" w:rsidRDefault="00811E0E" w:rsidP="00DB65AC">
                  <w:pPr>
                    <w:pStyle w:val="TableText0"/>
                    <w:widowControl w:val="0"/>
                    <w:jc w:val="center"/>
                  </w:pPr>
                  <w:r w:rsidRPr="00747476">
                    <w:t>Year</w:t>
                  </w:r>
                  <w:r w:rsidR="00F96B2F" w:rsidRPr="00747476">
                    <w:t xml:space="preserve"> </w:t>
                  </w:r>
                  <w:r w:rsidRPr="00747476">
                    <w:t>4</w:t>
                  </w:r>
                </w:p>
              </w:tc>
              <w:tc>
                <w:tcPr>
                  <w:tcW w:w="805" w:type="dxa"/>
                </w:tcPr>
                <w:p w14:paraId="2835827B" w14:textId="77777777" w:rsidR="00811E0E" w:rsidRPr="00747476" w:rsidRDefault="00811E0E" w:rsidP="00DB65AC">
                  <w:pPr>
                    <w:pStyle w:val="TableText0"/>
                    <w:widowControl w:val="0"/>
                    <w:jc w:val="center"/>
                  </w:pPr>
                  <w:r w:rsidRPr="00747476">
                    <w:t>116</w:t>
                  </w:r>
                </w:p>
              </w:tc>
              <w:tc>
                <w:tcPr>
                  <w:tcW w:w="806" w:type="dxa"/>
                </w:tcPr>
                <w:p w14:paraId="27DB7304" w14:textId="77777777" w:rsidR="00811E0E" w:rsidRPr="00747476" w:rsidRDefault="00811E0E" w:rsidP="00DB65AC">
                  <w:pPr>
                    <w:pStyle w:val="TableText0"/>
                    <w:widowControl w:val="0"/>
                    <w:jc w:val="center"/>
                  </w:pPr>
                  <w:r w:rsidRPr="00747476">
                    <w:t>332</w:t>
                  </w:r>
                </w:p>
              </w:tc>
              <w:tc>
                <w:tcPr>
                  <w:tcW w:w="806" w:type="dxa"/>
                </w:tcPr>
                <w:p w14:paraId="28D81B20" w14:textId="77777777" w:rsidR="00811E0E" w:rsidRPr="00747476" w:rsidRDefault="00811E0E" w:rsidP="00DB65AC">
                  <w:pPr>
                    <w:pStyle w:val="TableText0"/>
                    <w:widowControl w:val="0"/>
                    <w:jc w:val="center"/>
                  </w:pPr>
                  <w:r w:rsidRPr="00747476">
                    <w:t>1,139</w:t>
                  </w:r>
                </w:p>
              </w:tc>
              <w:tc>
                <w:tcPr>
                  <w:tcW w:w="806" w:type="dxa"/>
                </w:tcPr>
                <w:p w14:paraId="059556B9" w14:textId="77777777" w:rsidR="00811E0E" w:rsidRPr="00747476" w:rsidRDefault="00811E0E" w:rsidP="00DB65AC">
                  <w:pPr>
                    <w:pStyle w:val="TableText0"/>
                    <w:widowControl w:val="0"/>
                    <w:jc w:val="center"/>
                  </w:pPr>
                  <w:r w:rsidRPr="00747476">
                    <w:t>1,587</w:t>
                  </w:r>
                </w:p>
              </w:tc>
            </w:tr>
            <w:tr w:rsidR="00811E0E" w:rsidRPr="00747476" w14:paraId="51572991" w14:textId="77777777" w:rsidTr="00CF047E">
              <w:tc>
                <w:tcPr>
                  <w:tcW w:w="805" w:type="dxa"/>
                </w:tcPr>
                <w:p w14:paraId="43BFA2B7" w14:textId="529A98D9" w:rsidR="00811E0E" w:rsidRPr="00747476" w:rsidRDefault="00811E0E" w:rsidP="00DB65AC">
                  <w:pPr>
                    <w:pStyle w:val="TableText0"/>
                    <w:widowControl w:val="0"/>
                    <w:jc w:val="center"/>
                  </w:pPr>
                  <w:r w:rsidRPr="00747476">
                    <w:t>Year</w:t>
                  </w:r>
                  <w:r w:rsidR="00F96B2F" w:rsidRPr="00747476">
                    <w:t xml:space="preserve"> </w:t>
                  </w:r>
                  <w:r w:rsidRPr="00747476">
                    <w:t>5</w:t>
                  </w:r>
                </w:p>
              </w:tc>
              <w:tc>
                <w:tcPr>
                  <w:tcW w:w="805" w:type="dxa"/>
                </w:tcPr>
                <w:p w14:paraId="29D2196E" w14:textId="77777777" w:rsidR="00811E0E" w:rsidRPr="00747476" w:rsidRDefault="00811E0E" w:rsidP="00DB65AC">
                  <w:pPr>
                    <w:pStyle w:val="TableText0"/>
                    <w:widowControl w:val="0"/>
                    <w:jc w:val="center"/>
                  </w:pPr>
                  <w:r w:rsidRPr="00747476">
                    <w:t>121</w:t>
                  </w:r>
                </w:p>
              </w:tc>
              <w:tc>
                <w:tcPr>
                  <w:tcW w:w="806" w:type="dxa"/>
                </w:tcPr>
                <w:p w14:paraId="7C26475B" w14:textId="77777777" w:rsidR="00811E0E" w:rsidRPr="00747476" w:rsidRDefault="00811E0E" w:rsidP="00DB65AC">
                  <w:pPr>
                    <w:pStyle w:val="TableText0"/>
                    <w:widowControl w:val="0"/>
                    <w:jc w:val="center"/>
                  </w:pPr>
                  <w:r w:rsidRPr="00747476">
                    <w:t>324</w:t>
                  </w:r>
                </w:p>
              </w:tc>
              <w:tc>
                <w:tcPr>
                  <w:tcW w:w="806" w:type="dxa"/>
                </w:tcPr>
                <w:p w14:paraId="638C6950" w14:textId="77777777" w:rsidR="00811E0E" w:rsidRPr="00747476" w:rsidRDefault="00811E0E" w:rsidP="00DB65AC">
                  <w:pPr>
                    <w:pStyle w:val="TableText0"/>
                    <w:widowControl w:val="0"/>
                    <w:jc w:val="center"/>
                  </w:pPr>
                  <w:r w:rsidRPr="00747476">
                    <w:t>1,185</w:t>
                  </w:r>
                </w:p>
              </w:tc>
              <w:tc>
                <w:tcPr>
                  <w:tcW w:w="806" w:type="dxa"/>
                </w:tcPr>
                <w:p w14:paraId="1CB11AA0" w14:textId="77777777" w:rsidR="00811E0E" w:rsidRPr="00747476" w:rsidRDefault="00811E0E" w:rsidP="00DB65AC">
                  <w:pPr>
                    <w:pStyle w:val="TableText0"/>
                    <w:widowControl w:val="0"/>
                    <w:jc w:val="center"/>
                  </w:pPr>
                  <w:r w:rsidRPr="00747476">
                    <w:t>1,630</w:t>
                  </w:r>
                </w:p>
              </w:tc>
            </w:tr>
            <w:tr w:rsidR="00811E0E" w:rsidRPr="00747476" w14:paraId="7BCC12D3" w14:textId="77777777" w:rsidTr="00CF047E">
              <w:tc>
                <w:tcPr>
                  <w:tcW w:w="805" w:type="dxa"/>
                </w:tcPr>
                <w:p w14:paraId="17E2776B" w14:textId="1B5D4B10" w:rsidR="00811E0E" w:rsidRPr="00747476" w:rsidRDefault="00811E0E" w:rsidP="00DB65AC">
                  <w:pPr>
                    <w:pStyle w:val="TableText0"/>
                    <w:widowControl w:val="0"/>
                    <w:jc w:val="center"/>
                  </w:pPr>
                  <w:r w:rsidRPr="00747476">
                    <w:t>Year</w:t>
                  </w:r>
                  <w:r w:rsidR="00F96B2F" w:rsidRPr="00747476">
                    <w:t xml:space="preserve"> </w:t>
                  </w:r>
                  <w:r w:rsidRPr="00747476">
                    <w:t>6</w:t>
                  </w:r>
                </w:p>
              </w:tc>
              <w:tc>
                <w:tcPr>
                  <w:tcW w:w="805" w:type="dxa"/>
                </w:tcPr>
                <w:p w14:paraId="660C123E" w14:textId="77777777" w:rsidR="00811E0E" w:rsidRPr="00747476" w:rsidRDefault="00811E0E" w:rsidP="00DB65AC">
                  <w:pPr>
                    <w:pStyle w:val="TableText0"/>
                    <w:widowControl w:val="0"/>
                    <w:jc w:val="center"/>
                  </w:pPr>
                  <w:r w:rsidRPr="00747476">
                    <w:t>125</w:t>
                  </w:r>
                </w:p>
              </w:tc>
              <w:tc>
                <w:tcPr>
                  <w:tcW w:w="806" w:type="dxa"/>
                </w:tcPr>
                <w:p w14:paraId="7824D493" w14:textId="77777777" w:rsidR="00811E0E" w:rsidRPr="00747476" w:rsidRDefault="00811E0E" w:rsidP="00DB65AC">
                  <w:pPr>
                    <w:pStyle w:val="TableText0"/>
                    <w:widowControl w:val="0"/>
                    <w:jc w:val="center"/>
                  </w:pPr>
                  <w:r w:rsidRPr="00747476">
                    <w:t>316</w:t>
                  </w:r>
                </w:p>
              </w:tc>
              <w:tc>
                <w:tcPr>
                  <w:tcW w:w="806" w:type="dxa"/>
                </w:tcPr>
                <w:p w14:paraId="37FBF580" w14:textId="77777777" w:rsidR="00811E0E" w:rsidRPr="00747476" w:rsidRDefault="00811E0E" w:rsidP="00DB65AC">
                  <w:pPr>
                    <w:pStyle w:val="TableText0"/>
                    <w:widowControl w:val="0"/>
                    <w:jc w:val="center"/>
                  </w:pPr>
                  <w:r w:rsidRPr="00747476">
                    <w:t>1,232</w:t>
                  </w:r>
                </w:p>
              </w:tc>
              <w:tc>
                <w:tcPr>
                  <w:tcW w:w="806" w:type="dxa"/>
                </w:tcPr>
                <w:p w14:paraId="58061121" w14:textId="77777777" w:rsidR="00811E0E" w:rsidRPr="00747476" w:rsidRDefault="00811E0E" w:rsidP="00DB65AC">
                  <w:pPr>
                    <w:pStyle w:val="TableText0"/>
                    <w:widowControl w:val="0"/>
                    <w:jc w:val="center"/>
                  </w:pPr>
                  <w:r w:rsidRPr="00747476">
                    <w:t>1,673</w:t>
                  </w:r>
                </w:p>
              </w:tc>
            </w:tr>
          </w:tbl>
          <w:p w14:paraId="5EFB21CF" w14:textId="77777777" w:rsidR="00811E0E" w:rsidRPr="00747476" w:rsidRDefault="00811E0E" w:rsidP="00DB65AC">
            <w:pPr>
              <w:pStyle w:val="TableText0"/>
              <w:widowControl w:val="0"/>
            </w:pPr>
          </w:p>
        </w:tc>
        <w:tc>
          <w:tcPr>
            <w:tcW w:w="1780" w:type="pct"/>
            <w:shd w:val="clear" w:color="auto" w:fill="auto"/>
            <w:vAlign w:val="center"/>
          </w:tcPr>
          <w:p w14:paraId="634CF776" w14:textId="6EA7405E" w:rsidR="00811E0E" w:rsidRPr="00747476" w:rsidRDefault="00811E0E" w:rsidP="00DB65AC">
            <w:pPr>
              <w:pStyle w:val="TableText0"/>
              <w:widowControl w:val="0"/>
              <w:rPr>
                <w:iCs/>
              </w:rPr>
            </w:pPr>
            <w:r w:rsidRPr="00747476">
              <w:rPr>
                <w:iCs/>
              </w:rPr>
              <w:t>Uncertain.</w:t>
            </w:r>
            <w:r w:rsidR="00F96B2F" w:rsidRPr="00747476">
              <w:rPr>
                <w:iCs/>
              </w:rPr>
              <w:t xml:space="preserve"> </w:t>
            </w:r>
            <w:r w:rsidRPr="00747476">
              <w:rPr>
                <w:iCs/>
              </w:rPr>
              <w:t>The</w:t>
            </w:r>
            <w:r w:rsidR="00F96B2F" w:rsidRPr="00747476">
              <w:rPr>
                <w:iCs/>
              </w:rPr>
              <w:t xml:space="preserve"> </w:t>
            </w:r>
            <w:r w:rsidRPr="00747476">
              <w:rPr>
                <w:iCs/>
              </w:rPr>
              <w:t>submission</w:t>
            </w:r>
            <w:r w:rsidR="00F96B2F" w:rsidRPr="00747476">
              <w:rPr>
                <w:iCs/>
              </w:rPr>
              <w:t xml:space="preserve"> </w:t>
            </w:r>
            <w:r w:rsidRPr="00747476">
              <w:rPr>
                <w:iCs/>
              </w:rPr>
              <w:t>did</w:t>
            </w:r>
            <w:r w:rsidR="00F96B2F" w:rsidRPr="00747476">
              <w:rPr>
                <w:iCs/>
              </w:rPr>
              <w:t xml:space="preserve"> </w:t>
            </w:r>
            <w:r w:rsidRPr="00747476">
              <w:rPr>
                <w:iCs/>
              </w:rPr>
              <w:t>not</w:t>
            </w:r>
            <w:r w:rsidR="00F96B2F" w:rsidRPr="00747476">
              <w:rPr>
                <w:iCs/>
              </w:rPr>
              <w:t xml:space="preserve"> </w:t>
            </w:r>
            <w:r w:rsidRPr="00747476">
              <w:rPr>
                <w:iCs/>
              </w:rPr>
              <w:t>provide</w:t>
            </w:r>
            <w:r w:rsidR="00F96B2F" w:rsidRPr="00747476">
              <w:rPr>
                <w:iCs/>
              </w:rPr>
              <w:t xml:space="preserve"> </w:t>
            </w:r>
            <w:r w:rsidRPr="00747476">
              <w:rPr>
                <w:iCs/>
              </w:rPr>
              <w:t>appropriate</w:t>
            </w:r>
            <w:r w:rsidR="00F96B2F" w:rsidRPr="00747476">
              <w:rPr>
                <w:iCs/>
              </w:rPr>
              <w:t xml:space="preserve"> </w:t>
            </w:r>
            <w:r w:rsidRPr="00747476">
              <w:rPr>
                <w:iCs/>
              </w:rPr>
              <w:t>justification</w:t>
            </w:r>
            <w:r w:rsidR="00F96B2F" w:rsidRPr="00747476">
              <w:rPr>
                <w:iCs/>
              </w:rPr>
              <w:t xml:space="preserve"> </w:t>
            </w:r>
            <w:r w:rsidRPr="00747476">
              <w:rPr>
                <w:iCs/>
              </w:rPr>
              <w:t>for</w:t>
            </w:r>
            <w:r w:rsidR="00F96B2F" w:rsidRPr="00747476">
              <w:rPr>
                <w:iCs/>
              </w:rPr>
              <w:t xml:space="preserve"> </w:t>
            </w:r>
            <w:r w:rsidRPr="00747476">
              <w:rPr>
                <w:iCs/>
              </w:rPr>
              <w:t>the</w:t>
            </w:r>
            <w:r w:rsidR="00F96B2F" w:rsidRPr="00747476">
              <w:rPr>
                <w:iCs/>
              </w:rPr>
              <w:t xml:space="preserve"> </w:t>
            </w:r>
            <w:r w:rsidRPr="00747476">
              <w:rPr>
                <w:iCs/>
              </w:rPr>
              <w:t>linear</w:t>
            </w:r>
            <w:r w:rsidR="00F96B2F" w:rsidRPr="00747476">
              <w:rPr>
                <w:iCs/>
              </w:rPr>
              <w:t xml:space="preserve"> </w:t>
            </w:r>
            <w:r w:rsidRPr="00747476">
              <w:rPr>
                <w:iCs/>
              </w:rPr>
              <w:t>market</w:t>
            </w:r>
            <w:r w:rsidR="00F96B2F" w:rsidRPr="00747476">
              <w:rPr>
                <w:iCs/>
              </w:rPr>
              <w:t xml:space="preserve"> </w:t>
            </w:r>
            <w:r w:rsidRPr="00747476">
              <w:rPr>
                <w:iCs/>
              </w:rPr>
              <w:t>growth</w:t>
            </w:r>
            <w:r w:rsidR="00F96B2F" w:rsidRPr="00747476">
              <w:rPr>
                <w:iCs/>
              </w:rPr>
              <w:t xml:space="preserve"> </w:t>
            </w:r>
            <w:r w:rsidRPr="00747476">
              <w:rPr>
                <w:iCs/>
              </w:rPr>
              <w:t>of</w:t>
            </w:r>
            <w:r w:rsidR="00F96B2F" w:rsidRPr="00747476">
              <w:rPr>
                <w:iCs/>
              </w:rPr>
              <w:t xml:space="preserve"> </w:t>
            </w:r>
            <w:r w:rsidRPr="00747476">
              <w:rPr>
                <w:iCs/>
              </w:rPr>
              <w:t>daily</w:t>
            </w:r>
            <w:r w:rsidR="00F96B2F" w:rsidRPr="00747476">
              <w:rPr>
                <w:iCs/>
              </w:rPr>
              <w:t xml:space="preserve"> </w:t>
            </w:r>
            <w:r w:rsidRPr="00747476">
              <w:rPr>
                <w:iCs/>
              </w:rPr>
              <w:t>GH.</w:t>
            </w:r>
          </w:p>
          <w:p w14:paraId="1ABE4DF9" w14:textId="77777777" w:rsidR="00811E0E" w:rsidRPr="00747476" w:rsidRDefault="00811E0E" w:rsidP="00DB65AC">
            <w:pPr>
              <w:pStyle w:val="TableText0"/>
              <w:widowControl w:val="0"/>
              <w:rPr>
                <w:iCs/>
              </w:rPr>
            </w:pPr>
          </w:p>
          <w:p w14:paraId="11C216B6" w14:textId="3400D5BE" w:rsidR="00811E0E" w:rsidRPr="00747476" w:rsidRDefault="00B70332" w:rsidP="00B64DA6">
            <w:pPr>
              <w:pStyle w:val="TableText0"/>
              <w:widowControl w:val="0"/>
            </w:pPr>
            <w:r w:rsidRPr="00747476">
              <w:rPr>
                <w:iCs/>
              </w:rPr>
              <w:t xml:space="preserve">The </w:t>
            </w:r>
            <w:r w:rsidR="00811E0E" w:rsidRPr="00747476">
              <w:rPr>
                <w:iCs/>
              </w:rPr>
              <w:t>PBS</w:t>
            </w:r>
            <w:r w:rsidR="00F96B2F" w:rsidRPr="00747476">
              <w:rPr>
                <w:iCs/>
              </w:rPr>
              <w:t xml:space="preserve"> </w:t>
            </w:r>
            <w:r w:rsidR="00811E0E" w:rsidRPr="00747476">
              <w:rPr>
                <w:iCs/>
              </w:rPr>
              <w:t>1</w:t>
            </w:r>
            <w:r w:rsidR="00F96B2F" w:rsidRPr="00747476">
              <w:rPr>
                <w:iCs/>
              </w:rPr>
              <w:t xml:space="preserve"> </w:t>
            </w:r>
            <w:r w:rsidR="00811E0E" w:rsidRPr="00747476">
              <w:rPr>
                <w:iCs/>
              </w:rPr>
              <w:t>in</w:t>
            </w:r>
            <w:r w:rsidR="00F96B2F" w:rsidRPr="00747476">
              <w:rPr>
                <w:iCs/>
              </w:rPr>
              <w:t xml:space="preserve"> </w:t>
            </w:r>
            <w:r w:rsidR="00811E0E" w:rsidRPr="00747476">
              <w:rPr>
                <w:iCs/>
              </w:rPr>
              <w:t>10</w:t>
            </w:r>
            <w:r w:rsidR="00F96B2F" w:rsidRPr="00747476">
              <w:rPr>
                <w:iCs/>
              </w:rPr>
              <w:t xml:space="preserve"> </w:t>
            </w:r>
            <w:r w:rsidR="00811E0E" w:rsidRPr="00747476">
              <w:rPr>
                <w:iCs/>
              </w:rPr>
              <w:t>data</w:t>
            </w:r>
            <w:r w:rsidR="00F96B2F" w:rsidRPr="00747476">
              <w:rPr>
                <w:iCs/>
              </w:rPr>
              <w:t xml:space="preserve"> </w:t>
            </w:r>
            <w:r w:rsidR="00811E0E" w:rsidRPr="00747476">
              <w:rPr>
                <w:iCs/>
              </w:rPr>
              <w:t>was</w:t>
            </w:r>
            <w:r w:rsidR="00F96B2F" w:rsidRPr="00747476">
              <w:rPr>
                <w:iCs/>
              </w:rPr>
              <w:t xml:space="preserve"> </w:t>
            </w:r>
            <w:r w:rsidR="00811E0E" w:rsidRPr="00747476">
              <w:rPr>
                <w:iCs/>
              </w:rPr>
              <w:t>verified.</w:t>
            </w:r>
            <w:r w:rsidR="00B64DA6" w:rsidRPr="00747476">
              <w:rPr>
                <w:iCs/>
              </w:rPr>
              <w:t xml:space="preserve"> The variation between the PBS 100% dataset and 10% dataset </w:t>
            </w:r>
            <w:r w:rsidRPr="00747476">
              <w:rPr>
                <w:iCs/>
              </w:rPr>
              <w:t xml:space="preserve">was </w:t>
            </w:r>
            <w:r w:rsidR="00B64DA6" w:rsidRPr="00747476">
              <w:rPr>
                <w:iCs/>
              </w:rPr>
              <w:t xml:space="preserve">insignificant and </w:t>
            </w:r>
            <w:r w:rsidRPr="00747476">
              <w:rPr>
                <w:iCs/>
              </w:rPr>
              <w:t xml:space="preserve">would </w:t>
            </w:r>
            <w:r w:rsidR="00B64DA6" w:rsidRPr="00747476">
              <w:rPr>
                <w:iCs/>
              </w:rPr>
              <w:t>not likely have</w:t>
            </w:r>
            <w:r w:rsidRPr="00747476">
              <w:rPr>
                <w:iCs/>
              </w:rPr>
              <w:t xml:space="preserve"> an</w:t>
            </w:r>
            <w:r w:rsidR="00B64DA6" w:rsidRPr="00747476">
              <w:rPr>
                <w:iCs/>
              </w:rPr>
              <w:t xml:space="preserve"> impact on </w:t>
            </w:r>
            <w:r w:rsidRPr="00747476">
              <w:rPr>
                <w:iCs/>
              </w:rPr>
              <w:t xml:space="preserve">the </w:t>
            </w:r>
            <w:r w:rsidR="00B64DA6" w:rsidRPr="00747476">
              <w:rPr>
                <w:iCs/>
              </w:rPr>
              <w:t>overall estimates</w:t>
            </w:r>
          </w:p>
        </w:tc>
      </w:tr>
      <w:tr w:rsidR="00811E0E" w:rsidRPr="00747476" w14:paraId="47780B8F" w14:textId="77777777" w:rsidTr="00CF047E">
        <w:tc>
          <w:tcPr>
            <w:tcW w:w="950" w:type="pct"/>
            <w:shd w:val="clear" w:color="auto" w:fill="auto"/>
            <w:vAlign w:val="center"/>
          </w:tcPr>
          <w:p w14:paraId="0ECFE1EB" w14:textId="7AE27147" w:rsidR="00811E0E" w:rsidRPr="00747476" w:rsidRDefault="00811E0E" w:rsidP="00DB65AC">
            <w:pPr>
              <w:pStyle w:val="TableText0"/>
              <w:widowControl w:val="0"/>
            </w:pPr>
            <w:r w:rsidRPr="00747476">
              <w:t>Uptake</w:t>
            </w:r>
            <w:r w:rsidR="00F96B2F" w:rsidRPr="00747476">
              <w:t xml:space="preserve"> </w:t>
            </w:r>
            <w:r w:rsidRPr="00747476">
              <w:t>rate</w:t>
            </w:r>
          </w:p>
        </w:tc>
        <w:tc>
          <w:tcPr>
            <w:tcW w:w="2270" w:type="pct"/>
            <w:shd w:val="clear" w:color="auto" w:fill="auto"/>
            <w:vAlign w:val="center"/>
          </w:tcPr>
          <w:p w14:paraId="72090DD2" w14:textId="030E4235" w:rsidR="00E5129A" w:rsidRPr="00747476" w:rsidRDefault="00554DCA" w:rsidP="00DB65AC">
            <w:pPr>
              <w:pStyle w:val="TableText0"/>
              <w:widowControl w:val="0"/>
            </w:pPr>
            <w:r w:rsidRPr="00747476">
              <w:t xml:space="preserve">The estimated uptake </w:t>
            </w:r>
            <w:r w:rsidR="00811E0E" w:rsidRPr="00747476">
              <w:t>rate</w:t>
            </w:r>
            <w:r w:rsidR="00F96B2F" w:rsidRPr="00747476">
              <w:t xml:space="preserve"> </w:t>
            </w:r>
            <w:r w:rsidR="00811E0E" w:rsidRPr="00747476">
              <w:t>multiplied</w:t>
            </w:r>
            <w:r w:rsidR="00F96B2F" w:rsidRPr="00747476">
              <w:t xml:space="preserve"> </w:t>
            </w:r>
            <w:r w:rsidR="00811E0E" w:rsidRPr="00747476">
              <w:t>by</w:t>
            </w:r>
            <w:r w:rsidR="00B70332" w:rsidRPr="00747476">
              <w:t xml:space="preserve"> the</w:t>
            </w:r>
            <w:r w:rsidR="00F96B2F" w:rsidRPr="00747476">
              <w:t xml:space="preserve"> </w:t>
            </w:r>
            <w:r w:rsidR="00811E0E" w:rsidRPr="00747476">
              <w:t>eligible</w:t>
            </w:r>
            <w:r w:rsidR="00F96B2F" w:rsidRPr="00747476">
              <w:t xml:space="preserve"> </w:t>
            </w:r>
            <w:r w:rsidR="00811E0E" w:rsidRPr="00747476">
              <w:t>population</w:t>
            </w:r>
            <w:r w:rsidRPr="00747476">
              <w:t xml:space="preserve"> was:</w:t>
            </w:r>
          </w:p>
          <w:p w14:paraId="11F95DC2" w14:textId="6539B607" w:rsidR="00811E0E" w:rsidRPr="00747476" w:rsidRDefault="00811E0E" w:rsidP="00DB65AC">
            <w:pPr>
              <w:pStyle w:val="TableText0"/>
              <w:widowControl w:val="0"/>
            </w:pPr>
            <w:proofErr w:type="spellStart"/>
            <w:r w:rsidRPr="00747476">
              <w:t>Yr</w:t>
            </w:r>
            <w:proofErr w:type="spellEnd"/>
            <w:r w:rsidR="00F96B2F" w:rsidRPr="00747476">
              <w:t xml:space="preserve"> </w:t>
            </w:r>
            <w:r w:rsidRPr="00747476">
              <w:t>1:</w:t>
            </w:r>
            <w:r w:rsidR="00F96B2F" w:rsidRPr="00747476">
              <w:t xml:space="preserve"> </w:t>
            </w:r>
            <w:r w:rsidRPr="00747476">
              <w:t>20%,</w:t>
            </w:r>
            <w:r w:rsidR="00F96B2F" w:rsidRPr="00747476">
              <w:t xml:space="preserve"> </w:t>
            </w:r>
            <w:proofErr w:type="spellStart"/>
            <w:r w:rsidRPr="00747476">
              <w:t>Yr</w:t>
            </w:r>
            <w:proofErr w:type="spellEnd"/>
            <w:r w:rsidR="00F96B2F" w:rsidRPr="00747476">
              <w:t xml:space="preserve"> </w:t>
            </w:r>
            <w:r w:rsidRPr="00747476">
              <w:t>2:</w:t>
            </w:r>
            <w:r w:rsidR="00F96B2F" w:rsidRPr="00747476">
              <w:t xml:space="preserve"> </w:t>
            </w:r>
            <w:r w:rsidRPr="00747476">
              <w:t>40%,</w:t>
            </w:r>
            <w:r w:rsidR="00F96B2F" w:rsidRPr="00747476">
              <w:t xml:space="preserve"> </w:t>
            </w:r>
            <w:proofErr w:type="spellStart"/>
            <w:r w:rsidRPr="00747476">
              <w:t>Yr</w:t>
            </w:r>
            <w:proofErr w:type="spellEnd"/>
            <w:r w:rsidR="00F96B2F" w:rsidRPr="00747476">
              <w:t xml:space="preserve"> </w:t>
            </w:r>
            <w:r w:rsidRPr="00747476">
              <w:t>3:</w:t>
            </w:r>
            <w:r w:rsidR="00F96B2F" w:rsidRPr="00747476">
              <w:t xml:space="preserve"> </w:t>
            </w:r>
            <w:r w:rsidRPr="00747476">
              <w:t>50%,</w:t>
            </w:r>
            <w:r w:rsidR="00F96B2F" w:rsidRPr="00747476">
              <w:t xml:space="preserve"> </w:t>
            </w:r>
            <w:proofErr w:type="spellStart"/>
            <w:r w:rsidRPr="00747476">
              <w:t>Yr</w:t>
            </w:r>
            <w:proofErr w:type="spellEnd"/>
            <w:r w:rsidR="00F96B2F" w:rsidRPr="00747476">
              <w:t xml:space="preserve"> </w:t>
            </w:r>
            <w:r w:rsidRPr="00747476">
              <w:t>4:</w:t>
            </w:r>
            <w:r w:rsidR="00F96B2F" w:rsidRPr="00747476">
              <w:t xml:space="preserve"> </w:t>
            </w:r>
            <w:r w:rsidRPr="00747476">
              <w:t>55%,</w:t>
            </w:r>
            <w:r w:rsidR="00F96B2F" w:rsidRPr="00747476">
              <w:t xml:space="preserve"> </w:t>
            </w:r>
            <w:proofErr w:type="spellStart"/>
            <w:r w:rsidRPr="00747476">
              <w:t>Yr</w:t>
            </w:r>
            <w:proofErr w:type="spellEnd"/>
            <w:r w:rsidR="00F96B2F" w:rsidRPr="00747476">
              <w:t xml:space="preserve"> </w:t>
            </w:r>
            <w:r w:rsidRPr="00747476">
              <w:t>5:</w:t>
            </w:r>
            <w:r w:rsidR="00F96B2F" w:rsidRPr="00747476">
              <w:t xml:space="preserve"> </w:t>
            </w:r>
            <w:r w:rsidRPr="00747476">
              <w:t>60%,</w:t>
            </w:r>
          </w:p>
          <w:p w14:paraId="268E8A15" w14:textId="6A724CCA" w:rsidR="00811E0E" w:rsidRPr="00747476" w:rsidRDefault="00811E0E" w:rsidP="00DB65AC">
            <w:pPr>
              <w:pStyle w:val="TableText0"/>
              <w:widowControl w:val="0"/>
            </w:pPr>
            <w:proofErr w:type="spellStart"/>
            <w:r w:rsidRPr="00747476">
              <w:t>Yr</w:t>
            </w:r>
            <w:proofErr w:type="spellEnd"/>
            <w:r w:rsidR="00F96B2F" w:rsidRPr="00747476">
              <w:t xml:space="preserve"> </w:t>
            </w:r>
            <w:r w:rsidRPr="00747476">
              <w:t>6:</w:t>
            </w:r>
            <w:r w:rsidR="00F96B2F" w:rsidRPr="00747476">
              <w:t xml:space="preserve"> </w:t>
            </w:r>
            <w:r w:rsidRPr="00747476">
              <w:t>65%</w:t>
            </w:r>
          </w:p>
        </w:tc>
        <w:tc>
          <w:tcPr>
            <w:tcW w:w="1780" w:type="pct"/>
            <w:shd w:val="clear" w:color="auto" w:fill="auto"/>
            <w:vAlign w:val="center"/>
          </w:tcPr>
          <w:p w14:paraId="455420B8" w14:textId="0107B512" w:rsidR="00811E0E" w:rsidRPr="00747476" w:rsidRDefault="00811E0E" w:rsidP="007F33C3">
            <w:pPr>
              <w:pStyle w:val="TableText0"/>
              <w:widowControl w:val="0"/>
            </w:pPr>
            <w:r w:rsidRPr="00747476">
              <w:t>The</w:t>
            </w:r>
            <w:r w:rsidR="00F96B2F" w:rsidRPr="00747476">
              <w:t xml:space="preserve"> </w:t>
            </w:r>
            <w:r w:rsidRPr="00747476">
              <w:t>submission</w:t>
            </w:r>
            <w:r w:rsidR="00F96B2F" w:rsidRPr="00747476">
              <w:t xml:space="preserve"> </w:t>
            </w:r>
            <w:r w:rsidRPr="00747476">
              <w:t>did</w:t>
            </w:r>
            <w:r w:rsidR="00F96B2F" w:rsidRPr="00747476">
              <w:t xml:space="preserve"> </w:t>
            </w:r>
            <w:r w:rsidRPr="00747476">
              <w:t>not</w:t>
            </w:r>
            <w:r w:rsidR="00F96B2F" w:rsidRPr="00747476">
              <w:t xml:space="preserve"> </w:t>
            </w:r>
            <w:r w:rsidRPr="00747476">
              <w:t>provide</w:t>
            </w:r>
            <w:r w:rsidR="00F96B2F" w:rsidRPr="00747476">
              <w:t xml:space="preserve"> </w:t>
            </w:r>
            <w:r w:rsidRPr="00747476">
              <w:t>appropriate</w:t>
            </w:r>
            <w:r w:rsidR="00F96B2F" w:rsidRPr="00747476">
              <w:t xml:space="preserve"> </w:t>
            </w:r>
            <w:r w:rsidRPr="00747476">
              <w:t>justification</w:t>
            </w:r>
            <w:r w:rsidR="00F96B2F" w:rsidRPr="00747476">
              <w:t xml:space="preserve"> </w:t>
            </w:r>
            <w:r w:rsidRPr="00747476">
              <w:t>for</w:t>
            </w:r>
            <w:r w:rsidR="00F96B2F" w:rsidRPr="00747476">
              <w:t xml:space="preserve"> </w:t>
            </w:r>
            <w:r w:rsidRPr="00747476">
              <w:t>the</w:t>
            </w:r>
            <w:r w:rsidR="00F96B2F" w:rsidRPr="00747476">
              <w:t xml:space="preserve"> </w:t>
            </w:r>
            <w:r w:rsidR="005838F7" w:rsidRPr="00747476">
              <w:t xml:space="preserve">assumed </w:t>
            </w:r>
            <w:proofErr w:type="spellStart"/>
            <w:r w:rsidRPr="00747476">
              <w:t>somatrogon</w:t>
            </w:r>
            <w:proofErr w:type="spellEnd"/>
            <w:r w:rsidR="00F96B2F" w:rsidRPr="00747476">
              <w:t xml:space="preserve"> </w:t>
            </w:r>
            <w:r w:rsidRPr="00747476">
              <w:t>uptake</w:t>
            </w:r>
            <w:r w:rsidR="00F96B2F" w:rsidRPr="00747476">
              <w:t xml:space="preserve"> </w:t>
            </w:r>
            <w:r w:rsidRPr="00747476">
              <w:t>rate.</w:t>
            </w:r>
            <w:r w:rsidR="00F96B2F" w:rsidRPr="00747476">
              <w:t xml:space="preserve"> </w:t>
            </w:r>
            <w:r w:rsidR="00932DDC" w:rsidRPr="00747476">
              <w:t xml:space="preserve">The uptake rate </w:t>
            </w:r>
            <w:r w:rsidR="00B70332" w:rsidRPr="00747476">
              <w:t xml:space="preserve">was </w:t>
            </w:r>
            <w:r w:rsidR="00932DDC" w:rsidRPr="00747476">
              <w:t xml:space="preserve">uncertain across all 6 years. There </w:t>
            </w:r>
            <w:r w:rsidR="00B70332" w:rsidRPr="00747476">
              <w:t xml:space="preserve">was </w:t>
            </w:r>
            <w:r w:rsidR="00932DDC" w:rsidRPr="00747476">
              <w:t xml:space="preserve">no </w:t>
            </w:r>
            <w:r w:rsidR="00C77B12" w:rsidRPr="00747476">
              <w:t>data to justify the assum</w:t>
            </w:r>
            <w:r w:rsidR="005838F7" w:rsidRPr="00747476">
              <w:t>ed uptake rate, h</w:t>
            </w:r>
            <w:r w:rsidR="00C77B12" w:rsidRPr="00747476">
              <w:t>owever, the assumption</w:t>
            </w:r>
            <w:r w:rsidR="005838F7" w:rsidRPr="00747476">
              <w:t xml:space="preserve"> was</w:t>
            </w:r>
            <w:r w:rsidR="00B70332" w:rsidRPr="00747476">
              <w:t xml:space="preserve"> </w:t>
            </w:r>
            <w:r w:rsidR="00C77B12" w:rsidRPr="00747476">
              <w:t xml:space="preserve">not critical to </w:t>
            </w:r>
            <w:r w:rsidR="00B70332" w:rsidRPr="00747476">
              <w:t xml:space="preserve">the </w:t>
            </w:r>
            <w:r w:rsidR="00C77B12" w:rsidRPr="00747476">
              <w:t>overall cost estimates of the drug.</w:t>
            </w:r>
          </w:p>
        </w:tc>
      </w:tr>
      <w:tr w:rsidR="00811E0E" w:rsidRPr="00747476" w14:paraId="7741A248" w14:textId="77777777" w:rsidTr="00CF047E">
        <w:tc>
          <w:tcPr>
            <w:tcW w:w="950" w:type="pct"/>
            <w:shd w:val="clear" w:color="auto" w:fill="auto"/>
            <w:vAlign w:val="center"/>
          </w:tcPr>
          <w:p w14:paraId="6360492F" w14:textId="38FD9FDD" w:rsidR="00811E0E" w:rsidRPr="00747476" w:rsidRDefault="00811E0E" w:rsidP="00DB65AC">
            <w:pPr>
              <w:pStyle w:val="TableText0"/>
              <w:widowControl w:val="0"/>
            </w:pPr>
            <w:r w:rsidRPr="00747476">
              <w:t>Number</w:t>
            </w:r>
            <w:r w:rsidR="00F96B2F" w:rsidRPr="00747476">
              <w:t xml:space="preserve"> </w:t>
            </w:r>
            <w:r w:rsidRPr="00747476">
              <w:t>of</w:t>
            </w:r>
            <w:r w:rsidR="00F96B2F" w:rsidRPr="00747476">
              <w:t xml:space="preserve"> </w:t>
            </w:r>
            <w:proofErr w:type="spellStart"/>
            <w:r w:rsidRPr="00747476">
              <w:t>somatrogon</w:t>
            </w:r>
            <w:proofErr w:type="spellEnd"/>
            <w:r w:rsidR="00F96B2F" w:rsidRPr="00747476">
              <w:t xml:space="preserve"> </w:t>
            </w:r>
            <w:r w:rsidRPr="00747476">
              <w:t>patients</w:t>
            </w:r>
          </w:p>
        </w:tc>
        <w:tc>
          <w:tcPr>
            <w:tcW w:w="2270" w:type="pct"/>
            <w:shd w:val="clear" w:color="auto" w:fill="auto"/>
            <w:vAlign w:val="center"/>
          </w:tcPr>
          <w:p w14:paraId="7FE480EA" w14:textId="3756069E" w:rsidR="00811E0E" w:rsidRPr="00747476" w:rsidRDefault="00B70332" w:rsidP="00DB65AC">
            <w:pPr>
              <w:pStyle w:val="TableText0"/>
              <w:widowControl w:val="0"/>
            </w:pPr>
            <w:r w:rsidRPr="00747476">
              <w:t xml:space="preserve">The </w:t>
            </w:r>
            <w:r w:rsidR="00811E0E" w:rsidRPr="00747476">
              <w:t>uptake</w:t>
            </w:r>
            <w:r w:rsidR="00F96B2F" w:rsidRPr="00747476">
              <w:t xml:space="preserve"> </w:t>
            </w:r>
            <w:r w:rsidR="00811E0E" w:rsidRPr="00747476">
              <w:t>rate</w:t>
            </w:r>
            <w:r w:rsidRPr="00747476">
              <w:t xml:space="preserve"> </w:t>
            </w:r>
            <w:r w:rsidR="00554DCA" w:rsidRPr="00747476">
              <w:t xml:space="preserve">was </w:t>
            </w:r>
            <w:r w:rsidRPr="00747476">
              <w:t>applied</w:t>
            </w:r>
            <w:r w:rsidR="00F96B2F" w:rsidRPr="00747476">
              <w:t xml:space="preserve"> </w:t>
            </w:r>
            <w:r w:rsidR="00811E0E" w:rsidRPr="00747476">
              <w:t>to</w:t>
            </w:r>
            <w:r w:rsidR="00F96B2F" w:rsidRPr="00747476">
              <w:t xml:space="preserve"> </w:t>
            </w:r>
            <w:r w:rsidR="00811E0E" w:rsidRPr="00747476">
              <w:t>the</w:t>
            </w:r>
            <w:r w:rsidR="00F96B2F" w:rsidRPr="00747476">
              <w:t xml:space="preserve"> </w:t>
            </w:r>
            <w:r w:rsidR="00811E0E" w:rsidRPr="00747476">
              <w:t>estimated</w:t>
            </w:r>
            <w:r w:rsidR="00F96B2F" w:rsidRPr="00747476">
              <w:t xml:space="preserve"> </w:t>
            </w:r>
            <w:r w:rsidR="00811E0E" w:rsidRPr="00747476">
              <w:t>number</w:t>
            </w:r>
            <w:r w:rsidR="00F96B2F" w:rsidRPr="00747476">
              <w:t xml:space="preserve"> </w:t>
            </w:r>
            <w:r w:rsidR="00811E0E" w:rsidRPr="00747476">
              <w:t>of</w:t>
            </w:r>
            <w:r w:rsidR="00F96B2F" w:rsidRPr="00747476">
              <w:t xml:space="preserve"> </w:t>
            </w:r>
            <w:r w:rsidR="00811E0E" w:rsidRPr="00747476">
              <w:t>patients</w:t>
            </w:r>
            <w:r w:rsidR="00F96B2F" w:rsidRPr="00747476">
              <w:t xml:space="preserve"> </w:t>
            </w:r>
            <w:r w:rsidR="00811E0E" w:rsidRPr="00747476">
              <w:t>treated</w:t>
            </w:r>
            <w:r w:rsidR="00F96B2F" w:rsidRPr="00747476">
              <w:t xml:space="preserve"> </w:t>
            </w:r>
            <w:r w:rsidR="00811E0E" w:rsidRPr="00747476">
              <w:t>with</w:t>
            </w:r>
            <w:r w:rsidR="00F96B2F" w:rsidRPr="00747476">
              <w:t xml:space="preserve"> </w:t>
            </w:r>
            <w:r w:rsidR="00811E0E" w:rsidRPr="00747476">
              <w:t>daily</w:t>
            </w:r>
            <w:r w:rsidR="00F96B2F" w:rsidRPr="00747476">
              <w:t xml:space="preserve"> </w:t>
            </w:r>
            <w:r w:rsidR="00811E0E" w:rsidRPr="00747476">
              <w:t>GH</w:t>
            </w:r>
            <w:r w:rsidR="00F96B2F" w:rsidRPr="00747476">
              <w:t xml:space="preserve"> </w:t>
            </w:r>
            <w:r w:rsidR="005838F7" w:rsidRPr="00747476">
              <w:t xml:space="preserve">from </w:t>
            </w:r>
            <w:r w:rsidR="00811E0E" w:rsidRPr="00747476">
              <w:t>2022</w:t>
            </w:r>
            <w:r w:rsidR="00F96B2F" w:rsidRPr="00747476">
              <w:t xml:space="preserve"> </w:t>
            </w:r>
            <w:r w:rsidR="00811E0E" w:rsidRPr="00747476">
              <w:t>to</w:t>
            </w:r>
            <w:r w:rsidR="00F96B2F" w:rsidRPr="00747476">
              <w:t xml:space="preserve"> </w:t>
            </w:r>
            <w:r w:rsidR="00811E0E" w:rsidRPr="00747476">
              <w:t>2027.</w:t>
            </w:r>
          </w:p>
          <w:tbl>
            <w:tblPr>
              <w:tblStyle w:val="TableGrid"/>
              <w:tblW w:w="0" w:type="auto"/>
              <w:tblLayout w:type="fixed"/>
              <w:tblLook w:val="04A0" w:firstRow="1" w:lastRow="0" w:firstColumn="1" w:lastColumn="0" w:noHBand="0" w:noVBand="1"/>
            </w:tblPr>
            <w:tblGrid>
              <w:gridCol w:w="805"/>
              <w:gridCol w:w="805"/>
              <w:gridCol w:w="806"/>
              <w:gridCol w:w="806"/>
              <w:gridCol w:w="806"/>
            </w:tblGrid>
            <w:tr w:rsidR="00811E0E" w:rsidRPr="00747476" w14:paraId="619122B3" w14:textId="77777777" w:rsidTr="00CF047E">
              <w:tc>
                <w:tcPr>
                  <w:tcW w:w="805" w:type="dxa"/>
                </w:tcPr>
                <w:p w14:paraId="7C327FF9" w14:textId="77777777" w:rsidR="00811E0E" w:rsidRPr="00747476" w:rsidRDefault="00811E0E" w:rsidP="00DB65AC">
                  <w:pPr>
                    <w:pStyle w:val="TableText0"/>
                    <w:widowControl w:val="0"/>
                    <w:jc w:val="center"/>
                  </w:pPr>
                </w:p>
              </w:tc>
              <w:tc>
                <w:tcPr>
                  <w:tcW w:w="805" w:type="dxa"/>
                </w:tcPr>
                <w:p w14:paraId="3864741C" w14:textId="7A3EF190" w:rsidR="00811E0E" w:rsidRPr="00747476" w:rsidRDefault="00811E0E" w:rsidP="00DB65AC">
                  <w:pPr>
                    <w:pStyle w:val="TableText0"/>
                    <w:widowControl w:val="0"/>
                    <w:jc w:val="center"/>
                  </w:pPr>
                  <w:r w:rsidRPr="00747476">
                    <w:t>Age</w:t>
                  </w:r>
                  <w:r w:rsidR="00F96B2F" w:rsidRPr="00747476">
                    <w:t xml:space="preserve"> </w:t>
                  </w:r>
                  <w:r w:rsidRPr="00747476">
                    <w:t>&lt;5</w:t>
                  </w:r>
                </w:p>
              </w:tc>
              <w:tc>
                <w:tcPr>
                  <w:tcW w:w="806" w:type="dxa"/>
                </w:tcPr>
                <w:p w14:paraId="00C72B5F" w14:textId="77777777" w:rsidR="00811E0E" w:rsidRPr="00747476" w:rsidRDefault="00811E0E" w:rsidP="00DB65AC">
                  <w:pPr>
                    <w:pStyle w:val="TableText0"/>
                    <w:widowControl w:val="0"/>
                    <w:jc w:val="center"/>
                  </w:pPr>
                  <w:r w:rsidRPr="00747476">
                    <w:t>5-9</w:t>
                  </w:r>
                </w:p>
              </w:tc>
              <w:tc>
                <w:tcPr>
                  <w:tcW w:w="806" w:type="dxa"/>
                </w:tcPr>
                <w:p w14:paraId="73D77CC7" w14:textId="77777777" w:rsidR="00811E0E" w:rsidRPr="00747476" w:rsidRDefault="00811E0E" w:rsidP="00DB65AC">
                  <w:pPr>
                    <w:pStyle w:val="TableText0"/>
                    <w:widowControl w:val="0"/>
                    <w:jc w:val="center"/>
                  </w:pPr>
                  <w:r w:rsidRPr="00747476">
                    <w:t>10-14</w:t>
                  </w:r>
                </w:p>
              </w:tc>
              <w:tc>
                <w:tcPr>
                  <w:tcW w:w="806" w:type="dxa"/>
                </w:tcPr>
                <w:p w14:paraId="2CDAD103" w14:textId="77777777" w:rsidR="00811E0E" w:rsidRPr="00747476" w:rsidRDefault="00811E0E" w:rsidP="00DB65AC">
                  <w:pPr>
                    <w:pStyle w:val="TableText0"/>
                    <w:widowControl w:val="0"/>
                    <w:jc w:val="center"/>
                  </w:pPr>
                  <w:r w:rsidRPr="00747476">
                    <w:t>Total</w:t>
                  </w:r>
                </w:p>
              </w:tc>
            </w:tr>
            <w:tr w:rsidR="00811E0E" w:rsidRPr="00747476" w14:paraId="44253463" w14:textId="77777777" w:rsidTr="00CF047E">
              <w:tc>
                <w:tcPr>
                  <w:tcW w:w="805" w:type="dxa"/>
                </w:tcPr>
                <w:p w14:paraId="17ED193A" w14:textId="5846160D" w:rsidR="00811E0E" w:rsidRPr="00747476" w:rsidRDefault="00811E0E" w:rsidP="00DB65AC">
                  <w:pPr>
                    <w:pStyle w:val="TableText0"/>
                    <w:widowControl w:val="0"/>
                    <w:jc w:val="center"/>
                  </w:pPr>
                  <w:r w:rsidRPr="00747476">
                    <w:t>Year</w:t>
                  </w:r>
                  <w:r w:rsidR="00F96B2F" w:rsidRPr="00747476">
                    <w:t xml:space="preserve"> </w:t>
                  </w:r>
                  <w:r w:rsidRPr="00747476">
                    <w:t>1</w:t>
                  </w:r>
                </w:p>
              </w:tc>
              <w:tc>
                <w:tcPr>
                  <w:tcW w:w="805" w:type="dxa"/>
                </w:tcPr>
                <w:p w14:paraId="7DED84A2" w14:textId="77777777" w:rsidR="00811E0E" w:rsidRPr="00747476" w:rsidRDefault="00811E0E" w:rsidP="00DB65AC">
                  <w:pPr>
                    <w:pStyle w:val="TableText0"/>
                    <w:widowControl w:val="0"/>
                    <w:jc w:val="center"/>
                  </w:pPr>
                  <w:r w:rsidRPr="00747476">
                    <w:t>20</w:t>
                  </w:r>
                </w:p>
              </w:tc>
              <w:tc>
                <w:tcPr>
                  <w:tcW w:w="806" w:type="dxa"/>
                </w:tcPr>
                <w:p w14:paraId="1C062E65" w14:textId="77777777" w:rsidR="00811E0E" w:rsidRPr="00747476" w:rsidRDefault="00811E0E" w:rsidP="00DB65AC">
                  <w:pPr>
                    <w:pStyle w:val="TableText0"/>
                    <w:widowControl w:val="0"/>
                    <w:jc w:val="center"/>
                  </w:pPr>
                  <w:r w:rsidRPr="00747476">
                    <w:t>71</w:t>
                  </w:r>
                </w:p>
              </w:tc>
              <w:tc>
                <w:tcPr>
                  <w:tcW w:w="806" w:type="dxa"/>
                </w:tcPr>
                <w:p w14:paraId="342E8FC4" w14:textId="77777777" w:rsidR="00811E0E" w:rsidRPr="00747476" w:rsidRDefault="00811E0E" w:rsidP="00DB65AC">
                  <w:pPr>
                    <w:pStyle w:val="TableText0"/>
                    <w:widowControl w:val="0"/>
                    <w:jc w:val="center"/>
                  </w:pPr>
                  <w:r w:rsidRPr="00747476">
                    <w:t>200</w:t>
                  </w:r>
                </w:p>
              </w:tc>
              <w:tc>
                <w:tcPr>
                  <w:tcW w:w="806" w:type="dxa"/>
                </w:tcPr>
                <w:p w14:paraId="794E1915" w14:textId="77777777" w:rsidR="00811E0E" w:rsidRPr="00747476" w:rsidRDefault="00811E0E" w:rsidP="00DB65AC">
                  <w:pPr>
                    <w:pStyle w:val="TableText0"/>
                    <w:widowControl w:val="0"/>
                    <w:jc w:val="center"/>
                  </w:pPr>
                  <w:r w:rsidRPr="00747476">
                    <w:t>291</w:t>
                  </w:r>
                </w:p>
              </w:tc>
            </w:tr>
            <w:tr w:rsidR="00811E0E" w:rsidRPr="00747476" w14:paraId="4F598CAB" w14:textId="77777777" w:rsidTr="00CF047E">
              <w:tc>
                <w:tcPr>
                  <w:tcW w:w="805" w:type="dxa"/>
                </w:tcPr>
                <w:p w14:paraId="62579A3F" w14:textId="1996E1E9" w:rsidR="00811E0E" w:rsidRPr="00747476" w:rsidRDefault="00811E0E" w:rsidP="00DB65AC">
                  <w:pPr>
                    <w:pStyle w:val="TableText0"/>
                    <w:widowControl w:val="0"/>
                    <w:jc w:val="center"/>
                  </w:pPr>
                  <w:r w:rsidRPr="00747476">
                    <w:t>Year</w:t>
                  </w:r>
                  <w:r w:rsidR="00F96B2F" w:rsidRPr="00747476">
                    <w:t xml:space="preserve"> </w:t>
                  </w:r>
                  <w:r w:rsidRPr="00747476">
                    <w:t>2</w:t>
                  </w:r>
                </w:p>
              </w:tc>
              <w:tc>
                <w:tcPr>
                  <w:tcW w:w="805" w:type="dxa"/>
                </w:tcPr>
                <w:p w14:paraId="55C54C62" w14:textId="77777777" w:rsidR="00811E0E" w:rsidRPr="00747476" w:rsidRDefault="00811E0E" w:rsidP="00DB65AC">
                  <w:pPr>
                    <w:pStyle w:val="TableText0"/>
                    <w:widowControl w:val="0"/>
                    <w:jc w:val="center"/>
                  </w:pPr>
                  <w:r w:rsidRPr="00747476">
                    <w:t>43</w:t>
                  </w:r>
                </w:p>
              </w:tc>
              <w:tc>
                <w:tcPr>
                  <w:tcW w:w="806" w:type="dxa"/>
                </w:tcPr>
                <w:p w14:paraId="0D104237" w14:textId="77777777" w:rsidR="00811E0E" w:rsidRPr="00747476" w:rsidRDefault="00811E0E" w:rsidP="00DB65AC">
                  <w:pPr>
                    <w:pStyle w:val="TableText0"/>
                    <w:widowControl w:val="0"/>
                    <w:jc w:val="center"/>
                  </w:pPr>
                  <w:r w:rsidRPr="00747476">
                    <w:t>139</w:t>
                  </w:r>
                </w:p>
              </w:tc>
              <w:tc>
                <w:tcPr>
                  <w:tcW w:w="806" w:type="dxa"/>
                </w:tcPr>
                <w:p w14:paraId="43C90010" w14:textId="77777777" w:rsidR="00811E0E" w:rsidRPr="00747476" w:rsidRDefault="00811E0E" w:rsidP="00DB65AC">
                  <w:pPr>
                    <w:pStyle w:val="TableText0"/>
                    <w:widowControl w:val="0"/>
                    <w:jc w:val="center"/>
                  </w:pPr>
                  <w:r w:rsidRPr="00747476">
                    <w:t>419</w:t>
                  </w:r>
                </w:p>
              </w:tc>
              <w:tc>
                <w:tcPr>
                  <w:tcW w:w="806" w:type="dxa"/>
                </w:tcPr>
                <w:p w14:paraId="1114359D" w14:textId="77777777" w:rsidR="00811E0E" w:rsidRPr="00747476" w:rsidRDefault="00811E0E" w:rsidP="00DB65AC">
                  <w:pPr>
                    <w:pStyle w:val="TableText0"/>
                    <w:widowControl w:val="0"/>
                    <w:jc w:val="center"/>
                  </w:pPr>
                  <w:r w:rsidRPr="00747476">
                    <w:t>600</w:t>
                  </w:r>
                </w:p>
              </w:tc>
            </w:tr>
            <w:tr w:rsidR="00811E0E" w:rsidRPr="00747476" w14:paraId="48896B69" w14:textId="77777777" w:rsidTr="00CF047E">
              <w:tc>
                <w:tcPr>
                  <w:tcW w:w="805" w:type="dxa"/>
                </w:tcPr>
                <w:p w14:paraId="397664A6" w14:textId="670C69F1" w:rsidR="00811E0E" w:rsidRPr="00747476" w:rsidRDefault="00811E0E" w:rsidP="00DB65AC">
                  <w:pPr>
                    <w:pStyle w:val="TableText0"/>
                    <w:widowControl w:val="0"/>
                    <w:jc w:val="center"/>
                  </w:pPr>
                  <w:r w:rsidRPr="00747476">
                    <w:t>Year</w:t>
                  </w:r>
                  <w:r w:rsidR="00F96B2F" w:rsidRPr="00747476">
                    <w:t xml:space="preserve"> </w:t>
                  </w:r>
                  <w:r w:rsidRPr="00747476">
                    <w:t>3</w:t>
                  </w:r>
                </w:p>
              </w:tc>
              <w:tc>
                <w:tcPr>
                  <w:tcW w:w="805" w:type="dxa"/>
                </w:tcPr>
                <w:p w14:paraId="0DFFF6B2" w14:textId="77777777" w:rsidR="00811E0E" w:rsidRPr="00747476" w:rsidRDefault="00811E0E" w:rsidP="00DB65AC">
                  <w:pPr>
                    <w:pStyle w:val="TableText0"/>
                    <w:widowControl w:val="0"/>
                    <w:jc w:val="center"/>
                  </w:pPr>
                  <w:r w:rsidRPr="00747476">
                    <w:t>56</w:t>
                  </w:r>
                </w:p>
              </w:tc>
              <w:tc>
                <w:tcPr>
                  <w:tcW w:w="806" w:type="dxa"/>
                </w:tcPr>
                <w:p w14:paraId="2FA7BB98" w14:textId="77777777" w:rsidR="00811E0E" w:rsidRPr="00747476" w:rsidRDefault="00811E0E" w:rsidP="00DB65AC">
                  <w:pPr>
                    <w:pStyle w:val="TableText0"/>
                    <w:widowControl w:val="0"/>
                    <w:jc w:val="center"/>
                  </w:pPr>
                  <w:r w:rsidRPr="00747476">
                    <w:t>170</w:t>
                  </w:r>
                </w:p>
              </w:tc>
              <w:tc>
                <w:tcPr>
                  <w:tcW w:w="806" w:type="dxa"/>
                </w:tcPr>
                <w:p w14:paraId="50D48125" w14:textId="77777777" w:rsidR="00811E0E" w:rsidRPr="00747476" w:rsidRDefault="00811E0E" w:rsidP="00DB65AC">
                  <w:pPr>
                    <w:pStyle w:val="TableText0"/>
                    <w:widowControl w:val="0"/>
                    <w:jc w:val="center"/>
                  </w:pPr>
                  <w:r w:rsidRPr="00747476">
                    <w:t>546</w:t>
                  </w:r>
                </w:p>
              </w:tc>
              <w:tc>
                <w:tcPr>
                  <w:tcW w:w="806" w:type="dxa"/>
                </w:tcPr>
                <w:p w14:paraId="036B5ADC" w14:textId="77777777" w:rsidR="00811E0E" w:rsidRPr="00747476" w:rsidRDefault="00811E0E" w:rsidP="00DB65AC">
                  <w:pPr>
                    <w:pStyle w:val="TableText0"/>
                    <w:widowControl w:val="0"/>
                    <w:jc w:val="center"/>
                  </w:pPr>
                  <w:r w:rsidRPr="00747476">
                    <w:t>772</w:t>
                  </w:r>
                </w:p>
              </w:tc>
            </w:tr>
            <w:tr w:rsidR="00811E0E" w:rsidRPr="00747476" w14:paraId="018CCDFC" w14:textId="77777777" w:rsidTr="00CF047E">
              <w:tc>
                <w:tcPr>
                  <w:tcW w:w="805" w:type="dxa"/>
                </w:tcPr>
                <w:p w14:paraId="5AEA6B8B" w14:textId="2BA784EC" w:rsidR="00811E0E" w:rsidRPr="00747476" w:rsidRDefault="00811E0E" w:rsidP="00DB65AC">
                  <w:pPr>
                    <w:pStyle w:val="TableText0"/>
                    <w:widowControl w:val="0"/>
                    <w:jc w:val="center"/>
                  </w:pPr>
                  <w:r w:rsidRPr="00747476">
                    <w:t>Year</w:t>
                  </w:r>
                  <w:r w:rsidR="00F96B2F" w:rsidRPr="00747476">
                    <w:t xml:space="preserve"> </w:t>
                  </w:r>
                  <w:r w:rsidRPr="00747476">
                    <w:t>4</w:t>
                  </w:r>
                </w:p>
              </w:tc>
              <w:tc>
                <w:tcPr>
                  <w:tcW w:w="805" w:type="dxa"/>
                </w:tcPr>
                <w:p w14:paraId="6E2C8983" w14:textId="77777777" w:rsidR="00811E0E" w:rsidRPr="00747476" w:rsidRDefault="00811E0E" w:rsidP="00DB65AC">
                  <w:pPr>
                    <w:pStyle w:val="TableText0"/>
                    <w:widowControl w:val="0"/>
                    <w:jc w:val="center"/>
                  </w:pPr>
                  <w:r w:rsidRPr="00747476">
                    <w:t>64</w:t>
                  </w:r>
                </w:p>
              </w:tc>
              <w:tc>
                <w:tcPr>
                  <w:tcW w:w="806" w:type="dxa"/>
                </w:tcPr>
                <w:p w14:paraId="3DA45483" w14:textId="77777777" w:rsidR="00811E0E" w:rsidRPr="00747476" w:rsidRDefault="00811E0E" w:rsidP="00DB65AC">
                  <w:pPr>
                    <w:pStyle w:val="TableText0"/>
                    <w:widowControl w:val="0"/>
                    <w:jc w:val="center"/>
                  </w:pPr>
                  <w:r w:rsidRPr="00747476">
                    <w:t>182</w:t>
                  </w:r>
                </w:p>
              </w:tc>
              <w:tc>
                <w:tcPr>
                  <w:tcW w:w="806" w:type="dxa"/>
                </w:tcPr>
                <w:p w14:paraId="644AEB0C" w14:textId="77777777" w:rsidR="00811E0E" w:rsidRPr="00747476" w:rsidRDefault="00811E0E" w:rsidP="00DB65AC">
                  <w:pPr>
                    <w:pStyle w:val="TableText0"/>
                    <w:widowControl w:val="0"/>
                    <w:jc w:val="center"/>
                  </w:pPr>
                  <w:r w:rsidRPr="00747476">
                    <w:t>626</w:t>
                  </w:r>
                </w:p>
              </w:tc>
              <w:tc>
                <w:tcPr>
                  <w:tcW w:w="806" w:type="dxa"/>
                </w:tcPr>
                <w:p w14:paraId="292813D0" w14:textId="77777777" w:rsidR="00811E0E" w:rsidRPr="00747476" w:rsidRDefault="00811E0E" w:rsidP="00DB65AC">
                  <w:pPr>
                    <w:pStyle w:val="TableText0"/>
                    <w:widowControl w:val="0"/>
                    <w:jc w:val="center"/>
                  </w:pPr>
                  <w:r w:rsidRPr="00747476">
                    <w:t>783</w:t>
                  </w:r>
                </w:p>
              </w:tc>
            </w:tr>
            <w:tr w:rsidR="00811E0E" w:rsidRPr="00747476" w14:paraId="3F8796CE" w14:textId="77777777" w:rsidTr="00CF047E">
              <w:tc>
                <w:tcPr>
                  <w:tcW w:w="805" w:type="dxa"/>
                </w:tcPr>
                <w:p w14:paraId="11C6F199" w14:textId="0FCBFA9C" w:rsidR="00811E0E" w:rsidRPr="00747476" w:rsidRDefault="00811E0E" w:rsidP="00DB65AC">
                  <w:pPr>
                    <w:pStyle w:val="TableText0"/>
                    <w:widowControl w:val="0"/>
                    <w:jc w:val="center"/>
                  </w:pPr>
                  <w:r w:rsidRPr="00747476">
                    <w:t>Year</w:t>
                  </w:r>
                  <w:r w:rsidR="00F96B2F" w:rsidRPr="00747476">
                    <w:t xml:space="preserve"> </w:t>
                  </w:r>
                  <w:r w:rsidRPr="00747476">
                    <w:t>5</w:t>
                  </w:r>
                </w:p>
              </w:tc>
              <w:tc>
                <w:tcPr>
                  <w:tcW w:w="805" w:type="dxa"/>
                </w:tcPr>
                <w:p w14:paraId="182F4524" w14:textId="77777777" w:rsidR="00811E0E" w:rsidRPr="00747476" w:rsidRDefault="00811E0E" w:rsidP="00DB65AC">
                  <w:pPr>
                    <w:pStyle w:val="TableText0"/>
                    <w:widowControl w:val="0"/>
                    <w:jc w:val="center"/>
                  </w:pPr>
                  <w:r w:rsidRPr="00747476">
                    <w:t>72</w:t>
                  </w:r>
                </w:p>
              </w:tc>
              <w:tc>
                <w:tcPr>
                  <w:tcW w:w="806" w:type="dxa"/>
                </w:tcPr>
                <w:p w14:paraId="687C2ACA" w14:textId="77777777" w:rsidR="00811E0E" w:rsidRPr="00747476" w:rsidRDefault="00811E0E" w:rsidP="00DB65AC">
                  <w:pPr>
                    <w:pStyle w:val="TableText0"/>
                    <w:widowControl w:val="0"/>
                    <w:jc w:val="center"/>
                  </w:pPr>
                  <w:r w:rsidRPr="00747476">
                    <w:t>194</w:t>
                  </w:r>
                </w:p>
              </w:tc>
              <w:tc>
                <w:tcPr>
                  <w:tcW w:w="806" w:type="dxa"/>
                </w:tcPr>
                <w:p w14:paraId="7E826C1F" w14:textId="77777777" w:rsidR="00811E0E" w:rsidRPr="00747476" w:rsidRDefault="00811E0E" w:rsidP="00DB65AC">
                  <w:pPr>
                    <w:pStyle w:val="TableText0"/>
                    <w:widowControl w:val="0"/>
                    <w:jc w:val="center"/>
                  </w:pPr>
                  <w:r w:rsidRPr="00747476">
                    <w:t>711</w:t>
                  </w:r>
                </w:p>
              </w:tc>
              <w:tc>
                <w:tcPr>
                  <w:tcW w:w="806" w:type="dxa"/>
                </w:tcPr>
                <w:p w14:paraId="6C7AD699" w14:textId="77777777" w:rsidR="00811E0E" w:rsidRPr="00747476" w:rsidRDefault="00811E0E" w:rsidP="00DB65AC">
                  <w:pPr>
                    <w:pStyle w:val="TableText0"/>
                    <w:widowControl w:val="0"/>
                    <w:jc w:val="center"/>
                  </w:pPr>
                  <w:r w:rsidRPr="00747476">
                    <w:t>978</w:t>
                  </w:r>
                </w:p>
              </w:tc>
            </w:tr>
            <w:tr w:rsidR="00811E0E" w:rsidRPr="00747476" w14:paraId="30C73689" w14:textId="77777777" w:rsidTr="00CF047E">
              <w:tc>
                <w:tcPr>
                  <w:tcW w:w="805" w:type="dxa"/>
                </w:tcPr>
                <w:p w14:paraId="4FB133FA" w14:textId="54F94755" w:rsidR="00811E0E" w:rsidRPr="00747476" w:rsidRDefault="00811E0E" w:rsidP="00DB65AC">
                  <w:pPr>
                    <w:pStyle w:val="TableText0"/>
                    <w:widowControl w:val="0"/>
                    <w:jc w:val="center"/>
                  </w:pPr>
                  <w:r w:rsidRPr="00747476">
                    <w:t>Year</w:t>
                  </w:r>
                  <w:r w:rsidR="00F96B2F" w:rsidRPr="00747476">
                    <w:t xml:space="preserve"> </w:t>
                  </w:r>
                  <w:r w:rsidRPr="00747476">
                    <w:t>6</w:t>
                  </w:r>
                </w:p>
              </w:tc>
              <w:tc>
                <w:tcPr>
                  <w:tcW w:w="805" w:type="dxa"/>
                </w:tcPr>
                <w:p w14:paraId="5C23E12D" w14:textId="77777777" w:rsidR="00811E0E" w:rsidRPr="00747476" w:rsidRDefault="00811E0E" w:rsidP="00DB65AC">
                  <w:pPr>
                    <w:pStyle w:val="TableText0"/>
                    <w:widowControl w:val="0"/>
                    <w:jc w:val="center"/>
                  </w:pPr>
                  <w:r w:rsidRPr="00747476">
                    <w:t>81</w:t>
                  </w:r>
                </w:p>
              </w:tc>
              <w:tc>
                <w:tcPr>
                  <w:tcW w:w="806" w:type="dxa"/>
                </w:tcPr>
                <w:p w14:paraId="67824FA4" w14:textId="77777777" w:rsidR="00811E0E" w:rsidRPr="00747476" w:rsidRDefault="00811E0E" w:rsidP="00DB65AC">
                  <w:pPr>
                    <w:pStyle w:val="TableText0"/>
                    <w:widowControl w:val="0"/>
                    <w:jc w:val="center"/>
                  </w:pPr>
                  <w:r w:rsidRPr="00747476">
                    <w:t>205</w:t>
                  </w:r>
                </w:p>
              </w:tc>
              <w:tc>
                <w:tcPr>
                  <w:tcW w:w="806" w:type="dxa"/>
                </w:tcPr>
                <w:p w14:paraId="0D362DAF" w14:textId="77777777" w:rsidR="00811E0E" w:rsidRPr="00747476" w:rsidRDefault="00811E0E" w:rsidP="00DB65AC">
                  <w:pPr>
                    <w:pStyle w:val="TableText0"/>
                    <w:widowControl w:val="0"/>
                    <w:jc w:val="center"/>
                  </w:pPr>
                  <w:r w:rsidRPr="00747476">
                    <w:t>801</w:t>
                  </w:r>
                </w:p>
              </w:tc>
              <w:tc>
                <w:tcPr>
                  <w:tcW w:w="806" w:type="dxa"/>
                </w:tcPr>
                <w:p w14:paraId="728343A6" w14:textId="77777777" w:rsidR="00811E0E" w:rsidRPr="00747476" w:rsidRDefault="00811E0E" w:rsidP="00DB65AC">
                  <w:pPr>
                    <w:pStyle w:val="TableText0"/>
                    <w:widowControl w:val="0"/>
                    <w:jc w:val="center"/>
                  </w:pPr>
                  <w:r w:rsidRPr="00747476">
                    <w:t>1,087</w:t>
                  </w:r>
                </w:p>
              </w:tc>
            </w:tr>
          </w:tbl>
          <w:p w14:paraId="6583E9BA" w14:textId="77777777" w:rsidR="00811E0E" w:rsidRPr="00747476" w:rsidRDefault="00811E0E" w:rsidP="00DB65AC">
            <w:pPr>
              <w:pStyle w:val="TableText0"/>
              <w:widowControl w:val="0"/>
            </w:pPr>
          </w:p>
        </w:tc>
        <w:tc>
          <w:tcPr>
            <w:tcW w:w="1780" w:type="pct"/>
            <w:shd w:val="clear" w:color="auto" w:fill="auto"/>
            <w:vAlign w:val="center"/>
          </w:tcPr>
          <w:p w14:paraId="10AA7B1C" w14:textId="50698D56" w:rsidR="00811E0E" w:rsidRPr="00747476" w:rsidRDefault="00811E0E" w:rsidP="00DB65AC">
            <w:pPr>
              <w:pStyle w:val="TableText0"/>
              <w:widowControl w:val="0"/>
            </w:pPr>
            <w:r w:rsidRPr="00747476">
              <w:rPr>
                <w:iCs/>
              </w:rPr>
              <w:t>Uncertain.</w:t>
            </w:r>
            <w:r w:rsidR="00F96B2F" w:rsidRPr="00747476">
              <w:rPr>
                <w:iCs/>
              </w:rPr>
              <w:t xml:space="preserve"> </w:t>
            </w:r>
            <w:r w:rsidRPr="00747476">
              <w:rPr>
                <w:iCs/>
              </w:rPr>
              <w:t>The</w:t>
            </w:r>
            <w:r w:rsidR="00F96B2F" w:rsidRPr="00747476">
              <w:rPr>
                <w:iCs/>
              </w:rPr>
              <w:t xml:space="preserve"> </w:t>
            </w:r>
            <w:r w:rsidRPr="00747476">
              <w:rPr>
                <w:iCs/>
              </w:rPr>
              <w:t>linear</w:t>
            </w:r>
            <w:r w:rsidR="00F96B2F" w:rsidRPr="00747476">
              <w:rPr>
                <w:iCs/>
              </w:rPr>
              <w:t xml:space="preserve"> </w:t>
            </w:r>
            <w:r w:rsidRPr="00747476">
              <w:rPr>
                <w:iCs/>
              </w:rPr>
              <w:t>extrapolation</w:t>
            </w:r>
            <w:r w:rsidR="00F96B2F" w:rsidRPr="00747476">
              <w:rPr>
                <w:iCs/>
              </w:rPr>
              <w:t xml:space="preserve"> </w:t>
            </w:r>
            <w:r w:rsidRPr="00747476">
              <w:rPr>
                <w:iCs/>
              </w:rPr>
              <w:t>of</w:t>
            </w:r>
            <w:r w:rsidR="00F96B2F" w:rsidRPr="00747476">
              <w:rPr>
                <w:iCs/>
              </w:rPr>
              <w:t xml:space="preserve"> </w:t>
            </w:r>
            <w:r w:rsidRPr="00747476">
              <w:rPr>
                <w:iCs/>
              </w:rPr>
              <w:t>patient</w:t>
            </w:r>
            <w:r w:rsidR="00F96B2F" w:rsidRPr="00747476">
              <w:rPr>
                <w:iCs/>
              </w:rPr>
              <w:t xml:space="preserve"> </w:t>
            </w:r>
            <w:r w:rsidRPr="00747476">
              <w:rPr>
                <w:iCs/>
              </w:rPr>
              <w:t>numbers</w:t>
            </w:r>
            <w:r w:rsidR="00F96B2F" w:rsidRPr="00747476">
              <w:rPr>
                <w:iCs/>
              </w:rPr>
              <w:t xml:space="preserve"> </w:t>
            </w:r>
            <w:r w:rsidRPr="00747476">
              <w:rPr>
                <w:iCs/>
              </w:rPr>
              <w:t>by</w:t>
            </w:r>
            <w:r w:rsidR="00F96B2F" w:rsidRPr="00747476">
              <w:rPr>
                <w:iCs/>
              </w:rPr>
              <w:t xml:space="preserve"> </w:t>
            </w:r>
            <w:r w:rsidRPr="00747476">
              <w:rPr>
                <w:iCs/>
              </w:rPr>
              <w:t>age</w:t>
            </w:r>
            <w:r w:rsidR="00F96B2F" w:rsidRPr="00747476">
              <w:rPr>
                <w:iCs/>
              </w:rPr>
              <w:t xml:space="preserve"> </w:t>
            </w:r>
            <w:r w:rsidRPr="00747476">
              <w:rPr>
                <w:iCs/>
              </w:rPr>
              <w:t>and</w:t>
            </w:r>
            <w:r w:rsidR="00B70332" w:rsidRPr="00747476">
              <w:rPr>
                <w:iCs/>
              </w:rPr>
              <w:t xml:space="preserve"> the</w:t>
            </w:r>
            <w:r w:rsidR="00F96B2F" w:rsidRPr="00747476">
              <w:rPr>
                <w:iCs/>
              </w:rPr>
              <w:t xml:space="preserve"> </w:t>
            </w:r>
            <w:proofErr w:type="spellStart"/>
            <w:r w:rsidRPr="00747476">
              <w:rPr>
                <w:iCs/>
              </w:rPr>
              <w:t>somatrogon</w:t>
            </w:r>
            <w:proofErr w:type="spellEnd"/>
            <w:r w:rsidR="00F96B2F" w:rsidRPr="00747476">
              <w:rPr>
                <w:iCs/>
              </w:rPr>
              <w:t xml:space="preserve"> </w:t>
            </w:r>
            <w:r w:rsidRPr="00747476">
              <w:rPr>
                <w:iCs/>
              </w:rPr>
              <w:t>uptake</w:t>
            </w:r>
            <w:r w:rsidR="00F96B2F" w:rsidRPr="00747476">
              <w:rPr>
                <w:iCs/>
              </w:rPr>
              <w:t xml:space="preserve"> </w:t>
            </w:r>
            <w:r w:rsidRPr="00747476">
              <w:rPr>
                <w:iCs/>
              </w:rPr>
              <w:t>rate</w:t>
            </w:r>
            <w:r w:rsidR="00F96B2F" w:rsidRPr="00747476">
              <w:rPr>
                <w:iCs/>
              </w:rPr>
              <w:t xml:space="preserve"> </w:t>
            </w:r>
            <w:r w:rsidR="00B70332" w:rsidRPr="00747476">
              <w:rPr>
                <w:iCs/>
              </w:rPr>
              <w:t xml:space="preserve">were </w:t>
            </w:r>
            <w:r w:rsidRPr="00747476">
              <w:rPr>
                <w:iCs/>
              </w:rPr>
              <w:t>uncertain.</w:t>
            </w:r>
          </w:p>
        </w:tc>
      </w:tr>
      <w:tr w:rsidR="00811E0E" w:rsidRPr="00747476" w14:paraId="56B0335C" w14:textId="77777777" w:rsidTr="00CF047E">
        <w:tc>
          <w:tcPr>
            <w:tcW w:w="950" w:type="pct"/>
            <w:shd w:val="clear" w:color="auto" w:fill="auto"/>
            <w:vAlign w:val="center"/>
          </w:tcPr>
          <w:p w14:paraId="2BFB9E71" w14:textId="07EE83FF" w:rsidR="00811E0E" w:rsidRPr="00747476" w:rsidRDefault="00811E0E" w:rsidP="00DB65AC">
            <w:pPr>
              <w:pStyle w:val="TableText0"/>
              <w:widowControl w:val="0"/>
            </w:pPr>
            <w:r w:rsidRPr="00747476">
              <w:t>Average</w:t>
            </w:r>
            <w:r w:rsidR="00F96B2F" w:rsidRPr="00747476">
              <w:t xml:space="preserve"> </w:t>
            </w:r>
            <w:r w:rsidRPr="00747476">
              <w:t>weekly</w:t>
            </w:r>
            <w:r w:rsidR="00F96B2F" w:rsidRPr="00747476">
              <w:t xml:space="preserve"> </w:t>
            </w:r>
            <w:r w:rsidRPr="00747476">
              <w:t>dosage</w:t>
            </w:r>
            <w:r w:rsidR="00F96B2F" w:rsidRPr="00747476">
              <w:t xml:space="preserve"> </w:t>
            </w:r>
            <w:r w:rsidRPr="00747476">
              <w:t>of</w:t>
            </w:r>
            <w:r w:rsidR="00F96B2F" w:rsidRPr="00747476">
              <w:t xml:space="preserve"> </w:t>
            </w:r>
            <w:proofErr w:type="spellStart"/>
            <w:r w:rsidRPr="00747476">
              <w:t>somatrogon</w:t>
            </w:r>
            <w:proofErr w:type="spellEnd"/>
          </w:p>
        </w:tc>
        <w:tc>
          <w:tcPr>
            <w:tcW w:w="2270" w:type="pct"/>
            <w:shd w:val="clear" w:color="auto" w:fill="auto"/>
            <w:vAlign w:val="center"/>
          </w:tcPr>
          <w:p w14:paraId="6EFA194F" w14:textId="4D362B34" w:rsidR="00811E0E" w:rsidRPr="00747476" w:rsidRDefault="005838F7" w:rsidP="00DB65AC">
            <w:pPr>
              <w:pStyle w:val="TableText0"/>
              <w:widowControl w:val="0"/>
            </w:pPr>
            <w:r w:rsidRPr="00747476">
              <w:t xml:space="preserve">The submission applied the </w:t>
            </w:r>
            <w:r w:rsidR="00811E0E" w:rsidRPr="00747476">
              <w:t>median</w:t>
            </w:r>
            <w:r w:rsidR="00F96B2F" w:rsidRPr="00747476">
              <w:t xml:space="preserve"> </w:t>
            </w:r>
            <w:proofErr w:type="spellStart"/>
            <w:r w:rsidR="00811E0E" w:rsidRPr="00747476">
              <w:t>somatrogon</w:t>
            </w:r>
            <w:proofErr w:type="spellEnd"/>
            <w:r w:rsidR="00F96B2F" w:rsidRPr="00747476">
              <w:t xml:space="preserve"> </w:t>
            </w:r>
            <w:r w:rsidR="00811E0E" w:rsidRPr="00747476">
              <w:t>weekly</w:t>
            </w:r>
            <w:r w:rsidR="00F96B2F" w:rsidRPr="00747476">
              <w:t xml:space="preserve"> </w:t>
            </w:r>
            <w:r w:rsidR="00811E0E" w:rsidRPr="00747476">
              <w:t>dose</w:t>
            </w:r>
            <w:r w:rsidR="00F96B2F" w:rsidRPr="00747476">
              <w:t xml:space="preserve"> </w:t>
            </w:r>
            <w:r w:rsidR="00811E0E" w:rsidRPr="00747476">
              <w:t>of</w:t>
            </w:r>
            <w:r w:rsidR="00F96B2F" w:rsidRPr="00747476">
              <w:t xml:space="preserve"> </w:t>
            </w:r>
            <w:r w:rsidR="00811E0E" w:rsidRPr="00747476">
              <w:t>0.66</w:t>
            </w:r>
            <w:r w:rsidR="00F96B2F" w:rsidRPr="00747476">
              <w:t xml:space="preserve"> </w:t>
            </w:r>
            <w:r w:rsidR="00811E0E" w:rsidRPr="00747476">
              <w:t>mg</w:t>
            </w:r>
            <w:r w:rsidR="00F96B2F" w:rsidRPr="00747476">
              <w:t xml:space="preserve"> </w:t>
            </w:r>
            <w:r w:rsidR="00811E0E" w:rsidRPr="00747476">
              <w:t>per</w:t>
            </w:r>
            <w:r w:rsidR="00F96B2F" w:rsidRPr="00747476">
              <w:t xml:space="preserve"> </w:t>
            </w:r>
            <w:r w:rsidR="00811E0E" w:rsidRPr="00747476">
              <w:t>kg</w:t>
            </w:r>
            <w:r w:rsidR="00F96B2F" w:rsidRPr="00747476">
              <w:t xml:space="preserve"> </w:t>
            </w:r>
            <w:r w:rsidRPr="00747476">
              <w:t xml:space="preserve">of </w:t>
            </w:r>
            <w:r w:rsidR="00811E0E" w:rsidRPr="00747476">
              <w:t>body</w:t>
            </w:r>
            <w:r w:rsidR="00F96B2F" w:rsidRPr="00747476">
              <w:t xml:space="preserve"> </w:t>
            </w:r>
            <w:r w:rsidR="00811E0E" w:rsidRPr="00747476">
              <w:t>weight</w:t>
            </w:r>
            <w:r w:rsidR="00F96B2F" w:rsidRPr="00747476">
              <w:t xml:space="preserve"> </w:t>
            </w:r>
            <w:r w:rsidR="00811E0E" w:rsidRPr="00747476">
              <w:t>per</w:t>
            </w:r>
            <w:r w:rsidR="00F96B2F" w:rsidRPr="00747476">
              <w:t xml:space="preserve"> </w:t>
            </w:r>
            <w:r w:rsidR="00811E0E" w:rsidRPr="00747476">
              <w:t>week</w:t>
            </w:r>
            <w:r w:rsidR="00F96B2F" w:rsidRPr="00747476">
              <w:t xml:space="preserve"> </w:t>
            </w:r>
            <w:r w:rsidR="00811E0E" w:rsidRPr="00747476">
              <w:t>in</w:t>
            </w:r>
            <w:r w:rsidR="00F96B2F" w:rsidRPr="00747476">
              <w:t xml:space="preserve"> </w:t>
            </w:r>
            <w:r w:rsidR="00811E0E" w:rsidRPr="00747476">
              <w:t>the</w:t>
            </w:r>
            <w:r w:rsidR="00F96B2F" w:rsidRPr="00747476">
              <w:t xml:space="preserve"> </w:t>
            </w:r>
            <w:r w:rsidR="00811E0E" w:rsidRPr="00747476">
              <w:t>estimation</w:t>
            </w:r>
            <w:r w:rsidR="00F96B2F" w:rsidRPr="00747476">
              <w:t xml:space="preserve"> </w:t>
            </w:r>
            <w:r w:rsidR="00811E0E" w:rsidRPr="00747476">
              <w:t>of</w:t>
            </w:r>
            <w:r w:rsidR="00F96B2F" w:rsidRPr="00747476">
              <w:t xml:space="preserve"> </w:t>
            </w:r>
            <w:r w:rsidR="004A4B3D" w:rsidRPr="00747476">
              <w:t xml:space="preserve">the </w:t>
            </w:r>
            <w:proofErr w:type="spellStart"/>
            <w:r w:rsidR="00811E0E" w:rsidRPr="00747476">
              <w:t>equi</w:t>
            </w:r>
            <w:proofErr w:type="spellEnd"/>
            <w:r w:rsidR="00811E0E" w:rsidRPr="00747476">
              <w:t>-effective</w:t>
            </w:r>
            <w:r w:rsidR="00F96B2F" w:rsidRPr="00747476">
              <w:t xml:space="preserve"> </w:t>
            </w:r>
            <w:r w:rsidR="00811E0E" w:rsidRPr="00747476">
              <w:t>doses</w:t>
            </w:r>
            <w:r w:rsidR="00F96B2F" w:rsidRPr="00747476">
              <w:t xml:space="preserve"> </w:t>
            </w:r>
            <w:r w:rsidR="004A4B3D" w:rsidRPr="00747476">
              <w:t>using the</w:t>
            </w:r>
            <w:r w:rsidR="00F96B2F" w:rsidRPr="00747476">
              <w:t xml:space="preserve"> </w:t>
            </w:r>
            <w:r w:rsidR="00811E0E" w:rsidRPr="00747476">
              <w:t>average</w:t>
            </w:r>
            <w:r w:rsidR="00F96B2F" w:rsidRPr="00747476">
              <w:t xml:space="preserve"> </w:t>
            </w:r>
            <w:r w:rsidR="00811E0E" w:rsidRPr="00747476">
              <w:t>weight</w:t>
            </w:r>
            <w:r w:rsidR="00F96B2F" w:rsidRPr="00747476">
              <w:t xml:space="preserve"> </w:t>
            </w:r>
            <w:r w:rsidR="00811E0E" w:rsidRPr="00747476">
              <w:t>of</w:t>
            </w:r>
            <w:r w:rsidR="00F96B2F" w:rsidRPr="00747476">
              <w:t xml:space="preserve"> </w:t>
            </w:r>
            <w:r w:rsidR="00811E0E" w:rsidRPr="00747476">
              <w:t>patients</w:t>
            </w:r>
            <w:r w:rsidR="00F96B2F" w:rsidRPr="00747476">
              <w:t xml:space="preserve"> </w:t>
            </w:r>
            <w:r w:rsidR="00811E0E" w:rsidRPr="00747476">
              <w:t>(CDC</w:t>
            </w:r>
            <w:r w:rsidR="00F96B2F" w:rsidRPr="00747476">
              <w:t xml:space="preserve"> </w:t>
            </w:r>
            <w:r w:rsidR="00811E0E" w:rsidRPr="00747476">
              <w:t>growth</w:t>
            </w:r>
            <w:r w:rsidR="00F96B2F" w:rsidRPr="00747476">
              <w:t xml:space="preserve"> </w:t>
            </w:r>
            <w:r w:rsidR="00811E0E" w:rsidRPr="00747476">
              <w:t>charts)</w:t>
            </w:r>
          </w:p>
          <w:tbl>
            <w:tblPr>
              <w:tblStyle w:val="TableGrid"/>
              <w:tblW w:w="4264" w:type="dxa"/>
              <w:tblLayout w:type="fixed"/>
              <w:tblLook w:val="04A0" w:firstRow="1" w:lastRow="0" w:firstColumn="1" w:lastColumn="0" w:noHBand="0" w:noVBand="1"/>
            </w:tblPr>
            <w:tblGrid>
              <w:gridCol w:w="2212"/>
              <w:gridCol w:w="993"/>
              <w:gridCol w:w="1059"/>
            </w:tblGrid>
            <w:tr w:rsidR="00811E0E" w:rsidRPr="00747476" w14:paraId="15C9CB67" w14:textId="77777777" w:rsidTr="00CF047E">
              <w:tc>
                <w:tcPr>
                  <w:tcW w:w="2212" w:type="dxa"/>
                  <w:vMerge w:val="restart"/>
                </w:tcPr>
                <w:p w14:paraId="0BA9D7C0" w14:textId="4F132193" w:rsidR="00811E0E" w:rsidRPr="00747476" w:rsidRDefault="00811E0E" w:rsidP="00DB65AC">
                  <w:pPr>
                    <w:pStyle w:val="TableText0"/>
                    <w:widowControl w:val="0"/>
                  </w:pPr>
                  <w:r w:rsidRPr="00747476">
                    <w:t>Age</w:t>
                  </w:r>
                  <w:r w:rsidR="00F96B2F" w:rsidRPr="00747476">
                    <w:t xml:space="preserve"> </w:t>
                  </w:r>
                  <w:r w:rsidRPr="00747476">
                    <w:t>(weight)</w:t>
                  </w:r>
                </w:p>
              </w:tc>
              <w:tc>
                <w:tcPr>
                  <w:tcW w:w="2052" w:type="dxa"/>
                  <w:gridSpan w:val="2"/>
                </w:tcPr>
                <w:p w14:paraId="0DC69188" w14:textId="5B5A4FEB" w:rsidR="00811E0E" w:rsidRPr="00747476" w:rsidRDefault="00811E0E" w:rsidP="00DB65AC">
                  <w:pPr>
                    <w:pStyle w:val="TableText0"/>
                    <w:widowControl w:val="0"/>
                    <w:jc w:val="center"/>
                  </w:pPr>
                  <w:r w:rsidRPr="00747476">
                    <w:t>mg</w:t>
                  </w:r>
                  <w:r w:rsidR="00F96B2F" w:rsidRPr="00747476">
                    <w:t xml:space="preserve"> </w:t>
                  </w:r>
                  <w:r w:rsidRPr="00747476">
                    <w:t>per</w:t>
                  </w:r>
                  <w:r w:rsidR="00F96B2F" w:rsidRPr="00747476">
                    <w:t xml:space="preserve"> </w:t>
                  </w:r>
                  <w:r w:rsidRPr="00747476">
                    <w:t>week</w:t>
                  </w:r>
                </w:p>
              </w:tc>
            </w:tr>
            <w:tr w:rsidR="00811E0E" w:rsidRPr="00747476" w14:paraId="3E185E12" w14:textId="77777777" w:rsidTr="00CF047E">
              <w:tc>
                <w:tcPr>
                  <w:tcW w:w="2212" w:type="dxa"/>
                  <w:vMerge/>
                </w:tcPr>
                <w:p w14:paraId="798CDC59" w14:textId="77777777" w:rsidR="00811E0E" w:rsidRPr="00747476" w:rsidRDefault="00811E0E" w:rsidP="00DB65AC">
                  <w:pPr>
                    <w:pStyle w:val="TableText0"/>
                    <w:widowControl w:val="0"/>
                  </w:pPr>
                </w:p>
              </w:tc>
              <w:tc>
                <w:tcPr>
                  <w:tcW w:w="993" w:type="dxa"/>
                </w:tcPr>
                <w:p w14:paraId="2BEE296F" w14:textId="77777777" w:rsidR="00811E0E" w:rsidRPr="00747476" w:rsidRDefault="00811E0E" w:rsidP="00DB65AC">
                  <w:pPr>
                    <w:pStyle w:val="TableText0"/>
                    <w:widowControl w:val="0"/>
                    <w:jc w:val="center"/>
                  </w:pPr>
                  <w:r w:rsidRPr="00747476">
                    <w:t>Males</w:t>
                  </w:r>
                </w:p>
              </w:tc>
              <w:tc>
                <w:tcPr>
                  <w:tcW w:w="1059" w:type="dxa"/>
                </w:tcPr>
                <w:p w14:paraId="6AB85EC3" w14:textId="77777777" w:rsidR="00811E0E" w:rsidRPr="00747476" w:rsidRDefault="00811E0E" w:rsidP="00DB65AC">
                  <w:pPr>
                    <w:pStyle w:val="TableText0"/>
                    <w:widowControl w:val="0"/>
                    <w:jc w:val="center"/>
                  </w:pPr>
                  <w:r w:rsidRPr="00747476">
                    <w:t>Females</w:t>
                  </w:r>
                </w:p>
              </w:tc>
            </w:tr>
            <w:tr w:rsidR="00811E0E" w:rsidRPr="00747476" w14:paraId="392C63E2" w14:textId="77777777" w:rsidTr="00CF047E">
              <w:tc>
                <w:tcPr>
                  <w:tcW w:w="2212" w:type="dxa"/>
                </w:tcPr>
                <w:p w14:paraId="47DD9C59" w14:textId="04A5C1DA" w:rsidR="00811E0E" w:rsidRPr="00747476" w:rsidRDefault="00811E0E" w:rsidP="00DB65AC">
                  <w:pPr>
                    <w:pStyle w:val="TableText0"/>
                    <w:widowControl w:val="0"/>
                  </w:pPr>
                  <w:r w:rsidRPr="00747476">
                    <w:t>Under</w:t>
                  </w:r>
                  <w:r w:rsidR="00F96B2F" w:rsidRPr="00747476">
                    <w:t xml:space="preserve"> </w:t>
                  </w:r>
                  <w:r w:rsidRPr="00747476">
                    <w:t>5</w:t>
                  </w:r>
                  <w:r w:rsidR="00F96B2F" w:rsidRPr="00747476">
                    <w:t xml:space="preserve"> </w:t>
                  </w:r>
                  <w:r w:rsidRPr="00747476">
                    <w:t>(16kg</w:t>
                  </w:r>
                  <w:r w:rsidR="00F96B2F" w:rsidRPr="00747476">
                    <w:t xml:space="preserve"> </w:t>
                  </w:r>
                  <w:r w:rsidRPr="00747476">
                    <w:t>M,</w:t>
                  </w:r>
                  <w:r w:rsidR="00F96B2F" w:rsidRPr="00747476">
                    <w:t xml:space="preserve"> </w:t>
                  </w:r>
                  <w:r w:rsidRPr="00747476">
                    <w:t>15kg</w:t>
                  </w:r>
                  <w:r w:rsidR="00F96B2F" w:rsidRPr="00747476">
                    <w:t xml:space="preserve"> </w:t>
                  </w:r>
                  <w:r w:rsidRPr="00747476">
                    <w:t>F)</w:t>
                  </w:r>
                </w:p>
              </w:tc>
              <w:tc>
                <w:tcPr>
                  <w:tcW w:w="993" w:type="dxa"/>
                </w:tcPr>
                <w:p w14:paraId="1BC3EAEF" w14:textId="77777777" w:rsidR="00811E0E" w:rsidRPr="00747476" w:rsidRDefault="00811E0E" w:rsidP="00DB65AC">
                  <w:pPr>
                    <w:pStyle w:val="TableText0"/>
                    <w:widowControl w:val="0"/>
                    <w:jc w:val="center"/>
                  </w:pPr>
                  <w:r w:rsidRPr="00747476">
                    <w:t>10</w:t>
                  </w:r>
                </w:p>
              </w:tc>
              <w:tc>
                <w:tcPr>
                  <w:tcW w:w="1059" w:type="dxa"/>
                </w:tcPr>
                <w:p w14:paraId="46189C2E" w14:textId="77777777" w:rsidR="00811E0E" w:rsidRPr="00747476" w:rsidRDefault="00811E0E" w:rsidP="00DB65AC">
                  <w:pPr>
                    <w:pStyle w:val="TableText0"/>
                    <w:widowControl w:val="0"/>
                    <w:jc w:val="center"/>
                  </w:pPr>
                  <w:r w:rsidRPr="00747476">
                    <w:t>10</w:t>
                  </w:r>
                </w:p>
              </w:tc>
            </w:tr>
            <w:tr w:rsidR="00811E0E" w:rsidRPr="00747476" w14:paraId="2EAB270C" w14:textId="77777777" w:rsidTr="00CF047E">
              <w:tc>
                <w:tcPr>
                  <w:tcW w:w="2212" w:type="dxa"/>
                </w:tcPr>
                <w:p w14:paraId="7700A067" w14:textId="39573CC1" w:rsidR="00811E0E" w:rsidRPr="00747476" w:rsidRDefault="00811E0E" w:rsidP="00DB65AC">
                  <w:pPr>
                    <w:pStyle w:val="TableText0"/>
                    <w:widowControl w:val="0"/>
                  </w:pPr>
                  <w:r w:rsidRPr="00747476">
                    <w:t>5-9</w:t>
                  </w:r>
                  <w:r w:rsidR="00F96B2F" w:rsidRPr="00747476">
                    <w:t xml:space="preserve"> </w:t>
                  </w:r>
                  <w:r w:rsidRPr="00747476">
                    <w:t>(24kgs)</w:t>
                  </w:r>
                </w:p>
              </w:tc>
              <w:tc>
                <w:tcPr>
                  <w:tcW w:w="993" w:type="dxa"/>
                </w:tcPr>
                <w:p w14:paraId="6E167E4F" w14:textId="77777777" w:rsidR="00811E0E" w:rsidRPr="00747476" w:rsidRDefault="00811E0E" w:rsidP="00DB65AC">
                  <w:pPr>
                    <w:pStyle w:val="TableText0"/>
                    <w:widowControl w:val="0"/>
                    <w:jc w:val="center"/>
                  </w:pPr>
                  <w:r w:rsidRPr="00747476">
                    <w:t>16</w:t>
                  </w:r>
                </w:p>
              </w:tc>
              <w:tc>
                <w:tcPr>
                  <w:tcW w:w="1059" w:type="dxa"/>
                </w:tcPr>
                <w:p w14:paraId="6FF8964E" w14:textId="77777777" w:rsidR="00811E0E" w:rsidRPr="00747476" w:rsidRDefault="00811E0E" w:rsidP="00DB65AC">
                  <w:pPr>
                    <w:pStyle w:val="TableText0"/>
                    <w:widowControl w:val="0"/>
                    <w:jc w:val="center"/>
                  </w:pPr>
                  <w:r w:rsidRPr="00747476">
                    <w:t>16</w:t>
                  </w:r>
                </w:p>
              </w:tc>
            </w:tr>
            <w:tr w:rsidR="00811E0E" w:rsidRPr="00747476" w14:paraId="0C8CC269" w14:textId="77777777" w:rsidTr="00CF047E">
              <w:tc>
                <w:tcPr>
                  <w:tcW w:w="2212" w:type="dxa"/>
                </w:tcPr>
                <w:p w14:paraId="7705C2CF" w14:textId="33AC7445" w:rsidR="00811E0E" w:rsidRPr="00747476" w:rsidRDefault="00811E0E" w:rsidP="00DB65AC">
                  <w:pPr>
                    <w:pStyle w:val="TableText0"/>
                    <w:widowControl w:val="0"/>
                  </w:pPr>
                  <w:r w:rsidRPr="00747476">
                    <w:t>10-14</w:t>
                  </w:r>
                  <w:r w:rsidR="00F96B2F" w:rsidRPr="00747476">
                    <w:t xml:space="preserve"> </w:t>
                  </w:r>
                  <w:r w:rsidRPr="00747476">
                    <w:t>(44kg</w:t>
                  </w:r>
                  <w:r w:rsidR="00F96B2F" w:rsidRPr="00747476">
                    <w:t xml:space="preserve"> </w:t>
                  </w:r>
                  <w:r w:rsidRPr="00747476">
                    <w:t>M,</w:t>
                  </w:r>
                  <w:r w:rsidR="00F96B2F" w:rsidRPr="00747476">
                    <w:t xml:space="preserve"> </w:t>
                  </w:r>
                  <w:r w:rsidRPr="00747476">
                    <w:t>45kg</w:t>
                  </w:r>
                  <w:r w:rsidR="00F96B2F" w:rsidRPr="00747476">
                    <w:t xml:space="preserve"> </w:t>
                  </w:r>
                  <w:r w:rsidRPr="00747476">
                    <w:t>F)</w:t>
                  </w:r>
                </w:p>
              </w:tc>
              <w:tc>
                <w:tcPr>
                  <w:tcW w:w="993" w:type="dxa"/>
                </w:tcPr>
                <w:p w14:paraId="330F7C08" w14:textId="77777777" w:rsidR="00811E0E" w:rsidRPr="00747476" w:rsidRDefault="00811E0E" w:rsidP="00DB65AC">
                  <w:pPr>
                    <w:pStyle w:val="TableText0"/>
                    <w:widowControl w:val="0"/>
                    <w:jc w:val="center"/>
                  </w:pPr>
                  <w:r w:rsidRPr="00747476">
                    <w:t>29</w:t>
                  </w:r>
                </w:p>
              </w:tc>
              <w:tc>
                <w:tcPr>
                  <w:tcW w:w="1059" w:type="dxa"/>
                </w:tcPr>
                <w:p w14:paraId="74160A0E" w14:textId="77777777" w:rsidR="00811E0E" w:rsidRPr="00747476" w:rsidRDefault="00811E0E" w:rsidP="00DB65AC">
                  <w:pPr>
                    <w:pStyle w:val="TableText0"/>
                    <w:widowControl w:val="0"/>
                    <w:jc w:val="center"/>
                  </w:pPr>
                  <w:r w:rsidRPr="00747476">
                    <w:t>30</w:t>
                  </w:r>
                </w:p>
              </w:tc>
            </w:tr>
          </w:tbl>
          <w:p w14:paraId="0F0AEB6C" w14:textId="77777777" w:rsidR="00811E0E" w:rsidRPr="00747476" w:rsidRDefault="00811E0E" w:rsidP="00DB65AC">
            <w:pPr>
              <w:pStyle w:val="TableText0"/>
              <w:widowControl w:val="0"/>
            </w:pPr>
          </w:p>
        </w:tc>
        <w:tc>
          <w:tcPr>
            <w:tcW w:w="1780" w:type="pct"/>
            <w:shd w:val="clear" w:color="auto" w:fill="auto"/>
            <w:vAlign w:val="center"/>
          </w:tcPr>
          <w:p w14:paraId="7CEB760A" w14:textId="77777777" w:rsidR="00E5129A" w:rsidRPr="00747476" w:rsidRDefault="00811E0E" w:rsidP="00DB65AC">
            <w:pPr>
              <w:pStyle w:val="TableText0"/>
              <w:widowControl w:val="0"/>
              <w:rPr>
                <w:iCs/>
              </w:rPr>
            </w:pPr>
            <w:r w:rsidRPr="00747476">
              <w:rPr>
                <w:iCs/>
              </w:rPr>
              <w:t>Mean</w:t>
            </w:r>
            <w:r w:rsidR="00F96B2F" w:rsidRPr="00747476">
              <w:rPr>
                <w:iCs/>
              </w:rPr>
              <w:t xml:space="preserve"> </w:t>
            </w:r>
            <w:r w:rsidRPr="00747476">
              <w:rPr>
                <w:iCs/>
              </w:rPr>
              <w:t>doses</w:t>
            </w:r>
            <w:r w:rsidR="00F96B2F" w:rsidRPr="00747476">
              <w:rPr>
                <w:iCs/>
              </w:rPr>
              <w:t xml:space="preserve"> </w:t>
            </w:r>
            <w:r w:rsidRPr="00747476">
              <w:rPr>
                <w:iCs/>
              </w:rPr>
              <w:t>are</w:t>
            </w:r>
            <w:r w:rsidR="00F96B2F" w:rsidRPr="00747476">
              <w:rPr>
                <w:iCs/>
              </w:rPr>
              <w:t xml:space="preserve"> </w:t>
            </w:r>
            <w:r w:rsidRPr="00747476">
              <w:rPr>
                <w:iCs/>
              </w:rPr>
              <w:t>more</w:t>
            </w:r>
            <w:r w:rsidR="00F96B2F" w:rsidRPr="00747476">
              <w:rPr>
                <w:iCs/>
              </w:rPr>
              <w:t xml:space="preserve"> </w:t>
            </w:r>
            <w:r w:rsidRPr="00747476">
              <w:rPr>
                <w:iCs/>
              </w:rPr>
              <w:t>appropriate.</w:t>
            </w:r>
          </w:p>
          <w:p w14:paraId="731B4B16" w14:textId="606424FA" w:rsidR="00811E0E" w:rsidRPr="00747476" w:rsidRDefault="00811E0E" w:rsidP="00DB65AC">
            <w:pPr>
              <w:pStyle w:val="TableText0"/>
              <w:widowControl w:val="0"/>
              <w:rPr>
                <w:iCs/>
              </w:rPr>
            </w:pPr>
          </w:p>
          <w:p w14:paraId="791C8892" w14:textId="3A6CC69F" w:rsidR="00811E0E" w:rsidRPr="00747476" w:rsidRDefault="00811E0E" w:rsidP="00DB65AC">
            <w:pPr>
              <w:pStyle w:val="TableText0"/>
              <w:widowControl w:val="0"/>
              <w:rPr>
                <w:i/>
              </w:rPr>
            </w:pPr>
            <w:r w:rsidRPr="00747476">
              <w:rPr>
                <w:iCs/>
              </w:rPr>
              <w:t>Although</w:t>
            </w:r>
            <w:r w:rsidR="00F96B2F" w:rsidRPr="00747476">
              <w:rPr>
                <w:iCs/>
              </w:rPr>
              <w:t xml:space="preserve"> </w:t>
            </w:r>
            <w:r w:rsidRPr="00747476">
              <w:rPr>
                <w:iCs/>
              </w:rPr>
              <w:t>the</w:t>
            </w:r>
            <w:r w:rsidR="00F96B2F" w:rsidRPr="00747476">
              <w:rPr>
                <w:iCs/>
              </w:rPr>
              <w:t xml:space="preserve"> </w:t>
            </w:r>
            <w:r w:rsidRPr="00747476">
              <w:rPr>
                <w:iCs/>
              </w:rPr>
              <w:t>CDC</w:t>
            </w:r>
            <w:r w:rsidR="00F96B2F" w:rsidRPr="00747476">
              <w:rPr>
                <w:iCs/>
              </w:rPr>
              <w:t xml:space="preserve"> </w:t>
            </w:r>
            <w:r w:rsidRPr="00747476">
              <w:rPr>
                <w:iCs/>
              </w:rPr>
              <w:t>growth</w:t>
            </w:r>
            <w:r w:rsidR="00F96B2F" w:rsidRPr="00747476">
              <w:rPr>
                <w:iCs/>
              </w:rPr>
              <w:t xml:space="preserve"> </w:t>
            </w:r>
            <w:r w:rsidRPr="00747476">
              <w:rPr>
                <w:iCs/>
              </w:rPr>
              <w:t>charts</w:t>
            </w:r>
            <w:r w:rsidR="00F96B2F" w:rsidRPr="00747476">
              <w:rPr>
                <w:iCs/>
              </w:rPr>
              <w:t xml:space="preserve"> </w:t>
            </w:r>
            <w:r w:rsidRPr="00747476">
              <w:rPr>
                <w:iCs/>
              </w:rPr>
              <w:t>are</w:t>
            </w:r>
            <w:r w:rsidR="00F96B2F" w:rsidRPr="00747476">
              <w:rPr>
                <w:iCs/>
              </w:rPr>
              <w:t xml:space="preserve"> </w:t>
            </w:r>
            <w:r w:rsidRPr="00747476">
              <w:rPr>
                <w:iCs/>
              </w:rPr>
              <w:t>based</w:t>
            </w:r>
            <w:r w:rsidR="00F96B2F" w:rsidRPr="00747476">
              <w:rPr>
                <w:iCs/>
              </w:rPr>
              <w:t xml:space="preserve"> </w:t>
            </w:r>
            <w:r w:rsidRPr="00747476">
              <w:rPr>
                <w:iCs/>
              </w:rPr>
              <w:t>on</w:t>
            </w:r>
            <w:r w:rsidR="00F96B2F" w:rsidRPr="00747476">
              <w:rPr>
                <w:iCs/>
              </w:rPr>
              <w:t xml:space="preserve"> </w:t>
            </w:r>
            <w:r w:rsidRPr="00747476">
              <w:rPr>
                <w:iCs/>
              </w:rPr>
              <w:t>US</w:t>
            </w:r>
            <w:r w:rsidR="00F96B2F" w:rsidRPr="00747476">
              <w:rPr>
                <w:iCs/>
              </w:rPr>
              <w:t xml:space="preserve"> </w:t>
            </w:r>
            <w:r w:rsidRPr="00747476">
              <w:rPr>
                <w:iCs/>
              </w:rPr>
              <w:t>patients,</w:t>
            </w:r>
            <w:r w:rsidR="00F96B2F" w:rsidRPr="00747476">
              <w:rPr>
                <w:iCs/>
              </w:rPr>
              <w:t xml:space="preserve"> </w:t>
            </w:r>
            <w:r w:rsidRPr="00747476">
              <w:rPr>
                <w:iCs/>
              </w:rPr>
              <w:t>use</w:t>
            </w:r>
            <w:r w:rsidR="00F96B2F" w:rsidRPr="00747476">
              <w:rPr>
                <w:iCs/>
              </w:rPr>
              <w:t xml:space="preserve"> </w:t>
            </w:r>
            <w:r w:rsidRPr="00747476">
              <w:rPr>
                <w:iCs/>
              </w:rPr>
              <w:t>of</w:t>
            </w:r>
            <w:r w:rsidR="00F96B2F" w:rsidRPr="00747476">
              <w:rPr>
                <w:iCs/>
              </w:rPr>
              <w:t xml:space="preserve"> </w:t>
            </w:r>
            <w:r w:rsidRPr="00747476">
              <w:rPr>
                <w:iCs/>
              </w:rPr>
              <w:t>the</w:t>
            </w:r>
            <w:r w:rsidR="00F96B2F" w:rsidRPr="00747476">
              <w:rPr>
                <w:iCs/>
              </w:rPr>
              <w:t xml:space="preserve"> </w:t>
            </w:r>
            <w:r w:rsidRPr="00747476">
              <w:rPr>
                <w:iCs/>
              </w:rPr>
              <w:t>data</w:t>
            </w:r>
            <w:r w:rsidR="00F96B2F" w:rsidRPr="00747476">
              <w:rPr>
                <w:iCs/>
              </w:rPr>
              <w:t xml:space="preserve"> </w:t>
            </w:r>
            <w:r w:rsidR="004A4B3D" w:rsidRPr="00747476">
              <w:rPr>
                <w:iCs/>
              </w:rPr>
              <w:t xml:space="preserve">were </w:t>
            </w:r>
            <w:r w:rsidRPr="00747476">
              <w:rPr>
                <w:iCs/>
              </w:rPr>
              <w:t>reasonable</w:t>
            </w:r>
            <w:r w:rsidR="00F96B2F" w:rsidRPr="00747476">
              <w:rPr>
                <w:iCs/>
              </w:rPr>
              <w:t xml:space="preserve"> </w:t>
            </w:r>
            <w:r w:rsidRPr="00747476">
              <w:rPr>
                <w:iCs/>
              </w:rPr>
              <w:t>since</w:t>
            </w:r>
            <w:r w:rsidR="00F96B2F" w:rsidRPr="00747476">
              <w:rPr>
                <w:iCs/>
              </w:rPr>
              <w:t xml:space="preserve"> </w:t>
            </w:r>
            <w:r w:rsidRPr="00747476">
              <w:rPr>
                <w:iCs/>
              </w:rPr>
              <w:t>it</w:t>
            </w:r>
            <w:r w:rsidR="00F96B2F" w:rsidRPr="00747476">
              <w:rPr>
                <w:iCs/>
              </w:rPr>
              <w:t xml:space="preserve"> </w:t>
            </w:r>
            <w:r w:rsidR="004A4B3D" w:rsidRPr="00747476">
              <w:rPr>
                <w:iCs/>
              </w:rPr>
              <w:t xml:space="preserve">was </w:t>
            </w:r>
            <w:r w:rsidRPr="00747476">
              <w:rPr>
                <w:iCs/>
              </w:rPr>
              <w:t>likely</w:t>
            </w:r>
            <w:r w:rsidR="00F96B2F" w:rsidRPr="00747476">
              <w:rPr>
                <w:iCs/>
              </w:rPr>
              <w:t xml:space="preserve"> </w:t>
            </w:r>
            <w:r w:rsidR="00340129" w:rsidRPr="00747476">
              <w:rPr>
                <w:iCs/>
              </w:rPr>
              <w:t xml:space="preserve">to be </w:t>
            </w:r>
            <w:r w:rsidRPr="00747476">
              <w:rPr>
                <w:iCs/>
              </w:rPr>
              <w:t>generalisable</w:t>
            </w:r>
            <w:r w:rsidR="00F96B2F" w:rsidRPr="00747476">
              <w:rPr>
                <w:iCs/>
              </w:rPr>
              <w:t xml:space="preserve"> </w:t>
            </w:r>
            <w:r w:rsidRPr="00747476">
              <w:rPr>
                <w:iCs/>
              </w:rPr>
              <w:t>to</w:t>
            </w:r>
            <w:r w:rsidR="00F96B2F" w:rsidRPr="00747476">
              <w:rPr>
                <w:iCs/>
              </w:rPr>
              <w:t xml:space="preserve"> </w:t>
            </w:r>
            <w:r w:rsidRPr="00747476">
              <w:rPr>
                <w:iCs/>
              </w:rPr>
              <w:t>the</w:t>
            </w:r>
            <w:r w:rsidR="00F96B2F" w:rsidRPr="00747476">
              <w:rPr>
                <w:iCs/>
              </w:rPr>
              <w:t xml:space="preserve"> </w:t>
            </w:r>
            <w:r w:rsidRPr="00747476">
              <w:rPr>
                <w:iCs/>
              </w:rPr>
              <w:t>Australian</w:t>
            </w:r>
            <w:r w:rsidR="00F96B2F" w:rsidRPr="00747476">
              <w:rPr>
                <w:iCs/>
              </w:rPr>
              <w:t xml:space="preserve"> </w:t>
            </w:r>
            <w:r w:rsidRPr="00747476">
              <w:rPr>
                <w:iCs/>
              </w:rPr>
              <w:t>population.</w:t>
            </w:r>
          </w:p>
        </w:tc>
      </w:tr>
      <w:tr w:rsidR="00811E0E" w:rsidRPr="00747476" w14:paraId="054923E2" w14:textId="77777777" w:rsidTr="00CF047E">
        <w:tc>
          <w:tcPr>
            <w:tcW w:w="950" w:type="pct"/>
            <w:shd w:val="clear" w:color="auto" w:fill="auto"/>
            <w:vAlign w:val="center"/>
          </w:tcPr>
          <w:p w14:paraId="40AF4709" w14:textId="01B48B11" w:rsidR="00811E0E" w:rsidRPr="00747476" w:rsidRDefault="00811E0E" w:rsidP="00DB65AC">
            <w:pPr>
              <w:pStyle w:val="TableText0"/>
              <w:widowControl w:val="0"/>
            </w:pPr>
            <w:proofErr w:type="spellStart"/>
            <w:r w:rsidRPr="00747476">
              <w:t>Somatrogon</w:t>
            </w:r>
            <w:proofErr w:type="spellEnd"/>
            <w:r w:rsidR="00F96B2F" w:rsidRPr="00747476">
              <w:t xml:space="preserve"> </w:t>
            </w:r>
            <w:r w:rsidRPr="00747476">
              <w:t>dosing</w:t>
            </w:r>
            <w:r w:rsidR="00F96B2F" w:rsidRPr="00747476">
              <w:t xml:space="preserve"> </w:t>
            </w:r>
            <w:r w:rsidRPr="00747476">
              <w:t>and</w:t>
            </w:r>
            <w:r w:rsidR="00F96B2F" w:rsidRPr="00747476">
              <w:t xml:space="preserve"> </w:t>
            </w:r>
            <w:r w:rsidRPr="00747476">
              <w:t>pens</w:t>
            </w:r>
            <w:r w:rsidR="00F96B2F" w:rsidRPr="00747476">
              <w:t xml:space="preserve"> </w:t>
            </w:r>
            <w:r w:rsidRPr="00747476">
              <w:t>per</w:t>
            </w:r>
            <w:r w:rsidR="00F96B2F" w:rsidRPr="00747476">
              <w:t xml:space="preserve"> </w:t>
            </w:r>
            <w:r w:rsidRPr="00747476">
              <w:t>patient</w:t>
            </w:r>
            <w:r w:rsidR="00F96B2F" w:rsidRPr="00747476">
              <w:t xml:space="preserve"> </w:t>
            </w:r>
            <w:r w:rsidRPr="00747476">
              <w:t>per</w:t>
            </w:r>
            <w:r w:rsidR="00F96B2F" w:rsidRPr="00747476">
              <w:t xml:space="preserve"> </w:t>
            </w:r>
            <w:r w:rsidRPr="00747476">
              <w:t>month</w:t>
            </w:r>
          </w:p>
        </w:tc>
        <w:tc>
          <w:tcPr>
            <w:tcW w:w="2270" w:type="pct"/>
            <w:shd w:val="clear" w:color="auto" w:fill="auto"/>
            <w:vAlign w:val="center"/>
          </w:tcPr>
          <w:p w14:paraId="1F44EC5A" w14:textId="294BED4F" w:rsidR="00811E0E" w:rsidRPr="00747476" w:rsidRDefault="00554DCA" w:rsidP="00DB65AC">
            <w:pPr>
              <w:pStyle w:val="TableText0"/>
              <w:widowControl w:val="0"/>
            </w:pPr>
            <w:r w:rsidRPr="00747476">
              <w:t xml:space="preserve">This was based </w:t>
            </w:r>
            <w:r w:rsidR="00811E0E" w:rsidRPr="00747476">
              <w:t>on</w:t>
            </w:r>
            <w:r w:rsidR="00F96B2F" w:rsidRPr="00747476">
              <w:t xml:space="preserve"> </w:t>
            </w:r>
            <w:r w:rsidR="00811E0E" w:rsidRPr="00747476">
              <w:t>a</w:t>
            </w:r>
            <w:r w:rsidR="00F96B2F" w:rsidRPr="00747476">
              <w:t xml:space="preserve"> </w:t>
            </w:r>
            <w:r w:rsidR="00811E0E" w:rsidRPr="00747476">
              <w:t>dose</w:t>
            </w:r>
            <w:r w:rsidR="00F96B2F" w:rsidRPr="00747476">
              <w:t xml:space="preserve"> </w:t>
            </w:r>
            <w:r w:rsidR="00811E0E" w:rsidRPr="00747476">
              <w:t>of</w:t>
            </w:r>
            <w:r w:rsidR="00F96B2F" w:rsidRPr="00747476">
              <w:t xml:space="preserve"> </w:t>
            </w:r>
            <w:r w:rsidR="00811E0E" w:rsidRPr="00747476">
              <w:t>0.66</w:t>
            </w:r>
            <w:r w:rsidR="00343E9B" w:rsidRPr="00747476">
              <w:t> </w:t>
            </w:r>
            <w:r w:rsidR="00811E0E" w:rsidRPr="00747476">
              <w:t>mg/kg</w:t>
            </w:r>
            <w:r w:rsidRPr="00747476">
              <w:t xml:space="preserve"> of</w:t>
            </w:r>
            <w:r w:rsidR="00F96B2F" w:rsidRPr="00747476">
              <w:t xml:space="preserve"> </w:t>
            </w:r>
            <w:r w:rsidR="00811E0E" w:rsidRPr="00747476">
              <w:t>body</w:t>
            </w:r>
            <w:r w:rsidR="00F96B2F" w:rsidRPr="00747476">
              <w:t xml:space="preserve"> </w:t>
            </w:r>
            <w:r w:rsidR="00811E0E" w:rsidRPr="00747476">
              <w:t>weight</w:t>
            </w:r>
            <w:r w:rsidR="00F96B2F" w:rsidRPr="00747476">
              <w:t xml:space="preserve"> </w:t>
            </w:r>
            <w:r w:rsidR="00811E0E" w:rsidRPr="00747476">
              <w:t>per</w:t>
            </w:r>
            <w:r w:rsidR="00F96B2F" w:rsidRPr="00747476">
              <w:t xml:space="preserve"> </w:t>
            </w:r>
            <w:r w:rsidR="00811E0E" w:rsidRPr="00747476">
              <w:t>week</w:t>
            </w:r>
            <w:r w:rsidR="00F96B2F" w:rsidRPr="00747476">
              <w:t xml:space="preserve"> </w:t>
            </w:r>
            <w:r w:rsidR="00811E0E" w:rsidRPr="00747476">
              <w:t>and</w:t>
            </w:r>
            <w:r w:rsidR="00F96B2F" w:rsidRPr="00747476">
              <w:t xml:space="preserve"> </w:t>
            </w:r>
            <w:r w:rsidR="00811E0E" w:rsidRPr="00747476">
              <w:t>the</w:t>
            </w:r>
            <w:r w:rsidR="00F96B2F" w:rsidRPr="00747476">
              <w:t xml:space="preserve"> </w:t>
            </w:r>
            <w:r w:rsidR="00811E0E" w:rsidRPr="00747476">
              <w:t>doses</w:t>
            </w:r>
            <w:r w:rsidR="00F96B2F" w:rsidRPr="00747476">
              <w:t xml:space="preserve"> </w:t>
            </w:r>
            <w:r w:rsidR="00811E0E" w:rsidRPr="00747476">
              <w:t>listed</w:t>
            </w:r>
            <w:r w:rsidR="00F96B2F" w:rsidRPr="00747476">
              <w:t xml:space="preserve"> </w:t>
            </w:r>
            <w:r w:rsidR="00811E0E" w:rsidRPr="00747476">
              <w:t>above</w:t>
            </w:r>
          </w:p>
          <w:tbl>
            <w:tblPr>
              <w:tblStyle w:val="TableGrid"/>
              <w:tblW w:w="0" w:type="auto"/>
              <w:tblLayout w:type="fixed"/>
              <w:tblLook w:val="04A0" w:firstRow="1" w:lastRow="0" w:firstColumn="1" w:lastColumn="0" w:noHBand="0" w:noVBand="1"/>
            </w:tblPr>
            <w:tblGrid>
              <w:gridCol w:w="1007"/>
              <w:gridCol w:w="1007"/>
              <w:gridCol w:w="1007"/>
              <w:gridCol w:w="1007"/>
            </w:tblGrid>
            <w:tr w:rsidR="00811E0E" w:rsidRPr="00747476" w14:paraId="0C79D218" w14:textId="77777777" w:rsidTr="00CF047E">
              <w:tc>
                <w:tcPr>
                  <w:tcW w:w="1007" w:type="dxa"/>
                  <w:vMerge w:val="restart"/>
                </w:tcPr>
                <w:p w14:paraId="322C087F" w14:textId="77777777" w:rsidR="00811E0E" w:rsidRPr="00747476" w:rsidRDefault="00811E0E" w:rsidP="00DB65AC">
                  <w:pPr>
                    <w:pStyle w:val="TableText0"/>
                    <w:widowControl w:val="0"/>
                  </w:pPr>
                  <w:r w:rsidRPr="00747476">
                    <w:t>Age</w:t>
                  </w:r>
                </w:p>
              </w:tc>
              <w:tc>
                <w:tcPr>
                  <w:tcW w:w="3021" w:type="dxa"/>
                  <w:gridSpan w:val="3"/>
                </w:tcPr>
                <w:p w14:paraId="5E4EB4C5" w14:textId="7F24E15C" w:rsidR="00811E0E" w:rsidRPr="00747476" w:rsidRDefault="00811E0E" w:rsidP="00DB65AC">
                  <w:pPr>
                    <w:pStyle w:val="TableText0"/>
                    <w:widowControl w:val="0"/>
                  </w:pPr>
                  <w:r w:rsidRPr="00747476">
                    <w:t>Pens</w:t>
                  </w:r>
                  <w:r w:rsidR="00F96B2F" w:rsidRPr="00747476">
                    <w:t xml:space="preserve"> </w:t>
                  </w:r>
                  <w:r w:rsidRPr="00747476">
                    <w:t>per</w:t>
                  </w:r>
                  <w:r w:rsidR="00F96B2F" w:rsidRPr="00747476">
                    <w:t xml:space="preserve"> </w:t>
                  </w:r>
                  <w:r w:rsidRPr="00747476">
                    <w:t>month</w:t>
                  </w:r>
                  <w:r w:rsidR="00F96B2F" w:rsidRPr="00747476">
                    <w:t xml:space="preserve"> </w:t>
                  </w:r>
                  <w:r w:rsidRPr="00747476">
                    <w:t>(rounded)</w:t>
                  </w:r>
                </w:p>
              </w:tc>
            </w:tr>
            <w:tr w:rsidR="00811E0E" w:rsidRPr="00747476" w14:paraId="7C9175F2" w14:textId="77777777" w:rsidTr="00CF047E">
              <w:tc>
                <w:tcPr>
                  <w:tcW w:w="1007" w:type="dxa"/>
                  <w:vMerge/>
                </w:tcPr>
                <w:p w14:paraId="387DA51B" w14:textId="77777777" w:rsidR="00811E0E" w:rsidRPr="00747476" w:rsidRDefault="00811E0E" w:rsidP="00DB65AC">
                  <w:pPr>
                    <w:pStyle w:val="TableText0"/>
                    <w:widowControl w:val="0"/>
                  </w:pPr>
                </w:p>
              </w:tc>
              <w:tc>
                <w:tcPr>
                  <w:tcW w:w="1007" w:type="dxa"/>
                </w:tcPr>
                <w:p w14:paraId="4733D41A" w14:textId="5909EDD7" w:rsidR="00811E0E" w:rsidRPr="00747476" w:rsidRDefault="00811E0E" w:rsidP="00DB65AC">
                  <w:pPr>
                    <w:pStyle w:val="TableText0"/>
                    <w:widowControl w:val="0"/>
                  </w:pPr>
                  <w:r w:rsidRPr="00747476">
                    <w:t>Males</w:t>
                  </w:r>
                  <w:r w:rsidR="00F96B2F" w:rsidRPr="00747476">
                    <w:t xml:space="preserve"> </w:t>
                  </w:r>
                </w:p>
              </w:tc>
              <w:tc>
                <w:tcPr>
                  <w:tcW w:w="1007" w:type="dxa"/>
                </w:tcPr>
                <w:p w14:paraId="2A5CB460" w14:textId="77777777" w:rsidR="00811E0E" w:rsidRPr="00747476" w:rsidRDefault="00811E0E" w:rsidP="00DB65AC">
                  <w:pPr>
                    <w:pStyle w:val="TableText0"/>
                    <w:widowControl w:val="0"/>
                  </w:pPr>
                  <w:r w:rsidRPr="00747476">
                    <w:t>Females</w:t>
                  </w:r>
                </w:p>
              </w:tc>
              <w:tc>
                <w:tcPr>
                  <w:tcW w:w="1007" w:type="dxa"/>
                </w:tcPr>
                <w:p w14:paraId="418092ED" w14:textId="3E864D4C" w:rsidR="00811E0E" w:rsidRPr="00747476" w:rsidRDefault="00811E0E" w:rsidP="00DB65AC">
                  <w:pPr>
                    <w:pStyle w:val="TableText0"/>
                    <w:widowControl w:val="0"/>
                  </w:pPr>
                  <w:r w:rsidRPr="00747476">
                    <w:t>Pen</w:t>
                  </w:r>
                  <w:r w:rsidR="00F96B2F" w:rsidRPr="00747476">
                    <w:t xml:space="preserve"> </w:t>
                  </w:r>
                  <w:r w:rsidRPr="00747476">
                    <w:t>mg</w:t>
                  </w:r>
                </w:p>
              </w:tc>
            </w:tr>
            <w:tr w:rsidR="00811E0E" w:rsidRPr="00747476" w14:paraId="61B307CA" w14:textId="77777777" w:rsidTr="00CF047E">
              <w:tc>
                <w:tcPr>
                  <w:tcW w:w="1007" w:type="dxa"/>
                </w:tcPr>
                <w:p w14:paraId="7366BBAC" w14:textId="253335A8" w:rsidR="00811E0E" w:rsidRPr="00747476" w:rsidRDefault="00811E0E" w:rsidP="00DB65AC">
                  <w:pPr>
                    <w:pStyle w:val="TableText0"/>
                    <w:widowControl w:val="0"/>
                  </w:pPr>
                  <w:r w:rsidRPr="00747476">
                    <w:t>Under</w:t>
                  </w:r>
                  <w:r w:rsidR="00F96B2F" w:rsidRPr="00747476">
                    <w:t xml:space="preserve"> </w:t>
                  </w:r>
                  <w:r w:rsidRPr="00747476">
                    <w:t>5</w:t>
                  </w:r>
                  <w:r w:rsidR="00F96B2F" w:rsidRPr="00747476">
                    <w:t xml:space="preserve"> </w:t>
                  </w:r>
                </w:p>
              </w:tc>
              <w:tc>
                <w:tcPr>
                  <w:tcW w:w="1007" w:type="dxa"/>
                </w:tcPr>
                <w:p w14:paraId="473AB1F1" w14:textId="25CE8605" w:rsidR="00811E0E" w:rsidRPr="00747476" w:rsidRDefault="00811E0E" w:rsidP="00DB65AC">
                  <w:pPr>
                    <w:pStyle w:val="TableText0"/>
                    <w:widowControl w:val="0"/>
                  </w:pPr>
                  <w:r w:rsidRPr="00747476">
                    <w:t>1.9</w:t>
                  </w:r>
                  <w:r w:rsidR="00F96B2F" w:rsidRPr="00747476">
                    <w:t xml:space="preserve"> </w:t>
                  </w:r>
                  <w:r w:rsidRPr="00747476">
                    <w:t>(2.0)</w:t>
                  </w:r>
                </w:p>
              </w:tc>
              <w:tc>
                <w:tcPr>
                  <w:tcW w:w="1007" w:type="dxa"/>
                </w:tcPr>
                <w:p w14:paraId="31C93927" w14:textId="1488D93A" w:rsidR="00811E0E" w:rsidRPr="00747476" w:rsidRDefault="00811E0E" w:rsidP="00DB65AC">
                  <w:pPr>
                    <w:pStyle w:val="TableText0"/>
                    <w:widowControl w:val="0"/>
                  </w:pPr>
                  <w:r w:rsidRPr="00747476">
                    <w:t>1.8</w:t>
                  </w:r>
                  <w:r w:rsidR="00F96B2F" w:rsidRPr="00747476">
                    <w:t xml:space="preserve"> </w:t>
                  </w:r>
                  <w:r w:rsidRPr="00747476">
                    <w:t>(2.0)</w:t>
                  </w:r>
                </w:p>
              </w:tc>
              <w:tc>
                <w:tcPr>
                  <w:tcW w:w="1007" w:type="dxa"/>
                </w:tcPr>
                <w:p w14:paraId="0FA25567" w14:textId="77777777" w:rsidR="00811E0E" w:rsidRPr="00747476" w:rsidRDefault="00811E0E" w:rsidP="00DB65AC">
                  <w:pPr>
                    <w:pStyle w:val="TableText0"/>
                    <w:widowControl w:val="0"/>
                  </w:pPr>
                  <w:r w:rsidRPr="00747476">
                    <w:t>24mg</w:t>
                  </w:r>
                </w:p>
              </w:tc>
            </w:tr>
            <w:tr w:rsidR="00811E0E" w:rsidRPr="00747476" w14:paraId="465E5325" w14:textId="77777777" w:rsidTr="00CF047E">
              <w:tc>
                <w:tcPr>
                  <w:tcW w:w="1007" w:type="dxa"/>
                </w:tcPr>
                <w:p w14:paraId="2C3EB324" w14:textId="77777777" w:rsidR="00811E0E" w:rsidRPr="00747476" w:rsidRDefault="00811E0E" w:rsidP="00DB65AC">
                  <w:pPr>
                    <w:pStyle w:val="TableText0"/>
                    <w:widowControl w:val="0"/>
                  </w:pPr>
                  <w:r w:rsidRPr="00747476">
                    <w:t>5-9</w:t>
                  </w:r>
                </w:p>
              </w:tc>
              <w:tc>
                <w:tcPr>
                  <w:tcW w:w="1007" w:type="dxa"/>
                </w:tcPr>
                <w:p w14:paraId="7C6B2EFC" w14:textId="2CBA094B" w:rsidR="00811E0E" w:rsidRPr="00747476" w:rsidRDefault="00811E0E" w:rsidP="00DB65AC">
                  <w:pPr>
                    <w:pStyle w:val="TableText0"/>
                    <w:widowControl w:val="0"/>
                  </w:pPr>
                  <w:r w:rsidRPr="00747476">
                    <w:t>1.2</w:t>
                  </w:r>
                  <w:r w:rsidR="00F96B2F" w:rsidRPr="00747476">
                    <w:t xml:space="preserve"> </w:t>
                  </w:r>
                  <w:r w:rsidRPr="00747476">
                    <w:t>(1.0)</w:t>
                  </w:r>
                </w:p>
              </w:tc>
              <w:tc>
                <w:tcPr>
                  <w:tcW w:w="1007" w:type="dxa"/>
                </w:tcPr>
                <w:p w14:paraId="36F6819E" w14:textId="30AEEF2B" w:rsidR="00811E0E" w:rsidRPr="00747476" w:rsidRDefault="00811E0E" w:rsidP="00DB65AC">
                  <w:pPr>
                    <w:pStyle w:val="TableText0"/>
                    <w:widowControl w:val="0"/>
                  </w:pPr>
                  <w:r w:rsidRPr="00747476">
                    <w:t>1.2</w:t>
                  </w:r>
                  <w:r w:rsidR="00F96B2F" w:rsidRPr="00747476">
                    <w:t xml:space="preserve"> </w:t>
                  </w:r>
                  <w:r w:rsidRPr="00747476">
                    <w:t>(1.0)</w:t>
                  </w:r>
                </w:p>
              </w:tc>
              <w:tc>
                <w:tcPr>
                  <w:tcW w:w="1007" w:type="dxa"/>
                </w:tcPr>
                <w:p w14:paraId="29D75ED8" w14:textId="77777777" w:rsidR="00811E0E" w:rsidRPr="00747476" w:rsidRDefault="00811E0E" w:rsidP="00DB65AC">
                  <w:pPr>
                    <w:pStyle w:val="TableText0"/>
                    <w:widowControl w:val="0"/>
                  </w:pPr>
                  <w:r w:rsidRPr="00747476">
                    <w:t>60mg</w:t>
                  </w:r>
                </w:p>
              </w:tc>
            </w:tr>
            <w:tr w:rsidR="00811E0E" w:rsidRPr="00747476" w14:paraId="552B3707" w14:textId="77777777" w:rsidTr="00CF047E">
              <w:tc>
                <w:tcPr>
                  <w:tcW w:w="1007" w:type="dxa"/>
                </w:tcPr>
                <w:p w14:paraId="2BA881A4" w14:textId="77777777" w:rsidR="00811E0E" w:rsidRPr="00747476" w:rsidRDefault="00811E0E" w:rsidP="00DB65AC">
                  <w:pPr>
                    <w:pStyle w:val="TableText0"/>
                    <w:widowControl w:val="0"/>
                  </w:pPr>
                  <w:r w:rsidRPr="00747476">
                    <w:t>10-14</w:t>
                  </w:r>
                </w:p>
              </w:tc>
              <w:tc>
                <w:tcPr>
                  <w:tcW w:w="1007" w:type="dxa"/>
                </w:tcPr>
                <w:p w14:paraId="7A824A30" w14:textId="7FDE5D39" w:rsidR="00811E0E" w:rsidRPr="00747476" w:rsidRDefault="00811E0E" w:rsidP="00DB65AC">
                  <w:pPr>
                    <w:pStyle w:val="TableText0"/>
                    <w:widowControl w:val="0"/>
                  </w:pPr>
                  <w:r w:rsidRPr="00747476">
                    <w:t>2.1</w:t>
                  </w:r>
                  <w:r w:rsidR="00F96B2F" w:rsidRPr="00747476">
                    <w:t xml:space="preserve"> </w:t>
                  </w:r>
                  <w:r w:rsidRPr="00747476">
                    <w:t>(2.0)</w:t>
                  </w:r>
                </w:p>
              </w:tc>
              <w:tc>
                <w:tcPr>
                  <w:tcW w:w="1007" w:type="dxa"/>
                </w:tcPr>
                <w:p w14:paraId="73651CEE" w14:textId="19349295" w:rsidR="00811E0E" w:rsidRPr="00747476" w:rsidRDefault="00811E0E" w:rsidP="00DB65AC">
                  <w:pPr>
                    <w:pStyle w:val="TableText0"/>
                    <w:widowControl w:val="0"/>
                  </w:pPr>
                  <w:r w:rsidRPr="00747476">
                    <w:t>2.1</w:t>
                  </w:r>
                  <w:r w:rsidR="00F96B2F" w:rsidRPr="00747476">
                    <w:t xml:space="preserve"> </w:t>
                  </w:r>
                  <w:r w:rsidRPr="00747476">
                    <w:t>(2.0)</w:t>
                  </w:r>
                </w:p>
              </w:tc>
              <w:tc>
                <w:tcPr>
                  <w:tcW w:w="1007" w:type="dxa"/>
                </w:tcPr>
                <w:p w14:paraId="0913BC4B" w14:textId="77777777" w:rsidR="00811E0E" w:rsidRPr="00747476" w:rsidRDefault="00811E0E" w:rsidP="00DB65AC">
                  <w:pPr>
                    <w:pStyle w:val="TableText0"/>
                    <w:widowControl w:val="0"/>
                  </w:pPr>
                  <w:r w:rsidRPr="00747476">
                    <w:t>60mg</w:t>
                  </w:r>
                </w:p>
              </w:tc>
            </w:tr>
          </w:tbl>
          <w:p w14:paraId="75EAE0B4" w14:textId="77777777" w:rsidR="00811E0E" w:rsidRPr="00747476" w:rsidRDefault="00811E0E" w:rsidP="00DB65AC">
            <w:pPr>
              <w:pStyle w:val="TableText0"/>
              <w:widowControl w:val="0"/>
            </w:pPr>
          </w:p>
        </w:tc>
        <w:tc>
          <w:tcPr>
            <w:tcW w:w="1780" w:type="pct"/>
            <w:shd w:val="clear" w:color="auto" w:fill="auto"/>
            <w:vAlign w:val="center"/>
          </w:tcPr>
          <w:p w14:paraId="4EBB5F70" w14:textId="1C8B9D4A" w:rsidR="00811E0E" w:rsidRPr="00747476" w:rsidRDefault="00554DCA" w:rsidP="00DB65AC">
            <w:pPr>
              <w:pStyle w:val="TableText0"/>
              <w:widowControl w:val="0"/>
              <w:rPr>
                <w:iCs/>
              </w:rPr>
            </w:pPr>
            <w:r w:rsidRPr="00747476">
              <w:rPr>
                <w:iCs/>
              </w:rPr>
              <w:t xml:space="preserve">The rounding may </w:t>
            </w:r>
            <w:r w:rsidR="00811E0E" w:rsidRPr="00747476">
              <w:rPr>
                <w:iCs/>
              </w:rPr>
              <w:t>be</w:t>
            </w:r>
            <w:r w:rsidR="00F96B2F" w:rsidRPr="00747476">
              <w:rPr>
                <w:iCs/>
              </w:rPr>
              <w:t xml:space="preserve"> </w:t>
            </w:r>
            <w:r w:rsidR="00811E0E" w:rsidRPr="00747476">
              <w:rPr>
                <w:iCs/>
              </w:rPr>
              <w:t>inappropriate</w:t>
            </w:r>
            <w:r w:rsidR="00F96B2F" w:rsidRPr="00747476">
              <w:rPr>
                <w:iCs/>
              </w:rPr>
              <w:t xml:space="preserve"> </w:t>
            </w:r>
            <w:r w:rsidR="00811E0E" w:rsidRPr="00747476">
              <w:rPr>
                <w:iCs/>
              </w:rPr>
              <w:t>and</w:t>
            </w:r>
            <w:r w:rsidR="00F96B2F" w:rsidRPr="00747476">
              <w:rPr>
                <w:iCs/>
              </w:rPr>
              <w:t xml:space="preserve"> </w:t>
            </w:r>
            <w:r w:rsidR="00811E0E" w:rsidRPr="00747476">
              <w:rPr>
                <w:iCs/>
              </w:rPr>
              <w:t>may</w:t>
            </w:r>
            <w:r w:rsidR="00F96B2F" w:rsidRPr="00747476">
              <w:rPr>
                <w:iCs/>
              </w:rPr>
              <w:t xml:space="preserve"> </w:t>
            </w:r>
            <w:r w:rsidR="00811E0E" w:rsidRPr="00747476">
              <w:rPr>
                <w:iCs/>
              </w:rPr>
              <w:t>account</w:t>
            </w:r>
            <w:r w:rsidR="00F96B2F" w:rsidRPr="00747476">
              <w:rPr>
                <w:iCs/>
              </w:rPr>
              <w:t xml:space="preserve"> </w:t>
            </w:r>
            <w:r w:rsidR="00811E0E" w:rsidRPr="00747476">
              <w:rPr>
                <w:iCs/>
              </w:rPr>
              <w:t>for</w:t>
            </w:r>
            <w:r w:rsidR="00F96B2F" w:rsidRPr="00747476">
              <w:rPr>
                <w:iCs/>
              </w:rPr>
              <w:t xml:space="preserve"> </w:t>
            </w:r>
            <w:r w:rsidR="00811E0E" w:rsidRPr="00747476">
              <w:rPr>
                <w:iCs/>
              </w:rPr>
              <w:t>discrepancies</w:t>
            </w:r>
            <w:r w:rsidR="00F96B2F" w:rsidRPr="00747476">
              <w:rPr>
                <w:iCs/>
              </w:rPr>
              <w:t xml:space="preserve"> </w:t>
            </w:r>
            <w:r w:rsidR="00811E0E" w:rsidRPr="00747476">
              <w:rPr>
                <w:iCs/>
              </w:rPr>
              <w:t>in</w:t>
            </w:r>
            <w:r w:rsidRPr="00747476">
              <w:rPr>
                <w:iCs/>
              </w:rPr>
              <w:t xml:space="preserve"> the</w:t>
            </w:r>
            <w:r w:rsidR="00F96B2F" w:rsidRPr="00747476">
              <w:rPr>
                <w:iCs/>
              </w:rPr>
              <w:t xml:space="preserve"> </w:t>
            </w:r>
            <w:r w:rsidR="00811E0E" w:rsidRPr="00747476">
              <w:rPr>
                <w:iCs/>
              </w:rPr>
              <w:t>net</w:t>
            </w:r>
            <w:r w:rsidR="00F96B2F" w:rsidRPr="00747476">
              <w:rPr>
                <w:iCs/>
              </w:rPr>
              <w:t xml:space="preserve"> </w:t>
            </w:r>
            <w:r w:rsidR="00811E0E" w:rsidRPr="00747476">
              <w:rPr>
                <w:iCs/>
              </w:rPr>
              <w:t>costs</w:t>
            </w:r>
            <w:r w:rsidR="00F96B2F" w:rsidRPr="00747476">
              <w:rPr>
                <w:iCs/>
              </w:rPr>
              <w:t xml:space="preserve"> </w:t>
            </w:r>
            <w:r w:rsidR="00811E0E" w:rsidRPr="00747476">
              <w:rPr>
                <w:iCs/>
              </w:rPr>
              <w:t>within</w:t>
            </w:r>
            <w:r w:rsidR="00F96B2F" w:rsidRPr="00747476">
              <w:rPr>
                <w:iCs/>
              </w:rPr>
              <w:t xml:space="preserve"> </w:t>
            </w:r>
            <w:r w:rsidR="00811E0E" w:rsidRPr="00747476">
              <w:rPr>
                <w:iCs/>
              </w:rPr>
              <w:t>the</w:t>
            </w:r>
            <w:r w:rsidR="00F96B2F" w:rsidRPr="00747476">
              <w:rPr>
                <w:iCs/>
              </w:rPr>
              <w:t xml:space="preserve"> </w:t>
            </w:r>
            <w:r w:rsidR="00811E0E" w:rsidRPr="00747476">
              <w:rPr>
                <w:iCs/>
              </w:rPr>
              <w:t>financial</w:t>
            </w:r>
            <w:r w:rsidR="00F96B2F" w:rsidRPr="00747476">
              <w:rPr>
                <w:iCs/>
              </w:rPr>
              <w:t xml:space="preserve"> </w:t>
            </w:r>
            <w:r w:rsidR="00811E0E" w:rsidRPr="00747476">
              <w:rPr>
                <w:iCs/>
              </w:rPr>
              <w:t>analysis.</w:t>
            </w:r>
          </w:p>
        </w:tc>
      </w:tr>
    </w:tbl>
    <w:p w14:paraId="59C60121" w14:textId="77777777" w:rsidR="00E5129A" w:rsidRPr="00747476" w:rsidRDefault="00811E0E" w:rsidP="006D4B84">
      <w:pPr>
        <w:pStyle w:val="TableFigureFooter"/>
      </w:pPr>
      <w:r w:rsidRPr="00747476">
        <w:t>Source:</w:t>
      </w:r>
      <w:r w:rsidR="00F96B2F" w:rsidRPr="00747476">
        <w:t xml:space="preserve"> </w:t>
      </w:r>
      <w:r w:rsidRPr="00747476">
        <w:t>Table</w:t>
      </w:r>
      <w:r w:rsidR="00F96B2F" w:rsidRPr="00747476">
        <w:t xml:space="preserve"> </w:t>
      </w:r>
      <w:r w:rsidRPr="00747476">
        <w:t>prepared</w:t>
      </w:r>
      <w:r w:rsidR="00F96B2F" w:rsidRPr="00747476">
        <w:t xml:space="preserve"> </w:t>
      </w:r>
      <w:r w:rsidRPr="00747476">
        <w:t>during</w:t>
      </w:r>
      <w:r w:rsidR="00F96B2F" w:rsidRPr="00747476">
        <w:t xml:space="preserve"> </w:t>
      </w:r>
      <w:r w:rsidRPr="00747476">
        <w:t>the</w:t>
      </w:r>
      <w:r w:rsidR="00F96B2F" w:rsidRPr="00747476">
        <w:t xml:space="preserve"> </w:t>
      </w:r>
      <w:r w:rsidRPr="00747476">
        <w:t>evaluation</w:t>
      </w:r>
      <w:r w:rsidR="00F96B2F" w:rsidRPr="00747476">
        <w:t xml:space="preserve"> </w:t>
      </w:r>
      <w:r w:rsidR="001A0698" w:rsidRPr="00747476">
        <w:t>using</w:t>
      </w:r>
      <w:r w:rsidR="00F96B2F" w:rsidRPr="00747476">
        <w:t xml:space="preserve"> </w:t>
      </w:r>
      <w:proofErr w:type="spellStart"/>
      <w:r w:rsidRPr="00747476">
        <w:t>Somatrogon</w:t>
      </w:r>
      <w:proofErr w:type="spellEnd"/>
      <w:r w:rsidR="00F96B2F" w:rsidRPr="00747476">
        <w:t xml:space="preserve"> </w:t>
      </w:r>
      <w:r w:rsidRPr="00747476">
        <w:t>utilisation</w:t>
      </w:r>
      <w:r w:rsidR="00F96B2F" w:rsidRPr="00747476">
        <w:t xml:space="preserve"> </w:t>
      </w:r>
      <w:r w:rsidRPr="00747476">
        <w:t>and</w:t>
      </w:r>
      <w:r w:rsidR="00F96B2F" w:rsidRPr="00747476">
        <w:t xml:space="preserve"> </w:t>
      </w:r>
      <w:r w:rsidRPr="00747476">
        <w:t>cost</w:t>
      </w:r>
      <w:r w:rsidR="00F96B2F" w:rsidRPr="00747476">
        <w:t xml:space="preserve"> </w:t>
      </w:r>
      <w:r w:rsidRPr="00747476">
        <w:t>model</w:t>
      </w:r>
      <w:r w:rsidR="00F96B2F" w:rsidRPr="00747476">
        <w:t xml:space="preserve"> </w:t>
      </w:r>
      <w:r w:rsidRPr="00747476">
        <w:t>excel</w:t>
      </w:r>
      <w:r w:rsidR="00F96B2F" w:rsidRPr="00747476">
        <w:t xml:space="preserve"> </w:t>
      </w:r>
      <w:r w:rsidRPr="00747476">
        <w:t>spreadsheet</w:t>
      </w:r>
    </w:p>
    <w:p w14:paraId="0FA28AC7" w14:textId="1C1EF9DF" w:rsidR="00811E0E" w:rsidRPr="00747476" w:rsidRDefault="001B558A" w:rsidP="006D4B84">
      <w:pPr>
        <w:pStyle w:val="TableFigureFooter"/>
      </w:pPr>
      <w:r w:rsidRPr="00747476">
        <w:t xml:space="preserve">CDC = Centres for Disease Control and Prevention; </w:t>
      </w:r>
      <w:r w:rsidR="00811E0E" w:rsidRPr="00747476">
        <w:t>GH</w:t>
      </w:r>
      <w:r w:rsidR="00F96B2F" w:rsidRPr="00747476">
        <w:t xml:space="preserve"> </w:t>
      </w:r>
      <w:r w:rsidR="00811E0E" w:rsidRPr="00747476">
        <w:t>=</w:t>
      </w:r>
      <w:r w:rsidR="00F96B2F" w:rsidRPr="00747476">
        <w:t xml:space="preserve"> </w:t>
      </w:r>
      <w:r w:rsidR="00811E0E" w:rsidRPr="00747476">
        <w:t>growth</w:t>
      </w:r>
      <w:r w:rsidR="00F96B2F" w:rsidRPr="00747476">
        <w:t xml:space="preserve"> </w:t>
      </w:r>
      <w:r w:rsidR="00811E0E" w:rsidRPr="00747476">
        <w:t>hormone;</w:t>
      </w:r>
      <w:r w:rsidR="00F96B2F" w:rsidRPr="00747476">
        <w:t xml:space="preserve"> </w:t>
      </w:r>
      <w:r w:rsidR="00811E0E" w:rsidRPr="00747476">
        <w:t>mg</w:t>
      </w:r>
      <w:r w:rsidR="00F96B2F" w:rsidRPr="00747476">
        <w:t xml:space="preserve"> </w:t>
      </w:r>
      <w:r w:rsidR="00811E0E" w:rsidRPr="00747476">
        <w:t>=</w:t>
      </w:r>
      <w:r w:rsidR="00F96B2F" w:rsidRPr="00747476">
        <w:t xml:space="preserve"> </w:t>
      </w:r>
      <w:r w:rsidR="00811E0E" w:rsidRPr="00747476">
        <w:t>milligrams,</w:t>
      </w:r>
      <w:r w:rsidR="00F96B2F" w:rsidRPr="00747476">
        <w:t xml:space="preserve"> </w:t>
      </w:r>
      <w:r w:rsidR="00811E0E" w:rsidRPr="00747476">
        <w:t>M</w:t>
      </w:r>
      <w:r w:rsidR="000D6A4B" w:rsidRPr="00747476">
        <w:t xml:space="preserve"> = </w:t>
      </w:r>
      <w:r w:rsidR="00811E0E" w:rsidRPr="00747476">
        <w:t>males,</w:t>
      </w:r>
      <w:r w:rsidR="00F96B2F" w:rsidRPr="00747476">
        <w:t xml:space="preserve"> </w:t>
      </w:r>
      <w:r w:rsidR="00811E0E" w:rsidRPr="00747476">
        <w:t>F</w:t>
      </w:r>
      <w:r w:rsidR="000D6A4B" w:rsidRPr="00747476">
        <w:t xml:space="preserve"> = </w:t>
      </w:r>
      <w:r w:rsidR="00811E0E" w:rsidRPr="00747476">
        <w:t>females,</w:t>
      </w:r>
      <w:r w:rsidR="00F96B2F" w:rsidRPr="00747476">
        <w:t xml:space="preserve"> </w:t>
      </w:r>
      <w:r w:rsidR="00811E0E" w:rsidRPr="00747476">
        <w:t>kg</w:t>
      </w:r>
      <w:r w:rsidR="000D6A4B" w:rsidRPr="00747476">
        <w:t xml:space="preserve"> = </w:t>
      </w:r>
      <w:r w:rsidR="00811E0E" w:rsidRPr="00747476">
        <w:t>kilograms</w:t>
      </w:r>
    </w:p>
    <w:p w14:paraId="71F45CED" w14:textId="3E4A2549" w:rsidR="00E5129A" w:rsidRPr="00BF1BFB" w:rsidRDefault="00811E0E" w:rsidP="00811E0E">
      <w:pPr>
        <w:pStyle w:val="3-BodyText"/>
        <w:rPr>
          <w:iCs/>
        </w:rPr>
      </w:pPr>
      <w:bookmarkStart w:id="32" w:name="_Hlk104201525"/>
      <w:r w:rsidRPr="00743FF7">
        <w:rPr>
          <w:iCs/>
        </w:rPr>
        <w:t>The</w:t>
      </w:r>
      <w:r w:rsidR="00F96B2F" w:rsidRPr="00743FF7">
        <w:rPr>
          <w:iCs/>
        </w:rPr>
        <w:t xml:space="preserve"> </w:t>
      </w:r>
      <w:r w:rsidRPr="00743FF7">
        <w:rPr>
          <w:iCs/>
        </w:rPr>
        <w:t>approach</w:t>
      </w:r>
      <w:r w:rsidR="00F96B2F" w:rsidRPr="00743FF7">
        <w:rPr>
          <w:iCs/>
        </w:rPr>
        <w:t xml:space="preserve"> </w:t>
      </w:r>
      <w:r w:rsidRPr="00743FF7">
        <w:rPr>
          <w:iCs/>
        </w:rPr>
        <w:t>to</w:t>
      </w:r>
      <w:r w:rsidR="00F96B2F" w:rsidRPr="00743FF7">
        <w:rPr>
          <w:iCs/>
        </w:rPr>
        <w:t xml:space="preserve"> </w:t>
      </w:r>
      <w:r w:rsidRPr="00743FF7">
        <w:rPr>
          <w:iCs/>
        </w:rPr>
        <w:t>estimating</w:t>
      </w:r>
      <w:r w:rsidR="00F96B2F" w:rsidRPr="00743FF7">
        <w:rPr>
          <w:iCs/>
        </w:rPr>
        <w:t xml:space="preserve"> </w:t>
      </w:r>
      <w:r w:rsidRPr="00743FF7">
        <w:rPr>
          <w:iCs/>
        </w:rPr>
        <w:t>the</w:t>
      </w:r>
      <w:r w:rsidR="00F96B2F" w:rsidRPr="00743FF7">
        <w:rPr>
          <w:iCs/>
        </w:rPr>
        <w:t xml:space="preserve"> </w:t>
      </w:r>
      <w:r w:rsidRPr="00743FF7">
        <w:rPr>
          <w:iCs/>
        </w:rPr>
        <w:t>market</w:t>
      </w:r>
      <w:r w:rsidR="00F96B2F" w:rsidRPr="00743FF7">
        <w:rPr>
          <w:iCs/>
        </w:rPr>
        <w:t xml:space="preserve"> </w:t>
      </w:r>
      <w:r w:rsidRPr="00743FF7">
        <w:rPr>
          <w:iCs/>
        </w:rPr>
        <w:t>share</w:t>
      </w:r>
      <w:r w:rsidR="00F96B2F" w:rsidRPr="00743FF7">
        <w:rPr>
          <w:iCs/>
        </w:rPr>
        <w:t xml:space="preserve"> </w:t>
      </w:r>
      <w:r w:rsidRPr="00743FF7">
        <w:rPr>
          <w:iCs/>
        </w:rPr>
        <w:t>for</w:t>
      </w:r>
      <w:r w:rsidR="00F96B2F" w:rsidRPr="00743FF7">
        <w:rPr>
          <w:iCs/>
        </w:rPr>
        <w:t xml:space="preserve"> </w:t>
      </w:r>
      <w:proofErr w:type="spellStart"/>
      <w:r w:rsidRPr="00743FF7">
        <w:rPr>
          <w:iCs/>
        </w:rPr>
        <w:t>somatrogon</w:t>
      </w:r>
      <w:proofErr w:type="spellEnd"/>
      <w:r w:rsidR="00F96B2F" w:rsidRPr="00743FF7">
        <w:rPr>
          <w:iCs/>
        </w:rPr>
        <w:t xml:space="preserve"> </w:t>
      </w:r>
      <w:r w:rsidR="00353459" w:rsidRPr="00743FF7">
        <w:rPr>
          <w:iCs/>
        </w:rPr>
        <w:t xml:space="preserve">was </w:t>
      </w:r>
      <w:r w:rsidRPr="00743FF7">
        <w:rPr>
          <w:iCs/>
        </w:rPr>
        <w:t>reasonable.</w:t>
      </w:r>
      <w:r w:rsidR="00F96B2F" w:rsidRPr="00747476">
        <w:rPr>
          <w:iCs/>
        </w:rPr>
        <w:t xml:space="preserve"> </w:t>
      </w:r>
      <w:bookmarkEnd w:id="32"/>
      <w:r w:rsidRPr="00747476">
        <w:rPr>
          <w:iCs/>
        </w:rPr>
        <w:t>However,</w:t>
      </w:r>
      <w:r w:rsidR="00353459" w:rsidRPr="00747476">
        <w:rPr>
          <w:iCs/>
        </w:rPr>
        <w:t xml:space="preserve"> the</w:t>
      </w:r>
      <w:r w:rsidR="00F96B2F" w:rsidRPr="00747476">
        <w:rPr>
          <w:iCs/>
        </w:rPr>
        <w:t xml:space="preserve"> </w:t>
      </w:r>
      <w:r w:rsidRPr="00747476">
        <w:rPr>
          <w:iCs/>
        </w:rPr>
        <w:t>rounding</w:t>
      </w:r>
      <w:r w:rsidR="00F96B2F" w:rsidRPr="00747476">
        <w:rPr>
          <w:iCs/>
        </w:rPr>
        <w:t xml:space="preserve"> </w:t>
      </w:r>
      <w:r w:rsidR="00353459" w:rsidRPr="00747476">
        <w:rPr>
          <w:iCs/>
        </w:rPr>
        <w:t xml:space="preserve">may </w:t>
      </w:r>
      <w:r w:rsidRPr="00747476">
        <w:rPr>
          <w:iCs/>
        </w:rPr>
        <w:t>be</w:t>
      </w:r>
      <w:r w:rsidR="00F96B2F" w:rsidRPr="00747476">
        <w:rPr>
          <w:iCs/>
        </w:rPr>
        <w:t xml:space="preserve"> </w:t>
      </w:r>
      <w:r w:rsidRPr="00747476">
        <w:rPr>
          <w:iCs/>
        </w:rPr>
        <w:t>inappropriate</w:t>
      </w:r>
      <w:r w:rsidR="00F96B2F" w:rsidRPr="00747476">
        <w:rPr>
          <w:iCs/>
        </w:rPr>
        <w:t xml:space="preserve"> </w:t>
      </w:r>
      <w:r w:rsidRPr="00747476">
        <w:rPr>
          <w:iCs/>
        </w:rPr>
        <w:t>and</w:t>
      </w:r>
      <w:r w:rsidR="00F96B2F" w:rsidRPr="00747476">
        <w:rPr>
          <w:iCs/>
        </w:rPr>
        <w:t xml:space="preserve"> </w:t>
      </w:r>
      <w:r w:rsidRPr="00747476">
        <w:rPr>
          <w:iCs/>
        </w:rPr>
        <w:t>may</w:t>
      </w:r>
      <w:r w:rsidR="00F96B2F" w:rsidRPr="00747476">
        <w:rPr>
          <w:iCs/>
        </w:rPr>
        <w:t xml:space="preserve"> </w:t>
      </w:r>
      <w:r w:rsidRPr="00747476">
        <w:rPr>
          <w:iCs/>
        </w:rPr>
        <w:t>account</w:t>
      </w:r>
      <w:r w:rsidR="00F96B2F" w:rsidRPr="00747476">
        <w:rPr>
          <w:iCs/>
        </w:rPr>
        <w:t xml:space="preserve"> </w:t>
      </w:r>
      <w:r w:rsidRPr="00747476">
        <w:rPr>
          <w:iCs/>
        </w:rPr>
        <w:t>for</w:t>
      </w:r>
      <w:r w:rsidR="00F96B2F" w:rsidRPr="00747476">
        <w:rPr>
          <w:iCs/>
        </w:rPr>
        <w:t xml:space="preserve"> </w:t>
      </w:r>
      <w:r w:rsidRPr="00747476">
        <w:rPr>
          <w:iCs/>
        </w:rPr>
        <w:t>discrepancies</w:t>
      </w:r>
      <w:r w:rsidR="00F96B2F" w:rsidRPr="00747476">
        <w:rPr>
          <w:iCs/>
        </w:rPr>
        <w:t xml:space="preserve"> </w:t>
      </w:r>
      <w:r w:rsidRPr="00747476">
        <w:rPr>
          <w:iCs/>
        </w:rPr>
        <w:t>in</w:t>
      </w:r>
      <w:r w:rsidR="00F96B2F" w:rsidRPr="00747476">
        <w:rPr>
          <w:iCs/>
        </w:rPr>
        <w:t xml:space="preserve"> </w:t>
      </w:r>
      <w:r w:rsidR="00353459" w:rsidRPr="00747476">
        <w:rPr>
          <w:iCs/>
        </w:rPr>
        <w:t xml:space="preserve">the </w:t>
      </w:r>
      <w:r w:rsidRPr="00747476">
        <w:rPr>
          <w:iCs/>
        </w:rPr>
        <w:t>net</w:t>
      </w:r>
      <w:r w:rsidR="00F96B2F" w:rsidRPr="00747476">
        <w:rPr>
          <w:iCs/>
        </w:rPr>
        <w:t xml:space="preserve"> </w:t>
      </w:r>
      <w:r w:rsidRPr="00747476">
        <w:rPr>
          <w:iCs/>
        </w:rPr>
        <w:t>costs</w:t>
      </w:r>
      <w:r w:rsidR="00F96B2F" w:rsidRPr="00747476">
        <w:rPr>
          <w:iCs/>
        </w:rPr>
        <w:t xml:space="preserve"> </w:t>
      </w:r>
      <w:r w:rsidRPr="00747476">
        <w:rPr>
          <w:iCs/>
        </w:rPr>
        <w:t>within</w:t>
      </w:r>
      <w:r w:rsidR="00F96B2F" w:rsidRPr="00747476">
        <w:rPr>
          <w:iCs/>
        </w:rPr>
        <w:t xml:space="preserve"> </w:t>
      </w:r>
      <w:r w:rsidRPr="00747476">
        <w:rPr>
          <w:iCs/>
        </w:rPr>
        <w:t>the</w:t>
      </w:r>
      <w:r w:rsidR="00F96B2F" w:rsidRPr="00747476">
        <w:rPr>
          <w:iCs/>
        </w:rPr>
        <w:t xml:space="preserve"> </w:t>
      </w:r>
      <w:r w:rsidRPr="00747476">
        <w:rPr>
          <w:iCs/>
        </w:rPr>
        <w:t>financial</w:t>
      </w:r>
      <w:r w:rsidR="00F96B2F" w:rsidRPr="00747476">
        <w:rPr>
          <w:iCs/>
        </w:rPr>
        <w:t xml:space="preserve"> </w:t>
      </w:r>
      <w:r w:rsidRPr="00747476">
        <w:rPr>
          <w:iCs/>
        </w:rPr>
        <w:t>analysis.</w:t>
      </w:r>
      <w:r w:rsidR="00F96B2F" w:rsidRPr="00747476">
        <w:rPr>
          <w:iCs/>
        </w:rPr>
        <w:t xml:space="preserve"> </w:t>
      </w:r>
      <w:r w:rsidRPr="00747476">
        <w:rPr>
          <w:iCs/>
        </w:rPr>
        <w:t>For</w:t>
      </w:r>
      <w:r w:rsidR="00F96B2F" w:rsidRPr="00747476">
        <w:rPr>
          <w:iCs/>
        </w:rPr>
        <w:t xml:space="preserve"> </w:t>
      </w:r>
      <w:r w:rsidRPr="00747476">
        <w:rPr>
          <w:iCs/>
        </w:rPr>
        <w:t>instance,</w:t>
      </w:r>
      <w:r w:rsidR="00F96B2F" w:rsidRPr="00747476">
        <w:rPr>
          <w:iCs/>
        </w:rPr>
        <w:t xml:space="preserve"> </w:t>
      </w:r>
      <w:r w:rsidRPr="00747476">
        <w:rPr>
          <w:iCs/>
        </w:rPr>
        <w:t>in</w:t>
      </w:r>
      <w:r w:rsidR="00F96B2F" w:rsidRPr="00747476">
        <w:rPr>
          <w:iCs/>
        </w:rPr>
        <w:t xml:space="preserve"> </w:t>
      </w:r>
      <w:r w:rsidRPr="00747476">
        <w:rPr>
          <w:iCs/>
        </w:rPr>
        <w:t>the</w:t>
      </w:r>
      <w:r w:rsidR="00F96B2F" w:rsidRPr="00747476">
        <w:rPr>
          <w:iCs/>
        </w:rPr>
        <w:t xml:space="preserve"> </w:t>
      </w:r>
      <w:r w:rsidRPr="00747476">
        <w:rPr>
          <w:iCs/>
        </w:rPr>
        <w:t>under</w:t>
      </w:r>
      <w:r w:rsidR="00F96B2F" w:rsidRPr="00747476">
        <w:rPr>
          <w:iCs/>
        </w:rPr>
        <w:t xml:space="preserve"> </w:t>
      </w:r>
      <w:r w:rsidRPr="00747476">
        <w:rPr>
          <w:iCs/>
        </w:rPr>
        <w:t>5</w:t>
      </w:r>
      <w:r w:rsidR="00F96B2F" w:rsidRPr="00747476">
        <w:rPr>
          <w:iCs/>
        </w:rPr>
        <w:t xml:space="preserve"> </w:t>
      </w:r>
      <w:r w:rsidRPr="00747476">
        <w:rPr>
          <w:iCs/>
        </w:rPr>
        <w:t>age</w:t>
      </w:r>
      <w:r w:rsidR="00F96B2F" w:rsidRPr="00747476">
        <w:rPr>
          <w:iCs/>
        </w:rPr>
        <w:t xml:space="preserve"> </w:t>
      </w:r>
      <w:r w:rsidRPr="00747476">
        <w:rPr>
          <w:iCs/>
        </w:rPr>
        <w:t>cohort,</w:t>
      </w:r>
      <w:r w:rsidR="00F96B2F" w:rsidRPr="00747476">
        <w:rPr>
          <w:iCs/>
        </w:rPr>
        <w:t xml:space="preserve"> </w:t>
      </w:r>
      <w:r w:rsidRPr="00747476">
        <w:rPr>
          <w:iCs/>
        </w:rPr>
        <w:t>the</w:t>
      </w:r>
      <w:r w:rsidR="00F96B2F" w:rsidRPr="00747476">
        <w:rPr>
          <w:iCs/>
        </w:rPr>
        <w:t xml:space="preserve"> </w:t>
      </w:r>
      <w:r w:rsidRPr="00747476">
        <w:rPr>
          <w:iCs/>
        </w:rPr>
        <w:t>average</w:t>
      </w:r>
      <w:r w:rsidR="00F96B2F" w:rsidRPr="00747476">
        <w:rPr>
          <w:iCs/>
        </w:rPr>
        <w:t xml:space="preserve"> </w:t>
      </w:r>
      <w:r w:rsidRPr="00747476">
        <w:rPr>
          <w:iCs/>
        </w:rPr>
        <w:t>monthly</w:t>
      </w:r>
      <w:r w:rsidR="00F96B2F" w:rsidRPr="00747476">
        <w:rPr>
          <w:iCs/>
        </w:rPr>
        <w:t xml:space="preserve"> </w:t>
      </w:r>
      <w:r w:rsidRPr="00747476">
        <w:rPr>
          <w:iCs/>
        </w:rPr>
        <w:t>number</w:t>
      </w:r>
      <w:r w:rsidR="00F96B2F" w:rsidRPr="00747476">
        <w:rPr>
          <w:iCs/>
        </w:rPr>
        <w:t xml:space="preserve"> </w:t>
      </w:r>
      <w:r w:rsidRPr="00747476">
        <w:rPr>
          <w:iCs/>
        </w:rPr>
        <w:t>of</w:t>
      </w:r>
      <w:r w:rsidR="00F96B2F" w:rsidRPr="00747476">
        <w:rPr>
          <w:iCs/>
        </w:rPr>
        <w:t xml:space="preserve"> </w:t>
      </w:r>
      <w:r w:rsidRPr="00747476">
        <w:rPr>
          <w:iCs/>
        </w:rPr>
        <w:t>pens</w:t>
      </w:r>
      <w:r w:rsidR="00F96B2F" w:rsidRPr="00747476">
        <w:rPr>
          <w:iCs/>
        </w:rPr>
        <w:t xml:space="preserve"> </w:t>
      </w:r>
      <w:r w:rsidRPr="00747476">
        <w:rPr>
          <w:iCs/>
        </w:rPr>
        <w:t>for</w:t>
      </w:r>
      <w:r w:rsidR="00F96B2F" w:rsidRPr="00747476">
        <w:rPr>
          <w:iCs/>
        </w:rPr>
        <w:t xml:space="preserve"> </w:t>
      </w:r>
      <w:r w:rsidRPr="00747476">
        <w:rPr>
          <w:iCs/>
        </w:rPr>
        <w:t>males</w:t>
      </w:r>
      <w:r w:rsidR="00F96B2F" w:rsidRPr="00747476">
        <w:rPr>
          <w:iCs/>
        </w:rPr>
        <w:t xml:space="preserve"> </w:t>
      </w:r>
      <w:r w:rsidRPr="00747476">
        <w:rPr>
          <w:iCs/>
        </w:rPr>
        <w:t>was</w:t>
      </w:r>
      <w:r w:rsidR="00F96B2F" w:rsidRPr="00747476">
        <w:rPr>
          <w:iCs/>
        </w:rPr>
        <w:t xml:space="preserve"> </w:t>
      </w:r>
      <w:r w:rsidRPr="00747476">
        <w:rPr>
          <w:iCs/>
        </w:rPr>
        <w:t>1.9</w:t>
      </w:r>
      <w:r w:rsidR="00F96B2F" w:rsidRPr="00747476">
        <w:rPr>
          <w:iCs/>
        </w:rPr>
        <w:t xml:space="preserve"> </w:t>
      </w:r>
      <w:r w:rsidRPr="00747476">
        <w:rPr>
          <w:iCs/>
        </w:rPr>
        <w:t>and</w:t>
      </w:r>
      <w:r w:rsidR="00F96B2F" w:rsidRPr="00747476">
        <w:rPr>
          <w:iCs/>
        </w:rPr>
        <w:t xml:space="preserve"> </w:t>
      </w:r>
      <w:r w:rsidR="00353459" w:rsidRPr="00747476">
        <w:rPr>
          <w:iCs/>
        </w:rPr>
        <w:t xml:space="preserve">for </w:t>
      </w:r>
      <w:r w:rsidRPr="00747476">
        <w:rPr>
          <w:iCs/>
        </w:rPr>
        <w:t>females</w:t>
      </w:r>
      <w:r w:rsidR="00F96B2F" w:rsidRPr="00747476">
        <w:rPr>
          <w:iCs/>
        </w:rPr>
        <w:t xml:space="preserve"> </w:t>
      </w:r>
      <w:r w:rsidRPr="00747476">
        <w:rPr>
          <w:iCs/>
        </w:rPr>
        <w:t>was</w:t>
      </w:r>
      <w:r w:rsidR="00F96B2F" w:rsidRPr="00747476">
        <w:rPr>
          <w:iCs/>
        </w:rPr>
        <w:t xml:space="preserve"> </w:t>
      </w:r>
      <w:r w:rsidRPr="00747476">
        <w:rPr>
          <w:iCs/>
        </w:rPr>
        <w:t>1.8,</w:t>
      </w:r>
      <w:r w:rsidR="00F96B2F" w:rsidRPr="00747476">
        <w:rPr>
          <w:iCs/>
        </w:rPr>
        <w:t xml:space="preserve"> </w:t>
      </w:r>
      <w:r w:rsidRPr="00747476">
        <w:rPr>
          <w:iCs/>
        </w:rPr>
        <w:t>but</w:t>
      </w:r>
      <w:r w:rsidR="00F96B2F" w:rsidRPr="00747476">
        <w:rPr>
          <w:iCs/>
        </w:rPr>
        <w:t xml:space="preserve"> </w:t>
      </w:r>
      <w:r w:rsidRPr="00747476">
        <w:rPr>
          <w:iCs/>
        </w:rPr>
        <w:t>both</w:t>
      </w:r>
      <w:r w:rsidR="00F96B2F" w:rsidRPr="00747476">
        <w:rPr>
          <w:iCs/>
        </w:rPr>
        <w:t xml:space="preserve"> </w:t>
      </w:r>
      <w:r w:rsidRPr="00747476">
        <w:rPr>
          <w:iCs/>
        </w:rPr>
        <w:t>were</w:t>
      </w:r>
      <w:r w:rsidR="00F96B2F" w:rsidRPr="00747476">
        <w:rPr>
          <w:iCs/>
        </w:rPr>
        <w:t xml:space="preserve"> </w:t>
      </w:r>
      <w:r w:rsidRPr="00747476">
        <w:rPr>
          <w:iCs/>
        </w:rPr>
        <w:t>rounded</w:t>
      </w:r>
      <w:r w:rsidR="00F96B2F" w:rsidRPr="00747476">
        <w:rPr>
          <w:iCs/>
        </w:rPr>
        <w:t xml:space="preserve"> </w:t>
      </w:r>
      <w:r w:rsidRPr="00747476">
        <w:rPr>
          <w:iCs/>
        </w:rPr>
        <w:t>up</w:t>
      </w:r>
      <w:r w:rsidR="00F96B2F" w:rsidRPr="00747476">
        <w:rPr>
          <w:iCs/>
        </w:rPr>
        <w:t xml:space="preserve"> </w:t>
      </w:r>
      <w:r w:rsidRPr="00747476">
        <w:rPr>
          <w:iCs/>
        </w:rPr>
        <w:t>to</w:t>
      </w:r>
      <w:r w:rsidR="00F96B2F" w:rsidRPr="00747476">
        <w:rPr>
          <w:iCs/>
        </w:rPr>
        <w:t xml:space="preserve"> </w:t>
      </w:r>
      <w:r w:rsidRPr="00747476">
        <w:rPr>
          <w:iCs/>
        </w:rPr>
        <w:t>2</w:t>
      </w:r>
      <w:r w:rsidR="00F96B2F" w:rsidRPr="00747476">
        <w:rPr>
          <w:iCs/>
        </w:rPr>
        <w:t xml:space="preserve"> </w:t>
      </w:r>
      <w:r w:rsidRPr="00747476">
        <w:rPr>
          <w:iCs/>
        </w:rPr>
        <w:t>pens</w:t>
      </w:r>
      <w:r w:rsidR="00F96B2F" w:rsidRPr="00747476">
        <w:rPr>
          <w:iCs/>
        </w:rPr>
        <w:t xml:space="preserve"> </w:t>
      </w:r>
      <w:r w:rsidRPr="00747476">
        <w:rPr>
          <w:iCs/>
        </w:rPr>
        <w:t>when</w:t>
      </w:r>
      <w:r w:rsidR="00F96B2F" w:rsidRPr="00747476">
        <w:rPr>
          <w:iCs/>
        </w:rPr>
        <w:t xml:space="preserve"> </w:t>
      </w:r>
      <w:r w:rsidRPr="00747476">
        <w:rPr>
          <w:iCs/>
        </w:rPr>
        <w:t>assessing</w:t>
      </w:r>
      <w:r w:rsidR="00F96B2F" w:rsidRPr="00747476">
        <w:rPr>
          <w:iCs/>
        </w:rPr>
        <w:t xml:space="preserve"> </w:t>
      </w:r>
      <w:r w:rsidR="00353459" w:rsidRPr="00747476">
        <w:rPr>
          <w:iCs/>
        </w:rPr>
        <w:t xml:space="preserve">the </w:t>
      </w:r>
      <w:r w:rsidRPr="00747476">
        <w:rPr>
          <w:iCs/>
        </w:rPr>
        <w:t>total</w:t>
      </w:r>
      <w:r w:rsidR="00F96B2F" w:rsidRPr="00747476">
        <w:rPr>
          <w:iCs/>
        </w:rPr>
        <w:t xml:space="preserve"> </w:t>
      </w:r>
      <w:r w:rsidRPr="00747476">
        <w:rPr>
          <w:iCs/>
        </w:rPr>
        <w:t>annual</w:t>
      </w:r>
      <w:r w:rsidR="00F96B2F" w:rsidRPr="00747476">
        <w:rPr>
          <w:iCs/>
        </w:rPr>
        <w:t xml:space="preserve"> </w:t>
      </w:r>
      <w:r w:rsidRPr="00747476">
        <w:rPr>
          <w:iCs/>
        </w:rPr>
        <w:t>usage</w:t>
      </w:r>
      <w:r w:rsidR="00F96B2F" w:rsidRPr="00747476">
        <w:rPr>
          <w:iCs/>
        </w:rPr>
        <w:t xml:space="preserve"> </w:t>
      </w:r>
      <w:r w:rsidRPr="00747476">
        <w:rPr>
          <w:iCs/>
        </w:rPr>
        <w:t>of</w:t>
      </w:r>
      <w:r w:rsidR="00F96B2F" w:rsidRPr="00747476">
        <w:rPr>
          <w:iCs/>
        </w:rPr>
        <w:t xml:space="preserve"> </w:t>
      </w:r>
      <w:proofErr w:type="spellStart"/>
      <w:r w:rsidRPr="00747476">
        <w:rPr>
          <w:iCs/>
        </w:rPr>
        <w:t>somatrogon</w:t>
      </w:r>
      <w:proofErr w:type="spellEnd"/>
      <w:r w:rsidRPr="00BF1BFB">
        <w:rPr>
          <w:iCs/>
        </w:rPr>
        <w:t>.</w:t>
      </w:r>
      <w:r w:rsidR="00F96B2F" w:rsidRPr="00BF1BFB">
        <w:rPr>
          <w:iCs/>
        </w:rPr>
        <w:t xml:space="preserve"> </w:t>
      </w:r>
      <w:r w:rsidRPr="00BF1BFB">
        <w:rPr>
          <w:iCs/>
        </w:rPr>
        <w:t>There</w:t>
      </w:r>
      <w:r w:rsidR="00F96B2F" w:rsidRPr="00BF1BFB">
        <w:rPr>
          <w:iCs/>
        </w:rPr>
        <w:t xml:space="preserve"> </w:t>
      </w:r>
      <w:r w:rsidRPr="00BF1BFB">
        <w:rPr>
          <w:iCs/>
        </w:rPr>
        <w:t>were</w:t>
      </w:r>
      <w:r w:rsidR="00F96B2F" w:rsidRPr="00BF1BFB">
        <w:rPr>
          <w:iCs/>
        </w:rPr>
        <w:t xml:space="preserve"> </w:t>
      </w:r>
      <w:r w:rsidRPr="00BF1BFB">
        <w:rPr>
          <w:iCs/>
        </w:rPr>
        <w:t>also</w:t>
      </w:r>
      <w:r w:rsidR="00F96B2F" w:rsidRPr="00BF1BFB">
        <w:rPr>
          <w:iCs/>
        </w:rPr>
        <w:t xml:space="preserve"> </w:t>
      </w:r>
      <w:r w:rsidRPr="00BF1BFB">
        <w:rPr>
          <w:iCs/>
        </w:rPr>
        <w:t>differences</w:t>
      </w:r>
      <w:r w:rsidR="00F96B2F" w:rsidRPr="00BF1BFB">
        <w:rPr>
          <w:iCs/>
        </w:rPr>
        <w:t xml:space="preserve"> </w:t>
      </w:r>
      <w:r w:rsidRPr="00BF1BFB">
        <w:rPr>
          <w:iCs/>
        </w:rPr>
        <w:t>to</w:t>
      </w:r>
      <w:r w:rsidR="00F96B2F" w:rsidRPr="00BF1BFB">
        <w:rPr>
          <w:iCs/>
        </w:rPr>
        <w:t xml:space="preserve"> </w:t>
      </w:r>
      <w:r w:rsidRPr="00BF1BFB">
        <w:rPr>
          <w:iCs/>
        </w:rPr>
        <w:t>these</w:t>
      </w:r>
      <w:r w:rsidR="00F96B2F" w:rsidRPr="00BF1BFB">
        <w:rPr>
          <w:iCs/>
        </w:rPr>
        <w:t xml:space="preserve"> </w:t>
      </w:r>
      <w:r w:rsidRPr="00BF1BFB">
        <w:rPr>
          <w:iCs/>
        </w:rPr>
        <w:t>values</w:t>
      </w:r>
      <w:r w:rsidR="00F96B2F" w:rsidRPr="00BF1BFB">
        <w:rPr>
          <w:iCs/>
        </w:rPr>
        <w:t xml:space="preserve"> </w:t>
      </w:r>
      <w:r w:rsidRPr="00BF1BFB">
        <w:rPr>
          <w:iCs/>
        </w:rPr>
        <w:t>if</w:t>
      </w:r>
      <w:r w:rsidR="00F96B2F" w:rsidRPr="00BF1BFB">
        <w:rPr>
          <w:iCs/>
        </w:rPr>
        <w:t xml:space="preserve"> </w:t>
      </w:r>
      <w:r w:rsidRPr="00BF1BFB">
        <w:rPr>
          <w:iCs/>
        </w:rPr>
        <w:t>the</w:t>
      </w:r>
      <w:r w:rsidR="00F96B2F" w:rsidRPr="00BF1BFB">
        <w:rPr>
          <w:iCs/>
        </w:rPr>
        <w:t xml:space="preserve"> </w:t>
      </w:r>
      <w:r w:rsidRPr="00BF1BFB">
        <w:rPr>
          <w:iCs/>
        </w:rPr>
        <w:t>second</w:t>
      </w:r>
      <w:r w:rsidR="00F96B2F" w:rsidRPr="00BF1BFB">
        <w:rPr>
          <w:iCs/>
        </w:rPr>
        <w:t xml:space="preserve"> </w:t>
      </w:r>
      <w:r w:rsidRPr="00BF1BFB">
        <w:rPr>
          <w:iCs/>
        </w:rPr>
        <w:t>decimal</w:t>
      </w:r>
      <w:r w:rsidR="00F96B2F" w:rsidRPr="00BF1BFB">
        <w:rPr>
          <w:iCs/>
        </w:rPr>
        <w:t xml:space="preserve"> </w:t>
      </w:r>
      <w:r w:rsidRPr="00BF1BFB">
        <w:rPr>
          <w:iCs/>
        </w:rPr>
        <w:t>point</w:t>
      </w:r>
      <w:r w:rsidR="00F96B2F" w:rsidRPr="00BF1BFB">
        <w:rPr>
          <w:iCs/>
        </w:rPr>
        <w:t xml:space="preserve"> </w:t>
      </w:r>
      <w:r w:rsidRPr="00BF1BFB">
        <w:rPr>
          <w:iCs/>
        </w:rPr>
        <w:t>was</w:t>
      </w:r>
      <w:r w:rsidR="00F96B2F" w:rsidRPr="00BF1BFB">
        <w:rPr>
          <w:iCs/>
        </w:rPr>
        <w:t xml:space="preserve"> </w:t>
      </w:r>
      <w:r w:rsidRPr="00BF1BFB">
        <w:rPr>
          <w:iCs/>
        </w:rPr>
        <w:lastRenderedPageBreak/>
        <w:t>considered</w:t>
      </w:r>
      <w:r w:rsidR="00F96B2F" w:rsidRPr="00BF1BFB">
        <w:rPr>
          <w:iCs/>
        </w:rPr>
        <w:t xml:space="preserve"> </w:t>
      </w:r>
      <w:r w:rsidRPr="00BF1BFB">
        <w:rPr>
          <w:iCs/>
        </w:rPr>
        <w:t>(e.g.,</w:t>
      </w:r>
      <w:r w:rsidR="00F96B2F" w:rsidRPr="00BF1BFB">
        <w:rPr>
          <w:iCs/>
        </w:rPr>
        <w:t xml:space="preserve"> </w:t>
      </w:r>
      <w:r w:rsidR="00353459">
        <w:rPr>
          <w:iCs/>
        </w:rPr>
        <w:t xml:space="preserve">in the </w:t>
      </w:r>
      <w:r w:rsidRPr="00BF1BFB">
        <w:rPr>
          <w:iCs/>
        </w:rPr>
        <w:t>5-9</w:t>
      </w:r>
      <w:r w:rsidR="00F96B2F" w:rsidRPr="00BF1BFB">
        <w:rPr>
          <w:iCs/>
        </w:rPr>
        <w:t xml:space="preserve"> </w:t>
      </w:r>
      <w:r w:rsidRPr="00BF1BFB">
        <w:rPr>
          <w:iCs/>
        </w:rPr>
        <w:t>age</w:t>
      </w:r>
      <w:r w:rsidR="00F96B2F" w:rsidRPr="00BF1BFB">
        <w:rPr>
          <w:iCs/>
        </w:rPr>
        <w:t xml:space="preserve"> </w:t>
      </w:r>
      <w:r w:rsidRPr="00BF1BFB">
        <w:rPr>
          <w:iCs/>
        </w:rPr>
        <w:t>cohort:</w:t>
      </w:r>
      <w:r w:rsidR="00F96B2F" w:rsidRPr="00BF1BFB">
        <w:rPr>
          <w:iCs/>
        </w:rPr>
        <w:t xml:space="preserve"> </w:t>
      </w:r>
      <w:r w:rsidRPr="00BF1BFB">
        <w:rPr>
          <w:iCs/>
        </w:rPr>
        <w:t>males</w:t>
      </w:r>
      <w:r w:rsidRPr="004D48B4">
        <w:rPr>
          <w:iCs/>
        </w:rPr>
        <w:t>,</w:t>
      </w:r>
      <w:r w:rsidR="00F96B2F" w:rsidRPr="004D48B4">
        <w:rPr>
          <w:iCs/>
        </w:rPr>
        <w:t xml:space="preserve"> </w:t>
      </w:r>
      <w:r w:rsidRPr="004D48B4">
        <w:rPr>
          <w:iCs/>
        </w:rPr>
        <w:t>1.20</w:t>
      </w:r>
      <w:r w:rsidR="00F96B2F" w:rsidRPr="004D48B4">
        <w:rPr>
          <w:iCs/>
        </w:rPr>
        <w:t xml:space="preserve"> </w:t>
      </w:r>
      <w:r w:rsidRPr="004D48B4">
        <w:rPr>
          <w:iCs/>
        </w:rPr>
        <w:t>pens;</w:t>
      </w:r>
      <w:r w:rsidR="00F96B2F" w:rsidRPr="004D48B4">
        <w:rPr>
          <w:iCs/>
        </w:rPr>
        <w:t xml:space="preserve"> </w:t>
      </w:r>
      <w:r w:rsidRPr="004D48B4">
        <w:rPr>
          <w:iCs/>
        </w:rPr>
        <w:t>females</w:t>
      </w:r>
      <w:r w:rsidR="00F96B2F" w:rsidRPr="004D48B4">
        <w:rPr>
          <w:iCs/>
        </w:rPr>
        <w:t xml:space="preserve"> </w:t>
      </w:r>
      <w:r w:rsidRPr="004D48B4">
        <w:rPr>
          <w:iCs/>
        </w:rPr>
        <w:t>1.17</w:t>
      </w:r>
      <w:r w:rsidR="00F96B2F" w:rsidRPr="004D48B4">
        <w:rPr>
          <w:iCs/>
        </w:rPr>
        <w:t xml:space="preserve"> </w:t>
      </w:r>
      <w:r w:rsidRPr="004D48B4">
        <w:rPr>
          <w:iCs/>
        </w:rPr>
        <w:t>pens).</w:t>
      </w:r>
      <w:r w:rsidR="00F96B2F" w:rsidRPr="004D48B4">
        <w:rPr>
          <w:iCs/>
        </w:rPr>
        <w:t xml:space="preserve"> </w:t>
      </w:r>
      <w:r w:rsidRPr="004D48B4">
        <w:rPr>
          <w:iCs/>
        </w:rPr>
        <w:t>The</w:t>
      </w:r>
      <w:r w:rsidR="00F96B2F" w:rsidRPr="00BF1BFB">
        <w:rPr>
          <w:iCs/>
        </w:rPr>
        <w:t xml:space="preserve"> </w:t>
      </w:r>
      <w:r w:rsidRPr="00BF1BFB">
        <w:rPr>
          <w:iCs/>
        </w:rPr>
        <w:t>submission</w:t>
      </w:r>
      <w:r w:rsidR="00F96B2F" w:rsidRPr="00BF1BFB">
        <w:rPr>
          <w:iCs/>
        </w:rPr>
        <w:t xml:space="preserve"> </w:t>
      </w:r>
      <w:r w:rsidRPr="00BF1BFB">
        <w:rPr>
          <w:iCs/>
        </w:rPr>
        <w:t>conducted</w:t>
      </w:r>
      <w:r w:rsidR="00F96B2F" w:rsidRPr="00BF1BFB">
        <w:rPr>
          <w:iCs/>
        </w:rPr>
        <w:t xml:space="preserve"> </w:t>
      </w:r>
      <w:r w:rsidRPr="00BF1BFB">
        <w:rPr>
          <w:iCs/>
        </w:rPr>
        <w:t>a</w:t>
      </w:r>
      <w:r w:rsidR="00F96B2F" w:rsidRPr="00BF1BFB">
        <w:rPr>
          <w:iCs/>
        </w:rPr>
        <w:t xml:space="preserve"> </w:t>
      </w:r>
      <w:r w:rsidRPr="00BF1BFB">
        <w:rPr>
          <w:iCs/>
        </w:rPr>
        <w:t>sensitivity</w:t>
      </w:r>
      <w:r w:rsidR="00F96B2F" w:rsidRPr="00BF1BFB">
        <w:rPr>
          <w:iCs/>
        </w:rPr>
        <w:t xml:space="preserve"> </w:t>
      </w:r>
      <w:r w:rsidRPr="00BF1BFB">
        <w:rPr>
          <w:iCs/>
        </w:rPr>
        <w:t>analysis</w:t>
      </w:r>
      <w:r w:rsidR="00F96B2F" w:rsidRPr="00BF1BFB">
        <w:rPr>
          <w:iCs/>
        </w:rPr>
        <w:t xml:space="preserve"> </w:t>
      </w:r>
      <w:r w:rsidRPr="00BF1BFB">
        <w:rPr>
          <w:iCs/>
        </w:rPr>
        <w:t>to</w:t>
      </w:r>
      <w:r w:rsidR="00F96B2F" w:rsidRPr="00BF1BFB">
        <w:rPr>
          <w:iCs/>
        </w:rPr>
        <w:t xml:space="preserve"> </w:t>
      </w:r>
      <w:r w:rsidRPr="00BF1BFB">
        <w:rPr>
          <w:iCs/>
        </w:rPr>
        <w:t>address</w:t>
      </w:r>
      <w:r w:rsidR="00F96B2F" w:rsidRPr="00BF1BFB">
        <w:rPr>
          <w:iCs/>
        </w:rPr>
        <w:t xml:space="preserve"> </w:t>
      </w:r>
      <w:r w:rsidRPr="00BF1BFB">
        <w:rPr>
          <w:iCs/>
        </w:rPr>
        <w:t>the</w:t>
      </w:r>
      <w:r w:rsidR="00F96B2F" w:rsidRPr="00BF1BFB">
        <w:rPr>
          <w:iCs/>
        </w:rPr>
        <w:t xml:space="preserve"> </w:t>
      </w:r>
      <w:r w:rsidRPr="00BF1BFB">
        <w:rPr>
          <w:iCs/>
        </w:rPr>
        <w:t>impact</w:t>
      </w:r>
      <w:r w:rsidR="00F96B2F" w:rsidRPr="00BF1BFB">
        <w:rPr>
          <w:iCs/>
        </w:rPr>
        <w:t xml:space="preserve"> </w:t>
      </w:r>
      <w:r w:rsidRPr="00BF1BFB">
        <w:rPr>
          <w:iCs/>
        </w:rPr>
        <w:t>of</w:t>
      </w:r>
      <w:r w:rsidR="00F96B2F" w:rsidRPr="00BF1BFB">
        <w:rPr>
          <w:iCs/>
        </w:rPr>
        <w:t xml:space="preserve"> </w:t>
      </w:r>
      <w:r w:rsidR="00353459">
        <w:rPr>
          <w:iCs/>
        </w:rPr>
        <w:t xml:space="preserve">the </w:t>
      </w:r>
      <w:r w:rsidRPr="00BF1BFB">
        <w:rPr>
          <w:iCs/>
        </w:rPr>
        <w:t>rounding</w:t>
      </w:r>
      <w:r w:rsidR="00F96B2F" w:rsidRPr="00BF1BFB">
        <w:rPr>
          <w:iCs/>
        </w:rPr>
        <w:t xml:space="preserve"> </w:t>
      </w:r>
      <w:r w:rsidRPr="00BF1BFB">
        <w:rPr>
          <w:iCs/>
        </w:rPr>
        <w:t>of</w:t>
      </w:r>
      <w:r w:rsidR="00F96B2F" w:rsidRPr="00BF1BFB">
        <w:rPr>
          <w:iCs/>
        </w:rPr>
        <w:t xml:space="preserve"> </w:t>
      </w:r>
      <w:r w:rsidRPr="00BF1BFB">
        <w:rPr>
          <w:iCs/>
        </w:rPr>
        <w:t>daily</w:t>
      </w:r>
      <w:r w:rsidR="00F96B2F" w:rsidRPr="00BF1BFB">
        <w:rPr>
          <w:iCs/>
        </w:rPr>
        <w:t xml:space="preserve"> </w:t>
      </w:r>
      <w:r w:rsidRPr="00BF1BFB">
        <w:rPr>
          <w:iCs/>
        </w:rPr>
        <w:t>and</w:t>
      </w:r>
      <w:r w:rsidR="00F96B2F" w:rsidRPr="00BF1BFB">
        <w:rPr>
          <w:iCs/>
        </w:rPr>
        <w:t xml:space="preserve"> </w:t>
      </w:r>
      <w:r w:rsidRPr="00BF1BFB">
        <w:rPr>
          <w:iCs/>
        </w:rPr>
        <w:t>weekly</w:t>
      </w:r>
      <w:r w:rsidR="00F96B2F" w:rsidRPr="00BF1BFB">
        <w:rPr>
          <w:iCs/>
        </w:rPr>
        <w:t xml:space="preserve"> </w:t>
      </w:r>
      <w:r w:rsidRPr="00BF1BFB">
        <w:rPr>
          <w:iCs/>
        </w:rPr>
        <w:t>treatment</w:t>
      </w:r>
      <w:r w:rsidR="00F96B2F" w:rsidRPr="00BF1BFB">
        <w:rPr>
          <w:iCs/>
        </w:rPr>
        <w:t xml:space="preserve"> </w:t>
      </w:r>
      <w:r w:rsidRPr="00BF1BFB">
        <w:rPr>
          <w:iCs/>
        </w:rPr>
        <w:t>units</w:t>
      </w:r>
      <w:r w:rsidR="00F96B2F" w:rsidRPr="00BF1BFB">
        <w:rPr>
          <w:iCs/>
        </w:rPr>
        <w:t xml:space="preserve"> </w:t>
      </w:r>
      <w:r w:rsidRPr="00BF1BFB">
        <w:rPr>
          <w:iCs/>
        </w:rPr>
        <w:t>in</w:t>
      </w:r>
      <w:r w:rsidR="00F96B2F" w:rsidRPr="00BF1BFB">
        <w:rPr>
          <w:iCs/>
        </w:rPr>
        <w:t xml:space="preserve"> </w:t>
      </w:r>
      <w:r w:rsidRPr="00BF1BFB">
        <w:rPr>
          <w:iCs/>
        </w:rPr>
        <w:t>the</w:t>
      </w:r>
      <w:r w:rsidR="00F96B2F" w:rsidRPr="00BF1BFB">
        <w:rPr>
          <w:iCs/>
        </w:rPr>
        <w:t xml:space="preserve"> </w:t>
      </w:r>
      <w:r w:rsidRPr="00BF1BFB">
        <w:rPr>
          <w:iCs/>
        </w:rPr>
        <w:t>financial</w:t>
      </w:r>
      <w:r w:rsidR="00F96B2F" w:rsidRPr="00BF1BFB">
        <w:rPr>
          <w:iCs/>
        </w:rPr>
        <w:t xml:space="preserve"> </w:t>
      </w:r>
      <w:r w:rsidRPr="008C74A7">
        <w:rPr>
          <w:iCs/>
        </w:rPr>
        <w:t>analysis</w:t>
      </w:r>
      <w:r w:rsidRPr="001B558A">
        <w:rPr>
          <w:iCs/>
        </w:rPr>
        <w:t>.</w:t>
      </w:r>
      <w:r w:rsidR="00BA78AC" w:rsidRPr="00BF1BFB">
        <w:rPr>
          <w:iCs/>
        </w:rPr>
        <w:t xml:space="preserve"> </w:t>
      </w:r>
      <w:r w:rsidR="001B558A" w:rsidRPr="004C584D">
        <w:rPr>
          <w:iCs/>
        </w:rPr>
        <w:t xml:space="preserve">The evaluation noted </w:t>
      </w:r>
      <w:r w:rsidR="001B558A">
        <w:rPr>
          <w:iCs/>
        </w:rPr>
        <w:t>a</w:t>
      </w:r>
      <w:r w:rsidR="00BA78AC" w:rsidRPr="00BF1BFB">
        <w:rPr>
          <w:iCs/>
        </w:rPr>
        <w:t xml:space="preserve"> conservative approach was taken by the sponsor given the assumption that the government would have to pay for 2 injections if the do</w:t>
      </w:r>
      <w:r w:rsidR="005F078F" w:rsidRPr="00BF1BFB">
        <w:rPr>
          <w:iCs/>
        </w:rPr>
        <w:t>se required is more than 1.</w:t>
      </w:r>
    </w:p>
    <w:p w14:paraId="33C24F9A" w14:textId="27B31DA6" w:rsidR="00E5129A" w:rsidRPr="00E96E9F" w:rsidRDefault="00811E0E" w:rsidP="00811E0E">
      <w:pPr>
        <w:pStyle w:val="3-BodyText"/>
      </w:pPr>
      <w:r w:rsidRPr="00E96E9F">
        <w:t>The</w:t>
      </w:r>
      <w:r w:rsidR="00F96B2F" w:rsidRPr="00E96E9F">
        <w:t xml:space="preserve"> </w:t>
      </w:r>
      <w:r w:rsidRPr="00E96E9F">
        <w:t>estimated</w:t>
      </w:r>
      <w:r w:rsidR="00F96B2F" w:rsidRPr="00E96E9F">
        <w:t xml:space="preserve"> </w:t>
      </w:r>
      <w:r w:rsidRPr="00E96E9F">
        <w:t>financial</w:t>
      </w:r>
      <w:r w:rsidR="00F96B2F" w:rsidRPr="00E96E9F">
        <w:t xml:space="preserve"> </w:t>
      </w:r>
      <w:r w:rsidRPr="00E96E9F">
        <w:t>implications</w:t>
      </w:r>
      <w:r w:rsidR="00F96B2F" w:rsidRPr="00E96E9F">
        <w:t xml:space="preserve"> </w:t>
      </w:r>
      <w:r w:rsidRPr="00E96E9F">
        <w:t>of</w:t>
      </w:r>
      <w:r w:rsidR="00F96B2F" w:rsidRPr="00E96E9F">
        <w:t xml:space="preserve"> </w:t>
      </w:r>
      <w:r w:rsidRPr="00E96E9F">
        <w:t>listing</w:t>
      </w:r>
      <w:r w:rsidR="00F96B2F" w:rsidRPr="00E96E9F">
        <w:t xml:space="preserve"> </w:t>
      </w:r>
      <w:r w:rsidRPr="00E96E9F">
        <w:t>once</w:t>
      </w:r>
      <w:r w:rsidR="00F96B2F" w:rsidRPr="00E96E9F">
        <w:t xml:space="preserve"> </w:t>
      </w:r>
      <w:r w:rsidRPr="00E96E9F">
        <w:t>weekly</w:t>
      </w:r>
      <w:r w:rsidR="00F96B2F" w:rsidRPr="00E96E9F">
        <w:t xml:space="preserve"> </w:t>
      </w:r>
      <w:proofErr w:type="spellStart"/>
      <w:r w:rsidRPr="00E96E9F">
        <w:t>somatrogon</w:t>
      </w:r>
      <w:proofErr w:type="spellEnd"/>
      <w:r w:rsidR="00F96B2F" w:rsidRPr="00E96E9F">
        <w:t xml:space="preserve"> </w:t>
      </w:r>
      <w:r w:rsidRPr="00E96E9F">
        <w:t>compared</w:t>
      </w:r>
      <w:r w:rsidR="00F96B2F" w:rsidRPr="00E96E9F">
        <w:t xml:space="preserve"> </w:t>
      </w:r>
      <w:r w:rsidRPr="00E96E9F">
        <w:t>to</w:t>
      </w:r>
      <w:r w:rsidR="00F96B2F" w:rsidRPr="00E96E9F">
        <w:t xml:space="preserve"> </w:t>
      </w:r>
      <w:r w:rsidRPr="00E96E9F">
        <w:t>daily</w:t>
      </w:r>
      <w:r w:rsidR="00F96B2F" w:rsidRPr="00E96E9F">
        <w:t xml:space="preserve"> </w:t>
      </w:r>
      <w:r w:rsidRPr="00E96E9F">
        <w:t>somatropin</w:t>
      </w:r>
      <w:r w:rsidR="00F96B2F" w:rsidRPr="00E96E9F">
        <w:t xml:space="preserve"> </w:t>
      </w:r>
      <w:r w:rsidRPr="00E96E9F">
        <w:t>in</w:t>
      </w:r>
      <w:r w:rsidR="00F96B2F" w:rsidRPr="00E96E9F">
        <w:t xml:space="preserve"> </w:t>
      </w:r>
      <w:r w:rsidRPr="00E96E9F">
        <w:t>paediatric</w:t>
      </w:r>
      <w:r w:rsidR="00F96B2F" w:rsidRPr="00E96E9F">
        <w:t xml:space="preserve"> </w:t>
      </w:r>
      <w:r w:rsidRPr="00E96E9F">
        <w:t>patients</w:t>
      </w:r>
      <w:r w:rsidR="00F96B2F" w:rsidRPr="00E96E9F">
        <w:t xml:space="preserve"> </w:t>
      </w:r>
      <w:r w:rsidRPr="00E96E9F">
        <w:t>for</w:t>
      </w:r>
      <w:r w:rsidR="00F96B2F" w:rsidRPr="00E96E9F">
        <w:t xml:space="preserve"> </w:t>
      </w:r>
      <w:r w:rsidRPr="00E96E9F">
        <w:t>the</w:t>
      </w:r>
      <w:r w:rsidR="00F96B2F" w:rsidRPr="00E96E9F">
        <w:t xml:space="preserve"> </w:t>
      </w:r>
      <w:r w:rsidRPr="00E96E9F">
        <w:t>treatment</w:t>
      </w:r>
      <w:r w:rsidR="00F96B2F" w:rsidRPr="00E96E9F">
        <w:t xml:space="preserve"> </w:t>
      </w:r>
      <w:r w:rsidRPr="00E96E9F">
        <w:t>of</w:t>
      </w:r>
      <w:r w:rsidR="00F96B2F" w:rsidRPr="00E96E9F">
        <w:t xml:space="preserve"> </w:t>
      </w:r>
      <w:r w:rsidR="00353459">
        <w:t>SSAB</w:t>
      </w:r>
      <w:r w:rsidRPr="00E96E9F">
        <w:t>GHD</w:t>
      </w:r>
      <w:r w:rsidR="00F96B2F" w:rsidRPr="00E96E9F">
        <w:t xml:space="preserve"> </w:t>
      </w:r>
      <w:r w:rsidRPr="00E96E9F">
        <w:t>and</w:t>
      </w:r>
      <w:r w:rsidR="00F96B2F" w:rsidRPr="00E96E9F">
        <w:t xml:space="preserve"> </w:t>
      </w:r>
      <w:r w:rsidR="00353459">
        <w:t>SSSG</w:t>
      </w:r>
      <w:r w:rsidR="00F96B2F" w:rsidRPr="00E96E9F">
        <w:t xml:space="preserve"> </w:t>
      </w:r>
      <w:r w:rsidRPr="00E96E9F">
        <w:t>are</w:t>
      </w:r>
      <w:r w:rsidR="00F96B2F" w:rsidRPr="00E96E9F">
        <w:t xml:space="preserve"> </w:t>
      </w:r>
      <w:r w:rsidRPr="00E96E9F">
        <w:t>presented</w:t>
      </w:r>
      <w:r w:rsidR="00F96B2F" w:rsidRPr="00E96E9F">
        <w:t xml:space="preserve"> </w:t>
      </w:r>
      <w:r w:rsidRPr="00E96E9F">
        <w:t>in</w:t>
      </w:r>
      <w:r w:rsidR="00F96B2F" w:rsidRPr="00E96E9F">
        <w:t xml:space="preserve"> </w:t>
      </w:r>
      <w:r w:rsidRPr="00E96E9F">
        <w:t>the</w:t>
      </w:r>
      <w:r w:rsidR="00F96B2F" w:rsidRPr="00E96E9F">
        <w:t xml:space="preserve"> </w:t>
      </w:r>
      <w:r w:rsidRPr="00E96E9F">
        <w:t>table</w:t>
      </w:r>
      <w:r w:rsidR="00F96B2F" w:rsidRPr="00E96E9F">
        <w:t xml:space="preserve"> </w:t>
      </w:r>
      <w:r w:rsidRPr="00E96E9F">
        <w:t>below.</w:t>
      </w:r>
    </w:p>
    <w:p w14:paraId="1DCFDF09" w14:textId="3EB3574C" w:rsidR="00811E0E" w:rsidRPr="00E96E9F" w:rsidRDefault="00811E0E" w:rsidP="006D4B84">
      <w:pPr>
        <w:pStyle w:val="TableFigureHeading"/>
      </w:pPr>
      <w:r w:rsidRPr="00E96E9F">
        <w:t>Table</w:t>
      </w:r>
      <w:r w:rsidR="00F96B2F" w:rsidRPr="00E96E9F">
        <w:t xml:space="preserve"> </w:t>
      </w:r>
      <w:r w:rsidR="005C48AC">
        <w:fldChar w:fldCharType="begin"/>
      </w:r>
      <w:r w:rsidR="005C48AC">
        <w:instrText xml:space="preserve"> SEQ Table \* ARABIC </w:instrText>
      </w:r>
      <w:r w:rsidR="005C48AC">
        <w:fldChar w:fldCharType="separate"/>
      </w:r>
      <w:r w:rsidR="005C48AC">
        <w:rPr>
          <w:noProof/>
        </w:rPr>
        <w:t>10</w:t>
      </w:r>
      <w:r w:rsidR="005C48AC">
        <w:fldChar w:fldCharType="end"/>
      </w:r>
      <w:r w:rsidRPr="00E96E9F">
        <w:rPr>
          <w:rStyle w:val="CommentReference"/>
          <w:b/>
          <w:szCs w:val="24"/>
        </w:rPr>
        <w:t>:</w:t>
      </w:r>
      <w:r w:rsidR="00F96B2F" w:rsidRPr="00E96E9F">
        <w:rPr>
          <w:rStyle w:val="CommentReference"/>
          <w:b/>
          <w:szCs w:val="24"/>
        </w:rPr>
        <w:t xml:space="preserve"> </w:t>
      </w:r>
      <w:r w:rsidRPr="00E96E9F">
        <w:rPr>
          <w:rStyle w:val="CommentReference"/>
          <w:b/>
          <w:szCs w:val="24"/>
        </w:rPr>
        <w:t>Estimated</w:t>
      </w:r>
      <w:r w:rsidR="00F96B2F" w:rsidRPr="00E96E9F">
        <w:rPr>
          <w:rStyle w:val="CommentReference"/>
          <w:b/>
          <w:szCs w:val="24"/>
        </w:rPr>
        <w:t xml:space="preserve"> </w:t>
      </w:r>
      <w:r w:rsidRPr="00E96E9F">
        <w:rPr>
          <w:rStyle w:val="CommentReference"/>
          <w:b/>
          <w:szCs w:val="24"/>
        </w:rPr>
        <w:t>use</w:t>
      </w:r>
      <w:r w:rsidR="00F96B2F" w:rsidRPr="00E96E9F">
        <w:rPr>
          <w:rStyle w:val="CommentReference"/>
          <w:b/>
          <w:szCs w:val="24"/>
        </w:rPr>
        <w:t xml:space="preserve"> </w:t>
      </w:r>
      <w:r w:rsidRPr="00E96E9F">
        <w:rPr>
          <w:rStyle w:val="CommentReference"/>
          <w:b/>
          <w:szCs w:val="24"/>
        </w:rPr>
        <w:t>and</w:t>
      </w:r>
      <w:r w:rsidR="00F96B2F" w:rsidRPr="00E96E9F">
        <w:rPr>
          <w:rStyle w:val="CommentReference"/>
          <w:b/>
          <w:szCs w:val="24"/>
        </w:rPr>
        <w:t xml:space="preserve"> </w:t>
      </w:r>
      <w:r w:rsidRPr="00E96E9F">
        <w:rPr>
          <w:rStyle w:val="CommentReference"/>
          <w:b/>
          <w:szCs w:val="24"/>
        </w:rPr>
        <w:t>financial</w:t>
      </w:r>
      <w:r w:rsidR="00F96B2F" w:rsidRPr="00E96E9F">
        <w:rPr>
          <w:rStyle w:val="CommentReference"/>
          <w:b/>
          <w:szCs w:val="24"/>
        </w:rPr>
        <w:t xml:space="preserve"> </w:t>
      </w:r>
      <w:r w:rsidRPr="00E96E9F">
        <w:rPr>
          <w:rStyle w:val="CommentReference"/>
          <w:b/>
          <w:szCs w:val="24"/>
        </w:rPr>
        <w:t>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w:tblPr>
      <w:tblGrid>
        <w:gridCol w:w="2012"/>
        <w:gridCol w:w="1167"/>
        <w:gridCol w:w="1167"/>
        <w:gridCol w:w="1167"/>
        <w:gridCol w:w="1167"/>
        <w:gridCol w:w="1167"/>
        <w:gridCol w:w="1170"/>
      </w:tblGrid>
      <w:tr w:rsidR="00811E0E" w:rsidRPr="00E96E9F" w14:paraId="646C89E4" w14:textId="77777777" w:rsidTr="00CF047E">
        <w:trPr>
          <w:tblHeader/>
        </w:trPr>
        <w:tc>
          <w:tcPr>
            <w:tcW w:w="1116" w:type="pct"/>
            <w:shd w:val="clear" w:color="auto" w:fill="auto"/>
            <w:vAlign w:val="center"/>
          </w:tcPr>
          <w:p w14:paraId="4AAC0E2C" w14:textId="77777777" w:rsidR="00811E0E" w:rsidRPr="00E96E9F" w:rsidRDefault="00811E0E" w:rsidP="00CF047E">
            <w:pPr>
              <w:pStyle w:val="In-tableHeading"/>
              <w:jc w:val="center"/>
              <w:rPr>
                <w:lang w:val="en-AU"/>
              </w:rPr>
            </w:pPr>
          </w:p>
        </w:tc>
        <w:tc>
          <w:tcPr>
            <w:tcW w:w="647" w:type="pct"/>
            <w:shd w:val="clear" w:color="auto" w:fill="auto"/>
            <w:vAlign w:val="center"/>
          </w:tcPr>
          <w:p w14:paraId="45A886C6" w14:textId="16A08427" w:rsidR="00811E0E" w:rsidRPr="00E96E9F" w:rsidRDefault="00811E0E" w:rsidP="00CF047E">
            <w:pPr>
              <w:pStyle w:val="In-tableHeading"/>
              <w:jc w:val="center"/>
              <w:rPr>
                <w:lang w:val="en-AU"/>
              </w:rPr>
            </w:pPr>
            <w:r w:rsidRPr="00E96E9F">
              <w:rPr>
                <w:lang w:val="en-AU"/>
              </w:rPr>
              <w:t>Year</w:t>
            </w:r>
            <w:r w:rsidR="00F96B2F" w:rsidRPr="00E96E9F">
              <w:rPr>
                <w:lang w:val="en-AU"/>
              </w:rPr>
              <w:t xml:space="preserve"> </w:t>
            </w:r>
            <w:r w:rsidRPr="00E96E9F">
              <w:rPr>
                <w:lang w:val="en-AU"/>
              </w:rPr>
              <w:t>1</w:t>
            </w:r>
          </w:p>
        </w:tc>
        <w:tc>
          <w:tcPr>
            <w:tcW w:w="647" w:type="pct"/>
            <w:shd w:val="clear" w:color="auto" w:fill="auto"/>
            <w:vAlign w:val="center"/>
          </w:tcPr>
          <w:p w14:paraId="6D473D22" w14:textId="750DB6F2" w:rsidR="00811E0E" w:rsidRPr="00E96E9F" w:rsidRDefault="00811E0E" w:rsidP="00CF047E">
            <w:pPr>
              <w:pStyle w:val="In-tableHeading"/>
              <w:jc w:val="center"/>
              <w:rPr>
                <w:lang w:val="en-AU"/>
              </w:rPr>
            </w:pPr>
            <w:r w:rsidRPr="00E96E9F">
              <w:rPr>
                <w:lang w:val="en-AU"/>
              </w:rPr>
              <w:t>Year</w:t>
            </w:r>
            <w:r w:rsidR="00F96B2F" w:rsidRPr="00E96E9F">
              <w:rPr>
                <w:lang w:val="en-AU"/>
              </w:rPr>
              <w:t xml:space="preserve"> </w:t>
            </w:r>
            <w:r w:rsidRPr="00E96E9F">
              <w:rPr>
                <w:lang w:val="en-AU"/>
              </w:rPr>
              <w:t>2</w:t>
            </w:r>
          </w:p>
        </w:tc>
        <w:tc>
          <w:tcPr>
            <w:tcW w:w="647" w:type="pct"/>
            <w:shd w:val="clear" w:color="auto" w:fill="auto"/>
            <w:vAlign w:val="center"/>
          </w:tcPr>
          <w:p w14:paraId="61012E12" w14:textId="1956F6EF" w:rsidR="00811E0E" w:rsidRPr="00E96E9F" w:rsidRDefault="00811E0E" w:rsidP="00CF047E">
            <w:pPr>
              <w:pStyle w:val="In-tableHeading"/>
              <w:jc w:val="center"/>
              <w:rPr>
                <w:lang w:val="en-AU"/>
              </w:rPr>
            </w:pPr>
            <w:r w:rsidRPr="00E96E9F">
              <w:rPr>
                <w:lang w:val="en-AU"/>
              </w:rPr>
              <w:t>Year</w:t>
            </w:r>
            <w:r w:rsidR="00F96B2F" w:rsidRPr="00E96E9F">
              <w:rPr>
                <w:lang w:val="en-AU"/>
              </w:rPr>
              <w:t xml:space="preserve"> </w:t>
            </w:r>
            <w:r w:rsidRPr="00E96E9F">
              <w:rPr>
                <w:lang w:val="en-AU"/>
              </w:rPr>
              <w:t>3</w:t>
            </w:r>
          </w:p>
        </w:tc>
        <w:tc>
          <w:tcPr>
            <w:tcW w:w="647" w:type="pct"/>
            <w:shd w:val="clear" w:color="auto" w:fill="auto"/>
            <w:vAlign w:val="center"/>
          </w:tcPr>
          <w:p w14:paraId="055157F6" w14:textId="514120A3" w:rsidR="00811E0E" w:rsidRPr="00E96E9F" w:rsidRDefault="00811E0E" w:rsidP="00CF047E">
            <w:pPr>
              <w:pStyle w:val="In-tableHeading"/>
              <w:jc w:val="center"/>
              <w:rPr>
                <w:lang w:val="en-AU"/>
              </w:rPr>
            </w:pPr>
            <w:r w:rsidRPr="00E96E9F">
              <w:rPr>
                <w:lang w:val="en-AU"/>
              </w:rPr>
              <w:t>Year</w:t>
            </w:r>
            <w:r w:rsidR="00F96B2F" w:rsidRPr="00E96E9F">
              <w:rPr>
                <w:lang w:val="en-AU"/>
              </w:rPr>
              <w:t xml:space="preserve"> </w:t>
            </w:r>
            <w:r w:rsidRPr="00E96E9F">
              <w:rPr>
                <w:lang w:val="en-AU"/>
              </w:rPr>
              <w:t>4</w:t>
            </w:r>
          </w:p>
        </w:tc>
        <w:tc>
          <w:tcPr>
            <w:tcW w:w="647" w:type="pct"/>
            <w:shd w:val="clear" w:color="auto" w:fill="auto"/>
            <w:vAlign w:val="center"/>
          </w:tcPr>
          <w:p w14:paraId="1CA82FAB" w14:textId="41952DDE" w:rsidR="00811E0E" w:rsidRPr="00E96E9F" w:rsidRDefault="00811E0E" w:rsidP="00CF047E">
            <w:pPr>
              <w:pStyle w:val="In-tableHeading"/>
              <w:jc w:val="center"/>
              <w:rPr>
                <w:lang w:val="en-AU"/>
              </w:rPr>
            </w:pPr>
            <w:r w:rsidRPr="00E96E9F">
              <w:rPr>
                <w:lang w:val="en-AU"/>
              </w:rPr>
              <w:t>Year</w:t>
            </w:r>
            <w:r w:rsidR="00F96B2F" w:rsidRPr="00E96E9F">
              <w:rPr>
                <w:lang w:val="en-AU"/>
              </w:rPr>
              <w:t xml:space="preserve"> </w:t>
            </w:r>
            <w:r w:rsidRPr="00E96E9F">
              <w:rPr>
                <w:lang w:val="en-AU"/>
              </w:rPr>
              <w:t>5</w:t>
            </w:r>
          </w:p>
        </w:tc>
        <w:tc>
          <w:tcPr>
            <w:tcW w:w="649" w:type="pct"/>
          </w:tcPr>
          <w:p w14:paraId="7B39688B" w14:textId="092ECB3F" w:rsidR="00811E0E" w:rsidRPr="00E96E9F" w:rsidRDefault="00811E0E" w:rsidP="00CF047E">
            <w:pPr>
              <w:pStyle w:val="In-tableHeading"/>
              <w:jc w:val="center"/>
              <w:rPr>
                <w:lang w:val="en-AU"/>
              </w:rPr>
            </w:pPr>
            <w:r w:rsidRPr="00E96E9F">
              <w:rPr>
                <w:lang w:val="en-AU"/>
              </w:rPr>
              <w:t>Year</w:t>
            </w:r>
            <w:r w:rsidR="00F96B2F" w:rsidRPr="00E96E9F">
              <w:rPr>
                <w:lang w:val="en-AU"/>
              </w:rPr>
              <w:t xml:space="preserve"> </w:t>
            </w:r>
            <w:r w:rsidRPr="00E96E9F">
              <w:rPr>
                <w:lang w:val="en-AU"/>
              </w:rPr>
              <w:t>6</w:t>
            </w:r>
          </w:p>
        </w:tc>
      </w:tr>
      <w:tr w:rsidR="00811E0E" w:rsidRPr="00E96E9F" w14:paraId="284EE9DD" w14:textId="77777777" w:rsidTr="00CF047E">
        <w:tc>
          <w:tcPr>
            <w:tcW w:w="5000" w:type="pct"/>
            <w:gridSpan w:val="7"/>
            <w:shd w:val="clear" w:color="auto" w:fill="auto"/>
            <w:vAlign w:val="center"/>
          </w:tcPr>
          <w:p w14:paraId="32F2D129" w14:textId="149F034C" w:rsidR="00811E0E" w:rsidRPr="00E96E9F" w:rsidRDefault="00811E0E" w:rsidP="00CF047E">
            <w:pPr>
              <w:pStyle w:val="In-tableHeading"/>
              <w:rPr>
                <w:bCs/>
                <w:color w:val="000000"/>
                <w:lang w:val="en-AU"/>
              </w:rPr>
            </w:pPr>
            <w:r w:rsidRPr="00E96E9F">
              <w:rPr>
                <w:bCs/>
                <w:color w:val="000000"/>
                <w:lang w:val="en-AU"/>
              </w:rPr>
              <w:t>Estimated</w:t>
            </w:r>
            <w:r w:rsidR="00F96B2F" w:rsidRPr="00E96E9F">
              <w:rPr>
                <w:bCs/>
                <w:color w:val="000000"/>
                <w:lang w:val="en-AU"/>
              </w:rPr>
              <w:t xml:space="preserve"> </w:t>
            </w:r>
            <w:r w:rsidRPr="00E96E9F">
              <w:rPr>
                <w:bCs/>
                <w:color w:val="000000"/>
                <w:lang w:val="en-AU"/>
              </w:rPr>
              <w:t>extent</w:t>
            </w:r>
            <w:r w:rsidR="00F96B2F" w:rsidRPr="00E96E9F">
              <w:rPr>
                <w:bCs/>
                <w:color w:val="000000"/>
                <w:lang w:val="en-AU"/>
              </w:rPr>
              <w:t xml:space="preserve"> </w:t>
            </w:r>
            <w:r w:rsidRPr="00E96E9F">
              <w:rPr>
                <w:bCs/>
                <w:color w:val="000000"/>
                <w:lang w:val="en-AU"/>
              </w:rPr>
              <w:t>of</w:t>
            </w:r>
            <w:r w:rsidR="00F96B2F" w:rsidRPr="00E96E9F">
              <w:rPr>
                <w:bCs/>
                <w:color w:val="000000"/>
                <w:lang w:val="en-AU"/>
              </w:rPr>
              <w:t xml:space="preserve"> </w:t>
            </w:r>
            <w:r w:rsidRPr="00E96E9F">
              <w:rPr>
                <w:bCs/>
                <w:color w:val="000000"/>
                <w:lang w:val="en-AU"/>
              </w:rPr>
              <w:t>use</w:t>
            </w:r>
          </w:p>
        </w:tc>
      </w:tr>
      <w:tr w:rsidR="00811E0E" w:rsidRPr="00E96E9F" w14:paraId="35DD34CA" w14:textId="77777777" w:rsidTr="00CF047E">
        <w:tc>
          <w:tcPr>
            <w:tcW w:w="1116" w:type="pct"/>
            <w:shd w:val="clear" w:color="auto" w:fill="auto"/>
            <w:vAlign w:val="center"/>
          </w:tcPr>
          <w:p w14:paraId="766E8033" w14:textId="7E5618A6" w:rsidR="00811E0E" w:rsidRPr="00E96E9F" w:rsidRDefault="00811E0E" w:rsidP="00CF047E">
            <w:pPr>
              <w:pStyle w:val="TableText0"/>
              <w:rPr>
                <w:rFonts w:ascii="Times" w:hAnsi="Times"/>
              </w:rPr>
            </w:pPr>
            <w:r w:rsidRPr="00E96E9F">
              <w:t>Number</w:t>
            </w:r>
            <w:r w:rsidR="00F96B2F" w:rsidRPr="00E96E9F">
              <w:t xml:space="preserve"> </w:t>
            </w:r>
            <w:r w:rsidRPr="00E96E9F">
              <w:t>of</w:t>
            </w:r>
            <w:r w:rsidR="00F96B2F" w:rsidRPr="00E96E9F">
              <w:t xml:space="preserve"> </w:t>
            </w:r>
            <w:r w:rsidRPr="00E96E9F">
              <w:t>patients</w:t>
            </w:r>
            <w:r w:rsidR="00F96B2F" w:rsidRPr="00E96E9F">
              <w:t xml:space="preserve"> </w:t>
            </w:r>
            <w:r w:rsidRPr="00E96E9F">
              <w:t>treated</w:t>
            </w:r>
          </w:p>
        </w:tc>
        <w:tc>
          <w:tcPr>
            <w:tcW w:w="647" w:type="pct"/>
            <w:shd w:val="clear" w:color="auto" w:fill="auto"/>
          </w:tcPr>
          <w:p w14:paraId="08391838" w14:textId="5771DA93" w:rsidR="00811E0E" w:rsidRPr="000D180E" w:rsidRDefault="00703E69" w:rsidP="00CF047E">
            <w:pPr>
              <w:pStyle w:val="TableText0"/>
              <w:jc w:val="center"/>
              <w:rPr>
                <w:color w:val="000000"/>
                <w:highlight w:val="yellow"/>
                <w:vertAlign w:val="superscript"/>
              </w:rPr>
            </w:pPr>
            <w:r w:rsidRPr="005C48AC">
              <w:rPr>
                <w:rFonts w:hint="eastAsia"/>
                <w:color w:val="000000"/>
                <w:w w:val="15"/>
                <w:szCs w:val="20"/>
                <w:shd w:val="solid" w:color="000000" w:fill="000000"/>
                <w:fitText w:val="10" w:id="-1492481280"/>
                <w14:textFill>
                  <w14:solidFill>
                    <w14:srgbClr w14:val="000000">
                      <w14:alpha w14:val="100000"/>
                    </w14:srgbClr>
                  </w14:solidFill>
                </w14:textFill>
              </w:rPr>
              <w:t xml:space="preserve">　</w:t>
            </w:r>
            <w:r w:rsidRPr="005C48AC">
              <w:rPr>
                <w:color w:val="000000"/>
                <w:w w:val="15"/>
                <w:szCs w:val="20"/>
                <w:shd w:val="solid" w:color="000000" w:fill="000000"/>
                <w:fitText w:val="10" w:id="-1492481280"/>
                <w14:textFill>
                  <w14:solidFill>
                    <w14:srgbClr w14:val="000000">
                      <w14:alpha w14:val="100000"/>
                    </w14:srgbClr>
                  </w14:solidFill>
                </w14:textFill>
              </w:rPr>
              <w:t>|</w:t>
            </w:r>
            <w:r w:rsidRPr="005C48AC">
              <w:rPr>
                <w:rFonts w:hint="eastAsia"/>
                <w:color w:val="000000"/>
                <w:spacing w:val="-56"/>
                <w:w w:val="15"/>
                <w:szCs w:val="20"/>
                <w:shd w:val="solid" w:color="000000" w:fill="000000"/>
                <w:fitText w:val="10" w:id="-1492481280"/>
                <w14:textFill>
                  <w14:solidFill>
                    <w14:srgbClr w14:val="000000">
                      <w14:alpha w14:val="100000"/>
                    </w14:srgbClr>
                  </w14:solidFill>
                </w14:textFill>
              </w:rPr>
              <w:t xml:space="preserve">　</w:t>
            </w:r>
            <w:r w:rsidR="000D180E" w:rsidRPr="00C54DFE">
              <w:rPr>
                <w:color w:val="000000"/>
                <w:szCs w:val="20"/>
                <w:vertAlign w:val="superscript"/>
              </w:rPr>
              <w:t>1</w:t>
            </w:r>
          </w:p>
        </w:tc>
        <w:tc>
          <w:tcPr>
            <w:tcW w:w="647" w:type="pct"/>
            <w:shd w:val="clear" w:color="auto" w:fill="auto"/>
          </w:tcPr>
          <w:p w14:paraId="1162E135" w14:textId="2FB2438C" w:rsidR="00811E0E" w:rsidRPr="000D180E" w:rsidRDefault="00703E69" w:rsidP="00CF047E">
            <w:pPr>
              <w:pStyle w:val="TableText0"/>
              <w:jc w:val="center"/>
              <w:rPr>
                <w:color w:val="000000"/>
                <w:highlight w:val="yellow"/>
                <w:vertAlign w:val="superscript"/>
              </w:rPr>
            </w:pPr>
            <w:r w:rsidRPr="005C48AC">
              <w:rPr>
                <w:rFonts w:hint="eastAsia"/>
                <w:color w:val="000000"/>
                <w:w w:val="15"/>
                <w:szCs w:val="20"/>
                <w:shd w:val="solid" w:color="000000" w:fill="000000"/>
                <w:fitText w:val="10" w:id="-1492481279"/>
                <w14:textFill>
                  <w14:solidFill>
                    <w14:srgbClr w14:val="000000">
                      <w14:alpha w14:val="100000"/>
                    </w14:srgbClr>
                  </w14:solidFill>
                </w14:textFill>
              </w:rPr>
              <w:t xml:space="preserve">　</w:t>
            </w:r>
            <w:r w:rsidRPr="005C48AC">
              <w:rPr>
                <w:color w:val="000000"/>
                <w:w w:val="15"/>
                <w:szCs w:val="20"/>
                <w:shd w:val="solid" w:color="000000" w:fill="000000"/>
                <w:fitText w:val="10" w:id="-1492481279"/>
                <w14:textFill>
                  <w14:solidFill>
                    <w14:srgbClr w14:val="000000">
                      <w14:alpha w14:val="100000"/>
                    </w14:srgbClr>
                  </w14:solidFill>
                </w14:textFill>
              </w:rPr>
              <w:t>|</w:t>
            </w:r>
            <w:r w:rsidRPr="005C48AC">
              <w:rPr>
                <w:rFonts w:hint="eastAsia"/>
                <w:color w:val="000000"/>
                <w:spacing w:val="-56"/>
                <w:w w:val="15"/>
                <w:szCs w:val="20"/>
                <w:shd w:val="solid" w:color="000000" w:fill="000000"/>
                <w:fitText w:val="10" w:id="-1492481279"/>
                <w14:textFill>
                  <w14:solidFill>
                    <w14:srgbClr w14:val="000000">
                      <w14:alpha w14:val="100000"/>
                    </w14:srgbClr>
                  </w14:solidFill>
                </w14:textFill>
              </w:rPr>
              <w:t xml:space="preserve">　</w:t>
            </w:r>
            <w:r w:rsidR="000D180E" w:rsidRPr="00C54DFE">
              <w:rPr>
                <w:color w:val="000000"/>
                <w:szCs w:val="20"/>
                <w:vertAlign w:val="superscript"/>
              </w:rPr>
              <w:t>5</w:t>
            </w:r>
          </w:p>
        </w:tc>
        <w:tc>
          <w:tcPr>
            <w:tcW w:w="647" w:type="pct"/>
            <w:shd w:val="clear" w:color="auto" w:fill="auto"/>
          </w:tcPr>
          <w:p w14:paraId="19665EF6" w14:textId="69D369B0" w:rsidR="00811E0E" w:rsidRPr="000D180E" w:rsidRDefault="00703E69" w:rsidP="00CF047E">
            <w:pPr>
              <w:pStyle w:val="TableText0"/>
              <w:jc w:val="center"/>
              <w:rPr>
                <w:color w:val="000000"/>
                <w:highlight w:val="yellow"/>
                <w:vertAlign w:val="superscript"/>
              </w:rPr>
            </w:pPr>
            <w:r w:rsidRPr="005C48AC">
              <w:rPr>
                <w:rFonts w:hint="eastAsia"/>
                <w:color w:val="000000"/>
                <w:w w:val="15"/>
                <w:szCs w:val="20"/>
                <w:shd w:val="solid" w:color="000000" w:fill="000000"/>
                <w:fitText w:val="10" w:id="-1492481278"/>
                <w14:textFill>
                  <w14:solidFill>
                    <w14:srgbClr w14:val="000000">
                      <w14:alpha w14:val="100000"/>
                    </w14:srgbClr>
                  </w14:solidFill>
                </w14:textFill>
              </w:rPr>
              <w:t xml:space="preserve">　</w:t>
            </w:r>
            <w:r w:rsidRPr="005C48AC">
              <w:rPr>
                <w:color w:val="000000"/>
                <w:w w:val="15"/>
                <w:szCs w:val="20"/>
                <w:shd w:val="solid" w:color="000000" w:fill="000000"/>
                <w:fitText w:val="10" w:id="-1492481278"/>
                <w14:textFill>
                  <w14:solidFill>
                    <w14:srgbClr w14:val="000000">
                      <w14:alpha w14:val="100000"/>
                    </w14:srgbClr>
                  </w14:solidFill>
                </w14:textFill>
              </w:rPr>
              <w:t>|</w:t>
            </w:r>
            <w:r w:rsidRPr="005C48AC">
              <w:rPr>
                <w:rFonts w:hint="eastAsia"/>
                <w:color w:val="000000"/>
                <w:spacing w:val="-56"/>
                <w:w w:val="15"/>
                <w:szCs w:val="20"/>
                <w:shd w:val="solid" w:color="000000" w:fill="000000"/>
                <w:fitText w:val="10" w:id="-1492481278"/>
                <w14:textFill>
                  <w14:solidFill>
                    <w14:srgbClr w14:val="000000">
                      <w14:alpha w14:val="100000"/>
                    </w14:srgbClr>
                  </w14:solidFill>
                </w14:textFill>
              </w:rPr>
              <w:t xml:space="preserve">　</w:t>
            </w:r>
            <w:r w:rsidR="000D180E" w:rsidRPr="00C54DFE">
              <w:rPr>
                <w:color w:val="000000"/>
                <w:szCs w:val="20"/>
                <w:vertAlign w:val="superscript"/>
              </w:rPr>
              <w:t>5</w:t>
            </w:r>
          </w:p>
        </w:tc>
        <w:tc>
          <w:tcPr>
            <w:tcW w:w="647" w:type="pct"/>
            <w:shd w:val="clear" w:color="auto" w:fill="auto"/>
          </w:tcPr>
          <w:p w14:paraId="0755B965" w14:textId="13266F3F" w:rsidR="00811E0E" w:rsidRPr="000D180E" w:rsidRDefault="00703E69" w:rsidP="00CF047E">
            <w:pPr>
              <w:pStyle w:val="TableText0"/>
              <w:jc w:val="center"/>
              <w:rPr>
                <w:color w:val="000000"/>
                <w:highlight w:val="yellow"/>
                <w:vertAlign w:val="superscript"/>
              </w:rPr>
            </w:pPr>
            <w:r w:rsidRPr="005C48AC">
              <w:rPr>
                <w:rFonts w:hint="eastAsia"/>
                <w:color w:val="000000"/>
                <w:w w:val="15"/>
                <w:szCs w:val="20"/>
                <w:shd w:val="solid" w:color="000000" w:fill="000000"/>
                <w:fitText w:val="10" w:id="-1492481277"/>
                <w14:textFill>
                  <w14:solidFill>
                    <w14:srgbClr w14:val="000000">
                      <w14:alpha w14:val="100000"/>
                    </w14:srgbClr>
                  </w14:solidFill>
                </w14:textFill>
              </w:rPr>
              <w:t xml:space="preserve">　</w:t>
            </w:r>
            <w:r w:rsidRPr="005C48AC">
              <w:rPr>
                <w:color w:val="000000"/>
                <w:w w:val="15"/>
                <w:szCs w:val="20"/>
                <w:shd w:val="solid" w:color="000000" w:fill="000000"/>
                <w:fitText w:val="10" w:id="-1492481277"/>
                <w14:textFill>
                  <w14:solidFill>
                    <w14:srgbClr w14:val="000000">
                      <w14:alpha w14:val="100000"/>
                    </w14:srgbClr>
                  </w14:solidFill>
                </w14:textFill>
              </w:rPr>
              <w:t>|</w:t>
            </w:r>
            <w:r w:rsidRPr="005C48AC">
              <w:rPr>
                <w:rFonts w:hint="eastAsia"/>
                <w:color w:val="000000"/>
                <w:spacing w:val="-56"/>
                <w:w w:val="15"/>
                <w:szCs w:val="20"/>
                <w:shd w:val="solid" w:color="000000" w:fill="000000"/>
                <w:fitText w:val="10" w:id="-1492481277"/>
                <w14:textFill>
                  <w14:solidFill>
                    <w14:srgbClr w14:val="000000">
                      <w14:alpha w14:val="100000"/>
                    </w14:srgbClr>
                  </w14:solidFill>
                </w14:textFill>
              </w:rPr>
              <w:t xml:space="preserve">　</w:t>
            </w:r>
            <w:r w:rsidR="000D180E" w:rsidRPr="00C54DFE">
              <w:rPr>
                <w:color w:val="000000"/>
                <w:szCs w:val="20"/>
                <w:vertAlign w:val="superscript"/>
              </w:rPr>
              <w:t>5</w:t>
            </w:r>
          </w:p>
        </w:tc>
        <w:tc>
          <w:tcPr>
            <w:tcW w:w="647" w:type="pct"/>
            <w:shd w:val="clear" w:color="auto" w:fill="auto"/>
          </w:tcPr>
          <w:p w14:paraId="7EB609BD" w14:textId="128F7F9F" w:rsidR="00811E0E" w:rsidRPr="000D180E" w:rsidRDefault="00703E69" w:rsidP="00CF047E">
            <w:pPr>
              <w:pStyle w:val="TableText0"/>
              <w:jc w:val="center"/>
              <w:rPr>
                <w:color w:val="000000"/>
                <w:highlight w:val="yellow"/>
                <w:vertAlign w:val="superscript"/>
              </w:rPr>
            </w:pPr>
            <w:r w:rsidRPr="005C48AC">
              <w:rPr>
                <w:rFonts w:hint="eastAsia"/>
                <w:color w:val="000000"/>
                <w:w w:val="15"/>
                <w:szCs w:val="20"/>
                <w:shd w:val="solid" w:color="000000" w:fill="000000"/>
                <w:fitText w:val="10" w:id="-1492481276"/>
                <w14:textFill>
                  <w14:solidFill>
                    <w14:srgbClr w14:val="000000">
                      <w14:alpha w14:val="100000"/>
                    </w14:srgbClr>
                  </w14:solidFill>
                </w14:textFill>
              </w:rPr>
              <w:t xml:space="preserve">　</w:t>
            </w:r>
            <w:r w:rsidRPr="005C48AC">
              <w:rPr>
                <w:color w:val="000000"/>
                <w:w w:val="15"/>
                <w:szCs w:val="20"/>
                <w:shd w:val="solid" w:color="000000" w:fill="000000"/>
                <w:fitText w:val="10" w:id="-1492481276"/>
                <w14:textFill>
                  <w14:solidFill>
                    <w14:srgbClr w14:val="000000">
                      <w14:alpha w14:val="100000"/>
                    </w14:srgbClr>
                  </w14:solidFill>
                </w14:textFill>
              </w:rPr>
              <w:t>|</w:t>
            </w:r>
            <w:r w:rsidRPr="005C48AC">
              <w:rPr>
                <w:rFonts w:hint="eastAsia"/>
                <w:color w:val="000000"/>
                <w:spacing w:val="-56"/>
                <w:w w:val="15"/>
                <w:szCs w:val="20"/>
                <w:shd w:val="solid" w:color="000000" w:fill="000000"/>
                <w:fitText w:val="10" w:id="-1492481276"/>
                <w14:textFill>
                  <w14:solidFill>
                    <w14:srgbClr w14:val="000000">
                      <w14:alpha w14:val="100000"/>
                    </w14:srgbClr>
                  </w14:solidFill>
                </w14:textFill>
              </w:rPr>
              <w:t xml:space="preserve">　</w:t>
            </w:r>
            <w:r w:rsidR="000D180E" w:rsidRPr="00C54DFE">
              <w:rPr>
                <w:color w:val="000000"/>
                <w:szCs w:val="20"/>
                <w:vertAlign w:val="superscript"/>
              </w:rPr>
              <w:t>5</w:t>
            </w:r>
          </w:p>
        </w:tc>
        <w:tc>
          <w:tcPr>
            <w:tcW w:w="649" w:type="pct"/>
          </w:tcPr>
          <w:p w14:paraId="28A0A4C0" w14:textId="39882C58" w:rsidR="00811E0E" w:rsidRPr="000D180E" w:rsidRDefault="00703E69" w:rsidP="00CF047E">
            <w:pPr>
              <w:pStyle w:val="TableText0"/>
              <w:jc w:val="center"/>
              <w:rPr>
                <w:color w:val="000000"/>
                <w:highlight w:val="yellow"/>
                <w:vertAlign w:val="superscript"/>
              </w:rPr>
            </w:pPr>
            <w:r w:rsidRPr="005C48AC">
              <w:rPr>
                <w:rFonts w:hint="eastAsia"/>
                <w:color w:val="000000"/>
                <w:w w:val="15"/>
                <w:szCs w:val="20"/>
                <w:shd w:val="solid" w:color="000000" w:fill="000000"/>
                <w:fitText w:val="20" w:id="-1492481275"/>
                <w14:textFill>
                  <w14:solidFill>
                    <w14:srgbClr w14:val="000000">
                      <w14:alpha w14:val="100000"/>
                    </w14:srgbClr>
                  </w14:solidFill>
                </w14:textFill>
              </w:rPr>
              <w:t xml:space="preserve">　</w:t>
            </w:r>
            <w:r w:rsidRPr="005C48AC">
              <w:rPr>
                <w:color w:val="000000"/>
                <w:w w:val="15"/>
                <w:szCs w:val="20"/>
                <w:shd w:val="solid" w:color="000000" w:fill="000000"/>
                <w:fitText w:val="20" w:id="-1492481275"/>
                <w14:textFill>
                  <w14:solidFill>
                    <w14:srgbClr w14:val="000000">
                      <w14:alpha w14:val="100000"/>
                    </w14:srgbClr>
                  </w14:solidFill>
                </w14:textFill>
              </w:rPr>
              <w:t>|</w:t>
            </w:r>
            <w:r w:rsidRPr="005C48AC">
              <w:rPr>
                <w:rFonts w:hint="eastAsia"/>
                <w:color w:val="000000"/>
                <w:spacing w:val="-46"/>
                <w:w w:val="15"/>
                <w:szCs w:val="20"/>
                <w:shd w:val="solid" w:color="000000" w:fill="000000"/>
                <w:fitText w:val="20" w:id="-1492481275"/>
                <w14:textFill>
                  <w14:solidFill>
                    <w14:srgbClr w14:val="000000">
                      <w14:alpha w14:val="100000"/>
                    </w14:srgbClr>
                  </w14:solidFill>
                </w14:textFill>
              </w:rPr>
              <w:t xml:space="preserve">　</w:t>
            </w:r>
            <w:r w:rsidR="000D180E" w:rsidRPr="00C54DFE">
              <w:rPr>
                <w:color w:val="000000"/>
                <w:szCs w:val="20"/>
                <w:vertAlign w:val="superscript"/>
              </w:rPr>
              <w:t>5</w:t>
            </w:r>
          </w:p>
        </w:tc>
      </w:tr>
      <w:tr w:rsidR="00811E0E" w:rsidRPr="00E96E9F" w14:paraId="61503DDE" w14:textId="77777777" w:rsidTr="00CF047E">
        <w:tc>
          <w:tcPr>
            <w:tcW w:w="1116" w:type="pct"/>
            <w:shd w:val="clear" w:color="auto" w:fill="auto"/>
            <w:vAlign w:val="center"/>
          </w:tcPr>
          <w:p w14:paraId="023EF776" w14:textId="2007C917" w:rsidR="00811E0E" w:rsidRPr="00E96E9F" w:rsidRDefault="00811E0E" w:rsidP="00CF047E">
            <w:pPr>
              <w:pStyle w:val="TableText0"/>
              <w:rPr>
                <w:rFonts w:ascii="Times" w:hAnsi="Times"/>
              </w:rPr>
            </w:pPr>
            <w:r w:rsidRPr="00E96E9F">
              <w:t>Number</w:t>
            </w:r>
            <w:r w:rsidR="00F96B2F" w:rsidRPr="00E96E9F">
              <w:t xml:space="preserve"> </w:t>
            </w:r>
            <w:r w:rsidRPr="00E96E9F">
              <w:t>of</w:t>
            </w:r>
            <w:r w:rsidR="00F96B2F" w:rsidRPr="00E96E9F">
              <w:t xml:space="preserve"> </w:t>
            </w:r>
            <w:r w:rsidRPr="00E96E9F">
              <w:t>scripts</w:t>
            </w:r>
            <w:r w:rsidR="00F96B2F" w:rsidRPr="00E96E9F">
              <w:t xml:space="preserve"> </w:t>
            </w:r>
            <w:r w:rsidRPr="00E96E9F">
              <w:t>dispensed</w:t>
            </w:r>
          </w:p>
        </w:tc>
        <w:tc>
          <w:tcPr>
            <w:tcW w:w="647" w:type="pct"/>
            <w:shd w:val="clear" w:color="auto" w:fill="auto"/>
          </w:tcPr>
          <w:p w14:paraId="44A827AF" w14:textId="51A0ECEB" w:rsidR="00811E0E" w:rsidRPr="00CB0865" w:rsidRDefault="00703E69" w:rsidP="00CF047E">
            <w:pPr>
              <w:pStyle w:val="TableText0"/>
              <w:jc w:val="center"/>
              <w:rPr>
                <w:color w:val="000000"/>
                <w:highlight w:val="yellow"/>
              </w:rPr>
            </w:pPr>
            <w:r w:rsidRPr="005C48AC">
              <w:rPr>
                <w:rFonts w:hint="eastAsia"/>
                <w:color w:val="000000"/>
                <w:w w:val="15"/>
                <w:shd w:val="solid" w:color="000000" w:fill="000000"/>
                <w:fitText w:val="10" w:id="-1492481274"/>
                <w14:textFill>
                  <w14:solidFill>
                    <w14:srgbClr w14:val="000000">
                      <w14:alpha w14:val="100000"/>
                    </w14:srgbClr>
                  </w14:solidFill>
                </w14:textFill>
              </w:rPr>
              <w:t xml:space="preserve">　</w:t>
            </w:r>
            <w:r w:rsidRPr="005C48AC">
              <w:rPr>
                <w:color w:val="000000"/>
                <w:w w:val="15"/>
                <w:shd w:val="solid" w:color="000000" w:fill="000000"/>
                <w:fitText w:val="10" w:id="-1492481274"/>
                <w14:textFill>
                  <w14:solidFill>
                    <w14:srgbClr w14:val="000000">
                      <w14:alpha w14:val="100000"/>
                    </w14:srgbClr>
                  </w14:solidFill>
                </w14:textFill>
              </w:rPr>
              <w:t>|</w:t>
            </w:r>
            <w:r w:rsidRPr="005C48AC">
              <w:rPr>
                <w:rFonts w:hint="eastAsia"/>
                <w:color w:val="000000"/>
                <w:spacing w:val="-56"/>
                <w:w w:val="15"/>
                <w:shd w:val="solid" w:color="000000" w:fill="000000"/>
                <w:fitText w:val="10" w:id="-1492481274"/>
                <w14:textFill>
                  <w14:solidFill>
                    <w14:srgbClr w14:val="000000">
                      <w14:alpha w14:val="100000"/>
                    </w14:srgbClr>
                  </w14:solidFill>
                </w14:textFill>
              </w:rPr>
              <w:t xml:space="preserve">　</w:t>
            </w:r>
            <w:r w:rsidR="000D180E" w:rsidRPr="00C54DFE">
              <w:rPr>
                <w:vertAlign w:val="superscript"/>
              </w:rPr>
              <w:t>2</w:t>
            </w:r>
            <w:r w:rsidR="00F96B2F" w:rsidRPr="00C54DFE">
              <w:t xml:space="preserve"> </w:t>
            </w:r>
          </w:p>
        </w:tc>
        <w:tc>
          <w:tcPr>
            <w:tcW w:w="647" w:type="pct"/>
            <w:shd w:val="clear" w:color="auto" w:fill="auto"/>
          </w:tcPr>
          <w:p w14:paraId="020738CD" w14:textId="210DF4D8" w:rsidR="00811E0E" w:rsidRPr="000D180E" w:rsidRDefault="00703E69" w:rsidP="00CF047E">
            <w:pPr>
              <w:pStyle w:val="TableText0"/>
              <w:jc w:val="center"/>
              <w:rPr>
                <w:color w:val="000000"/>
                <w:highlight w:val="yellow"/>
                <w:vertAlign w:val="superscript"/>
              </w:rPr>
            </w:pPr>
            <w:r w:rsidRPr="005C48AC">
              <w:rPr>
                <w:rFonts w:hint="eastAsia"/>
                <w:color w:val="000000"/>
                <w:w w:val="15"/>
                <w:shd w:val="solid" w:color="000000" w:fill="000000"/>
                <w:fitText w:val="10" w:id="-1492481273"/>
                <w14:textFill>
                  <w14:solidFill>
                    <w14:srgbClr w14:val="000000">
                      <w14:alpha w14:val="100000"/>
                    </w14:srgbClr>
                  </w14:solidFill>
                </w14:textFill>
              </w:rPr>
              <w:t xml:space="preserve">　</w:t>
            </w:r>
            <w:r w:rsidRPr="005C48AC">
              <w:rPr>
                <w:color w:val="000000"/>
                <w:w w:val="15"/>
                <w:shd w:val="solid" w:color="000000" w:fill="000000"/>
                <w:fitText w:val="10" w:id="-1492481273"/>
                <w14:textFill>
                  <w14:solidFill>
                    <w14:srgbClr w14:val="000000">
                      <w14:alpha w14:val="100000"/>
                    </w14:srgbClr>
                  </w14:solidFill>
                </w14:textFill>
              </w:rPr>
              <w:t>|</w:t>
            </w:r>
            <w:r w:rsidRPr="005C48AC">
              <w:rPr>
                <w:rFonts w:hint="eastAsia"/>
                <w:color w:val="000000"/>
                <w:spacing w:val="-56"/>
                <w:w w:val="15"/>
                <w:shd w:val="solid" w:color="000000" w:fill="000000"/>
                <w:fitText w:val="10" w:id="-1492481273"/>
                <w14:textFill>
                  <w14:solidFill>
                    <w14:srgbClr w14:val="000000">
                      <w14:alpha w14:val="100000"/>
                    </w14:srgbClr>
                  </w14:solidFill>
                </w14:textFill>
              </w:rPr>
              <w:t xml:space="preserve">　</w:t>
            </w:r>
            <w:r w:rsidR="000D180E" w:rsidRPr="00C54DFE">
              <w:rPr>
                <w:vertAlign w:val="superscript"/>
              </w:rPr>
              <w:t>6</w:t>
            </w:r>
          </w:p>
        </w:tc>
        <w:tc>
          <w:tcPr>
            <w:tcW w:w="647" w:type="pct"/>
            <w:shd w:val="clear" w:color="auto" w:fill="auto"/>
          </w:tcPr>
          <w:p w14:paraId="6A1ABAE1" w14:textId="6F045AD5" w:rsidR="00811E0E" w:rsidRPr="00CB0865" w:rsidRDefault="00703E69" w:rsidP="00CF047E">
            <w:pPr>
              <w:pStyle w:val="TableText0"/>
              <w:jc w:val="center"/>
              <w:rPr>
                <w:color w:val="000000"/>
                <w:highlight w:val="yellow"/>
              </w:rPr>
            </w:pPr>
            <w:r w:rsidRPr="005C48AC">
              <w:rPr>
                <w:rFonts w:hint="eastAsia"/>
                <w:color w:val="000000"/>
                <w:w w:val="15"/>
                <w:shd w:val="solid" w:color="000000" w:fill="000000"/>
                <w:fitText w:val="10" w:id="-1492481272"/>
                <w14:textFill>
                  <w14:solidFill>
                    <w14:srgbClr w14:val="000000">
                      <w14:alpha w14:val="100000"/>
                    </w14:srgbClr>
                  </w14:solidFill>
                </w14:textFill>
              </w:rPr>
              <w:t xml:space="preserve">　</w:t>
            </w:r>
            <w:r w:rsidRPr="005C48AC">
              <w:rPr>
                <w:color w:val="000000"/>
                <w:w w:val="15"/>
                <w:shd w:val="solid" w:color="000000" w:fill="000000"/>
                <w:fitText w:val="10" w:id="-1492481272"/>
                <w14:textFill>
                  <w14:solidFill>
                    <w14:srgbClr w14:val="000000">
                      <w14:alpha w14:val="100000"/>
                    </w14:srgbClr>
                  </w14:solidFill>
                </w14:textFill>
              </w:rPr>
              <w:t>|</w:t>
            </w:r>
            <w:r w:rsidRPr="005C48AC">
              <w:rPr>
                <w:rFonts w:hint="eastAsia"/>
                <w:color w:val="000000"/>
                <w:spacing w:val="-56"/>
                <w:w w:val="15"/>
                <w:shd w:val="solid" w:color="000000" w:fill="000000"/>
                <w:fitText w:val="10" w:id="-1492481272"/>
                <w14:textFill>
                  <w14:solidFill>
                    <w14:srgbClr w14:val="000000">
                      <w14:alpha w14:val="100000"/>
                    </w14:srgbClr>
                  </w14:solidFill>
                </w14:textFill>
              </w:rPr>
              <w:t xml:space="preserve">　</w:t>
            </w:r>
            <w:r w:rsidR="000D180E" w:rsidRPr="00C54DFE">
              <w:rPr>
                <w:vertAlign w:val="superscript"/>
              </w:rPr>
              <w:t>6</w:t>
            </w:r>
          </w:p>
        </w:tc>
        <w:tc>
          <w:tcPr>
            <w:tcW w:w="647" w:type="pct"/>
            <w:shd w:val="clear" w:color="auto" w:fill="auto"/>
          </w:tcPr>
          <w:p w14:paraId="1E80429A" w14:textId="50C06736" w:rsidR="00811E0E" w:rsidRPr="00CB0865" w:rsidRDefault="00703E69" w:rsidP="00CF047E">
            <w:pPr>
              <w:pStyle w:val="TableText0"/>
              <w:jc w:val="center"/>
              <w:rPr>
                <w:color w:val="000000"/>
                <w:highlight w:val="yellow"/>
              </w:rPr>
            </w:pPr>
            <w:r w:rsidRPr="005C48AC">
              <w:rPr>
                <w:rFonts w:hint="eastAsia"/>
                <w:color w:val="000000"/>
                <w:w w:val="15"/>
                <w:shd w:val="solid" w:color="000000" w:fill="000000"/>
                <w:fitText w:val="10" w:id="-1492481271"/>
                <w14:textFill>
                  <w14:solidFill>
                    <w14:srgbClr w14:val="000000">
                      <w14:alpha w14:val="100000"/>
                    </w14:srgbClr>
                  </w14:solidFill>
                </w14:textFill>
              </w:rPr>
              <w:t xml:space="preserve">　</w:t>
            </w:r>
            <w:r w:rsidRPr="005C48AC">
              <w:rPr>
                <w:color w:val="000000"/>
                <w:w w:val="15"/>
                <w:shd w:val="solid" w:color="000000" w:fill="000000"/>
                <w:fitText w:val="10" w:id="-1492481271"/>
                <w14:textFill>
                  <w14:solidFill>
                    <w14:srgbClr w14:val="000000">
                      <w14:alpha w14:val="100000"/>
                    </w14:srgbClr>
                  </w14:solidFill>
                </w14:textFill>
              </w:rPr>
              <w:t>|</w:t>
            </w:r>
            <w:r w:rsidRPr="005C48AC">
              <w:rPr>
                <w:rFonts w:hint="eastAsia"/>
                <w:color w:val="000000"/>
                <w:spacing w:val="-56"/>
                <w:w w:val="15"/>
                <w:shd w:val="solid" w:color="000000" w:fill="000000"/>
                <w:fitText w:val="10" w:id="-1492481271"/>
                <w14:textFill>
                  <w14:solidFill>
                    <w14:srgbClr w14:val="000000">
                      <w14:alpha w14:val="100000"/>
                    </w14:srgbClr>
                  </w14:solidFill>
                </w14:textFill>
              </w:rPr>
              <w:t xml:space="preserve">　</w:t>
            </w:r>
            <w:r w:rsidR="000D180E" w:rsidRPr="00C54DFE">
              <w:rPr>
                <w:vertAlign w:val="superscript"/>
              </w:rPr>
              <w:t>6</w:t>
            </w:r>
          </w:p>
        </w:tc>
        <w:tc>
          <w:tcPr>
            <w:tcW w:w="647" w:type="pct"/>
            <w:shd w:val="clear" w:color="auto" w:fill="auto"/>
          </w:tcPr>
          <w:p w14:paraId="3987D7E6" w14:textId="61196635" w:rsidR="00811E0E" w:rsidRPr="00CB0865" w:rsidRDefault="00703E69" w:rsidP="00CF047E">
            <w:pPr>
              <w:pStyle w:val="TableText0"/>
              <w:jc w:val="center"/>
              <w:rPr>
                <w:color w:val="000000"/>
                <w:highlight w:val="yellow"/>
              </w:rPr>
            </w:pPr>
            <w:r w:rsidRPr="005C48AC">
              <w:rPr>
                <w:rFonts w:hint="eastAsia"/>
                <w:color w:val="000000"/>
                <w:w w:val="15"/>
                <w:shd w:val="solid" w:color="000000" w:fill="000000"/>
                <w:fitText w:val="10" w:id="-1492481270"/>
                <w14:textFill>
                  <w14:solidFill>
                    <w14:srgbClr w14:val="000000">
                      <w14:alpha w14:val="100000"/>
                    </w14:srgbClr>
                  </w14:solidFill>
                </w14:textFill>
              </w:rPr>
              <w:t xml:space="preserve">　</w:t>
            </w:r>
            <w:r w:rsidRPr="005C48AC">
              <w:rPr>
                <w:color w:val="000000"/>
                <w:w w:val="15"/>
                <w:shd w:val="solid" w:color="000000" w:fill="000000"/>
                <w:fitText w:val="10" w:id="-1492481270"/>
                <w14:textFill>
                  <w14:solidFill>
                    <w14:srgbClr w14:val="000000">
                      <w14:alpha w14:val="100000"/>
                    </w14:srgbClr>
                  </w14:solidFill>
                </w14:textFill>
              </w:rPr>
              <w:t>|</w:t>
            </w:r>
            <w:r w:rsidRPr="005C48AC">
              <w:rPr>
                <w:rFonts w:hint="eastAsia"/>
                <w:color w:val="000000"/>
                <w:spacing w:val="-56"/>
                <w:w w:val="15"/>
                <w:shd w:val="solid" w:color="000000" w:fill="000000"/>
                <w:fitText w:val="10" w:id="-1492481270"/>
                <w14:textFill>
                  <w14:solidFill>
                    <w14:srgbClr w14:val="000000">
                      <w14:alpha w14:val="100000"/>
                    </w14:srgbClr>
                  </w14:solidFill>
                </w14:textFill>
              </w:rPr>
              <w:t xml:space="preserve">　</w:t>
            </w:r>
            <w:r w:rsidR="000D180E" w:rsidRPr="00C54DFE">
              <w:rPr>
                <w:vertAlign w:val="superscript"/>
              </w:rPr>
              <w:t>8</w:t>
            </w:r>
          </w:p>
        </w:tc>
        <w:tc>
          <w:tcPr>
            <w:tcW w:w="649" w:type="pct"/>
          </w:tcPr>
          <w:p w14:paraId="2B72771C" w14:textId="261199EB" w:rsidR="00811E0E" w:rsidRPr="00CB0865" w:rsidRDefault="00703E69" w:rsidP="00CF047E">
            <w:pPr>
              <w:pStyle w:val="TableText0"/>
              <w:jc w:val="center"/>
              <w:rPr>
                <w:color w:val="000000"/>
                <w:highlight w:val="yellow"/>
              </w:rPr>
            </w:pPr>
            <w:r w:rsidRPr="005C48AC">
              <w:rPr>
                <w:rFonts w:hint="eastAsia"/>
                <w:color w:val="000000"/>
                <w:w w:val="15"/>
                <w:shd w:val="solid" w:color="000000" w:fill="000000"/>
                <w:fitText w:val="20" w:id="-1492481269"/>
                <w14:textFill>
                  <w14:solidFill>
                    <w14:srgbClr w14:val="000000">
                      <w14:alpha w14:val="100000"/>
                    </w14:srgbClr>
                  </w14:solidFill>
                </w14:textFill>
              </w:rPr>
              <w:t xml:space="preserve">　</w:t>
            </w:r>
            <w:r w:rsidRPr="005C48AC">
              <w:rPr>
                <w:color w:val="000000"/>
                <w:w w:val="15"/>
                <w:shd w:val="solid" w:color="000000" w:fill="000000"/>
                <w:fitText w:val="20" w:id="-1492481269"/>
                <w14:textFill>
                  <w14:solidFill>
                    <w14:srgbClr w14:val="000000">
                      <w14:alpha w14:val="100000"/>
                    </w14:srgbClr>
                  </w14:solidFill>
                </w14:textFill>
              </w:rPr>
              <w:t>|</w:t>
            </w:r>
            <w:r w:rsidRPr="005C48AC">
              <w:rPr>
                <w:rFonts w:hint="eastAsia"/>
                <w:color w:val="000000"/>
                <w:spacing w:val="-46"/>
                <w:w w:val="15"/>
                <w:shd w:val="solid" w:color="000000" w:fill="000000"/>
                <w:fitText w:val="20" w:id="-1492481269"/>
                <w14:textFill>
                  <w14:solidFill>
                    <w14:srgbClr w14:val="000000">
                      <w14:alpha w14:val="100000"/>
                    </w14:srgbClr>
                  </w14:solidFill>
                </w14:textFill>
              </w:rPr>
              <w:t xml:space="preserve">　</w:t>
            </w:r>
            <w:r w:rsidR="000D180E" w:rsidRPr="00C54DFE">
              <w:rPr>
                <w:vertAlign w:val="superscript"/>
              </w:rPr>
              <w:t>8</w:t>
            </w:r>
          </w:p>
        </w:tc>
      </w:tr>
      <w:tr w:rsidR="00811E0E" w:rsidRPr="00E96E9F" w14:paraId="7EF80E91" w14:textId="77777777" w:rsidTr="00CF047E">
        <w:tc>
          <w:tcPr>
            <w:tcW w:w="5000" w:type="pct"/>
            <w:gridSpan w:val="7"/>
            <w:shd w:val="clear" w:color="auto" w:fill="auto"/>
            <w:vAlign w:val="center"/>
          </w:tcPr>
          <w:p w14:paraId="5E625F8A" w14:textId="0FE70D65" w:rsidR="00811E0E" w:rsidRPr="00E96E9F" w:rsidRDefault="00811E0E" w:rsidP="00CF047E">
            <w:pPr>
              <w:pStyle w:val="In-tableHeading"/>
              <w:rPr>
                <w:lang w:val="en-AU"/>
              </w:rPr>
            </w:pPr>
            <w:r w:rsidRPr="00E96E9F">
              <w:rPr>
                <w:lang w:val="en-AU"/>
              </w:rPr>
              <w:t>Estimated</w:t>
            </w:r>
            <w:r w:rsidR="00F96B2F" w:rsidRPr="00E96E9F">
              <w:rPr>
                <w:lang w:val="en-AU"/>
              </w:rPr>
              <w:t xml:space="preserve"> </w:t>
            </w:r>
            <w:r w:rsidRPr="00E96E9F">
              <w:rPr>
                <w:lang w:val="en-AU"/>
              </w:rPr>
              <w:t>financial</w:t>
            </w:r>
            <w:r w:rsidR="00F96B2F" w:rsidRPr="00E96E9F">
              <w:rPr>
                <w:lang w:val="en-AU"/>
              </w:rPr>
              <w:t xml:space="preserve"> </w:t>
            </w:r>
            <w:r w:rsidRPr="00E96E9F">
              <w:rPr>
                <w:lang w:val="en-AU"/>
              </w:rPr>
              <w:t>implications</w:t>
            </w:r>
            <w:r w:rsidR="00F96B2F" w:rsidRPr="00E96E9F">
              <w:rPr>
                <w:lang w:val="en-AU"/>
              </w:rPr>
              <w:t xml:space="preserve"> </w:t>
            </w:r>
            <w:r w:rsidRPr="00E96E9F">
              <w:rPr>
                <w:lang w:val="en-AU"/>
              </w:rPr>
              <w:t>of</w:t>
            </w:r>
            <w:r w:rsidR="00F96B2F" w:rsidRPr="00E96E9F">
              <w:rPr>
                <w:lang w:val="en-AU"/>
              </w:rPr>
              <w:t xml:space="preserve"> </w:t>
            </w:r>
            <w:proofErr w:type="spellStart"/>
            <w:r w:rsidRPr="00E96E9F">
              <w:rPr>
                <w:lang w:val="en-AU"/>
              </w:rPr>
              <w:t>somatrogon</w:t>
            </w:r>
            <w:proofErr w:type="spellEnd"/>
          </w:p>
        </w:tc>
      </w:tr>
      <w:tr w:rsidR="00811E0E" w:rsidRPr="00E96E9F" w14:paraId="13BDA9D5" w14:textId="77777777" w:rsidTr="00CF047E">
        <w:tc>
          <w:tcPr>
            <w:tcW w:w="1116" w:type="pct"/>
            <w:shd w:val="clear" w:color="auto" w:fill="auto"/>
            <w:vAlign w:val="center"/>
          </w:tcPr>
          <w:p w14:paraId="0D53BDED" w14:textId="559C5131" w:rsidR="00811E0E" w:rsidRPr="00E96E9F" w:rsidRDefault="00811E0E" w:rsidP="00CF047E">
            <w:pPr>
              <w:pStyle w:val="TableText0"/>
              <w:rPr>
                <w:sz w:val="19"/>
                <w:szCs w:val="19"/>
              </w:rPr>
            </w:pPr>
            <w:r w:rsidRPr="00E96E9F">
              <w:rPr>
                <w:sz w:val="19"/>
                <w:szCs w:val="19"/>
              </w:rPr>
              <w:t>Cost</w:t>
            </w:r>
            <w:r w:rsidR="00F96B2F" w:rsidRPr="00E96E9F">
              <w:rPr>
                <w:sz w:val="19"/>
                <w:szCs w:val="19"/>
              </w:rPr>
              <w:t xml:space="preserve"> </w:t>
            </w:r>
            <w:r w:rsidRPr="00E96E9F">
              <w:rPr>
                <w:sz w:val="19"/>
                <w:szCs w:val="19"/>
              </w:rPr>
              <w:t>to</w:t>
            </w:r>
            <w:r w:rsidR="00F96B2F" w:rsidRPr="00E96E9F">
              <w:rPr>
                <w:sz w:val="19"/>
                <w:szCs w:val="19"/>
              </w:rPr>
              <w:t xml:space="preserve"> </w:t>
            </w:r>
            <w:r w:rsidRPr="00E96E9F">
              <w:rPr>
                <w:sz w:val="19"/>
                <w:szCs w:val="19"/>
              </w:rPr>
              <w:t>PBS/RPBS</w:t>
            </w:r>
            <w:r w:rsidR="00F96B2F" w:rsidRPr="00E96E9F">
              <w:rPr>
                <w:sz w:val="19"/>
                <w:szCs w:val="19"/>
              </w:rPr>
              <w:t xml:space="preserve"> </w:t>
            </w:r>
            <w:r w:rsidRPr="00E96E9F">
              <w:rPr>
                <w:sz w:val="19"/>
                <w:szCs w:val="19"/>
              </w:rPr>
              <w:t>less</w:t>
            </w:r>
            <w:r w:rsidR="00F96B2F" w:rsidRPr="00E96E9F">
              <w:rPr>
                <w:sz w:val="19"/>
                <w:szCs w:val="19"/>
              </w:rPr>
              <w:t xml:space="preserve"> </w:t>
            </w:r>
            <w:r w:rsidR="00CB4E93" w:rsidRPr="00E96E9F">
              <w:rPr>
                <w:sz w:val="19"/>
                <w:szCs w:val="19"/>
              </w:rPr>
              <w:t>co-payments</w:t>
            </w:r>
          </w:p>
        </w:tc>
        <w:tc>
          <w:tcPr>
            <w:tcW w:w="647" w:type="pct"/>
            <w:shd w:val="clear" w:color="auto" w:fill="auto"/>
          </w:tcPr>
          <w:p w14:paraId="60A9DA47" w14:textId="55A732FF" w:rsidR="00811E0E" w:rsidRPr="000D180E" w:rsidRDefault="00811E0E" w:rsidP="00CF047E">
            <w:pPr>
              <w:pStyle w:val="TableText0"/>
              <w:jc w:val="center"/>
              <w:rPr>
                <w:vertAlign w:val="superscript"/>
              </w:rPr>
            </w:pPr>
            <w:r w:rsidRPr="00E96E9F">
              <w:t>$</w:t>
            </w:r>
            <w:r w:rsidR="00703E69" w:rsidRPr="00703E69">
              <w:rPr>
                <w:rFonts w:hint="eastAsia"/>
                <w:color w:val="000000"/>
                <w:spacing w:val="9"/>
                <w:w w:val="15"/>
                <w:shd w:val="solid" w:color="000000" w:fill="000000"/>
                <w:fitText w:val="70" w:id="-1492481268"/>
                <w14:textFill>
                  <w14:solidFill>
                    <w14:srgbClr w14:val="000000">
                      <w14:alpha w14:val="100000"/>
                    </w14:srgbClr>
                  </w14:solidFill>
                </w14:textFill>
              </w:rPr>
              <w:t xml:space="preserve">　</w:t>
            </w:r>
            <w:r w:rsidR="00703E69" w:rsidRPr="00703E69">
              <w:rPr>
                <w:color w:val="000000"/>
                <w:w w:val="15"/>
                <w:shd w:val="solid" w:color="000000" w:fill="000000"/>
                <w:fitText w:val="70" w:id="-1492481268"/>
                <w14:textFill>
                  <w14:solidFill>
                    <w14:srgbClr w14:val="000000">
                      <w14:alpha w14:val="100000"/>
                    </w14:srgbClr>
                  </w14:solidFill>
                </w14:textFill>
              </w:rPr>
              <w:t>|</w:t>
            </w:r>
            <w:r w:rsidR="00703E69" w:rsidRPr="00703E69">
              <w:rPr>
                <w:rFonts w:hint="eastAsia"/>
                <w:color w:val="000000"/>
                <w:w w:val="15"/>
                <w:shd w:val="solid" w:color="000000" w:fill="000000"/>
                <w:fitText w:val="70" w:id="-1492481268"/>
                <w14:textFill>
                  <w14:solidFill>
                    <w14:srgbClr w14:val="000000">
                      <w14:alpha w14:val="100000"/>
                    </w14:srgbClr>
                  </w14:solidFill>
                </w14:textFill>
              </w:rPr>
              <w:t xml:space="preserve">　</w:t>
            </w:r>
            <w:r w:rsidR="000D180E">
              <w:rPr>
                <w:vertAlign w:val="superscript"/>
              </w:rPr>
              <w:t>3</w:t>
            </w:r>
          </w:p>
        </w:tc>
        <w:tc>
          <w:tcPr>
            <w:tcW w:w="647" w:type="pct"/>
            <w:shd w:val="clear" w:color="auto" w:fill="auto"/>
          </w:tcPr>
          <w:p w14:paraId="6F27C3EF" w14:textId="61949748" w:rsidR="00811E0E" w:rsidRPr="000D180E" w:rsidRDefault="00811E0E" w:rsidP="00CF047E">
            <w:pPr>
              <w:pStyle w:val="TableText0"/>
              <w:jc w:val="center"/>
              <w:rPr>
                <w:vertAlign w:val="superscript"/>
              </w:rPr>
            </w:pPr>
            <w:r w:rsidRPr="00E96E9F">
              <w:t>$</w:t>
            </w:r>
            <w:r w:rsidR="00703E69" w:rsidRPr="00703E69">
              <w:rPr>
                <w:rFonts w:hint="eastAsia"/>
                <w:color w:val="000000"/>
                <w:spacing w:val="9"/>
                <w:w w:val="15"/>
                <w:shd w:val="solid" w:color="000000" w:fill="000000"/>
                <w:fitText w:val="70" w:id="-1492481267"/>
                <w14:textFill>
                  <w14:solidFill>
                    <w14:srgbClr w14:val="000000">
                      <w14:alpha w14:val="100000"/>
                    </w14:srgbClr>
                  </w14:solidFill>
                </w14:textFill>
              </w:rPr>
              <w:t xml:space="preserve">　</w:t>
            </w:r>
            <w:r w:rsidR="00703E69" w:rsidRPr="00703E69">
              <w:rPr>
                <w:color w:val="000000"/>
                <w:w w:val="15"/>
                <w:shd w:val="solid" w:color="000000" w:fill="000000"/>
                <w:fitText w:val="70" w:id="-1492481267"/>
                <w14:textFill>
                  <w14:solidFill>
                    <w14:srgbClr w14:val="000000">
                      <w14:alpha w14:val="100000"/>
                    </w14:srgbClr>
                  </w14:solidFill>
                </w14:textFill>
              </w:rPr>
              <w:t>|</w:t>
            </w:r>
            <w:r w:rsidR="00703E69" w:rsidRPr="00703E69">
              <w:rPr>
                <w:rFonts w:hint="eastAsia"/>
                <w:color w:val="000000"/>
                <w:w w:val="15"/>
                <w:shd w:val="solid" w:color="000000" w:fill="000000"/>
                <w:fitText w:val="70" w:id="-1492481267"/>
                <w14:textFill>
                  <w14:solidFill>
                    <w14:srgbClr w14:val="000000">
                      <w14:alpha w14:val="100000"/>
                    </w14:srgbClr>
                  </w14:solidFill>
                </w14:textFill>
              </w:rPr>
              <w:t xml:space="preserve">　</w:t>
            </w:r>
            <w:r w:rsidR="000D180E">
              <w:rPr>
                <w:vertAlign w:val="superscript"/>
              </w:rPr>
              <w:t>7</w:t>
            </w:r>
          </w:p>
        </w:tc>
        <w:tc>
          <w:tcPr>
            <w:tcW w:w="647" w:type="pct"/>
            <w:shd w:val="clear" w:color="auto" w:fill="auto"/>
          </w:tcPr>
          <w:p w14:paraId="6394A879" w14:textId="133F0350" w:rsidR="00811E0E" w:rsidRPr="00F67BDE" w:rsidRDefault="00811E0E" w:rsidP="00CF047E">
            <w:pPr>
              <w:pStyle w:val="TableText0"/>
              <w:jc w:val="center"/>
              <w:rPr>
                <w:vertAlign w:val="superscript"/>
              </w:rPr>
            </w:pPr>
            <w:r w:rsidRPr="00E96E9F">
              <w:t>$</w:t>
            </w:r>
            <w:r w:rsidR="00703E69" w:rsidRPr="00703E69">
              <w:rPr>
                <w:rFonts w:hint="eastAsia"/>
                <w:color w:val="000000"/>
                <w:spacing w:val="9"/>
                <w:w w:val="15"/>
                <w:shd w:val="solid" w:color="000000" w:fill="000000"/>
                <w:fitText w:val="70" w:id="-1492481024"/>
                <w14:textFill>
                  <w14:solidFill>
                    <w14:srgbClr w14:val="000000">
                      <w14:alpha w14:val="100000"/>
                    </w14:srgbClr>
                  </w14:solidFill>
                </w14:textFill>
              </w:rPr>
              <w:t xml:space="preserve">　</w:t>
            </w:r>
            <w:r w:rsidR="00703E69" w:rsidRPr="00703E69">
              <w:rPr>
                <w:color w:val="000000"/>
                <w:w w:val="15"/>
                <w:shd w:val="solid" w:color="000000" w:fill="000000"/>
                <w:fitText w:val="70" w:id="-1492481024"/>
                <w14:textFill>
                  <w14:solidFill>
                    <w14:srgbClr w14:val="000000">
                      <w14:alpha w14:val="100000"/>
                    </w14:srgbClr>
                  </w14:solidFill>
                </w14:textFill>
              </w:rPr>
              <w:t>|</w:t>
            </w:r>
            <w:r w:rsidR="00703E69" w:rsidRPr="00703E69">
              <w:rPr>
                <w:rFonts w:hint="eastAsia"/>
                <w:color w:val="000000"/>
                <w:w w:val="15"/>
                <w:shd w:val="solid" w:color="000000" w:fill="000000"/>
                <w:fitText w:val="70" w:id="-1492481024"/>
                <w14:textFill>
                  <w14:solidFill>
                    <w14:srgbClr w14:val="000000">
                      <w14:alpha w14:val="100000"/>
                    </w14:srgbClr>
                  </w14:solidFill>
                </w14:textFill>
              </w:rPr>
              <w:t xml:space="preserve">　</w:t>
            </w:r>
            <w:r w:rsidR="00F67BDE">
              <w:rPr>
                <w:vertAlign w:val="superscript"/>
              </w:rPr>
              <w:t>7</w:t>
            </w:r>
          </w:p>
        </w:tc>
        <w:tc>
          <w:tcPr>
            <w:tcW w:w="647" w:type="pct"/>
            <w:shd w:val="clear" w:color="auto" w:fill="auto"/>
          </w:tcPr>
          <w:p w14:paraId="59102583" w14:textId="3689F03B" w:rsidR="00811E0E" w:rsidRPr="00F67BDE" w:rsidRDefault="00811E0E" w:rsidP="00CF047E">
            <w:pPr>
              <w:pStyle w:val="TableText0"/>
              <w:jc w:val="center"/>
              <w:rPr>
                <w:vertAlign w:val="superscript"/>
              </w:rPr>
            </w:pPr>
            <w:r w:rsidRPr="00E96E9F">
              <w:t>$</w:t>
            </w:r>
            <w:r w:rsidR="00703E69" w:rsidRPr="00703E69">
              <w:rPr>
                <w:rFonts w:hint="eastAsia"/>
                <w:color w:val="000000"/>
                <w:spacing w:val="9"/>
                <w:w w:val="15"/>
                <w:shd w:val="solid" w:color="000000" w:fill="000000"/>
                <w:fitText w:val="70" w:id="-1492481023"/>
                <w14:textFill>
                  <w14:solidFill>
                    <w14:srgbClr w14:val="000000">
                      <w14:alpha w14:val="100000"/>
                    </w14:srgbClr>
                  </w14:solidFill>
                </w14:textFill>
              </w:rPr>
              <w:t xml:space="preserve">　</w:t>
            </w:r>
            <w:r w:rsidR="00703E69" w:rsidRPr="00703E69">
              <w:rPr>
                <w:color w:val="000000"/>
                <w:w w:val="15"/>
                <w:shd w:val="solid" w:color="000000" w:fill="000000"/>
                <w:fitText w:val="70" w:id="-1492481023"/>
                <w14:textFill>
                  <w14:solidFill>
                    <w14:srgbClr w14:val="000000">
                      <w14:alpha w14:val="100000"/>
                    </w14:srgbClr>
                  </w14:solidFill>
                </w14:textFill>
              </w:rPr>
              <w:t>|</w:t>
            </w:r>
            <w:r w:rsidR="00703E69" w:rsidRPr="00703E69">
              <w:rPr>
                <w:rFonts w:hint="eastAsia"/>
                <w:color w:val="000000"/>
                <w:w w:val="15"/>
                <w:shd w:val="solid" w:color="000000" w:fill="000000"/>
                <w:fitText w:val="70" w:id="-1492481023"/>
                <w14:textFill>
                  <w14:solidFill>
                    <w14:srgbClr w14:val="000000">
                      <w14:alpha w14:val="100000"/>
                    </w14:srgbClr>
                  </w14:solidFill>
                </w14:textFill>
              </w:rPr>
              <w:t xml:space="preserve">　</w:t>
            </w:r>
            <w:r w:rsidR="00F67BDE">
              <w:rPr>
                <w:vertAlign w:val="superscript"/>
              </w:rPr>
              <w:t>7</w:t>
            </w:r>
          </w:p>
        </w:tc>
        <w:tc>
          <w:tcPr>
            <w:tcW w:w="647" w:type="pct"/>
            <w:shd w:val="clear" w:color="auto" w:fill="auto"/>
          </w:tcPr>
          <w:p w14:paraId="5B7C0095" w14:textId="2C5621BB" w:rsidR="00811E0E" w:rsidRPr="00F67BDE" w:rsidRDefault="00811E0E" w:rsidP="00CF047E">
            <w:pPr>
              <w:pStyle w:val="TableText0"/>
              <w:jc w:val="center"/>
              <w:rPr>
                <w:vertAlign w:val="superscript"/>
              </w:rPr>
            </w:pPr>
            <w:r w:rsidRPr="00E96E9F">
              <w:t>$</w:t>
            </w:r>
            <w:r w:rsidR="00703E69" w:rsidRPr="00703E69">
              <w:rPr>
                <w:rFonts w:hint="eastAsia"/>
                <w:color w:val="000000"/>
                <w:spacing w:val="9"/>
                <w:w w:val="15"/>
                <w:shd w:val="solid" w:color="000000" w:fill="000000"/>
                <w:fitText w:val="70" w:id="-1492481022"/>
                <w14:textFill>
                  <w14:solidFill>
                    <w14:srgbClr w14:val="000000">
                      <w14:alpha w14:val="100000"/>
                    </w14:srgbClr>
                  </w14:solidFill>
                </w14:textFill>
              </w:rPr>
              <w:t xml:space="preserve">　</w:t>
            </w:r>
            <w:r w:rsidR="00703E69" w:rsidRPr="00703E69">
              <w:rPr>
                <w:color w:val="000000"/>
                <w:w w:val="15"/>
                <w:shd w:val="solid" w:color="000000" w:fill="000000"/>
                <w:fitText w:val="70" w:id="-1492481022"/>
                <w14:textFill>
                  <w14:solidFill>
                    <w14:srgbClr w14:val="000000">
                      <w14:alpha w14:val="100000"/>
                    </w14:srgbClr>
                  </w14:solidFill>
                </w14:textFill>
              </w:rPr>
              <w:t>|</w:t>
            </w:r>
            <w:r w:rsidR="00703E69" w:rsidRPr="00703E69">
              <w:rPr>
                <w:rFonts w:hint="eastAsia"/>
                <w:color w:val="000000"/>
                <w:w w:val="15"/>
                <w:shd w:val="solid" w:color="000000" w:fill="000000"/>
                <w:fitText w:val="70" w:id="-1492481022"/>
                <w14:textFill>
                  <w14:solidFill>
                    <w14:srgbClr w14:val="000000">
                      <w14:alpha w14:val="100000"/>
                    </w14:srgbClr>
                  </w14:solidFill>
                </w14:textFill>
              </w:rPr>
              <w:t xml:space="preserve">　</w:t>
            </w:r>
            <w:r w:rsidR="00F67BDE">
              <w:rPr>
                <w:vertAlign w:val="superscript"/>
              </w:rPr>
              <w:t>7</w:t>
            </w:r>
          </w:p>
        </w:tc>
        <w:tc>
          <w:tcPr>
            <w:tcW w:w="649" w:type="pct"/>
          </w:tcPr>
          <w:p w14:paraId="3F2F46D8" w14:textId="743673A4" w:rsidR="00811E0E" w:rsidRPr="00F67BDE" w:rsidRDefault="00811E0E" w:rsidP="00CF047E">
            <w:pPr>
              <w:pStyle w:val="TableText0"/>
              <w:jc w:val="center"/>
              <w:rPr>
                <w:vertAlign w:val="superscript"/>
              </w:rPr>
            </w:pPr>
            <w:r w:rsidRPr="00E96E9F">
              <w:t>$</w:t>
            </w:r>
            <w:r w:rsidR="00703E69" w:rsidRPr="00703E69">
              <w:rPr>
                <w:rFonts w:hint="eastAsia"/>
                <w:color w:val="000000"/>
                <w:spacing w:val="9"/>
                <w:w w:val="15"/>
                <w:shd w:val="solid" w:color="000000" w:fill="000000"/>
                <w:fitText w:val="70" w:id="-1492481021"/>
                <w14:textFill>
                  <w14:solidFill>
                    <w14:srgbClr w14:val="000000">
                      <w14:alpha w14:val="100000"/>
                    </w14:srgbClr>
                  </w14:solidFill>
                </w14:textFill>
              </w:rPr>
              <w:t xml:space="preserve">　</w:t>
            </w:r>
            <w:r w:rsidR="00703E69" w:rsidRPr="00703E69">
              <w:rPr>
                <w:color w:val="000000"/>
                <w:w w:val="15"/>
                <w:shd w:val="solid" w:color="000000" w:fill="000000"/>
                <w:fitText w:val="70" w:id="-1492481021"/>
                <w14:textFill>
                  <w14:solidFill>
                    <w14:srgbClr w14:val="000000">
                      <w14:alpha w14:val="100000"/>
                    </w14:srgbClr>
                  </w14:solidFill>
                </w14:textFill>
              </w:rPr>
              <w:t>|</w:t>
            </w:r>
            <w:r w:rsidR="00703E69" w:rsidRPr="00703E69">
              <w:rPr>
                <w:rFonts w:hint="eastAsia"/>
                <w:color w:val="000000"/>
                <w:w w:val="15"/>
                <w:shd w:val="solid" w:color="000000" w:fill="000000"/>
                <w:fitText w:val="70" w:id="-1492481021"/>
                <w14:textFill>
                  <w14:solidFill>
                    <w14:srgbClr w14:val="000000">
                      <w14:alpha w14:val="100000"/>
                    </w14:srgbClr>
                  </w14:solidFill>
                </w14:textFill>
              </w:rPr>
              <w:t xml:space="preserve">　</w:t>
            </w:r>
            <w:r w:rsidR="00F67BDE">
              <w:rPr>
                <w:vertAlign w:val="superscript"/>
              </w:rPr>
              <w:t>9</w:t>
            </w:r>
          </w:p>
        </w:tc>
      </w:tr>
      <w:tr w:rsidR="00811E0E" w:rsidRPr="00E96E9F" w14:paraId="3862E4C3" w14:textId="77777777" w:rsidTr="00CF047E">
        <w:tc>
          <w:tcPr>
            <w:tcW w:w="5000" w:type="pct"/>
            <w:gridSpan w:val="7"/>
            <w:shd w:val="clear" w:color="auto" w:fill="auto"/>
            <w:vAlign w:val="center"/>
          </w:tcPr>
          <w:p w14:paraId="6E29104A" w14:textId="6CB08C11" w:rsidR="00811E0E" w:rsidRPr="00E96E9F" w:rsidRDefault="00811E0E" w:rsidP="00CF047E">
            <w:pPr>
              <w:pStyle w:val="TableText0"/>
            </w:pPr>
            <w:r w:rsidRPr="00E96E9F">
              <w:t>Estimated</w:t>
            </w:r>
            <w:r w:rsidR="00F96B2F" w:rsidRPr="00E96E9F">
              <w:t xml:space="preserve"> </w:t>
            </w:r>
            <w:r w:rsidRPr="00E96E9F">
              <w:t>financial</w:t>
            </w:r>
            <w:r w:rsidR="00F96B2F" w:rsidRPr="00E96E9F">
              <w:t xml:space="preserve"> </w:t>
            </w:r>
            <w:r w:rsidRPr="00E96E9F">
              <w:t>implications</w:t>
            </w:r>
            <w:r w:rsidR="00F96B2F" w:rsidRPr="00E96E9F">
              <w:t xml:space="preserve"> </w:t>
            </w:r>
            <w:r w:rsidRPr="00E96E9F">
              <w:t>for</w:t>
            </w:r>
            <w:r w:rsidR="00F96B2F" w:rsidRPr="00E96E9F">
              <w:t xml:space="preserve"> </w:t>
            </w:r>
            <w:r w:rsidRPr="00E96E9F">
              <w:t>somatropin</w:t>
            </w:r>
          </w:p>
        </w:tc>
      </w:tr>
      <w:tr w:rsidR="00811E0E" w:rsidRPr="00E96E9F" w14:paraId="649ED587" w14:textId="77777777" w:rsidTr="00CF047E">
        <w:tc>
          <w:tcPr>
            <w:tcW w:w="1116" w:type="pct"/>
            <w:shd w:val="clear" w:color="auto" w:fill="auto"/>
            <w:vAlign w:val="center"/>
          </w:tcPr>
          <w:p w14:paraId="44EEECAC" w14:textId="42CA0CAE" w:rsidR="00811E0E" w:rsidRPr="00E96E9F" w:rsidRDefault="00811E0E" w:rsidP="00CF047E">
            <w:pPr>
              <w:pStyle w:val="TableText0"/>
              <w:rPr>
                <w:sz w:val="19"/>
                <w:szCs w:val="19"/>
              </w:rPr>
            </w:pPr>
            <w:r w:rsidRPr="00E96E9F">
              <w:rPr>
                <w:sz w:val="19"/>
                <w:szCs w:val="19"/>
              </w:rPr>
              <w:t>Cost</w:t>
            </w:r>
            <w:r w:rsidR="00F96B2F" w:rsidRPr="00E96E9F">
              <w:rPr>
                <w:sz w:val="19"/>
                <w:szCs w:val="19"/>
              </w:rPr>
              <w:t xml:space="preserve"> </w:t>
            </w:r>
            <w:r w:rsidRPr="00E96E9F">
              <w:rPr>
                <w:sz w:val="19"/>
                <w:szCs w:val="19"/>
              </w:rPr>
              <w:t>to</w:t>
            </w:r>
            <w:r w:rsidR="00F96B2F" w:rsidRPr="00E96E9F">
              <w:rPr>
                <w:sz w:val="19"/>
                <w:szCs w:val="19"/>
              </w:rPr>
              <w:t xml:space="preserve"> </w:t>
            </w:r>
            <w:r w:rsidRPr="00E96E9F">
              <w:rPr>
                <w:sz w:val="19"/>
                <w:szCs w:val="19"/>
              </w:rPr>
              <w:t>PBS/RPBS</w:t>
            </w:r>
            <w:r w:rsidR="00F96B2F" w:rsidRPr="00E96E9F">
              <w:rPr>
                <w:sz w:val="19"/>
                <w:szCs w:val="19"/>
              </w:rPr>
              <w:t xml:space="preserve"> </w:t>
            </w:r>
            <w:r w:rsidRPr="00E96E9F">
              <w:rPr>
                <w:sz w:val="19"/>
                <w:szCs w:val="19"/>
              </w:rPr>
              <w:t>less</w:t>
            </w:r>
            <w:r w:rsidR="00F96B2F" w:rsidRPr="00E96E9F">
              <w:rPr>
                <w:sz w:val="19"/>
                <w:szCs w:val="19"/>
              </w:rPr>
              <w:t xml:space="preserve"> </w:t>
            </w:r>
            <w:r w:rsidR="00CB4E93" w:rsidRPr="00E96E9F">
              <w:rPr>
                <w:sz w:val="19"/>
                <w:szCs w:val="19"/>
              </w:rPr>
              <w:t>co-payments</w:t>
            </w:r>
          </w:p>
        </w:tc>
        <w:tc>
          <w:tcPr>
            <w:tcW w:w="647" w:type="pct"/>
            <w:shd w:val="clear" w:color="auto" w:fill="auto"/>
          </w:tcPr>
          <w:p w14:paraId="1CFA688A" w14:textId="11538F5A"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20"/>
                <w14:textFill>
                  <w14:solidFill>
                    <w14:srgbClr w14:val="000000">
                      <w14:alpha w14:val="100000"/>
                    </w14:srgbClr>
                  </w14:solidFill>
                </w14:textFill>
              </w:rPr>
              <w:t xml:space="preserve">　</w:t>
            </w:r>
            <w:r w:rsidR="00703E69" w:rsidRPr="00703E69">
              <w:rPr>
                <w:color w:val="000000"/>
                <w:w w:val="22"/>
                <w:shd w:val="solid" w:color="000000" w:fill="000000"/>
                <w:fitText w:val="100" w:id="-1492481020"/>
                <w14:textFill>
                  <w14:solidFill>
                    <w14:srgbClr w14:val="000000">
                      <w14:alpha w14:val="100000"/>
                    </w14:srgbClr>
                  </w14:solidFill>
                </w14:textFill>
              </w:rPr>
              <w:t>|</w:t>
            </w:r>
            <w:r w:rsidR="00703E69" w:rsidRPr="00703E69">
              <w:rPr>
                <w:rFonts w:hint="eastAsia"/>
                <w:color w:val="000000"/>
                <w:w w:val="22"/>
                <w:shd w:val="solid" w:color="000000" w:fill="000000"/>
                <w:fitText w:val="100" w:id="-1492481020"/>
                <w14:textFill>
                  <w14:solidFill>
                    <w14:srgbClr w14:val="000000">
                      <w14:alpha w14:val="100000"/>
                    </w14:srgbClr>
                  </w14:solidFill>
                </w14:textFill>
              </w:rPr>
              <w:t xml:space="preserve">　</w:t>
            </w:r>
            <w:r w:rsidR="000D180E">
              <w:rPr>
                <w:vertAlign w:val="superscript"/>
              </w:rPr>
              <w:t>4</w:t>
            </w:r>
          </w:p>
        </w:tc>
        <w:tc>
          <w:tcPr>
            <w:tcW w:w="647" w:type="pct"/>
            <w:shd w:val="clear" w:color="auto" w:fill="auto"/>
          </w:tcPr>
          <w:p w14:paraId="4D8938BE" w14:textId="2E575F17"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9"/>
                <w14:textFill>
                  <w14:solidFill>
                    <w14:srgbClr w14:val="000000">
                      <w14:alpha w14:val="100000"/>
                    </w14:srgbClr>
                  </w14:solidFill>
                </w14:textFill>
              </w:rPr>
              <w:t xml:space="preserve">　</w:t>
            </w:r>
            <w:r w:rsidR="00703E69" w:rsidRPr="00703E69">
              <w:rPr>
                <w:color w:val="000000"/>
                <w:w w:val="22"/>
                <w:shd w:val="solid" w:color="000000" w:fill="000000"/>
                <w:fitText w:val="100" w:id="-1492481019"/>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9"/>
                <w14:textFill>
                  <w14:solidFill>
                    <w14:srgbClr w14:val="000000">
                      <w14:alpha w14:val="100000"/>
                    </w14:srgbClr>
                  </w14:solidFill>
                </w14:textFill>
              </w:rPr>
              <w:t xml:space="preserve">　</w:t>
            </w:r>
            <w:r w:rsidR="000D180E">
              <w:rPr>
                <w:vertAlign w:val="superscript"/>
              </w:rPr>
              <w:t>4</w:t>
            </w:r>
          </w:p>
        </w:tc>
        <w:tc>
          <w:tcPr>
            <w:tcW w:w="647" w:type="pct"/>
            <w:shd w:val="clear" w:color="auto" w:fill="auto"/>
          </w:tcPr>
          <w:p w14:paraId="2452BD39" w14:textId="74A581E2"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8"/>
                <w14:textFill>
                  <w14:solidFill>
                    <w14:srgbClr w14:val="000000">
                      <w14:alpha w14:val="100000"/>
                    </w14:srgbClr>
                  </w14:solidFill>
                </w14:textFill>
              </w:rPr>
              <w:t xml:space="preserve">　</w:t>
            </w:r>
            <w:r w:rsidR="00703E69" w:rsidRPr="00703E69">
              <w:rPr>
                <w:color w:val="000000"/>
                <w:w w:val="22"/>
                <w:shd w:val="solid" w:color="000000" w:fill="000000"/>
                <w:fitText w:val="100" w:id="-1492481018"/>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8"/>
                <w14:textFill>
                  <w14:solidFill>
                    <w14:srgbClr w14:val="000000">
                      <w14:alpha w14:val="100000"/>
                    </w14:srgbClr>
                  </w14:solidFill>
                </w14:textFill>
              </w:rPr>
              <w:t xml:space="preserve">　</w:t>
            </w:r>
            <w:r w:rsidR="000D180E">
              <w:rPr>
                <w:vertAlign w:val="superscript"/>
              </w:rPr>
              <w:t>4</w:t>
            </w:r>
          </w:p>
        </w:tc>
        <w:tc>
          <w:tcPr>
            <w:tcW w:w="647" w:type="pct"/>
            <w:shd w:val="clear" w:color="auto" w:fill="auto"/>
          </w:tcPr>
          <w:p w14:paraId="1531F246" w14:textId="12A70BB3"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7"/>
                <w14:textFill>
                  <w14:solidFill>
                    <w14:srgbClr w14:val="000000">
                      <w14:alpha w14:val="100000"/>
                    </w14:srgbClr>
                  </w14:solidFill>
                </w14:textFill>
              </w:rPr>
              <w:t xml:space="preserve">　</w:t>
            </w:r>
            <w:r w:rsidR="00703E69" w:rsidRPr="00703E69">
              <w:rPr>
                <w:color w:val="000000"/>
                <w:w w:val="22"/>
                <w:shd w:val="solid" w:color="000000" w:fill="000000"/>
                <w:fitText w:val="100" w:id="-1492481017"/>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7"/>
                <w14:textFill>
                  <w14:solidFill>
                    <w14:srgbClr w14:val="000000">
                      <w14:alpha w14:val="100000"/>
                    </w14:srgbClr>
                  </w14:solidFill>
                </w14:textFill>
              </w:rPr>
              <w:t xml:space="preserve">　</w:t>
            </w:r>
            <w:r w:rsidR="000D180E">
              <w:rPr>
                <w:vertAlign w:val="superscript"/>
              </w:rPr>
              <w:t>4</w:t>
            </w:r>
          </w:p>
        </w:tc>
        <w:tc>
          <w:tcPr>
            <w:tcW w:w="647" w:type="pct"/>
            <w:shd w:val="clear" w:color="auto" w:fill="auto"/>
          </w:tcPr>
          <w:p w14:paraId="3828349B" w14:textId="783B5C7A"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6"/>
                <w14:textFill>
                  <w14:solidFill>
                    <w14:srgbClr w14:val="000000">
                      <w14:alpha w14:val="100000"/>
                    </w14:srgbClr>
                  </w14:solidFill>
                </w14:textFill>
              </w:rPr>
              <w:t xml:space="preserve">　</w:t>
            </w:r>
            <w:r w:rsidR="00703E69" w:rsidRPr="00703E69">
              <w:rPr>
                <w:color w:val="000000"/>
                <w:w w:val="22"/>
                <w:shd w:val="solid" w:color="000000" w:fill="000000"/>
                <w:fitText w:val="100" w:id="-1492481016"/>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6"/>
                <w14:textFill>
                  <w14:solidFill>
                    <w14:srgbClr w14:val="000000">
                      <w14:alpha w14:val="100000"/>
                    </w14:srgbClr>
                  </w14:solidFill>
                </w14:textFill>
              </w:rPr>
              <w:t xml:space="preserve">　</w:t>
            </w:r>
            <w:r w:rsidR="000D180E">
              <w:rPr>
                <w:vertAlign w:val="superscript"/>
              </w:rPr>
              <w:t>4</w:t>
            </w:r>
          </w:p>
        </w:tc>
        <w:tc>
          <w:tcPr>
            <w:tcW w:w="649" w:type="pct"/>
          </w:tcPr>
          <w:p w14:paraId="7976FB97" w14:textId="7B42FBAD" w:rsidR="00811E0E" w:rsidRPr="000D180E" w:rsidRDefault="00811E0E" w:rsidP="00CF047E">
            <w:pPr>
              <w:pStyle w:val="TableText0"/>
              <w:jc w:val="center"/>
              <w:rPr>
                <w:vertAlign w:val="superscript"/>
              </w:rPr>
            </w:pPr>
            <w:r w:rsidRPr="00E96E9F">
              <w:t>-$</w:t>
            </w:r>
            <w:r w:rsidR="00703E69" w:rsidRPr="00703E69">
              <w:rPr>
                <w:rFonts w:hint="eastAsia"/>
                <w:color w:val="000000"/>
                <w:w w:val="20"/>
                <w:shd w:val="solid" w:color="000000" w:fill="000000"/>
                <w:fitText w:val="90" w:id="-1492481015"/>
                <w14:textFill>
                  <w14:solidFill>
                    <w14:srgbClr w14:val="000000">
                      <w14:alpha w14:val="100000"/>
                    </w14:srgbClr>
                  </w14:solidFill>
                </w14:textFill>
              </w:rPr>
              <w:t xml:space="preserve">　</w:t>
            </w:r>
            <w:r w:rsidR="00703E69" w:rsidRPr="00703E69">
              <w:rPr>
                <w:color w:val="000000"/>
                <w:w w:val="20"/>
                <w:shd w:val="solid" w:color="000000" w:fill="000000"/>
                <w:fitText w:val="90" w:id="-1492481015"/>
                <w14:textFill>
                  <w14:solidFill>
                    <w14:srgbClr w14:val="000000">
                      <w14:alpha w14:val="100000"/>
                    </w14:srgbClr>
                  </w14:solidFill>
                </w14:textFill>
              </w:rPr>
              <w:t>|</w:t>
            </w:r>
            <w:r w:rsidR="00703E69" w:rsidRPr="00703E69">
              <w:rPr>
                <w:rFonts w:hint="eastAsia"/>
                <w:color w:val="000000"/>
                <w:w w:val="20"/>
                <w:shd w:val="solid" w:color="000000" w:fill="000000"/>
                <w:fitText w:val="90" w:id="-1492481015"/>
                <w14:textFill>
                  <w14:solidFill>
                    <w14:srgbClr w14:val="000000">
                      <w14:alpha w14:val="100000"/>
                    </w14:srgbClr>
                  </w14:solidFill>
                </w14:textFill>
              </w:rPr>
              <w:t xml:space="preserve">　</w:t>
            </w:r>
            <w:r w:rsidR="000D180E">
              <w:rPr>
                <w:vertAlign w:val="superscript"/>
              </w:rPr>
              <w:t>4</w:t>
            </w:r>
          </w:p>
        </w:tc>
      </w:tr>
      <w:tr w:rsidR="00811E0E" w:rsidRPr="00E96E9F" w14:paraId="0E662DAC" w14:textId="77777777" w:rsidTr="00CF047E">
        <w:tc>
          <w:tcPr>
            <w:tcW w:w="5000" w:type="pct"/>
            <w:gridSpan w:val="7"/>
            <w:shd w:val="clear" w:color="auto" w:fill="auto"/>
            <w:vAlign w:val="center"/>
          </w:tcPr>
          <w:p w14:paraId="3C7277AE" w14:textId="13261139" w:rsidR="00811E0E" w:rsidRPr="00E96E9F" w:rsidRDefault="00811E0E" w:rsidP="00CF047E">
            <w:pPr>
              <w:pStyle w:val="In-tableHeading"/>
              <w:rPr>
                <w:lang w:val="en-AU"/>
              </w:rPr>
            </w:pPr>
            <w:r w:rsidRPr="00E96E9F">
              <w:rPr>
                <w:lang w:val="en-AU"/>
              </w:rPr>
              <w:t>Net</w:t>
            </w:r>
            <w:r w:rsidR="00F96B2F" w:rsidRPr="00E96E9F">
              <w:rPr>
                <w:lang w:val="en-AU"/>
              </w:rPr>
              <w:t xml:space="preserve"> </w:t>
            </w:r>
            <w:r w:rsidRPr="00E96E9F">
              <w:rPr>
                <w:lang w:val="en-AU"/>
              </w:rPr>
              <w:t>financial</w:t>
            </w:r>
            <w:r w:rsidR="00F96B2F" w:rsidRPr="00E96E9F">
              <w:rPr>
                <w:lang w:val="en-AU"/>
              </w:rPr>
              <w:t xml:space="preserve"> </w:t>
            </w:r>
            <w:r w:rsidRPr="00E96E9F">
              <w:rPr>
                <w:lang w:val="en-AU"/>
              </w:rPr>
              <w:t>implications</w:t>
            </w:r>
          </w:p>
        </w:tc>
      </w:tr>
      <w:tr w:rsidR="00811E0E" w:rsidRPr="00E96E9F" w14:paraId="1864B0DD" w14:textId="77777777" w:rsidTr="00CF047E">
        <w:tc>
          <w:tcPr>
            <w:tcW w:w="1116" w:type="pct"/>
            <w:shd w:val="clear" w:color="auto" w:fill="auto"/>
            <w:vAlign w:val="center"/>
          </w:tcPr>
          <w:p w14:paraId="00F2E2B3" w14:textId="6D9AD88A" w:rsidR="00811E0E" w:rsidRPr="00E96E9F" w:rsidRDefault="00811E0E" w:rsidP="00CF047E">
            <w:pPr>
              <w:pStyle w:val="TableText0"/>
              <w:rPr>
                <w:sz w:val="19"/>
                <w:szCs w:val="19"/>
              </w:rPr>
            </w:pPr>
            <w:r w:rsidRPr="00E96E9F">
              <w:rPr>
                <w:sz w:val="19"/>
                <w:szCs w:val="19"/>
              </w:rPr>
              <w:t>Net</w:t>
            </w:r>
            <w:r w:rsidR="00F96B2F" w:rsidRPr="00E96E9F">
              <w:rPr>
                <w:sz w:val="19"/>
                <w:szCs w:val="19"/>
              </w:rPr>
              <w:t xml:space="preserve"> </w:t>
            </w:r>
            <w:r w:rsidRPr="00E96E9F">
              <w:rPr>
                <w:sz w:val="19"/>
                <w:szCs w:val="19"/>
              </w:rPr>
              <w:t>cost</w:t>
            </w:r>
            <w:r w:rsidR="00F96B2F" w:rsidRPr="00E96E9F">
              <w:rPr>
                <w:sz w:val="19"/>
                <w:szCs w:val="19"/>
              </w:rPr>
              <w:t xml:space="preserve"> </w:t>
            </w:r>
            <w:r w:rsidRPr="00E96E9F">
              <w:rPr>
                <w:sz w:val="19"/>
                <w:szCs w:val="19"/>
              </w:rPr>
              <w:t>to</w:t>
            </w:r>
            <w:r w:rsidR="00F96B2F" w:rsidRPr="00E96E9F">
              <w:rPr>
                <w:sz w:val="19"/>
                <w:szCs w:val="19"/>
              </w:rPr>
              <w:t xml:space="preserve"> </w:t>
            </w:r>
            <w:r w:rsidRPr="00E96E9F">
              <w:rPr>
                <w:sz w:val="19"/>
                <w:szCs w:val="19"/>
              </w:rPr>
              <w:t>PBS/RPBS</w:t>
            </w:r>
          </w:p>
        </w:tc>
        <w:tc>
          <w:tcPr>
            <w:tcW w:w="647" w:type="pct"/>
            <w:shd w:val="clear" w:color="auto" w:fill="auto"/>
          </w:tcPr>
          <w:p w14:paraId="00EF9DE3" w14:textId="0CB889E2"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4"/>
                <w14:textFill>
                  <w14:solidFill>
                    <w14:srgbClr w14:val="000000">
                      <w14:alpha w14:val="100000"/>
                    </w14:srgbClr>
                  </w14:solidFill>
                </w14:textFill>
              </w:rPr>
              <w:t xml:space="preserve">　</w:t>
            </w:r>
            <w:r w:rsidR="00703E69" w:rsidRPr="00703E69">
              <w:rPr>
                <w:color w:val="000000"/>
                <w:w w:val="22"/>
                <w:shd w:val="solid" w:color="000000" w:fill="000000"/>
                <w:fitText w:val="100" w:id="-1492481014"/>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4"/>
                <w14:textFill>
                  <w14:solidFill>
                    <w14:srgbClr w14:val="000000">
                      <w14:alpha w14:val="100000"/>
                    </w14:srgbClr>
                  </w14:solidFill>
                </w14:textFill>
              </w:rPr>
              <w:t xml:space="preserve">　</w:t>
            </w:r>
            <w:r w:rsidR="000D180E">
              <w:rPr>
                <w:vertAlign w:val="superscript"/>
              </w:rPr>
              <w:t>4</w:t>
            </w:r>
          </w:p>
        </w:tc>
        <w:tc>
          <w:tcPr>
            <w:tcW w:w="647" w:type="pct"/>
            <w:shd w:val="clear" w:color="auto" w:fill="auto"/>
          </w:tcPr>
          <w:p w14:paraId="0388AB11" w14:textId="4A2152F0"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3"/>
                <w14:textFill>
                  <w14:solidFill>
                    <w14:srgbClr w14:val="000000">
                      <w14:alpha w14:val="100000"/>
                    </w14:srgbClr>
                  </w14:solidFill>
                </w14:textFill>
              </w:rPr>
              <w:t xml:space="preserve">　</w:t>
            </w:r>
            <w:r w:rsidR="00703E69" w:rsidRPr="00703E69">
              <w:rPr>
                <w:color w:val="000000"/>
                <w:w w:val="22"/>
                <w:shd w:val="solid" w:color="000000" w:fill="000000"/>
                <w:fitText w:val="100" w:id="-1492481013"/>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3"/>
                <w14:textFill>
                  <w14:solidFill>
                    <w14:srgbClr w14:val="000000">
                      <w14:alpha w14:val="100000"/>
                    </w14:srgbClr>
                  </w14:solidFill>
                </w14:textFill>
              </w:rPr>
              <w:t xml:space="preserve">　</w:t>
            </w:r>
            <w:r w:rsidR="000D180E">
              <w:rPr>
                <w:vertAlign w:val="superscript"/>
              </w:rPr>
              <w:t>4</w:t>
            </w:r>
          </w:p>
        </w:tc>
        <w:tc>
          <w:tcPr>
            <w:tcW w:w="647" w:type="pct"/>
            <w:shd w:val="clear" w:color="auto" w:fill="auto"/>
          </w:tcPr>
          <w:p w14:paraId="2D17607D" w14:textId="04E63F0D"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2"/>
                <w14:textFill>
                  <w14:solidFill>
                    <w14:srgbClr w14:val="000000">
                      <w14:alpha w14:val="100000"/>
                    </w14:srgbClr>
                  </w14:solidFill>
                </w14:textFill>
              </w:rPr>
              <w:t xml:space="preserve">　</w:t>
            </w:r>
            <w:r w:rsidR="00703E69" w:rsidRPr="00703E69">
              <w:rPr>
                <w:color w:val="000000"/>
                <w:w w:val="22"/>
                <w:shd w:val="solid" w:color="000000" w:fill="000000"/>
                <w:fitText w:val="100" w:id="-1492481012"/>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2"/>
                <w14:textFill>
                  <w14:solidFill>
                    <w14:srgbClr w14:val="000000">
                      <w14:alpha w14:val="100000"/>
                    </w14:srgbClr>
                  </w14:solidFill>
                </w14:textFill>
              </w:rPr>
              <w:t xml:space="preserve">　</w:t>
            </w:r>
            <w:r w:rsidR="000D180E">
              <w:rPr>
                <w:vertAlign w:val="superscript"/>
              </w:rPr>
              <w:t>4</w:t>
            </w:r>
          </w:p>
        </w:tc>
        <w:tc>
          <w:tcPr>
            <w:tcW w:w="647" w:type="pct"/>
            <w:shd w:val="clear" w:color="auto" w:fill="auto"/>
          </w:tcPr>
          <w:p w14:paraId="74DD542D" w14:textId="516476A6"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1"/>
                <w14:textFill>
                  <w14:solidFill>
                    <w14:srgbClr w14:val="000000">
                      <w14:alpha w14:val="100000"/>
                    </w14:srgbClr>
                  </w14:solidFill>
                </w14:textFill>
              </w:rPr>
              <w:t xml:space="preserve">　</w:t>
            </w:r>
            <w:r w:rsidR="00703E69" w:rsidRPr="00703E69">
              <w:rPr>
                <w:color w:val="000000"/>
                <w:w w:val="22"/>
                <w:shd w:val="solid" w:color="000000" w:fill="000000"/>
                <w:fitText w:val="100" w:id="-1492481011"/>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1"/>
                <w14:textFill>
                  <w14:solidFill>
                    <w14:srgbClr w14:val="000000">
                      <w14:alpha w14:val="100000"/>
                    </w14:srgbClr>
                  </w14:solidFill>
                </w14:textFill>
              </w:rPr>
              <w:t xml:space="preserve">　</w:t>
            </w:r>
            <w:r w:rsidR="000D180E">
              <w:rPr>
                <w:vertAlign w:val="superscript"/>
              </w:rPr>
              <w:t>4</w:t>
            </w:r>
          </w:p>
        </w:tc>
        <w:tc>
          <w:tcPr>
            <w:tcW w:w="647" w:type="pct"/>
            <w:shd w:val="clear" w:color="auto" w:fill="auto"/>
          </w:tcPr>
          <w:p w14:paraId="69F32EFE" w14:textId="6D49CC5A" w:rsidR="00811E0E" w:rsidRPr="000D180E" w:rsidRDefault="00811E0E" w:rsidP="00CF047E">
            <w:pPr>
              <w:pStyle w:val="TableText0"/>
              <w:jc w:val="center"/>
              <w:rPr>
                <w:vertAlign w:val="superscript"/>
              </w:rPr>
            </w:pPr>
            <w:r w:rsidRPr="00E96E9F">
              <w:t>-$</w:t>
            </w:r>
            <w:r w:rsidR="00703E69" w:rsidRPr="00703E69">
              <w:rPr>
                <w:rFonts w:hint="eastAsia"/>
                <w:color w:val="000000"/>
                <w:w w:val="22"/>
                <w:shd w:val="solid" w:color="000000" w:fill="000000"/>
                <w:fitText w:val="100" w:id="-1492481010"/>
                <w14:textFill>
                  <w14:solidFill>
                    <w14:srgbClr w14:val="000000">
                      <w14:alpha w14:val="100000"/>
                    </w14:srgbClr>
                  </w14:solidFill>
                </w14:textFill>
              </w:rPr>
              <w:t xml:space="preserve">　</w:t>
            </w:r>
            <w:r w:rsidR="00703E69" w:rsidRPr="00703E69">
              <w:rPr>
                <w:color w:val="000000"/>
                <w:w w:val="22"/>
                <w:shd w:val="solid" w:color="000000" w:fill="000000"/>
                <w:fitText w:val="100" w:id="-1492481010"/>
                <w14:textFill>
                  <w14:solidFill>
                    <w14:srgbClr w14:val="000000">
                      <w14:alpha w14:val="100000"/>
                    </w14:srgbClr>
                  </w14:solidFill>
                </w14:textFill>
              </w:rPr>
              <w:t>|</w:t>
            </w:r>
            <w:r w:rsidR="00703E69" w:rsidRPr="00703E69">
              <w:rPr>
                <w:rFonts w:hint="eastAsia"/>
                <w:color w:val="000000"/>
                <w:w w:val="22"/>
                <w:shd w:val="solid" w:color="000000" w:fill="000000"/>
                <w:fitText w:val="100" w:id="-1492481010"/>
                <w14:textFill>
                  <w14:solidFill>
                    <w14:srgbClr w14:val="000000">
                      <w14:alpha w14:val="100000"/>
                    </w14:srgbClr>
                  </w14:solidFill>
                </w14:textFill>
              </w:rPr>
              <w:t xml:space="preserve">　</w:t>
            </w:r>
            <w:r w:rsidR="000D180E">
              <w:rPr>
                <w:vertAlign w:val="superscript"/>
              </w:rPr>
              <w:t>4</w:t>
            </w:r>
          </w:p>
        </w:tc>
        <w:tc>
          <w:tcPr>
            <w:tcW w:w="649" w:type="pct"/>
          </w:tcPr>
          <w:p w14:paraId="315EAECD" w14:textId="40158892" w:rsidR="00811E0E" w:rsidRPr="000D180E" w:rsidRDefault="00811E0E" w:rsidP="00CF047E">
            <w:pPr>
              <w:pStyle w:val="TableText0"/>
              <w:jc w:val="center"/>
              <w:rPr>
                <w:vertAlign w:val="superscript"/>
              </w:rPr>
            </w:pPr>
            <w:r w:rsidRPr="00E96E9F">
              <w:t>-$</w:t>
            </w:r>
            <w:r w:rsidR="00703E69" w:rsidRPr="00703E69">
              <w:rPr>
                <w:rFonts w:hint="eastAsia"/>
                <w:color w:val="000000"/>
                <w:w w:val="20"/>
                <w:shd w:val="solid" w:color="000000" w:fill="000000"/>
                <w:fitText w:val="90" w:id="-1492481009"/>
                <w14:textFill>
                  <w14:solidFill>
                    <w14:srgbClr w14:val="000000">
                      <w14:alpha w14:val="100000"/>
                    </w14:srgbClr>
                  </w14:solidFill>
                </w14:textFill>
              </w:rPr>
              <w:t xml:space="preserve">　</w:t>
            </w:r>
            <w:r w:rsidR="00703E69" w:rsidRPr="00703E69">
              <w:rPr>
                <w:color w:val="000000"/>
                <w:w w:val="20"/>
                <w:shd w:val="solid" w:color="000000" w:fill="000000"/>
                <w:fitText w:val="90" w:id="-1492481009"/>
                <w14:textFill>
                  <w14:solidFill>
                    <w14:srgbClr w14:val="000000">
                      <w14:alpha w14:val="100000"/>
                    </w14:srgbClr>
                  </w14:solidFill>
                </w14:textFill>
              </w:rPr>
              <w:t>|</w:t>
            </w:r>
            <w:r w:rsidR="00703E69" w:rsidRPr="00703E69">
              <w:rPr>
                <w:rFonts w:hint="eastAsia"/>
                <w:color w:val="000000"/>
                <w:w w:val="20"/>
                <w:shd w:val="solid" w:color="000000" w:fill="000000"/>
                <w:fitText w:val="90" w:id="-1492481009"/>
                <w14:textFill>
                  <w14:solidFill>
                    <w14:srgbClr w14:val="000000">
                      <w14:alpha w14:val="100000"/>
                    </w14:srgbClr>
                  </w14:solidFill>
                </w14:textFill>
              </w:rPr>
              <w:t xml:space="preserve">　</w:t>
            </w:r>
            <w:r w:rsidR="000D180E">
              <w:rPr>
                <w:vertAlign w:val="superscript"/>
              </w:rPr>
              <w:t>4</w:t>
            </w:r>
          </w:p>
        </w:tc>
      </w:tr>
    </w:tbl>
    <w:p w14:paraId="69E1BF36" w14:textId="39A205AB" w:rsidR="00811E0E" w:rsidRPr="006D4B84" w:rsidRDefault="00811E0E" w:rsidP="006D4B84">
      <w:pPr>
        <w:pStyle w:val="TableFigureFooter"/>
      </w:pPr>
      <w:r w:rsidRPr="006D4B84">
        <w:t>Source:</w:t>
      </w:r>
      <w:r w:rsidR="00F96B2F" w:rsidRPr="006D4B84">
        <w:t xml:space="preserve"> </w:t>
      </w:r>
      <w:r w:rsidRPr="006D4B84">
        <w:t>Table</w:t>
      </w:r>
      <w:r w:rsidR="00F96B2F" w:rsidRPr="006D4B84">
        <w:t xml:space="preserve"> </w:t>
      </w:r>
      <w:r w:rsidRPr="006D4B84">
        <w:t>4.4.1</w:t>
      </w:r>
      <w:r w:rsidR="00F96B2F" w:rsidRPr="006D4B84">
        <w:t xml:space="preserve"> </w:t>
      </w:r>
      <w:r w:rsidRPr="006D4B84">
        <w:t>p121,</w:t>
      </w:r>
      <w:r w:rsidR="00F96B2F" w:rsidRPr="006D4B84">
        <w:t xml:space="preserve"> </w:t>
      </w:r>
      <w:r w:rsidRPr="006D4B84">
        <w:t>Table</w:t>
      </w:r>
      <w:r w:rsidR="00F96B2F" w:rsidRPr="006D4B84">
        <w:t xml:space="preserve"> </w:t>
      </w:r>
      <w:r w:rsidRPr="006D4B84">
        <w:t>4.1.4</w:t>
      </w:r>
      <w:r w:rsidR="00F96B2F" w:rsidRPr="006D4B84">
        <w:t xml:space="preserve"> </w:t>
      </w:r>
      <w:r w:rsidRPr="006D4B84">
        <w:t>p</w:t>
      </w:r>
      <w:r w:rsidR="00F96B2F" w:rsidRPr="006D4B84">
        <w:t xml:space="preserve"> </w:t>
      </w:r>
      <w:r w:rsidRPr="006D4B84">
        <w:t>181,</w:t>
      </w:r>
      <w:r w:rsidR="00F96B2F" w:rsidRPr="006D4B84">
        <w:t xml:space="preserve"> </w:t>
      </w:r>
      <w:r w:rsidRPr="006D4B84">
        <w:t>Table</w:t>
      </w:r>
      <w:r w:rsidR="00F96B2F" w:rsidRPr="006D4B84">
        <w:t xml:space="preserve"> </w:t>
      </w:r>
      <w:r w:rsidRPr="006D4B84">
        <w:t>4.2.4</w:t>
      </w:r>
      <w:r w:rsidR="00F96B2F" w:rsidRPr="006D4B84">
        <w:t xml:space="preserve"> </w:t>
      </w:r>
      <w:r w:rsidRPr="006D4B84">
        <w:t>p</w:t>
      </w:r>
      <w:r w:rsidR="00F96B2F" w:rsidRPr="006D4B84">
        <w:t xml:space="preserve"> </w:t>
      </w:r>
      <w:r w:rsidRPr="006D4B84">
        <w:t>187,</w:t>
      </w:r>
      <w:r w:rsidR="00F96B2F" w:rsidRPr="006D4B84">
        <w:t xml:space="preserve"> </w:t>
      </w:r>
      <w:r w:rsidRPr="006D4B84">
        <w:t>Table</w:t>
      </w:r>
      <w:r w:rsidR="00F96B2F" w:rsidRPr="006D4B84">
        <w:t xml:space="preserve"> </w:t>
      </w:r>
      <w:r w:rsidRPr="006D4B84">
        <w:t>4.2.2</w:t>
      </w:r>
      <w:r w:rsidR="00F96B2F" w:rsidRPr="006D4B84">
        <w:t xml:space="preserve"> </w:t>
      </w:r>
      <w:r w:rsidRPr="006D4B84">
        <w:t>p</w:t>
      </w:r>
      <w:r w:rsidR="00F96B2F" w:rsidRPr="006D4B84">
        <w:t xml:space="preserve"> </w:t>
      </w:r>
      <w:r w:rsidRPr="006D4B84">
        <w:t>186,</w:t>
      </w:r>
      <w:r w:rsidR="00F96B2F" w:rsidRPr="006D4B84">
        <w:t xml:space="preserve"> </w:t>
      </w:r>
      <w:r w:rsidRPr="006D4B84">
        <w:t>Table</w:t>
      </w:r>
      <w:r w:rsidR="00F96B2F" w:rsidRPr="006D4B84">
        <w:t xml:space="preserve"> </w:t>
      </w:r>
      <w:r w:rsidRPr="006D4B84">
        <w:t>4.1.4</w:t>
      </w:r>
      <w:r w:rsidR="00F96B2F" w:rsidRPr="006D4B84">
        <w:t xml:space="preserve"> </w:t>
      </w:r>
      <w:r w:rsidRPr="006D4B84">
        <w:t>p</w:t>
      </w:r>
      <w:r w:rsidR="00F96B2F" w:rsidRPr="006D4B84">
        <w:t xml:space="preserve"> </w:t>
      </w:r>
      <w:r w:rsidRPr="006D4B84">
        <w:t>181</w:t>
      </w:r>
      <w:r w:rsidR="00F96B2F" w:rsidRPr="006D4B84">
        <w:t xml:space="preserve"> </w:t>
      </w:r>
      <w:r w:rsidRPr="006D4B84">
        <w:t>of</w:t>
      </w:r>
      <w:r w:rsidR="00F96B2F" w:rsidRPr="006D4B84">
        <w:t xml:space="preserve"> </w:t>
      </w:r>
      <w:r w:rsidRPr="006D4B84">
        <w:t>the</w:t>
      </w:r>
      <w:r w:rsidR="00F96B2F" w:rsidRPr="006D4B84">
        <w:t xml:space="preserve"> </w:t>
      </w:r>
      <w:r w:rsidRPr="006D4B84">
        <w:t>submission.</w:t>
      </w:r>
    </w:p>
    <w:p w14:paraId="46439595" w14:textId="33BF9136" w:rsidR="00D821AA" w:rsidRDefault="00D821AA" w:rsidP="00CB0865">
      <w:pPr>
        <w:pStyle w:val="TableFigureFooter"/>
        <w:spacing w:after="0"/>
      </w:pPr>
      <w:r w:rsidRPr="006D4B84">
        <w:t>PBS</w:t>
      </w:r>
      <w:r w:rsidR="000D6A4B">
        <w:t xml:space="preserve"> = </w:t>
      </w:r>
      <w:r w:rsidRPr="006D4B84">
        <w:t>Pharmaceutical</w:t>
      </w:r>
      <w:r w:rsidR="00F96B2F" w:rsidRPr="006D4B84">
        <w:t xml:space="preserve"> </w:t>
      </w:r>
      <w:r w:rsidRPr="006D4B84">
        <w:t>Benefits</w:t>
      </w:r>
      <w:r w:rsidR="00F96B2F" w:rsidRPr="006D4B84">
        <w:t xml:space="preserve"> </w:t>
      </w:r>
      <w:r w:rsidRPr="006D4B84">
        <w:t>Scheme,</w:t>
      </w:r>
      <w:r w:rsidR="00F96B2F" w:rsidRPr="006D4B84">
        <w:t xml:space="preserve"> </w:t>
      </w:r>
      <w:r w:rsidRPr="006D4B84">
        <w:t>RPBS</w:t>
      </w:r>
      <w:r w:rsidR="000D6A4B">
        <w:t xml:space="preserve"> = </w:t>
      </w:r>
      <w:r w:rsidRPr="006D4B84">
        <w:t>Repatriation</w:t>
      </w:r>
      <w:r w:rsidR="00F96B2F" w:rsidRPr="006D4B84">
        <w:t xml:space="preserve"> </w:t>
      </w:r>
      <w:r w:rsidRPr="006D4B84">
        <w:t>Pharmaceutical</w:t>
      </w:r>
      <w:r w:rsidR="00F96B2F" w:rsidRPr="006D4B84">
        <w:t xml:space="preserve"> </w:t>
      </w:r>
      <w:r w:rsidRPr="006D4B84">
        <w:t>Benefits</w:t>
      </w:r>
      <w:r w:rsidR="00F96B2F" w:rsidRPr="006D4B84">
        <w:t xml:space="preserve"> </w:t>
      </w:r>
      <w:r w:rsidRPr="006D4B84">
        <w:t>Scheme</w:t>
      </w:r>
    </w:p>
    <w:p w14:paraId="489A46D8" w14:textId="77777777" w:rsidR="000D180E" w:rsidRPr="009A6D58" w:rsidRDefault="000D180E" w:rsidP="000D180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19CAA6D" w14:textId="77777777" w:rsidR="000D180E" w:rsidRPr="009A6D58" w:rsidRDefault="000D180E" w:rsidP="000D180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B0865">
        <w:rPr>
          <w:rFonts w:ascii="Arial Narrow" w:hAnsi="Arial Narrow"/>
          <w:i/>
          <w:sz w:val="18"/>
          <w:szCs w:val="18"/>
        </w:rPr>
        <w:t>&lt; 500</w:t>
      </w:r>
    </w:p>
    <w:p w14:paraId="52430F42" w14:textId="77777777" w:rsidR="000D180E" w:rsidRPr="009A6D58" w:rsidRDefault="000D180E" w:rsidP="000D180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B0865">
        <w:rPr>
          <w:rFonts w:ascii="Arial Narrow" w:hAnsi="Arial Narrow"/>
          <w:i/>
          <w:sz w:val="18"/>
          <w:szCs w:val="18"/>
        </w:rPr>
        <w:t>5,000 to &lt; 10,000</w:t>
      </w:r>
    </w:p>
    <w:p w14:paraId="71AD33E3" w14:textId="77777777" w:rsidR="000D180E" w:rsidRDefault="000D180E" w:rsidP="000D180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B0865">
        <w:rPr>
          <w:rFonts w:ascii="Arial Narrow" w:hAnsi="Arial Narrow"/>
          <w:i/>
          <w:sz w:val="18"/>
          <w:szCs w:val="18"/>
        </w:rPr>
        <w:t>$0 to &lt; $10 million</w:t>
      </w:r>
    </w:p>
    <w:p w14:paraId="1CAC6E4C" w14:textId="77777777" w:rsidR="000D180E" w:rsidRDefault="000D180E" w:rsidP="000D180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CB0865">
        <w:rPr>
          <w:rFonts w:ascii="Arial Narrow" w:hAnsi="Arial Narrow"/>
          <w:i/>
          <w:sz w:val="18"/>
          <w:szCs w:val="18"/>
        </w:rPr>
        <w:t>net cost saving</w:t>
      </w:r>
    </w:p>
    <w:p w14:paraId="1E102391" w14:textId="77777777" w:rsidR="000D180E" w:rsidRDefault="000D180E" w:rsidP="000D180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CB0865">
        <w:rPr>
          <w:rFonts w:ascii="Arial Narrow" w:hAnsi="Arial Narrow"/>
          <w:i/>
          <w:sz w:val="18"/>
          <w:szCs w:val="18"/>
        </w:rPr>
        <w:t>500 to &lt; 5,000</w:t>
      </w:r>
    </w:p>
    <w:p w14:paraId="6C312FDD" w14:textId="77777777" w:rsidR="000D180E" w:rsidRDefault="000D180E" w:rsidP="000D180E">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CB0865">
        <w:rPr>
          <w:rFonts w:ascii="Arial Narrow" w:hAnsi="Arial Narrow"/>
          <w:i/>
          <w:sz w:val="18"/>
          <w:szCs w:val="18"/>
        </w:rPr>
        <w:t>10,000 to &lt; 20,000</w:t>
      </w:r>
    </w:p>
    <w:p w14:paraId="36062859" w14:textId="77777777" w:rsidR="000D180E" w:rsidRPr="00CB0865" w:rsidRDefault="000D180E" w:rsidP="000D180E">
      <w:pPr>
        <w:rPr>
          <w:rFonts w:ascii="Arial Narrow" w:hAnsi="Arial Narrow"/>
          <w:i/>
          <w:sz w:val="18"/>
          <w:szCs w:val="18"/>
        </w:rPr>
      </w:pPr>
      <w:r>
        <w:rPr>
          <w:rFonts w:ascii="Arial Narrow" w:hAnsi="Arial Narrow"/>
          <w:i/>
          <w:sz w:val="18"/>
          <w:szCs w:val="18"/>
          <w:vertAlign w:val="superscript"/>
        </w:rPr>
        <w:t xml:space="preserve">7 </w:t>
      </w:r>
      <w:r w:rsidRPr="00CB0865">
        <w:rPr>
          <w:rFonts w:ascii="Arial Narrow" w:hAnsi="Arial Narrow"/>
          <w:i/>
          <w:sz w:val="18"/>
          <w:szCs w:val="18"/>
        </w:rPr>
        <w:t>$10 million to &lt; $20 million</w:t>
      </w:r>
    </w:p>
    <w:p w14:paraId="2546A9F0" w14:textId="77777777" w:rsidR="000D180E" w:rsidRDefault="000D180E" w:rsidP="000D180E">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CB0865">
        <w:rPr>
          <w:rFonts w:ascii="Arial Narrow" w:hAnsi="Arial Narrow"/>
          <w:i/>
          <w:sz w:val="18"/>
          <w:szCs w:val="18"/>
        </w:rPr>
        <w:t>20,000 to &lt; 30,000</w:t>
      </w:r>
    </w:p>
    <w:p w14:paraId="5732880D" w14:textId="3CE50C32" w:rsidR="000D180E" w:rsidRPr="000D180E" w:rsidRDefault="000D180E" w:rsidP="000D180E">
      <w:pPr>
        <w:spacing w:after="120"/>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0D180E">
        <w:rPr>
          <w:rFonts w:ascii="Arial Narrow" w:hAnsi="Arial Narrow"/>
          <w:i/>
          <w:sz w:val="18"/>
          <w:szCs w:val="18"/>
        </w:rPr>
        <w:t>$20 million to &lt; $30 million</w:t>
      </w:r>
    </w:p>
    <w:p w14:paraId="14716BE9" w14:textId="3C7863A7" w:rsidR="00811E0E" w:rsidRPr="00F67BDE" w:rsidRDefault="00811E0E" w:rsidP="00F67BDE">
      <w:pPr>
        <w:pStyle w:val="3-BodyText"/>
      </w:pPr>
      <w:r w:rsidRPr="00E96E9F">
        <w:t>The</w:t>
      </w:r>
      <w:r w:rsidR="00F96B2F" w:rsidRPr="00E96E9F">
        <w:t xml:space="preserve"> </w:t>
      </w:r>
      <w:r w:rsidRPr="00E96E9F">
        <w:t>total</w:t>
      </w:r>
      <w:r w:rsidR="00F96B2F" w:rsidRPr="00E96E9F">
        <w:t xml:space="preserve"> </w:t>
      </w:r>
      <w:r w:rsidRPr="00E96E9F">
        <w:t>savings</w:t>
      </w:r>
      <w:r w:rsidR="00F96B2F" w:rsidRPr="00E96E9F">
        <w:t xml:space="preserve"> </w:t>
      </w:r>
      <w:r w:rsidRPr="00E96E9F">
        <w:t>to</w:t>
      </w:r>
      <w:r w:rsidR="00F96B2F" w:rsidRPr="00E96E9F">
        <w:t xml:space="preserve"> </w:t>
      </w:r>
      <w:r w:rsidRPr="00E96E9F">
        <w:t>the</w:t>
      </w:r>
      <w:r w:rsidR="00F96B2F" w:rsidRPr="00E96E9F">
        <w:t xml:space="preserve"> </w:t>
      </w:r>
      <w:r w:rsidRPr="00E96E9F">
        <w:t>PBS/RPBS</w:t>
      </w:r>
      <w:r w:rsidR="00F96B2F" w:rsidRPr="00E96E9F">
        <w:t xml:space="preserve"> </w:t>
      </w:r>
      <w:r w:rsidRPr="00E96E9F">
        <w:t>of</w:t>
      </w:r>
      <w:r w:rsidR="00F96B2F" w:rsidRPr="00E96E9F">
        <w:t xml:space="preserve"> </w:t>
      </w:r>
      <w:r w:rsidRPr="00E96E9F">
        <w:t>listing</w:t>
      </w:r>
      <w:r w:rsidR="00F96B2F" w:rsidRPr="00E96E9F">
        <w:t xml:space="preserve"> </w:t>
      </w:r>
      <w:proofErr w:type="spellStart"/>
      <w:r w:rsidRPr="00E96E9F">
        <w:t>somatrogon</w:t>
      </w:r>
      <w:proofErr w:type="spellEnd"/>
      <w:r w:rsidR="00F96B2F" w:rsidRPr="00E96E9F">
        <w:t xml:space="preserve"> </w:t>
      </w:r>
      <w:r w:rsidR="00353459" w:rsidRPr="00E96E9F">
        <w:t>w</w:t>
      </w:r>
      <w:r w:rsidR="00353459">
        <w:t>ere</w:t>
      </w:r>
      <w:r w:rsidR="00353459" w:rsidRPr="00E96E9F">
        <w:t xml:space="preserve"> </w:t>
      </w:r>
      <w:r w:rsidRPr="00E96E9F">
        <w:t>estimated</w:t>
      </w:r>
      <w:r w:rsidR="00F96B2F" w:rsidRPr="00E96E9F">
        <w:t xml:space="preserve"> </w:t>
      </w:r>
      <w:r w:rsidRPr="00E96E9F">
        <w:t>to</w:t>
      </w:r>
      <w:r w:rsidR="00F96B2F" w:rsidRPr="00E96E9F">
        <w:t xml:space="preserve"> </w:t>
      </w:r>
      <w:r w:rsidRPr="00E96E9F">
        <w:t>be</w:t>
      </w:r>
      <w:r w:rsidR="00F96B2F" w:rsidRPr="00E96E9F">
        <w:t xml:space="preserve"> </w:t>
      </w:r>
      <w:r w:rsidR="00747476">
        <w:t>net cost saving</w:t>
      </w:r>
      <w:r w:rsidR="00F96B2F" w:rsidRPr="00E96E9F">
        <w:t xml:space="preserve"> </w:t>
      </w:r>
      <w:r w:rsidRPr="00E96E9F">
        <w:t>in</w:t>
      </w:r>
      <w:r w:rsidR="00F96B2F" w:rsidRPr="00E96E9F">
        <w:t xml:space="preserve"> </w:t>
      </w:r>
      <w:r w:rsidRPr="00E96E9F">
        <w:t>Year</w:t>
      </w:r>
      <w:r w:rsidR="00F96B2F" w:rsidRPr="00E96E9F">
        <w:t xml:space="preserve"> </w:t>
      </w:r>
      <w:r w:rsidRPr="00E96E9F">
        <w:t>6,</w:t>
      </w:r>
      <w:r w:rsidR="00F96B2F" w:rsidRPr="00E96E9F">
        <w:t xml:space="preserve"> </w:t>
      </w:r>
      <w:r w:rsidRPr="00E96E9F">
        <w:t>and</w:t>
      </w:r>
      <w:r w:rsidR="00F96B2F" w:rsidRPr="00E96E9F">
        <w:t xml:space="preserve"> </w:t>
      </w:r>
      <w:r w:rsidR="00747476">
        <w:t xml:space="preserve">net cost </w:t>
      </w:r>
      <w:proofErr w:type="gramStart"/>
      <w:r w:rsidR="00747476">
        <w:t xml:space="preserve">saving </w:t>
      </w:r>
      <w:r w:rsidR="00F96B2F" w:rsidRPr="00E96E9F">
        <w:t xml:space="preserve"> </w:t>
      </w:r>
      <w:r w:rsidRPr="00E96E9F">
        <w:t>in</w:t>
      </w:r>
      <w:proofErr w:type="gramEnd"/>
      <w:r w:rsidR="00F96B2F" w:rsidRPr="00E96E9F">
        <w:t xml:space="preserve"> </w:t>
      </w:r>
      <w:r w:rsidRPr="00E96E9F">
        <w:t>the</w:t>
      </w:r>
      <w:r w:rsidR="00F96B2F" w:rsidRPr="00E96E9F">
        <w:t xml:space="preserve"> </w:t>
      </w:r>
      <w:r w:rsidRPr="00E96E9F">
        <w:t>first</w:t>
      </w:r>
      <w:r w:rsidR="00F96B2F" w:rsidRPr="00E96E9F">
        <w:t xml:space="preserve"> </w:t>
      </w:r>
      <w:r w:rsidRPr="00E96E9F">
        <w:t>6</w:t>
      </w:r>
      <w:r w:rsidR="00F96B2F" w:rsidRPr="00E96E9F">
        <w:t xml:space="preserve"> </w:t>
      </w:r>
      <w:r w:rsidRPr="00E96E9F">
        <w:t>years</w:t>
      </w:r>
      <w:r w:rsidR="00F96B2F" w:rsidRPr="00E96E9F">
        <w:t xml:space="preserve"> </w:t>
      </w:r>
      <w:r w:rsidRPr="00E96E9F">
        <w:t>of</w:t>
      </w:r>
      <w:r w:rsidR="00F96B2F" w:rsidRPr="00E96E9F">
        <w:t xml:space="preserve"> </w:t>
      </w:r>
      <w:r w:rsidRPr="00E96E9F">
        <w:t>listing.</w:t>
      </w:r>
      <w:r w:rsidR="00F96B2F" w:rsidRPr="00E96E9F">
        <w:t xml:space="preserve"> </w:t>
      </w:r>
      <w:r w:rsidRPr="00E96E9F">
        <w:t>The</w:t>
      </w:r>
      <w:r w:rsidR="00F96B2F" w:rsidRPr="00E96E9F">
        <w:t xml:space="preserve"> </w:t>
      </w:r>
      <w:r w:rsidR="00DD374C" w:rsidRPr="00E96E9F">
        <w:t>submission</w:t>
      </w:r>
      <w:r w:rsidR="00F96B2F" w:rsidRPr="00E96E9F">
        <w:t xml:space="preserve"> </w:t>
      </w:r>
      <w:r w:rsidR="001B558A" w:rsidRPr="00E96E9F">
        <w:t>note</w:t>
      </w:r>
      <w:r w:rsidR="001B558A">
        <w:t>d</w:t>
      </w:r>
      <w:r w:rsidR="001B558A" w:rsidRPr="00E96E9F">
        <w:t xml:space="preserve"> </w:t>
      </w:r>
      <w:r w:rsidRPr="00E96E9F">
        <w:t>that</w:t>
      </w:r>
      <w:r w:rsidR="00F96B2F" w:rsidRPr="00E96E9F">
        <w:t xml:space="preserve"> </w:t>
      </w:r>
      <w:r w:rsidRPr="00E96E9F">
        <w:t>the</w:t>
      </w:r>
      <w:r w:rsidR="00F96B2F" w:rsidRPr="00E96E9F">
        <w:t xml:space="preserve"> </w:t>
      </w:r>
      <w:r w:rsidRPr="00E96E9F">
        <w:t>PBS</w:t>
      </w:r>
      <w:r w:rsidR="00F96B2F" w:rsidRPr="00E96E9F">
        <w:t xml:space="preserve"> </w:t>
      </w:r>
      <w:r w:rsidRPr="00E96E9F">
        <w:t>listing</w:t>
      </w:r>
      <w:r w:rsidR="00F96B2F" w:rsidRPr="00E96E9F">
        <w:t xml:space="preserve"> </w:t>
      </w:r>
      <w:r w:rsidRPr="00E96E9F">
        <w:t>of</w:t>
      </w:r>
      <w:r w:rsidR="00F96B2F" w:rsidRPr="00E96E9F">
        <w:t xml:space="preserve"> </w:t>
      </w:r>
      <w:proofErr w:type="spellStart"/>
      <w:r w:rsidRPr="00E96E9F">
        <w:t>somatrogon</w:t>
      </w:r>
      <w:proofErr w:type="spellEnd"/>
      <w:r w:rsidR="00F96B2F" w:rsidRPr="00E96E9F">
        <w:t xml:space="preserve"> </w:t>
      </w:r>
      <w:r w:rsidR="00353459">
        <w:t>wa</w:t>
      </w:r>
      <w:r w:rsidR="00353459" w:rsidRPr="00E96E9F">
        <w:t xml:space="preserve">s </w:t>
      </w:r>
      <w:r w:rsidRPr="00E96E9F">
        <w:t>likely</w:t>
      </w:r>
      <w:r w:rsidR="00F96B2F" w:rsidRPr="00E96E9F">
        <w:t xml:space="preserve"> </w:t>
      </w:r>
      <w:r w:rsidRPr="00E96E9F">
        <w:t>to</w:t>
      </w:r>
      <w:r w:rsidR="00F96B2F" w:rsidRPr="00E96E9F">
        <w:t xml:space="preserve"> </w:t>
      </w:r>
      <w:r w:rsidRPr="00E96E9F">
        <w:t>be</w:t>
      </w:r>
      <w:r w:rsidR="00F96B2F" w:rsidRPr="00E96E9F">
        <w:t xml:space="preserve"> </w:t>
      </w:r>
      <w:r w:rsidRPr="00E96E9F">
        <w:t>cost-neutral</w:t>
      </w:r>
      <w:r w:rsidR="00F96B2F" w:rsidRPr="00E96E9F">
        <w:t xml:space="preserve"> </w:t>
      </w:r>
      <w:r w:rsidRPr="00E96E9F">
        <w:t>and</w:t>
      </w:r>
      <w:r w:rsidR="00F96B2F" w:rsidRPr="00E96E9F">
        <w:t xml:space="preserve"> </w:t>
      </w:r>
      <w:r w:rsidR="00353459">
        <w:t xml:space="preserve">that </w:t>
      </w:r>
      <w:r w:rsidRPr="00E96E9F">
        <w:t>the</w:t>
      </w:r>
      <w:r w:rsidR="00F96B2F" w:rsidRPr="00E96E9F">
        <w:t xml:space="preserve"> </w:t>
      </w:r>
      <w:r w:rsidRPr="00E96E9F">
        <w:t>saving</w:t>
      </w:r>
      <w:r w:rsidR="00F96B2F" w:rsidRPr="00E96E9F">
        <w:t xml:space="preserve"> </w:t>
      </w:r>
      <w:r w:rsidRPr="00E96E9F">
        <w:t>shown</w:t>
      </w:r>
      <w:r w:rsidR="00F96B2F" w:rsidRPr="00E96E9F">
        <w:t xml:space="preserve"> </w:t>
      </w:r>
      <w:r w:rsidR="00353459">
        <w:t>wa</w:t>
      </w:r>
      <w:r w:rsidR="00353459" w:rsidRPr="00E96E9F">
        <w:t xml:space="preserve">s </w:t>
      </w:r>
      <w:r w:rsidRPr="00E96E9F">
        <w:t>a</w:t>
      </w:r>
      <w:r w:rsidR="00F96B2F" w:rsidRPr="00E96E9F">
        <w:t xml:space="preserve"> </w:t>
      </w:r>
      <w:r w:rsidRPr="00E96E9F">
        <w:t>consequence</w:t>
      </w:r>
      <w:r w:rsidR="00F96B2F" w:rsidRPr="00E96E9F">
        <w:t xml:space="preserve"> </w:t>
      </w:r>
      <w:r w:rsidRPr="00E96E9F">
        <w:t>of</w:t>
      </w:r>
      <w:r w:rsidR="00F96B2F" w:rsidRPr="00E96E9F">
        <w:t xml:space="preserve"> </w:t>
      </w:r>
      <w:r w:rsidRPr="00E96E9F">
        <w:t>weight-based</w:t>
      </w:r>
      <w:r w:rsidR="00F96B2F" w:rsidRPr="00E96E9F">
        <w:t xml:space="preserve"> </w:t>
      </w:r>
      <w:r w:rsidRPr="00E96E9F">
        <w:t>dosing</w:t>
      </w:r>
      <w:r w:rsidR="00F96B2F" w:rsidRPr="00E96E9F">
        <w:t xml:space="preserve"> </w:t>
      </w:r>
      <w:r w:rsidRPr="00E96E9F">
        <w:t>estimates</w:t>
      </w:r>
      <w:r w:rsidR="00F96B2F" w:rsidRPr="00E96E9F">
        <w:t xml:space="preserve"> </w:t>
      </w:r>
      <w:r w:rsidRPr="00E96E9F">
        <w:t>and</w:t>
      </w:r>
      <w:r w:rsidR="00F96B2F" w:rsidRPr="00E96E9F">
        <w:t xml:space="preserve"> </w:t>
      </w:r>
      <w:r w:rsidRPr="00E96E9F">
        <w:t>rounding</w:t>
      </w:r>
      <w:r w:rsidR="00F96B2F" w:rsidRPr="00E96E9F">
        <w:t xml:space="preserve"> </w:t>
      </w:r>
      <w:r w:rsidRPr="00E96E9F">
        <w:t>to</w:t>
      </w:r>
      <w:r w:rsidR="00F96B2F" w:rsidRPr="00E96E9F">
        <w:t xml:space="preserve"> </w:t>
      </w:r>
      <w:r w:rsidRPr="00E96E9F">
        <w:t>achieve</w:t>
      </w:r>
      <w:r w:rsidR="00F96B2F" w:rsidRPr="00E96E9F">
        <w:t xml:space="preserve"> </w:t>
      </w:r>
      <w:r w:rsidRPr="00E96E9F">
        <w:t>monthly</w:t>
      </w:r>
      <w:r w:rsidR="00F96B2F" w:rsidRPr="00E96E9F">
        <w:t xml:space="preserve"> </w:t>
      </w:r>
      <w:r w:rsidRPr="00E96E9F">
        <w:t>doses.</w:t>
      </w:r>
      <w:r w:rsidR="00F96B2F" w:rsidRPr="00E96E9F">
        <w:t xml:space="preserve"> </w:t>
      </w:r>
      <w:r w:rsidRPr="00F67BDE">
        <w:rPr>
          <w:iCs/>
        </w:rPr>
        <w:t>This</w:t>
      </w:r>
      <w:r w:rsidR="00F96B2F" w:rsidRPr="00F67BDE">
        <w:rPr>
          <w:iCs/>
        </w:rPr>
        <w:t xml:space="preserve"> </w:t>
      </w:r>
      <w:r w:rsidRPr="00F67BDE">
        <w:rPr>
          <w:iCs/>
        </w:rPr>
        <w:t>statement</w:t>
      </w:r>
      <w:r w:rsidR="00F96B2F" w:rsidRPr="00F67BDE">
        <w:rPr>
          <w:iCs/>
        </w:rPr>
        <w:t xml:space="preserve"> </w:t>
      </w:r>
      <w:r w:rsidR="00F14821" w:rsidRPr="00F67BDE">
        <w:rPr>
          <w:iCs/>
        </w:rPr>
        <w:t>could not</w:t>
      </w:r>
      <w:r w:rsidR="00F96B2F" w:rsidRPr="00F67BDE">
        <w:rPr>
          <w:iCs/>
        </w:rPr>
        <w:t xml:space="preserve"> </w:t>
      </w:r>
      <w:r w:rsidRPr="00F67BDE">
        <w:rPr>
          <w:iCs/>
        </w:rPr>
        <w:t>be</w:t>
      </w:r>
      <w:r w:rsidR="00F96B2F" w:rsidRPr="00F67BDE">
        <w:rPr>
          <w:iCs/>
        </w:rPr>
        <w:t xml:space="preserve"> </w:t>
      </w:r>
      <w:r w:rsidRPr="00F67BDE">
        <w:rPr>
          <w:iCs/>
        </w:rPr>
        <w:t>verified</w:t>
      </w:r>
      <w:r w:rsidR="00F96B2F" w:rsidRPr="00F67BDE">
        <w:rPr>
          <w:iCs/>
        </w:rPr>
        <w:t xml:space="preserve"> </w:t>
      </w:r>
      <w:r w:rsidRPr="00F67BDE">
        <w:rPr>
          <w:iCs/>
        </w:rPr>
        <w:t>in</w:t>
      </w:r>
      <w:r w:rsidR="00F96B2F" w:rsidRPr="00F67BDE">
        <w:rPr>
          <w:iCs/>
        </w:rPr>
        <w:t xml:space="preserve"> </w:t>
      </w:r>
      <w:r w:rsidRPr="00F67BDE">
        <w:rPr>
          <w:iCs/>
        </w:rPr>
        <w:t>the</w:t>
      </w:r>
      <w:r w:rsidR="00F96B2F" w:rsidRPr="00F67BDE">
        <w:rPr>
          <w:iCs/>
        </w:rPr>
        <w:t xml:space="preserve"> </w:t>
      </w:r>
      <w:r w:rsidR="00DD374C" w:rsidRPr="00F67BDE">
        <w:rPr>
          <w:iCs/>
        </w:rPr>
        <w:t xml:space="preserve">submission’s </w:t>
      </w:r>
      <w:r w:rsidRPr="00F67BDE">
        <w:rPr>
          <w:iCs/>
        </w:rPr>
        <w:t>model</w:t>
      </w:r>
      <w:r w:rsidR="00F96B2F" w:rsidRPr="00F67BDE">
        <w:rPr>
          <w:iCs/>
        </w:rPr>
        <w:t xml:space="preserve"> </w:t>
      </w:r>
      <w:r w:rsidR="00353459" w:rsidRPr="00F67BDE">
        <w:rPr>
          <w:iCs/>
        </w:rPr>
        <w:t xml:space="preserve">because </w:t>
      </w:r>
      <w:r w:rsidRPr="00F67BDE">
        <w:rPr>
          <w:iCs/>
        </w:rPr>
        <w:t>the</w:t>
      </w:r>
      <w:r w:rsidR="00F96B2F" w:rsidRPr="00F67BDE">
        <w:rPr>
          <w:iCs/>
        </w:rPr>
        <w:t xml:space="preserve"> </w:t>
      </w:r>
      <w:r w:rsidRPr="00F67BDE">
        <w:rPr>
          <w:iCs/>
        </w:rPr>
        <w:t>values</w:t>
      </w:r>
      <w:r w:rsidR="00F96B2F" w:rsidRPr="00F67BDE">
        <w:rPr>
          <w:iCs/>
        </w:rPr>
        <w:t xml:space="preserve"> </w:t>
      </w:r>
      <w:r w:rsidRPr="00F67BDE">
        <w:rPr>
          <w:iCs/>
        </w:rPr>
        <w:t>inputted</w:t>
      </w:r>
      <w:r w:rsidR="00F96B2F" w:rsidRPr="00F67BDE">
        <w:rPr>
          <w:iCs/>
        </w:rPr>
        <w:t xml:space="preserve"> </w:t>
      </w:r>
      <w:r w:rsidRPr="00F67BDE">
        <w:rPr>
          <w:iCs/>
        </w:rPr>
        <w:t>in</w:t>
      </w:r>
      <w:r w:rsidR="00F96B2F" w:rsidRPr="00F67BDE">
        <w:rPr>
          <w:iCs/>
        </w:rPr>
        <w:t xml:space="preserve"> </w:t>
      </w:r>
      <w:r w:rsidRPr="00F67BDE">
        <w:rPr>
          <w:iCs/>
        </w:rPr>
        <w:t>the</w:t>
      </w:r>
      <w:r w:rsidR="00F96B2F" w:rsidRPr="00F67BDE">
        <w:rPr>
          <w:iCs/>
        </w:rPr>
        <w:t xml:space="preserve"> </w:t>
      </w:r>
      <w:r w:rsidRPr="00F67BDE">
        <w:rPr>
          <w:iCs/>
        </w:rPr>
        <w:t>spreadsheet</w:t>
      </w:r>
      <w:r w:rsidR="00F96B2F" w:rsidRPr="00F67BDE">
        <w:rPr>
          <w:iCs/>
        </w:rPr>
        <w:t xml:space="preserve"> </w:t>
      </w:r>
      <w:r w:rsidRPr="00F67BDE">
        <w:rPr>
          <w:iCs/>
        </w:rPr>
        <w:t>could</w:t>
      </w:r>
      <w:r w:rsidR="00F96B2F" w:rsidRPr="00F67BDE">
        <w:rPr>
          <w:iCs/>
        </w:rPr>
        <w:t xml:space="preserve"> </w:t>
      </w:r>
      <w:r w:rsidRPr="00F67BDE">
        <w:rPr>
          <w:iCs/>
        </w:rPr>
        <w:t>not</w:t>
      </w:r>
      <w:r w:rsidR="00F96B2F" w:rsidRPr="00F67BDE">
        <w:rPr>
          <w:iCs/>
        </w:rPr>
        <w:t xml:space="preserve"> </w:t>
      </w:r>
      <w:r w:rsidRPr="00F67BDE">
        <w:rPr>
          <w:iCs/>
        </w:rPr>
        <w:t>be</w:t>
      </w:r>
      <w:r w:rsidR="00F96B2F" w:rsidRPr="00F67BDE">
        <w:rPr>
          <w:iCs/>
        </w:rPr>
        <w:t xml:space="preserve"> </w:t>
      </w:r>
      <w:r w:rsidRPr="00F67BDE">
        <w:rPr>
          <w:iCs/>
        </w:rPr>
        <w:t>cross-referenced</w:t>
      </w:r>
      <w:r w:rsidR="00F96B2F" w:rsidRPr="00F67BDE">
        <w:rPr>
          <w:iCs/>
        </w:rPr>
        <w:t xml:space="preserve"> </w:t>
      </w:r>
      <w:r w:rsidRPr="00F67BDE">
        <w:rPr>
          <w:iCs/>
        </w:rPr>
        <w:t>as</w:t>
      </w:r>
      <w:r w:rsidR="00F96B2F" w:rsidRPr="00F67BDE">
        <w:rPr>
          <w:iCs/>
        </w:rPr>
        <w:t xml:space="preserve"> </w:t>
      </w:r>
      <w:r w:rsidRPr="00F67BDE">
        <w:rPr>
          <w:iCs/>
        </w:rPr>
        <w:t>no</w:t>
      </w:r>
      <w:r w:rsidR="00F96B2F" w:rsidRPr="00F67BDE">
        <w:rPr>
          <w:iCs/>
        </w:rPr>
        <w:t xml:space="preserve"> </w:t>
      </w:r>
      <w:r w:rsidRPr="00F67BDE">
        <w:rPr>
          <w:iCs/>
        </w:rPr>
        <w:t>formulas</w:t>
      </w:r>
      <w:r w:rsidR="00F96B2F" w:rsidRPr="00F67BDE">
        <w:rPr>
          <w:iCs/>
        </w:rPr>
        <w:t xml:space="preserve"> </w:t>
      </w:r>
      <w:r w:rsidRPr="00F67BDE">
        <w:rPr>
          <w:iCs/>
        </w:rPr>
        <w:t>were</w:t>
      </w:r>
      <w:r w:rsidR="00F96B2F" w:rsidRPr="00F67BDE">
        <w:rPr>
          <w:iCs/>
        </w:rPr>
        <w:t xml:space="preserve"> </w:t>
      </w:r>
      <w:r w:rsidRPr="00F67BDE">
        <w:rPr>
          <w:iCs/>
        </w:rPr>
        <w:t>provided.</w:t>
      </w:r>
      <w:r w:rsidR="00F96B2F" w:rsidRPr="00F67BDE">
        <w:rPr>
          <w:iCs/>
        </w:rPr>
        <w:t xml:space="preserve"> </w:t>
      </w:r>
      <w:r w:rsidRPr="00F67BDE">
        <w:rPr>
          <w:iCs/>
        </w:rPr>
        <w:t>It</w:t>
      </w:r>
      <w:r w:rsidR="00F96B2F" w:rsidRPr="00F67BDE">
        <w:rPr>
          <w:iCs/>
        </w:rPr>
        <w:t xml:space="preserve"> </w:t>
      </w:r>
      <w:r w:rsidR="00353459" w:rsidRPr="00F67BDE">
        <w:rPr>
          <w:iCs/>
        </w:rPr>
        <w:t xml:space="preserve">was </w:t>
      </w:r>
      <w:r w:rsidRPr="00F67BDE">
        <w:rPr>
          <w:iCs/>
        </w:rPr>
        <w:t>therefore</w:t>
      </w:r>
      <w:r w:rsidR="00F96B2F" w:rsidRPr="00F67BDE">
        <w:rPr>
          <w:iCs/>
        </w:rPr>
        <w:t xml:space="preserve"> </w:t>
      </w:r>
      <w:r w:rsidRPr="00F67BDE">
        <w:rPr>
          <w:iCs/>
        </w:rPr>
        <w:t>difficult</w:t>
      </w:r>
      <w:r w:rsidR="00F96B2F" w:rsidRPr="00F67BDE">
        <w:rPr>
          <w:iCs/>
        </w:rPr>
        <w:t xml:space="preserve"> </w:t>
      </w:r>
      <w:r w:rsidRPr="00F67BDE">
        <w:rPr>
          <w:iCs/>
        </w:rPr>
        <w:t>to</w:t>
      </w:r>
      <w:r w:rsidR="00F96B2F" w:rsidRPr="00F67BDE">
        <w:rPr>
          <w:iCs/>
        </w:rPr>
        <w:t xml:space="preserve"> </w:t>
      </w:r>
      <w:r w:rsidRPr="00F67BDE">
        <w:rPr>
          <w:iCs/>
        </w:rPr>
        <w:t>assess</w:t>
      </w:r>
      <w:r w:rsidR="00F96B2F" w:rsidRPr="00F67BDE">
        <w:rPr>
          <w:iCs/>
        </w:rPr>
        <w:t xml:space="preserve"> </w:t>
      </w:r>
      <w:r w:rsidR="00353459" w:rsidRPr="00F67BDE">
        <w:rPr>
          <w:iCs/>
        </w:rPr>
        <w:t xml:space="preserve">the </w:t>
      </w:r>
      <w:r w:rsidRPr="00F67BDE">
        <w:rPr>
          <w:iCs/>
        </w:rPr>
        <w:t>potential</w:t>
      </w:r>
      <w:r w:rsidR="00F96B2F" w:rsidRPr="00F67BDE">
        <w:rPr>
          <w:iCs/>
        </w:rPr>
        <w:t xml:space="preserve"> </w:t>
      </w:r>
      <w:r w:rsidRPr="00F67BDE">
        <w:rPr>
          <w:iCs/>
        </w:rPr>
        <w:t>sources</w:t>
      </w:r>
      <w:r w:rsidR="00F96B2F" w:rsidRPr="00F67BDE">
        <w:rPr>
          <w:iCs/>
        </w:rPr>
        <w:t xml:space="preserve"> </w:t>
      </w:r>
      <w:r w:rsidRPr="00F67BDE">
        <w:rPr>
          <w:iCs/>
        </w:rPr>
        <w:t>in</w:t>
      </w:r>
      <w:r w:rsidR="00F96B2F" w:rsidRPr="00F67BDE">
        <w:rPr>
          <w:iCs/>
        </w:rPr>
        <w:t xml:space="preserve"> </w:t>
      </w:r>
      <w:r w:rsidRPr="00F67BDE">
        <w:rPr>
          <w:iCs/>
        </w:rPr>
        <w:t>the</w:t>
      </w:r>
      <w:r w:rsidR="00F96B2F" w:rsidRPr="00F67BDE">
        <w:rPr>
          <w:iCs/>
        </w:rPr>
        <w:t xml:space="preserve"> </w:t>
      </w:r>
      <w:r w:rsidRPr="00F67BDE">
        <w:rPr>
          <w:iCs/>
        </w:rPr>
        <w:t>financial</w:t>
      </w:r>
      <w:r w:rsidR="00F96B2F" w:rsidRPr="00F67BDE">
        <w:rPr>
          <w:iCs/>
        </w:rPr>
        <w:t xml:space="preserve"> </w:t>
      </w:r>
      <w:r w:rsidRPr="00F67BDE">
        <w:rPr>
          <w:iCs/>
        </w:rPr>
        <w:t>analysis</w:t>
      </w:r>
      <w:r w:rsidR="00F96B2F" w:rsidRPr="00F67BDE">
        <w:rPr>
          <w:iCs/>
        </w:rPr>
        <w:t xml:space="preserve"> </w:t>
      </w:r>
      <w:r w:rsidRPr="00F67BDE">
        <w:rPr>
          <w:iCs/>
        </w:rPr>
        <w:t>that</w:t>
      </w:r>
      <w:r w:rsidR="00F96B2F" w:rsidRPr="00F67BDE">
        <w:rPr>
          <w:iCs/>
        </w:rPr>
        <w:t xml:space="preserve"> </w:t>
      </w:r>
      <w:r w:rsidR="00353459" w:rsidRPr="00F67BDE">
        <w:rPr>
          <w:iCs/>
        </w:rPr>
        <w:t xml:space="preserve">had </w:t>
      </w:r>
      <w:r w:rsidRPr="00F67BDE">
        <w:rPr>
          <w:iCs/>
        </w:rPr>
        <w:t>contributed</w:t>
      </w:r>
      <w:r w:rsidR="00F96B2F" w:rsidRPr="00F67BDE">
        <w:rPr>
          <w:iCs/>
        </w:rPr>
        <w:t xml:space="preserve"> </w:t>
      </w:r>
      <w:r w:rsidRPr="00F67BDE">
        <w:rPr>
          <w:iCs/>
        </w:rPr>
        <w:t>to</w:t>
      </w:r>
      <w:r w:rsidR="00F96B2F" w:rsidRPr="00F67BDE">
        <w:rPr>
          <w:iCs/>
        </w:rPr>
        <w:t xml:space="preserve"> </w:t>
      </w:r>
      <w:r w:rsidRPr="00F67BDE">
        <w:rPr>
          <w:iCs/>
        </w:rPr>
        <w:t>a</w:t>
      </w:r>
      <w:r w:rsidR="00F96B2F" w:rsidRPr="00F67BDE">
        <w:rPr>
          <w:iCs/>
        </w:rPr>
        <w:t xml:space="preserve"> </w:t>
      </w:r>
      <w:r w:rsidRPr="00F67BDE">
        <w:rPr>
          <w:iCs/>
        </w:rPr>
        <w:t>net</w:t>
      </w:r>
      <w:r w:rsidR="00F96B2F" w:rsidRPr="00F67BDE">
        <w:rPr>
          <w:iCs/>
        </w:rPr>
        <w:t xml:space="preserve"> </w:t>
      </w:r>
      <w:r w:rsidRPr="00F67BDE">
        <w:rPr>
          <w:iCs/>
        </w:rPr>
        <w:t>cost</w:t>
      </w:r>
      <w:r w:rsidR="00F96B2F" w:rsidRPr="00F67BDE">
        <w:rPr>
          <w:iCs/>
        </w:rPr>
        <w:t xml:space="preserve"> </w:t>
      </w:r>
      <w:r w:rsidR="00323BF9" w:rsidRPr="00F67BDE">
        <w:rPr>
          <w:iCs/>
        </w:rPr>
        <w:t>saving</w:t>
      </w:r>
      <w:r w:rsidR="00F96B2F" w:rsidRPr="00F67BDE">
        <w:rPr>
          <w:iCs/>
        </w:rPr>
        <w:t xml:space="preserve"> </w:t>
      </w:r>
      <w:r w:rsidRPr="00F67BDE">
        <w:rPr>
          <w:iCs/>
        </w:rPr>
        <w:t>to</w:t>
      </w:r>
      <w:r w:rsidR="00F96B2F" w:rsidRPr="00F67BDE">
        <w:rPr>
          <w:iCs/>
        </w:rPr>
        <w:t xml:space="preserve"> </w:t>
      </w:r>
      <w:r w:rsidRPr="00F67BDE">
        <w:rPr>
          <w:iCs/>
        </w:rPr>
        <w:t>the</w:t>
      </w:r>
      <w:r w:rsidR="00F96B2F" w:rsidRPr="00F67BDE">
        <w:rPr>
          <w:iCs/>
        </w:rPr>
        <w:t xml:space="preserve"> </w:t>
      </w:r>
      <w:r w:rsidRPr="00F67BDE">
        <w:rPr>
          <w:iCs/>
        </w:rPr>
        <w:t>PBS/RPBS</w:t>
      </w:r>
      <w:r w:rsidR="00F96B2F" w:rsidRPr="00F67BDE">
        <w:rPr>
          <w:iCs/>
        </w:rPr>
        <w:t xml:space="preserve"> </w:t>
      </w:r>
      <w:r w:rsidRPr="00F67BDE">
        <w:rPr>
          <w:iCs/>
        </w:rPr>
        <w:t>when</w:t>
      </w:r>
      <w:r w:rsidR="00F96B2F" w:rsidRPr="00F67BDE">
        <w:rPr>
          <w:iCs/>
        </w:rPr>
        <w:t xml:space="preserve"> </w:t>
      </w:r>
      <w:r w:rsidRPr="00F67BDE">
        <w:rPr>
          <w:iCs/>
        </w:rPr>
        <w:t>unrounded</w:t>
      </w:r>
      <w:r w:rsidR="00F96B2F" w:rsidRPr="00F67BDE">
        <w:rPr>
          <w:iCs/>
        </w:rPr>
        <w:t xml:space="preserve"> </w:t>
      </w:r>
      <w:r w:rsidRPr="00F67BDE">
        <w:rPr>
          <w:iCs/>
        </w:rPr>
        <w:t>units</w:t>
      </w:r>
      <w:r w:rsidR="00F96B2F" w:rsidRPr="00F67BDE">
        <w:rPr>
          <w:iCs/>
        </w:rPr>
        <w:t xml:space="preserve"> </w:t>
      </w:r>
      <w:r w:rsidRPr="00F67BDE">
        <w:rPr>
          <w:iCs/>
        </w:rPr>
        <w:t>of</w:t>
      </w:r>
      <w:r w:rsidR="00F96B2F" w:rsidRPr="00F67BDE">
        <w:rPr>
          <w:iCs/>
        </w:rPr>
        <w:t xml:space="preserve"> </w:t>
      </w:r>
      <w:r w:rsidRPr="00F67BDE">
        <w:rPr>
          <w:iCs/>
        </w:rPr>
        <w:t>daily</w:t>
      </w:r>
      <w:r w:rsidR="00F96B2F" w:rsidRPr="00F67BDE">
        <w:rPr>
          <w:iCs/>
        </w:rPr>
        <w:t xml:space="preserve"> </w:t>
      </w:r>
      <w:r w:rsidRPr="00F67BDE">
        <w:rPr>
          <w:iCs/>
        </w:rPr>
        <w:t>and</w:t>
      </w:r>
      <w:r w:rsidR="00F96B2F" w:rsidRPr="00F67BDE">
        <w:rPr>
          <w:iCs/>
        </w:rPr>
        <w:t xml:space="preserve"> </w:t>
      </w:r>
      <w:r w:rsidRPr="00F67BDE">
        <w:rPr>
          <w:iCs/>
        </w:rPr>
        <w:t>weekly</w:t>
      </w:r>
      <w:r w:rsidR="00F96B2F" w:rsidRPr="00F67BDE">
        <w:rPr>
          <w:iCs/>
        </w:rPr>
        <w:t xml:space="preserve"> </w:t>
      </w:r>
      <w:r w:rsidRPr="00F67BDE">
        <w:rPr>
          <w:iCs/>
        </w:rPr>
        <w:t>treatment</w:t>
      </w:r>
      <w:r w:rsidR="00F96B2F" w:rsidRPr="00F67BDE">
        <w:rPr>
          <w:iCs/>
        </w:rPr>
        <w:t xml:space="preserve"> </w:t>
      </w:r>
      <w:r w:rsidRPr="00F67BDE">
        <w:rPr>
          <w:iCs/>
        </w:rPr>
        <w:t>were</w:t>
      </w:r>
      <w:r w:rsidR="00F96B2F" w:rsidRPr="00F67BDE">
        <w:rPr>
          <w:iCs/>
        </w:rPr>
        <w:t xml:space="preserve"> </w:t>
      </w:r>
      <w:r w:rsidRPr="00F67BDE">
        <w:rPr>
          <w:iCs/>
        </w:rPr>
        <w:t>used,</w:t>
      </w:r>
      <w:r w:rsidR="00F96B2F" w:rsidRPr="00F67BDE">
        <w:rPr>
          <w:iCs/>
        </w:rPr>
        <w:t xml:space="preserve"> </w:t>
      </w:r>
      <w:r w:rsidRPr="00F67BDE">
        <w:rPr>
          <w:iCs/>
        </w:rPr>
        <w:t>despite</w:t>
      </w:r>
      <w:r w:rsidR="00F96B2F" w:rsidRPr="00F67BDE">
        <w:rPr>
          <w:iCs/>
        </w:rPr>
        <w:t xml:space="preserve"> </w:t>
      </w:r>
      <w:r w:rsidRPr="00F67BDE">
        <w:rPr>
          <w:iCs/>
        </w:rPr>
        <w:t>the</w:t>
      </w:r>
      <w:r w:rsidR="00F96B2F" w:rsidRPr="00F67BDE">
        <w:rPr>
          <w:iCs/>
        </w:rPr>
        <w:t xml:space="preserve"> </w:t>
      </w:r>
      <w:r w:rsidRPr="00F67BDE">
        <w:rPr>
          <w:iCs/>
        </w:rPr>
        <w:t>cost-minimised</w:t>
      </w:r>
      <w:r w:rsidR="00F96B2F" w:rsidRPr="00F67BDE">
        <w:rPr>
          <w:iCs/>
        </w:rPr>
        <w:t xml:space="preserve"> </w:t>
      </w:r>
      <w:r w:rsidRPr="00F67BDE">
        <w:rPr>
          <w:iCs/>
        </w:rPr>
        <w:t>price</w:t>
      </w:r>
      <w:r w:rsidR="00F96B2F" w:rsidRPr="00F67BDE">
        <w:rPr>
          <w:iCs/>
        </w:rPr>
        <w:t xml:space="preserve"> </w:t>
      </w:r>
      <w:r w:rsidRPr="00F67BDE">
        <w:rPr>
          <w:iCs/>
        </w:rPr>
        <w:t>of</w:t>
      </w:r>
      <w:r w:rsidR="00F96B2F" w:rsidRPr="00F67BDE">
        <w:rPr>
          <w:iCs/>
        </w:rPr>
        <w:t xml:space="preserve"> </w:t>
      </w:r>
      <w:proofErr w:type="spellStart"/>
      <w:r w:rsidRPr="00F67BDE">
        <w:rPr>
          <w:iCs/>
        </w:rPr>
        <w:t>somatrogon</w:t>
      </w:r>
      <w:proofErr w:type="spellEnd"/>
      <w:r w:rsidRPr="00F67BDE">
        <w:rPr>
          <w:iCs/>
        </w:rPr>
        <w:t>.</w:t>
      </w:r>
    </w:p>
    <w:p w14:paraId="5E4595B2" w14:textId="11973DF7" w:rsidR="00811E0E" w:rsidRPr="00E96E9F" w:rsidRDefault="00811E0E" w:rsidP="00811E0E">
      <w:pPr>
        <w:pStyle w:val="3-BodyText"/>
      </w:pPr>
      <w:r w:rsidRPr="00E96E9F">
        <w:t>The</w:t>
      </w:r>
      <w:r w:rsidR="00F96B2F" w:rsidRPr="00E96E9F">
        <w:t xml:space="preserve"> </w:t>
      </w:r>
      <w:r w:rsidRPr="00E96E9F">
        <w:t>estimated</w:t>
      </w:r>
      <w:r w:rsidR="00F96B2F" w:rsidRPr="00E96E9F">
        <w:t xml:space="preserve"> </w:t>
      </w:r>
      <w:r w:rsidRPr="00E96E9F">
        <w:t>financial</w:t>
      </w:r>
      <w:r w:rsidR="00F96B2F" w:rsidRPr="00E96E9F">
        <w:t xml:space="preserve"> </w:t>
      </w:r>
      <w:r w:rsidRPr="00E96E9F">
        <w:t>impact</w:t>
      </w:r>
      <w:r w:rsidR="00F96B2F" w:rsidRPr="00E96E9F">
        <w:t xml:space="preserve"> </w:t>
      </w:r>
      <w:r w:rsidRPr="00E96E9F">
        <w:t>may</w:t>
      </w:r>
      <w:r w:rsidR="00F96B2F" w:rsidRPr="00E96E9F">
        <w:t xml:space="preserve"> </w:t>
      </w:r>
      <w:r w:rsidRPr="00E96E9F">
        <w:t>be</w:t>
      </w:r>
      <w:r w:rsidR="00F96B2F" w:rsidRPr="00E96E9F">
        <w:t xml:space="preserve"> </w:t>
      </w:r>
      <w:r w:rsidRPr="00E96E9F">
        <w:t>understated</w:t>
      </w:r>
      <w:r w:rsidR="00F96B2F" w:rsidRPr="00E96E9F">
        <w:t xml:space="preserve"> </w:t>
      </w:r>
      <w:r w:rsidRPr="00E96E9F">
        <w:t>or</w:t>
      </w:r>
      <w:r w:rsidR="00F96B2F" w:rsidRPr="00E96E9F">
        <w:t xml:space="preserve"> </w:t>
      </w:r>
      <w:r w:rsidRPr="00E96E9F">
        <w:t>overstated</w:t>
      </w:r>
      <w:r w:rsidR="00F96B2F" w:rsidRPr="00E96E9F">
        <w:t xml:space="preserve"> </w:t>
      </w:r>
      <w:r w:rsidRPr="00E96E9F">
        <w:t>for</w:t>
      </w:r>
      <w:r w:rsidR="00F96B2F" w:rsidRPr="00E96E9F">
        <w:t xml:space="preserve"> </w:t>
      </w:r>
      <w:r w:rsidRPr="00E96E9F">
        <w:t>the</w:t>
      </w:r>
      <w:r w:rsidR="00F96B2F" w:rsidRPr="00E96E9F">
        <w:t xml:space="preserve"> </w:t>
      </w:r>
      <w:r w:rsidRPr="00E96E9F">
        <w:t>following</w:t>
      </w:r>
      <w:r w:rsidR="00F96B2F" w:rsidRPr="00E96E9F">
        <w:t xml:space="preserve"> </w:t>
      </w:r>
      <w:r w:rsidRPr="00E96E9F">
        <w:t>reasons:</w:t>
      </w:r>
    </w:p>
    <w:p w14:paraId="2E8CB584" w14:textId="61836B76" w:rsidR="00811E0E" w:rsidRPr="00BF1BFB" w:rsidRDefault="00353459" w:rsidP="00BF1BFB">
      <w:pPr>
        <w:pStyle w:val="ListParagraph"/>
        <w:ind w:left="1134"/>
      </w:pPr>
      <w:r>
        <w:lastRenderedPageBreak/>
        <w:t>The u</w:t>
      </w:r>
      <w:r w:rsidRPr="00BF1BFB">
        <w:t xml:space="preserve">se </w:t>
      </w:r>
      <w:r w:rsidR="00811E0E" w:rsidRPr="00BF1BFB">
        <w:t>of</w:t>
      </w:r>
      <w:r w:rsidR="00F96B2F" w:rsidRPr="00BF1BFB">
        <w:t xml:space="preserve"> </w:t>
      </w:r>
      <w:r w:rsidR="00811E0E" w:rsidRPr="00BF1BFB">
        <w:t>a</w:t>
      </w:r>
      <w:r w:rsidR="00F96B2F" w:rsidRPr="00BF1BFB">
        <w:t xml:space="preserve"> </w:t>
      </w:r>
      <w:r w:rsidR="00811E0E" w:rsidRPr="00BF1BFB">
        <w:t>cost</w:t>
      </w:r>
      <w:r w:rsidR="00F96B2F" w:rsidRPr="00BF1BFB">
        <w:t xml:space="preserve"> </w:t>
      </w:r>
      <w:r w:rsidR="00811E0E" w:rsidRPr="00BF1BFB">
        <w:t>minimised</w:t>
      </w:r>
      <w:r w:rsidR="00F96B2F" w:rsidRPr="00BF1BFB">
        <w:t xml:space="preserve"> </w:t>
      </w:r>
      <w:r w:rsidR="00811E0E" w:rsidRPr="00BF1BFB">
        <w:t>price</w:t>
      </w:r>
      <w:r w:rsidR="00F96B2F" w:rsidRPr="00BF1BFB">
        <w:t xml:space="preserve"> </w:t>
      </w:r>
      <w:r w:rsidR="00811E0E" w:rsidRPr="00BF1BFB">
        <w:t>should</w:t>
      </w:r>
      <w:r w:rsidR="00F96B2F" w:rsidRPr="00BF1BFB">
        <w:t xml:space="preserve"> </w:t>
      </w:r>
      <w:r w:rsidR="00811E0E" w:rsidRPr="00BF1BFB">
        <w:t>have</w:t>
      </w:r>
      <w:r w:rsidR="00F96B2F" w:rsidRPr="00BF1BFB">
        <w:t xml:space="preserve"> </w:t>
      </w:r>
      <w:r w:rsidR="00811E0E" w:rsidRPr="00BF1BFB">
        <w:t>led</w:t>
      </w:r>
      <w:r w:rsidR="00F96B2F" w:rsidRPr="00BF1BFB">
        <w:t xml:space="preserve"> </w:t>
      </w:r>
      <w:r w:rsidR="00811E0E" w:rsidRPr="00BF1BFB">
        <w:t>to</w:t>
      </w:r>
      <w:r w:rsidR="00F96B2F" w:rsidRPr="00BF1BFB">
        <w:t xml:space="preserve"> </w:t>
      </w:r>
      <w:r>
        <w:t xml:space="preserve">a </w:t>
      </w:r>
      <w:r w:rsidR="00811E0E" w:rsidRPr="00BF1BFB">
        <w:t>net</w:t>
      </w:r>
      <w:r w:rsidR="00F96B2F" w:rsidRPr="00BF1BFB">
        <w:t xml:space="preserve"> </w:t>
      </w:r>
      <w:r w:rsidR="00811E0E" w:rsidRPr="00BF1BFB">
        <w:t>cost</w:t>
      </w:r>
      <w:r w:rsidR="00F96B2F" w:rsidRPr="00BF1BFB">
        <w:t xml:space="preserve"> </w:t>
      </w:r>
      <w:r w:rsidR="00811E0E" w:rsidRPr="00BF1BFB">
        <w:t>to</w:t>
      </w:r>
      <w:r w:rsidR="00F96B2F" w:rsidRPr="00BF1BFB">
        <w:t xml:space="preserve"> </w:t>
      </w:r>
      <w:r>
        <w:t xml:space="preserve">the </w:t>
      </w:r>
      <w:r w:rsidR="00811E0E" w:rsidRPr="00BF1BFB">
        <w:t>PBS/RPBS</w:t>
      </w:r>
      <w:r w:rsidR="00F96B2F" w:rsidRPr="00BF1BFB">
        <w:t xml:space="preserve"> </w:t>
      </w:r>
      <w:r w:rsidR="00811E0E" w:rsidRPr="00BF1BFB">
        <w:t>relatively</w:t>
      </w:r>
      <w:r w:rsidR="00F96B2F" w:rsidRPr="00BF1BFB">
        <w:t xml:space="preserve"> </w:t>
      </w:r>
      <w:r w:rsidR="00811E0E" w:rsidRPr="00BF1BFB">
        <w:t>close</w:t>
      </w:r>
      <w:r w:rsidR="00F96B2F" w:rsidRPr="00BF1BFB">
        <w:t xml:space="preserve"> </w:t>
      </w:r>
      <w:r w:rsidR="00811E0E" w:rsidRPr="00BF1BFB">
        <w:t>to</w:t>
      </w:r>
      <w:r w:rsidR="00F96B2F" w:rsidRPr="00BF1BFB">
        <w:t xml:space="preserve"> </w:t>
      </w:r>
      <w:r w:rsidR="00811E0E" w:rsidRPr="00BF1BFB">
        <w:t>zero.</w:t>
      </w:r>
      <w:r w:rsidR="00F96B2F" w:rsidRPr="00BF1BFB">
        <w:t xml:space="preserve"> </w:t>
      </w:r>
      <w:r w:rsidR="00811E0E" w:rsidRPr="00BF1BFB">
        <w:t>The</w:t>
      </w:r>
      <w:r w:rsidR="00F96B2F" w:rsidRPr="00BF1BFB">
        <w:t xml:space="preserve"> </w:t>
      </w:r>
      <w:r w:rsidR="00DD374C" w:rsidRPr="00BF1BFB">
        <w:t>submission</w:t>
      </w:r>
      <w:r w:rsidR="00F96B2F" w:rsidRPr="00BF1BFB">
        <w:t xml:space="preserve"> </w:t>
      </w:r>
      <w:r w:rsidRPr="00BF1BFB">
        <w:t>state</w:t>
      </w:r>
      <w:r>
        <w:t>d</w:t>
      </w:r>
      <w:r w:rsidRPr="00BF1BFB">
        <w:t xml:space="preserve"> </w:t>
      </w:r>
      <w:r w:rsidR="00811E0E" w:rsidRPr="00BF1BFB">
        <w:t>that</w:t>
      </w:r>
      <w:r w:rsidR="00F96B2F" w:rsidRPr="00BF1BFB">
        <w:t xml:space="preserve"> </w:t>
      </w:r>
      <w:r w:rsidR="00811E0E" w:rsidRPr="00BF1BFB">
        <w:t>the</w:t>
      </w:r>
      <w:r w:rsidR="00F96B2F" w:rsidRPr="00BF1BFB">
        <w:t xml:space="preserve"> </w:t>
      </w:r>
      <w:r w:rsidR="00811E0E" w:rsidRPr="00BF1BFB">
        <w:t>financial</w:t>
      </w:r>
      <w:r w:rsidR="00F96B2F" w:rsidRPr="00BF1BFB">
        <w:t xml:space="preserve"> </w:t>
      </w:r>
      <w:r w:rsidR="00811E0E" w:rsidRPr="00BF1BFB">
        <w:t>estimates</w:t>
      </w:r>
      <w:r w:rsidR="00F96B2F" w:rsidRPr="00BF1BFB">
        <w:t xml:space="preserve"> </w:t>
      </w:r>
      <w:r w:rsidR="00811E0E" w:rsidRPr="00BF1BFB">
        <w:t>presented</w:t>
      </w:r>
      <w:r w:rsidR="00F96B2F" w:rsidRPr="00BF1BFB">
        <w:t xml:space="preserve"> </w:t>
      </w:r>
      <w:r>
        <w:t>we</w:t>
      </w:r>
      <w:r w:rsidRPr="00BF1BFB">
        <w:t xml:space="preserve">re </w:t>
      </w:r>
      <w:r w:rsidR="00811E0E" w:rsidRPr="00BF1BFB">
        <w:t>because</w:t>
      </w:r>
      <w:r w:rsidR="00F96B2F" w:rsidRPr="00BF1BFB">
        <w:t xml:space="preserve"> </w:t>
      </w:r>
      <w:r w:rsidR="00811E0E" w:rsidRPr="00BF1BFB">
        <w:t>of</w:t>
      </w:r>
      <w:r w:rsidR="00F96B2F" w:rsidRPr="00BF1BFB">
        <w:t xml:space="preserve"> </w:t>
      </w:r>
      <w:r w:rsidR="00811E0E" w:rsidRPr="00BF1BFB">
        <w:t>weight-based</w:t>
      </w:r>
      <w:r w:rsidR="00F96B2F" w:rsidRPr="00BF1BFB">
        <w:t xml:space="preserve"> </w:t>
      </w:r>
      <w:r w:rsidR="00811E0E" w:rsidRPr="00BF1BFB">
        <w:t>dosing</w:t>
      </w:r>
      <w:r w:rsidR="00F96B2F" w:rsidRPr="00BF1BFB">
        <w:t xml:space="preserve"> </w:t>
      </w:r>
      <w:r w:rsidR="00811E0E" w:rsidRPr="00BF1BFB">
        <w:t>estimates</w:t>
      </w:r>
      <w:r w:rsidR="00F96B2F" w:rsidRPr="00BF1BFB">
        <w:t xml:space="preserve"> </w:t>
      </w:r>
      <w:r w:rsidR="00811E0E" w:rsidRPr="00BF1BFB">
        <w:t>and</w:t>
      </w:r>
      <w:r w:rsidR="00F96B2F" w:rsidRPr="00BF1BFB">
        <w:t xml:space="preserve"> </w:t>
      </w:r>
      <w:r w:rsidR="00811E0E" w:rsidRPr="00BF1BFB">
        <w:t>rounding</w:t>
      </w:r>
      <w:r w:rsidR="00F96B2F" w:rsidRPr="00BF1BFB">
        <w:t xml:space="preserve"> </w:t>
      </w:r>
      <w:r w:rsidR="00811E0E" w:rsidRPr="00BF1BFB">
        <w:t>to</w:t>
      </w:r>
      <w:r w:rsidR="00F96B2F" w:rsidRPr="00BF1BFB">
        <w:t xml:space="preserve"> </w:t>
      </w:r>
      <w:r w:rsidR="00811E0E" w:rsidRPr="00BF1BFB">
        <w:t>achieve</w:t>
      </w:r>
      <w:r w:rsidR="00F96B2F" w:rsidRPr="00BF1BFB">
        <w:t xml:space="preserve"> </w:t>
      </w:r>
      <w:r w:rsidR="00811E0E" w:rsidRPr="00BF1BFB">
        <w:t>monthly</w:t>
      </w:r>
      <w:r w:rsidR="00F96B2F" w:rsidRPr="00BF1BFB">
        <w:t xml:space="preserve"> </w:t>
      </w:r>
      <w:r w:rsidR="00811E0E" w:rsidRPr="00BF1BFB">
        <w:t>doses.</w:t>
      </w:r>
      <w:r w:rsidR="00F96B2F" w:rsidRPr="00BF1BFB">
        <w:t xml:space="preserve"> </w:t>
      </w:r>
      <w:r w:rsidR="00811E0E" w:rsidRPr="00BF1BFB">
        <w:t>This</w:t>
      </w:r>
      <w:r w:rsidR="00F96B2F" w:rsidRPr="00BF1BFB">
        <w:t xml:space="preserve"> </w:t>
      </w:r>
      <w:r>
        <w:t>could not</w:t>
      </w:r>
      <w:r w:rsidR="00F96B2F" w:rsidRPr="00BF1BFB">
        <w:t xml:space="preserve"> </w:t>
      </w:r>
      <w:r w:rsidR="00811E0E" w:rsidRPr="00BF1BFB">
        <w:t>be</w:t>
      </w:r>
      <w:r w:rsidR="00F96B2F" w:rsidRPr="00BF1BFB">
        <w:t xml:space="preserve"> </w:t>
      </w:r>
      <w:r w:rsidR="00811E0E" w:rsidRPr="00BF1BFB">
        <w:t>verified.</w:t>
      </w:r>
    </w:p>
    <w:p w14:paraId="459CA7B7" w14:textId="6B99FA06" w:rsidR="00811E0E" w:rsidRPr="00BF1BFB" w:rsidRDefault="00811E0E" w:rsidP="00BF1BFB">
      <w:pPr>
        <w:pStyle w:val="ListParagraph"/>
        <w:ind w:left="1134"/>
      </w:pPr>
      <w:r w:rsidRPr="00BF1BFB">
        <w:t>The</w:t>
      </w:r>
      <w:r w:rsidR="00F96B2F" w:rsidRPr="00BF1BFB">
        <w:t xml:space="preserve"> </w:t>
      </w:r>
      <w:r w:rsidRPr="00BF1BFB">
        <w:t>financial</w:t>
      </w:r>
      <w:r w:rsidR="00F96B2F" w:rsidRPr="00BF1BFB">
        <w:t xml:space="preserve"> </w:t>
      </w:r>
      <w:r w:rsidRPr="00BF1BFB">
        <w:t>estimates</w:t>
      </w:r>
      <w:r w:rsidR="00F96B2F" w:rsidRPr="00BF1BFB">
        <w:t xml:space="preserve"> </w:t>
      </w:r>
      <w:r w:rsidR="00353459">
        <w:t>we</w:t>
      </w:r>
      <w:r w:rsidR="00353459" w:rsidRPr="00BF1BFB">
        <w:t xml:space="preserve">re </w:t>
      </w:r>
      <w:r w:rsidRPr="00BF1BFB">
        <w:t>sensitive</w:t>
      </w:r>
      <w:r w:rsidR="00F96B2F" w:rsidRPr="00BF1BFB">
        <w:t xml:space="preserve"> </w:t>
      </w:r>
      <w:r w:rsidRPr="00BF1BFB">
        <w:t>to</w:t>
      </w:r>
      <w:r w:rsidR="00F96B2F" w:rsidRPr="00BF1BFB">
        <w:t xml:space="preserve"> </w:t>
      </w:r>
      <w:r w:rsidRPr="00BF1BFB">
        <w:t>the</w:t>
      </w:r>
      <w:r w:rsidR="00F96B2F" w:rsidRPr="00BF1BFB">
        <w:t xml:space="preserve"> </w:t>
      </w:r>
      <w:r w:rsidRPr="00BF1BFB">
        <w:t>assumption</w:t>
      </w:r>
      <w:r w:rsidR="00F96B2F" w:rsidRPr="00BF1BFB">
        <w:t xml:space="preserve"> </w:t>
      </w:r>
      <w:r w:rsidRPr="00BF1BFB">
        <w:t>of</w:t>
      </w:r>
      <w:r w:rsidR="00F96B2F" w:rsidRPr="00BF1BFB">
        <w:t xml:space="preserve"> </w:t>
      </w:r>
      <w:r w:rsidRPr="00BF1BFB">
        <w:t>a</w:t>
      </w:r>
      <w:r w:rsidR="00F96B2F" w:rsidRPr="00BF1BFB">
        <w:t xml:space="preserve"> </w:t>
      </w:r>
      <w:r w:rsidRPr="00BF1BFB">
        <w:t>linear</w:t>
      </w:r>
      <w:r w:rsidR="00F96B2F" w:rsidRPr="00BF1BFB">
        <w:t xml:space="preserve"> </w:t>
      </w:r>
      <w:r w:rsidRPr="00BF1BFB">
        <w:t>extrapolation</w:t>
      </w:r>
      <w:r w:rsidR="00F96B2F" w:rsidRPr="00BF1BFB">
        <w:t xml:space="preserve"> </w:t>
      </w:r>
      <w:r w:rsidRPr="00BF1BFB">
        <w:t>of</w:t>
      </w:r>
      <w:r w:rsidR="00F96B2F" w:rsidRPr="00BF1BFB">
        <w:t xml:space="preserve"> </w:t>
      </w:r>
      <w:r w:rsidRPr="00BF1BFB">
        <w:t>the</w:t>
      </w:r>
      <w:r w:rsidR="00F96B2F" w:rsidRPr="00BF1BFB">
        <w:t xml:space="preserve"> </w:t>
      </w:r>
      <w:r w:rsidRPr="00BF1BFB">
        <w:t>GH</w:t>
      </w:r>
      <w:r w:rsidR="00F96B2F" w:rsidRPr="00BF1BFB">
        <w:t xml:space="preserve"> </w:t>
      </w:r>
      <w:r w:rsidRPr="00BF1BFB">
        <w:t>market</w:t>
      </w:r>
      <w:r w:rsidR="00F96B2F" w:rsidRPr="00BF1BFB">
        <w:t xml:space="preserve"> </w:t>
      </w:r>
      <w:r w:rsidRPr="00BF1BFB">
        <w:t>growth</w:t>
      </w:r>
    </w:p>
    <w:p w14:paraId="25DADF0A" w14:textId="5AAE6F16" w:rsidR="00811E0E" w:rsidRPr="00BF1BFB" w:rsidRDefault="00811E0E" w:rsidP="00BF1BFB">
      <w:pPr>
        <w:pStyle w:val="ListParagraph"/>
        <w:ind w:left="1134"/>
      </w:pPr>
      <w:r w:rsidRPr="00BF1BFB">
        <w:t>The</w:t>
      </w:r>
      <w:r w:rsidR="00F96B2F" w:rsidRPr="00BF1BFB">
        <w:t xml:space="preserve"> </w:t>
      </w:r>
      <w:r w:rsidRPr="00BF1BFB">
        <w:t>submission</w:t>
      </w:r>
      <w:r w:rsidR="00F96B2F" w:rsidRPr="00BF1BFB">
        <w:t xml:space="preserve"> </w:t>
      </w:r>
      <w:r w:rsidRPr="00BF1BFB">
        <w:t>did</w:t>
      </w:r>
      <w:r w:rsidR="00F96B2F" w:rsidRPr="00BF1BFB">
        <w:t xml:space="preserve"> </w:t>
      </w:r>
      <w:r w:rsidRPr="00BF1BFB">
        <w:t>not</w:t>
      </w:r>
      <w:r w:rsidR="00F96B2F" w:rsidRPr="00BF1BFB">
        <w:t xml:space="preserve"> </w:t>
      </w:r>
      <w:r w:rsidRPr="00BF1BFB">
        <w:t>provide</w:t>
      </w:r>
      <w:r w:rsidR="00F96B2F" w:rsidRPr="00BF1BFB">
        <w:t xml:space="preserve"> </w:t>
      </w:r>
      <w:r w:rsidRPr="00BF1BFB">
        <w:t>appropriate</w:t>
      </w:r>
      <w:r w:rsidR="00F96B2F" w:rsidRPr="00BF1BFB">
        <w:t xml:space="preserve"> </w:t>
      </w:r>
      <w:r w:rsidRPr="00BF1BFB">
        <w:t>justification</w:t>
      </w:r>
      <w:r w:rsidR="00F96B2F" w:rsidRPr="00BF1BFB">
        <w:t xml:space="preserve"> </w:t>
      </w:r>
      <w:r w:rsidRPr="00BF1BFB">
        <w:t>for</w:t>
      </w:r>
      <w:r w:rsidR="00F96B2F" w:rsidRPr="00BF1BFB">
        <w:t xml:space="preserve"> </w:t>
      </w:r>
      <w:r w:rsidRPr="00BF1BFB">
        <w:t>the</w:t>
      </w:r>
      <w:r w:rsidR="00F96B2F" w:rsidRPr="00BF1BFB">
        <w:t xml:space="preserve"> </w:t>
      </w:r>
      <w:proofErr w:type="spellStart"/>
      <w:r w:rsidRPr="00BF1BFB">
        <w:t>somatrogon</w:t>
      </w:r>
      <w:proofErr w:type="spellEnd"/>
      <w:r w:rsidR="00F96B2F" w:rsidRPr="00BF1BFB">
        <w:t xml:space="preserve"> </w:t>
      </w:r>
      <w:r w:rsidRPr="00BF1BFB">
        <w:t>uptake</w:t>
      </w:r>
      <w:r w:rsidR="00F96B2F" w:rsidRPr="00BF1BFB">
        <w:t xml:space="preserve"> </w:t>
      </w:r>
      <w:r w:rsidRPr="00BF1BFB">
        <w:t>rate</w:t>
      </w:r>
    </w:p>
    <w:p w14:paraId="3DF6A2EF" w14:textId="1B872907" w:rsidR="00811E0E" w:rsidRPr="00BF1BFB" w:rsidRDefault="00811E0E" w:rsidP="00BF1BFB">
      <w:pPr>
        <w:pStyle w:val="ListParagraph"/>
        <w:ind w:left="1134"/>
      </w:pPr>
      <w:r w:rsidRPr="00BF1BFB">
        <w:t>The</w:t>
      </w:r>
      <w:r w:rsidR="00F96B2F" w:rsidRPr="00BF1BFB">
        <w:t xml:space="preserve"> </w:t>
      </w:r>
      <w:r w:rsidR="00987A2B">
        <w:t xml:space="preserve">submission </w:t>
      </w:r>
      <w:r w:rsidRPr="00BF1BFB">
        <w:t>use</w:t>
      </w:r>
      <w:r w:rsidR="00987A2B">
        <w:t>d</w:t>
      </w:r>
      <w:r w:rsidR="00F96B2F" w:rsidRPr="00BF1BFB">
        <w:t xml:space="preserve"> </w:t>
      </w:r>
      <w:r w:rsidRPr="00BF1BFB">
        <w:t>median</w:t>
      </w:r>
      <w:r w:rsidR="00F96B2F" w:rsidRPr="00BF1BFB">
        <w:t xml:space="preserve"> </w:t>
      </w:r>
      <w:r w:rsidRPr="00BF1BFB">
        <w:t>doses</w:t>
      </w:r>
      <w:r w:rsidR="00F96B2F" w:rsidRPr="00BF1BFB">
        <w:t xml:space="preserve"> </w:t>
      </w:r>
      <w:r w:rsidRPr="00BF1BFB">
        <w:t>in</w:t>
      </w:r>
      <w:r w:rsidR="00F96B2F" w:rsidRPr="00BF1BFB">
        <w:t xml:space="preserve"> </w:t>
      </w:r>
      <w:r w:rsidRPr="00BF1BFB">
        <w:t>all</w:t>
      </w:r>
      <w:r w:rsidR="00F96B2F" w:rsidRPr="00BF1BFB">
        <w:t xml:space="preserve"> </w:t>
      </w:r>
      <w:r w:rsidRPr="00BF1BFB">
        <w:t>calculations</w:t>
      </w:r>
      <w:r w:rsidR="00F96B2F" w:rsidRPr="00BF1BFB">
        <w:t xml:space="preserve"> </w:t>
      </w:r>
      <w:r w:rsidRPr="00BF1BFB">
        <w:t>rather</w:t>
      </w:r>
      <w:r w:rsidR="00F96B2F" w:rsidRPr="00BF1BFB">
        <w:t xml:space="preserve"> </w:t>
      </w:r>
      <w:r w:rsidRPr="00BF1BFB">
        <w:t>than</w:t>
      </w:r>
      <w:r w:rsidR="00F96B2F" w:rsidRPr="00BF1BFB">
        <w:t xml:space="preserve"> </w:t>
      </w:r>
      <w:r w:rsidRPr="00BF1BFB">
        <w:t>mean</w:t>
      </w:r>
      <w:r w:rsidR="00987A2B">
        <w:t xml:space="preserve"> dose</w:t>
      </w:r>
      <w:r w:rsidRPr="00BF1BFB">
        <w:t>s.</w:t>
      </w:r>
    </w:p>
    <w:p w14:paraId="39D590BA" w14:textId="7B8DED55" w:rsidR="00811E0E" w:rsidRPr="00E96E9F" w:rsidRDefault="00811E0E" w:rsidP="00BF1BFB">
      <w:pPr>
        <w:pStyle w:val="3-BodyText"/>
      </w:pPr>
      <w:r w:rsidRPr="00E96E9F">
        <w:t>The</w:t>
      </w:r>
      <w:r w:rsidR="00F96B2F" w:rsidRPr="00E96E9F">
        <w:t xml:space="preserve"> </w:t>
      </w:r>
      <w:r w:rsidRPr="00BF1BFB">
        <w:t>net</w:t>
      </w:r>
      <w:r w:rsidR="00F96B2F" w:rsidRPr="00E96E9F">
        <w:t xml:space="preserve"> </w:t>
      </w:r>
      <w:r w:rsidRPr="00E96E9F">
        <w:t>financial</w:t>
      </w:r>
      <w:r w:rsidR="00F96B2F" w:rsidRPr="00E96E9F">
        <w:t xml:space="preserve"> </w:t>
      </w:r>
      <w:r w:rsidRPr="00E96E9F">
        <w:t>impact</w:t>
      </w:r>
      <w:r w:rsidR="00F96B2F" w:rsidRPr="00E96E9F">
        <w:t xml:space="preserve"> </w:t>
      </w:r>
      <w:r w:rsidRPr="00E96E9F">
        <w:t>to</w:t>
      </w:r>
      <w:r w:rsidR="00F96B2F" w:rsidRPr="00E96E9F">
        <w:t xml:space="preserve"> </w:t>
      </w:r>
      <w:r w:rsidRPr="00E96E9F">
        <w:t>the</w:t>
      </w:r>
      <w:r w:rsidR="00F96B2F" w:rsidRPr="00E96E9F">
        <w:t xml:space="preserve"> </w:t>
      </w:r>
      <w:r w:rsidRPr="00E96E9F">
        <w:t>PBS</w:t>
      </w:r>
      <w:r w:rsidR="00F96B2F" w:rsidRPr="00E96E9F">
        <w:t xml:space="preserve"> </w:t>
      </w:r>
      <w:r w:rsidR="00987A2B" w:rsidRPr="00E96E9F">
        <w:t>ha</w:t>
      </w:r>
      <w:r w:rsidR="00987A2B">
        <w:t>d</w:t>
      </w:r>
      <w:r w:rsidR="00987A2B" w:rsidRPr="00E96E9F">
        <w:t xml:space="preserve"> </w:t>
      </w:r>
      <w:r w:rsidRPr="00E96E9F">
        <w:t>been</w:t>
      </w:r>
      <w:r w:rsidR="00F96B2F" w:rsidRPr="00E96E9F">
        <w:t xml:space="preserve"> </w:t>
      </w:r>
      <w:r w:rsidRPr="00E96E9F">
        <w:t>estimated</w:t>
      </w:r>
      <w:r w:rsidR="00F96B2F" w:rsidRPr="00E96E9F">
        <w:t xml:space="preserve"> </w:t>
      </w:r>
      <w:r w:rsidRPr="00E96E9F">
        <w:t>over</w:t>
      </w:r>
      <w:r w:rsidR="00F96B2F" w:rsidRPr="00E96E9F">
        <w:t xml:space="preserve"> </w:t>
      </w:r>
      <w:r w:rsidRPr="00E96E9F">
        <w:t>six</w:t>
      </w:r>
      <w:r w:rsidR="00F96B2F" w:rsidRPr="00E96E9F">
        <w:t xml:space="preserve"> </w:t>
      </w:r>
      <w:r w:rsidRPr="00E96E9F">
        <w:t>full</w:t>
      </w:r>
      <w:r w:rsidR="00F96B2F" w:rsidRPr="00E96E9F">
        <w:t xml:space="preserve"> </w:t>
      </w:r>
      <w:r w:rsidRPr="00E96E9F">
        <w:t>calendar</w:t>
      </w:r>
      <w:r w:rsidR="00F96B2F" w:rsidRPr="00E96E9F">
        <w:t xml:space="preserve"> </w:t>
      </w:r>
      <w:r w:rsidRPr="00E96E9F">
        <w:t>years.</w:t>
      </w:r>
    </w:p>
    <w:p w14:paraId="511E0A9C" w14:textId="34C7CD73" w:rsidR="00811E0E" w:rsidRPr="00E96E9F" w:rsidRDefault="00811E0E" w:rsidP="00811E0E">
      <w:pPr>
        <w:pStyle w:val="3-BodyText"/>
      </w:pPr>
      <w:r w:rsidRPr="00E96E9F">
        <w:t>Grandfather</w:t>
      </w:r>
      <w:r w:rsidR="00F96B2F" w:rsidRPr="00E96E9F">
        <w:t xml:space="preserve"> </w:t>
      </w:r>
      <w:r w:rsidRPr="00E96E9F">
        <w:t>patients</w:t>
      </w:r>
      <w:r w:rsidR="00F96B2F" w:rsidRPr="00E96E9F">
        <w:t xml:space="preserve"> </w:t>
      </w:r>
      <w:r w:rsidRPr="00E96E9F">
        <w:t>were</w:t>
      </w:r>
      <w:r w:rsidR="00F96B2F" w:rsidRPr="00E96E9F">
        <w:t xml:space="preserve"> </w:t>
      </w:r>
      <w:r w:rsidRPr="00E96E9F">
        <w:t>not</w:t>
      </w:r>
      <w:r w:rsidR="00F96B2F" w:rsidRPr="00E96E9F">
        <w:t xml:space="preserve"> </w:t>
      </w:r>
      <w:r w:rsidRPr="00E96E9F">
        <w:t>counted</w:t>
      </w:r>
      <w:r w:rsidR="00F96B2F" w:rsidRPr="00E96E9F">
        <w:t xml:space="preserve"> </w:t>
      </w:r>
      <w:r w:rsidRPr="00E96E9F">
        <w:t>separately</w:t>
      </w:r>
      <w:r w:rsidR="00F96B2F" w:rsidRPr="00E96E9F">
        <w:t xml:space="preserve"> </w:t>
      </w:r>
      <w:r w:rsidRPr="00E96E9F">
        <w:t>in</w:t>
      </w:r>
      <w:r w:rsidR="00F96B2F" w:rsidRPr="00E96E9F">
        <w:t xml:space="preserve"> </w:t>
      </w:r>
      <w:r w:rsidRPr="00E96E9F">
        <w:t>the</w:t>
      </w:r>
      <w:r w:rsidR="00F96B2F" w:rsidRPr="00E96E9F">
        <w:t xml:space="preserve"> </w:t>
      </w:r>
      <w:r w:rsidRPr="00E96E9F">
        <w:t>submission</w:t>
      </w:r>
      <w:r w:rsidR="00F96B2F" w:rsidRPr="00E96E9F">
        <w:t xml:space="preserve"> </w:t>
      </w:r>
      <w:r w:rsidRPr="00E96E9F">
        <w:t>but</w:t>
      </w:r>
      <w:r w:rsidR="00F96B2F" w:rsidRPr="00E96E9F">
        <w:t xml:space="preserve"> </w:t>
      </w:r>
      <w:r w:rsidRPr="00E96E9F">
        <w:t>should</w:t>
      </w:r>
      <w:r w:rsidR="00F96B2F" w:rsidRPr="00E96E9F">
        <w:t xml:space="preserve"> </w:t>
      </w:r>
      <w:r w:rsidRPr="00E96E9F">
        <w:t>already</w:t>
      </w:r>
      <w:r w:rsidR="00F96B2F" w:rsidRPr="00E96E9F">
        <w:t xml:space="preserve"> </w:t>
      </w:r>
      <w:r w:rsidRPr="00E96E9F">
        <w:t>be</w:t>
      </w:r>
      <w:r w:rsidR="00F96B2F" w:rsidRPr="00E96E9F">
        <w:t xml:space="preserve"> </w:t>
      </w:r>
      <w:r w:rsidRPr="00E96E9F">
        <w:t>covered</w:t>
      </w:r>
      <w:r w:rsidR="00F96B2F" w:rsidRPr="00E96E9F">
        <w:t xml:space="preserve"> </w:t>
      </w:r>
      <w:r w:rsidRPr="00E96E9F">
        <w:t>in</w:t>
      </w:r>
      <w:r w:rsidR="00F96B2F" w:rsidRPr="00E96E9F">
        <w:t xml:space="preserve"> </w:t>
      </w:r>
      <w:r w:rsidRPr="00E96E9F">
        <w:t>the</w:t>
      </w:r>
      <w:r w:rsidR="00F96B2F" w:rsidRPr="00E96E9F">
        <w:t xml:space="preserve"> </w:t>
      </w:r>
      <w:r w:rsidRPr="00E96E9F">
        <w:t>predicted</w:t>
      </w:r>
      <w:r w:rsidR="00F96B2F" w:rsidRPr="00E96E9F">
        <w:t xml:space="preserve"> </w:t>
      </w:r>
      <w:r w:rsidRPr="00E96E9F">
        <w:t>market</w:t>
      </w:r>
      <w:r w:rsidR="00F96B2F" w:rsidRPr="00E96E9F">
        <w:t xml:space="preserve"> </w:t>
      </w:r>
      <w:r w:rsidRPr="00E96E9F">
        <w:t>for</w:t>
      </w:r>
      <w:r w:rsidR="00F96B2F" w:rsidRPr="00E96E9F">
        <w:t xml:space="preserve"> </w:t>
      </w:r>
      <w:r w:rsidRPr="00E96E9F">
        <w:t>somatropin.</w:t>
      </w:r>
    </w:p>
    <w:p w14:paraId="2A1A1391" w14:textId="317F7B09" w:rsidR="00811E0E" w:rsidRPr="00E96E9F" w:rsidRDefault="00811E0E" w:rsidP="00811E0E">
      <w:pPr>
        <w:pStyle w:val="4-SubsectionHeading"/>
      </w:pPr>
      <w:bookmarkStart w:id="33" w:name="_Toc22897648"/>
      <w:bookmarkStart w:id="34" w:name="_Toc93499827"/>
      <w:r w:rsidRPr="00E96E9F">
        <w:t>Quality</w:t>
      </w:r>
      <w:r w:rsidR="00F96B2F" w:rsidRPr="00E96E9F">
        <w:t xml:space="preserve"> </w:t>
      </w:r>
      <w:r w:rsidRPr="00E96E9F">
        <w:t>Use</w:t>
      </w:r>
      <w:r w:rsidR="00F96B2F" w:rsidRPr="00E96E9F">
        <w:t xml:space="preserve"> </w:t>
      </w:r>
      <w:r w:rsidRPr="00E96E9F">
        <w:t>of</w:t>
      </w:r>
      <w:r w:rsidR="00F96B2F" w:rsidRPr="00E96E9F">
        <w:t xml:space="preserve"> </w:t>
      </w:r>
      <w:r w:rsidRPr="00E96E9F">
        <w:t>Medicines</w:t>
      </w:r>
      <w:bookmarkEnd w:id="33"/>
      <w:bookmarkEnd w:id="34"/>
    </w:p>
    <w:p w14:paraId="456D75E5" w14:textId="6D39D838" w:rsidR="00811E0E" w:rsidRPr="00E96E9F" w:rsidRDefault="00987A2B" w:rsidP="00811E0E">
      <w:pPr>
        <w:pStyle w:val="3-BodyText"/>
      </w:pPr>
      <w:r>
        <w:t xml:space="preserve">The </w:t>
      </w:r>
      <w:r w:rsidR="00811E0E" w:rsidRPr="00E96E9F">
        <w:t>QUM</w:t>
      </w:r>
      <w:r w:rsidR="00F96B2F" w:rsidRPr="00E96E9F">
        <w:t xml:space="preserve"> </w:t>
      </w:r>
      <w:r w:rsidR="00811E0E" w:rsidRPr="00E96E9F">
        <w:t>activities</w:t>
      </w:r>
      <w:r w:rsidR="00F96B2F" w:rsidRPr="00E96E9F">
        <w:t xml:space="preserve"> </w:t>
      </w:r>
      <w:r w:rsidR="00811E0E" w:rsidRPr="00E96E9F">
        <w:t>planned</w:t>
      </w:r>
      <w:r w:rsidR="00F96B2F" w:rsidRPr="00E96E9F">
        <w:t xml:space="preserve"> </w:t>
      </w:r>
      <w:r w:rsidR="00811E0E" w:rsidRPr="00E96E9F">
        <w:t>for</w:t>
      </w:r>
      <w:r w:rsidR="00F96B2F" w:rsidRPr="00E96E9F">
        <w:t xml:space="preserve"> </w:t>
      </w:r>
      <w:proofErr w:type="spellStart"/>
      <w:r w:rsidR="00811E0E" w:rsidRPr="00E96E9F">
        <w:t>somatrogon</w:t>
      </w:r>
      <w:proofErr w:type="spellEnd"/>
      <w:r w:rsidR="00F96B2F" w:rsidRPr="00E96E9F">
        <w:t xml:space="preserve"> </w:t>
      </w:r>
      <w:r w:rsidR="00BE20B0" w:rsidRPr="00E96E9F">
        <w:t xml:space="preserve">were </w:t>
      </w:r>
      <w:r w:rsidR="00811E0E" w:rsidRPr="00E96E9F">
        <w:t>outlined</w:t>
      </w:r>
      <w:r w:rsidR="00F96B2F" w:rsidRPr="00E96E9F">
        <w:t xml:space="preserve"> </w:t>
      </w:r>
      <w:r w:rsidR="00811E0E" w:rsidRPr="00E96E9F">
        <w:t>in</w:t>
      </w:r>
      <w:r w:rsidR="00F96B2F" w:rsidRPr="00E96E9F">
        <w:t xml:space="preserve"> </w:t>
      </w:r>
      <w:r w:rsidR="00811E0E" w:rsidRPr="00E96E9F">
        <w:t>the</w:t>
      </w:r>
      <w:r w:rsidR="00F96B2F" w:rsidRPr="00E96E9F">
        <w:t xml:space="preserve"> </w:t>
      </w:r>
      <w:r w:rsidR="00811E0E" w:rsidRPr="00E96E9F">
        <w:t>submission.</w:t>
      </w:r>
      <w:r w:rsidR="00F96B2F" w:rsidRPr="00E96E9F">
        <w:t xml:space="preserve"> </w:t>
      </w:r>
      <w:r w:rsidR="00811E0E" w:rsidRPr="00E96E9F">
        <w:t>The</w:t>
      </w:r>
      <w:r w:rsidR="00F96B2F" w:rsidRPr="00E96E9F">
        <w:t xml:space="preserve"> </w:t>
      </w:r>
      <w:r w:rsidR="00811E0E" w:rsidRPr="00E96E9F">
        <w:t>submission</w:t>
      </w:r>
      <w:r w:rsidR="00F96B2F" w:rsidRPr="00E96E9F">
        <w:t xml:space="preserve"> </w:t>
      </w:r>
      <w:r w:rsidR="00811E0E" w:rsidRPr="00E96E9F">
        <w:t>proposed</w:t>
      </w:r>
      <w:r w:rsidR="00F96B2F" w:rsidRPr="00E96E9F">
        <w:t xml:space="preserve"> </w:t>
      </w:r>
      <w:r w:rsidR="00811E0E" w:rsidRPr="00E96E9F">
        <w:t>developing</w:t>
      </w:r>
      <w:r w:rsidR="00F96B2F" w:rsidRPr="00E96E9F">
        <w:t xml:space="preserve"> </w:t>
      </w:r>
      <w:r w:rsidR="00811E0E" w:rsidRPr="00E96E9F">
        <w:t>educational</w:t>
      </w:r>
      <w:r w:rsidR="00F96B2F" w:rsidRPr="00E96E9F">
        <w:t xml:space="preserve"> </w:t>
      </w:r>
      <w:r w:rsidR="00811E0E" w:rsidRPr="00E96E9F">
        <w:t>activities</w:t>
      </w:r>
      <w:r w:rsidR="00F96B2F" w:rsidRPr="00E96E9F">
        <w:t xml:space="preserve"> </w:t>
      </w:r>
      <w:r w:rsidR="00811E0E" w:rsidRPr="00E96E9F">
        <w:t>that</w:t>
      </w:r>
      <w:r w:rsidR="00F96B2F" w:rsidRPr="00E96E9F">
        <w:t xml:space="preserve"> </w:t>
      </w:r>
      <w:r w:rsidR="00811E0E" w:rsidRPr="00E96E9F">
        <w:t>help</w:t>
      </w:r>
      <w:r w:rsidR="00F96B2F" w:rsidRPr="00E96E9F">
        <w:t xml:space="preserve"> </w:t>
      </w:r>
      <w:r w:rsidR="00811E0E" w:rsidRPr="00E96E9F">
        <w:t>identify</w:t>
      </w:r>
      <w:r w:rsidR="00F96B2F" w:rsidRPr="00E96E9F">
        <w:t xml:space="preserve"> </w:t>
      </w:r>
      <w:r w:rsidR="00811E0E" w:rsidRPr="00E96E9F">
        <w:t>patients</w:t>
      </w:r>
      <w:r w:rsidR="00F96B2F" w:rsidRPr="00E96E9F">
        <w:t xml:space="preserve"> </w:t>
      </w:r>
      <w:r w:rsidR="00811E0E" w:rsidRPr="00E96E9F">
        <w:t>eligible</w:t>
      </w:r>
      <w:r w:rsidR="00F96B2F" w:rsidRPr="00E96E9F">
        <w:t xml:space="preserve"> </w:t>
      </w:r>
      <w:r w:rsidR="00811E0E" w:rsidRPr="00E96E9F">
        <w:t>for</w:t>
      </w:r>
      <w:r w:rsidR="00F96B2F" w:rsidRPr="00E96E9F">
        <w:t xml:space="preserve"> </w:t>
      </w:r>
      <w:r w:rsidR="00811E0E" w:rsidRPr="00E96E9F">
        <w:t>treatment</w:t>
      </w:r>
      <w:r>
        <w:t>,</w:t>
      </w:r>
      <w:r w:rsidR="00F96B2F" w:rsidRPr="00E96E9F">
        <w:t xml:space="preserve"> </w:t>
      </w:r>
      <w:r w:rsidR="00811E0E" w:rsidRPr="00E96E9F">
        <w:t>that</w:t>
      </w:r>
      <w:r w:rsidR="00F96B2F" w:rsidRPr="00E96E9F">
        <w:t xml:space="preserve"> </w:t>
      </w:r>
      <w:r w:rsidR="00811E0E" w:rsidRPr="00E96E9F">
        <w:t>ensure</w:t>
      </w:r>
      <w:r w:rsidR="00F96B2F" w:rsidRPr="00E96E9F">
        <w:t xml:space="preserve"> </w:t>
      </w:r>
      <w:r>
        <w:t xml:space="preserve">that </w:t>
      </w:r>
      <w:r w:rsidR="00811E0E" w:rsidRPr="00E96E9F">
        <w:t>the</w:t>
      </w:r>
      <w:r w:rsidR="00F96B2F" w:rsidRPr="00E96E9F">
        <w:t xml:space="preserve"> </w:t>
      </w:r>
      <w:r>
        <w:t xml:space="preserve">target </w:t>
      </w:r>
      <w:r w:rsidR="00811E0E" w:rsidRPr="00E96E9F">
        <w:t>population</w:t>
      </w:r>
      <w:r w:rsidR="00F96B2F" w:rsidRPr="00E96E9F">
        <w:t xml:space="preserve"> </w:t>
      </w:r>
      <w:r w:rsidR="00811E0E" w:rsidRPr="00E96E9F">
        <w:t>is</w:t>
      </w:r>
      <w:r w:rsidR="00F96B2F" w:rsidRPr="00E96E9F">
        <w:t xml:space="preserve"> </w:t>
      </w:r>
      <w:r w:rsidR="00811E0E" w:rsidRPr="00E96E9F">
        <w:t>consistent</w:t>
      </w:r>
      <w:r w:rsidR="00F96B2F" w:rsidRPr="00E96E9F">
        <w:t xml:space="preserve"> </w:t>
      </w:r>
      <w:r w:rsidR="00811E0E" w:rsidRPr="00E96E9F">
        <w:t>with</w:t>
      </w:r>
      <w:r w:rsidR="00F96B2F" w:rsidRPr="00E96E9F">
        <w:t xml:space="preserve"> </w:t>
      </w:r>
      <w:r w:rsidR="00811E0E" w:rsidRPr="00E96E9F">
        <w:t>the</w:t>
      </w:r>
      <w:r w:rsidR="00F96B2F" w:rsidRPr="00E96E9F">
        <w:t xml:space="preserve"> </w:t>
      </w:r>
      <w:r w:rsidR="00811E0E" w:rsidRPr="00E96E9F">
        <w:t>evidence</w:t>
      </w:r>
      <w:r w:rsidR="00F96B2F" w:rsidRPr="00E96E9F">
        <w:t xml:space="preserve"> </w:t>
      </w:r>
      <w:r w:rsidR="00811E0E" w:rsidRPr="00E96E9F">
        <w:t>presented</w:t>
      </w:r>
      <w:r w:rsidR="00F96B2F" w:rsidRPr="00E96E9F">
        <w:t xml:space="preserve"> </w:t>
      </w:r>
      <w:r w:rsidR="00811E0E" w:rsidRPr="00E96E9F">
        <w:t>in</w:t>
      </w:r>
      <w:r w:rsidR="00F96B2F" w:rsidRPr="00E96E9F">
        <w:t xml:space="preserve"> </w:t>
      </w:r>
      <w:r>
        <w:t xml:space="preserve">the </w:t>
      </w:r>
      <w:r w:rsidR="00811E0E" w:rsidRPr="00E96E9F">
        <w:t>submission</w:t>
      </w:r>
      <w:r>
        <w:t>,</w:t>
      </w:r>
      <w:r w:rsidR="00F96B2F" w:rsidRPr="00E96E9F">
        <w:t xml:space="preserve"> </w:t>
      </w:r>
      <w:r w:rsidR="00811E0E" w:rsidRPr="00E96E9F">
        <w:t>and</w:t>
      </w:r>
      <w:r>
        <w:t xml:space="preserve"> to</w:t>
      </w:r>
      <w:r w:rsidR="00F96B2F" w:rsidRPr="00E96E9F">
        <w:t xml:space="preserve"> </w:t>
      </w:r>
      <w:r w:rsidRPr="00E96E9F">
        <w:t>minimis</w:t>
      </w:r>
      <w:r>
        <w:t>e</w:t>
      </w:r>
      <w:r w:rsidRPr="00E96E9F">
        <w:t xml:space="preserve"> </w:t>
      </w:r>
      <w:r w:rsidR="00811E0E" w:rsidRPr="00E96E9F">
        <w:t>the</w:t>
      </w:r>
      <w:r w:rsidR="00F96B2F" w:rsidRPr="00E96E9F">
        <w:t xml:space="preserve"> </w:t>
      </w:r>
      <w:r w:rsidR="00811E0E" w:rsidRPr="00E96E9F">
        <w:t>misuse</w:t>
      </w:r>
      <w:r w:rsidR="00F96B2F" w:rsidRPr="00E96E9F">
        <w:t xml:space="preserve"> </w:t>
      </w:r>
      <w:r w:rsidR="00811E0E" w:rsidRPr="00E96E9F">
        <w:t>of</w:t>
      </w:r>
      <w:r w:rsidR="00F96B2F" w:rsidRPr="00E96E9F">
        <w:t xml:space="preserve"> </w:t>
      </w:r>
      <w:proofErr w:type="spellStart"/>
      <w:r>
        <w:t>somatrogon</w:t>
      </w:r>
      <w:proofErr w:type="spellEnd"/>
      <w:r w:rsidRPr="00E96E9F">
        <w:t xml:space="preserve"> </w:t>
      </w:r>
      <w:r w:rsidR="00811E0E" w:rsidRPr="00E96E9F">
        <w:t>in</w:t>
      </w:r>
      <w:r w:rsidR="00F96B2F" w:rsidRPr="00E96E9F">
        <w:t xml:space="preserve"> </w:t>
      </w:r>
      <w:r w:rsidR="00811E0E" w:rsidRPr="00E96E9F">
        <w:t>eligible</w:t>
      </w:r>
      <w:r w:rsidR="00F96B2F" w:rsidRPr="00E96E9F">
        <w:t xml:space="preserve"> </w:t>
      </w:r>
      <w:r w:rsidR="00811E0E" w:rsidRPr="00E96E9F">
        <w:t>patients.</w:t>
      </w:r>
      <w:r w:rsidR="00F96B2F" w:rsidRPr="00E96E9F">
        <w:t xml:space="preserve"> </w:t>
      </w:r>
      <w:r w:rsidR="00811E0E" w:rsidRPr="00BF1BFB">
        <w:rPr>
          <w:iCs/>
        </w:rPr>
        <w:t>The</w:t>
      </w:r>
      <w:r w:rsidR="00F96B2F" w:rsidRPr="00BF1BFB">
        <w:rPr>
          <w:iCs/>
        </w:rPr>
        <w:t xml:space="preserve"> </w:t>
      </w:r>
      <w:r w:rsidR="00811E0E" w:rsidRPr="00BF1BFB">
        <w:rPr>
          <w:iCs/>
        </w:rPr>
        <w:t>submission</w:t>
      </w:r>
      <w:r w:rsidR="00F96B2F" w:rsidRPr="00BF1BFB">
        <w:rPr>
          <w:iCs/>
        </w:rPr>
        <w:t xml:space="preserve"> </w:t>
      </w:r>
      <w:r w:rsidR="00811E0E" w:rsidRPr="00BF1BFB">
        <w:rPr>
          <w:iCs/>
        </w:rPr>
        <w:t>presented</w:t>
      </w:r>
      <w:r w:rsidR="00F96B2F" w:rsidRPr="00BF1BFB">
        <w:rPr>
          <w:iCs/>
        </w:rPr>
        <w:t xml:space="preserve"> </w:t>
      </w:r>
      <w:r w:rsidR="00811E0E" w:rsidRPr="00BF1BFB">
        <w:rPr>
          <w:iCs/>
        </w:rPr>
        <w:t>no</w:t>
      </w:r>
      <w:r w:rsidR="00F96B2F" w:rsidRPr="00BF1BFB">
        <w:rPr>
          <w:iCs/>
        </w:rPr>
        <w:t xml:space="preserve"> </w:t>
      </w:r>
      <w:r w:rsidR="00811E0E" w:rsidRPr="00BF1BFB">
        <w:rPr>
          <w:iCs/>
        </w:rPr>
        <w:t>concerns</w:t>
      </w:r>
      <w:r w:rsidR="00F96B2F" w:rsidRPr="00BF1BFB">
        <w:rPr>
          <w:iCs/>
        </w:rPr>
        <w:t xml:space="preserve"> </w:t>
      </w:r>
      <w:r w:rsidR="00811E0E" w:rsidRPr="00BF1BFB">
        <w:rPr>
          <w:iCs/>
        </w:rPr>
        <w:t>relating</w:t>
      </w:r>
      <w:r w:rsidR="00F96B2F" w:rsidRPr="00BF1BFB">
        <w:rPr>
          <w:iCs/>
        </w:rPr>
        <w:t xml:space="preserve"> </w:t>
      </w:r>
      <w:r w:rsidR="00811E0E" w:rsidRPr="00BF1BFB">
        <w:rPr>
          <w:iCs/>
        </w:rPr>
        <w:t>to</w:t>
      </w:r>
      <w:r w:rsidR="00F96B2F" w:rsidRPr="00BF1BFB">
        <w:rPr>
          <w:iCs/>
        </w:rPr>
        <w:t xml:space="preserve"> </w:t>
      </w:r>
      <w:r>
        <w:rPr>
          <w:iCs/>
        </w:rPr>
        <w:t>QUM</w:t>
      </w:r>
      <w:r w:rsidR="00811E0E" w:rsidRPr="00BF1BFB">
        <w:rPr>
          <w:iCs/>
        </w:rPr>
        <w:t>,</w:t>
      </w:r>
      <w:r w:rsidR="00F96B2F" w:rsidRPr="00BF1BFB">
        <w:rPr>
          <w:iCs/>
        </w:rPr>
        <w:t xml:space="preserve"> </w:t>
      </w:r>
      <w:r w:rsidR="00811E0E" w:rsidRPr="00BF1BFB">
        <w:rPr>
          <w:iCs/>
        </w:rPr>
        <w:t>and</w:t>
      </w:r>
      <w:r w:rsidR="00F96B2F" w:rsidRPr="00BF1BFB">
        <w:rPr>
          <w:iCs/>
        </w:rPr>
        <w:t xml:space="preserve"> </w:t>
      </w:r>
      <w:r w:rsidR="00811E0E" w:rsidRPr="00BF1BFB">
        <w:rPr>
          <w:iCs/>
        </w:rPr>
        <w:t>no</w:t>
      </w:r>
      <w:r w:rsidR="00F96B2F" w:rsidRPr="00BF1BFB">
        <w:rPr>
          <w:iCs/>
        </w:rPr>
        <w:t xml:space="preserve"> </w:t>
      </w:r>
      <w:r w:rsidR="00811E0E" w:rsidRPr="00BF1BFB">
        <w:rPr>
          <w:iCs/>
        </w:rPr>
        <w:t>important</w:t>
      </w:r>
      <w:r w:rsidR="00F96B2F" w:rsidRPr="00BF1BFB">
        <w:rPr>
          <w:iCs/>
        </w:rPr>
        <w:t xml:space="preserve"> </w:t>
      </w:r>
      <w:r w:rsidR="00811E0E" w:rsidRPr="00BF1BFB">
        <w:rPr>
          <w:iCs/>
        </w:rPr>
        <w:t>issues</w:t>
      </w:r>
      <w:r w:rsidR="00F96B2F" w:rsidRPr="00BF1BFB">
        <w:rPr>
          <w:iCs/>
        </w:rPr>
        <w:t xml:space="preserve"> </w:t>
      </w:r>
      <w:r w:rsidR="00811E0E" w:rsidRPr="00BF1BFB">
        <w:rPr>
          <w:iCs/>
        </w:rPr>
        <w:t>were</w:t>
      </w:r>
      <w:r w:rsidR="00F96B2F" w:rsidRPr="00BF1BFB">
        <w:rPr>
          <w:iCs/>
        </w:rPr>
        <w:t xml:space="preserve"> </w:t>
      </w:r>
      <w:r w:rsidR="00811E0E" w:rsidRPr="00BF1BFB">
        <w:rPr>
          <w:iCs/>
        </w:rPr>
        <w:t>omitted.</w:t>
      </w:r>
      <w:r w:rsidR="00F96B2F" w:rsidRPr="00BF1BFB">
        <w:rPr>
          <w:iCs/>
        </w:rPr>
        <w:t xml:space="preserve"> </w:t>
      </w:r>
      <w:r w:rsidR="00811E0E" w:rsidRPr="00BF1BFB">
        <w:rPr>
          <w:iCs/>
        </w:rPr>
        <w:t>The</w:t>
      </w:r>
      <w:r w:rsidR="00F96B2F" w:rsidRPr="00BF1BFB">
        <w:rPr>
          <w:iCs/>
        </w:rPr>
        <w:t xml:space="preserve"> </w:t>
      </w:r>
      <w:r w:rsidR="00811E0E" w:rsidRPr="00BF1BFB">
        <w:rPr>
          <w:iCs/>
        </w:rPr>
        <w:t>submission</w:t>
      </w:r>
      <w:r w:rsidR="00F96B2F" w:rsidRPr="00BF1BFB">
        <w:rPr>
          <w:iCs/>
        </w:rPr>
        <w:t xml:space="preserve"> </w:t>
      </w:r>
      <w:r w:rsidR="00811E0E" w:rsidRPr="00BF1BFB">
        <w:rPr>
          <w:iCs/>
        </w:rPr>
        <w:t>did</w:t>
      </w:r>
      <w:r w:rsidR="00F96B2F" w:rsidRPr="00BF1BFB">
        <w:rPr>
          <w:iCs/>
        </w:rPr>
        <w:t xml:space="preserve"> </w:t>
      </w:r>
      <w:r w:rsidR="00811E0E" w:rsidRPr="00BF1BFB">
        <w:rPr>
          <w:iCs/>
        </w:rPr>
        <w:t>not</w:t>
      </w:r>
      <w:r w:rsidR="00F96B2F" w:rsidRPr="00BF1BFB">
        <w:rPr>
          <w:iCs/>
        </w:rPr>
        <w:t xml:space="preserve"> </w:t>
      </w:r>
      <w:r w:rsidR="00811E0E" w:rsidRPr="00BF1BFB">
        <w:rPr>
          <w:iCs/>
        </w:rPr>
        <w:t>propose</w:t>
      </w:r>
      <w:r w:rsidR="00F96B2F" w:rsidRPr="00BF1BFB">
        <w:rPr>
          <w:iCs/>
        </w:rPr>
        <w:t xml:space="preserve"> </w:t>
      </w:r>
      <w:r w:rsidR="00811E0E" w:rsidRPr="00BF1BFB">
        <w:rPr>
          <w:iCs/>
        </w:rPr>
        <w:t>a</w:t>
      </w:r>
      <w:r w:rsidR="00F96B2F" w:rsidRPr="00BF1BFB">
        <w:rPr>
          <w:iCs/>
        </w:rPr>
        <w:t xml:space="preserve"> </w:t>
      </w:r>
      <w:r w:rsidR="00811E0E" w:rsidRPr="00BF1BFB">
        <w:rPr>
          <w:iCs/>
        </w:rPr>
        <w:t>post</w:t>
      </w:r>
      <w:r w:rsidR="00F96B2F" w:rsidRPr="00BF1BFB">
        <w:rPr>
          <w:iCs/>
        </w:rPr>
        <w:t xml:space="preserve"> </w:t>
      </w:r>
      <w:r w:rsidR="00811E0E" w:rsidRPr="00BF1BFB">
        <w:rPr>
          <w:iCs/>
        </w:rPr>
        <w:t>marketing</w:t>
      </w:r>
      <w:r w:rsidR="00F96B2F" w:rsidRPr="00BF1BFB">
        <w:rPr>
          <w:iCs/>
        </w:rPr>
        <w:t xml:space="preserve"> </w:t>
      </w:r>
      <w:r w:rsidR="00811E0E" w:rsidRPr="00BF1BFB">
        <w:rPr>
          <w:iCs/>
        </w:rPr>
        <w:t>surveillance</w:t>
      </w:r>
      <w:r w:rsidR="00F96B2F" w:rsidRPr="00BF1BFB">
        <w:rPr>
          <w:iCs/>
        </w:rPr>
        <w:t xml:space="preserve"> </w:t>
      </w:r>
      <w:r w:rsidR="00811E0E" w:rsidRPr="00BF1BFB">
        <w:rPr>
          <w:iCs/>
        </w:rPr>
        <w:t>study.</w:t>
      </w:r>
    </w:p>
    <w:p w14:paraId="6D19DBE3" w14:textId="4EEB739A" w:rsidR="00424004" w:rsidRPr="00E96E9F" w:rsidRDefault="00424004" w:rsidP="00424004">
      <w:pPr>
        <w:pStyle w:val="3-BodyText"/>
        <w:rPr>
          <w:rFonts w:eastAsiaTheme="minorEastAsia"/>
          <w:color w:val="0066FF"/>
        </w:rPr>
      </w:pPr>
      <w:r w:rsidRPr="00E96E9F">
        <w:t xml:space="preserve">The submission claimed that the weekly dosing of </w:t>
      </w:r>
      <w:proofErr w:type="spellStart"/>
      <w:r w:rsidRPr="00E96E9F">
        <w:t>somatrogon</w:t>
      </w:r>
      <w:proofErr w:type="spellEnd"/>
      <w:r>
        <w:t>,</w:t>
      </w:r>
      <w:r w:rsidRPr="00E96E9F">
        <w:t xml:space="preserve"> compared with the daily dosing of somatropin</w:t>
      </w:r>
      <w:r>
        <w:t>,</w:t>
      </w:r>
      <w:r w:rsidRPr="00E96E9F">
        <w:t xml:space="preserve"> could improve treatment satisfaction, patient adherence, and potentially, quality of life. The proposed multi-dose pre</w:t>
      </w:r>
      <w:r>
        <w:t>-</w:t>
      </w:r>
      <w:r w:rsidRPr="00E96E9F">
        <w:t>filled pen is to be used with a new needle for each injection site. The same pre</w:t>
      </w:r>
      <w:r>
        <w:t>-</w:t>
      </w:r>
      <w:r w:rsidRPr="00E96E9F">
        <w:t>filled pen should be discarded after being used 5 times or 28 days after the first use. If more than one injection is required to deliver a complete dose, each injection should be administered at a different site</w:t>
      </w:r>
      <w:r w:rsidR="00913EE8">
        <w:t>,</w:t>
      </w:r>
      <w:r w:rsidRPr="00BF1BFB">
        <w:t xml:space="preserve"> </w:t>
      </w:r>
      <w:r w:rsidR="00913EE8">
        <w:t xml:space="preserve">but </w:t>
      </w:r>
      <w:r w:rsidRPr="00BF1BFB">
        <w:rPr>
          <w:iCs/>
        </w:rPr>
        <w:t>i</w:t>
      </w:r>
      <w:r w:rsidRPr="00BF1BFB">
        <w:t xml:space="preserve">t </w:t>
      </w:r>
      <w:r w:rsidR="00913EE8">
        <w:t>wa</w:t>
      </w:r>
      <w:r w:rsidRPr="00BF1BFB">
        <w:t xml:space="preserve">s unclear </w:t>
      </w:r>
      <w:r w:rsidRPr="00BF1BFB">
        <w:rPr>
          <w:iCs/>
        </w:rPr>
        <w:t xml:space="preserve">how many injections </w:t>
      </w:r>
      <w:r w:rsidR="00913EE8">
        <w:rPr>
          <w:iCs/>
        </w:rPr>
        <w:t>w</w:t>
      </w:r>
      <w:r w:rsidRPr="00BF1BFB">
        <w:rPr>
          <w:iCs/>
        </w:rPr>
        <w:t xml:space="preserve">ould be required for a weekly dose. </w:t>
      </w:r>
      <w:r w:rsidR="00913EE8">
        <w:rPr>
          <w:iCs/>
        </w:rPr>
        <w:t>The PBAC considered that t</w:t>
      </w:r>
      <w:r w:rsidRPr="00BF1BFB">
        <w:rPr>
          <w:iCs/>
        </w:rPr>
        <w:t xml:space="preserve">he administration of multiple injections to achieve a complete dose may pose a </w:t>
      </w:r>
      <w:r>
        <w:rPr>
          <w:iCs/>
        </w:rPr>
        <w:t xml:space="preserve">QUM </w:t>
      </w:r>
      <w:r w:rsidRPr="00BF1BFB">
        <w:rPr>
          <w:iCs/>
        </w:rPr>
        <w:t>issue</w:t>
      </w:r>
      <w:r w:rsidR="008A1313">
        <w:rPr>
          <w:iCs/>
        </w:rPr>
        <w:t xml:space="preserve"> but could be managed with appropriate education and training of how to use the device</w:t>
      </w:r>
      <w:r w:rsidRPr="00BF1BFB">
        <w:rPr>
          <w:iCs/>
        </w:rPr>
        <w:t>.</w:t>
      </w:r>
    </w:p>
    <w:p w14:paraId="3D3D8D13" w14:textId="2F0D1B00" w:rsidR="0038201B" w:rsidRPr="0076189D" w:rsidRDefault="0038201B" w:rsidP="0038201B">
      <w:pPr>
        <w:pStyle w:val="3-BodyText"/>
        <w:numPr>
          <w:ilvl w:val="0"/>
          <w:numId w:val="0"/>
        </w:numPr>
        <w:ind w:left="720"/>
        <w:rPr>
          <w:rFonts w:eastAsiaTheme="minorEastAsia"/>
          <w:color w:val="0066FF"/>
        </w:rPr>
      </w:pPr>
      <w:r w:rsidRPr="00C33D30">
        <w:rPr>
          <w:i/>
        </w:rPr>
        <w:t xml:space="preserve">For more </w:t>
      </w:r>
      <w:r w:rsidR="00DB6618">
        <w:rPr>
          <w:i/>
        </w:rPr>
        <w:t>detail on the PBAC’s</w:t>
      </w:r>
      <w:r w:rsidRPr="00C33D30">
        <w:rPr>
          <w:i/>
        </w:rPr>
        <w:t xml:space="preserve"> view, see section 7 PBAC outcome.</w:t>
      </w:r>
    </w:p>
    <w:p w14:paraId="77EB96C5" w14:textId="6546795B" w:rsidR="0038201B" w:rsidRPr="0027148E" w:rsidRDefault="0038201B" w:rsidP="0038201B">
      <w:pPr>
        <w:pStyle w:val="2-SectionHeading"/>
      </w:pPr>
      <w:bookmarkStart w:id="35" w:name="_Toc93499830"/>
      <w:r w:rsidRPr="0027148E">
        <w:t>PBAC Outcome</w:t>
      </w:r>
    </w:p>
    <w:p w14:paraId="2EF37A9B" w14:textId="5F39E65F" w:rsidR="001D3B81" w:rsidRPr="001D3B81" w:rsidRDefault="001D3B81" w:rsidP="001D3B81">
      <w:pPr>
        <w:pStyle w:val="3-BodyText"/>
        <w:rPr>
          <w:snapToGrid w:val="0"/>
          <w:lang w:val="en-GB"/>
        </w:rPr>
      </w:pPr>
      <w:r>
        <w:rPr>
          <w:snapToGrid w:val="0"/>
          <w:lang w:val="en-GB"/>
        </w:rPr>
        <w:t xml:space="preserve">The PBAC recommended the Section 100 Growth Hormone Program listing of </w:t>
      </w:r>
      <w:proofErr w:type="spellStart"/>
      <w:r>
        <w:rPr>
          <w:snapToGrid w:val="0"/>
          <w:lang w:val="en-GB"/>
        </w:rPr>
        <w:t>somatrogon</w:t>
      </w:r>
      <w:proofErr w:type="spellEnd"/>
      <w:r>
        <w:rPr>
          <w:snapToGrid w:val="0"/>
          <w:lang w:val="en-GB"/>
        </w:rPr>
        <w:t xml:space="preserve"> </w:t>
      </w:r>
      <w:r>
        <w:rPr>
          <w:rFonts w:eastAsia="Times New Roman" w:cs="Arial"/>
          <w:snapToGrid w:val="0"/>
          <w:szCs w:val="24"/>
          <w:lang w:val="en-GB"/>
        </w:rPr>
        <w:t xml:space="preserve">for the treatment of </w:t>
      </w:r>
      <w:r w:rsidR="0039458A">
        <w:rPr>
          <w:rFonts w:eastAsia="Times New Roman" w:cs="Arial"/>
          <w:snapToGrid w:val="0"/>
          <w:szCs w:val="24"/>
          <w:lang w:val="en-GB"/>
        </w:rPr>
        <w:t>SSABGHD and SSSG</w:t>
      </w:r>
      <w:r w:rsidRPr="00E96E9F">
        <w:t xml:space="preserve"> in </w:t>
      </w:r>
      <w:r>
        <w:rPr>
          <w:snapToGrid w:val="0"/>
          <w:lang w:val="en-GB"/>
        </w:rPr>
        <w:t xml:space="preserve">patients </w:t>
      </w:r>
      <w:r w:rsidR="0027148E">
        <w:rPr>
          <w:snapToGrid w:val="0"/>
          <w:lang w:val="en-GB"/>
        </w:rPr>
        <w:t>who</w:t>
      </w:r>
      <w:r>
        <w:rPr>
          <w:snapToGrid w:val="0"/>
          <w:lang w:val="en-GB"/>
        </w:rPr>
        <w:t xml:space="preserve"> do not have a mature skeleton</w:t>
      </w:r>
      <w:r w:rsidR="00117C76">
        <w:rPr>
          <w:snapToGrid w:val="0"/>
          <w:lang w:val="en-GB"/>
        </w:rPr>
        <w:t xml:space="preserve"> (</w:t>
      </w:r>
      <w:proofErr w:type="gramStart"/>
      <w:r w:rsidR="007F72DB">
        <w:rPr>
          <w:snapToGrid w:val="0"/>
          <w:lang w:val="en-GB"/>
        </w:rPr>
        <w:t>i.e.</w:t>
      </w:r>
      <w:proofErr w:type="gramEnd"/>
      <w:r w:rsidR="007F72DB">
        <w:rPr>
          <w:snapToGrid w:val="0"/>
          <w:lang w:val="en-GB"/>
        </w:rPr>
        <w:t xml:space="preserve"> </w:t>
      </w:r>
      <w:r w:rsidR="00117C76">
        <w:rPr>
          <w:snapToGrid w:val="0"/>
          <w:lang w:val="en-GB"/>
        </w:rPr>
        <w:t xml:space="preserve">a </w:t>
      </w:r>
      <w:r w:rsidR="00117C76" w:rsidRPr="0039458A">
        <w:rPr>
          <w:snapToGrid w:val="0"/>
          <w:lang w:val="en-GB"/>
        </w:rPr>
        <w:t>bone age of less than 13.5 years in females or less than 15.5 years in males</w:t>
      </w:r>
      <w:r w:rsidR="00117C76">
        <w:rPr>
          <w:snapToGrid w:val="0"/>
          <w:lang w:val="en-GB"/>
        </w:rPr>
        <w:t>)</w:t>
      </w:r>
      <w:r>
        <w:rPr>
          <w:snapToGrid w:val="0"/>
          <w:lang w:val="en-GB"/>
        </w:rPr>
        <w:t xml:space="preserve">. </w:t>
      </w:r>
      <w:r>
        <w:t>The PBAC’s recommendation for listing was based on</w:t>
      </w:r>
      <w:r w:rsidR="002D0353">
        <w:t>, among other matters,</w:t>
      </w:r>
      <w:r>
        <w:t xml:space="preserve"> its assessment that the cost-effectiveness of </w:t>
      </w:r>
      <w:proofErr w:type="spellStart"/>
      <w:r>
        <w:t>somatrogon</w:t>
      </w:r>
      <w:proofErr w:type="spellEnd"/>
      <w:r>
        <w:t xml:space="preserve"> would be acceptable if it were cost-minimised to somatropin for the same indications.</w:t>
      </w:r>
    </w:p>
    <w:p w14:paraId="174E0699" w14:textId="6A5853CF" w:rsidR="001D3B81" w:rsidRDefault="00A02458" w:rsidP="001D3B81">
      <w:pPr>
        <w:pStyle w:val="3-BodyText"/>
        <w:rPr>
          <w:snapToGrid w:val="0"/>
          <w:lang w:val="en-GB"/>
        </w:rPr>
      </w:pPr>
      <w:r>
        <w:lastRenderedPageBreak/>
        <w:t xml:space="preserve">The PBAC </w:t>
      </w:r>
      <w:r>
        <w:rPr>
          <w:snapToGrid w:val="0"/>
          <w:lang w:val="en-GB"/>
        </w:rPr>
        <w:t xml:space="preserve">advised that the </w:t>
      </w:r>
      <w:proofErr w:type="spellStart"/>
      <w:r>
        <w:rPr>
          <w:snapToGrid w:val="0"/>
          <w:lang w:val="en-GB"/>
        </w:rPr>
        <w:t>equi</w:t>
      </w:r>
      <w:proofErr w:type="spellEnd"/>
      <w:r>
        <w:rPr>
          <w:snapToGrid w:val="0"/>
          <w:lang w:val="en-GB"/>
        </w:rPr>
        <w:t xml:space="preserve">-effective doses were </w:t>
      </w:r>
      <w:r w:rsidRPr="00BF1BFB">
        <w:rPr>
          <w:iCs/>
          <w:lang w:eastAsia="en-US"/>
        </w:rPr>
        <w:t xml:space="preserve">0.655 mg/kg/week of </w:t>
      </w:r>
      <w:proofErr w:type="spellStart"/>
      <w:r>
        <w:rPr>
          <w:iCs/>
          <w:lang w:eastAsia="en-US"/>
        </w:rPr>
        <w:t>somatrogon</w:t>
      </w:r>
      <w:proofErr w:type="spellEnd"/>
      <w:r w:rsidRPr="00BF1BFB">
        <w:rPr>
          <w:iCs/>
          <w:lang w:eastAsia="en-US"/>
        </w:rPr>
        <w:t xml:space="preserve"> </w:t>
      </w:r>
      <w:r>
        <w:rPr>
          <w:iCs/>
          <w:lang w:eastAsia="en-US"/>
        </w:rPr>
        <w:t>and</w:t>
      </w:r>
      <w:r w:rsidRPr="00BF1BFB">
        <w:rPr>
          <w:iCs/>
          <w:lang w:eastAsia="en-US"/>
        </w:rPr>
        <w:t xml:space="preserve"> </w:t>
      </w:r>
      <w:r w:rsidR="0027148E" w:rsidRPr="00BF1BFB">
        <w:rPr>
          <w:iCs/>
          <w:lang w:eastAsia="en-US"/>
        </w:rPr>
        <w:t xml:space="preserve">0.237 mg/kg/week </w:t>
      </w:r>
      <w:r w:rsidRPr="00BF1BFB">
        <w:rPr>
          <w:iCs/>
          <w:lang w:eastAsia="en-US"/>
        </w:rPr>
        <w:t>(</w:t>
      </w:r>
      <w:r w:rsidR="0027148E" w:rsidRPr="00BF1BFB">
        <w:rPr>
          <w:iCs/>
          <w:lang w:eastAsia="en-US"/>
        </w:rPr>
        <w:t>0.034 mg/kg/day</w:t>
      </w:r>
      <w:r w:rsidRPr="00BF1BFB">
        <w:rPr>
          <w:iCs/>
          <w:lang w:eastAsia="en-US"/>
        </w:rPr>
        <w:t>) of somatropin.</w:t>
      </w:r>
      <w:r>
        <w:rPr>
          <w:iCs/>
          <w:lang w:eastAsia="en-US"/>
        </w:rPr>
        <w:t xml:space="preserve"> </w:t>
      </w:r>
      <w:r w:rsidR="001D3B81">
        <w:rPr>
          <w:snapToGrid w:val="0"/>
          <w:lang w:val="en-GB"/>
        </w:rPr>
        <w:t xml:space="preserve">This was derived from the mean treatment doses </w:t>
      </w:r>
      <w:r>
        <w:rPr>
          <w:snapToGrid w:val="0"/>
          <w:lang w:val="en-GB"/>
        </w:rPr>
        <w:t>of</w:t>
      </w:r>
      <w:r w:rsidR="001D3B81">
        <w:rPr>
          <w:snapToGrid w:val="0"/>
          <w:lang w:val="en-GB"/>
        </w:rPr>
        <w:t xml:space="preserve"> the </w:t>
      </w:r>
      <w:r w:rsidR="00325C3C">
        <w:rPr>
          <w:snapToGrid w:val="0"/>
          <w:lang w:val="en-GB"/>
        </w:rPr>
        <w:t>Study 4006</w:t>
      </w:r>
      <w:r w:rsidR="001D3B81">
        <w:rPr>
          <w:snapToGrid w:val="0"/>
          <w:lang w:val="en-GB"/>
        </w:rPr>
        <w:t xml:space="preserve"> which the PBAC considered to represent the steady-state doses for </w:t>
      </w:r>
      <w:proofErr w:type="spellStart"/>
      <w:r w:rsidR="00325C3C">
        <w:rPr>
          <w:snapToGrid w:val="0"/>
          <w:lang w:val="en-GB"/>
        </w:rPr>
        <w:t>somatrogon</w:t>
      </w:r>
      <w:proofErr w:type="spellEnd"/>
      <w:r w:rsidR="001D3B81">
        <w:rPr>
          <w:snapToGrid w:val="0"/>
          <w:lang w:val="en-GB"/>
        </w:rPr>
        <w:t xml:space="preserve"> and somatropin.</w:t>
      </w:r>
    </w:p>
    <w:p w14:paraId="1567C689" w14:textId="5E5356B3" w:rsidR="007B428A" w:rsidRDefault="007B428A" w:rsidP="007B428A">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consumer comments which noted the improved patient satisfaction and treatment convenience of weekly dosing with </w:t>
      </w:r>
      <w:proofErr w:type="spellStart"/>
      <w:r>
        <w:rPr>
          <w:rFonts w:asciiTheme="minorHAnsi" w:hAnsiTheme="minorHAnsi"/>
          <w:snapToGrid w:val="0"/>
          <w:lang w:val="en-GB"/>
        </w:rPr>
        <w:t>somatrogon</w:t>
      </w:r>
      <w:proofErr w:type="spellEnd"/>
      <w:r>
        <w:rPr>
          <w:rFonts w:asciiTheme="minorHAnsi" w:hAnsiTheme="minorHAnsi"/>
          <w:snapToGrid w:val="0"/>
          <w:lang w:val="en-GB"/>
        </w:rPr>
        <w:t xml:space="preserve"> compared to daily dosing with somatropin. The PBAC agreed with the consumer comments that there is clinical need for a once-weekly growth hormone treatment for patients with </w:t>
      </w:r>
      <w:r w:rsidR="004244BC">
        <w:rPr>
          <w:rFonts w:asciiTheme="minorHAnsi" w:hAnsiTheme="minorHAnsi"/>
          <w:snapToGrid w:val="0"/>
          <w:lang w:val="en-GB"/>
        </w:rPr>
        <w:t>p</w:t>
      </w:r>
      <w:r w:rsidR="005E53BF">
        <w:rPr>
          <w:rFonts w:asciiTheme="minorHAnsi" w:hAnsiTheme="minorHAnsi"/>
          <w:snapToGrid w:val="0"/>
          <w:lang w:val="en-GB"/>
        </w:rPr>
        <w:t xml:space="preserve">aediatric </w:t>
      </w:r>
      <w:r>
        <w:rPr>
          <w:rFonts w:asciiTheme="minorHAnsi" w:hAnsiTheme="minorHAnsi"/>
          <w:snapToGrid w:val="0"/>
          <w:lang w:val="en-GB"/>
        </w:rPr>
        <w:t>GHD.</w:t>
      </w:r>
    </w:p>
    <w:p w14:paraId="5055BAB8" w14:textId="46D8AD47" w:rsidR="007B428A" w:rsidRPr="00BA08B9" w:rsidRDefault="007B428A" w:rsidP="00186E31">
      <w:pPr>
        <w:pStyle w:val="3-BodyText"/>
        <w:widowControl w:val="0"/>
        <w:numPr>
          <w:ilvl w:val="1"/>
          <w:numId w:val="1"/>
        </w:numPr>
        <w:rPr>
          <w:snapToGrid w:val="0"/>
          <w:lang w:val="en-GB"/>
        </w:rPr>
      </w:pPr>
      <w:r w:rsidRPr="00BA08B9">
        <w:rPr>
          <w:snapToGrid w:val="0"/>
          <w:lang w:val="en-GB"/>
        </w:rPr>
        <w:t xml:space="preserve">The PBAC considered that </w:t>
      </w:r>
      <w:proofErr w:type="spellStart"/>
      <w:r w:rsidRPr="00BA08B9">
        <w:rPr>
          <w:snapToGrid w:val="0"/>
          <w:lang w:val="en-GB"/>
        </w:rPr>
        <w:t>somatrogon</w:t>
      </w:r>
      <w:proofErr w:type="spellEnd"/>
      <w:r w:rsidRPr="00BA08B9">
        <w:rPr>
          <w:snapToGrid w:val="0"/>
          <w:lang w:val="en-GB"/>
        </w:rPr>
        <w:t xml:space="preserve"> was non-inferior to somatropin in terms of effectiveness and safety. </w:t>
      </w:r>
      <w:r w:rsidR="00B003C4" w:rsidRPr="00BA08B9">
        <w:rPr>
          <w:snapToGrid w:val="0"/>
          <w:lang w:val="en-GB"/>
        </w:rPr>
        <w:t xml:space="preserve">The PBAC accepted </w:t>
      </w:r>
      <w:r w:rsidR="00D87072" w:rsidRPr="00E96E9F">
        <w:rPr>
          <w:shd w:val="clear" w:color="auto" w:fill="FFFFFF"/>
          <w:lang w:eastAsia="zh-CN"/>
        </w:rPr>
        <w:t>annual height velocity</w:t>
      </w:r>
      <w:r w:rsidR="004239F8">
        <w:rPr>
          <w:shd w:val="clear" w:color="auto" w:fill="FFFFFF"/>
          <w:lang w:eastAsia="zh-CN"/>
        </w:rPr>
        <w:t xml:space="preserve"> (HV)</w:t>
      </w:r>
      <w:r w:rsidR="00B003C4" w:rsidRPr="00BA08B9">
        <w:rPr>
          <w:snapToGrid w:val="0"/>
          <w:lang w:val="en-GB"/>
        </w:rPr>
        <w:t xml:space="preserve"> as the primary measure of non-inferiority</w:t>
      </w:r>
      <w:r w:rsidR="004239F8">
        <w:rPr>
          <w:snapToGrid w:val="0"/>
          <w:lang w:val="en-GB"/>
        </w:rPr>
        <w:t>.</w:t>
      </w:r>
      <w:r w:rsidR="00B003C4" w:rsidRPr="00BA08B9">
        <w:rPr>
          <w:snapToGrid w:val="0"/>
          <w:lang w:val="en-GB"/>
        </w:rPr>
        <w:t xml:space="preserve"> </w:t>
      </w:r>
      <w:r w:rsidR="004239F8">
        <w:rPr>
          <w:snapToGrid w:val="0"/>
          <w:lang w:val="en-GB"/>
        </w:rPr>
        <w:t xml:space="preserve">The PBAC noted </w:t>
      </w:r>
      <w:r w:rsidR="008A1313">
        <w:rPr>
          <w:snapToGrid w:val="0"/>
          <w:lang w:val="en-GB"/>
        </w:rPr>
        <w:t>t</w:t>
      </w:r>
      <w:r w:rsidR="004239F8">
        <w:rPr>
          <w:snapToGrid w:val="0"/>
          <w:lang w:val="en-GB"/>
        </w:rPr>
        <w:t>he submission relied on</w:t>
      </w:r>
      <w:r w:rsidR="00B003C4" w:rsidRPr="00BA08B9">
        <w:rPr>
          <w:rStyle w:val="normaltextrun"/>
          <w:rFonts w:ascii="Calibri" w:hAnsi="Calibri" w:cs="Calibri"/>
          <w:iCs/>
        </w:rPr>
        <w:t xml:space="preserve"> </w:t>
      </w:r>
      <w:r w:rsidR="004239F8">
        <w:rPr>
          <w:rStyle w:val="normaltextrun"/>
          <w:rFonts w:ascii="Calibri" w:hAnsi="Calibri" w:cs="Calibri"/>
          <w:iCs/>
        </w:rPr>
        <w:t xml:space="preserve">the </w:t>
      </w:r>
      <w:r w:rsidR="004239F8" w:rsidRPr="00BA08B9">
        <w:rPr>
          <w:rStyle w:val="normaltextrun"/>
          <w:rFonts w:ascii="Calibri" w:hAnsi="Calibri" w:cs="Calibri"/>
          <w:iCs/>
        </w:rPr>
        <w:t xml:space="preserve">overlapping 95% confidence intervals </w:t>
      </w:r>
      <w:r w:rsidR="004239F8">
        <w:rPr>
          <w:rStyle w:val="normaltextrun"/>
          <w:rFonts w:ascii="Calibri" w:hAnsi="Calibri" w:cs="Calibri"/>
          <w:iCs/>
        </w:rPr>
        <w:t xml:space="preserve">in </w:t>
      </w:r>
      <w:r w:rsidR="004239F8" w:rsidRPr="00BA08B9">
        <w:rPr>
          <w:rStyle w:val="normaltextrun"/>
          <w:rFonts w:ascii="Calibri" w:hAnsi="Calibri" w:cs="Calibri"/>
          <w:iCs/>
        </w:rPr>
        <w:t>Study 4004</w:t>
      </w:r>
      <w:r w:rsidR="004239F8">
        <w:rPr>
          <w:rStyle w:val="normaltextrun"/>
          <w:rFonts w:ascii="Calibri" w:hAnsi="Calibri" w:cs="Calibri"/>
          <w:iCs/>
        </w:rPr>
        <w:t xml:space="preserve"> </w:t>
      </w:r>
      <w:r w:rsidR="004239F8" w:rsidRPr="00BA08B9">
        <w:rPr>
          <w:rStyle w:val="normaltextrun"/>
          <w:rFonts w:ascii="Calibri" w:hAnsi="Calibri" w:cs="Calibri"/>
          <w:iCs/>
        </w:rPr>
        <w:t xml:space="preserve">to </w:t>
      </w:r>
      <w:r w:rsidR="004239F8">
        <w:rPr>
          <w:rStyle w:val="normaltextrun"/>
          <w:rFonts w:ascii="Calibri" w:hAnsi="Calibri" w:cs="Calibri"/>
          <w:iCs/>
        </w:rPr>
        <w:t xml:space="preserve">support </w:t>
      </w:r>
      <w:r w:rsidR="004239F8" w:rsidRPr="00BA08B9">
        <w:rPr>
          <w:rStyle w:val="normaltextrun"/>
          <w:rFonts w:ascii="Calibri" w:hAnsi="Calibri" w:cs="Calibri"/>
          <w:iCs/>
        </w:rPr>
        <w:t>non-inferiority</w:t>
      </w:r>
      <w:r w:rsidR="004239F8">
        <w:rPr>
          <w:rStyle w:val="normaltextrun"/>
          <w:rFonts w:ascii="Calibri" w:hAnsi="Calibri" w:cs="Calibri"/>
          <w:iCs/>
        </w:rPr>
        <w:t xml:space="preserve">. </w:t>
      </w:r>
      <w:r w:rsidR="008A1313">
        <w:rPr>
          <w:rStyle w:val="normaltextrun"/>
          <w:rFonts w:ascii="Calibri" w:hAnsi="Calibri" w:cs="Calibri"/>
          <w:iCs/>
        </w:rPr>
        <w:t>T</w:t>
      </w:r>
      <w:r w:rsidR="00046E65" w:rsidRPr="00BA08B9">
        <w:rPr>
          <w:rStyle w:val="normaltextrun"/>
          <w:rFonts w:cs="Calibri"/>
          <w:iCs/>
        </w:rPr>
        <w:t xml:space="preserve">he PBAC considered that </w:t>
      </w:r>
      <w:r w:rsidR="00046E65" w:rsidRPr="00BA08B9">
        <w:rPr>
          <w:rStyle w:val="normaltextrun"/>
          <w:rFonts w:ascii="Calibri" w:hAnsi="Calibri" w:cs="Calibri"/>
        </w:rPr>
        <w:t>Study 4006 together with two supportive trials (Study 4004 and Study 4009) demonstrated non-</w:t>
      </w:r>
      <w:r w:rsidR="00866A2A">
        <w:rPr>
          <w:rStyle w:val="normaltextrun"/>
          <w:rFonts w:ascii="Calibri" w:hAnsi="Calibri" w:cs="Calibri"/>
        </w:rPr>
        <w:t>inferiority in terms of annualis</w:t>
      </w:r>
      <w:r w:rsidR="00046E65" w:rsidRPr="00BA08B9">
        <w:rPr>
          <w:rStyle w:val="normaltextrun"/>
          <w:rFonts w:ascii="Calibri" w:hAnsi="Calibri" w:cs="Calibri"/>
        </w:rPr>
        <w:t xml:space="preserve">ed </w:t>
      </w:r>
      <w:r w:rsidR="00046E65" w:rsidRPr="00BA08B9">
        <w:rPr>
          <w:rStyle w:val="normaltextrun"/>
          <w:rFonts w:cs="Calibri"/>
        </w:rPr>
        <w:t>HV</w:t>
      </w:r>
      <w:r w:rsidR="00046E65" w:rsidRPr="00BA08B9">
        <w:rPr>
          <w:rStyle w:val="normaltextrun"/>
          <w:rFonts w:ascii="Calibri" w:hAnsi="Calibri" w:cs="Calibri"/>
        </w:rPr>
        <w:t xml:space="preserve"> at 12 months. The PBAC considered that </w:t>
      </w:r>
      <w:r w:rsidR="00046E65" w:rsidRPr="00BA08B9">
        <w:rPr>
          <w:rStyle w:val="normaltextrun"/>
          <w:rFonts w:ascii="Calibri" w:eastAsia="Times New Roman" w:hAnsi="Calibri" w:cs="Calibri"/>
          <w:szCs w:val="24"/>
        </w:rPr>
        <w:t xml:space="preserve">the safety data presented showed no significant difference in serious or severe AEs between </w:t>
      </w:r>
      <w:proofErr w:type="spellStart"/>
      <w:r w:rsidR="00046E65" w:rsidRPr="00BA08B9">
        <w:rPr>
          <w:rStyle w:val="normaltextrun"/>
          <w:rFonts w:ascii="Calibri" w:eastAsia="Times New Roman" w:hAnsi="Calibri" w:cs="Calibri"/>
          <w:szCs w:val="24"/>
        </w:rPr>
        <w:t>somatrogon</w:t>
      </w:r>
      <w:proofErr w:type="spellEnd"/>
      <w:r w:rsidR="00046E65" w:rsidRPr="00BA08B9">
        <w:rPr>
          <w:rStyle w:val="normaltextrun"/>
          <w:rFonts w:ascii="Calibri" w:eastAsia="Times New Roman" w:hAnsi="Calibri" w:cs="Calibri"/>
          <w:szCs w:val="24"/>
        </w:rPr>
        <w:t xml:space="preserve"> and somatropin. The PBAC noted that there was a higher incidence of injection site reactions for </w:t>
      </w:r>
      <w:proofErr w:type="spellStart"/>
      <w:r w:rsidR="00046E65" w:rsidRPr="00BA08B9">
        <w:rPr>
          <w:rStyle w:val="normaltextrun"/>
          <w:rFonts w:ascii="Calibri" w:eastAsia="Times New Roman" w:hAnsi="Calibri" w:cs="Calibri"/>
          <w:szCs w:val="24"/>
        </w:rPr>
        <w:t>somatrogon</w:t>
      </w:r>
      <w:proofErr w:type="spellEnd"/>
      <w:r w:rsidR="00046E65" w:rsidRPr="00BA08B9">
        <w:rPr>
          <w:rStyle w:val="normaltextrun"/>
          <w:rFonts w:ascii="Calibri" w:eastAsia="Times New Roman" w:hAnsi="Calibri" w:cs="Calibri"/>
          <w:szCs w:val="24"/>
        </w:rPr>
        <w:t xml:space="preserve"> at 12 months and that it rarely led to discontinuation of the drug</w:t>
      </w:r>
      <w:r w:rsidR="00E3260B">
        <w:rPr>
          <w:rStyle w:val="normaltextrun"/>
          <w:rFonts w:ascii="Calibri" w:eastAsia="Times New Roman" w:hAnsi="Calibri" w:cs="Calibri"/>
          <w:szCs w:val="24"/>
        </w:rPr>
        <w:t xml:space="preserve"> and considered this AE would be manageable in clinical practice</w:t>
      </w:r>
      <w:r w:rsidR="00046E65" w:rsidRPr="00BA08B9">
        <w:rPr>
          <w:rStyle w:val="normaltextrun"/>
          <w:rFonts w:ascii="Calibri" w:eastAsia="Times New Roman" w:hAnsi="Calibri" w:cs="Calibri"/>
          <w:szCs w:val="24"/>
        </w:rPr>
        <w:t>.</w:t>
      </w:r>
    </w:p>
    <w:p w14:paraId="531EE5A9" w14:textId="319EEC50" w:rsidR="007B428A" w:rsidRPr="008D381B" w:rsidRDefault="007B428A" w:rsidP="007B428A">
      <w:pPr>
        <w:pStyle w:val="3-BodyText"/>
        <w:numPr>
          <w:ilvl w:val="1"/>
          <w:numId w:val="1"/>
        </w:numPr>
        <w:rPr>
          <w:rFonts w:cs="Arial"/>
          <w:snapToGrid w:val="0"/>
          <w:lang w:val="en-GB"/>
        </w:rPr>
      </w:pPr>
      <w:r>
        <w:rPr>
          <w:rFonts w:ascii="Calibri" w:eastAsia="Calibri" w:hAnsi="Calibri" w:cs="Calibri"/>
          <w:iCs/>
        </w:rPr>
        <w:t>The PBAC considered that</w:t>
      </w:r>
      <w:r w:rsidR="002473D1">
        <w:rPr>
          <w:rFonts w:ascii="Calibri" w:eastAsia="Calibri" w:hAnsi="Calibri" w:cs="Calibri"/>
          <w:iCs/>
        </w:rPr>
        <w:t xml:space="preserve"> the listing of</w:t>
      </w:r>
      <w:r>
        <w:rPr>
          <w:rFonts w:ascii="Calibri" w:eastAsia="Calibri" w:hAnsi="Calibri" w:cs="Calibri"/>
          <w:iCs/>
        </w:rPr>
        <w:t xml:space="preserve"> </w:t>
      </w:r>
      <w:proofErr w:type="spellStart"/>
      <w:r>
        <w:rPr>
          <w:rFonts w:ascii="Calibri" w:eastAsia="Calibri" w:hAnsi="Calibri" w:cs="Calibri"/>
          <w:iCs/>
        </w:rPr>
        <w:t>somatrogon</w:t>
      </w:r>
      <w:proofErr w:type="spellEnd"/>
      <w:r w:rsidRPr="003214C3">
        <w:rPr>
          <w:rFonts w:ascii="Calibri" w:eastAsia="Calibri" w:hAnsi="Calibri" w:cs="Calibri"/>
          <w:iCs/>
        </w:rPr>
        <w:t xml:space="preserve"> should result in a nil cost to </w:t>
      </w:r>
      <w:r w:rsidR="002473D1">
        <w:rPr>
          <w:rFonts w:ascii="Calibri" w:eastAsia="Calibri" w:hAnsi="Calibri" w:cs="Calibri"/>
          <w:iCs/>
        </w:rPr>
        <w:t>G</w:t>
      </w:r>
      <w:r w:rsidRPr="003214C3">
        <w:rPr>
          <w:rFonts w:ascii="Calibri" w:eastAsia="Calibri" w:hAnsi="Calibri" w:cs="Calibri"/>
          <w:iCs/>
        </w:rPr>
        <w:t xml:space="preserve">overnment since </w:t>
      </w:r>
      <w:r>
        <w:rPr>
          <w:rFonts w:ascii="Calibri" w:eastAsia="Calibri" w:hAnsi="Calibri" w:cs="Calibri"/>
          <w:iCs/>
        </w:rPr>
        <w:t xml:space="preserve">it is likely that patients currently using daily somatropin would switch to weekly </w:t>
      </w:r>
      <w:proofErr w:type="spellStart"/>
      <w:r w:rsidR="004244BC">
        <w:rPr>
          <w:rFonts w:ascii="Calibri" w:eastAsia="Calibri" w:hAnsi="Calibri" w:cs="Calibri"/>
          <w:iCs/>
        </w:rPr>
        <w:t>somatrogon</w:t>
      </w:r>
      <w:proofErr w:type="spellEnd"/>
      <w:r>
        <w:rPr>
          <w:rFonts w:ascii="Calibri" w:eastAsia="Calibri" w:hAnsi="Calibri" w:cs="Calibri"/>
          <w:iCs/>
        </w:rPr>
        <w:t xml:space="preserve"> and the submission requested </w:t>
      </w:r>
      <w:r w:rsidRPr="003214C3">
        <w:rPr>
          <w:rFonts w:ascii="Calibri" w:eastAsia="Calibri" w:hAnsi="Calibri" w:cs="Calibri"/>
          <w:iCs/>
        </w:rPr>
        <w:t xml:space="preserve">the same weekly cost as </w:t>
      </w:r>
      <w:r>
        <w:rPr>
          <w:rFonts w:ascii="Calibri" w:eastAsia="Calibri" w:hAnsi="Calibri" w:cs="Calibri"/>
          <w:iCs/>
        </w:rPr>
        <w:t xml:space="preserve">that of </w:t>
      </w:r>
      <w:r w:rsidRPr="003214C3">
        <w:rPr>
          <w:rFonts w:ascii="Calibri" w:eastAsia="Calibri" w:hAnsi="Calibri" w:cs="Calibri"/>
          <w:iCs/>
        </w:rPr>
        <w:t>somatropin.</w:t>
      </w:r>
      <w:r>
        <w:rPr>
          <w:rFonts w:ascii="Calibri" w:eastAsia="Calibri" w:hAnsi="Calibri" w:cs="Calibri"/>
          <w:iCs/>
        </w:rPr>
        <w:t xml:space="preserve"> The PBAC noted that there </w:t>
      </w:r>
      <w:r w:rsidRPr="004244BC">
        <w:rPr>
          <w:rFonts w:ascii="Calibri" w:eastAsia="Calibri" w:hAnsi="Calibri" w:cs="Calibri"/>
          <w:iCs/>
        </w:rPr>
        <w:t xml:space="preserve">may be potential additional costs due to wastage if </w:t>
      </w:r>
      <w:r w:rsidRPr="004244BC">
        <w:t xml:space="preserve">pens are discarded with </w:t>
      </w:r>
      <w:r w:rsidR="00264D5F">
        <w:t xml:space="preserve">drug </w:t>
      </w:r>
      <w:r w:rsidRPr="004244BC">
        <w:t>remaining</w:t>
      </w:r>
      <w:r w:rsidRPr="004244BC">
        <w:rPr>
          <w:rFonts w:eastAsia="Calibri"/>
          <w:iCs/>
        </w:rPr>
        <w:t>.</w:t>
      </w:r>
    </w:p>
    <w:p w14:paraId="0FDF1A2A" w14:textId="5FAFB115" w:rsidR="003F432A" w:rsidRPr="000470C3" w:rsidRDefault="003F432A" w:rsidP="00C3608F">
      <w:pPr>
        <w:pStyle w:val="3-BodyText"/>
        <w:rPr>
          <w:color w:val="0066FF"/>
        </w:rPr>
      </w:pPr>
      <w:r>
        <w:t xml:space="preserve">The PBAC noted that there </w:t>
      </w:r>
      <w:r w:rsidR="0039458A">
        <w:t xml:space="preserve">were </w:t>
      </w:r>
      <w:r>
        <w:t>limited data</w:t>
      </w:r>
      <w:r w:rsidR="008A1313">
        <w:t xml:space="preserve"> available</w:t>
      </w:r>
      <w:r>
        <w:t xml:space="preserve"> for the usage of </w:t>
      </w:r>
      <w:proofErr w:type="spellStart"/>
      <w:r>
        <w:t>somatrogon</w:t>
      </w:r>
      <w:proofErr w:type="spellEnd"/>
      <w:r>
        <w:t xml:space="preserve"> in patients aged 12-18, and that there </w:t>
      </w:r>
      <w:r w:rsidR="0039458A">
        <w:t xml:space="preserve">were </w:t>
      </w:r>
      <w:r>
        <w:t>no data for children under 3 years of age</w:t>
      </w:r>
      <w:r w:rsidR="006B7E08">
        <w:t xml:space="preserve"> but discussed that it was important </w:t>
      </w:r>
      <w:r w:rsidR="00C3608F">
        <w:t>that a weekly form of growth hormone injection was available to patients</w:t>
      </w:r>
      <w:r>
        <w:t>. The</w:t>
      </w:r>
      <w:r w:rsidR="006B7E08">
        <w:t xml:space="preserve">refore, the </w:t>
      </w:r>
      <w:r>
        <w:t xml:space="preserve">PBAC considered that patients who do not have a mature skeleton </w:t>
      </w:r>
      <w:r w:rsidR="00D10D8F">
        <w:t xml:space="preserve">should be eligible for </w:t>
      </w:r>
      <w:proofErr w:type="spellStart"/>
      <w:r w:rsidR="00D10D8F">
        <w:t>somatrogon</w:t>
      </w:r>
      <w:proofErr w:type="spellEnd"/>
      <w:r>
        <w:t>.</w:t>
      </w:r>
      <w:r w:rsidR="00C3608F">
        <w:t xml:space="preserve"> The PBAC considered </w:t>
      </w:r>
      <w:r w:rsidR="00EC3087">
        <w:t xml:space="preserve">that </w:t>
      </w:r>
      <w:r w:rsidR="00C3608F">
        <w:t>th</w:t>
      </w:r>
      <w:r w:rsidR="00EC3087">
        <w:t>e removal of the population</w:t>
      </w:r>
      <w:r w:rsidR="00C3608F">
        <w:t xml:space="preserve"> criterion</w:t>
      </w:r>
      <w:r w:rsidR="00EC3087">
        <w:t xml:space="preserve"> for children aged 3 years</w:t>
      </w:r>
      <w:r w:rsidR="00C3608F">
        <w:t xml:space="preserve"> should be </w:t>
      </w:r>
      <w:r w:rsidR="00C3608F" w:rsidRPr="00C3608F">
        <w:t>flowed-on to other PBS listed GH products for these indications.</w:t>
      </w:r>
    </w:p>
    <w:p w14:paraId="58EF70D9" w14:textId="01D2AD2A" w:rsidR="008B63DC" w:rsidRPr="008B63DC" w:rsidRDefault="006A40C8" w:rsidP="008B63DC">
      <w:pPr>
        <w:pStyle w:val="3-BodyText"/>
        <w:rPr>
          <w:snapToGrid w:val="0"/>
          <w:lang w:val="en-GB"/>
        </w:rPr>
      </w:pPr>
      <w:r w:rsidRPr="00856B40">
        <w:rPr>
          <w:snapToGrid w:val="0"/>
          <w:lang w:val="en-GB"/>
        </w:rPr>
        <w:t xml:space="preserve">The PBAC noted that </w:t>
      </w:r>
      <w:r w:rsidR="0039458A">
        <w:rPr>
          <w:snapToGrid w:val="0"/>
          <w:lang w:val="en-GB"/>
        </w:rPr>
        <w:t>switching</w:t>
      </w:r>
      <w:r w:rsidR="0039458A" w:rsidRPr="00856B40">
        <w:rPr>
          <w:snapToGrid w:val="0"/>
          <w:lang w:val="en-GB"/>
        </w:rPr>
        <w:t xml:space="preserve"> </w:t>
      </w:r>
      <w:r w:rsidRPr="00856B40">
        <w:rPr>
          <w:snapToGrid w:val="0"/>
          <w:lang w:val="en-GB"/>
        </w:rPr>
        <w:t>from a once daily injection to a once weekly injection</w:t>
      </w:r>
      <w:r w:rsidR="004068A0">
        <w:rPr>
          <w:snapToGrid w:val="0"/>
          <w:lang w:val="en-GB"/>
        </w:rPr>
        <w:t xml:space="preserve"> may pose</w:t>
      </w:r>
      <w:r w:rsidRPr="00856B40">
        <w:rPr>
          <w:snapToGrid w:val="0"/>
          <w:lang w:val="en-GB"/>
        </w:rPr>
        <w:t xml:space="preserve"> QUM risks </w:t>
      </w:r>
      <w:r w:rsidR="00EC3087">
        <w:rPr>
          <w:snapToGrid w:val="0"/>
          <w:lang w:val="en-GB"/>
        </w:rPr>
        <w:t>if</w:t>
      </w:r>
      <w:r w:rsidR="00EC3087" w:rsidRPr="00856B40">
        <w:rPr>
          <w:snapToGrid w:val="0"/>
          <w:lang w:val="en-GB"/>
        </w:rPr>
        <w:t xml:space="preserve"> </w:t>
      </w:r>
      <w:r w:rsidR="00EC3087">
        <w:rPr>
          <w:snapToGrid w:val="0"/>
          <w:lang w:val="en-GB"/>
        </w:rPr>
        <w:t xml:space="preserve">the </w:t>
      </w:r>
      <w:r w:rsidRPr="00856B40">
        <w:rPr>
          <w:snapToGrid w:val="0"/>
          <w:lang w:val="en-GB"/>
        </w:rPr>
        <w:t xml:space="preserve">patients use somatropin concurrently with </w:t>
      </w:r>
      <w:proofErr w:type="spellStart"/>
      <w:r w:rsidRPr="00856B40">
        <w:rPr>
          <w:snapToGrid w:val="0"/>
          <w:lang w:val="en-GB"/>
        </w:rPr>
        <w:t>somatrogon</w:t>
      </w:r>
      <w:proofErr w:type="spellEnd"/>
      <w:r w:rsidRPr="00856B40">
        <w:rPr>
          <w:snapToGrid w:val="0"/>
          <w:lang w:val="en-GB"/>
        </w:rPr>
        <w:t xml:space="preserve"> or </w:t>
      </w:r>
      <w:r w:rsidR="00EC3087">
        <w:rPr>
          <w:snapToGrid w:val="0"/>
          <w:lang w:val="en-GB"/>
        </w:rPr>
        <w:t>if there is</w:t>
      </w:r>
      <w:r w:rsidRPr="00856B40">
        <w:rPr>
          <w:snapToGrid w:val="0"/>
          <w:lang w:val="en-GB"/>
        </w:rPr>
        <w:t xml:space="preserve"> frequent interchange between the therapies. The PBAC </w:t>
      </w:r>
      <w:r w:rsidR="00375943">
        <w:rPr>
          <w:snapToGrid w:val="0"/>
          <w:lang w:val="en-GB"/>
        </w:rPr>
        <w:t>considered</w:t>
      </w:r>
      <w:r w:rsidR="00375943" w:rsidRPr="00856B40">
        <w:rPr>
          <w:snapToGrid w:val="0"/>
          <w:lang w:val="en-GB"/>
        </w:rPr>
        <w:t xml:space="preserve"> </w:t>
      </w:r>
      <w:r w:rsidRPr="00856B40">
        <w:rPr>
          <w:snapToGrid w:val="0"/>
          <w:lang w:val="en-GB"/>
        </w:rPr>
        <w:t>this risk to be low</w:t>
      </w:r>
      <w:r w:rsidR="00375943">
        <w:rPr>
          <w:snapToGrid w:val="0"/>
          <w:lang w:val="en-GB"/>
        </w:rPr>
        <w:t>. However,</w:t>
      </w:r>
      <w:r w:rsidRPr="00856B40">
        <w:rPr>
          <w:snapToGrid w:val="0"/>
          <w:lang w:val="en-GB"/>
        </w:rPr>
        <w:t xml:space="preserve"> to prevent treatment discontinuation in these circumstances, the PBAC considered that patients who initiate on somatropin or </w:t>
      </w:r>
      <w:proofErr w:type="spellStart"/>
      <w:r w:rsidRPr="00856B40">
        <w:rPr>
          <w:snapToGrid w:val="0"/>
          <w:lang w:val="en-GB"/>
        </w:rPr>
        <w:t>somatrogon</w:t>
      </w:r>
      <w:proofErr w:type="spellEnd"/>
      <w:r w:rsidRPr="00856B40">
        <w:rPr>
          <w:snapToGrid w:val="0"/>
          <w:lang w:val="en-GB"/>
        </w:rPr>
        <w:t xml:space="preserve"> for the </w:t>
      </w:r>
      <w:r w:rsidR="0039458A">
        <w:rPr>
          <w:snapToGrid w:val="0"/>
          <w:lang w:val="en-GB"/>
        </w:rPr>
        <w:t xml:space="preserve">treatment of SSABGHD or SSSG </w:t>
      </w:r>
      <w:r w:rsidRPr="00856B40">
        <w:rPr>
          <w:snapToGrid w:val="0"/>
          <w:lang w:val="en-GB"/>
        </w:rPr>
        <w:t>would not need to meet the initial restriction criteria again for th</w:t>
      </w:r>
      <w:r w:rsidR="0039458A">
        <w:rPr>
          <w:snapToGrid w:val="0"/>
          <w:lang w:val="en-GB"/>
        </w:rPr>
        <w:t>ose</w:t>
      </w:r>
      <w:r w:rsidRPr="00856B40">
        <w:rPr>
          <w:snapToGrid w:val="0"/>
          <w:lang w:val="en-GB"/>
        </w:rPr>
        <w:t xml:space="preserve"> indication</w:t>
      </w:r>
      <w:r w:rsidR="0039458A">
        <w:rPr>
          <w:snapToGrid w:val="0"/>
          <w:lang w:val="en-GB"/>
        </w:rPr>
        <w:t>s</w:t>
      </w:r>
      <w:r w:rsidRPr="00856B40">
        <w:rPr>
          <w:snapToGrid w:val="0"/>
          <w:lang w:val="en-GB"/>
        </w:rPr>
        <w:t xml:space="preserve"> if they </w:t>
      </w:r>
      <w:r w:rsidR="0039458A" w:rsidRPr="00856B40">
        <w:rPr>
          <w:snapToGrid w:val="0"/>
          <w:lang w:val="en-GB"/>
        </w:rPr>
        <w:t>ha</w:t>
      </w:r>
      <w:r w:rsidR="0039458A">
        <w:rPr>
          <w:snapToGrid w:val="0"/>
          <w:lang w:val="en-GB"/>
        </w:rPr>
        <w:t>d</w:t>
      </w:r>
      <w:r w:rsidR="0039458A" w:rsidRPr="00856B40">
        <w:rPr>
          <w:snapToGrid w:val="0"/>
          <w:lang w:val="en-GB"/>
        </w:rPr>
        <w:t xml:space="preserve"> </w:t>
      </w:r>
      <w:r w:rsidRPr="00856B40">
        <w:rPr>
          <w:snapToGrid w:val="0"/>
          <w:lang w:val="en-GB"/>
        </w:rPr>
        <w:t xml:space="preserve">previously met these criteria for either somatropin or </w:t>
      </w:r>
      <w:proofErr w:type="spellStart"/>
      <w:r w:rsidRPr="00856B40">
        <w:rPr>
          <w:snapToGrid w:val="0"/>
          <w:lang w:val="en-GB"/>
        </w:rPr>
        <w:t>somatrogon</w:t>
      </w:r>
      <w:proofErr w:type="spellEnd"/>
      <w:r w:rsidRPr="00856B40">
        <w:rPr>
          <w:snapToGrid w:val="0"/>
          <w:lang w:val="en-GB"/>
        </w:rPr>
        <w:t>.</w:t>
      </w:r>
      <w:r w:rsidR="00856B40">
        <w:t xml:space="preserve"> </w:t>
      </w:r>
      <w:r w:rsidR="004244BC">
        <w:t xml:space="preserve">The PBAC </w:t>
      </w:r>
      <w:r w:rsidR="00856B40">
        <w:t xml:space="preserve">considered </w:t>
      </w:r>
      <w:r w:rsidR="0039458A">
        <w:t xml:space="preserve">that </w:t>
      </w:r>
      <w:r w:rsidR="00D5520D">
        <w:t xml:space="preserve">the following </w:t>
      </w:r>
      <w:r w:rsidR="004244BC" w:rsidRPr="000E0DDE">
        <w:t>criteri</w:t>
      </w:r>
      <w:r w:rsidR="008B63DC">
        <w:t>a</w:t>
      </w:r>
      <w:r w:rsidR="004244BC" w:rsidRPr="000E0DDE">
        <w:t xml:space="preserve"> </w:t>
      </w:r>
      <w:r w:rsidR="008B63DC">
        <w:t xml:space="preserve">should be included in </w:t>
      </w:r>
      <w:proofErr w:type="spellStart"/>
      <w:r w:rsidR="008B63DC">
        <w:t>somatrogon</w:t>
      </w:r>
      <w:proofErr w:type="spellEnd"/>
      <w:r w:rsidR="008B63DC">
        <w:t xml:space="preserve"> for the respective indications</w:t>
      </w:r>
      <w:r w:rsidR="00465F42">
        <w:t xml:space="preserve">, under the continuing </w:t>
      </w:r>
      <w:r w:rsidR="00465F42">
        <w:lastRenderedPageBreak/>
        <w:t>restriction,</w:t>
      </w:r>
      <w:r w:rsidR="008B63DC">
        <w:t xml:space="preserve"> to allow patients to switch from daily to weekly </w:t>
      </w:r>
      <w:r w:rsidR="007F72DB">
        <w:t xml:space="preserve">treatment </w:t>
      </w:r>
      <w:r w:rsidR="00465F42">
        <w:t xml:space="preserve">for </w:t>
      </w:r>
      <w:r w:rsidR="008B63DC">
        <w:t>GHD. The PBAC noted similar criteria were included in the restrictions for the other PBS listed GH products for these indications.</w:t>
      </w:r>
      <w:r w:rsidR="008B63DC" w:rsidRPr="008B63DC">
        <w:t xml:space="preserve"> </w:t>
      </w:r>
    </w:p>
    <w:p w14:paraId="7FBDDF7E" w14:textId="77777777" w:rsidR="008B63DC" w:rsidRPr="008B63DC" w:rsidRDefault="008B63DC" w:rsidP="008B63DC">
      <w:pPr>
        <w:pStyle w:val="3-BodyText"/>
        <w:numPr>
          <w:ilvl w:val="0"/>
          <w:numId w:val="24"/>
        </w:numPr>
        <w:rPr>
          <w:snapToGrid w:val="0"/>
          <w:lang w:val="en-GB"/>
        </w:rPr>
      </w:pPr>
      <w:r w:rsidRPr="008B63DC">
        <w:t>[17596] Patient must have previously received treatment under the PBS S100 Growth Hormone Program under the short stature and slow growth category</w:t>
      </w:r>
      <w:r>
        <w:t xml:space="preserve"> </w:t>
      </w:r>
    </w:p>
    <w:p w14:paraId="472CDC54" w14:textId="79FB0774" w:rsidR="004244BC" w:rsidRPr="00856B40" w:rsidRDefault="008B63DC" w:rsidP="008B63DC">
      <w:pPr>
        <w:pStyle w:val="3-BodyText"/>
        <w:numPr>
          <w:ilvl w:val="0"/>
          <w:numId w:val="24"/>
        </w:numPr>
        <w:rPr>
          <w:snapToGrid w:val="0"/>
          <w:lang w:val="en-GB"/>
        </w:rPr>
      </w:pPr>
      <w:r w:rsidRPr="008B63DC">
        <w:t>[17603] Patient must have previously received treatment under the PBS S100 Growth Hormone Program under the short stature associated with biochemical growth hormone deficiency category</w:t>
      </w:r>
      <w:r>
        <w:t xml:space="preserve">. </w:t>
      </w:r>
    </w:p>
    <w:p w14:paraId="719F1129" w14:textId="6301A45B" w:rsidR="004244BC" w:rsidRPr="003438E6" w:rsidRDefault="004244BC" w:rsidP="004244BC">
      <w:pPr>
        <w:widowControl w:val="0"/>
        <w:numPr>
          <w:ilvl w:val="1"/>
          <w:numId w:val="1"/>
        </w:numPr>
        <w:spacing w:after="120"/>
        <w:rPr>
          <w:rFonts w:asciiTheme="minorHAnsi" w:hAnsiTheme="minorHAnsi"/>
          <w:snapToGrid w:val="0"/>
          <w:lang w:val="en-GB"/>
        </w:rPr>
      </w:pPr>
      <w:r>
        <w:rPr>
          <w:iCs/>
        </w:rPr>
        <w:t xml:space="preserve">The PBAC considered that </w:t>
      </w:r>
      <w:r w:rsidRPr="0090196C">
        <w:rPr>
          <w:iCs/>
        </w:rPr>
        <w:t xml:space="preserve">the relevant outcomes from its September 2021 consideration of somatropin should apply to </w:t>
      </w:r>
      <w:proofErr w:type="spellStart"/>
      <w:r w:rsidRPr="0090196C">
        <w:rPr>
          <w:iCs/>
        </w:rPr>
        <w:t>soma</w:t>
      </w:r>
      <w:r w:rsidR="00983E67">
        <w:rPr>
          <w:iCs/>
        </w:rPr>
        <w:t>trogon</w:t>
      </w:r>
      <w:proofErr w:type="spellEnd"/>
      <w:r w:rsidR="005C59C0">
        <w:rPr>
          <w:iCs/>
        </w:rPr>
        <w:t xml:space="preserve"> for these two indications</w:t>
      </w:r>
      <w:r w:rsidRPr="0090196C">
        <w:rPr>
          <w:iCs/>
        </w:rPr>
        <w:t>.</w:t>
      </w:r>
    </w:p>
    <w:p w14:paraId="7EA42A17" w14:textId="7C08D986" w:rsidR="00C400B2" w:rsidRDefault="00C400B2" w:rsidP="00C400B2">
      <w:pPr>
        <w:pStyle w:val="3-BodyText"/>
        <w:rPr>
          <w:rFonts w:cs="Arial"/>
          <w:snapToGrid w:val="0"/>
          <w:szCs w:val="24"/>
          <w:lang w:val="en-GB"/>
        </w:rPr>
      </w:pPr>
      <w:r>
        <w:rPr>
          <w:rFonts w:cs="Arial"/>
          <w:snapToGrid w:val="0"/>
          <w:lang w:val="en-GB"/>
        </w:rPr>
        <w:t xml:space="preserve">The PBAC noted that the </w:t>
      </w:r>
      <w:r>
        <w:t xml:space="preserve">Early Supply Rule cannot currently be applied to Growth Hormone program listings and therefore considered that it should not apply to </w:t>
      </w:r>
      <w:proofErr w:type="spellStart"/>
      <w:r>
        <w:t>somatrogon</w:t>
      </w:r>
      <w:proofErr w:type="spellEnd"/>
      <w:r>
        <w:t>.</w:t>
      </w:r>
    </w:p>
    <w:p w14:paraId="7AEFA3C5" w14:textId="46EA0F1D" w:rsidR="00C400B2" w:rsidRDefault="00C400B2" w:rsidP="00C400B2">
      <w:pPr>
        <w:pStyle w:val="3-BodyText"/>
        <w:rPr>
          <w:rFonts w:cs="Arial"/>
          <w:snapToGrid w:val="0"/>
          <w:lang w:val="en-GB"/>
        </w:rPr>
      </w:pPr>
      <w:r>
        <w:rPr>
          <w:rFonts w:cs="Arial"/>
          <w:snapToGrid w:val="0"/>
          <w:lang w:val="en-GB"/>
        </w:rPr>
        <w:t xml:space="preserve">The PBAC considered that </w:t>
      </w:r>
      <w:proofErr w:type="spellStart"/>
      <w:r>
        <w:rPr>
          <w:rFonts w:cs="Arial"/>
          <w:snapToGrid w:val="0"/>
          <w:lang w:val="en-GB"/>
        </w:rPr>
        <w:t>somatrogon</w:t>
      </w:r>
      <w:proofErr w:type="spellEnd"/>
      <w:r>
        <w:rPr>
          <w:rFonts w:cs="Arial"/>
          <w:snapToGrid w:val="0"/>
          <w:lang w:val="en-GB"/>
        </w:rPr>
        <w:t xml:space="preserve"> is not suitable </w:t>
      </w:r>
      <w:r>
        <w:t>for inclusion in the PBS medicines for prescribing by nurse practitioners, noting that somatropin can only be prescribed by an endocrinologist for this indication.</w:t>
      </w:r>
    </w:p>
    <w:p w14:paraId="566AC0AA" w14:textId="0E084A4F" w:rsidR="00C400B2" w:rsidRDefault="00C400B2" w:rsidP="00C400B2">
      <w:pPr>
        <w:pStyle w:val="3-BodyText"/>
        <w:rPr>
          <w:snapToGrid w:val="0"/>
          <w:lang w:val="en-GB"/>
        </w:rPr>
      </w:pPr>
      <w:r>
        <w:rPr>
          <w:snapToGrid w:val="0"/>
          <w:lang w:val="en-GB"/>
        </w:rPr>
        <w:t xml:space="preserve">The PBAC noted that its recommendation was on a cost-minimisation basis and advised that, because </w:t>
      </w:r>
      <w:proofErr w:type="spellStart"/>
      <w:r>
        <w:rPr>
          <w:snapToGrid w:val="0"/>
          <w:lang w:val="en-GB"/>
        </w:rPr>
        <w:t>somatrogon</w:t>
      </w:r>
      <w:proofErr w:type="spellEnd"/>
      <w:r>
        <w:rPr>
          <w:snapToGrid w:val="0"/>
          <w:lang w:val="en-GB"/>
        </w:rPr>
        <w:t xml:space="preserve"> is not expected to provide a substantial and clinically relevant improvement in efficacy, or reduction of toxicity, over somatropin, or not expected to address a high and urgent unmet clinical need given the presence of an alternative therapy, the criteria prescribed by the </w:t>
      </w:r>
      <w:r>
        <w:rPr>
          <w:i/>
          <w:snapToGrid w:val="0"/>
          <w:lang w:val="en-GB"/>
        </w:rPr>
        <w:t>National Health (Pharmaceuticals and Vaccines – Cost Recovery) Regulations 2009</w:t>
      </w:r>
      <w:r>
        <w:rPr>
          <w:snapToGrid w:val="0"/>
          <w:lang w:val="en-GB"/>
        </w:rPr>
        <w:t xml:space="preserve"> for Pricing Pathway A were not met.</w:t>
      </w:r>
    </w:p>
    <w:p w14:paraId="586E1C96" w14:textId="603F1E28" w:rsidR="00C400B2" w:rsidRDefault="00C400B2" w:rsidP="00C400B2">
      <w:pPr>
        <w:pStyle w:val="3-BodyText"/>
        <w:rPr>
          <w:snapToGrid w:val="0"/>
          <w:lang w:val="en-GB"/>
        </w:rPr>
      </w:pPr>
      <w:r>
        <w:t xml:space="preserve">The PBAC advised, under section 101 (3BA) of the Act, that </w:t>
      </w:r>
      <w:proofErr w:type="spellStart"/>
      <w:r>
        <w:t>somatrogon</w:t>
      </w:r>
      <w:proofErr w:type="spellEnd"/>
      <w:r>
        <w:t xml:space="preserve"> </w:t>
      </w:r>
      <w:r w:rsidR="00A36F4E">
        <w:rPr>
          <w:snapToGrid w:val="0"/>
          <w:lang w:val="en-GB"/>
        </w:rPr>
        <w:t>should</w:t>
      </w:r>
      <w:r>
        <w:rPr>
          <w:snapToGrid w:val="0"/>
          <w:lang w:val="en-GB"/>
        </w:rPr>
        <w:t xml:space="preserve"> not be treated as interchangeable on an individual patient basis with any other drugs.</w:t>
      </w:r>
    </w:p>
    <w:p w14:paraId="134B96BD" w14:textId="77777777" w:rsidR="00C400B2" w:rsidRDefault="00C400B2" w:rsidP="00C400B2">
      <w:pPr>
        <w:pStyle w:val="3-BodyText"/>
        <w:rPr>
          <w:i/>
          <w:snapToGrid w:val="0"/>
          <w:lang w:val="en-GB"/>
        </w:rPr>
      </w:pPr>
      <w:r>
        <w:rPr>
          <w:snapToGrid w:val="0"/>
          <w:lang w:val="en-GB"/>
        </w:rPr>
        <w:t>The PBAC noted that this submission is not eligible for an Independent Review as it was recommended for listing.</w:t>
      </w:r>
    </w:p>
    <w:bookmarkEnd w:id="35"/>
    <w:p w14:paraId="2A87B803" w14:textId="77777777" w:rsidR="00E31543" w:rsidRPr="00525B39" w:rsidRDefault="00E31543" w:rsidP="00E3154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3AB035D" w14:textId="032388E4" w:rsidR="00E31543" w:rsidRDefault="00E31543" w:rsidP="00E31543">
      <w:pPr>
        <w:rPr>
          <w:rFonts w:asciiTheme="minorHAnsi" w:hAnsiTheme="minorHAnsi"/>
          <w:bCs/>
          <w:snapToGrid w:val="0"/>
          <w:lang w:val="en-GB"/>
        </w:rPr>
      </w:pPr>
      <w:r w:rsidRPr="00525B39">
        <w:rPr>
          <w:rFonts w:asciiTheme="minorHAnsi" w:hAnsiTheme="minorHAnsi"/>
          <w:bCs/>
          <w:snapToGrid w:val="0"/>
          <w:lang w:val="en-GB"/>
        </w:rPr>
        <w:t>Recommended</w:t>
      </w:r>
    </w:p>
    <w:p w14:paraId="05473C31" w14:textId="77777777" w:rsidR="00E31543" w:rsidRDefault="00E31543">
      <w:pPr>
        <w:jc w:val="left"/>
        <w:rPr>
          <w:rFonts w:asciiTheme="minorHAnsi" w:hAnsiTheme="minorHAnsi"/>
          <w:bCs/>
          <w:snapToGrid w:val="0"/>
          <w:lang w:val="en-GB"/>
        </w:rPr>
      </w:pPr>
      <w:r>
        <w:rPr>
          <w:rFonts w:asciiTheme="minorHAnsi" w:hAnsiTheme="minorHAnsi"/>
          <w:bCs/>
          <w:snapToGrid w:val="0"/>
          <w:lang w:val="en-GB"/>
        </w:rPr>
        <w:br w:type="page"/>
      </w:r>
    </w:p>
    <w:p w14:paraId="42ACCA12" w14:textId="77777777" w:rsidR="00E31543" w:rsidRPr="000470C3" w:rsidRDefault="00E31543" w:rsidP="00E31543">
      <w:pPr>
        <w:pStyle w:val="2-SectionHeading"/>
        <w:numPr>
          <w:ilvl w:val="0"/>
          <w:numId w:val="1"/>
        </w:numPr>
      </w:pPr>
      <w:r w:rsidRPr="000470C3">
        <w:lastRenderedPageBreak/>
        <w:t>Recommended listing</w:t>
      </w:r>
    </w:p>
    <w:p w14:paraId="79D0F2B9" w14:textId="77777777" w:rsidR="00E31543" w:rsidRPr="00D02FBC" w:rsidRDefault="00E31543" w:rsidP="00E31543">
      <w:pPr>
        <w:pStyle w:val="3-BodyText"/>
        <w:numPr>
          <w:ilvl w:val="1"/>
          <w:numId w:val="1"/>
        </w:numPr>
        <w:rPr>
          <w:snapToGrid w:val="0"/>
        </w:rPr>
      </w:pPr>
      <w:r w:rsidRPr="00D02FBC">
        <w:rPr>
          <w:snapToGrid w:val="0"/>
        </w:rPr>
        <w:t xml:space="preserve">Add new </w:t>
      </w:r>
      <w:r>
        <w:rPr>
          <w:snapToGrid w:val="0"/>
        </w:rPr>
        <w:t>medicinal product</w:t>
      </w:r>
      <w:r w:rsidRPr="00D02FBC">
        <w:rPr>
          <w:snapToGrid w:val="0"/>
        </w:rPr>
        <w:t xml:space="preserve">s </w:t>
      </w:r>
      <w:r>
        <w:rPr>
          <w:snapToGrid w:val="0"/>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388"/>
        <w:gridCol w:w="988"/>
        <w:gridCol w:w="846"/>
        <w:gridCol w:w="705"/>
        <w:gridCol w:w="705"/>
        <w:gridCol w:w="1830"/>
      </w:tblGrid>
      <w:tr w:rsidR="00E31543" w:rsidRPr="000470C3" w14:paraId="07302B6E" w14:textId="77777777" w:rsidTr="00E31543">
        <w:trPr>
          <w:cantSplit/>
          <w:trHeight w:val="471"/>
        </w:trPr>
        <w:tc>
          <w:tcPr>
            <w:tcW w:w="2186" w:type="pct"/>
            <w:gridSpan w:val="2"/>
          </w:tcPr>
          <w:p w14:paraId="5FFC8968" w14:textId="77777777" w:rsidR="00E31543" w:rsidRPr="000470C3" w:rsidRDefault="00E31543" w:rsidP="00475FED">
            <w:pPr>
              <w:keepNext/>
              <w:ind w:left="-57"/>
              <w:rPr>
                <w:rFonts w:ascii="Arial Narrow" w:hAnsi="Arial Narrow"/>
                <w:b/>
                <w:bCs/>
                <w:sz w:val="18"/>
                <w:szCs w:val="18"/>
              </w:rPr>
            </w:pPr>
            <w:r w:rsidRPr="000470C3">
              <w:rPr>
                <w:rFonts w:ascii="Arial Narrow" w:hAnsi="Arial Narrow"/>
                <w:b/>
                <w:bCs/>
                <w:sz w:val="18"/>
                <w:szCs w:val="18"/>
              </w:rPr>
              <w:t>MEDICINAL PRODUCT</w:t>
            </w:r>
          </w:p>
          <w:p w14:paraId="763051B1" w14:textId="77777777" w:rsidR="00E31543" w:rsidRPr="000470C3" w:rsidRDefault="00E31543" w:rsidP="00475FED">
            <w:pPr>
              <w:keepNext/>
              <w:ind w:left="-57"/>
              <w:rPr>
                <w:rFonts w:ascii="Arial Narrow" w:hAnsi="Arial Narrow"/>
                <w:b/>
                <w:sz w:val="18"/>
                <w:szCs w:val="18"/>
              </w:rPr>
            </w:pPr>
            <w:r w:rsidRPr="000470C3">
              <w:rPr>
                <w:rFonts w:ascii="Arial Narrow" w:hAnsi="Arial Narrow"/>
                <w:b/>
                <w:bCs/>
                <w:sz w:val="18"/>
                <w:szCs w:val="18"/>
              </w:rPr>
              <w:t>medicinal product pack</w:t>
            </w:r>
          </w:p>
        </w:tc>
        <w:tc>
          <w:tcPr>
            <w:tcW w:w="548" w:type="pct"/>
          </w:tcPr>
          <w:p w14:paraId="36BAD742" w14:textId="77777777" w:rsidR="00E31543" w:rsidRPr="000470C3" w:rsidRDefault="00E31543" w:rsidP="00475FED">
            <w:pPr>
              <w:keepNext/>
              <w:ind w:left="-108"/>
              <w:jc w:val="center"/>
              <w:rPr>
                <w:rFonts w:ascii="Arial Narrow" w:hAnsi="Arial Narrow"/>
                <w:b/>
                <w:sz w:val="18"/>
                <w:szCs w:val="18"/>
              </w:rPr>
            </w:pPr>
            <w:r w:rsidRPr="000470C3">
              <w:rPr>
                <w:rFonts w:ascii="Arial Narrow" w:hAnsi="Arial Narrow"/>
                <w:b/>
                <w:sz w:val="18"/>
                <w:szCs w:val="18"/>
              </w:rPr>
              <w:t>PBS item code</w:t>
            </w:r>
          </w:p>
        </w:tc>
        <w:tc>
          <w:tcPr>
            <w:tcW w:w="469" w:type="pct"/>
          </w:tcPr>
          <w:p w14:paraId="38E0BE71" w14:textId="77777777" w:rsidR="00E31543" w:rsidRPr="000470C3" w:rsidRDefault="00E31543" w:rsidP="00475FED">
            <w:pPr>
              <w:keepNext/>
              <w:ind w:left="-108"/>
              <w:jc w:val="center"/>
              <w:rPr>
                <w:rFonts w:ascii="Arial Narrow" w:hAnsi="Arial Narrow"/>
                <w:b/>
                <w:sz w:val="18"/>
                <w:szCs w:val="18"/>
              </w:rPr>
            </w:pPr>
            <w:r w:rsidRPr="000470C3">
              <w:rPr>
                <w:rFonts w:ascii="Arial Narrow" w:hAnsi="Arial Narrow"/>
                <w:b/>
                <w:sz w:val="18"/>
                <w:szCs w:val="18"/>
              </w:rPr>
              <w:t>Max. qty packs</w:t>
            </w:r>
          </w:p>
        </w:tc>
        <w:tc>
          <w:tcPr>
            <w:tcW w:w="391" w:type="pct"/>
          </w:tcPr>
          <w:p w14:paraId="20F6C91F" w14:textId="77777777" w:rsidR="00E31543" w:rsidRPr="000470C3" w:rsidRDefault="00E31543" w:rsidP="00475FED">
            <w:pPr>
              <w:keepNext/>
              <w:ind w:left="-108"/>
              <w:jc w:val="center"/>
              <w:rPr>
                <w:rFonts w:ascii="Arial Narrow" w:hAnsi="Arial Narrow"/>
                <w:b/>
                <w:sz w:val="18"/>
                <w:szCs w:val="18"/>
              </w:rPr>
            </w:pPr>
            <w:r w:rsidRPr="000470C3">
              <w:rPr>
                <w:rFonts w:ascii="Arial Narrow" w:hAnsi="Arial Narrow"/>
                <w:b/>
                <w:sz w:val="18"/>
                <w:szCs w:val="18"/>
              </w:rPr>
              <w:t>Max. qty units</w:t>
            </w:r>
          </w:p>
        </w:tc>
        <w:tc>
          <w:tcPr>
            <w:tcW w:w="391" w:type="pct"/>
          </w:tcPr>
          <w:p w14:paraId="368E7C75" w14:textId="77777777" w:rsidR="00E31543" w:rsidRPr="000470C3" w:rsidRDefault="00E31543" w:rsidP="00475FED">
            <w:pPr>
              <w:keepNext/>
              <w:ind w:left="-108"/>
              <w:jc w:val="center"/>
              <w:rPr>
                <w:rFonts w:ascii="Arial Narrow" w:hAnsi="Arial Narrow"/>
                <w:b/>
                <w:sz w:val="18"/>
                <w:szCs w:val="18"/>
              </w:rPr>
            </w:pPr>
            <w:proofErr w:type="gramStart"/>
            <w:r w:rsidRPr="000470C3">
              <w:rPr>
                <w:rFonts w:ascii="Arial Narrow" w:hAnsi="Arial Narrow"/>
                <w:b/>
                <w:sz w:val="18"/>
                <w:szCs w:val="18"/>
              </w:rPr>
              <w:t>№.of</w:t>
            </w:r>
            <w:proofErr w:type="gramEnd"/>
          </w:p>
          <w:p w14:paraId="13497850" w14:textId="77777777" w:rsidR="00E31543" w:rsidRPr="000470C3" w:rsidRDefault="00E31543" w:rsidP="00475FED">
            <w:pPr>
              <w:keepNext/>
              <w:ind w:left="-108"/>
              <w:jc w:val="center"/>
              <w:rPr>
                <w:rFonts w:ascii="Arial Narrow" w:hAnsi="Arial Narrow"/>
                <w:b/>
                <w:sz w:val="18"/>
                <w:szCs w:val="18"/>
              </w:rPr>
            </w:pPr>
            <w:proofErr w:type="spellStart"/>
            <w:r w:rsidRPr="000470C3">
              <w:rPr>
                <w:rFonts w:ascii="Arial Narrow" w:hAnsi="Arial Narrow"/>
                <w:b/>
                <w:sz w:val="18"/>
                <w:szCs w:val="18"/>
              </w:rPr>
              <w:t>Rpts</w:t>
            </w:r>
            <w:proofErr w:type="spellEnd"/>
          </w:p>
        </w:tc>
        <w:tc>
          <w:tcPr>
            <w:tcW w:w="1015" w:type="pct"/>
          </w:tcPr>
          <w:p w14:paraId="04994672" w14:textId="77777777" w:rsidR="00E31543" w:rsidRPr="000470C3" w:rsidRDefault="00E31543" w:rsidP="00475FED">
            <w:pPr>
              <w:keepNext/>
              <w:rPr>
                <w:rFonts w:ascii="Arial Narrow" w:hAnsi="Arial Narrow"/>
                <w:b/>
                <w:sz w:val="18"/>
                <w:szCs w:val="18"/>
              </w:rPr>
            </w:pPr>
            <w:r w:rsidRPr="000470C3">
              <w:rPr>
                <w:rFonts w:ascii="Arial Narrow" w:hAnsi="Arial Narrow"/>
                <w:b/>
                <w:sz w:val="18"/>
                <w:szCs w:val="18"/>
              </w:rPr>
              <w:t>Available brands</w:t>
            </w:r>
          </w:p>
        </w:tc>
      </w:tr>
      <w:tr w:rsidR="00E31543" w:rsidRPr="000470C3" w14:paraId="133CB09F" w14:textId="77777777" w:rsidTr="00E31543">
        <w:trPr>
          <w:cantSplit/>
          <w:trHeight w:val="224"/>
        </w:trPr>
        <w:tc>
          <w:tcPr>
            <w:tcW w:w="5000" w:type="pct"/>
            <w:gridSpan w:val="7"/>
          </w:tcPr>
          <w:p w14:paraId="5DFECE49" w14:textId="77777777" w:rsidR="00E31543" w:rsidRPr="000470C3" w:rsidRDefault="00E31543" w:rsidP="00475FED">
            <w:pPr>
              <w:keepNext/>
              <w:ind w:left="-57"/>
              <w:rPr>
                <w:rFonts w:ascii="Arial Narrow" w:hAnsi="Arial Narrow"/>
                <w:sz w:val="18"/>
                <w:szCs w:val="18"/>
              </w:rPr>
            </w:pPr>
            <w:r w:rsidRPr="000470C3">
              <w:rPr>
                <w:rFonts w:ascii="Arial Narrow" w:hAnsi="Arial Narrow"/>
                <w:sz w:val="18"/>
                <w:szCs w:val="18"/>
              </w:rPr>
              <w:t>SOMATROGON</w:t>
            </w:r>
          </w:p>
        </w:tc>
      </w:tr>
      <w:tr w:rsidR="00E31543" w:rsidRPr="000470C3" w14:paraId="2DAF4D6B" w14:textId="77777777" w:rsidTr="00E31543">
        <w:trPr>
          <w:cantSplit/>
          <w:trHeight w:val="553"/>
        </w:trPr>
        <w:tc>
          <w:tcPr>
            <w:tcW w:w="2186" w:type="pct"/>
            <w:gridSpan w:val="2"/>
            <w:vAlign w:val="center"/>
          </w:tcPr>
          <w:p w14:paraId="1A507F08" w14:textId="77777777" w:rsidR="00E31543" w:rsidRPr="000470C3" w:rsidRDefault="00E31543" w:rsidP="00475FED">
            <w:pPr>
              <w:keepNext/>
              <w:ind w:left="-57"/>
              <w:rPr>
                <w:rFonts w:ascii="Arial Narrow" w:hAnsi="Arial Narrow"/>
                <w:sz w:val="18"/>
                <w:szCs w:val="18"/>
              </w:rPr>
            </w:pPr>
            <w:proofErr w:type="spellStart"/>
            <w:r w:rsidRPr="000470C3">
              <w:rPr>
                <w:rFonts w:ascii="Arial Narrow" w:hAnsi="Arial Narrow"/>
                <w:sz w:val="18"/>
                <w:szCs w:val="18"/>
              </w:rPr>
              <w:t>somatrogon</w:t>
            </w:r>
            <w:proofErr w:type="spellEnd"/>
            <w:r w:rsidRPr="000470C3">
              <w:rPr>
                <w:rFonts w:ascii="Arial Narrow" w:hAnsi="Arial Narrow"/>
                <w:sz w:val="18"/>
                <w:szCs w:val="18"/>
              </w:rPr>
              <w:t xml:space="preserve"> 24 mg/1.2 mL injection, 1.2 mL pen device</w:t>
            </w:r>
          </w:p>
        </w:tc>
        <w:tc>
          <w:tcPr>
            <w:tcW w:w="548" w:type="pct"/>
            <w:vAlign w:val="center"/>
          </w:tcPr>
          <w:p w14:paraId="1D262362" w14:textId="77777777" w:rsidR="00E31543" w:rsidRPr="000470C3" w:rsidRDefault="00E31543" w:rsidP="00475FED">
            <w:pPr>
              <w:keepNext/>
              <w:jc w:val="center"/>
              <w:rPr>
                <w:rFonts w:ascii="Arial Narrow" w:hAnsi="Arial Narrow"/>
                <w:sz w:val="18"/>
                <w:szCs w:val="18"/>
              </w:rPr>
            </w:pPr>
            <w:r w:rsidRPr="000470C3">
              <w:rPr>
                <w:rFonts w:ascii="Arial Narrow" w:hAnsi="Arial Narrow"/>
                <w:sz w:val="18"/>
                <w:szCs w:val="18"/>
              </w:rPr>
              <w:t>NEW</w:t>
            </w:r>
          </w:p>
        </w:tc>
        <w:tc>
          <w:tcPr>
            <w:tcW w:w="469" w:type="pct"/>
            <w:vAlign w:val="center"/>
          </w:tcPr>
          <w:p w14:paraId="5B283965" w14:textId="77777777" w:rsidR="00E31543" w:rsidRPr="000470C3" w:rsidRDefault="00E31543" w:rsidP="00475FED">
            <w:pPr>
              <w:keepNext/>
              <w:jc w:val="center"/>
              <w:rPr>
                <w:rFonts w:ascii="Arial Narrow" w:hAnsi="Arial Narrow"/>
                <w:sz w:val="18"/>
                <w:szCs w:val="18"/>
              </w:rPr>
            </w:pPr>
            <w:r w:rsidRPr="000470C3">
              <w:rPr>
                <w:rFonts w:ascii="Arial Narrow" w:hAnsi="Arial Narrow"/>
                <w:sz w:val="18"/>
                <w:szCs w:val="18"/>
              </w:rPr>
              <w:t>1</w:t>
            </w:r>
          </w:p>
        </w:tc>
        <w:tc>
          <w:tcPr>
            <w:tcW w:w="391" w:type="pct"/>
            <w:vAlign w:val="center"/>
          </w:tcPr>
          <w:p w14:paraId="312ECCE1" w14:textId="77777777" w:rsidR="00E31543" w:rsidRPr="000470C3" w:rsidRDefault="00E31543" w:rsidP="00475FED">
            <w:pPr>
              <w:keepNext/>
              <w:jc w:val="center"/>
              <w:rPr>
                <w:rFonts w:ascii="Arial Narrow" w:hAnsi="Arial Narrow"/>
                <w:sz w:val="18"/>
                <w:szCs w:val="18"/>
              </w:rPr>
            </w:pPr>
            <w:r w:rsidRPr="000470C3">
              <w:rPr>
                <w:rFonts w:ascii="Arial Narrow" w:hAnsi="Arial Narrow"/>
                <w:sz w:val="18"/>
                <w:szCs w:val="18"/>
              </w:rPr>
              <w:t>1</w:t>
            </w:r>
          </w:p>
        </w:tc>
        <w:tc>
          <w:tcPr>
            <w:tcW w:w="391" w:type="pct"/>
            <w:vAlign w:val="center"/>
          </w:tcPr>
          <w:p w14:paraId="6B76B0DF" w14:textId="77777777" w:rsidR="00E31543" w:rsidRPr="000470C3" w:rsidRDefault="00E31543" w:rsidP="00475FED">
            <w:pPr>
              <w:keepNext/>
              <w:jc w:val="center"/>
              <w:rPr>
                <w:rFonts w:ascii="Arial Narrow" w:hAnsi="Arial Narrow"/>
                <w:sz w:val="18"/>
                <w:szCs w:val="18"/>
              </w:rPr>
            </w:pPr>
            <w:r w:rsidRPr="000470C3">
              <w:rPr>
                <w:rFonts w:ascii="Arial Narrow" w:hAnsi="Arial Narrow"/>
                <w:sz w:val="18"/>
                <w:szCs w:val="18"/>
              </w:rPr>
              <w:t>1</w:t>
            </w:r>
          </w:p>
        </w:tc>
        <w:tc>
          <w:tcPr>
            <w:tcW w:w="1015" w:type="pct"/>
            <w:vAlign w:val="center"/>
          </w:tcPr>
          <w:p w14:paraId="436C52BF" w14:textId="77777777" w:rsidR="00E31543" w:rsidRPr="000470C3" w:rsidRDefault="00E31543" w:rsidP="00475FED">
            <w:pPr>
              <w:keepNext/>
              <w:jc w:val="center"/>
              <w:rPr>
                <w:rFonts w:ascii="Arial Narrow" w:hAnsi="Arial Narrow"/>
                <w:sz w:val="18"/>
                <w:szCs w:val="18"/>
              </w:rPr>
            </w:pPr>
            <w:proofErr w:type="spellStart"/>
            <w:r w:rsidRPr="000470C3">
              <w:rPr>
                <w:rFonts w:ascii="Arial Narrow" w:hAnsi="Arial Narrow"/>
                <w:sz w:val="18"/>
                <w:szCs w:val="18"/>
              </w:rPr>
              <w:t>Ngenla</w:t>
            </w:r>
            <w:proofErr w:type="spellEnd"/>
          </w:p>
        </w:tc>
      </w:tr>
      <w:tr w:rsidR="00E31543" w:rsidRPr="000470C3" w14:paraId="766374B4" w14:textId="77777777" w:rsidTr="00E31543">
        <w:trPr>
          <w:cantSplit/>
          <w:trHeight w:val="347"/>
        </w:trPr>
        <w:tc>
          <w:tcPr>
            <w:tcW w:w="2186" w:type="pct"/>
            <w:gridSpan w:val="2"/>
            <w:vAlign w:val="center"/>
          </w:tcPr>
          <w:p w14:paraId="3939C828" w14:textId="77777777" w:rsidR="00E31543" w:rsidRPr="000470C3" w:rsidRDefault="00E31543" w:rsidP="00475FED">
            <w:pPr>
              <w:keepNext/>
              <w:ind w:left="-57"/>
              <w:rPr>
                <w:rFonts w:ascii="Arial Narrow" w:hAnsi="Arial Narrow"/>
                <w:sz w:val="18"/>
                <w:szCs w:val="18"/>
              </w:rPr>
            </w:pPr>
            <w:proofErr w:type="spellStart"/>
            <w:r w:rsidRPr="000470C3">
              <w:rPr>
                <w:rFonts w:ascii="Arial Narrow" w:hAnsi="Arial Narrow"/>
                <w:sz w:val="18"/>
                <w:szCs w:val="18"/>
              </w:rPr>
              <w:t>somatrogon</w:t>
            </w:r>
            <w:proofErr w:type="spellEnd"/>
            <w:r w:rsidRPr="000470C3">
              <w:rPr>
                <w:rFonts w:ascii="Arial Narrow" w:hAnsi="Arial Narrow"/>
                <w:sz w:val="18"/>
                <w:szCs w:val="18"/>
              </w:rPr>
              <w:t xml:space="preserve"> 60 mg/1.2 mL injection, 1.2 mL pen device</w:t>
            </w:r>
          </w:p>
        </w:tc>
        <w:tc>
          <w:tcPr>
            <w:tcW w:w="548" w:type="pct"/>
            <w:vAlign w:val="center"/>
          </w:tcPr>
          <w:p w14:paraId="78C0688A" w14:textId="77777777" w:rsidR="00E31543" w:rsidRPr="000470C3" w:rsidRDefault="00E31543" w:rsidP="00475FED">
            <w:pPr>
              <w:keepNext/>
              <w:jc w:val="center"/>
              <w:rPr>
                <w:rFonts w:ascii="Arial Narrow" w:hAnsi="Arial Narrow"/>
                <w:sz w:val="18"/>
                <w:szCs w:val="18"/>
              </w:rPr>
            </w:pPr>
            <w:r w:rsidRPr="000470C3">
              <w:rPr>
                <w:rFonts w:ascii="Arial Narrow" w:hAnsi="Arial Narrow"/>
                <w:sz w:val="18"/>
                <w:szCs w:val="18"/>
              </w:rPr>
              <w:t>NEW</w:t>
            </w:r>
          </w:p>
        </w:tc>
        <w:tc>
          <w:tcPr>
            <w:tcW w:w="469" w:type="pct"/>
            <w:vAlign w:val="center"/>
          </w:tcPr>
          <w:p w14:paraId="08777750" w14:textId="77777777" w:rsidR="00E31543" w:rsidRPr="000470C3" w:rsidRDefault="00E31543" w:rsidP="00475FED">
            <w:pPr>
              <w:keepNext/>
              <w:jc w:val="center"/>
              <w:rPr>
                <w:rFonts w:ascii="Arial Narrow" w:hAnsi="Arial Narrow"/>
                <w:sz w:val="18"/>
                <w:szCs w:val="18"/>
              </w:rPr>
            </w:pPr>
            <w:r w:rsidRPr="000470C3">
              <w:rPr>
                <w:rFonts w:ascii="Arial Narrow" w:hAnsi="Arial Narrow"/>
                <w:sz w:val="18"/>
                <w:szCs w:val="18"/>
              </w:rPr>
              <w:t>1</w:t>
            </w:r>
          </w:p>
        </w:tc>
        <w:tc>
          <w:tcPr>
            <w:tcW w:w="391" w:type="pct"/>
            <w:vAlign w:val="center"/>
          </w:tcPr>
          <w:p w14:paraId="6A28F13B" w14:textId="77777777" w:rsidR="00E31543" w:rsidRPr="000470C3" w:rsidRDefault="00E31543" w:rsidP="00475FED">
            <w:pPr>
              <w:keepNext/>
              <w:jc w:val="center"/>
              <w:rPr>
                <w:rFonts w:ascii="Arial Narrow" w:hAnsi="Arial Narrow"/>
                <w:sz w:val="18"/>
                <w:szCs w:val="18"/>
              </w:rPr>
            </w:pPr>
            <w:r w:rsidRPr="000470C3">
              <w:rPr>
                <w:rFonts w:ascii="Arial Narrow" w:hAnsi="Arial Narrow"/>
                <w:sz w:val="18"/>
                <w:szCs w:val="18"/>
              </w:rPr>
              <w:t>1</w:t>
            </w:r>
          </w:p>
        </w:tc>
        <w:tc>
          <w:tcPr>
            <w:tcW w:w="391" w:type="pct"/>
            <w:vAlign w:val="center"/>
          </w:tcPr>
          <w:p w14:paraId="3FBB54FA" w14:textId="77777777" w:rsidR="00E31543" w:rsidRPr="000470C3" w:rsidRDefault="00E31543" w:rsidP="00475FED">
            <w:pPr>
              <w:keepNext/>
              <w:jc w:val="center"/>
              <w:rPr>
                <w:rFonts w:ascii="Arial Narrow" w:hAnsi="Arial Narrow"/>
                <w:sz w:val="18"/>
                <w:szCs w:val="18"/>
              </w:rPr>
            </w:pPr>
            <w:r w:rsidRPr="000470C3">
              <w:rPr>
                <w:rFonts w:ascii="Arial Narrow" w:hAnsi="Arial Narrow"/>
                <w:sz w:val="18"/>
                <w:szCs w:val="18"/>
              </w:rPr>
              <w:t>1</w:t>
            </w:r>
          </w:p>
        </w:tc>
        <w:tc>
          <w:tcPr>
            <w:tcW w:w="1015" w:type="pct"/>
            <w:vAlign w:val="center"/>
          </w:tcPr>
          <w:p w14:paraId="10B7CDEB" w14:textId="77777777" w:rsidR="00E31543" w:rsidRPr="000470C3" w:rsidRDefault="00E31543" w:rsidP="00475FED">
            <w:pPr>
              <w:keepNext/>
              <w:jc w:val="center"/>
              <w:rPr>
                <w:rFonts w:ascii="Arial Narrow" w:hAnsi="Arial Narrow"/>
                <w:sz w:val="18"/>
                <w:szCs w:val="18"/>
              </w:rPr>
            </w:pPr>
            <w:proofErr w:type="spellStart"/>
            <w:r w:rsidRPr="000470C3">
              <w:rPr>
                <w:rFonts w:ascii="Arial Narrow" w:hAnsi="Arial Narrow"/>
                <w:sz w:val="18"/>
                <w:szCs w:val="18"/>
              </w:rPr>
              <w:t>Ngenla</w:t>
            </w:r>
            <w:proofErr w:type="spellEnd"/>
          </w:p>
        </w:tc>
      </w:tr>
      <w:tr w:rsidR="00E31543" w:rsidRPr="000470C3" w14:paraId="525F38BA" w14:textId="77777777" w:rsidTr="00E31543">
        <w:trPr>
          <w:cantSplit/>
          <w:trHeight w:val="347"/>
        </w:trPr>
        <w:tc>
          <w:tcPr>
            <w:tcW w:w="5000" w:type="pct"/>
            <w:gridSpan w:val="7"/>
            <w:vAlign w:val="center"/>
          </w:tcPr>
          <w:p w14:paraId="60811067" w14:textId="77777777" w:rsidR="00E31543" w:rsidRPr="000470C3" w:rsidRDefault="00E31543" w:rsidP="00475FED">
            <w:pPr>
              <w:keepNext/>
              <w:jc w:val="left"/>
              <w:rPr>
                <w:rFonts w:ascii="Arial Narrow" w:hAnsi="Arial Narrow"/>
                <w:sz w:val="18"/>
                <w:szCs w:val="18"/>
              </w:rPr>
            </w:pPr>
          </w:p>
        </w:tc>
      </w:tr>
      <w:tr w:rsidR="00E31543" w:rsidRPr="000470C3" w14:paraId="45E8D5C6" w14:textId="77777777" w:rsidTr="00E31543">
        <w:trPr>
          <w:cantSplit/>
          <w:trHeight w:val="347"/>
        </w:trPr>
        <w:tc>
          <w:tcPr>
            <w:tcW w:w="5000" w:type="pct"/>
            <w:gridSpan w:val="7"/>
            <w:vAlign w:val="center"/>
          </w:tcPr>
          <w:p w14:paraId="2A101455" w14:textId="77777777" w:rsidR="00E31543" w:rsidRDefault="00E31543" w:rsidP="00475FED">
            <w:pPr>
              <w:keepNext/>
              <w:jc w:val="left"/>
              <w:rPr>
                <w:rFonts w:ascii="Arial Narrow" w:hAnsi="Arial Narrow"/>
                <w:sz w:val="18"/>
                <w:szCs w:val="18"/>
              </w:rPr>
            </w:pPr>
          </w:p>
        </w:tc>
      </w:tr>
      <w:tr w:rsidR="00E31543" w:rsidRPr="00F04278" w14:paraId="20F760B7" w14:textId="77777777" w:rsidTr="00475FED">
        <w:tc>
          <w:tcPr>
            <w:tcW w:w="862" w:type="pct"/>
          </w:tcPr>
          <w:p w14:paraId="7C42D28E"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Benefit Type</w:t>
            </w:r>
          </w:p>
        </w:tc>
        <w:tc>
          <w:tcPr>
            <w:tcW w:w="4138" w:type="pct"/>
            <w:gridSpan w:val="6"/>
          </w:tcPr>
          <w:p w14:paraId="2A9493D0"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53229</w:t>
            </w:r>
          </w:p>
        </w:tc>
      </w:tr>
      <w:tr w:rsidR="00E31543" w:rsidRPr="00F04278" w14:paraId="7216F1FA" w14:textId="77777777" w:rsidTr="00475FED">
        <w:tc>
          <w:tcPr>
            <w:tcW w:w="862" w:type="pct"/>
          </w:tcPr>
          <w:p w14:paraId="4D461144"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Restriction Number</w:t>
            </w:r>
          </w:p>
        </w:tc>
        <w:tc>
          <w:tcPr>
            <w:tcW w:w="4138" w:type="pct"/>
            <w:gridSpan w:val="6"/>
          </w:tcPr>
          <w:p w14:paraId="14112DCE"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11792</w:t>
            </w:r>
          </w:p>
        </w:tc>
      </w:tr>
      <w:tr w:rsidR="00E31543" w:rsidRPr="00F04278" w14:paraId="50F11627" w14:textId="77777777" w:rsidTr="00475FED">
        <w:tc>
          <w:tcPr>
            <w:tcW w:w="862" w:type="pct"/>
          </w:tcPr>
          <w:p w14:paraId="754E0239"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Treatment of Code</w:t>
            </w:r>
            <w:r>
              <w:rPr>
                <w:rFonts w:ascii="Arial Narrow" w:hAnsi="Arial Narrow"/>
                <w:b/>
                <w:sz w:val="18"/>
                <w:szCs w:val="18"/>
              </w:rPr>
              <w:t xml:space="preserve"> </w:t>
            </w:r>
            <w:r w:rsidRPr="00F04278">
              <w:rPr>
                <w:rFonts w:ascii="Arial Narrow" w:hAnsi="Arial Narrow"/>
                <w:b/>
                <w:sz w:val="18"/>
                <w:szCs w:val="18"/>
              </w:rPr>
              <w:t>(</w:t>
            </w:r>
            <w:proofErr w:type="spellStart"/>
            <w:r w:rsidRPr="00F04278">
              <w:rPr>
                <w:rFonts w:ascii="Arial Narrow" w:hAnsi="Arial Narrow"/>
                <w:b/>
                <w:sz w:val="18"/>
                <w:szCs w:val="18"/>
              </w:rPr>
              <w:t>ToC</w:t>
            </w:r>
            <w:proofErr w:type="spellEnd"/>
            <w:r w:rsidRPr="00F04278">
              <w:rPr>
                <w:rFonts w:ascii="Arial Narrow" w:hAnsi="Arial Narrow"/>
                <w:b/>
                <w:sz w:val="18"/>
                <w:szCs w:val="18"/>
              </w:rPr>
              <w:t>)</w:t>
            </w:r>
          </w:p>
        </w:tc>
        <w:tc>
          <w:tcPr>
            <w:tcW w:w="4138" w:type="pct"/>
            <w:gridSpan w:val="6"/>
          </w:tcPr>
          <w:p w14:paraId="4CB82F08"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8342</w:t>
            </w:r>
          </w:p>
        </w:tc>
      </w:tr>
      <w:tr w:rsidR="00E31543" w:rsidRPr="00F04278" w14:paraId="43F4F860" w14:textId="77777777" w:rsidTr="00475FED">
        <w:tc>
          <w:tcPr>
            <w:tcW w:w="862" w:type="pct"/>
          </w:tcPr>
          <w:p w14:paraId="4BEBC49D"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Category / Program</w:t>
            </w:r>
          </w:p>
        </w:tc>
        <w:tc>
          <w:tcPr>
            <w:tcW w:w="4138" w:type="pct"/>
            <w:gridSpan w:val="6"/>
          </w:tcPr>
          <w:p w14:paraId="2EE28AD6"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S100 - Section 100 (Growth Hormone) (Code GH)</w:t>
            </w:r>
          </w:p>
        </w:tc>
      </w:tr>
      <w:tr w:rsidR="00E31543" w:rsidRPr="00F04278" w14:paraId="25053E21" w14:textId="77777777" w:rsidTr="00475FED">
        <w:tc>
          <w:tcPr>
            <w:tcW w:w="862" w:type="pct"/>
          </w:tcPr>
          <w:p w14:paraId="27E96367"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Prescriber Type(s)</w:t>
            </w:r>
          </w:p>
        </w:tc>
        <w:tc>
          <w:tcPr>
            <w:tcW w:w="4138" w:type="pct"/>
            <w:gridSpan w:val="6"/>
          </w:tcPr>
          <w:p w14:paraId="3F9728CE"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Medical Practitioners</w:t>
            </w:r>
          </w:p>
        </w:tc>
      </w:tr>
      <w:tr w:rsidR="00E31543" w:rsidRPr="00F04278" w14:paraId="24430016" w14:textId="77777777" w:rsidTr="00475FED">
        <w:tc>
          <w:tcPr>
            <w:tcW w:w="862" w:type="pct"/>
          </w:tcPr>
          <w:p w14:paraId="552D42EA"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PBS Indication</w:t>
            </w:r>
          </w:p>
        </w:tc>
        <w:tc>
          <w:tcPr>
            <w:tcW w:w="4138" w:type="pct"/>
            <w:gridSpan w:val="6"/>
          </w:tcPr>
          <w:p w14:paraId="446CFD6C"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[15745] Short stature associated with biochemical growth hormone deficiency</w:t>
            </w:r>
          </w:p>
        </w:tc>
      </w:tr>
      <w:tr w:rsidR="00E31543" w:rsidRPr="00F04278" w14:paraId="2B0263E4" w14:textId="77777777" w:rsidTr="00475FED">
        <w:tc>
          <w:tcPr>
            <w:tcW w:w="862" w:type="pct"/>
          </w:tcPr>
          <w:p w14:paraId="39671C64"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Treatment phase</w:t>
            </w:r>
          </w:p>
        </w:tc>
        <w:tc>
          <w:tcPr>
            <w:tcW w:w="4138" w:type="pct"/>
            <w:gridSpan w:val="6"/>
          </w:tcPr>
          <w:p w14:paraId="43B8FE59"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Initial treatment</w:t>
            </w:r>
          </w:p>
        </w:tc>
      </w:tr>
      <w:tr w:rsidR="00E31543" w:rsidRPr="00F04278" w14:paraId="6B1378FB" w14:textId="77777777" w:rsidTr="00475FED">
        <w:tc>
          <w:tcPr>
            <w:tcW w:w="862" w:type="pct"/>
          </w:tcPr>
          <w:p w14:paraId="15BEE737"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Restriction Level / Method</w:t>
            </w:r>
          </w:p>
        </w:tc>
        <w:tc>
          <w:tcPr>
            <w:tcW w:w="4138" w:type="pct"/>
            <w:gridSpan w:val="6"/>
          </w:tcPr>
          <w:p w14:paraId="57B8E419"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Authority required</w:t>
            </w:r>
          </w:p>
        </w:tc>
      </w:tr>
      <w:tr w:rsidR="00E31543" w:rsidRPr="00F04278" w14:paraId="66FF94B2" w14:textId="77777777" w:rsidTr="00475FED">
        <w:tc>
          <w:tcPr>
            <w:tcW w:w="862" w:type="pct"/>
          </w:tcPr>
          <w:p w14:paraId="65153695"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Treatment criteria</w:t>
            </w:r>
          </w:p>
        </w:tc>
        <w:tc>
          <w:tcPr>
            <w:tcW w:w="4138" w:type="pct"/>
            <w:gridSpan w:val="6"/>
          </w:tcPr>
          <w:p w14:paraId="79DBE6A4" w14:textId="77777777" w:rsidR="00E31543" w:rsidRDefault="00E31543" w:rsidP="00475FED">
            <w:pPr>
              <w:spacing w:after="40"/>
              <w:rPr>
                <w:rFonts w:ascii="Arial Narrow" w:hAnsi="Arial Narrow"/>
                <w:sz w:val="18"/>
                <w:szCs w:val="18"/>
              </w:rPr>
            </w:pPr>
            <w:r w:rsidRPr="00F04278">
              <w:rPr>
                <w:rFonts w:ascii="Arial Narrow" w:hAnsi="Arial Narrow"/>
                <w:sz w:val="18"/>
                <w:szCs w:val="18"/>
              </w:rPr>
              <w:t>[15885]</w:t>
            </w:r>
          </w:p>
          <w:p w14:paraId="042C0CBB" w14:textId="77777777" w:rsidR="00E31543" w:rsidRPr="00F04278" w:rsidRDefault="00E31543" w:rsidP="00475FED">
            <w:pPr>
              <w:spacing w:after="40"/>
              <w:rPr>
                <w:rFonts w:ascii="Arial Narrow" w:hAnsi="Arial Narrow"/>
                <w:sz w:val="18"/>
                <w:szCs w:val="18"/>
              </w:rPr>
            </w:pPr>
            <w:r w:rsidRPr="00F04278">
              <w:rPr>
                <w:rFonts w:ascii="Arial Narrow" w:hAnsi="Arial Narrow"/>
                <w:sz w:val="18"/>
                <w:szCs w:val="18"/>
              </w:rPr>
              <w:t>[15685] Must be treated by a specialist or consultant physician in paediatric endocrinology; or</w:t>
            </w:r>
          </w:p>
          <w:p w14:paraId="28F10BD2" w14:textId="77777777" w:rsidR="00E31543" w:rsidRDefault="00E31543" w:rsidP="00475FED">
            <w:pPr>
              <w:spacing w:after="40"/>
              <w:rPr>
                <w:rFonts w:ascii="Arial Narrow" w:hAnsi="Arial Narrow"/>
                <w:sz w:val="18"/>
                <w:szCs w:val="18"/>
              </w:rPr>
            </w:pPr>
            <w:r w:rsidRPr="00F04278">
              <w:rPr>
                <w:rFonts w:ascii="Arial Narrow" w:hAnsi="Arial Narrow"/>
                <w:sz w:val="18"/>
                <w:szCs w:val="18"/>
              </w:rPr>
              <w:t>[15884] Must be treated by a specialist or consultant physician in general paediatrics in consultation with a nominated specialist or consultant physician in paediatric endocrinology</w:t>
            </w:r>
          </w:p>
          <w:p w14:paraId="425F3F5F" w14:textId="77777777" w:rsidR="00E31543" w:rsidRDefault="00E31543" w:rsidP="00475FED">
            <w:pPr>
              <w:spacing w:after="40"/>
              <w:rPr>
                <w:rFonts w:ascii="Arial Narrow" w:hAnsi="Arial Narrow"/>
                <w:sz w:val="18"/>
                <w:szCs w:val="18"/>
              </w:rPr>
            </w:pPr>
            <w:r>
              <w:rPr>
                <w:rFonts w:ascii="Arial Narrow" w:hAnsi="Arial Narrow"/>
                <w:sz w:val="18"/>
                <w:szCs w:val="18"/>
              </w:rPr>
              <w:t>AND</w:t>
            </w:r>
          </w:p>
          <w:p w14:paraId="5B0EEF4F" w14:textId="77777777" w:rsidR="00E31543" w:rsidRPr="00F04278" w:rsidRDefault="00E31543" w:rsidP="00475FED">
            <w:pPr>
              <w:spacing w:after="4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F04278" w14:paraId="7DEBDF41" w14:textId="77777777" w:rsidTr="00475FED">
        <w:tc>
          <w:tcPr>
            <w:tcW w:w="862" w:type="pct"/>
          </w:tcPr>
          <w:p w14:paraId="75F85930"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Clinical criteria</w:t>
            </w:r>
          </w:p>
        </w:tc>
        <w:tc>
          <w:tcPr>
            <w:tcW w:w="4138" w:type="pct"/>
            <w:gridSpan w:val="6"/>
          </w:tcPr>
          <w:p w14:paraId="53826F30"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[23361]</w:t>
            </w:r>
          </w:p>
          <w:p w14:paraId="4DF05BE1"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 xml:space="preserve">[23363] Patient must have evidence of biochemical growth hormone deficiency, with a peak serum growth hormone concentration less than 10 </w:t>
            </w:r>
            <w:proofErr w:type="spellStart"/>
            <w:r w:rsidRPr="00F04278">
              <w:rPr>
                <w:rFonts w:ascii="Arial Narrow" w:hAnsi="Arial Narrow"/>
                <w:sz w:val="18"/>
                <w:szCs w:val="18"/>
              </w:rPr>
              <w:t>mU</w:t>
            </w:r>
            <w:proofErr w:type="spellEnd"/>
            <w:r w:rsidRPr="00F04278">
              <w:rPr>
                <w:rFonts w:ascii="Arial Narrow" w:hAnsi="Arial Narrow"/>
                <w:sz w:val="18"/>
                <w:szCs w:val="18"/>
              </w:rPr>
              <w:t>/L or less than or equal to 3.3 micrograms per litre in response to 2 pharmacological growth hormone stimulation tests (</w:t>
            </w:r>
            <w:proofErr w:type="gramStart"/>
            <w:r w:rsidRPr="00F04278">
              <w:rPr>
                <w:rFonts w:ascii="Arial Narrow" w:hAnsi="Arial Narrow"/>
                <w:sz w:val="18"/>
                <w:szCs w:val="18"/>
              </w:rPr>
              <w:t>e.g.</w:t>
            </w:r>
            <w:proofErr w:type="gramEnd"/>
            <w:r w:rsidRPr="00F04278">
              <w:rPr>
                <w:rFonts w:ascii="Arial Narrow" w:hAnsi="Arial Narrow"/>
                <w:sz w:val="18"/>
                <w:szCs w:val="18"/>
              </w:rPr>
              <w:t xml:space="preserve"> arginine, clonidine, glucagon, insulin); or</w:t>
            </w:r>
          </w:p>
          <w:p w14:paraId="19019F9B"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 xml:space="preserve">[23364] Patient must have evidence of biochemical growth hormone deficiency, with a peak serum growth hormone concentration less than 10 </w:t>
            </w:r>
            <w:proofErr w:type="spellStart"/>
            <w:r w:rsidRPr="00F04278">
              <w:rPr>
                <w:rFonts w:ascii="Arial Narrow" w:hAnsi="Arial Narrow"/>
                <w:sz w:val="18"/>
                <w:szCs w:val="18"/>
              </w:rPr>
              <w:t>mU</w:t>
            </w:r>
            <w:proofErr w:type="spellEnd"/>
            <w:r w:rsidRPr="00F04278">
              <w:rPr>
                <w:rFonts w:ascii="Arial Narrow" w:hAnsi="Arial Narrow"/>
                <w:sz w:val="18"/>
                <w:szCs w:val="18"/>
              </w:rPr>
              <w:t>/L or less than or equal to 3.3 micrograms per litre in response to 1 pharmacological growth hormone stimulation test (</w:t>
            </w:r>
            <w:proofErr w:type="gramStart"/>
            <w:r w:rsidRPr="00F04278">
              <w:rPr>
                <w:rFonts w:ascii="Arial Narrow" w:hAnsi="Arial Narrow"/>
                <w:sz w:val="18"/>
                <w:szCs w:val="18"/>
              </w:rPr>
              <w:t>e.g.</w:t>
            </w:r>
            <w:proofErr w:type="gramEnd"/>
            <w:r w:rsidRPr="00F04278">
              <w:rPr>
                <w:rFonts w:ascii="Arial Narrow" w:hAnsi="Arial Narrow"/>
                <w:sz w:val="18"/>
                <w:szCs w:val="18"/>
              </w:rPr>
              <w:t xml:space="preserve"> arginine, clonidine, glucagon, insulin) and 1 physiological growth hormone stimulation test (e.g. sleep, exercise); or</w:t>
            </w:r>
          </w:p>
          <w:p w14:paraId="6E54C11E"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 xml:space="preserve">[23365] Patient must have evidence of biochemical growth hormone deficiency, with a peak serum growth hormone concentration less than 10 </w:t>
            </w:r>
            <w:proofErr w:type="spellStart"/>
            <w:r w:rsidRPr="00F04278">
              <w:rPr>
                <w:rFonts w:ascii="Arial Narrow" w:hAnsi="Arial Narrow"/>
                <w:sz w:val="18"/>
                <w:szCs w:val="18"/>
              </w:rPr>
              <w:t>mU</w:t>
            </w:r>
            <w:proofErr w:type="spellEnd"/>
            <w:r w:rsidRPr="00F04278">
              <w:rPr>
                <w:rFonts w:ascii="Arial Narrow" w:hAnsi="Arial Narrow"/>
                <w:sz w:val="18"/>
                <w:szCs w:val="18"/>
              </w:rPr>
              <w:t xml:space="preserve">/L or less than or equal to 3.3 micrograms per litre in response to 1 growth hormone stimulation test (pharmacological or physiological e.g. arginine, clonidine, glucagon, insulin, sleep, exercise) with other evidence of growth hormone deficiency, including </w:t>
            </w:r>
            <w:proofErr w:type="spellStart"/>
            <w:r w:rsidRPr="00F04278">
              <w:rPr>
                <w:rFonts w:ascii="Arial Narrow" w:hAnsi="Arial Narrow"/>
                <w:sz w:val="18"/>
                <w:szCs w:val="18"/>
              </w:rPr>
              <w:t>septo</w:t>
            </w:r>
            <w:proofErr w:type="spellEnd"/>
            <w:r w:rsidRPr="00F04278">
              <w:rPr>
                <w:rFonts w:ascii="Arial Narrow" w:hAnsi="Arial Narrow"/>
                <w:sz w:val="18"/>
                <w:szCs w:val="18"/>
              </w:rPr>
              <w:t xml:space="preserve">-optic dysplasia (absent corpus callosum and/or septum pellucidum), midline abnormality including optic nerve hypoplasia, cleft lip and palate, midfacial hypoplasia and central incisor, ectopic and/or absent posterior pituitary bright spot, absent empty </w:t>
            </w:r>
            <w:proofErr w:type="spellStart"/>
            <w:r w:rsidRPr="00F04278">
              <w:rPr>
                <w:rFonts w:ascii="Arial Narrow" w:hAnsi="Arial Narrow"/>
                <w:sz w:val="18"/>
                <w:szCs w:val="18"/>
              </w:rPr>
              <w:t>sella</w:t>
            </w:r>
            <w:proofErr w:type="spellEnd"/>
            <w:r w:rsidRPr="00F04278">
              <w:rPr>
                <w:rFonts w:ascii="Arial Narrow" w:hAnsi="Arial Narrow"/>
                <w:sz w:val="18"/>
                <w:szCs w:val="18"/>
              </w:rPr>
              <w:t xml:space="preserve">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44818480"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 xml:space="preserve">[23366] Patient must have evidence of biochemical growth hormone deficiency, with a peak serum growth hormone concentration less than 10 </w:t>
            </w:r>
            <w:proofErr w:type="spellStart"/>
            <w:r w:rsidRPr="00F04278">
              <w:rPr>
                <w:rFonts w:ascii="Arial Narrow" w:hAnsi="Arial Narrow"/>
                <w:sz w:val="18"/>
                <w:szCs w:val="18"/>
              </w:rPr>
              <w:t>mU</w:t>
            </w:r>
            <w:proofErr w:type="spellEnd"/>
            <w:r w:rsidRPr="00F04278">
              <w:rPr>
                <w:rFonts w:ascii="Arial Narrow" w:hAnsi="Arial Narrow"/>
                <w:sz w:val="18"/>
                <w:szCs w:val="18"/>
              </w:rPr>
              <w:t xml:space="preserve">/L or less than or equal to 3.3 micrograms per litre in response to 1 </w:t>
            </w:r>
            <w:r w:rsidRPr="00F04278">
              <w:rPr>
                <w:rFonts w:ascii="Arial Narrow" w:hAnsi="Arial Narrow"/>
                <w:sz w:val="18"/>
                <w:szCs w:val="18"/>
              </w:rPr>
              <w:lastRenderedPageBreak/>
              <w:t xml:space="preserve">growth hormone stimulation test (pharmacological or physiological </w:t>
            </w:r>
            <w:proofErr w:type="gramStart"/>
            <w:r w:rsidRPr="00F04278">
              <w:rPr>
                <w:rFonts w:ascii="Arial Narrow" w:hAnsi="Arial Narrow"/>
                <w:sz w:val="18"/>
                <w:szCs w:val="18"/>
              </w:rPr>
              <w:t>e.g.</w:t>
            </w:r>
            <w:proofErr w:type="gramEnd"/>
            <w:r w:rsidRPr="00F04278">
              <w:rPr>
                <w:rFonts w:ascii="Arial Narrow" w:hAnsi="Arial Narrow"/>
                <w:sz w:val="18"/>
                <w:szCs w:val="18"/>
              </w:rPr>
              <w:t xml:space="preserve"> arginine, clonidine, glucagon, insulin, sleep, exercise) and low plasma IGF-1 levels; or</w:t>
            </w:r>
          </w:p>
          <w:p w14:paraId="37C4EBDB"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 xml:space="preserve">[23367] Patient must have evidence of biochemical growth hormone deficiency, with a peak serum growth hormone concentration less than 10 </w:t>
            </w:r>
            <w:proofErr w:type="spellStart"/>
            <w:r w:rsidRPr="00F04278">
              <w:rPr>
                <w:rFonts w:ascii="Arial Narrow" w:hAnsi="Arial Narrow"/>
                <w:sz w:val="18"/>
                <w:szCs w:val="18"/>
              </w:rPr>
              <w:t>mU</w:t>
            </w:r>
            <w:proofErr w:type="spellEnd"/>
            <w:r w:rsidRPr="00F04278">
              <w:rPr>
                <w:rFonts w:ascii="Arial Narrow" w:hAnsi="Arial Narrow"/>
                <w:sz w:val="18"/>
                <w:szCs w:val="18"/>
              </w:rPr>
              <w:t xml:space="preserve">/L or less than or equal to 3.3 micrograms per litre in response to 1 growth hormone stimulation test (pharmacological or physiological </w:t>
            </w:r>
            <w:proofErr w:type="gramStart"/>
            <w:r w:rsidRPr="00F04278">
              <w:rPr>
                <w:rFonts w:ascii="Arial Narrow" w:hAnsi="Arial Narrow"/>
                <w:sz w:val="18"/>
                <w:szCs w:val="18"/>
              </w:rPr>
              <w:t>e.g.</w:t>
            </w:r>
            <w:proofErr w:type="gramEnd"/>
            <w:r w:rsidRPr="00F04278">
              <w:rPr>
                <w:rFonts w:ascii="Arial Narrow" w:hAnsi="Arial Narrow"/>
                <w:sz w:val="18"/>
                <w:szCs w:val="18"/>
              </w:rPr>
              <w:t xml:space="preserve"> arginine, clonidine, glucagon, insulin, sleep, exercise) and low plasma IGFBP-3 levels</w:t>
            </w:r>
          </w:p>
          <w:p w14:paraId="189903BB"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4130E83D"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[23429]</w:t>
            </w:r>
          </w:p>
          <w:p w14:paraId="0C4A34B2"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[15859] Patient must have a current height at or below the 1st percentile for age and sex; or</w:t>
            </w:r>
          </w:p>
          <w:p w14:paraId="15D43D8D"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 xml:space="preserve">[23426] Patient must have a current height above the 1st and at or below the 25th percentiles for age and sex and a growth velocity below the 25th percentile for bone age and sex measured over a </w:t>
            </w:r>
            <w:proofErr w:type="gramStart"/>
            <w:r w:rsidRPr="00F04278">
              <w:rPr>
                <w:rFonts w:ascii="Arial Narrow" w:hAnsi="Arial Narrow"/>
                <w:sz w:val="18"/>
                <w:szCs w:val="18"/>
              </w:rPr>
              <w:t>12 month</w:t>
            </w:r>
            <w:proofErr w:type="gramEnd"/>
            <w:r w:rsidRPr="00F04278">
              <w:rPr>
                <w:rFonts w:ascii="Arial Narrow" w:hAnsi="Arial Narrow"/>
                <w:sz w:val="18"/>
                <w:szCs w:val="18"/>
              </w:rPr>
              <w:t xml:space="preserve"> interval (or a 6 month interval for an older child); or</w:t>
            </w:r>
          </w:p>
          <w:p w14:paraId="0A49F622"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[23428] Patient must have a current height above the 1st and at or below the 25th percentiles for age and sex and an annual growth velocity of 8 cm per year or less if the patient has a bone age of 2.5 years or less</w:t>
            </w:r>
          </w:p>
          <w:p w14:paraId="52743AC3"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4FFF1E76"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[15708]</w:t>
            </w:r>
          </w:p>
          <w:p w14:paraId="0940639F"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[15707] Patient must not have a condition with a known risk of malignancy including chromosomal abnormalities such as Down and Bloom syndromes</w:t>
            </w:r>
          </w:p>
          <w:p w14:paraId="063A7A92"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0C7CE22C"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[15711]</w:t>
            </w:r>
          </w:p>
          <w:p w14:paraId="2DFD6F21"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[15710] Patient must not have an active tumour or evidence of tumour growth or activity</w:t>
            </w:r>
          </w:p>
          <w:p w14:paraId="6E9D00DA"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1836B06C"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[17583]</w:t>
            </w:r>
          </w:p>
          <w:p w14:paraId="051AD137"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[17582] Patient must not have previously received treatment under the PBS S100 Growth Hormone Program</w:t>
            </w:r>
          </w:p>
          <w:p w14:paraId="70D8E45F"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4BBE15F5"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[16068]</w:t>
            </w:r>
          </w:p>
          <w:p w14:paraId="565D452C"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[16066] Patient must be male and must not have a bone age of 15.5 years or more; or</w:t>
            </w:r>
          </w:p>
          <w:p w14:paraId="53339BC6"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[16067] Patient must be female and must not have a bone age of 13.5 years or more</w:t>
            </w:r>
          </w:p>
        </w:tc>
      </w:tr>
      <w:tr w:rsidR="00E31543" w:rsidRPr="00F04278" w14:paraId="7222E793" w14:textId="77777777" w:rsidTr="00475FED">
        <w:tc>
          <w:tcPr>
            <w:tcW w:w="862" w:type="pct"/>
          </w:tcPr>
          <w:p w14:paraId="5CE0C922" w14:textId="77777777" w:rsidR="00E31543" w:rsidRPr="00F04278" w:rsidRDefault="00E31543" w:rsidP="00475FED">
            <w:pPr>
              <w:spacing w:after="120"/>
              <w:jc w:val="left"/>
              <w:rPr>
                <w:rFonts w:ascii="Arial Narrow" w:hAnsi="Arial Narrow"/>
                <w:b/>
                <w:sz w:val="18"/>
                <w:szCs w:val="18"/>
              </w:rPr>
            </w:pPr>
            <w:r>
              <w:rPr>
                <w:rFonts w:ascii="Arial Narrow" w:hAnsi="Arial Narrow"/>
                <w:b/>
                <w:sz w:val="18"/>
                <w:szCs w:val="18"/>
              </w:rPr>
              <w:lastRenderedPageBreak/>
              <w:t>Population criteria</w:t>
            </w:r>
          </w:p>
        </w:tc>
        <w:tc>
          <w:tcPr>
            <w:tcW w:w="4138" w:type="pct"/>
            <w:gridSpan w:val="6"/>
          </w:tcPr>
          <w:p w14:paraId="3690F565" w14:textId="77777777" w:rsidR="00E31543" w:rsidRPr="00F04278" w:rsidRDefault="00E31543" w:rsidP="00475FED">
            <w:pPr>
              <w:spacing w:after="120"/>
              <w:rPr>
                <w:rFonts w:ascii="Arial Narrow" w:hAnsi="Arial Narrow"/>
                <w:sz w:val="18"/>
                <w:szCs w:val="18"/>
              </w:rPr>
            </w:pPr>
          </w:p>
        </w:tc>
      </w:tr>
      <w:tr w:rsidR="00E31543" w:rsidRPr="00F04278" w14:paraId="77B183B7" w14:textId="77777777" w:rsidTr="00475FED">
        <w:tc>
          <w:tcPr>
            <w:tcW w:w="862" w:type="pct"/>
          </w:tcPr>
          <w:p w14:paraId="401AE1F9"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Foreword</w:t>
            </w:r>
          </w:p>
        </w:tc>
        <w:tc>
          <w:tcPr>
            <w:tcW w:w="4138" w:type="pct"/>
            <w:gridSpan w:val="6"/>
          </w:tcPr>
          <w:p w14:paraId="625BD2C4" w14:textId="77777777" w:rsidR="00E31543" w:rsidRPr="00F04278" w:rsidRDefault="00E31543" w:rsidP="00475FED">
            <w:pPr>
              <w:spacing w:after="120"/>
              <w:rPr>
                <w:rFonts w:ascii="Arial Narrow" w:hAnsi="Arial Narrow"/>
                <w:sz w:val="18"/>
                <w:szCs w:val="18"/>
              </w:rPr>
            </w:pPr>
          </w:p>
        </w:tc>
      </w:tr>
      <w:tr w:rsidR="00E31543" w:rsidRPr="00F04278" w14:paraId="7EC81495" w14:textId="77777777" w:rsidTr="00475FED">
        <w:tc>
          <w:tcPr>
            <w:tcW w:w="862" w:type="pct"/>
          </w:tcPr>
          <w:p w14:paraId="7016ED80"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Definitions</w:t>
            </w:r>
          </w:p>
        </w:tc>
        <w:tc>
          <w:tcPr>
            <w:tcW w:w="4138" w:type="pct"/>
            <w:gridSpan w:val="6"/>
          </w:tcPr>
          <w:p w14:paraId="3AA2489A" w14:textId="77777777" w:rsidR="00E31543" w:rsidRPr="00F04278" w:rsidRDefault="00E31543" w:rsidP="00475FED">
            <w:pPr>
              <w:spacing w:after="120"/>
              <w:rPr>
                <w:rFonts w:ascii="Arial Narrow" w:hAnsi="Arial Narrow"/>
                <w:sz w:val="18"/>
                <w:szCs w:val="18"/>
              </w:rPr>
            </w:pPr>
          </w:p>
        </w:tc>
      </w:tr>
      <w:tr w:rsidR="00E31543" w:rsidRPr="00F04278" w14:paraId="567E3387" w14:textId="77777777" w:rsidTr="00475FED">
        <w:tc>
          <w:tcPr>
            <w:tcW w:w="862" w:type="pct"/>
          </w:tcPr>
          <w:p w14:paraId="5CCA93C2"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Prescriber Instructions</w:t>
            </w:r>
            <w:r w:rsidRPr="00F04278">
              <w:rPr>
                <w:rFonts w:ascii="Arial Narrow" w:hAnsi="Arial Narrow"/>
                <w:sz w:val="18"/>
                <w:szCs w:val="18"/>
              </w:rPr>
              <w:br/>
            </w:r>
          </w:p>
        </w:tc>
        <w:tc>
          <w:tcPr>
            <w:tcW w:w="4138" w:type="pct"/>
            <w:gridSpan w:val="6"/>
          </w:tcPr>
          <w:p w14:paraId="62936E96"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[23357] An older child is defined as a male with a chronological age of at least 12 years or a bone age of at least 10 years, or a female with a chronological age of at least 10 years or a bone age of at least 8 years.</w:t>
            </w:r>
          </w:p>
          <w:p w14:paraId="4D066D06"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[16075] The maximum duration of the initial treatment phase is 32 weeks. Prescribers must determine an appropriate weekly dose in accordance with the dosing arrangements detailed in the National Health (Growth Hormone Program) Special Arrangement 2015 and request the appropriate number of vials/cartridges required to provide sufficient drug for 16 weeks' worth of treatment (with up to 1 repeat allowed).</w:t>
            </w:r>
          </w:p>
          <w:p w14:paraId="0A9154AD" w14:textId="77777777" w:rsidR="00E31543" w:rsidRPr="00F04278" w:rsidRDefault="00E31543" w:rsidP="00475FED">
            <w:pPr>
              <w:spacing w:after="120"/>
              <w:rPr>
                <w:rFonts w:ascii="Arial Narrow" w:hAnsi="Arial Narrow"/>
                <w:sz w:val="18"/>
                <w:szCs w:val="18"/>
              </w:rPr>
            </w:pPr>
            <w:r>
              <w:rPr>
                <w:rFonts w:ascii="Arial Narrow" w:hAnsi="Arial Narrow"/>
                <w:sz w:val="18"/>
                <w:szCs w:val="18"/>
              </w:rPr>
              <w:t>[amend 23443]</w:t>
            </w:r>
            <w:r w:rsidRPr="00F04278">
              <w:rPr>
                <w:rFonts w:ascii="Arial Narrow" w:hAnsi="Arial Narrow"/>
                <w:sz w:val="18"/>
                <w:szCs w:val="18"/>
              </w:rPr>
              <w:t xml:space="preserve"> The authority application must be in writing and must </w:t>
            </w:r>
            <w:proofErr w:type="gramStart"/>
            <w:r w:rsidRPr="00F04278">
              <w:rPr>
                <w:rFonts w:ascii="Arial Narrow" w:hAnsi="Arial Narrow"/>
                <w:sz w:val="18"/>
                <w:szCs w:val="18"/>
              </w:rPr>
              <w:t>include:,</w:t>
            </w:r>
            <w:proofErr w:type="gramEnd"/>
            <w:r w:rsidRPr="00F04278">
              <w:rPr>
                <w:rFonts w:ascii="Arial Narrow" w:hAnsi="Arial Narrow"/>
                <w:sz w:val="18"/>
                <w:szCs w:val="18"/>
              </w:rPr>
              <w:t xml:space="preserve"> 1. A completed authority prescription form; AND, 2. A completed Growth Hormone Authority Application Supporting Information Form for initial treatment; AND, 3. (a) A minimum of 12 months of recent growth data (height and weight measurements) or a minimum of 6 months of recent growth data for an older child. The most recent data must not be more than three months old at the time of application; OR, (b) Height and weight measurements, not more than three months old at the time of application, for a patient whose current height is at or below the 1st percentile for age and sex; AND, 4. A bone age result performed within the last 12 months</w:t>
            </w:r>
            <w:r>
              <w:rPr>
                <w:rFonts w:ascii="Arial Narrow" w:hAnsi="Arial Narrow"/>
                <w:sz w:val="18"/>
                <w:szCs w:val="18"/>
              </w:rPr>
              <w:t xml:space="preserve"> </w:t>
            </w:r>
            <w:r w:rsidRPr="006D4F21">
              <w:rPr>
                <w:rFonts w:ascii="Arial Narrow" w:hAnsi="Arial Narrow"/>
                <w:sz w:val="18"/>
                <w:szCs w:val="18"/>
              </w:rPr>
              <w:t>(except for a patient whose chronological age is 2.5 years or less)</w:t>
            </w:r>
            <w:r w:rsidRPr="00F04278">
              <w:rPr>
                <w:rFonts w:ascii="Arial Narrow" w:hAnsi="Arial Narrow"/>
                <w:sz w:val="18"/>
                <w:szCs w:val="18"/>
              </w:rPr>
              <w:t xml:space="preserve">; AND, 5. Evidence of biochemical growth hormone deficiency, including the type of tests performed and peak growth hormone concentrations; AND, 6. The proprietary name (brand), </w:t>
            </w:r>
            <w:r>
              <w:rPr>
                <w:rFonts w:ascii="Arial Narrow" w:hAnsi="Arial Narrow"/>
                <w:sz w:val="18"/>
                <w:szCs w:val="18"/>
              </w:rPr>
              <w:t xml:space="preserve">form and strength </w:t>
            </w:r>
            <w:r>
              <w:rPr>
                <w:rFonts w:ascii="Arial Narrow" w:hAnsi="Arial Narrow"/>
                <w:sz w:val="18"/>
                <w:szCs w:val="18"/>
              </w:rPr>
              <w:lastRenderedPageBreak/>
              <w:t>of the growth hormone requested</w:t>
            </w:r>
            <w:r w:rsidRPr="00F04278">
              <w:rPr>
                <w:rFonts w:ascii="Arial Narrow" w:hAnsi="Arial Narrow"/>
                <w:sz w:val="18"/>
                <w:szCs w:val="18"/>
              </w:rPr>
              <w:t>, and the number of vials/cartridges required to provide sufficient drug for 16 weeks' worth of treatment (with up to 1 repeat allowed).</w:t>
            </w:r>
          </w:p>
          <w:p w14:paraId="046A2DFE"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8732523"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[15905] Biochemical growth hormone deficiency should not be secondary to an intracranial lesion or cranial irradiation for applications under this category.</w:t>
            </w:r>
          </w:p>
          <w:p w14:paraId="7464B4EF"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[28759]</w:t>
            </w:r>
            <w:r>
              <w:rPr>
                <w:rFonts w:ascii="Arial Narrow" w:hAnsi="Arial Narrow"/>
                <w:sz w:val="18"/>
                <w:szCs w:val="18"/>
              </w:rPr>
              <w:t xml:space="preserve"> </w:t>
            </w:r>
            <w:r w:rsidRPr="00F04278">
              <w:rPr>
                <w:rFonts w:ascii="Arial Narrow" w:hAnsi="Arial Narrow"/>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F04278" w14:paraId="15369D93" w14:textId="77777777" w:rsidTr="00475FED">
        <w:tc>
          <w:tcPr>
            <w:tcW w:w="862" w:type="pct"/>
          </w:tcPr>
          <w:p w14:paraId="428BA1E0"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lastRenderedPageBreak/>
              <w:t>Administrative Advice</w:t>
            </w:r>
            <w:r w:rsidRPr="00F04278">
              <w:rPr>
                <w:rFonts w:ascii="Arial Narrow" w:hAnsi="Arial Narrow"/>
                <w:sz w:val="18"/>
                <w:szCs w:val="18"/>
              </w:rPr>
              <w:br/>
            </w:r>
          </w:p>
        </w:tc>
        <w:tc>
          <w:tcPr>
            <w:tcW w:w="4138" w:type="pct"/>
            <w:gridSpan w:val="6"/>
          </w:tcPr>
          <w:p w14:paraId="01CDF46E" w14:textId="77777777" w:rsidR="00E31543" w:rsidRDefault="00E31543" w:rsidP="00475FED">
            <w:pPr>
              <w:spacing w:after="120"/>
              <w:rPr>
                <w:rFonts w:ascii="Arial Narrow" w:hAnsi="Arial Narrow"/>
                <w:sz w:val="18"/>
                <w:szCs w:val="18"/>
              </w:rPr>
            </w:pPr>
            <w:r>
              <w:rPr>
                <w:rFonts w:ascii="Arial Narrow" w:hAnsi="Arial Narrow"/>
                <w:sz w:val="18"/>
                <w:szCs w:val="18"/>
              </w:rPr>
              <w:t>[</w:t>
            </w:r>
            <w:r w:rsidRPr="00EB075B">
              <w:rPr>
                <w:rFonts w:ascii="Arial Narrow" w:hAnsi="Arial Narrow"/>
                <w:sz w:val="18"/>
                <w:szCs w:val="18"/>
              </w:rPr>
              <w:t>28584</w:t>
            </w:r>
            <w:r>
              <w:rPr>
                <w:rFonts w:ascii="Arial Narrow" w:hAnsi="Arial Narrow"/>
                <w:sz w:val="18"/>
                <w:szCs w:val="18"/>
              </w:rPr>
              <w:t xml:space="preserve">] </w:t>
            </w:r>
            <w:r w:rsidRPr="00F04278">
              <w:rPr>
                <w:rFonts w:ascii="Arial Narrow" w:hAnsi="Arial Narrow"/>
                <w:sz w:val="18"/>
                <w:szCs w:val="18"/>
              </w:rPr>
              <w:t xml:space="preserve">Any queries concerning the arrangements to prescribe may be directed to the Services </w:t>
            </w:r>
            <w:r>
              <w:rPr>
                <w:rFonts w:ascii="Arial Narrow" w:hAnsi="Arial Narrow"/>
                <w:sz w:val="18"/>
                <w:szCs w:val="18"/>
              </w:rPr>
              <w:t xml:space="preserve">Australia </w:t>
            </w:r>
            <w:r w:rsidRPr="00F04278">
              <w:rPr>
                <w:rFonts w:ascii="Arial Narrow" w:hAnsi="Arial Narrow"/>
                <w:sz w:val="18"/>
                <w:szCs w:val="18"/>
              </w:rPr>
              <w:t xml:space="preserve">on 1800 700 270 (hours of operation 8 a.m. to 5 p.m. Monday to Friday). </w:t>
            </w:r>
          </w:p>
          <w:p w14:paraId="5526E292" w14:textId="77777777" w:rsidR="00E31543" w:rsidRPr="00EB075B" w:rsidRDefault="00E31543" w:rsidP="00475FED">
            <w:pPr>
              <w:spacing w:after="120"/>
              <w:rPr>
                <w:rFonts w:ascii="Arial Narrow" w:hAnsi="Arial Narrow"/>
                <w:sz w:val="18"/>
                <w:szCs w:val="18"/>
              </w:rPr>
            </w:pPr>
            <w:r w:rsidRPr="00EB075B">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14:paraId="4FCEE73D" w14:textId="77777777" w:rsidR="00E31543" w:rsidRPr="00EB075B" w:rsidRDefault="00E31543" w:rsidP="00475FED">
            <w:pPr>
              <w:spacing w:after="120"/>
              <w:rPr>
                <w:rFonts w:ascii="Arial Narrow" w:hAnsi="Arial Narrow"/>
                <w:sz w:val="18"/>
                <w:szCs w:val="18"/>
              </w:rPr>
            </w:pPr>
            <w:r w:rsidRPr="00EB075B">
              <w:rPr>
                <w:rFonts w:ascii="Arial Narrow" w:hAnsi="Arial Narrow"/>
                <w:sz w:val="18"/>
                <w:szCs w:val="18"/>
              </w:rPr>
              <w:t>Applications for authority to prescribe should be submitted online using the form upload facility in Health Professional Online Services (HPOS) at www.servicesaustralia.gov.au/hpos</w:t>
            </w:r>
          </w:p>
          <w:p w14:paraId="4F89E4BA" w14:textId="77777777" w:rsidR="00E31543" w:rsidRPr="00EB075B" w:rsidRDefault="00E31543" w:rsidP="00475FED">
            <w:pPr>
              <w:rPr>
                <w:rFonts w:ascii="Arial Narrow" w:hAnsi="Arial Narrow"/>
                <w:sz w:val="18"/>
                <w:szCs w:val="18"/>
              </w:rPr>
            </w:pPr>
            <w:r w:rsidRPr="00EB075B">
              <w:rPr>
                <w:rFonts w:ascii="Arial Narrow" w:hAnsi="Arial Narrow"/>
                <w:sz w:val="18"/>
                <w:szCs w:val="18"/>
              </w:rPr>
              <w:t>Or mailed to:</w:t>
            </w:r>
          </w:p>
          <w:p w14:paraId="78189E0A" w14:textId="77777777" w:rsidR="00E31543" w:rsidRPr="00EB075B" w:rsidRDefault="00E31543" w:rsidP="00475FED">
            <w:pPr>
              <w:rPr>
                <w:rFonts w:ascii="Arial Narrow" w:hAnsi="Arial Narrow"/>
                <w:sz w:val="18"/>
                <w:szCs w:val="18"/>
              </w:rPr>
            </w:pPr>
            <w:r w:rsidRPr="00EB075B">
              <w:rPr>
                <w:rFonts w:ascii="Arial Narrow" w:hAnsi="Arial Narrow"/>
                <w:sz w:val="18"/>
                <w:szCs w:val="18"/>
              </w:rPr>
              <w:t>Services Australia</w:t>
            </w:r>
          </w:p>
          <w:p w14:paraId="6373EA1B" w14:textId="77777777" w:rsidR="00E31543" w:rsidRPr="00EB075B" w:rsidRDefault="00E31543" w:rsidP="00475FED">
            <w:pPr>
              <w:rPr>
                <w:rFonts w:ascii="Arial Narrow" w:hAnsi="Arial Narrow"/>
                <w:sz w:val="18"/>
                <w:szCs w:val="18"/>
              </w:rPr>
            </w:pPr>
            <w:r w:rsidRPr="00EB075B">
              <w:rPr>
                <w:rFonts w:ascii="Arial Narrow" w:hAnsi="Arial Narrow"/>
                <w:sz w:val="18"/>
                <w:szCs w:val="18"/>
              </w:rPr>
              <w:t>Complex Drugs</w:t>
            </w:r>
          </w:p>
          <w:p w14:paraId="70E8ED0A" w14:textId="77777777" w:rsidR="00E31543" w:rsidRPr="00EB075B" w:rsidRDefault="00E31543" w:rsidP="00475FED">
            <w:pPr>
              <w:rPr>
                <w:rFonts w:ascii="Arial Narrow" w:hAnsi="Arial Narrow"/>
                <w:sz w:val="18"/>
                <w:szCs w:val="18"/>
              </w:rPr>
            </w:pPr>
            <w:r w:rsidRPr="00EB075B">
              <w:rPr>
                <w:rFonts w:ascii="Arial Narrow" w:hAnsi="Arial Narrow"/>
                <w:sz w:val="18"/>
                <w:szCs w:val="18"/>
              </w:rPr>
              <w:t>Reply Paid 9826</w:t>
            </w:r>
          </w:p>
          <w:p w14:paraId="32DA93AB" w14:textId="77777777" w:rsidR="00E31543" w:rsidRDefault="00E31543" w:rsidP="00475FED">
            <w:pPr>
              <w:rPr>
                <w:rFonts w:ascii="Arial Narrow" w:hAnsi="Arial Narrow"/>
                <w:sz w:val="18"/>
                <w:szCs w:val="18"/>
              </w:rPr>
            </w:pPr>
            <w:r w:rsidRPr="00EB075B">
              <w:rPr>
                <w:rFonts w:ascii="Arial Narrow" w:hAnsi="Arial Narrow"/>
                <w:sz w:val="18"/>
                <w:szCs w:val="18"/>
              </w:rPr>
              <w:t>HOBART TAS 7001</w:t>
            </w:r>
          </w:p>
          <w:p w14:paraId="065FC47E" w14:textId="77777777" w:rsidR="00E31543" w:rsidRDefault="00E31543" w:rsidP="00475FED">
            <w:pPr>
              <w:rPr>
                <w:rFonts w:ascii="Arial Narrow" w:hAnsi="Arial Narrow"/>
                <w:sz w:val="18"/>
                <w:szCs w:val="18"/>
              </w:rPr>
            </w:pPr>
          </w:p>
          <w:p w14:paraId="2301C02F" w14:textId="77777777" w:rsidR="00E31543" w:rsidRPr="00F04278" w:rsidRDefault="00E31543" w:rsidP="00475FED">
            <w:pPr>
              <w:keepNext/>
              <w:jc w:val="left"/>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F04278" w14:paraId="12BC9061" w14:textId="77777777" w:rsidTr="00475FED">
        <w:tc>
          <w:tcPr>
            <w:tcW w:w="862" w:type="pct"/>
          </w:tcPr>
          <w:p w14:paraId="6B47C35A"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Cautions</w:t>
            </w:r>
          </w:p>
        </w:tc>
        <w:tc>
          <w:tcPr>
            <w:tcW w:w="4138" w:type="pct"/>
            <w:gridSpan w:val="6"/>
          </w:tcPr>
          <w:p w14:paraId="3B1E4151" w14:textId="77777777" w:rsidR="00E31543" w:rsidRPr="00F04278" w:rsidRDefault="00E31543" w:rsidP="00475FED">
            <w:pPr>
              <w:spacing w:after="120"/>
              <w:rPr>
                <w:rFonts w:ascii="Arial Narrow" w:hAnsi="Arial Narrow"/>
                <w:sz w:val="18"/>
                <w:szCs w:val="18"/>
              </w:rPr>
            </w:pPr>
          </w:p>
        </w:tc>
      </w:tr>
      <w:tr w:rsidR="00E31543" w:rsidRPr="00042B3A" w14:paraId="2DF08F82" w14:textId="77777777" w:rsidTr="00475FED">
        <w:tc>
          <w:tcPr>
            <w:tcW w:w="0" w:type="auto"/>
          </w:tcPr>
          <w:p w14:paraId="5A3B46B2"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Benefit Type</w:t>
            </w:r>
          </w:p>
        </w:tc>
        <w:tc>
          <w:tcPr>
            <w:tcW w:w="0" w:type="auto"/>
            <w:gridSpan w:val="6"/>
          </w:tcPr>
          <w:p w14:paraId="2F14042A"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50395</w:t>
            </w:r>
          </w:p>
        </w:tc>
      </w:tr>
      <w:tr w:rsidR="00E31543" w:rsidRPr="00042B3A" w14:paraId="68EEA722" w14:textId="77777777" w:rsidTr="00475FED">
        <w:tc>
          <w:tcPr>
            <w:tcW w:w="862" w:type="pct"/>
          </w:tcPr>
          <w:p w14:paraId="00BE3650"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Restriction Number</w:t>
            </w:r>
          </w:p>
        </w:tc>
        <w:tc>
          <w:tcPr>
            <w:tcW w:w="4138" w:type="pct"/>
            <w:gridSpan w:val="6"/>
          </w:tcPr>
          <w:p w14:paraId="1C36448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11649</w:t>
            </w:r>
          </w:p>
        </w:tc>
      </w:tr>
      <w:tr w:rsidR="00E31543" w:rsidRPr="00042B3A" w14:paraId="2F8D2612" w14:textId="77777777" w:rsidTr="00475FED">
        <w:tc>
          <w:tcPr>
            <w:tcW w:w="0" w:type="auto"/>
          </w:tcPr>
          <w:p w14:paraId="268EB761"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of Code</w:t>
            </w:r>
            <w:r>
              <w:rPr>
                <w:rFonts w:ascii="Arial Narrow" w:hAnsi="Arial Narrow"/>
                <w:b/>
                <w:sz w:val="18"/>
                <w:szCs w:val="18"/>
              </w:rPr>
              <w:t xml:space="preserve"> </w:t>
            </w:r>
            <w:r w:rsidRPr="00042B3A">
              <w:rPr>
                <w:rFonts w:ascii="Arial Narrow" w:hAnsi="Arial Narrow"/>
                <w:b/>
                <w:sz w:val="18"/>
                <w:szCs w:val="18"/>
              </w:rPr>
              <w:t>(</w:t>
            </w:r>
            <w:proofErr w:type="spellStart"/>
            <w:r w:rsidRPr="00042B3A">
              <w:rPr>
                <w:rFonts w:ascii="Arial Narrow" w:hAnsi="Arial Narrow"/>
                <w:b/>
                <w:sz w:val="18"/>
                <w:szCs w:val="18"/>
              </w:rPr>
              <w:t>ToC</w:t>
            </w:r>
            <w:proofErr w:type="spellEnd"/>
            <w:r w:rsidRPr="00042B3A">
              <w:rPr>
                <w:rFonts w:ascii="Arial Narrow" w:hAnsi="Arial Narrow"/>
                <w:b/>
                <w:sz w:val="18"/>
                <w:szCs w:val="18"/>
              </w:rPr>
              <w:t>)</w:t>
            </w:r>
          </w:p>
        </w:tc>
        <w:tc>
          <w:tcPr>
            <w:tcW w:w="0" w:type="auto"/>
            <w:gridSpan w:val="6"/>
          </w:tcPr>
          <w:p w14:paraId="4C1DD54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8378</w:t>
            </w:r>
          </w:p>
        </w:tc>
      </w:tr>
      <w:tr w:rsidR="00E31543" w:rsidRPr="00042B3A" w14:paraId="6E0E3ADA" w14:textId="77777777" w:rsidTr="00475FED">
        <w:tc>
          <w:tcPr>
            <w:tcW w:w="0" w:type="auto"/>
          </w:tcPr>
          <w:p w14:paraId="54FA495E"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Category / Program</w:t>
            </w:r>
          </w:p>
        </w:tc>
        <w:tc>
          <w:tcPr>
            <w:tcW w:w="0" w:type="auto"/>
            <w:gridSpan w:val="6"/>
          </w:tcPr>
          <w:p w14:paraId="20DD8A4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S100 - Section 100 (Growth Hormone) (Code GH)</w:t>
            </w:r>
          </w:p>
        </w:tc>
      </w:tr>
      <w:tr w:rsidR="00E31543" w:rsidRPr="00042B3A" w14:paraId="3FC468EA" w14:textId="77777777" w:rsidTr="00475FED">
        <w:tc>
          <w:tcPr>
            <w:tcW w:w="0" w:type="auto"/>
          </w:tcPr>
          <w:p w14:paraId="32F4A978"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Prescriber Type(s)</w:t>
            </w:r>
          </w:p>
        </w:tc>
        <w:tc>
          <w:tcPr>
            <w:tcW w:w="0" w:type="auto"/>
            <w:gridSpan w:val="6"/>
          </w:tcPr>
          <w:p w14:paraId="6F162633"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Medical Practitioners</w:t>
            </w:r>
          </w:p>
        </w:tc>
      </w:tr>
      <w:tr w:rsidR="00E31543" w:rsidRPr="00042B3A" w14:paraId="32B986D7" w14:textId="77777777" w:rsidTr="00475FED">
        <w:tc>
          <w:tcPr>
            <w:tcW w:w="0" w:type="auto"/>
          </w:tcPr>
          <w:p w14:paraId="6CF9B28B"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PBS Indication</w:t>
            </w:r>
          </w:p>
        </w:tc>
        <w:tc>
          <w:tcPr>
            <w:tcW w:w="0" w:type="auto"/>
            <w:gridSpan w:val="6"/>
          </w:tcPr>
          <w:p w14:paraId="4243810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[15745] Short stature associated with biochemical growth hormone deficiency</w:t>
            </w:r>
          </w:p>
        </w:tc>
      </w:tr>
      <w:tr w:rsidR="00E31543" w:rsidRPr="00042B3A" w14:paraId="2D5B78AE" w14:textId="77777777" w:rsidTr="00475FED">
        <w:tc>
          <w:tcPr>
            <w:tcW w:w="0" w:type="auto"/>
          </w:tcPr>
          <w:p w14:paraId="1276C0C6"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phase</w:t>
            </w:r>
          </w:p>
        </w:tc>
        <w:tc>
          <w:tcPr>
            <w:tcW w:w="0" w:type="auto"/>
            <w:gridSpan w:val="6"/>
          </w:tcPr>
          <w:p w14:paraId="70CE1729"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Continuing treatment</w:t>
            </w:r>
            <w:r>
              <w:rPr>
                <w:rFonts w:ascii="Arial Narrow" w:hAnsi="Arial Narrow"/>
                <w:sz w:val="18"/>
                <w:szCs w:val="18"/>
              </w:rPr>
              <w:t xml:space="preserve"> with this drug</w:t>
            </w:r>
          </w:p>
        </w:tc>
      </w:tr>
      <w:tr w:rsidR="00E31543" w:rsidRPr="00042B3A" w14:paraId="2F224004" w14:textId="77777777" w:rsidTr="00475FED">
        <w:tc>
          <w:tcPr>
            <w:tcW w:w="0" w:type="auto"/>
          </w:tcPr>
          <w:p w14:paraId="29317D8F"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Restriction Level / Method</w:t>
            </w:r>
          </w:p>
        </w:tc>
        <w:tc>
          <w:tcPr>
            <w:tcW w:w="0" w:type="auto"/>
            <w:gridSpan w:val="6"/>
          </w:tcPr>
          <w:p w14:paraId="6AAAA253"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Authority required</w:t>
            </w:r>
          </w:p>
        </w:tc>
      </w:tr>
      <w:tr w:rsidR="00E31543" w:rsidRPr="00042B3A" w14:paraId="4C754DE7" w14:textId="77777777" w:rsidTr="00475FED">
        <w:tc>
          <w:tcPr>
            <w:tcW w:w="0" w:type="auto"/>
          </w:tcPr>
          <w:p w14:paraId="4FFEA894"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criteria</w:t>
            </w:r>
          </w:p>
        </w:tc>
        <w:tc>
          <w:tcPr>
            <w:tcW w:w="0" w:type="auto"/>
            <w:gridSpan w:val="6"/>
          </w:tcPr>
          <w:p w14:paraId="77960869" w14:textId="77777777" w:rsidR="00E31543" w:rsidRDefault="00E31543" w:rsidP="00475FED">
            <w:pPr>
              <w:spacing w:after="120"/>
              <w:rPr>
                <w:rFonts w:ascii="Arial Narrow" w:hAnsi="Arial Narrow"/>
                <w:sz w:val="18"/>
                <w:szCs w:val="18"/>
              </w:rPr>
            </w:pPr>
            <w:r>
              <w:rPr>
                <w:rFonts w:ascii="Arial Narrow" w:hAnsi="Arial Narrow"/>
                <w:sz w:val="18"/>
                <w:szCs w:val="18"/>
              </w:rPr>
              <w:t>[NEW TC2] Patient must be undergoing continuing PBS-subsidised treatment with this drug</w:t>
            </w:r>
          </w:p>
          <w:p w14:paraId="51CD8B65"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55698738"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042B3A" w14:paraId="344EA88C" w14:textId="77777777" w:rsidTr="00475FED">
        <w:tc>
          <w:tcPr>
            <w:tcW w:w="0" w:type="auto"/>
          </w:tcPr>
          <w:p w14:paraId="4B3A7999"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Clinical criteria</w:t>
            </w:r>
          </w:p>
        </w:tc>
        <w:tc>
          <w:tcPr>
            <w:tcW w:w="0" w:type="auto"/>
            <w:gridSpan w:val="6"/>
          </w:tcPr>
          <w:p w14:paraId="1D57C4E4"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[17604]</w:t>
            </w:r>
          </w:p>
          <w:p w14:paraId="4B291E4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[17603] Patient must have previously received treatment under the PBS S100 Growth Hormone Program under the short stature associated with biochemical growth hormone deficiency category</w:t>
            </w:r>
          </w:p>
          <w:p w14:paraId="037BF752"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45CBB09F" w14:textId="77777777" w:rsidR="00E31543" w:rsidRDefault="00E31543" w:rsidP="00475FED">
            <w:pPr>
              <w:spacing w:after="120"/>
              <w:rPr>
                <w:rFonts w:ascii="Arial Narrow" w:hAnsi="Arial Narrow"/>
                <w:sz w:val="18"/>
                <w:szCs w:val="18"/>
              </w:rPr>
            </w:pPr>
            <w:r>
              <w:rPr>
                <w:rFonts w:ascii="Arial Narrow" w:hAnsi="Arial Narrow"/>
                <w:sz w:val="18"/>
                <w:szCs w:val="18"/>
              </w:rPr>
              <w:lastRenderedPageBreak/>
              <w:t xml:space="preserve">[NEW CC1] Patient must have been treated with PBS-subsidised growth hormone </w:t>
            </w:r>
            <w:r w:rsidRPr="006A6EB2">
              <w:rPr>
                <w:rFonts w:ascii="Arial Narrow" w:hAnsi="Arial Narrow"/>
                <w:sz w:val="18"/>
                <w:szCs w:val="18"/>
              </w:rPr>
              <w:t>for the most recent treatment period (</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w:t>
            </w:r>
            <w:r w:rsidRPr="006A6EB2">
              <w:rPr>
                <w:rFonts w:ascii="Arial Narrow" w:hAnsi="Arial Narrow"/>
                <w:sz w:val="18"/>
                <w:szCs w:val="18"/>
              </w:rPr>
              <w:t>32 weeks for an initial</w:t>
            </w:r>
            <w:r>
              <w:rPr>
                <w:rFonts w:ascii="Arial Narrow" w:hAnsi="Arial Narrow"/>
                <w:sz w:val="18"/>
                <w:szCs w:val="18"/>
              </w:rPr>
              <w:t>/</w:t>
            </w:r>
            <w:r w:rsidRPr="006A6EB2">
              <w:rPr>
                <w:rFonts w:ascii="Arial Narrow" w:hAnsi="Arial Narrow"/>
                <w:sz w:val="18"/>
                <w:szCs w:val="18"/>
              </w:rPr>
              <w:t>recommencement treatment period</w:t>
            </w:r>
            <w:r>
              <w:rPr>
                <w:rFonts w:ascii="Arial Narrow" w:hAnsi="Arial Narrow"/>
                <w:sz w:val="18"/>
                <w:szCs w:val="18"/>
              </w:rPr>
              <w:t>,</w:t>
            </w:r>
            <w:r w:rsidRPr="006A6EB2">
              <w:rPr>
                <w:rFonts w:ascii="Arial Narrow" w:hAnsi="Arial Narrow"/>
                <w:sz w:val="18"/>
                <w:szCs w:val="18"/>
              </w:rPr>
              <w:t xml:space="preserve"> </w:t>
            </w:r>
            <w:r>
              <w:rPr>
                <w:rFonts w:ascii="Arial Narrow" w:hAnsi="Arial Narrow"/>
                <w:sz w:val="18"/>
                <w:szCs w:val="18"/>
              </w:rPr>
              <w:t>(ii)</w:t>
            </w:r>
            <w:r w:rsidRPr="006A6EB2">
              <w:rPr>
                <w:rFonts w:ascii="Arial Narrow" w:hAnsi="Arial Narrow"/>
                <w:sz w:val="18"/>
                <w:szCs w:val="18"/>
              </w:rPr>
              <w:t xml:space="preserve"> 26 weeks for a continuing treatment period)</w:t>
            </w:r>
          </w:p>
          <w:p w14:paraId="3243A791"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68803D6A"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[NEW CC2] Patient must have been assessed for growth for the most recent treatment period where either: (</w:t>
            </w:r>
            <w:proofErr w:type="spellStart"/>
            <w:r>
              <w:rPr>
                <w:rFonts w:ascii="Arial Narrow" w:hAnsi="Arial Narrow"/>
                <w:sz w:val="18"/>
                <w:szCs w:val="18"/>
              </w:rPr>
              <w:t>i</w:t>
            </w:r>
            <w:proofErr w:type="spellEnd"/>
            <w:r>
              <w:rPr>
                <w:rFonts w:ascii="Arial Narrow" w:hAnsi="Arial Narrow"/>
                <w:sz w:val="18"/>
                <w:szCs w:val="18"/>
              </w:rPr>
              <w:t>) the assessment demonstrates an adequate response to treatment irrespective of dose, (ii) the assessment demonstrates an inadequate response to treatment dosed less than the upper dose limit</w:t>
            </w:r>
          </w:p>
          <w:p w14:paraId="1AC1004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79334A93"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[15708]</w:t>
            </w:r>
          </w:p>
          <w:p w14:paraId="3FC0D38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[15707] Patient must not have a condition with a known risk of malignancy including chromosomal abnormalities such as Down and Bloom syndromes</w:t>
            </w:r>
          </w:p>
          <w:p w14:paraId="637EB721"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0F4460D5"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[15711]</w:t>
            </w:r>
          </w:p>
          <w:p w14:paraId="4D4377D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[15710] Patient must not have an active tumour or evidence of tumour growth or activity</w:t>
            </w:r>
          </w:p>
          <w:p w14:paraId="30583563"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4304F41A"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[16068]</w:t>
            </w:r>
          </w:p>
          <w:p w14:paraId="30155AD2"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[16066] Patient must be male and must not have a bone age of 15.5 years or more; or</w:t>
            </w:r>
          </w:p>
          <w:p w14:paraId="3E49E7C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[16067] Patient must be female and must not have a bone age of 13.5 years or more</w:t>
            </w:r>
          </w:p>
        </w:tc>
      </w:tr>
      <w:tr w:rsidR="00E31543" w:rsidRPr="00042B3A" w14:paraId="258CF329" w14:textId="77777777" w:rsidTr="00475FED">
        <w:tc>
          <w:tcPr>
            <w:tcW w:w="0" w:type="auto"/>
          </w:tcPr>
          <w:p w14:paraId="48A4CD1D"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lastRenderedPageBreak/>
              <w:t>Population criteria</w:t>
            </w:r>
          </w:p>
        </w:tc>
        <w:tc>
          <w:tcPr>
            <w:tcW w:w="0" w:type="auto"/>
            <w:gridSpan w:val="6"/>
          </w:tcPr>
          <w:p w14:paraId="755DAB99" w14:textId="77777777" w:rsidR="00E31543" w:rsidRPr="00042B3A" w:rsidRDefault="00E31543" w:rsidP="00475FED">
            <w:pPr>
              <w:spacing w:after="120"/>
              <w:rPr>
                <w:rFonts w:ascii="Arial Narrow" w:hAnsi="Arial Narrow"/>
                <w:sz w:val="18"/>
                <w:szCs w:val="18"/>
              </w:rPr>
            </w:pPr>
          </w:p>
        </w:tc>
      </w:tr>
      <w:tr w:rsidR="00E31543" w:rsidRPr="00042B3A" w14:paraId="3FE9C812" w14:textId="77777777" w:rsidTr="00475FED">
        <w:tc>
          <w:tcPr>
            <w:tcW w:w="0" w:type="auto"/>
          </w:tcPr>
          <w:p w14:paraId="2B5938FF"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Foreword</w:t>
            </w:r>
          </w:p>
        </w:tc>
        <w:tc>
          <w:tcPr>
            <w:tcW w:w="0" w:type="auto"/>
            <w:gridSpan w:val="6"/>
          </w:tcPr>
          <w:p w14:paraId="18EC64F5" w14:textId="77777777" w:rsidR="00E31543" w:rsidRPr="00042B3A" w:rsidRDefault="00E31543" w:rsidP="00475FED">
            <w:pPr>
              <w:spacing w:after="120"/>
              <w:rPr>
                <w:rFonts w:ascii="Arial Narrow" w:hAnsi="Arial Narrow"/>
                <w:sz w:val="18"/>
                <w:szCs w:val="18"/>
              </w:rPr>
            </w:pPr>
          </w:p>
        </w:tc>
      </w:tr>
      <w:tr w:rsidR="00E31543" w:rsidRPr="00042B3A" w14:paraId="1C1725F6" w14:textId="77777777" w:rsidTr="00475FED">
        <w:tc>
          <w:tcPr>
            <w:tcW w:w="0" w:type="auto"/>
          </w:tcPr>
          <w:p w14:paraId="06AD35CE"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Definitions</w:t>
            </w:r>
          </w:p>
        </w:tc>
        <w:tc>
          <w:tcPr>
            <w:tcW w:w="0" w:type="auto"/>
            <w:gridSpan w:val="6"/>
          </w:tcPr>
          <w:p w14:paraId="3DF5DC74" w14:textId="77777777" w:rsidR="00E31543" w:rsidRPr="00042B3A" w:rsidRDefault="00E31543" w:rsidP="00475FED">
            <w:pPr>
              <w:spacing w:after="120"/>
              <w:rPr>
                <w:rFonts w:ascii="Arial Narrow" w:hAnsi="Arial Narrow"/>
                <w:sz w:val="18"/>
                <w:szCs w:val="18"/>
              </w:rPr>
            </w:pPr>
          </w:p>
        </w:tc>
      </w:tr>
      <w:tr w:rsidR="00E31543" w:rsidRPr="00042B3A" w14:paraId="74045165" w14:textId="77777777" w:rsidTr="00475FED">
        <w:tc>
          <w:tcPr>
            <w:tcW w:w="0" w:type="auto"/>
          </w:tcPr>
          <w:p w14:paraId="3F17FD59"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Prescriber Instructions</w:t>
            </w:r>
            <w:r w:rsidRPr="00042B3A">
              <w:rPr>
                <w:rFonts w:ascii="Arial Narrow" w:hAnsi="Arial Narrow"/>
                <w:sz w:val="18"/>
                <w:szCs w:val="18"/>
              </w:rPr>
              <w:br/>
            </w:r>
          </w:p>
        </w:tc>
        <w:tc>
          <w:tcPr>
            <w:tcW w:w="0" w:type="auto"/>
            <w:gridSpan w:val="6"/>
          </w:tcPr>
          <w:p w14:paraId="165F14E7" w14:textId="77777777" w:rsidR="00E31543" w:rsidRDefault="00E31543" w:rsidP="00475FED">
            <w:pPr>
              <w:spacing w:after="120"/>
              <w:rPr>
                <w:rFonts w:ascii="Arial Narrow" w:hAnsi="Arial Narrow"/>
                <w:sz w:val="18"/>
                <w:szCs w:val="18"/>
              </w:rPr>
            </w:pPr>
            <w:r>
              <w:rPr>
                <w:rFonts w:ascii="Arial Narrow" w:hAnsi="Arial Narrow"/>
                <w:sz w:val="18"/>
                <w:szCs w:val="18"/>
              </w:rPr>
              <w:t>[NEW PI1] Definition of an adequate response to treatment:</w:t>
            </w:r>
          </w:p>
          <w:p w14:paraId="58B1A607"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 xml:space="preserve">Patient must have </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achieved </w:t>
            </w:r>
            <w:r w:rsidRPr="00042B3A">
              <w:rPr>
                <w:rFonts w:ascii="Arial Narrow" w:hAnsi="Arial Narrow"/>
                <w:sz w:val="18"/>
                <w:szCs w:val="18"/>
              </w:rPr>
              <w:t>the 50th percentile growth velocity for bone age and sex</w:t>
            </w:r>
            <w:r>
              <w:rPr>
                <w:rFonts w:ascii="Arial Narrow" w:hAnsi="Arial Narrow"/>
                <w:sz w:val="18"/>
                <w:szCs w:val="18"/>
              </w:rPr>
              <w:t xml:space="preserve">, (ii) achieved </w:t>
            </w:r>
            <w:r w:rsidRPr="00042B3A">
              <w:rPr>
                <w:rFonts w:ascii="Arial Narrow" w:hAnsi="Arial Narrow"/>
                <w:sz w:val="18"/>
                <w:szCs w:val="18"/>
              </w:rPr>
              <w:t>an increase in height standard deviation score for chronological age and sex</w:t>
            </w:r>
            <w:r>
              <w:rPr>
                <w:rFonts w:ascii="Arial Narrow" w:hAnsi="Arial Narrow"/>
                <w:sz w:val="18"/>
                <w:szCs w:val="18"/>
              </w:rPr>
              <w:t>, (iii)</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 minimum growth velocity of 4cm/year</w:t>
            </w:r>
            <w:r>
              <w:rPr>
                <w:rFonts w:ascii="Arial Narrow" w:hAnsi="Arial Narrow"/>
                <w:sz w:val="18"/>
                <w:szCs w:val="18"/>
              </w:rPr>
              <w:t>, (iv)</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and maintained mid parental height standard deviation score</w:t>
            </w:r>
            <w:r>
              <w:rPr>
                <w:rFonts w:ascii="Arial Narrow" w:hAnsi="Arial Narrow"/>
                <w:sz w:val="18"/>
                <w:szCs w:val="18"/>
              </w:rPr>
              <w:t>.</w:t>
            </w:r>
          </w:p>
          <w:p w14:paraId="323B38A7" w14:textId="77777777" w:rsidR="00E31543" w:rsidRDefault="00E31543" w:rsidP="00475FED">
            <w:pPr>
              <w:spacing w:after="120"/>
              <w:rPr>
                <w:rFonts w:ascii="Arial Narrow" w:hAnsi="Arial Narrow"/>
                <w:sz w:val="18"/>
                <w:szCs w:val="18"/>
              </w:rPr>
            </w:pPr>
            <w:r>
              <w:rPr>
                <w:rFonts w:ascii="Arial Narrow" w:hAnsi="Arial Narrow"/>
                <w:sz w:val="18"/>
                <w:szCs w:val="18"/>
              </w:rPr>
              <w:t>Prescribers must assess if there is an adequate response to growth hormone treatment.</w:t>
            </w:r>
          </w:p>
          <w:p w14:paraId="24F93DE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[16059] The maximum duration of each continuing treatment phase is 26 weeks. Prescribers must determine an appropriate weekly dose in accordance with the dosing arrangements detailed in the National Health (Growth Hormone Program) Special Arrangement 2015 and request the appropriate number of vials/cartridges required to provide sufficient drug for 13 weeks' worth of treatment (with up to 1 repeat allowed).</w:t>
            </w:r>
          </w:p>
          <w:p w14:paraId="08C89B9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w:t>
            </w:r>
            <w:r>
              <w:rPr>
                <w:rFonts w:ascii="Arial Narrow" w:hAnsi="Arial Narrow"/>
                <w:sz w:val="18"/>
                <w:szCs w:val="18"/>
              </w:rPr>
              <w:t xml:space="preserve">amend </w:t>
            </w:r>
            <w:r w:rsidRPr="00042B3A">
              <w:rPr>
                <w:rFonts w:ascii="Arial Narrow" w:hAnsi="Arial Narrow"/>
                <w:sz w:val="18"/>
                <w:szCs w:val="18"/>
              </w:rPr>
              <w:t>23360</w:t>
            </w:r>
            <w:r>
              <w:rPr>
                <w:rFonts w:ascii="Arial Narrow" w:hAnsi="Arial Narrow"/>
                <w:sz w:val="18"/>
                <w:szCs w:val="18"/>
              </w:rPr>
              <w:t>]</w:t>
            </w:r>
            <w:r w:rsidRPr="00042B3A">
              <w:rPr>
                <w:rFonts w:ascii="Arial Narrow" w:hAnsi="Arial Narrow"/>
                <w:sz w:val="18"/>
                <w:szCs w:val="18"/>
              </w:rPr>
              <w:t xml:space="preserve"> The authority application must be in writing and must </w:t>
            </w:r>
            <w:proofErr w:type="gramStart"/>
            <w:r w:rsidRPr="00042B3A">
              <w:rPr>
                <w:rFonts w:ascii="Arial Narrow" w:hAnsi="Arial Narrow"/>
                <w:sz w:val="18"/>
                <w:szCs w:val="18"/>
              </w:rPr>
              <w:t>include:,</w:t>
            </w:r>
            <w:proofErr w:type="gramEnd"/>
            <w:r w:rsidRPr="00042B3A">
              <w:rPr>
                <w:rFonts w:ascii="Arial Narrow" w:hAnsi="Arial Narrow"/>
                <w:sz w:val="18"/>
                <w:szCs w:val="18"/>
              </w:rPr>
              <w:t xml:space="preserve"> 1. A completed authority prescription form; AND, 2. A completed Growth Hormone Authority Application Supporting Information Form for continuing treatment; AND, 3. Growth data (height and weight) for the most recent 6 month treatment period, including data at both the start and end of the treatment period. The most recent data must not be older than three months; </w:t>
            </w:r>
            <w:proofErr w:type="gramStart"/>
            <w:r w:rsidRPr="00042B3A">
              <w:rPr>
                <w:rFonts w:ascii="Arial Narrow" w:hAnsi="Arial Narrow"/>
                <w:sz w:val="18"/>
                <w:szCs w:val="18"/>
              </w:rPr>
              <w:t>AND,</w:t>
            </w:r>
            <w:proofErr w:type="gramEnd"/>
            <w:r w:rsidRPr="00042B3A">
              <w:rPr>
                <w:rFonts w:ascii="Arial Narrow" w:hAnsi="Arial Narrow"/>
                <w:sz w:val="18"/>
                <w:szCs w:val="18"/>
              </w:rPr>
              <w:t xml:space="preserve"> 4. A bone age result performed within the last 12 months; AND, 5. The final adult height (in cm) of the patient's mother and father (where available); AND, 6. The proprietary name (brand), </w:t>
            </w:r>
            <w:r>
              <w:rPr>
                <w:rFonts w:ascii="Arial Narrow" w:hAnsi="Arial Narrow"/>
                <w:sz w:val="18"/>
                <w:szCs w:val="18"/>
              </w:rPr>
              <w:t>form and strength of the growth hormone requested</w:t>
            </w:r>
            <w:r w:rsidRPr="00042B3A">
              <w:rPr>
                <w:rFonts w:ascii="Arial Narrow" w:hAnsi="Arial Narrow"/>
                <w:sz w:val="18"/>
                <w:szCs w:val="18"/>
              </w:rPr>
              <w:t xml:space="preserve">, and the number of vials/cartridges required to provide sufficient drug for 13 </w:t>
            </w:r>
            <w:proofErr w:type="spellStart"/>
            <w:r w:rsidRPr="00042B3A">
              <w:rPr>
                <w:rFonts w:ascii="Arial Narrow" w:hAnsi="Arial Narrow"/>
                <w:sz w:val="18"/>
                <w:szCs w:val="18"/>
              </w:rPr>
              <w:t>weeks worth</w:t>
            </w:r>
            <w:proofErr w:type="spellEnd"/>
            <w:r w:rsidRPr="00042B3A">
              <w:rPr>
                <w:rFonts w:ascii="Arial Narrow" w:hAnsi="Arial Narrow"/>
                <w:sz w:val="18"/>
                <w:szCs w:val="18"/>
              </w:rPr>
              <w:t xml:space="preserve"> of treatment (with up to 1 repeat allowed).</w:t>
            </w:r>
          </w:p>
          <w:p w14:paraId="1305AD13"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BCD74BD"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[28759] </w:t>
            </w:r>
            <w:r w:rsidRPr="00042B3A">
              <w:rPr>
                <w:rFonts w:ascii="Arial Narrow" w:hAnsi="Arial Narrow"/>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042B3A" w14:paraId="7A405045" w14:textId="77777777" w:rsidTr="00475FED">
        <w:tc>
          <w:tcPr>
            <w:tcW w:w="0" w:type="auto"/>
          </w:tcPr>
          <w:p w14:paraId="64B38E9E"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Administrative Advice</w:t>
            </w:r>
          </w:p>
        </w:tc>
        <w:tc>
          <w:tcPr>
            <w:tcW w:w="0" w:type="auto"/>
            <w:gridSpan w:val="6"/>
          </w:tcPr>
          <w:p w14:paraId="57733836"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042B3A" w14:paraId="26647536" w14:textId="77777777" w:rsidTr="00475FED">
        <w:tc>
          <w:tcPr>
            <w:tcW w:w="0" w:type="auto"/>
          </w:tcPr>
          <w:p w14:paraId="10547369"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lastRenderedPageBreak/>
              <w:t>Cautions</w:t>
            </w:r>
          </w:p>
        </w:tc>
        <w:tc>
          <w:tcPr>
            <w:tcW w:w="0" w:type="auto"/>
            <w:gridSpan w:val="6"/>
          </w:tcPr>
          <w:p w14:paraId="12DC3EDE" w14:textId="77777777" w:rsidR="00E31543" w:rsidRPr="00042B3A" w:rsidRDefault="00E31543" w:rsidP="00475FED">
            <w:pPr>
              <w:spacing w:after="120"/>
              <w:rPr>
                <w:rFonts w:ascii="Arial Narrow" w:hAnsi="Arial Narrow"/>
                <w:sz w:val="18"/>
                <w:szCs w:val="18"/>
              </w:rPr>
            </w:pPr>
          </w:p>
        </w:tc>
      </w:tr>
      <w:tr w:rsidR="00E31543" w:rsidRPr="00042B3A" w14:paraId="265FC9A8" w14:textId="77777777" w:rsidTr="00475FED">
        <w:tc>
          <w:tcPr>
            <w:tcW w:w="862" w:type="pct"/>
          </w:tcPr>
          <w:p w14:paraId="22FDFB03"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Benefit Type</w:t>
            </w:r>
          </w:p>
        </w:tc>
        <w:tc>
          <w:tcPr>
            <w:tcW w:w="4138" w:type="pct"/>
            <w:gridSpan w:val="6"/>
          </w:tcPr>
          <w:p w14:paraId="04936A4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50395</w:t>
            </w:r>
          </w:p>
        </w:tc>
      </w:tr>
      <w:tr w:rsidR="00E31543" w:rsidRPr="00042B3A" w14:paraId="5C12B2EB" w14:textId="77777777" w:rsidTr="00475FED">
        <w:tc>
          <w:tcPr>
            <w:tcW w:w="862" w:type="pct"/>
          </w:tcPr>
          <w:p w14:paraId="43C7F28B"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Restriction Number</w:t>
            </w:r>
          </w:p>
        </w:tc>
        <w:tc>
          <w:tcPr>
            <w:tcW w:w="4138" w:type="pct"/>
            <w:gridSpan w:val="6"/>
          </w:tcPr>
          <w:p w14:paraId="68B0A76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11669</w:t>
            </w:r>
          </w:p>
        </w:tc>
      </w:tr>
      <w:tr w:rsidR="00E31543" w:rsidRPr="00042B3A" w14:paraId="1FD46014" w14:textId="77777777" w:rsidTr="00475FED">
        <w:tc>
          <w:tcPr>
            <w:tcW w:w="862" w:type="pct"/>
          </w:tcPr>
          <w:p w14:paraId="5466CA6B"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of Code</w:t>
            </w:r>
            <w:r>
              <w:rPr>
                <w:rFonts w:ascii="Arial Narrow" w:hAnsi="Arial Narrow"/>
                <w:b/>
                <w:sz w:val="18"/>
                <w:szCs w:val="18"/>
              </w:rPr>
              <w:t xml:space="preserve"> </w:t>
            </w:r>
            <w:r w:rsidRPr="00042B3A">
              <w:rPr>
                <w:rFonts w:ascii="Arial Narrow" w:hAnsi="Arial Narrow"/>
                <w:b/>
                <w:sz w:val="18"/>
                <w:szCs w:val="18"/>
              </w:rPr>
              <w:t>(</w:t>
            </w:r>
            <w:proofErr w:type="spellStart"/>
            <w:r w:rsidRPr="00042B3A">
              <w:rPr>
                <w:rFonts w:ascii="Arial Narrow" w:hAnsi="Arial Narrow"/>
                <w:b/>
                <w:sz w:val="18"/>
                <w:szCs w:val="18"/>
              </w:rPr>
              <w:t>ToC</w:t>
            </w:r>
            <w:proofErr w:type="spellEnd"/>
            <w:r w:rsidRPr="00042B3A">
              <w:rPr>
                <w:rFonts w:ascii="Arial Narrow" w:hAnsi="Arial Narrow"/>
                <w:b/>
                <w:sz w:val="18"/>
                <w:szCs w:val="18"/>
              </w:rPr>
              <w:t>)</w:t>
            </w:r>
          </w:p>
        </w:tc>
        <w:tc>
          <w:tcPr>
            <w:tcW w:w="4138" w:type="pct"/>
            <w:gridSpan w:val="6"/>
          </w:tcPr>
          <w:p w14:paraId="06705E0A"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8463</w:t>
            </w:r>
          </w:p>
        </w:tc>
      </w:tr>
      <w:tr w:rsidR="00E31543" w:rsidRPr="00042B3A" w14:paraId="4FBDFC01" w14:textId="77777777" w:rsidTr="00475FED">
        <w:tc>
          <w:tcPr>
            <w:tcW w:w="862" w:type="pct"/>
          </w:tcPr>
          <w:p w14:paraId="3176ACD1"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Category / Program</w:t>
            </w:r>
          </w:p>
        </w:tc>
        <w:tc>
          <w:tcPr>
            <w:tcW w:w="4138" w:type="pct"/>
            <w:gridSpan w:val="6"/>
          </w:tcPr>
          <w:p w14:paraId="30D0A7B1"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S100 - Section 100 (Growth Hormone) (Code GH)</w:t>
            </w:r>
          </w:p>
        </w:tc>
      </w:tr>
      <w:tr w:rsidR="00E31543" w:rsidRPr="00042B3A" w14:paraId="220C4A59" w14:textId="77777777" w:rsidTr="00475FED">
        <w:tc>
          <w:tcPr>
            <w:tcW w:w="862" w:type="pct"/>
          </w:tcPr>
          <w:p w14:paraId="46798FE0"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Prescriber Type(s)</w:t>
            </w:r>
          </w:p>
        </w:tc>
        <w:tc>
          <w:tcPr>
            <w:tcW w:w="4138" w:type="pct"/>
            <w:gridSpan w:val="6"/>
          </w:tcPr>
          <w:p w14:paraId="4091523A"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Medical Practitioners</w:t>
            </w:r>
          </w:p>
        </w:tc>
      </w:tr>
      <w:tr w:rsidR="00E31543" w:rsidRPr="00042B3A" w14:paraId="39C3BF90" w14:textId="77777777" w:rsidTr="00475FED">
        <w:tc>
          <w:tcPr>
            <w:tcW w:w="862" w:type="pct"/>
          </w:tcPr>
          <w:p w14:paraId="4C8CF28D"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PBS Indication</w:t>
            </w:r>
          </w:p>
        </w:tc>
        <w:tc>
          <w:tcPr>
            <w:tcW w:w="4138" w:type="pct"/>
            <w:gridSpan w:val="6"/>
          </w:tcPr>
          <w:p w14:paraId="5641EA3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[15745] Short stature associated with biochemical growth hormone deficiency</w:t>
            </w:r>
          </w:p>
        </w:tc>
      </w:tr>
      <w:tr w:rsidR="00E31543" w:rsidRPr="00042B3A" w14:paraId="02A3CD3A" w14:textId="77777777" w:rsidTr="00475FED">
        <w:tc>
          <w:tcPr>
            <w:tcW w:w="862" w:type="pct"/>
          </w:tcPr>
          <w:p w14:paraId="2598C0E5"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phase</w:t>
            </w:r>
          </w:p>
        </w:tc>
        <w:tc>
          <w:tcPr>
            <w:tcW w:w="4138" w:type="pct"/>
            <w:gridSpan w:val="6"/>
          </w:tcPr>
          <w:p w14:paraId="702CD2E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Continuing treatment as a reclassified patient</w:t>
            </w:r>
          </w:p>
        </w:tc>
      </w:tr>
      <w:tr w:rsidR="00E31543" w:rsidRPr="00042B3A" w14:paraId="16419A6B" w14:textId="77777777" w:rsidTr="00475FED">
        <w:tc>
          <w:tcPr>
            <w:tcW w:w="862" w:type="pct"/>
          </w:tcPr>
          <w:p w14:paraId="6104CD5C"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Restriction Level / Method</w:t>
            </w:r>
          </w:p>
        </w:tc>
        <w:tc>
          <w:tcPr>
            <w:tcW w:w="4138" w:type="pct"/>
            <w:gridSpan w:val="6"/>
          </w:tcPr>
          <w:p w14:paraId="10473179"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Authority required</w:t>
            </w:r>
          </w:p>
        </w:tc>
      </w:tr>
      <w:tr w:rsidR="00E31543" w:rsidRPr="00042B3A" w14:paraId="1AA7297B" w14:textId="77777777" w:rsidTr="00475FED">
        <w:tc>
          <w:tcPr>
            <w:tcW w:w="862" w:type="pct"/>
          </w:tcPr>
          <w:p w14:paraId="6DCDBBD5"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criteria</w:t>
            </w:r>
          </w:p>
        </w:tc>
        <w:tc>
          <w:tcPr>
            <w:tcW w:w="4138" w:type="pct"/>
            <w:gridSpan w:val="6"/>
          </w:tcPr>
          <w:p w14:paraId="08ABC6BB"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[16426]</w:t>
            </w:r>
          </w:p>
          <w:p w14:paraId="40F39A39"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[16422] Must be treated by a medical practitioner in consultation with a nominated specialist or consultant physician in paediatric endocrinology; or</w:t>
            </w:r>
          </w:p>
          <w:p w14:paraId="5C704F94"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[16425] Must be treated by a medical practitioner in consultation with a nominated specialist or consultant physician in general paediatrics</w:t>
            </w:r>
          </w:p>
          <w:p w14:paraId="5BA9B68F"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18CD64F7"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042B3A" w14:paraId="30D00885" w14:textId="77777777" w:rsidTr="00475FED">
        <w:tc>
          <w:tcPr>
            <w:tcW w:w="862" w:type="pct"/>
          </w:tcPr>
          <w:p w14:paraId="19EF0DAE"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Clinical criteria</w:t>
            </w:r>
          </w:p>
        </w:tc>
        <w:tc>
          <w:tcPr>
            <w:tcW w:w="4138" w:type="pct"/>
            <w:gridSpan w:val="6"/>
          </w:tcPr>
          <w:p w14:paraId="02EC9652"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[23452]</w:t>
            </w:r>
          </w:p>
          <w:p w14:paraId="494F6D8D"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[23451] Patient must have previously received treatment under the PBS S100 Growth Hormone Program (treatment) under a category other than short stature associated with biochemical growth hormone deficiency</w:t>
            </w:r>
          </w:p>
          <w:p w14:paraId="072AA90C"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0AA3EE48"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[17237]</w:t>
            </w:r>
          </w:p>
          <w:p w14:paraId="4DF8E71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[17232] </w:t>
            </w:r>
            <w:r>
              <w:rPr>
                <w:rFonts w:ascii="Arial Narrow" w:hAnsi="Arial Narrow"/>
                <w:sz w:val="18"/>
                <w:szCs w:val="18"/>
              </w:rPr>
              <w:t>– [NEW]</w:t>
            </w:r>
            <w:r w:rsidRPr="00042B3A">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or</w:t>
            </w:r>
          </w:p>
          <w:p w14:paraId="60C7551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[17233] </w:t>
            </w:r>
            <w:r>
              <w:rPr>
                <w:rFonts w:ascii="Arial Narrow" w:hAnsi="Arial Narrow"/>
                <w:sz w:val="18"/>
                <w:szCs w:val="18"/>
              </w:rPr>
              <w:t>– [NEW]</w:t>
            </w:r>
            <w:r w:rsidRPr="00042B3A">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 significant medical illness; or</w:t>
            </w:r>
          </w:p>
          <w:p w14:paraId="5A195D54"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[17234] </w:t>
            </w:r>
            <w:r>
              <w:rPr>
                <w:rFonts w:ascii="Arial Narrow" w:hAnsi="Arial Narrow"/>
                <w:sz w:val="18"/>
                <w:szCs w:val="18"/>
              </w:rPr>
              <w:t>– [NEW]</w:t>
            </w:r>
            <w:r w:rsidRPr="00042B3A">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major surgery (</w:t>
            </w:r>
            <w:proofErr w:type="gramStart"/>
            <w:r w:rsidRPr="00042B3A">
              <w:rPr>
                <w:rFonts w:ascii="Arial Narrow" w:hAnsi="Arial Narrow"/>
                <w:sz w:val="18"/>
                <w:szCs w:val="18"/>
              </w:rPr>
              <w:t>e.g.</w:t>
            </w:r>
            <w:proofErr w:type="gramEnd"/>
            <w:r w:rsidRPr="00042B3A">
              <w:rPr>
                <w:rFonts w:ascii="Arial Narrow" w:hAnsi="Arial Narrow"/>
                <w:sz w:val="18"/>
                <w:szCs w:val="18"/>
              </w:rPr>
              <w:t xml:space="preserve"> renal transplant); or</w:t>
            </w:r>
          </w:p>
          <w:p w14:paraId="1A1E3BE8"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[17235] </w:t>
            </w:r>
            <w:r>
              <w:rPr>
                <w:rFonts w:ascii="Arial Narrow" w:hAnsi="Arial Narrow"/>
                <w:sz w:val="18"/>
                <w:szCs w:val="18"/>
              </w:rPr>
              <w:t>– [NEW]</w:t>
            </w:r>
            <w:r w:rsidRPr="00042B3A">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an adverse reaction to growth hormone; or</w:t>
            </w:r>
          </w:p>
          <w:p w14:paraId="14ECE556"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[17236] </w:t>
            </w:r>
            <w:r>
              <w:rPr>
                <w:rFonts w:ascii="Arial Narrow" w:hAnsi="Arial Narrow"/>
                <w:sz w:val="18"/>
                <w:szCs w:val="18"/>
              </w:rPr>
              <w:t>– [NEW]</w:t>
            </w:r>
            <w:r w:rsidRPr="00042B3A">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non-compliance due to social/family problems</w:t>
            </w:r>
          </w:p>
          <w:p w14:paraId="5F26D49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6FB71945"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[23453]</w:t>
            </w:r>
          </w:p>
          <w:p w14:paraId="5E515989"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lastRenderedPageBreak/>
              <w:t>[16429] Patient must have previously received treatment under the indication risk of hypoglycaemia secondary to growth hormone deficiency in neonates/infants and have reached or surpassed 5 years of age (chronological); or</w:t>
            </w:r>
          </w:p>
          <w:p w14:paraId="71E4C524"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[23410] Patient must have had a height at or below the 1st percentile for age and sex immediately prior to commencing treatment; or</w:t>
            </w:r>
          </w:p>
          <w:p w14:paraId="706BF74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[23454] Patient must have had both a height above the 1st and at or below the 25th percentiles for age and sex immediately prior to commencing treatment and a growth velocity below the 25th percentile for bone age and sex measured over the </w:t>
            </w:r>
            <w:proofErr w:type="gramStart"/>
            <w:r w:rsidRPr="00042B3A">
              <w:rPr>
                <w:rFonts w:ascii="Arial Narrow" w:hAnsi="Arial Narrow"/>
                <w:sz w:val="18"/>
                <w:szCs w:val="18"/>
              </w:rPr>
              <w:t>12 month</w:t>
            </w:r>
            <w:proofErr w:type="gramEnd"/>
            <w:r w:rsidRPr="00042B3A">
              <w:rPr>
                <w:rFonts w:ascii="Arial Narrow" w:hAnsi="Arial Narrow"/>
                <w:sz w:val="18"/>
                <w:szCs w:val="18"/>
              </w:rPr>
              <w:t xml:space="preserve"> interval immediately prior to commencement of treatment (or the 6 month interval immediately prior to commencement of treatment if the patient was an older child at commencement of treatment); or</w:t>
            </w:r>
          </w:p>
          <w:p w14:paraId="78F9582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[23455] Patient must have had both a height above the 1st and at or below the 25th percentiles for age and sex immediately prior to commencing treatment and an annual growth velocity of 14 cm per year or less in the </w:t>
            </w:r>
            <w:proofErr w:type="gramStart"/>
            <w:r w:rsidRPr="00042B3A">
              <w:rPr>
                <w:rFonts w:ascii="Arial Narrow" w:hAnsi="Arial Narrow"/>
                <w:sz w:val="18"/>
                <w:szCs w:val="18"/>
              </w:rPr>
              <w:t>12 month</w:t>
            </w:r>
            <w:proofErr w:type="gramEnd"/>
            <w:r w:rsidRPr="00042B3A">
              <w:rPr>
                <w:rFonts w:ascii="Arial Narrow" w:hAnsi="Arial Narrow"/>
                <w:sz w:val="18"/>
                <w:szCs w:val="18"/>
              </w:rPr>
              <w:t xml:space="preserve"> period immediately prior to commencement of treatment, if the patient had a chronological age of 2 years or less at commencement of treatment; or</w:t>
            </w:r>
          </w:p>
          <w:p w14:paraId="10B7741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[23456] Patient must have had both a height above the 1st and at or below the 25th percentiles for age and sex immediately prior to commencing treatment and an annual growth velocity of 8 cm per year or less in the </w:t>
            </w:r>
            <w:proofErr w:type="gramStart"/>
            <w:r w:rsidRPr="00042B3A">
              <w:rPr>
                <w:rFonts w:ascii="Arial Narrow" w:hAnsi="Arial Narrow"/>
                <w:sz w:val="18"/>
                <w:szCs w:val="18"/>
              </w:rPr>
              <w:t>12 month</w:t>
            </w:r>
            <w:proofErr w:type="gramEnd"/>
            <w:r w:rsidRPr="00042B3A">
              <w:rPr>
                <w:rFonts w:ascii="Arial Narrow" w:hAnsi="Arial Narrow"/>
                <w:sz w:val="18"/>
                <w:szCs w:val="18"/>
              </w:rPr>
              <w:t xml:space="preserve"> period immediately prior to commencement of treatment, if the patient had a bone or chronological age of 2.5 years or less at commencement of treatment</w:t>
            </w:r>
          </w:p>
          <w:p w14:paraId="68EC3D96"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4A039109"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[23361]</w:t>
            </w:r>
          </w:p>
          <w:p w14:paraId="05DFF58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[23363] Patient must have evidence of biochemical growth hormone deficiency, with a peak serum growth hormone concentration less than 10 </w:t>
            </w:r>
            <w:proofErr w:type="spellStart"/>
            <w:r w:rsidRPr="00042B3A">
              <w:rPr>
                <w:rFonts w:ascii="Arial Narrow" w:hAnsi="Arial Narrow"/>
                <w:sz w:val="18"/>
                <w:szCs w:val="18"/>
              </w:rPr>
              <w:t>mU</w:t>
            </w:r>
            <w:proofErr w:type="spellEnd"/>
            <w:r w:rsidRPr="00042B3A">
              <w:rPr>
                <w:rFonts w:ascii="Arial Narrow" w:hAnsi="Arial Narrow"/>
                <w:sz w:val="18"/>
                <w:szCs w:val="18"/>
              </w:rPr>
              <w:t>/L or less than or equal to 3.3 micrograms per litre in response to 2 pharmacological growth hormone stimulation tests (</w:t>
            </w:r>
            <w:proofErr w:type="gramStart"/>
            <w:r w:rsidRPr="00042B3A">
              <w:rPr>
                <w:rFonts w:ascii="Arial Narrow" w:hAnsi="Arial Narrow"/>
                <w:sz w:val="18"/>
                <w:szCs w:val="18"/>
              </w:rPr>
              <w:t>e.g.</w:t>
            </w:r>
            <w:proofErr w:type="gramEnd"/>
            <w:r w:rsidRPr="00042B3A">
              <w:rPr>
                <w:rFonts w:ascii="Arial Narrow" w:hAnsi="Arial Narrow"/>
                <w:sz w:val="18"/>
                <w:szCs w:val="18"/>
              </w:rPr>
              <w:t xml:space="preserve"> arginine, clonidine, glucagon, insulin); or</w:t>
            </w:r>
          </w:p>
          <w:p w14:paraId="7BDB7EDA"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[23364] Patient must have evidence of biochemical growth hormone deficiency, with a peak serum growth hormone concentration less than 10 </w:t>
            </w:r>
            <w:proofErr w:type="spellStart"/>
            <w:r w:rsidRPr="00042B3A">
              <w:rPr>
                <w:rFonts w:ascii="Arial Narrow" w:hAnsi="Arial Narrow"/>
                <w:sz w:val="18"/>
                <w:szCs w:val="18"/>
              </w:rPr>
              <w:t>mU</w:t>
            </w:r>
            <w:proofErr w:type="spellEnd"/>
            <w:r w:rsidRPr="00042B3A">
              <w:rPr>
                <w:rFonts w:ascii="Arial Narrow" w:hAnsi="Arial Narrow"/>
                <w:sz w:val="18"/>
                <w:szCs w:val="18"/>
              </w:rPr>
              <w:t>/L or less than or equal to 3.3 micrograms per litre in response to 1 pharmacological growth hormone stimulation test (</w:t>
            </w:r>
            <w:proofErr w:type="gramStart"/>
            <w:r w:rsidRPr="00042B3A">
              <w:rPr>
                <w:rFonts w:ascii="Arial Narrow" w:hAnsi="Arial Narrow"/>
                <w:sz w:val="18"/>
                <w:szCs w:val="18"/>
              </w:rPr>
              <w:t>e.g.</w:t>
            </w:r>
            <w:proofErr w:type="gramEnd"/>
            <w:r w:rsidRPr="00042B3A">
              <w:rPr>
                <w:rFonts w:ascii="Arial Narrow" w:hAnsi="Arial Narrow"/>
                <w:sz w:val="18"/>
                <w:szCs w:val="18"/>
              </w:rPr>
              <w:t xml:space="preserve"> arginine, clonidine, glucagon, insulin) and 1 physiological growth hormone stimulation test (e.g. sleep, exercise); or</w:t>
            </w:r>
          </w:p>
          <w:p w14:paraId="2E9E7B9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[23365] Patient must have evidence of biochemical growth hormone deficiency, with a peak serum growth hormone concentration less than 10 </w:t>
            </w:r>
            <w:proofErr w:type="spellStart"/>
            <w:r w:rsidRPr="00042B3A">
              <w:rPr>
                <w:rFonts w:ascii="Arial Narrow" w:hAnsi="Arial Narrow"/>
                <w:sz w:val="18"/>
                <w:szCs w:val="18"/>
              </w:rPr>
              <w:t>mU</w:t>
            </w:r>
            <w:proofErr w:type="spellEnd"/>
            <w:r w:rsidRPr="00042B3A">
              <w:rPr>
                <w:rFonts w:ascii="Arial Narrow" w:hAnsi="Arial Narrow"/>
                <w:sz w:val="18"/>
                <w:szCs w:val="18"/>
              </w:rPr>
              <w:t xml:space="preserve">/L or less than or equal to 3.3 micrograms per litre in response to 1 growth hormone stimulation test (pharmacological or physiological e.g. arginine, clonidine, glucagon, insulin, sleep, exercise) with other evidence of growth hormone deficiency, including </w:t>
            </w:r>
            <w:proofErr w:type="spellStart"/>
            <w:r w:rsidRPr="00042B3A">
              <w:rPr>
                <w:rFonts w:ascii="Arial Narrow" w:hAnsi="Arial Narrow"/>
                <w:sz w:val="18"/>
                <w:szCs w:val="18"/>
              </w:rPr>
              <w:t>septo</w:t>
            </w:r>
            <w:proofErr w:type="spellEnd"/>
            <w:r w:rsidRPr="00042B3A">
              <w:rPr>
                <w:rFonts w:ascii="Arial Narrow" w:hAnsi="Arial Narrow"/>
                <w:sz w:val="18"/>
                <w:szCs w:val="18"/>
              </w:rPr>
              <w:t xml:space="preserve">-optic dysplasia (absent corpus callosum and/or septum pellucidum), midline abnormality including optic nerve hypoplasia, cleft lip and palate, midfacial hypoplasia and central incisor, ectopic and/or absent posterior pituitary bright spot, absent empty </w:t>
            </w:r>
            <w:proofErr w:type="spellStart"/>
            <w:r w:rsidRPr="00042B3A">
              <w:rPr>
                <w:rFonts w:ascii="Arial Narrow" w:hAnsi="Arial Narrow"/>
                <w:sz w:val="18"/>
                <w:szCs w:val="18"/>
              </w:rPr>
              <w:t>sella</w:t>
            </w:r>
            <w:proofErr w:type="spellEnd"/>
            <w:r w:rsidRPr="00042B3A">
              <w:rPr>
                <w:rFonts w:ascii="Arial Narrow" w:hAnsi="Arial Narrow"/>
                <w:sz w:val="18"/>
                <w:szCs w:val="18"/>
              </w:rPr>
              <w:t xml:space="preserve">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10F8163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[23366] Patient must have evidence of biochemical growth hormone deficiency, with a peak serum growth hormone concentration less than 10 </w:t>
            </w:r>
            <w:proofErr w:type="spellStart"/>
            <w:r w:rsidRPr="00042B3A">
              <w:rPr>
                <w:rFonts w:ascii="Arial Narrow" w:hAnsi="Arial Narrow"/>
                <w:sz w:val="18"/>
                <w:szCs w:val="18"/>
              </w:rPr>
              <w:t>mU</w:t>
            </w:r>
            <w:proofErr w:type="spellEnd"/>
            <w:r w:rsidRPr="00042B3A">
              <w:rPr>
                <w:rFonts w:ascii="Arial Narrow" w:hAnsi="Arial Narrow"/>
                <w:sz w:val="18"/>
                <w:szCs w:val="18"/>
              </w:rPr>
              <w:t xml:space="preserve">/L or less than or equal to 3.3 micrograms per litre in response to 1 growth hormone stimulation test (pharmacological or physiological </w:t>
            </w:r>
            <w:proofErr w:type="gramStart"/>
            <w:r w:rsidRPr="00042B3A">
              <w:rPr>
                <w:rFonts w:ascii="Arial Narrow" w:hAnsi="Arial Narrow"/>
                <w:sz w:val="18"/>
                <w:szCs w:val="18"/>
              </w:rPr>
              <w:t>e.g.</w:t>
            </w:r>
            <w:proofErr w:type="gramEnd"/>
            <w:r w:rsidRPr="00042B3A">
              <w:rPr>
                <w:rFonts w:ascii="Arial Narrow" w:hAnsi="Arial Narrow"/>
                <w:sz w:val="18"/>
                <w:szCs w:val="18"/>
              </w:rPr>
              <w:t xml:space="preserve"> arginine, clonidine, glucagon, insulin, sleep, exercise) and low plasma IGF-1 levels; or</w:t>
            </w:r>
          </w:p>
          <w:p w14:paraId="187904F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[23367] Patient must have evidence of biochemical growth hormone deficiency, with a peak serum growth hormone concentration less than 10 </w:t>
            </w:r>
            <w:proofErr w:type="spellStart"/>
            <w:r w:rsidRPr="00042B3A">
              <w:rPr>
                <w:rFonts w:ascii="Arial Narrow" w:hAnsi="Arial Narrow"/>
                <w:sz w:val="18"/>
                <w:szCs w:val="18"/>
              </w:rPr>
              <w:t>mU</w:t>
            </w:r>
            <w:proofErr w:type="spellEnd"/>
            <w:r w:rsidRPr="00042B3A">
              <w:rPr>
                <w:rFonts w:ascii="Arial Narrow" w:hAnsi="Arial Narrow"/>
                <w:sz w:val="18"/>
                <w:szCs w:val="18"/>
              </w:rPr>
              <w:t xml:space="preserve">/L or less than or equal to 3.3 micrograms per litre in response to 1 growth hormone stimulation test (pharmacological or physiological </w:t>
            </w:r>
            <w:proofErr w:type="gramStart"/>
            <w:r w:rsidRPr="00042B3A">
              <w:rPr>
                <w:rFonts w:ascii="Arial Narrow" w:hAnsi="Arial Narrow"/>
                <w:sz w:val="18"/>
                <w:szCs w:val="18"/>
              </w:rPr>
              <w:t>e.g.</w:t>
            </w:r>
            <w:proofErr w:type="gramEnd"/>
            <w:r w:rsidRPr="00042B3A">
              <w:rPr>
                <w:rFonts w:ascii="Arial Narrow" w:hAnsi="Arial Narrow"/>
                <w:sz w:val="18"/>
                <w:szCs w:val="18"/>
              </w:rPr>
              <w:t xml:space="preserve"> arginine, clonidine, glucagon, insulin, sleep, exercise) and low plasma IGFBP-3 levels</w:t>
            </w:r>
          </w:p>
          <w:p w14:paraId="75C0280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67CDA75B"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[15708]</w:t>
            </w:r>
          </w:p>
          <w:p w14:paraId="579A3B14"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[15707] Patient must not have a condition with a known risk of malignancy including chromosomal abnormalities such as Down and Bloom syndromes</w:t>
            </w:r>
          </w:p>
          <w:p w14:paraId="52D9531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76569277"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[15711]</w:t>
            </w:r>
          </w:p>
          <w:p w14:paraId="723DE6F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[15710] Patient must not have an active tumour or evidence of tumour growth or activity</w:t>
            </w:r>
          </w:p>
          <w:p w14:paraId="4BD3C9E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lastRenderedPageBreak/>
              <w:t>AND</w:t>
            </w:r>
          </w:p>
          <w:p w14:paraId="16F6B510"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[16068]</w:t>
            </w:r>
          </w:p>
          <w:p w14:paraId="118CD51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[16066] Patient must be male and must not have a bone age of 15.5 years or more; or</w:t>
            </w:r>
          </w:p>
          <w:p w14:paraId="62D8C37A"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[16067] Patient must be female and must not have a bone age of 13.5 years or more</w:t>
            </w:r>
          </w:p>
        </w:tc>
      </w:tr>
      <w:tr w:rsidR="00E31543" w:rsidRPr="00042B3A" w14:paraId="31CC5AF8" w14:textId="77777777" w:rsidTr="00475FED">
        <w:tc>
          <w:tcPr>
            <w:tcW w:w="862" w:type="pct"/>
          </w:tcPr>
          <w:p w14:paraId="37E3B10E"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lastRenderedPageBreak/>
              <w:t>Population criteria</w:t>
            </w:r>
          </w:p>
        </w:tc>
        <w:tc>
          <w:tcPr>
            <w:tcW w:w="4138" w:type="pct"/>
            <w:gridSpan w:val="6"/>
          </w:tcPr>
          <w:p w14:paraId="350C3EA7" w14:textId="77777777" w:rsidR="00E31543" w:rsidRPr="00042B3A" w:rsidRDefault="00E31543" w:rsidP="00475FED">
            <w:pPr>
              <w:spacing w:after="120"/>
              <w:rPr>
                <w:rFonts w:ascii="Arial Narrow" w:hAnsi="Arial Narrow"/>
                <w:sz w:val="18"/>
                <w:szCs w:val="18"/>
              </w:rPr>
            </w:pPr>
          </w:p>
        </w:tc>
      </w:tr>
      <w:tr w:rsidR="00E31543" w:rsidRPr="00042B3A" w14:paraId="187E8CEA" w14:textId="77777777" w:rsidTr="00475FED">
        <w:tc>
          <w:tcPr>
            <w:tcW w:w="862" w:type="pct"/>
          </w:tcPr>
          <w:p w14:paraId="07CAAED1"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Foreword</w:t>
            </w:r>
          </w:p>
        </w:tc>
        <w:tc>
          <w:tcPr>
            <w:tcW w:w="4138" w:type="pct"/>
            <w:gridSpan w:val="6"/>
          </w:tcPr>
          <w:p w14:paraId="05A14FC9" w14:textId="77777777" w:rsidR="00E31543" w:rsidRPr="00042B3A" w:rsidRDefault="00E31543" w:rsidP="00475FED">
            <w:pPr>
              <w:spacing w:after="120"/>
              <w:rPr>
                <w:rFonts w:ascii="Arial Narrow" w:hAnsi="Arial Narrow"/>
                <w:sz w:val="18"/>
                <w:szCs w:val="18"/>
              </w:rPr>
            </w:pPr>
          </w:p>
        </w:tc>
      </w:tr>
      <w:tr w:rsidR="00E31543" w:rsidRPr="00042B3A" w14:paraId="6B211327" w14:textId="77777777" w:rsidTr="00475FED">
        <w:tc>
          <w:tcPr>
            <w:tcW w:w="862" w:type="pct"/>
          </w:tcPr>
          <w:p w14:paraId="49F0BE01"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Definitions</w:t>
            </w:r>
          </w:p>
        </w:tc>
        <w:tc>
          <w:tcPr>
            <w:tcW w:w="4138" w:type="pct"/>
            <w:gridSpan w:val="6"/>
          </w:tcPr>
          <w:p w14:paraId="33B613C4" w14:textId="77777777" w:rsidR="00E31543" w:rsidRPr="00042B3A" w:rsidRDefault="00E31543" w:rsidP="00475FED">
            <w:pPr>
              <w:spacing w:after="120"/>
              <w:rPr>
                <w:rFonts w:ascii="Arial Narrow" w:hAnsi="Arial Narrow"/>
                <w:sz w:val="18"/>
                <w:szCs w:val="18"/>
              </w:rPr>
            </w:pPr>
          </w:p>
        </w:tc>
      </w:tr>
      <w:tr w:rsidR="00E31543" w:rsidRPr="00042B3A" w14:paraId="208268B4" w14:textId="77777777" w:rsidTr="00475FED">
        <w:tc>
          <w:tcPr>
            <w:tcW w:w="862" w:type="pct"/>
          </w:tcPr>
          <w:p w14:paraId="6EE8ADE9"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Prescriber Instructions</w:t>
            </w:r>
            <w:r w:rsidRPr="00042B3A">
              <w:rPr>
                <w:rFonts w:ascii="Arial Narrow" w:hAnsi="Arial Narrow"/>
                <w:sz w:val="18"/>
                <w:szCs w:val="18"/>
              </w:rPr>
              <w:br/>
            </w:r>
          </w:p>
        </w:tc>
        <w:tc>
          <w:tcPr>
            <w:tcW w:w="4138" w:type="pct"/>
            <w:gridSpan w:val="6"/>
          </w:tcPr>
          <w:p w14:paraId="6F64AF7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[23357] An older child is defined as a male with a chronological age of at least 12 years or a bone age of at least 10 years, or a female with a chronological age of at least 10 years or a bone age of at least 8 years.</w:t>
            </w:r>
          </w:p>
          <w:p w14:paraId="04AC50C2"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[16059] The maximum duration of each continuing treatment phase is 26 weeks. Prescribers must determine an appropriate weekly dose in accordance with the dosing arrangements detailed in the National Health (Growth Hormone Program) Special Arrangement 2015 and request the appropriate number of vials/cartridges required to provide sufficient drug for 13 weeks' worth of treatment (with up to 1 repeat allowed).</w:t>
            </w:r>
          </w:p>
          <w:p w14:paraId="61A2E4F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w:t>
            </w:r>
            <w:r>
              <w:rPr>
                <w:rFonts w:ascii="Arial Narrow" w:hAnsi="Arial Narrow"/>
                <w:sz w:val="18"/>
                <w:szCs w:val="18"/>
              </w:rPr>
              <w:t xml:space="preserve">amend </w:t>
            </w:r>
            <w:r w:rsidRPr="00042B3A">
              <w:rPr>
                <w:rFonts w:ascii="Arial Narrow" w:hAnsi="Arial Narrow"/>
                <w:sz w:val="18"/>
                <w:szCs w:val="18"/>
              </w:rPr>
              <w:t xml:space="preserve">23459] The authority application must be in writing and must include:, 1. A completed authority prescription form; AND, 2. A completed Growth Hormone Authority Application Supporting Information Form for continuing treatment as a reclassified patient; AND, 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 (b) Height and weight measurements from within three months prior to commencement of treatment for a patient whose height was at or below the 1st percentile for age and sex immediately prior to commencing treatment; OR, (c) Confirmation that the patient has previously received treatment under the indication risk of hypoglycaemia secondary to growth hormone deficiency in neonates/infants and has reached or surpassed 5 years of age (chronological); AND, 4. Evidence of biochemical growth hormone deficiency, including the type of tests performed and peak growth hormone concentrations; AND, 5. Growth data (height and weight) for the most recent 6 month treatment period, including data at both the start and end of the treatment period. The most recent data must not be older than three months; </w:t>
            </w:r>
            <w:proofErr w:type="gramStart"/>
            <w:r w:rsidRPr="00042B3A">
              <w:rPr>
                <w:rFonts w:ascii="Arial Narrow" w:hAnsi="Arial Narrow"/>
                <w:sz w:val="18"/>
                <w:szCs w:val="18"/>
              </w:rPr>
              <w:t>AND,</w:t>
            </w:r>
            <w:proofErr w:type="gramEnd"/>
            <w:r w:rsidRPr="00042B3A">
              <w:rPr>
                <w:rFonts w:ascii="Arial Narrow" w:hAnsi="Arial Narrow"/>
                <w:sz w:val="18"/>
                <w:szCs w:val="18"/>
              </w:rPr>
              <w:t xml:space="preserve"> 6. A bone age result performed within the last 12 months; AND, 7. The proprietary name (brand), </w:t>
            </w:r>
            <w:r>
              <w:rPr>
                <w:rFonts w:ascii="Arial Narrow" w:hAnsi="Arial Narrow"/>
                <w:sz w:val="18"/>
                <w:szCs w:val="18"/>
              </w:rPr>
              <w:t>form and strength of the growth hormone requested</w:t>
            </w:r>
            <w:r w:rsidRPr="00042B3A">
              <w:rPr>
                <w:rFonts w:ascii="Arial Narrow" w:hAnsi="Arial Narrow"/>
                <w:sz w:val="18"/>
                <w:szCs w:val="18"/>
              </w:rPr>
              <w:t xml:space="preserve">, and the number of vials/cartridges required to provide sufficient drug for 13 </w:t>
            </w:r>
            <w:proofErr w:type="spellStart"/>
            <w:r w:rsidRPr="00042B3A">
              <w:rPr>
                <w:rFonts w:ascii="Arial Narrow" w:hAnsi="Arial Narrow"/>
                <w:sz w:val="18"/>
                <w:szCs w:val="18"/>
              </w:rPr>
              <w:t>weeks worth</w:t>
            </w:r>
            <w:proofErr w:type="spellEnd"/>
            <w:r w:rsidRPr="00042B3A">
              <w:rPr>
                <w:rFonts w:ascii="Arial Narrow" w:hAnsi="Arial Narrow"/>
                <w:sz w:val="18"/>
                <w:szCs w:val="18"/>
              </w:rPr>
              <w:t xml:space="preserve"> of treatment (with up to 1 repeat allowed).</w:t>
            </w:r>
          </w:p>
          <w:p w14:paraId="4135A973"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2B26796"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[15905] Biochemical growth hormone deficiency should not be secondary to an intracranial lesion or cranial irradiation for applications under this category.</w:t>
            </w:r>
          </w:p>
          <w:p w14:paraId="513CB1EB"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[28759] </w:t>
            </w:r>
            <w:r w:rsidRPr="00042B3A">
              <w:rPr>
                <w:rFonts w:ascii="Arial Narrow" w:hAnsi="Arial Narrow" w:cs="Open Sans"/>
                <w:color w:val="333333"/>
                <w:sz w:val="18"/>
                <w:szCs w:val="18"/>
                <w:shd w:val="clear" w:color="auto" w:fill="FFFFFF"/>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042B3A" w14:paraId="4E911F0B" w14:textId="77777777" w:rsidTr="00475FED">
        <w:tc>
          <w:tcPr>
            <w:tcW w:w="862" w:type="pct"/>
          </w:tcPr>
          <w:p w14:paraId="45F77D2F"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Administrative Advice</w:t>
            </w:r>
          </w:p>
        </w:tc>
        <w:tc>
          <w:tcPr>
            <w:tcW w:w="4138" w:type="pct"/>
            <w:gridSpan w:val="6"/>
          </w:tcPr>
          <w:p w14:paraId="428A4BF7"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042B3A" w14:paraId="0E813125" w14:textId="77777777" w:rsidTr="00475FED">
        <w:tc>
          <w:tcPr>
            <w:tcW w:w="862" w:type="pct"/>
          </w:tcPr>
          <w:p w14:paraId="3060BA72"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Cautions</w:t>
            </w:r>
          </w:p>
        </w:tc>
        <w:tc>
          <w:tcPr>
            <w:tcW w:w="4138" w:type="pct"/>
            <w:gridSpan w:val="6"/>
          </w:tcPr>
          <w:p w14:paraId="09DD6BE7" w14:textId="77777777" w:rsidR="00E31543" w:rsidRPr="00042B3A" w:rsidRDefault="00E31543" w:rsidP="00475FED">
            <w:pPr>
              <w:spacing w:after="120"/>
              <w:rPr>
                <w:rFonts w:ascii="Arial Narrow" w:hAnsi="Arial Narrow"/>
                <w:sz w:val="18"/>
                <w:szCs w:val="18"/>
              </w:rPr>
            </w:pPr>
          </w:p>
        </w:tc>
      </w:tr>
      <w:tr w:rsidR="00E31543" w:rsidRPr="00AF5F03" w14:paraId="6BADDDFE" w14:textId="77777777" w:rsidTr="00475FED">
        <w:tblPrEx>
          <w:tblLook w:val="04A0" w:firstRow="1" w:lastRow="0" w:firstColumn="1" w:lastColumn="0" w:noHBand="0" w:noVBand="1"/>
        </w:tblPrEx>
        <w:tc>
          <w:tcPr>
            <w:tcW w:w="862" w:type="pct"/>
          </w:tcPr>
          <w:p w14:paraId="7D194014"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Benefit Type</w:t>
            </w:r>
          </w:p>
        </w:tc>
        <w:tc>
          <w:tcPr>
            <w:tcW w:w="4138" w:type="pct"/>
            <w:gridSpan w:val="6"/>
          </w:tcPr>
          <w:p w14:paraId="4CBC379A"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50438</w:t>
            </w:r>
          </w:p>
        </w:tc>
      </w:tr>
      <w:tr w:rsidR="00E31543" w:rsidRPr="00AF5F03" w14:paraId="3D337212" w14:textId="77777777" w:rsidTr="00475FED">
        <w:tblPrEx>
          <w:tblLook w:val="04A0" w:firstRow="1" w:lastRow="0" w:firstColumn="1" w:lastColumn="0" w:noHBand="0" w:noVBand="1"/>
        </w:tblPrEx>
        <w:tc>
          <w:tcPr>
            <w:tcW w:w="862" w:type="pct"/>
          </w:tcPr>
          <w:p w14:paraId="082A4B51"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Restriction Number</w:t>
            </w:r>
          </w:p>
        </w:tc>
        <w:tc>
          <w:tcPr>
            <w:tcW w:w="4138" w:type="pct"/>
            <w:gridSpan w:val="6"/>
          </w:tcPr>
          <w:p w14:paraId="59982795"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11657</w:t>
            </w:r>
          </w:p>
        </w:tc>
      </w:tr>
      <w:tr w:rsidR="00E31543" w:rsidRPr="00AF5F03" w14:paraId="6AF4AC5E" w14:textId="77777777" w:rsidTr="00475FED">
        <w:tblPrEx>
          <w:tblLook w:val="04A0" w:firstRow="1" w:lastRow="0" w:firstColumn="1" w:lastColumn="0" w:noHBand="0" w:noVBand="1"/>
        </w:tblPrEx>
        <w:tc>
          <w:tcPr>
            <w:tcW w:w="862" w:type="pct"/>
          </w:tcPr>
          <w:p w14:paraId="79ABE870"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Treatment of Code</w:t>
            </w:r>
            <w:r>
              <w:rPr>
                <w:rFonts w:ascii="Arial Narrow" w:hAnsi="Arial Narrow"/>
                <w:b/>
                <w:sz w:val="18"/>
                <w:szCs w:val="18"/>
              </w:rPr>
              <w:t xml:space="preserve"> </w:t>
            </w:r>
            <w:r w:rsidRPr="00AF5F03">
              <w:rPr>
                <w:rFonts w:ascii="Arial Narrow" w:hAnsi="Arial Narrow"/>
                <w:b/>
                <w:sz w:val="18"/>
                <w:szCs w:val="18"/>
              </w:rPr>
              <w:t>(</w:t>
            </w:r>
            <w:proofErr w:type="spellStart"/>
            <w:r w:rsidRPr="00AF5F03">
              <w:rPr>
                <w:rFonts w:ascii="Arial Narrow" w:hAnsi="Arial Narrow"/>
                <w:b/>
                <w:sz w:val="18"/>
                <w:szCs w:val="18"/>
              </w:rPr>
              <w:t>ToC</w:t>
            </w:r>
            <w:proofErr w:type="spellEnd"/>
            <w:r w:rsidRPr="00AF5F03">
              <w:rPr>
                <w:rFonts w:ascii="Arial Narrow" w:hAnsi="Arial Narrow"/>
                <w:b/>
                <w:sz w:val="18"/>
                <w:szCs w:val="18"/>
              </w:rPr>
              <w:t>)</w:t>
            </w:r>
          </w:p>
        </w:tc>
        <w:tc>
          <w:tcPr>
            <w:tcW w:w="4138" w:type="pct"/>
            <w:gridSpan w:val="6"/>
          </w:tcPr>
          <w:p w14:paraId="530110F7"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8469</w:t>
            </w:r>
          </w:p>
        </w:tc>
      </w:tr>
      <w:tr w:rsidR="00E31543" w:rsidRPr="00AF5F03" w14:paraId="47256BF3" w14:textId="77777777" w:rsidTr="00475FED">
        <w:tblPrEx>
          <w:tblLook w:val="04A0" w:firstRow="1" w:lastRow="0" w:firstColumn="1" w:lastColumn="0" w:noHBand="0" w:noVBand="1"/>
        </w:tblPrEx>
        <w:tc>
          <w:tcPr>
            <w:tcW w:w="862" w:type="pct"/>
          </w:tcPr>
          <w:p w14:paraId="47858DC8"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Category / Program</w:t>
            </w:r>
          </w:p>
        </w:tc>
        <w:tc>
          <w:tcPr>
            <w:tcW w:w="4138" w:type="pct"/>
            <w:gridSpan w:val="6"/>
          </w:tcPr>
          <w:p w14:paraId="699D0067"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S100 - Section 100 (Growth Hormone) (Code GH)</w:t>
            </w:r>
          </w:p>
        </w:tc>
      </w:tr>
      <w:tr w:rsidR="00E31543" w:rsidRPr="00AF5F03" w14:paraId="4B8E47C6" w14:textId="77777777" w:rsidTr="00475FED">
        <w:tblPrEx>
          <w:tblLook w:val="04A0" w:firstRow="1" w:lastRow="0" w:firstColumn="1" w:lastColumn="0" w:noHBand="0" w:noVBand="1"/>
        </w:tblPrEx>
        <w:tc>
          <w:tcPr>
            <w:tcW w:w="862" w:type="pct"/>
          </w:tcPr>
          <w:p w14:paraId="01AB1EC6"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lastRenderedPageBreak/>
              <w:t>Prescriber Type(s)</w:t>
            </w:r>
          </w:p>
        </w:tc>
        <w:tc>
          <w:tcPr>
            <w:tcW w:w="4138" w:type="pct"/>
            <w:gridSpan w:val="6"/>
          </w:tcPr>
          <w:p w14:paraId="1CC84F13"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Medical Practitioners</w:t>
            </w:r>
          </w:p>
        </w:tc>
      </w:tr>
      <w:tr w:rsidR="00E31543" w:rsidRPr="00AF5F03" w14:paraId="6A3F53A3" w14:textId="77777777" w:rsidTr="00475FED">
        <w:tblPrEx>
          <w:tblLook w:val="04A0" w:firstRow="1" w:lastRow="0" w:firstColumn="1" w:lastColumn="0" w:noHBand="0" w:noVBand="1"/>
        </w:tblPrEx>
        <w:tc>
          <w:tcPr>
            <w:tcW w:w="862" w:type="pct"/>
          </w:tcPr>
          <w:p w14:paraId="2C64466E"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PBS Indication</w:t>
            </w:r>
          </w:p>
        </w:tc>
        <w:tc>
          <w:tcPr>
            <w:tcW w:w="4138" w:type="pct"/>
            <w:gridSpan w:val="6"/>
          </w:tcPr>
          <w:p w14:paraId="1DEEB916"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[15745] Short stature associated with biochemical growth hormone deficiency</w:t>
            </w:r>
          </w:p>
        </w:tc>
      </w:tr>
      <w:tr w:rsidR="00E31543" w:rsidRPr="00AF5F03" w14:paraId="0551564C" w14:textId="77777777" w:rsidTr="00475FED">
        <w:tblPrEx>
          <w:tblLook w:val="04A0" w:firstRow="1" w:lastRow="0" w:firstColumn="1" w:lastColumn="0" w:noHBand="0" w:noVBand="1"/>
        </w:tblPrEx>
        <w:tc>
          <w:tcPr>
            <w:tcW w:w="862" w:type="pct"/>
          </w:tcPr>
          <w:p w14:paraId="1A787B78"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Treatment phase</w:t>
            </w:r>
          </w:p>
        </w:tc>
        <w:tc>
          <w:tcPr>
            <w:tcW w:w="4138" w:type="pct"/>
            <w:gridSpan w:val="6"/>
          </w:tcPr>
          <w:p w14:paraId="1B25699C"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Recommencement of treatment</w:t>
            </w:r>
          </w:p>
        </w:tc>
      </w:tr>
      <w:tr w:rsidR="00E31543" w:rsidRPr="00AF5F03" w14:paraId="4AB0E838" w14:textId="77777777" w:rsidTr="00475FED">
        <w:tblPrEx>
          <w:tblLook w:val="04A0" w:firstRow="1" w:lastRow="0" w:firstColumn="1" w:lastColumn="0" w:noHBand="0" w:noVBand="1"/>
        </w:tblPrEx>
        <w:tc>
          <w:tcPr>
            <w:tcW w:w="862" w:type="pct"/>
          </w:tcPr>
          <w:p w14:paraId="1C68662C"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Restriction Level / Method</w:t>
            </w:r>
          </w:p>
        </w:tc>
        <w:tc>
          <w:tcPr>
            <w:tcW w:w="4138" w:type="pct"/>
            <w:gridSpan w:val="6"/>
          </w:tcPr>
          <w:p w14:paraId="6C24612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Authority required</w:t>
            </w:r>
          </w:p>
        </w:tc>
      </w:tr>
      <w:tr w:rsidR="00E31543" w:rsidRPr="00AF5F03" w14:paraId="4C2A1D2B" w14:textId="77777777" w:rsidTr="00475FED">
        <w:tblPrEx>
          <w:tblLook w:val="04A0" w:firstRow="1" w:lastRow="0" w:firstColumn="1" w:lastColumn="0" w:noHBand="0" w:noVBand="1"/>
        </w:tblPrEx>
        <w:tc>
          <w:tcPr>
            <w:tcW w:w="862" w:type="pct"/>
          </w:tcPr>
          <w:p w14:paraId="7FC98355"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Treatment criteria</w:t>
            </w:r>
          </w:p>
        </w:tc>
        <w:tc>
          <w:tcPr>
            <w:tcW w:w="4138" w:type="pct"/>
            <w:gridSpan w:val="6"/>
          </w:tcPr>
          <w:p w14:paraId="70C04FA8"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[16426]</w:t>
            </w:r>
          </w:p>
          <w:p w14:paraId="1CBCE2EF"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[16422] Must be treated by a medical practitioner in consultation with a nominated specialist or consultant physician in paediatric endocrinology; or</w:t>
            </w:r>
          </w:p>
          <w:p w14:paraId="155AAAE4"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[16425] Must be treated by a medical practitioner in consultation with a nominated specialist or consultant physician in general paediatrics</w:t>
            </w:r>
          </w:p>
          <w:p w14:paraId="525AABEB"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7B822DF5" w14:textId="77777777" w:rsidR="00E31543" w:rsidRPr="00AF5F03"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AF5F03" w14:paraId="739961C4" w14:textId="77777777" w:rsidTr="00475FED">
        <w:tblPrEx>
          <w:tblLook w:val="04A0" w:firstRow="1" w:lastRow="0" w:firstColumn="1" w:lastColumn="0" w:noHBand="0" w:noVBand="1"/>
        </w:tblPrEx>
        <w:tc>
          <w:tcPr>
            <w:tcW w:w="862" w:type="pct"/>
          </w:tcPr>
          <w:p w14:paraId="06ADDC8E"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Clinical criteria</w:t>
            </w:r>
          </w:p>
        </w:tc>
        <w:tc>
          <w:tcPr>
            <w:tcW w:w="4138" w:type="pct"/>
            <w:gridSpan w:val="6"/>
          </w:tcPr>
          <w:p w14:paraId="56F2F692"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[17604]</w:t>
            </w:r>
          </w:p>
          <w:p w14:paraId="41EA27B7"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[17603] Patient must have previously received treatment under the PBS S100 Growth Hormone Program under the short stature associated with biochemical growth hormone deficiency category</w:t>
            </w:r>
          </w:p>
          <w:p w14:paraId="4F0267CE"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2A5518E3"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[16128]</w:t>
            </w:r>
          </w:p>
          <w:p w14:paraId="1DA88825"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[16127] Patient must have had a lapse in growth hormone treatment</w:t>
            </w:r>
          </w:p>
          <w:p w14:paraId="657BB873"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565FF8C8"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[17237]</w:t>
            </w:r>
          </w:p>
          <w:p w14:paraId="3AD7E4C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[17232]</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or</w:t>
            </w:r>
          </w:p>
          <w:p w14:paraId="077165A4"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[17233]</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 significant medical illness; or</w:t>
            </w:r>
          </w:p>
          <w:p w14:paraId="2454FDE6"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[17234]</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major surgery (</w:t>
            </w:r>
            <w:proofErr w:type="gramStart"/>
            <w:r w:rsidRPr="00AF5F03">
              <w:rPr>
                <w:rFonts w:ascii="Arial Narrow" w:hAnsi="Arial Narrow"/>
                <w:sz w:val="18"/>
                <w:szCs w:val="18"/>
              </w:rPr>
              <w:t>e.g.</w:t>
            </w:r>
            <w:proofErr w:type="gramEnd"/>
            <w:r w:rsidRPr="00AF5F03">
              <w:rPr>
                <w:rFonts w:ascii="Arial Narrow" w:hAnsi="Arial Narrow"/>
                <w:sz w:val="18"/>
                <w:szCs w:val="18"/>
              </w:rPr>
              <w:t xml:space="preserve"> renal transplant); or</w:t>
            </w:r>
          </w:p>
          <w:p w14:paraId="6B9D38AB"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[17235]</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an adverse reaction to growth hormone; or</w:t>
            </w:r>
          </w:p>
          <w:p w14:paraId="0993E957"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[17236]</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non-compliance due to social/family problems</w:t>
            </w:r>
          </w:p>
          <w:p w14:paraId="0A6B73C5"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5744F2C7"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[15708]</w:t>
            </w:r>
          </w:p>
          <w:p w14:paraId="0B22AE90"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[15707] Patient must not have a condition with a known risk of malignancy including chromosomal abnormalities such as Down and Bloom syndromes</w:t>
            </w:r>
          </w:p>
          <w:p w14:paraId="4C8F7DD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37DC5FED"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[15711]</w:t>
            </w:r>
          </w:p>
          <w:p w14:paraId="1C58DC5E"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lastRenderedPageBreak/>
              <w:t>[15710] Patient must not have an active tumour or evidence of tumour growth or activity</w:t>
            </w:r>
          </w:p>
          <w:p w14:paraId="180AD0C0"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71F71DFA"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[16068]</w:t>
            </w:r>
          </w:p>
          <w:p w14:paraId="304603EC"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[16066] Patient must be male and must not have a bone age of 15.5 years or more; or</w:t>
            </w:r>
          </w:p>
          <w:p w14:paraId="09113135"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[16067] Patient must be female and must not have a bone age of 13.5 years or more</w:t>
            </w:r>
          </w:p>
        </w:tc>
      </w:tr>
      <w:tr w:rsidR="00E31543" w:rsidRPr="00AF5F03" w14:paraId="3BABB0EF" w14:textId="77777777" w:rsidTr="00475FED">
        <w:tblPrEx>
          <w:tblLook w:val="04A0" w:firstRow="1" w:lastRow="0" w:firstColumn="1" w:lastColumn="0" w:noHBand="0" w:noVBand="1"/>
        </w:tblPrEx>
        <w:tc>
          <w:tcPr>
            <w:tcW w:w="862" w:type="pct"/>
          </w:tcPr>
          <w:p w14:paraId="5E48A026"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lastRenderedPageBreak/>
              <w:t>Population criteria</w:t>
            </w:r>
          </w:p>
        </w:tc>
        <w:tc>
          <w:tcPr>
            <w:tcW w:w="4138" w:type="pct"/>
            <w:gridSpan w:val="6"/>
          </w:tcPr>
          <w:p w14:paraId="2334CD10" w14:textId="77777777" w:rsidR="00E31543" w:rsidRPr="00AF5F03" w:rsidRDefault="00E31543" w:rsidP="00475FED">
            <w:pPr>
              <w:spacing w:after="120"/>
              <w:rPr>
                <w:rFonts w:ascii="Arial Narrow" w:hAnsi="Arial Narrow"/>
                <w:sz w:val="18"/>
                <w:szCs w:val="18"/>
              </w:rPr>
            </w:pPr>
          </w:p>
        </w:tc>
      </w:tr>
      <w:tr w:rsidR="00E31543" w:rsidRPr="00AF5F03" w14:paraId="5ABB09FA" w14:textId="77777777" w:rsidTr="00475FED">
        <w:tblPrEx>
          <w:tblLook w:val="04A0" w:firstRow="1" w:lastRow="0" w:firstColumn="1" w:lastColumn="0" w:noHBand="0" w:noVBand="1"/>
        </w:tblPrEx>
        <w:tc>
          <w:tcPr>
            <w:tcW w:w="862" w:type="pct"/>
          </w:tcPr>
          <w:p w14:paraId="44AF9DA9"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Foreword</w:t>
            </w:r>
          </w:p>
        </w:tc>
        <w:tc>
          <w:tcPr>
            <w:tcW w:w="4138" w:type="pct"/>
            <w:gridSpan w:val="6"/>
          </w:tcPr>
          <w:p w14:paraId="20403842" w14:textId="77777777" w:rsidR="00E31543" w:rsidRPr="00AF5F03" w:rsidRDefault="00E31543" w:rsidP="00475FED">
            <w:pPr>
              <w:spacing w:after="120"/>
              <w:rPr>
                <w:rFonts w:ascii="Arial Narrow" w:hAnsi="Arial Narrow"/>
                <w:sz w:val="18"/>
                <w:szCs w:val="18"/>
              </w:rPr>
            </w:pPr>
          </w:p>
        </w:tc>
      </w:tr>
      <w:tr w:rsidR="00E31543" w:rsidRPr="00AF5F03" w14:paraId="030970A6" w14:textId="77777777" w:rsidTr="00475FED">
        <w:tblPrEx>
          <w:tblLook w:val="04A0" w:firstRow="1" w:lastRow="0" w:firstColumn="1" w:lastColumn="0" w:noHBand="0" w:noVBand="1"/>
        </w:tblPrEx>
        <w:tc>
          <w:tcPr>
            <w:tcW w:w="862" w:type="pct"/>
          </w:tcPr>
          <w:p w14:paraId="547A9908"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Definitions</w:t>
            </w:r>
          </w:p>
        </w:tc>
        <w:tc>
          <w:tcPr>
            <w:tcW w:w="4138" w:type="pct"/>
            <w:gridSpan w:val="6"/>
          </w:tcPr>
          <w:p w14:paraId="7E4DA03E" w14:textId="77777777" w:rsidR="00E31543" w:rsidRPr="00AF5F03" w:rsidRDefault="00E31543" w:rsidP="00475FED">
            <w:pPr>
              <w:spacing w:after="120"/>
              <w:rPr>
                <w:rFonts w:ascii="Arial Narrow" w:hAnsi="Arial Narrow"/>
                <w:sz w:val="18"/>
                <w:szCs w:val="18"/>
              </w:rPr>
            </w:pPr>
          </w:p>
        </w:tc>
      </w:tr>
      <w:tr w:rsidR="00E31543" w:rsidRPr="00AF5F03" w14:paraId="49CF94AC" w14:textId="77777777" w:rsidTr="00475FED">
        <w:tblPrEx>
          <w:tblLook w:val="04A0" w:firstRow="1" w:lastRow="0" w:firstColumn="1" w:lastColumn="0" w:noHBand="0" w:noVBand="1"/>
        </w:tblPrEx>
        <w:tc>
          <w:tcPr>
            <w:tcW w:w="862" w:type="pct"/>
          </w:tcPr>
          <w:p w14:paraId="1C33492E"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Prescriber Instructions</w:t>
            </w:r>
            <w:r w:rsidRPr="00AF5F03">
              <w:rPr>
                <w:rFonts w:ascii="Arial Narrow" w:hAnsi="Arial Narrow"/>
                <w:sz w:val="18"/>
                <w:szCs w:val="18"/>
              </w:rPr>
              <w:br/>
            </w:r>
          </w:p>
        </w:tc>
        <w:tc>
          <w:tcPr>
            <w:tcW w:w="4138" w:type="pct"/>
            <w:gridSpan w:val="6"/>
          </w:tcPr>
          <w:p w14:paraId="768B1804"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[16142] The maximum duration of each recommencement treatment phase is 32 weeks. Prescribers must determine an appropriate weekly dose in accordance with the dosing arrangements detailed in the National Health (Growth Hormone Program) Special Arrangement 2015 and request the appropriate number of vials/cartridges required to provide sufficient drug for 16 weeks' worth of treatment (with up to 1 repeat allowed).</w:t>
            </w:r>
          </w:p>
          <w:p w14:paraId="51254C09"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w:t>
            </w:r>
            <w:r>
              <w:rPr>
                <w:rFonts w:ascii="Arial Narrow" w:hAnsi="Arial Narrow"/>
                <w:sz w:val="18"/>
                <w:szCs w:val="18"/>
              </w:rPr>
              <w:t xml:space="preserve">amend </w:t>
            </w:r>
            <w:r w:rsidRPr="00AF5F03">
              <w:rPr>
                <w:rFonts w:ascii="Arial Narrow" w:hAnsi="Arial Narrow"/>
                <w:sz w:val="18"/>
                <w:szCs w:val="18"/>
              </w:rPr>
              <w:t>23493]</w:t>
            </w:r>
            <w:r w:rsidRPr="00042B3A">
              <w:rPr>
                <w:rFonts w:ascii="Arial Narrow" w:hAnsi="Arial Narrow"/>
                <w:sz w:val="18"/>
                <w:szCs w:val="18"/>
              </w:rPr>
              <w:t xml:space="preserve"> </w:t>
            </w:r>
            <w:r w:rsidRPr="00AF5F03">
              <w:rPr>
                <w:rFonts w:ascii="Arial Narrow" w:hAnsi="Arial Narrow"/>
                <w:sz w:val="18"/>
                <w:szCs w:val="18"/>
              </w:rPr>
              <w:t xml:space="preserve">The authority application must be in writing and must include:, 1. A completed authority prescription form; AND, 2. A completed Growth Hormone Authority Application Supporting Information Form for recommencement of treatment; AND, 3. Recent growth data (height and weight, not older than three months); AND, 4. A bone age result performed within the last 12 months; AND, 5. The proprietary name (brand), </w:t>
            </w:r>
            <w:r>
              <w:rPr>
                <w:rFonts w:ascii="Arial Narrow" w:hAnsi="Arial Narrow"/>
                <w:sz w:val="18"/>
                <w:szCs w:val="18"/>
              </w:rPr>
              <w:t>form and strength of the growth hormone requested</w:t>
            </w:r>
            <w:r w:rsidRPr="00AF5F03">
              <w:rPr>
                <w:rFonts w:ascii="Arial Narrow" w:hAnsi="Arial Narrow"/>
                <w:sz w:val="18"/>
                <w:szCs w:val="18"/>
              </w:rPr>
              <w:t>, and the number of vials/cartridges required to provide sufficient drug for 16 weeks' worth of treatment (with up to 1 repeat allowed).</w:t>
            </w:r>
          </w:p>
          <w:p w14:paraId="1EE2D568"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F21ABFA" w14:textId="77777777" w:rsidR="00E31543" w:rsidRPr="00AF5F03" w:rsidRDefault="00E31543" w:rsidP="00475FED">
            <w:pPr>
              <w:spacing w:after="120"/>
              <w:rPr>
                <w:rFonts w:ascii="Arial Narrow" w:hAnsi="Arial Narrow"/>
                <w:sz w:val="18"/>
                <w:szCs w:val="18"/>
              </w:rPr>
            </w:pPr>
            <w:r>
              <w:rPr>
                <w:rFonts w:ascii="Arial Narrow" w:hAnsi="Arial Narrow" w:cs="Open Sans"/>
                <w:color w:val="333333"/>
                <w:sz w:val="18"/>
                <w:szCs w:val="18"/>
                <w:shd w:val="clear" w:color="auto" w:fill="FFFFFF"/>
              </w:rPr>
              <w:t xml:space="preserve">[28759] </w:t>
            </w:r>
            <w:r w:rsidRPr="00AF5F03">
              <w:rPr>
                <w:rFonts w:ascii="Arial Narrow" w:hAnsi="Arial Narrow" w:cs="Open Sans"/>
                <w:color w:val="333333"/>
                <w:sz w:val="18"/>
                <w:szCs w:val="18"/>
                <w:shd w:val="clear" w:color="auto" w:fill="FFFFFF"/>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AF5F03" w14:paraId="47E75F28" w14:textId="77777777" w:rsidTr="00475FED">
        <w:tblPrEx>
          <w:tblLook w:val="04A0" w:firstRow="1" w:lastRow="0" w:firstColumn="1" w:lastColumn="0" w:noHBand="0" w:noVBand="1"/>
        </w:tblPrEx>
        <w:tc>
          <w:tcPr>
            <w:tcW w:w="862" w:type="pct"/>
          </w:tcPr>
          <w:p w14:paraId="3B877841"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Administrative Advice</w:t>
            </w:r>
            <w:r w:rsidRPr="00AF5F03">
              <w:rPr>
                <w:rFonts w:ascii="Arial Narrow" w:hAnsi="Arial Narrow"/>
                <w:sz w:val="18"/>
                <w:szCs w:val="18"/>
              </w:rPr>
              <w:br/>
            </w:r>
          </w:p>
        </w:tc>
        <w:tc>
          <w:tcPr>
            <w:tcW w:w="4138" w:type="pct"/>
            <w:gridSpan w:val="6"/>
          </w:tcPr>
          <w:p w14:paraId="571D336C"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[16513] If recommencement of treatment is sought under a different indication than that under which the patient was previously receiving treatment an application for recommencement of treatment as a reclassified patient should be submitted.</w:t>
            </w:r>
          </w:p>
          <w:p w14:paraId="164A9FF6" w14:textId="77777777" w:rsidR="00E31543" w:rsidRPr="00AF5F03"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AF5F03" w14:paraId="243DED70" w14:textId="77777777" w:rsidTr="00475FED">
        <w:tblPrEx>
          <w:tblLook w:val="04A0" w:firstRow="1" w:lastRow="0" w:firstColumn="1" w:lastColumn="0" w:noHBand="0" w:noVBand="1"/>
        </w:tblPrEx>
        <w:tc>
          <w:tcPr>
            <w:tcW w:w="862" w:type="pct"/>
          </w:tcPr>
          <w:p w14:paraId="123A639E"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Cautions</w:t>
            </w:r>
          </w:p>
        </w:tc>
        <w:tc>
          <w:tcPr>
            <w:tcW w:w="4138" w:type="pct"/>
            <w:gridSpan w:val="6"/>
          </w:tcPr>
          <w:p w14:paraId="650C4EF5" w14:textId="77777777" w:rsidR="00E31543" w:rsidRPr="00AF5F03" w:rsidRDefault="00E31543" w:rsidP="00475FED">
            <w:pPr>
              <w:spacing w:after="120"/>
              <w:rPr>
                <w:rFonts w:ascii="Arial Narrow" w:hAnsi="Arial Narrow"/>
                <w:sz w:val="18"/>
                <w:szCs w:val="18"/>
              </w:rPr>
            </w:pPr>
          </w:p>
        </w:tc>
      </w:tr>
      <w:tr w:rsidR="00E31543" w:rsidRPr="00914DF7" w14:paraId="6D0B9562" w14:textId="77777777" w:rsidTr="00E31543">
        <w:tblPrEx>
          <w:tblLook w:val="04A0" w:firstRow="1" w:lastRow="0" w:firstColumn="1" w:lastColumn="0" w:noHBand="0" w:noVBand="1"/>
        </w:tblPrEx>
        <w:tc>
          <w:tcPr>
            <w:tcW w:w="862" w:type="pct"/>
          </w:tcPr>
          <w:p w14:paraId="5938AAD8"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Benefit Type</w:t>
            </w:r>
          </w:p>
        </w:tc>
        <w:tc>
          <w:tcPr>
            <w:tcW w:w="4138" w:type="pct"/>
            <w:gridSpan w:val="6"/>
          </w:tcPr>
          <w:p w14:paraId="6DFF0FB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50438</w:t>
            </w:r>
          </w:p>
        </w:tc>
      </w:tr>
      <w:tr w:rsidR="00E31543" w:rsidRPr="00914DF7" w14:paraId="4547EDAC" w14:textId="77777777" w:rsidTr="00E31543">
        <w:tblPrEx>
          <w:tblLook w:val="04A0" w:firstRow="1" w:lastRow="0" w:firstColumn="1" w:lastColumn="0" w:noHBand="0" w:noVBand="1"/>
        </w:tblPrEx>
        <w:tc>
          <w:tcPr>
            <w:tcW w:w="862" w:type="pct"/>
          </w:tcPr>
          <w:p w14:paraId="706EB4A1"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Restriction Number</w:t>
            </w:r>
          </w:p>
        </w:tc>
        <w:tc>
          <w:tcPr>
            <w:tcW w:w="4138" w:type="pct"/>
            <w:gridSpan w:val="6"/>
          </w:tcPr>
          <w:p w14:paraId="62147135"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11675</w:t>
            </w:r>
          </w:p>
        </w:tc>
      </w:tr>
      <w:tr w:rsidR="00E31543" w:rsidRPr="00914DF7" w14:paraId="43096E8A" w14:textId="77777777" w:rsidTr="00E31543">
        <w:tblPrEx>
          <w:tblLook w:val="04A0" w:firstRow="1" w:lastRow="0" w:firstColumn="1" w:lastColumn="0" w:noHBand="0" w:noVBand="1"/>
        </w:tblPrEx>
        <w:tc>
          <w:tcPr>
            <w:tcW w:w="862" w:type="pct"/>
          </w:tcPr>
          <w:p w14:paraId="7375BD24"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Treatment of Code</w:t>
            </w:r>
            <w:r>
              <w:rPr>
                <w:rFonts w:ascii="Arial Narrow" w:hAnsi="Arial Narrow"/>
                <w:b/>
                <w:sz w:val="18"/>
                <w:szCs w:val="18"/>
              </w:rPr>
              <w:t xml:space="preserve"> </w:t>
            </w:r>
            <w:r w:rsidRPr="00914DF7">
              <w:rPr>
                <w:rFonts w:ascii="Arial Narrow" w:hAnsi="Arial Narrow"/>
                <w:b/>
                <w:sz w:val="18"/>
                <w:szCs w:val="18"/>
              </w:rPr>
              <w:t>(</w:t>
            </w:r>
            <w:proofErr w:type="spellStart"/>
            <w:r w:rsidRPr="00914DF7">
              <w:rPr>
                <w:rFonts w:ascii="Arial Narrow" w:hAnsi="Arial Narrow"/>
                <w:b/>
                <w:sz w:val="18"/>
                <w:szCs w:val="18"/>
              </w:rPr>
              <w:t>ToC</w:t>
            </w:r>
            <w:proofErr w:type="spellEnd"/>
            <w:r w:rsidRPr="00914DF7">
              <w:rPr>
                <w:rFonts w:ascii="Arial Narrow" w:hAnsi="Arial Narrow"/>
                <w:b/>
                <w:sz w:val="18"/>
                <w:szCs w:val="18"/>
              </w:rPr>
              <w:t>)</w:t>
            </w:r>
          </w:p>
        </w:tc>
        <w:tc>
          <w:tcPr>
            <w:tcW w:w="4138" w:type="pct"/>
            <w:gridSpan w:val="6"/>
          </w:tcPr>
          <w:p w14:paraId="06E6103B"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8429</w:t>
            </w:r>
          </w:p>
        </w:tc>
      </w:tr>
      <w:tr w:rsidR="00E31543" w:rsidRPr="00914DF7" w14:paraId="2E871F47" w14:textId="77777777" w:rsidTr="00E31543">
        <w:tblPrEx>
          <w:tblLook w:val="04A0" w:firstRow="1" w:lastRow="0" w:firstColumn="1" w:lastColumn="0" w:noHBand="0" w:noVBand="1"/>
        </w:tblPrEx>
        <w:tc>
          <w:tcPr>
            <w:tcW w:w="862" w:type="pct"/>
          </w:tcPr>
          <w:p w14:paraId="5BE28C6E"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Category / Program</w:t>
            </w:r>
          </w:p>
        </w:tc>
        <w:tc>
          <w:tcPr>
            <w:tcW w:w="4138" w:type="pct"/>
            <w:gridSpan w:val="6"/>
          </w:tcPr>
          <w:p w14:paraId="1D32522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S100 - Section 100 (Growth Hormone) (Code GH)</w:t>
            </w:r>
          </w:p>
        </w:tc>
      </w:tr>
      <w:tr w:rsidR="00E31543" w:rsidRPr="00914DF7" w14:paraId="2FE3E178" w14:textId="77777777" w:rsidTr="00E31543">
        <w:tblPrEx>
          <w:tblLook w:val="04A0" w:firstRow="1" w:lastRow="0" w:firstColumn="1" w:lastColumn="0" w:noHBand="0" w:noVBand="1"/>
        </w:tblPrEx>
        <w:tc>
          <w:tcPr>
            <w:tcW w:w="862" w:type="pct"/>
          </w:tcPr>
          <w:p w14:paraId="10C7B09A"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Prescriber Type(s)</w:t>
            </w:r>
          </w:p>
        </w:tc>
        <w:tc>
          <w:tcPr>
            <w:tcW w:w="4138" w:type="pct"/>
            <w:gridSpan w:val="6"/>
          </w:tcPr>
          <w:p w14:paraId="57CEB433"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Medical Practitioners</w:t>
            </w:r>
          </w:p>
        </w:tc>
      </w:tr>
      <w:tr w:rsidR="00E31543" w:rsidRPr="00914DF7" w14:paraId="22605501" w14:textId="77777777" w:rsidTr="00E31543">
        <w:tblPrEx>
          <w:tblLook w:val="04A0" w:firstRow="1" w:lastRow="0" w:firstColumn="1" w:lastColumn="0" w:noHBand="0" w:noVBand="1"/>
        </w:tblPrEx>
        <w:tc>
          <w:tcPr>
            <w:tcW w:w="862" w:type="pct"/>
          </w:tcPr>
          <w:p w14:paraId="544D835F"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PBS Indication</w:t>
            </w:r>
          </w:p>
        </w:tc>
        <w:tc>
          <w:tcPr>
            <w:tcW w:w="4138" w:type="pct"/>
            <w:gridSpan w:val="6"/>
          </w:tcPr>
          <w:p w14:paraId="3CB5B7F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[15745] Short stature associated with biochemical growth hormone deficiency</w:t>
            </w:r>
          </w:p>
        </w:tc>
      </w:tr>
      <w:tr w:rsidR="00E31543" w:rsidRPr="00914DF7" w14:paraId="3EDD8192" w14:textId="77777777" w:rsidTr="00E31543">
        <w:tblPrEx>
          <w:tblLook w:val="04A0" w:firstRow="1" w:lastRow="0" w:firstColumn="1" w:lastColumn="0" w:noHBand="0" w:noVBand="1"/>
        </w:tblPrEx>
        <w:tc>
          <w:tcPr>
            <w:tcW w:w="862" w:type="pct"/>
          </w:tcPr>
          <w:p w14:paraId="64A9D703"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Treatment phase</w:t>
            </w:r>
          </w:p>
        </w:tc>
        <w:tc>
          <w:tcPr>
            <w:tcW w:w="4138" w:type="pct"/>
            <w:gridSpan w:val="6"/>
          </w:tcPr>
          <w:p w14:paraId="62AA6B2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Recommencement of treatment as a reclassified patient</w:t>
            </w:r>
          </w:p>
        </w:tc>
      </w:tr>
      <w:tr w:rsidR="00E31543" w:rsidRPr="00914DF7" w14:paraId="1F0816DF" w14:textId="77777777" w:rsidTr="00E31543">
        <w:tblPrEx>
          <w:tblLook w:val="04A0" w:firstRow="1" w:lastRow="0" w:firstColumn="1" w:lastColumn="0" w:noHBand="0" w:noVBand="1"/>
        </w:tblPrEx>
        <w:tc>
          <w:tcPr>
            <w:tcW w:w="862" w:type="pct"/>
          </w:tcPr>
          <w:p w14:paraId="52C0A60A"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Restriction Level / Method</w:t>
            </w:r>
          </w:p>
        </w:tc>
        <w:tc>
          <w:tcPr>
            <w:tcW w:w="4138" w:type="pct"/>
            <w:gridSpan w:val="6"/>
          </w:tcPr>
          <w:p w14:paraId="43AEABF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Authority required</w:t>
            </w:r>
          </w:p>
        </w:tc>
      </w:tr>
      <w:tr w:rsidR="00E31543" w:rsidRPr="00914DF7" w14:paraId="72070B64" w14:textId="77777777" w:rsidTr="00E31543">
        <w:tblPrEx>
          <w:tblLook w:val="04A0" w:firstRow="1" w:lastRow="0" w:firstColumn="1" w:lastColumn="0" w:noHBand="0" w:noVBand="1"/>
        </w:tblPrEx>
        <w:tc>
          <w:tcPr>
            <w:tcW w:w="862" w:type="pct"/>
          </w:tcPr>
          <w:p w14:paraId="14623152"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Treatment criteria</w:t>
            </w:r>
          </w:p>
        </w:tc>
        <w:tc>
          <w:tcPr>
            <w:tcW w:w="4138" w:type="pct"/>
            <w:gridSpan w:val="6"/>
          </w:tcPr>
          <w:p w14:paraId="160AD522"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[16426]</w:t>
            </w:r>
          </w:p>
          <w:p w14:paraId="389F31A0"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[16422] Must be treated by a medical practitioner in consultation with a nominated specialist or consultant physician in paediatric endocrinology; or</w:t>
            </w:r>
          </w:p>
          <w:p w14:paraId="4E3F8A69"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[16425] Must be treated by a medical practitioner in consultation with a nominated specialist or consultant physician in general paediatrics</w:t>
            </w:r>
          </w:p>
          <w:p w14:paraId="76ADBC54" w14:textId="77777777" w:rsidR="00E31543" w:rsidRDefault="00E31543" w:rsidP="00475FED">
            <w:pPr>
              <w:spacing w:after="120"/>
              <w:jc w:val="left"/>
              <w:rPr>
                <w:rFonts w:ascii="Arial Narrow" w:hAnsi="Arial Narrow"/>
                <w:sz w:val="18"/>
                <w:szCs w:val="18"/>
              </w:rPr>
            </w:pPr>
            <w:r>
              <w:rPr>
                <w:rFonts w:ascii="Arial Narrow" w:hAnsi="Arial Narrow"/>
                <w:sz w:val="18"/>
                <w:szCs w:val="18"/>
              </w:rPr>
              <w:lastRenderedPageBreak/>
              <w:t>AND</w:t>
            </w:r>
          </w:p>
          <w:p w14:paraId="021EC8B9" w14:textId="77777777" w:rsidR="00E31543" w:rsidRPr="00914DF7" w:rsidRDefault="00E31543" w:rsidP="00475FED">
            <w:pPr>
              <w:spacing w:after="120"/>
              <w:jc w:val="left"/>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914DF7" w14:paraId="2E7E3893" w14:textId="77777777" w:rsidTr="00E31543">
        <w:tblPrEx>
          <w:tblLook w:val="04A0" w:firstRow="1" w:lastRow="0" w:firstColumn="1" w:lastColumn="0" w:noHBand="0" w:noVBand="1"/>
        </w:tblPrEx>
        <w:tc>
          <w:tcPr>
            <w:tcW w:w="862" w:type="pct"/>
          </w:tcPr>
          <w:p w14:paraId="134CDF4A"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lastRenderedPageBreak/>
              <w:t>Clinical criteria</w:t>
            </w:r>
          </w:p>
        </w:tc>
        <w:tc>
          <w:tcPr>
            <w:tcW w:w="4138" w:type="pct"/>
            <w:gridSpan w:val="6"/>
          </w:tcPr>
          <w:p w14:paraId="071EC9EA"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[23452]</w:t>
            </w:r>
          </w:p>
          <w:p w14:paraId="4334DA0B"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[23451] Patient must have previously received treatment under the PBS S100 Growth Hormone Program (treatment) under a category other than short stature associated with biochemical growth hormone deficiency</w:t>
            </w:r>
          </w:p>
          <w:p w14:paraId="5D9DAF23"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0554B513"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[23398]</w:t>
            </w:r>
          </w:p>
          <w:p w14:paraId="1DB347D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[23400] Patient must have had a lapse in treatment</w:t>
            </w:r>
          </w:p>
          <w:p w14:paraId="01D79D7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47C14F20"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[17237]</w:t>
            </w:r>
          </w:p>
          <w:p w14:paraId="5E05577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[17232]</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or</w:t>
            </w:r>
          </w:p>
          <w:p w14:paraId="0DFA579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[17233]</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 significant medical illness; or</w:t>
            </w:r>
          </w:p>
          <w:p w14:paraId="57FEF50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[17234]</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major surgery (</w:t>
            </w:r>
            <w:proofErr w:type="gramStart"/>
            <w:r w:rsidRPr="00914DF7">
              <w:rPr>
                <w:rFonts w:ascii="Arial Narrow" w:hAnsi="Arial Narrow"/>
                <w:sz w:val="18"/>
                <w:szCs w:val="18"/>
              </w:rPr>
              <w:t>e.g.</w:t>
            </w:r>
            <w:proofErr w:type="gramEnd"/>
            <w:r w:rsidRPr="00914DF7">
              <w:rPr>
                <w:rFonts w:ascii="Arial Narrow" w:hAnsi="Arial Narrow"/>
                <w:sz w:val="18"/>
                <w:szCs w:val="18"/>
              </w:rPr>
              <w:t xml:space="preserve"> renal transplant); or</w:t>
            </w:r>
          </w:p>
          <w:p w14:paraId="6B0AD7B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[17235]</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an adverse reaction to growth hormone; or</w:t>
            </w:r>
          </w:p>
          <w:p w14:paraId="1A02A74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[17236]</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non-compliance due to social/family problems</w:t>
            </w:r>
          </w:p>
          <w:p w14:paraId="72D91FB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0EA3B603"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[23453]</w:t>
            </w:r>
          </w:p>
          <w:p w14:paraId="398A397A"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[16429] Patient must have previously received treatment under the indication risk of hypoglycaemia secondary to growth hormone deficiency in neonates/infants and have reached or surpassed 5 years of age (chronological); or</w:t>
            </w:r>
          </w:p>
          <w:p w14:paraId="06CBD37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[23410] Patient must have had a height at or below the 1st percentile for age and sex immediately prior to commencing treatment; or</w:t>
            </w:r>
          </w:p>
          <w:p w14:paraId="547D37E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[23454] Patient must have had both a height above the 1st and at or below the 25th percentiles for age and sex immediately prior to commencing treatment and a growth velocity below the 25th percentile for bone age and sex measured over the </w:t>
            </w:r>
            <w:proofErr w:type="gramStart"/>
            <w:r w:rsidRPr="00914DF7">
              <w:rPr>
                <w:rFonts w:ascii="Arial Narrow" w:hAnsi="Arial Narrow"/>
                <w:sz w:val="18"/>
                <w:szCs w:val="18"/>
              </w:rPr>
              <w:t>12 month</w:t>
            </w:r>
            <w:proofErr w:type="gramEnd"/>
            <w:r w:rsidRPr="00914DF7">
              <w:rPr>
                <w:rFonts w:ascii="Arial Narrow" w:hAnsi="Arial Narrow"/>
                <w:sz w:val="18"/>
                <w:szCs w:val="18"/>
              </w:rPr>
              <w:t xml:space="preserve"> interval immediately prior to commencement of treatment (or the 6 month interval immediately prior to commencement of treatment if the patient was an older child at commencement of treatment); or</w:t>
            </w:r>
          </w:p>
          <w:p w14:paraId="62D67C6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[23455] Patient must have had both a height above the 1st and at or below the 25th percentiles for age and sex immediately prior to commencing treatment and an annual growth velocity of 14 cm per year or less in the </w:t>
            </w:r>
            <w:proofErr w:type="gramStart"/>
            <w:r w:rsidRPr="00914DF7">
              <w:rPr>
                <w:rFonts w:ascii="Arial Narrow" w:hAnsi="Arial Narrow"/>
                <w:sz w:val="18"/>
                <w:szCs w:val="18"/>
              </w:rPr>
              <w:t>12 month</w:t>
            </w:r>
            <w:proofErr w:type="gramEnd"/>
            <w:r w:rsidRPr="00914DF7">
              <w:rPr>
                <w:rFonts w:ascii="Arial Narrow" w:hAnsi="Arial Narrow"/>
                <w:sz w:val="18"/>
                <w:szCs w:val="18"/>
              </w:rPr>
              <w:t xml:space="preserve"> period immediately prior to commencement of treatment, if the patient had a chronological age of 2 years or less at commencement of treatment; or</w:t>
            </w:r>
          </w:p>
          <w:p w14:paraId="59701D7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[23456] Patient must have had both a height above the 1st and at or below the 25th percentiles for age and sex immediately prior to commencing treatment and an annual growth velocity of 8 cm per year or less in the </w:t>
            </w:r>
            <w:proofErr w:type="gramStart"/>
            <w:r w:rsidRPr="00914DF7">
              <w:rPr>
                <w:rFonts w:ascii="Arial Narrow" w:hAnsi="Arial Narrow"/>
                <w:sz w:val="18"/>
                <w:szCs w:val="18"/>
              </w:rPr>
              <w:t>12 month</w:t>
            </w:r>
            <w:proofErr w:type="gramEnd"/>
            <w:r w:rsidRPr="00914DF7">
              <w:rPr>
                <w:rFonts w:ascii="Arial Narrow" w:hAnsi="Arial Narrow"/>
                <w:sz w:val="18"/>
                <w:szCs w:val="18"/>
              </w:rPr>
              <w:t xml:space="preserve"> period immediately prior to commencement of treatment, if the patient had a bone or chronological age of 2.5 years or less at commencement of treatment</w:t>
            </w:r>
          </w:p>
          <w:p w14:paraId="3D273D1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lastRenderedPageBreak/>
              <w:t>AND</w:t>
            </w:r>
          </w:p>
          <w:p w14:paraId="255F738C"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[23361]</w:t>
            </w:r>
          </w:p>
          <w:p w14:paraId="59E093A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[23363] Patient must have evidence of biochemical growth hormone deficiency, with a peak serum growth hormone concentration less than 10 </w:t>
            </w:r>
            <w:proofErr w:type="spellStart"/>
            <w:r w:rsidRPr="00914DF7">
              <w:rPr>
                <w:rFonts w:ascii="Arial Narrow" w:hAnsi="Arial Narrow"/>
                <w:sz w:val="18"/>
                <w:szCs w:val="18"/>
              </w:rPr>
              <w:t>mU</w:t>
            </w:r>
            <w:proofErr w:type="spellEnd"/>
            <w:r w:rsidRPr="00914DF7">
              <w:rPr>
                <w:rFonts w:ascii="Arial Narrow" w:hAnsi="Arial Narrow"/>
                <w:sz w:val="18"/>
                <w:szCs w:val="18"/>
              </w:rPr>
              <w:t>/L or less than or equal to 3.3 micrograms per litre in response to 2 pharmacological growth hormone stimulation tests (</w:t>
            </w:r>
            <w:proofErr w:type="gramStart"/>
            <w:r w:rsidRPr="00914DF7">
              <w:rPr>
                <w:rFonts w:ascii="Arial Narrow" w:hAnsi="Arial Narrow"/>
                <w:sz w:val="18"/>
                <w:szCs w:val="18"/>
              </w:rPr>
              <w:t>e.g.</w:t>
            </w:r>
            <w:proofErr w:type="gramEnd"/>
            <w:r w:rsidRPr="00914DF7">
              <w:rPr>
                <w:rFonts w:ascii="Arial Narrow" w:hAnsi="Arial Narrow"/>
                <w:sz w:val="18"/>
                <w:szCs w:val="18"/>
              </w:rPr>
              <w:t xml:space="preserve"> arginine, clonidine, glucagon, insulin); or</w:t>
            </w:r>
          </w:p>
          <w:p w14:paraId="178E618A"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[23364] Patient must have evidence of biochemical growth hormone deficiency, with a peak serum growth hormone concentration less than 10 </w:t>
            </w:r>
            <w:proofErr w:type="spellStart"/>
            <w:r w:rsidRPr="00914DF7">
              <w:rPr>
                <w:rFonts w:ascii="Arial Narrow" w:hAnsi="Arial Narrow"/>
                <w:sz w:val="18"/>
                <w:szCs w:val="18"/>
              </w:rPr>
              <w:t>mU</w:t>
            </w:r>
            <w:proofErr w:type="spellEnd"/>
            <w:r w:rsidRPr="00914DF7">
              <w:rPr>
                <w:rFonts w:ascii="Arial Narrow" w:hAnsi="Arial Narrow"/>
                <w:sz w:val="18"/>
                <w:szCs w:val="18"/>
              </w:rPr>
              <w:t>/L or less than or equal to 3.3 micrograms per litre in response to 1 pharmacological growth hormone stimulation test (</w:t>
            </w:r>
            <w:proofErr w:type="gramStart"/>
            <w:r w:rsidRPr="00914DF7">
              <w:rPr>
                <w:rFonts w:ascii="Arial Narrow" w:hAnsi="Arial Narrow"/>
                <w:sz w:val="18"/>
                <w:szCs w:val="18"/>
              </w:rPr>
              <w:t>e.g.</w:t>
            </w:r>
            <w:proofErr w:type="gramEnd"/>
            <w:r w:rsidRPr="00914DF7">
              <w:rPr>
                <w:rFonts w:ascii="Arial Narrow" w:hAnsi="Arial Narrow"/>
                <w:sz w:val="18"/>
                <w:szCs w:val="18"/>
              </w:rPr>
              <w:t xml:space="preserve"> arginine, clonidine, glucagon, insulin) and 1 physiological growth hormone stimulation test (e.g. sleep, exercise); or</w:t>
            </w:r>
          </w:p>
          <w:p w14:paraId="4C40B11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[23365] Patient must have evidence of biochemical growth hormone deficiency, with a peak serum growth hormone concentration less than 10 </w:t>
            </w:r>
            <w:proofErr w:type="spellStart"/>
            <w:r w:rsidRPr="00914DF7">
              <w:rPr>
                <w:rFonts w:ascii="Arial Narrow" w:hAnsi="Arial Narrow"/>
                <w:sz w:val="18"/>
                <w:szCs w:val="18"/>
              </w:rPr>
              <w:t>mU</w:t>
            </w:r>
            <w:proofErr w:type="spellEnd"/>
            <w:r w:rsidRPr="00914DF7">
              <w:rPr>
                <w:rFonts w:ascii="Arial Narrow" w:hAnsi="Arial Narrow"/>
                <w:sz w:val="18"/>
                <w:szCs w:val="18"/>
              </w:rPr>
              <w:t xml:space="preserve">/L or less than or equal to 3.3 micrograms per litre in response to 1 growth hormone stimulation test (pharmacological or physiological e.g. arginine, clonidine, glucagon, insulin, sleep, exercise) with other evidence of growth hormone deficiency, including </w:t>
            </w:r>
            <w:proofErr w:type="spellStart"/>
            <w:r w:rsidRPr="00914DF7">
              <w:rPr>
                <w:rFonts w:ascii="Arial Narrow" w:hAnsi="Arial Narrow"/>
                <w:sz w:val="18"/>
                <w:szCs w:val="18"/>
              </w:rPr>
              <w:t>septo</w:t>
            </w:r>
            <w:proofErr w:type="spellEnd"/>
            <w:r w:rsidRPr="00914DF7">
              <w:rPr>
                <w:rFonts w:ascii="Arial Narrow" w:hAnsi="Arial Narrow"/>
                <w:sz w:val="18"/>
                <w:szCs w:val="18"/>
              </w:rPr>
              <w:t xml:space="preserve">-optic dysplasia (absent corpus callosum and/or septum pellucidum), midline abnormality including optic nerve hypoplasia, cleft lip and palate, midfacial hypoplasia and central incisor, ectopic and/or absent posterior pituitary bright spot, absent empty </w:t>
            </w:r>
            <w:proofErr w:type="spellStart"/>
            <w:r w:rsidRPr="00914DF7">
              <w:rPr>
                <w:rFonts w:ascii="Arial Narrow" w:hAnsi="Arial Narrow"/>
                <w:sz w:val="18"/>
                <w:szCs w:val="18"/>
              </w:rPr>
              <w:t>sella</w:t>
            </w:r>
            <w:proofErr w:type="spellEnd"/>
            <w:r w:rsidRPr="00914DF7">
              <w:rPr>
                <w:rFonts w:ascii="Arial Narrow" w:hAnsi="Arial Narrow"/>
                <w:sz w:val="18"/>
                <w:szCs w:val="18"/>
              </w:rPr>
              <w:t xml:space="preserve">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68D7986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[23366] Patient must have evidence of biochemical growth hormone deficiency, with a peak serum growth hormone concentration less than 10 </w:t>
            </w:r>
            <w:proofErr w:type="spellStart"/>
            <w:r w:rsidRPr="00914DF7">
              <w:rPr>
                <w:rFonts w:ascii="Arial Narrow" w:hAnsi="Arial Narrow"/>
                <w:sz w:val="18"/>
                <w:szCs w:val="18"/>
              </w:rPr>
              <w:t>mU</w:t>
            </w:r>
            <w:proofErr w:type="spellEnd"/>
            <w:r w:rsidRPr="00914DF7">
              <w:rPr>
                <w:rFonts w:ascii="Arial Narrow" w:hAnsi="Arial Narrow"/>
                <w:sz w:val="18"/>
                <w:szCs w:val="18"/>
              </w:rPr>
              <w:t xml:space="preserve">/L or less than or equal to 3.3 micrograms per litre in response to 1 growth hormone stimulation test (pharmacological or physiological </w:t>
            </w:r>
            <w:proofErr w:type="gramStart"/>
            <w:r w:rsidRPr="00914DF7">
              <w:rPr>
                <w:rFonts w:ascii="Arial Narrow" w:hAnsi="Arial Narrow"/>
                <w:sz w:val="18"/>
                <w:szCs w:val="18"/>
              </w:rPr>
              <w:t>e.g.</w:t>
            </w:r>
            <w:proofErr w:type="gramEnd"/>
            <w:r w:rsidRPr="00914DF7">
              <w:rPr>
                <w:rFonts w:ascii="Arial Narrow" w:hAnsi="Arial Narrow"/>
                <w:sz w:val="18"/>
                <w:szCs w:val="18"/>
              </w:rPr>
              <w:t xml:space="preserve"> arginine, clonidine, glucagon, insulin, sleep, exercise) and low plasma IGF-1 levels; or</w:t>
            </w:r>
          </w:p>
          <w:p w14:paraId="31FE6C5A"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[23367] Patient must have evidence of biochemical growth hormone deficiency, with a peak serum growth hormone concentration less than 10 </w:t>
            </w:r>
            <w:proofErr w:type="spellStart"/>
            <w:r w:rsidRPr="00914DF7">
              <w:rPr>
                <w:rFonts w:ascii="Arial Narrow" w:hAnsi="Arial Narrow"/>
                <w:sz w:val="18"/>
                <w:szCs w:val="18"/>
              </w:rPr>
              <w:t>mU</w:t>
            </w:r>
            <w:proofErr w:type="spellEnd"/>
            <w:r w:rsidRPr="00914DF7">
              <w:rPr>
                <w:rFonts w:ascii="Arial Narrow" w:hAnsi="Arial Narrow"/>
                <w:sz w:val="18"/>
                <w:szCs w:val="18"/>
              </w:rPr>
              <w:t xml:space="preserve">/L or less than or equal to 3.3 micrograms per litre in response to 1 growth hormone stimulation test (pharmacological or physiological </w:t>
            </w:r>
            <w:proofErr w:type="gramStart"/>
            <w:r w:rsidRPr="00914DF7">
              <w:rPr>
                <w:rFonts w:ascii="Arial Narrow" w:hAnsi="Arial Narrow"/>
                <w:sz w:val="18"/>
                <w:szCs w:val="18"/>
              </w:rPr>
              <w:t>e.g.</w:t>
            </w:r>
            <w:proofErr w:type="gramEnd"/>
            <w:r w:rsidRPr="00914DF7">
              <w:rPr>
                <w:rFonts w:ascii="Arial Narrow" w:hAnsi="Arial Narrow"/>
                <w:sz w:val="18"/>
                <w:szCs w:val="18"/>
              </w:rPr>
              <w:t xml:space="preserve"> arginine, clonidine, glucagon, insulin, sleep, exercise) and low plasma IGFBP-3 levels</w:t>
            </w:r>
          </w:p>
          <w:p w14:paraId="088F96B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07965C34"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[15708]</w:t>
            </w:r>
          </w:p>
          <w:p w14:paraId="2E5BE952"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[15707] Patient must not have a condition with a known risk of malignancy including chromosomal abnormalities such as Down and Bloom syndromes</w:t>
            </w:r>
          </w:p>
          <w:p w14:paraId="1712ABA2"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424F2C36"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[15711]</w:t>
            </w:r>
          </w:p>
          <w:p w14:paraId="725FDC9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[15710] Patient must not have an active tumour or evidence of tumour growth or activity</w:t>
            </w:r>
          </w:p>
          <w:p w14:paraId="629EB04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7CDD4D69"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[16068]</w:t>
            </w:r>
          </w:p>
          <w:p w14:paraId="50EFA922"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[16066] Patient must be male and must not have a bone age of 15.5 years or more; or</w:t>
            </w:r>
          </w:p>
          <w:p w14:paraId="15385E1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[16067] Patient must be female and must not have a bone age of 13.5 years or more</w:t>
            </w:r>
          </w:p>
        </w:tc>
      </w:tr>
      <w:tr w:rsidR="00E31543" w:rsidRPr="00914DF7" w14:paraId="16D59AA7" w14:textId="77777777" w:rsidTr="00E31543">
        <w:tblPrEx>
          <w:tblLook w:val="04A0" w:firstRow="1" w:lastRow="0" w:firstColumn="1" w:lastColumn="0" w:noHBand="0" w:noVBand="1"/>
        </w:tblPrEx>
        <w:tc>
          <w:tcPr>
            <w:tcW w:w="862" w:type="pct"/>
          </w:tcPr>
          <w:p w14:paraId="3B4D3D4A"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lastRenderedPageBreak/>
              <w:t>Population criteria</w:t>
            </w:r>
          </w:p>
        </w:tc>
        <w:tc>
          <w:tcPr>
            <w:tcW w:w="4138" w:type="pct"/>
            <w:gridSpan w:val="6"/>
          </w:tcPr>
          <w:p w14:paraId="1D350A37" w14:textId="77777777" w:rsidR="00E31543" w:rsidRPr="00914DF7" w:rsidRDefault="00E31543" w:rsidP="00475FED">
            <w:pPr>
              <w:spacing w:after="120"/>
              <w:jc w:val="left"/>
              <w:rPr>
                <w:rFonts w:ascii="Arial Narrow" w:hAnsi="Arial Narrow"/>
                <w:sz w:val="18"/>
                <w:szCs w:val="18"/>
              </w:rPr>
            </w:pPr>
          </w:p>
        </w:tc>
      </w:tr>
      <w:tr w:rsidR="00E31543" w:rsidRPr="00914DF7" w14:paraId="65999859" w14:textId="77777777" w:rsidTr="00E31543">
        <w:tblPrEx>
          <w:tblLook w:val="04A0" w:firstRow="1" w:lastRow="0" w:firstColumn="1" w:lastColumn="0" w:noHBand="0" w:noVBand="1"/>
        </w:tblPrEx>
        <w:tc>
          <w:tcPr>
            <w:tcW w:w="862" w:type="pct"/>
          </w:tcPr>
          <w:p w14:paraId="1B9AB4C3"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Foreword</w:t>
            </w:r>
          </w:p>
        </w:tc>
        <w:tc>
          <w:tcPr>
            <w:tcW w:w="4138" w:type="pct"/>
            <w:gridSpan w:val="6"/>
          </w:tcPr>
          <w:p w14:paraId="19156A3E" w14:textId="77777777" w:rsidR="00E31543" w:rsidRPr="00914DF7" w:rsidRDefault="00E31543" w:rsidP="00475FED">
            <w:pPr>
              <w:spacing w:after="120"/>
              <w:jc w:val="left"/>
              <w:rPr>
                <w:rFonts w:ascii="Arial Narrow" w:hAnsi="Arial Narrow"/>
                <w:sz w:val="18"/>
                <w:szCs w:val="18"/>
              </w:rPr>
            </w:pPr>
          </w:p>
        </w:tc>
      </w:tr>
      <w:tr w:rsidR="00E31543" w:rsidRPr="00914DF7" w14:paraId="6E0E8D7F" w14:textId="77777777" w:rsidTr="00E31543">
        <w:tblPrEx>
          <w:tblLook w:val="04A0" w:firstRow="1" w:lastRow="0" w:firstColumn="1" w:lastColumn="0" w:noHBand="0" w:noVBand="1"/>
        </w:tblPrEx>
        <w:tc>
          <w:tcPr>
            <w:tcW w:w="862" w:type="pct"/>
          </w:tcPr>
          <w:p w14:paraId="507687A4"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Definitions</w:t>
            </w:r>
          </w:p>
        </w:tc>
        <w:tc>
          <w:tcPr>
            <w:tcW w:w="4138" w:type="pct"/>
            <w:gridSpan w:val="6"/>
          </w:tcPr>
          <w:p w14:paraId="6E3E7B56" w14:textId="77777777" w:rsidR="00E31543" w:rsidRPr="00914DF7" w:rsidRDefault="00E31543" w:rsidP="00475FED">
            <w:pPr>
              <w:spacing w:after="120"/>
              <w:jc w:val="left"/>
              <w:rPr>
                <w:rFonts w:ascii="Arial Narrow" w:hAnsi="Arial Narrow"/>
                <w:sz w:val="18"/>
                <w:szCs w:val="18"/>
              </w:rPr>
            </w:pPr>
          </w:p>
        </w:tc>
      </w:tr>
      <w:tr w:rsidR="00E31543" w:rsidRPr="00914DF7" w14:paraId="29E48CBF" w14:textId="77777777" w:rsidTr="00E31543">
        <w:tblPrEx>
          <w:tblLook w:val="04A0" w:firstRow="1" w:lastRow="0" w:firstColumn="1" w:lastColumn="0" w:noHBand="0" w:noVBand="1"/>
        </w:tblPrEx>
        <w:tc>
          <w:tcPr>
            <w:tcW w:w="862" w:type="pct"/>
          </w:tcPr>
          <w:p w14:paraId="3F5739B2"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Prescriber Instructions</w:t>
            </w:r>
            <w:r w:rsidRPr="00914DF7">
              <w:rPr>
                <w:rFonts w:ascii="Arial Narrow" w:hAnsi="Arial Narrow"/>
                <w:sz w:val="18"/>
                <w:szCs w:val="18"/>
              </w:rPr>
              <w:br/>
            </w:r>
          </w:p>
        </w:tc>
        <w:tc>
          <w:tcPr>
            <w:tcW w:w="4138" w:type="pct"/>
            <w:gridSpan w:val="6"/>
          </w:tcPr>
          <w:p w14:paraId="104D458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[23357] An older child is defined as a male with a chronological age of at least 12 years or a bone age of at least 10 years, or a female with a chronological age of at least 10 years or a bone age of at least 8 years.</w:t>
            </w:r>
          </w:p>
          <w:p w14:paraId="7F71C434"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[16142] The maximum duration of each recommencement treatment phase is 32 weeks. Prescribers must determine an appropriate weekly dose in accordance with the dosing arrangements detailed in the National Health (Growth Hormone Program) Special Arrangement 2015 and request the appropriate number of vials/cartridges required to provide sufficient drug for 16 weeks' worth of treatment (with up to 1 repeat allowed).</w:t>
            </w:r>
          </w:p>
          <w:p w14:paraId="4A80EF82"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lastRenderedPageBreak/>
              <w:t>[</w:t>
            </w:r>
            <w:r>
              <w:rPr>
                <w:rFonts w:ascii="Arial Narrow" w:hAnsi="Arial Narrow"/>
                <w:sz w:val="18"/>
                <w:szCs w:val="18"/>
              </w:rPr>
              <w:t xml:space="preserve">amend </w:t>
            </w:r>
            <w:r w:rsidRPr="00914DF7">
              <w:rPr>
                <w:rFonts w:ascii="Arial Narrow" w:hAnsi="Arial Narrow"/>
                <w:sz w:val="18"/>
                <w:szCs w:val="18"/>
              </w:rPr>
              <w:t xml:space="preserve">23495] The authority application must be in writing and must include:, 1. A completed authority prescription form; AND, 2. A completed Growth Hormone Authority Application Supporting Information Form for recommencement of treatment as a reclassified patient; AND, 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 (b) Height and weight measurements from within three months prior to commencement of treatment for a patient whose height was at or below the 1st percentile for age and sex immediately prior to commencing treatment; OR, (c) Confirmation that the patient has previously received treatment under the indication risk of hypoglycaemia secondary to growth hormone deficiency in neonates/infants and has reached or surpassed 5 years of age (chronological); AND, 4. Evidence of biochemical growth hormone deficiency, including the type of tests performed and peak growth hormone concentrations; AND, 5. Recent growth data (height and weight, not older than three months); AND, 6. A bone age result performed within the last 12 months; AND, 7. The proprietary name (brand), </w:t>
            </w:r>
            <w:r>
              <w:rPr>
                <w:rFonts w:ascii="Arial Narrow" w:hAnsi="Arial Narrow"/>
                <w:sz w:val="18"/>
                <w:szCs w:val="18"/>
              </w:rPr>
              <w:t>form and strength of the growth hormone requested</w:t>
            </w:r>
            <w:r w:rsidRPr="00914DF7">
              <w:rPr>
                <w:rFonts w:ascii="Arial Narrow" w:hAnsi="Arial Narrow"/>
                <w:sz w:val="18"/>
                <w:szCs w:val="18"/>
              </w:rPr>
              <w:t>, and the number of vials/cartridges required to provide sufficient drug for 16 weeks' worth of treatment (with up to 1 repeat allowed).</w:t>
            </w:r>
          </w:p>
          <w:p w14:paraId="4F71285D"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3266555"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[15905] Biochemical growth hormone deficiency should not be secondary to an intracranial lesion or cranial irradiation for applications under this category.</w:t>
            </w:r>
          </w:p>
          <w:p w14:paraId="330A36C9" w14:textId="77777777" w:rsidR="00E31543" w:rsidRPr="00914DF7" w:rsidRDefault="00E31543" w:rsidP="00475FED">
            <w:pPr>
              <w:spacing w:after="120"/>
              <w:jc w:val="left"/>
              <w:rPr>
                <w:rFonts w:ascii="Arial Narrow" w:hAnsi="Arial Narrow"/>
                <w:sz w:val="18"/>
                <w:szCs w:val="18"/>
              </w:rPr>
            </w:pPr>
            <w:r>
              <w:rPr>
                <w:rFonts w:ascii="Arial Narrow" w:hAnsi="Arial Narrow"/>
                <w:sz w:val="18"/>
                <w:szCs w:val="18"/>
              </w:rPr>
              <w:t xml:space="preserve">[28759] </w:t>
            </w:r>
            <w:r w:rsidRPr="00914DF7">
              <w:rPr>
                <w:rFonts w:ascii="Arial Narrow" w:hAnsi="Arial Narrow" w:cs="Open Sans"/>
                <w:color w:val="333333"/>
                <w:sz w:val="18"/>
                <w:szCs w:val="18"/>
                <w:shd w:val="clear" w:color="auto" w:fill="FFFFFF"/>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914DF7" w14:paraId="2795C286" w14:textId="77777777" w:rsidTr="00E31543">
        <w:tblPrEx>
          <w:tblLook w:val="04A0" w:firstRow="1" w:lastRow="0" w:firstColumn="1" w:lastColumn="0" w:noHBand="0" w:noVBand="1"/>
        </w:tblPrEx>
        <w:tc>
          <w:tcPr>
            <w:tcW w:w="862" w:type="pct"/>
          </w:tcPr>
          <w:p w14:paraId="3FF8390E"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lastRenderedPageBreak/>
              <w:t>Administrative Advice</w:t>
            </w:r>
          </w:p>
        </w:tc>
        <w:tc>
          <w:tcPr>
            <w:tcW w:w="4138" w:type="pct"/>
            <w:gridSpan w:val="6"/>
          </w:tcPr>
          <w:p w14:paraId="30B1945F" w14:textId="77777777" w:rsidR="00E31543" w:rsidRPr="00914DF7" w:rsidRDefault="00E31543" w:rsidP="00475FED">
            <w:pPr>
              <w:spacing w:after="120"/>
              <w:jc w:val="left"/>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914DF7" w14:paraId="46132EE1" w14:textId="77777777" w:rsidTr="00E31543">
        <w:tblPrEx>
          <w:tblLook w:val="04A0" w:firstRow="1" w:lastRow="0" w:firstColumn="1" w:lastColumn="0" w:noHBand="0" w:noVBand="1"/>
        </w:tblPrEx>
        <w:tc>
          <w:tcPr>
            <w:tcW w:w="862" w:type="pct"/>
          </w:tcPr>
          <w:p w14:paraId="3754697E" w14:textId="77777777" w:rsidR="00E31543" w:rsidRPr="00914DF7" w:rsidRDefault="00E31543" w:rsidP="00475FED">
            <w:pPr>
              <w:jc w:val="left"/>
              <w:rPr>
                <w:rFonts w:ascii="Arial Narrow" w:hAnsi="Arial Narrow"/>
                <w:sz w:val="18"/>
                <w:szCs w:val="18"/>
              </w:rPr>
            </w:pPr>
            <w:r w:rsidRPr="00914DF7">
              <w:rPr>
                <w:rFonts w:ascii="Arial Narrow" w:hAnsi="Arial Narrow"/>
                <w:b/>
                <w:sz w:val="18"/>
                <w:szCs w:val="18"/>
              </w:rPr>
              <w:t>Cautions</w:t>
            </w:r>
          </w:p>
        </w:tc>
        <w:tc>
          <w:tcPr>
            <w:tcW w:w="4138" w:type="pct"/>
            <w:gridSpan w:val="6"/>
          </w:tcPr>
          <w:p w14:paraId="3C5FE64F" w14:textId="77777777" w:rsidR="00E31543" w:rsidRPr="00914DF7" w:rsidRDefault="00E31543" w:rsidP="00475FED">
            <w:pPr>
              <w:spacing w:after="120"/>
              <w:jc w:val="left"/>
              <w:rPr>
                <w:rFonts w:ascii="Arial Narrow" w:hAnsi="Arial Narrow"/>
                <w:sz w:val="18"/>
                <w:szCs w:val="18"/>
              </w:rPr>
            </w:pPr>
          </w:p>
        </w:tc>
      </w:tr>
      <w:tr w:rsidR="00E31543" w:rsidRPr="00042B3A" w14:paraId="31240F3E" w14:textId="77777777" w:rsidTr="00475FED">
        <w:tc>
          <w:tcPr>
            <w:tcW w:w="0" w:type="auto"/>
          </w:tcPr>
          <w:p w14:paraId="63961613"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Benefit Type</w:t>
            </w:r>
          </w:p>
        </w:tc>
        <w:tc>
          <w:tcPr>
            <w:tcW w:w="0" w:type="auto"/>
            <w:gridSpan w:val="6"/>
          </w:tcPr>
          <w:p w14:paraId="0FD9C9EC"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NEW</w:t>
            </w:r>
          </w:p>
        </w:tc>
      </w:tr>
      <w:tr w:rsidR="00E31543" w:rsidRPr="00042B3A" w14:paraId="2104B7CD" w14:textId="77777777" w:rsidTr="00475FED">
        <w:tc>
          <w:tcPr>
            <w:tcW w:w="862" w:type="pct"/>
          </w:tcPr>
          <w:p w14:paraId="4F699351"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Restriction Number</w:t>
            </w:r>
          </w:p>
        </w:tc>
        <w:tc>
          <w:tcPr>
            <w:tcW w:w="4138" w:type="pct"/>
            <w:gridSpan w:val="6"/>
          </w:tcPr>
          <w:p w14:paraId="20456371"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NEW</w:t>
            </w:r>
          </w:p>
        </w:tc>
      </w:tr>
      <w:tr w:rsidR="00E31543" w:rsidRPr="00042B3A" w14:paraId="25E94528" w14:textId="77777777" w:rsidTr="00475FED">
        <w:tc>
          <w:tcPr>
            <w:tcW w:w="0" w:type="auto"/>
          </w:tcPr>
          <w:p w14:paraId="4D0BED77"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Treatment of Code</w:t>
            </w:r>
            <w:r>
              <w:rPr>
                <w:rFonts w:ascii="Arial Narrow" w:hAnsi="Arial Narrow"/>
                <w:b/>
                <w:sz w:val="18"/>
                <w:szCs w:val="18"/>
              </w:rPr>
              <w:t xml:space="preserve"> </w:t>
            </w:r>
            <w:r w:rsidRPr="00042B3A">
              <w:rPr>
                <w:rFonts w:ascii="Arial Narrow" w:hAnsi="Arial Narrow"/>
                <w:b/>
                <w:sz w:val="18"/>
                <w:szCs w:val="18"/>
              </w:rPr>
              <w:t>(</w:t>
            </w:r>
            <w:proofErr w:type="spellStart"/>
            <w:r w:rsidRPr="00042B3A">
              <w:rPr>
                <w:rFonts w:ascii="Arial Narrow" w:hAnsi="Arial Narrow"/>
                <w:b/>
                <w:sz w:val="18"/>
                <w:szCs w:val="18"/>
              </w:rPr>
              <w:t>ToC</w:t>
            </w:r>
            <w:proofErr w:type="spellEnd"/>
            <w:r w:rsidRPr="00042B3A">
              <w:rPr>
                <w:rFonts w:ascii="Arial Narrow" w:hAnsi="Arial Narrow"/>
                <w:b/>
                <w:sz w:val="18"/>
                <w:szCs w:val="18"/>
              </w:rPr>
              <w:t>)</w:t>
            </w:r>
          </w:p>
        </w:tc>
        <w:tc>
          <w:tcPr>
            <w:tcW w:w="0" w:type="auto"/>
            <w:gridSpan w:val="6"/>
          </w:tcPr>
          <w:p w14:paraId="5DA1DEB2"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NEW</w:t>
            </w:r>
          </w:p>
        </w:tc>
      </w:tr>
      <w:tr w:rsidR="00E31543" w:rsidRPr="00042B3A" w14:paraId="35E5F4D5" w14:textId="77777777" w:rsidTr="00475FED">
        <w:tc>
          <w:tcPr>
            <w:tcW w:w="0" w:type="auto"/>
          </w:tcPr>
          <w:p w14:paraId="010ED7FE"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Category / Program</w:t>
            </w:r>
          </w:p>
        </w:tc>
        <w:tc>
          <w:tcPr>
            <w:tcW w:w="0" w:type="auto"/>
            <w:gridSpan w:val="6"/>
          </w:tcPr>
          <w:p w14:paraId="3180D130"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S100 - Section 100 (Growth Hormone) (Code GH)</w:t>
            </w:r>
          </w:p>
        </w:tc>
      </w:tr>
      <w:tr w:rsidR="00E31543" w:rsidRPr="00042B3A" w14:paraId="0BA831F2" w14:textId="77777777" w:rsidTr="00475FED">
        <w:tc>
          <w:tcPr>
            <w:tcW w:w="0" w:type="auto"/>
          </w:tcPr>
          <w:p w14:paraId="51EE5EEA"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Prescriber Type(s)</w:t>
            </w:r>
          </w:p>
        </w:tc>
        <w:tc>
          <w:tcPr>
            <w:tcW w:w="0" w:type="auto"/>
            <w:gridSpan w:val="6"/>
          </w:tcPr>
          <w:p w14:paraId="40BC1CC3"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Medical Practitioners</w:t>
            </w:r>
          </w:p>
        </w:tc>
      </w:tr>
      <w:tr w:rsidR="00E31543" w:rsidRPr="00042B3A" w14:paraId="222B2288" w14:textId="77777777" w:rsidTr="00475FED">
        <w:tc>
          <w:tcPr>
            <w:tcW w:w="0" w:type="auto"/>
          </w:tcPr>
          <w:p w14:paraId="4E90C0DE"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PBS Indication</w:t>
            </w:r>
          </w:p>
        </w:tc>
        <w:tc>
          <w:tcPr>
            <w:tcW w:w="0" w:type="auto"/>
            <w:gridSpan w:val="6"/>
          </w:tcPr>
          <w:p w14:paraId="2243E81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[15745] Short stature associated with biochemical growth hormone deficiency</w:t>
            </w:r>
          </w:p>
        </w:tc>
      </w:tr>
      <w:tr w:rsidR="00E31543" w:rsidRPr="00042B3A" w14:paraId="7ECCECFA" w14:textId="77777777" w:rsidTr="00475FED">
        <w:tc>
          <w:tcPr>
            <w:tcW w:w="0" w:type="auto"/>
          </w:tcPr>
          <w:p w14:paraId="6BD87805"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Treatment phase</w:t>
            </w:r>
          </w:p>
        </w:tc>
        <w:tc>
          <w:tcPr>
            <w:tcW w:w="0" w:type="auto"/>
            <w:gridSpan w:val="6"/>
          </w:tcPr>
          <w:p w14:paraId="6A8155FE"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Changing drug</w:t>
            </w:r>
            <w:r w:rsidRPr="00042B3A">
              <w:rPr>
                <w:rFonts w:ascii="Arial Narrow" w:hAnsi="Arial Narrow"/>
                <w:sz w:val="18"/>
                <w:szCs w:val="18"/>
              </w:rPr>
              <w:t xml:space="preserve"> treatment</w:t>
            </w:r>
            <w:r>
              <w:rPr>
                <w:rFonts w:ascii="Arial Narrow" w:hAnsi="Arial Narrow"/>
                <w:sz w:val="18"/>
                <w:szCs w:val="18"/>
              </w:rPr>
              <w:t xml:space="preserve"> of this PBS-indication</w:t>
            </w:r>
          </w:p>
        </w:tc>
      </w:tr>
      <w:tr w:rsidR="00E31543" w:rsidRPr="00042B3A" w14:paraId="6686368E" w14:textId="77777777" w:rsidTr="00475FED">
        <w:tc>
          <w:tcPr>
            <w:tcW w:w="0" w:type="auto"/>
          </w:tcPr>
          <w:p w14:paraId="16AC2EC1"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Restriction Level / Method</w:t>
            </w:r>
          </w:p>
        </w:tc>
        <w:tc>
          <w:tcPr>
            <w:tcW w:w="0" w:type="auto"/>
            <w:gridSpan w:val="6"/>
          </w:tcPr>
          <w:p w14:paraId="668A665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Authority required</w:t>
            </w:r>
          </w:p>
        </w:tc>
      </w:tr>
      <w:tr w:rsidR="00E31543" w:rsidRPr="00042B3A" w14:paraId="193BB66D" w14:textId="77777777" w:rsidTr="00475FED">
        <w:tc>
          <w:tcPr>
            <w:tcW w:w="0" w:type="auto"/>
          </w:tcPr>
          <w:p w14:paraId="45E7E2F1"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Treatment criteria</w:t>
            </w:r>
          </w:p>
        </w:tc>
        <w:tc>
          <w:tcPr>
            <w:tcW w:w="0" w:type="auto"/>
            <w:gridSpan w:val="6"/>
          </w:tcPr>
          <w:p w14:paraId="6BFA0CF7"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[15885]</w:t>
            </w:r>
          </w:p>
          <w:p w14:paraId="72D062A1"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[15685] Must be treated by a specialist or consultant physician in paediatric endocrinology; or</w:t>
            </w:r>
          </w:p>
          <w:p w14:paraId="3F64A0EA"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[15884] Must be treated by a specialist or consultant physician in general paediatrics in consultation with a nominated specialist or consultant physician in paediatric endocrinology</w:t>
            </w:r>
          </w:p>
          <w:p w14:paraId="127E168A"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0A336455" w14:textId="77777777" w:rsidR="00E31543" w:rsidRDefault="00E31543" w:rsidP="00475FED">
            <w:pPr>
              <w:spacing w:after="120"/>
              <w:rPr>
                <w:rFonts w:ascii="Arial Narrow" w:hAnsi="Arial Narrow"/>
                <w:sz w:val="18"/>
                <w:szCs w:val="18"/>
              </w:rPr>
            </w:pPr>
            <w:r>
              <w:rPr>
                <w:rFonts w:ascii="Arial Narrow" w:hAnsi="Arial Narrow"/>
                <w:sz w:val="18"/>
                <w:szCs w:val="18"/>
              </w:rPr>
              <w:t>[NEW TC3] Patient must be undergoing PBS-subsidised treatment of this indication where each of the following applies: (</w:t>
            </w:r>
            <w:proofErr w:type="spellStart"/>
            <w:r>
              <w:rPr>
                <w:rFonts w:ascii="Arial Narrow" w:hAnsi="Arial Narrow"/>
                <w:sz w:val="18"/>
                <w:szCs w:val="18"/>
              </w:rPr>
              <w:t>i</w:t>
            </w:r>
            <w:proofErr w:type="spellEnd"/>
            <w:r>
              <w:rPr>
                <w:rFonts w:ascii="Arial Narrow" w:hAnsi="Arial Narrow"/>
                <w:sz w:val="18"/>
                <w:szCs w:val="18"/>
              </w:rPr>
              <w:t xml:space="preserve">) </w:t>
            </w:r>
            <w:r w:rsidRPr="00DF6BB1">
              <w:rPr>
                <w:rFonts w:ascii="Arial Narrow" w:hAnsi="Arial Narrow"/>
                <w:sz w:val="18"/>
                <w:szCs w:val="18"/>
              </w:rPr>
              <w:t>the drug is changing,</w:t>
            </w:r>
            <w:r>
              <w:rPr>
                <w:rFonts w:ascii="Arial Narrow" w:hAnsi="Arial Narrow"/>
                <w:sz w:val="18"/>
                <w:szCs w:val="18"/>
              </w:rPr>
              <w:t xml:space="preserve"> (ii) </w:t>
            </w:r>
            <w:r w:rsidRPr="00DF6BB1">
              <w:rPr>
                <w:rFonts w:ascii="Arial Narrow" w:hAnsi="Arial Narrow"/>
                <w:sz w:val="18"/>
                <w:szCs w:val="18"/>
              </w:rPr>
              <w:t xml:space="preserve">a Continuing treatment authority application for </w:t>
            </w:r>
            <w:r>
              <w:rPr>
                <w:rFonts w:ascii="Arial Narrow" w:hAnsi="Arial Narrow"/>
                <w:sz w:val="18"/>
                <w:szCs w:val="18"/>
              </w:rPr>
              <w:t xml:space="preserve">growth hormone </w:t>
            </w:r>
            <w:r w:rsidRPr="00DF6BB1">
              <w:rPr>
                <w:rFonts w:ascii="Arial Narrow" w:hAnsi="Arial Narrow"/>
                <w:sz w:val="18"/>
                <w:szCs w:val="18"/>
              </w:rPr>
              <w:t>has not been rejected in the past</w:t>
            </w:r>
          </w:p>
          <w:p w14:paraId="709CCD32"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4A78D978"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042B3A" w14:paraId="3E307FBA" w14:textId="77777777" w:rsidTr="00475FED">
        <w:tc>
          <w:tcPr>
            <w:tcW w:w="0" w:type="auto"/>
          </w:tcPr>
          <w:p w14:paraId="22D2214E"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lastRenderedPageBreak/>
              <w:t>Clinical criteria</w:t>
            </w:r>
          </w:p>
        </w:tc>
        <w:tc>
          <w:tcPr>
            <w:tcW w:w="0" w:type="auto"/>
            <w:gridSpan w:val="6"/>
          </w:tcPr>
          <w:p w14:paraId="72547F88"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[17604]</w:t>
            </w:r>
          </w:p>
          <w:p w14:paraId="2EAD6836"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[17603] Patient must have previously received treatment under the PBS S100 Growth Hormone Program under the short stature associated with biochemical growth hormone deficiency category</w:t>
            </w:r>
          </w:p>
          <w:p w14:paraId="4D83B75C"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511E12CC" w14:textId="77777777" w:rsidR="00E31543" w:rsidRDefault="00E31543" w:rsidP="00475FED">
            <w:pPr>
              <w:spacing w:after="120"/>
              <w:rPr>
                <w:rFonts w:ascii="Arial Narrow" w:hAnsi="Arial Narrow"/>
                <w:sz w:val="18"/>
                <w:szCs w:val="18"/>
              </w:rPr>
            </w:pPr>
            <w:r>
              <w:rPr>
                <w:rFonts w:ascii="Arial Narrow" w:hAnsi="Arial Narrow"/>
                <w:sz w:val="18"/>
                <w:szCs w:val="18"/>
              </w:rPr>
              <w:t>[NEW CC3] Patient must have been treated with PBS-subsidised growth hormone for less than 32 weeks; or</w:t>
            </w:r>
          </w:p>
          <w:p w14:paraId="09C3F5CD" w14:textId="77777777" w:rsidR="00E31543" w:rsidRDefault="00E31543" w:rsidP="00475FED">
            <w:pPr>
              <w:spacing w:after="120"/>
              <w:rPr>
                <w:rFonts w:ascii="Arial Narrow" w:hAnsi="Arial Narrow"/>
                <w:sz w:val="18"/>
                <w:szCs w:val="18"/>
              </w:rPr>
            </w:pPr>
            <w:r>
              <w:rPr>
                <w:rFonts w:ascii="Arial Narrow" w:hAnsi="Arial Narrow"/>
                <w:sz w:val="18"/>
                <w:szCs w:val="18"/>
              </w:rPr>
              <w:t xml:space="preserve">[NEW CC4] Patient must have been treated with PBS-subsidised growth hormone for the most recent treatment period </w:t>
            </w:r>
            <w:r w:rsidRPr="006A6EB2">
              <w:rPr>
                <w:rFonts w:ascii="Arial Narrow" w:hAnsi="Arial Narrow"/>
                <w:sz w:val="18"/>
                <w:szCs w:val="18"/>
              </w:rPr>
              <w:t>(</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w:t>
            </w:r>
            <w:r w:rsidRPr="006A6EB2">
              <w:rPr>
                <w:rFonts w:ascii="Arial Narrow" w:hAnsi="Arial Narrow"/>
                <w:sz w:val="18"/>
                <w:szCs w:val="18"/>
              </w:rPr>
              <w:t>32 weeks for an initial</w:t>
            </w:r>
            <w:r>
              <w:rPr>
                <w:rFonts w:ascii="Arial Narrow" w:hAnsi="Arial Narrow"/>
                <w:sz w:val="18"/>
                <w:szCs w:val="18"/>
              </w:rPr>
              <w:t>/</w:t>
            </w:r>
            <w:r w:rsidRPr="006A6EB2">
              <w:rPr>
                <w:rFonts w:ascii="Arial Narrow" w:hAnsi="Arial Narrow"/>
                <w:sz w:val="18"/>
                <w:szCs w:val="18"/>
              </w:rPr>
              <w:t>recommencement treatment period</w:t>
            </w:r>
            <w:r>
              <w:rPr>
                <w:rFonts w:ascii="Arial Narrow" w:hAnsi="Arial Narrow"/>
                <w:sz w:val="18"/>
                <w:szCs w:val="18"/>
              </w:rPr>
              <w:t>,</w:t>
            </w:r>
            <w:r w:rsidRPr="006A6EB2">
              <w:rPr>
                <w:rFonts w:ascii="Arial Narrow" w:hAnsi="Arial Narrow"/>
                <w:sz w:val="18"/>
                <w:szCs w:val="18"/>
              </w:rPr>
              <w:t xml:space="preserve"> </w:t>
            </w:r>
            <w:r>
              <w:rPr>
                <w:rFonts w:ascii="Arial Narrow" w:hAnsi="Arial Narrow"/>
                <w:sz w:val="18"/>
                <w:szCs w:val="18"/>
              </w:rPr>
              <w:t>(ii)</w:t>
            </w:r>
            <w:r w:rsidRPr="006A6EB2">
              <w:rPr>
                <w:rFonts w:ascii="Arial Narrow" w:hAnsi="Arial Narrow"/>
                <w:sz w:val="18"/>
                <w:szCs w:val="18"/>
              </w:rPr>
              <w:t xml:space="preserve"> 26 weeks for a continuing treatment period)</w:t>
            </w:r>
            <w:r>
              <w:rPr>
                <w:rFonts w:ascii="Arial Narrow" w:hAnsi="Arial Narrow"/>
                <w:sz w:val="18"/>
                <w:szCs w:val="18"/>
              </w:rPr>
              <w:t xml:space="preserve"> where each of the following applies: (</w:t>
            </w:r>
            <w:proofErr w:type="spellStart"/>
            <w:r>
              <w:rPr>
                <w:rFonts w:ascii="Arial Narrow" w:hAnsi="Arial Narrow"/>
                <w:sz w:val="18"/>
                <w:szCs w:val="18"/>
              </w:rPr>
              <w:t>i</w:t>
            </w:r>
            <w:proofErr w:type="spellEnd"/>
            <w:r>
              <w:rPr>
                <w:rFonts w:ascii="Arial Narrow" w:hAnsi="Arial Narrow"/>
                <w:sz w:val="18"/>
                <w:szCs w:val="18"/>
              </w:rPr>
              <w:t>) has been treated for at least 32 weeks, (ii) has been assessed for growth for the most recent treatment period where either: (a) the assessment demonstrates adequate growth irrespective of dose, (b) the assessment demonstrates an inadequate response to treatment dosed less than the upper dose limit of the previous growth hormone</w:t>
            </w:r>
          </w:p>
          <w:p w14:paraId="3DB97D3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10053BE4"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[15708]</w:t>
            </w:r>
          </w:p>
          <w:p w14:paraId="33D740F1"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[15707] Patient must not have a condition with a known risk of malignancy including chromosomal abnormalities such as Down and Bloom syndromes</w:t>
            </w:r>
          </w:p>
          <w:p w14:paraId="63E33058"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1DC29529"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[15711]</w:t>
            </w:r>
          </w:p>
          <w:p w14:paraId="4CE0FCA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[15710] Patient must not have an active tumour or evidence of tumour growth or activity</w:t>
            </w:r>
          </w:p>
          <w:p w14:paraId="6E49FD7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278EAEA8"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[16068]</w:t>
            </w:r>
          </w:p>
          <w:p w14:paraId="27CF1B74"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[16066] Patient must be male and must not have a bone age of 15.5 years or more; or</w:t>
            </w:r>
          </w:p>
          <w:p w14:paraId="4F5D025D"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[16067] Patient must be female and must not have a bone age of 13.5 years or more</w:t>
            </w:r>
          </w:p>
        </w:tc>
      </w:tr>
      <w:tr w:rsidR="00E31543" w:rsidRPr="00042B3A" w14:paraId="4554832E" w14:textId="77777777" w:rsidTr="00475FED">
        <w:tc>
          <w:tcPr>
            <w:tcW w:w="0" w:type="auto"/>
          </w:tcPr>
          <w:p w14:paraId="65A0E985"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Population criteria</w:t>
            </w:r>
          </w:p>
        </w:tc>
        <w:tc>
          <w:tcPr>
            <w:tcW w:w="0" w:type="auto"/>
            <w:gridSpan w:val="6"/>
          </w:tcPr>
          <w:p w14:paraId="692B832F" w14:textId="77777777" w:rsidR="00E31543" w:rsidRPr="00042B3A" w:rsidRDefault="00E31543" w:rsidP="00475FED">
            <w:pPr>
              <w:spacing w:after="120"/>
              <w:rPr>
                <w:rFonts w:ascii="Arial Narrow" w:hAnsi="Arial Narrow"/>
                <w:sz w:val="18"/>
                <w:szCs w:val="18"/>
              </w:rPr>
            </w:pPr>
          </w:p>
        </w:tc>
      </w:tr>
      <w:tr w:rsidR="00E31543" w:rsidRPr="00042B3A" w14:paraId="0B6ADAD8" w14:textId="77777777" w:rsidTr="00475FED">
        <w:tc>
          <w:tcPr>
            <w:tcW w:w="0" w:type="auto"/>
          </w:tcPr>
          <w:p w14:paraId="56396522"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Foreword</w:t>
            </w:r>
          </w:p>
        </w:tc>
        <w:tc>
          <w:tcPr>
            <w:tcW w:w="0" w:type="auto"/>
            <w:gridSpan w:val="6"/>
          </w:tcPr>
          <w:p w14:paraId="72E9B8FE" w14:textId="77777777" w:rsidR="00E31543" w:rsidRPr="00042B3A" w:rsidRDefault="00E31543" w:rsidP="00475FED">
            <w:pPr>
              <w:spacing w:after="120"/>
              <w:rPr>
                <w:rFonts w:ascii="Arial Narrow" w:hAnsi="Arial Narrow"/>
                <w:sz w:val="18"/>
                <w:szCs w:val="18"/>
              </w:rPr>
            </w:pPr>
          </w:p>
        </w:tc>
      </w:tr>
      <w:tr w:rsidR="00E31543" w:rsidRPr="00042B3A" w14:paraId="7F767AF7" w14:textId="77777777" w:rsidTr="00475FED">
        <w:tc>
          <w:tcPr>
            <w:tcW w:w="0" w:type="auto"/>
          </w:tcPr>
          <w:p w14:paraId="1D5A399B"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Definitions</w:t>
            </w:r>
          </w:p>
        </w:tc>
        <w:tc>
          <w:tcPr>
            <w:tcW w:w="0" w:type="auto"/>
            <w:gridSpan w:val="6"/>
          </w:tcPr>
          <w:p w14:paraId="2960BE6F" w14:textId="77777777" w:rsidR="00E31543" w:rsidRPr="00042B3A" w:rsidRDefault="00E31543" w:rsidP="00475FED">
            <w:pPr>
              <w:spacing w:after="120"/>
              <w:rPr>
                <w:rFonts w:ascii="Arial Narrow" w:hAnsi="Arial Narrow"/>
                <w:sz w:val="18"/>
                <w:szCs w:val="18"/>
              </w:rPr>
            </w:pPr>
          </w:p>
        </w:tc>
      </w:tr>
      <w:tr w:rsidR="00E31543" w:rsidRPr="00042B3A" w14:paraId="476159D2" w14:textId="77777777" w:rsidTr="00475FED">
        <w:tc>
          <w:tcPr>
            <w:tcW w:w="0" w:type="auto"/>
          </w:tcPr>
          <w:p w14:paraId="7F586357"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Prescriber Instructions</w:t>
            </w:r>
            <w:r w:rsidRPr="00042B3A">
              <w:rPr>
                <w:rFonts w:ascii="Arial Narrow" w:hAnsi="Arial Narrow"/>
                <w:sz w:val="18"/>
                <w:szCs w:val="18"/>
              </w:rPr>
              <w:br/>
            </w:r>
          </w:p>
        </w:tc>
        <w:tc>
          <w:tcPr>
            <w:tcW w:w="0" w:type="auto"/>
            <w:gridSpan w:val="6"/>
          </w:tcPr>
          <w:p w14:paraId="7CE80C7E" w14:textId="77777777" w:rsidR="00E31543" w:rsidRDefault="00E31543" w:rsidP="00475FED">
            <w:pPr>
              <w:spacing w:after="120"/>
              <w:rPr>
                <w:rFonts w:ascii="Arial Narrow" w:hAnsi="Arial Narrow"/>
                <w:sz w:val="18"/>
                <w:szCs w:val="18"/>
              </w:rPr>
            </w:pPr>
            <w:r>
              <w:rPr>
                <w:rFonts w:ascii="Arial Narrow" w:hAnsi="Arial Narrow"/>
                <w:sz w:val="18"/>
                <w:szCs w:val="18"/>
              </w:rPr>
              <w:t>[NEW PI1] Definition of an adequate response to treatment:</w:t>
            </w:r>
          </w:p>
          <w:p w14:paraId="6D3442C5"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 xml:space="preserve">Patient must have </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achieved </w:t>
            </w:r>
            <w:r w:rsidRPr="00042B3A">
              <w:rPr>
                <w:rFonts w:ascii="Arial Narrow" w:hAnsi="Arial Narrow"/>
                <w:sz w:val="18"/>
                <w:szCs w:val="18"/>
              </w:rPr>
              <w:t>the 50th percentile growth velocity for bone age and sex</w:t>
            </w:r>
            <w:r>
              <w:rPr>
                <w:rFonts w:ascii="Arial Narrow" w:hAnsi="Arial Narrow"/>
                <w:sz w:val="18"/>
                <w:szCs w:val="18"/>
              </w:rPr>
              <w:t xml:space="preserve">, (ii) achieved </w:t>
            </w:r>
            <w:r w:rsidRPr="00042B3A">
              <w:rPr>
                <w:rFonts w:ascii="Arial Narrow" w:hAnsi="Arial Narrow"/>
                <w:sz w:val="18"/>
                <w:szCs w:val="18"/>
              </w:rPr>
              <w:t>an increase in height standard deviation score for chronological age and sex</w:t>
            </w:r>
            <w:r>
              <w:rPr>
                <w:rFonts w:ascii="Arial Narrow" w:hAnsi="Arial Narrow"/>
                <w:sz w:val="18"/>
                <w:szCs w:val="18"/>
              </w:rPr>
              <w:t>, (iii)</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 minimum growth velocity of 4cm/year</w:t>
            </w:r>
            <w:r>
              <w:rPr>
                <w:rFonts w:ascii="Arial Narrow" w:hAnsi="Arial Narrow"/>
                <w:sz w:val="18"/>
                <w:szCs w:val="18"/>
              </w:rPr>
              <w:t>, (iv)</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and maintained mid parental height standard deviation score</w:t>
            </w:r>
            <w:r>
              <w:rPr>
                <w:rFonts w:ascii="Arial Narrow" w:hAnsi="Arial Narrow"/>
                <w:sz w:val="18"/>
                <w:szCs w:val="18"/>
              </w:rPr>
              <w:t>.</w:t>
            </w:r>
          </w:p>
          <w:p w14:paraId="08F2694B" w14:textId="77777777" w:rsidR="00E31543" w:rsidRDefault="00E31543" w:rsidP="00475FED">
            <w:pPr>
              <w:spacing w:after="120"/>
              <w:rPr>
                <w:rFonts w:ascii="Arial Narrow" w:hAnsi="Arial Narrow"/>
                <w:sz w:val="18"/>
                <w:szCs w:val="18"/>
              </w:rPr>
            </w:pPr>
            <w:r>
              <w:rPr>
                <w:rFonts w:ascii="Arial Narrow" w:hAnsi="Arial Narrow"/>
                <w:sz w:val="18"/>
                <w:szCs w:val="18"/>
              </w:rPr>
              <w:t>Prescribers must assess if there is an adequate response to growth hormone treatment.</w:t>
            </w:r>
          </w:p>
          <w:p w14:paraId="56BE211C"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[16059] The maximum duration of each continuing treatment phase is 26 weeks. Prescribers must determine an appropriate weekly dose in accordance with the dosing arrangements detailed in the National Health (Growth Hormone Program) Special Arrangement 2015 and request the appropriate number of vials/cartridges required to provide sufficient drug for 13 weeks' worth of treatment (with up to 1 repeat allowed).</w:t>
            </w:r>
          </w:p>
          <w:p w14:paraId="57091838"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w:t>
            </w:r>
            <w:r>
              <w:rPr>
                <w:rFonts w:ascii="Arial Narrow" w:hAnsi="Arial Narrow"/>
                <w:sz w:val="18"/>
                <w:szCs w:val="18"/>
              </w:rPr>
              <w:t xml:space="preserve">amend </w:t>
            </w:r>
            <w:r w:rsidRPr="00042B3A">
              <w:rPr>
                <w:rFonts w:ascii="Arial Narrow" w:hAnsi="Arial Narrow"/>
                <w:sz w:val="18"/>
                <w:szCs w:val="18"/>
              </w:rPr>
              <w:t xml:space="preserve">23360] The authority application must be in writing and must </w:t>
            </w:r>
            <w:proofErr w:type="gramStart"/>
            <w:r w:rsidRPr="00042B3A">
              <w:rPr>
                <w:rFonts w:ascii="Arial Narrow" w:hAnsi="Arial Narrow"/>
                <w:sz w:val="18"/>
                <w:szCs w:val="18"/>
              </w:rPr>
              <w:t>include:,</w:t>
            </w:r>
            <w:proofErr w:type="gramEnd"/>
            <w:r w:rsidRPr="00042B3A">
              <w:rPr>
                <w:rFonts w:ascii="Arial Narrow" w:hAnsi="Arial Narrow"/>
                <w:sz w:val="18"/>
                <w:szCs w:val="18"/>
              </w:rPr>
              <w:t xml:space="preserve"> 1. A completed authority prescription form; AND, 2. A completed Growth Hormone Authority Application Supporting Information Form for continuing treatment; AND, 3. Growth data (height and weight) for the most recent 6 month treatment period, including data at both the start and end of the treatment period. The most recent data must not be older than three months; </w:t>
            </w:r>
            <w:proofErr w:type="gramStart"/>
            <w:r w:rsidRPr="00042B3A">
              <w:rPr>
                <w:rFonts w:ascii="Arial Narrow" w:hAnsi="Arial Narrow"/>
                <w:sz w:val="18"/>
                <w:szCs w:val="18"/>
              </w:rPr>
              <w:t>AND,</w:t>
            </w:r>
            <w:proofErr w:type="gramEnd"/>
            <w:r w:rsidRPr="00042B3A">
              <w:rPr>
                <w:rFonts w:ascii="Arial Narrow" w:hAnsi="Arial Narrow"/>
                <w:sz w:val="18"/>
                <w:szCs w:val="18"/>
              </w:rPr>
              <w:t xml:space="preserve"> 4. A bone age result performed within the last 12 months; AND, 5. The final adult height (in cm) of the patient's mother and father (where available); AND, 6. The proprietary name (brand), </w:t>
            </w:r>
            <w:r>
              <w:rPr>
                <w:rFonts w:ascii="Arial Narrow" w:hAnsi="Arial Narrow"/>
                <w:sz w:val="18"/>
                <w:szCs w:val="18"/>
              </w:rPr>
              <w:t>form and strength of the growth hormone requested</w:t>
            </w:r>
            <w:r w:rsidRPr="00042B3A">
              <w:rPr>
                <w:rFonts w:ascii="Arial Narrow" w:hAnsi="Arial Narrow"/>
                <w:sz w:val="18"/>
                <w:szCs w:val="18"/>
              </w:rPr>
              <w:t xml:space="preserve">, and the number of vials/cartridges required to provide sufficient drug for 13 </w:t>
            </w:r>
            <w:proofErr w:type="spellStart"/>
            <w:r w:rsidRPr="00042B3A">
              <w:rPr>
                <w:rFonts w:ascii="Arial Narrow" w:hAnsi="Arial Narrow"/>
                <w:sz w:val="18"/>
                <w:szCs w:val="18"/>
              </w:rPr>
              <w:t>weeks worth</w:t>
            </w:r>
            <w:proofErr w:type="spellEnd"/>
            <w:r w:rsidRPr="00042B3A">
              <w:rPr>
                <w:rFonts w:ascii="Arial Narrow" w:hAnsi="Arial Narrow"/>
                <w:sz w:val="18"/>
                <w:szCs w:val="18"/>
              </w:rPr>
              <w:t xml:space="preserve"> of treatment (with up to 1 repeat allowed).</w:t>
            </w:r>
          </w:p>
          <w:p w14:paraId="12F30F83"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1A6CF09"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lastRenderedPageBreak/>
              <w:t xml:space="preserve">[28759] </w:t>
            </w:r>
            <w:r w:rsidRPr="00042B3A">
              <w:rPr>
                <w:rFonts w:ascii="Arial Narrow" w:hAnsi="Arial Narrow"/>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042B3A" w14:paraId="2F0AB8F8" w14:textId="77777777" w:rsidTr="00475FED">
        <w:tc>
          <w:tcPr>
            <w:tcW w:w="0" w:type="auto"/>
          </w:tcPr>
          <w:p w14:paraId="7CBFA70D"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lastRenderedPageBreak/>
              <w:t>Administrative Advice</w:t>
            </w:r>
          </w:p>
        </w:tc>
        <w:tc>
          <w:tcPr>
            <w:tcW w:w="0" w:type="auto"/>
            <w:gridSpan w:val="6"/>
          </w:tcPr>
          <w:p w14:paraId="5F788ECA"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042B3A" w14:paraId="4DD9F7DA" w14:textId="77777777" w:rsidTr="00475FED">
        <w:tc>
          <w:tcPr>
            <w:tcW w:w="0" w:type="auto"/>
          </w:tcPr>
          <w:p w14:paraId="4966D6EA"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Cautions</w:t>
            </w:r>
          </w:p>
        </w:tc>
        <w:tc>
          <w:tcPr>
            <w:tcW w:w="0" w:type="auto"/>
            <w:gridSpan w:val="6"/>
          </w:tcPr>
          <w:p w14:paraId="094F9A2A" w14:textId="77777777" w:rsidR="00E31543" w:rsidRPr="00042B3A" w:rsidRDefault="00E31543" w:rsidP="00475FED">
            <w:pPr>
              <w:spacing w:after="120"/>
              <w:rPr>
                <w:rFonts w:ascii="Arial Narrow" w:hAnsi="Arial Narrow"/>
                <w:sz w:val="18"/>
                <w:szCs w:val="18"/>
              </w:rPr>
            </w:pPr>
          </w:p>
        </w:tc>
      </w:tr>
      <w:tr w:rsidR="00E31543" w:rsidRPr="00F04278" w14:paraId="6A4D683C" w14:textId="77777777" w:rsidTr="00E31543">
        <w:tc>
          <w:tcPr>
            <w:tcW w:w="862" w:type="pct"/>
          </w:tcPr>
          <w:p w14:paraId="1112A819"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Benefit Type</w:t>
            </w:r>
          </w:p>
        </w:tc>
        <w:tc>
          <w:tcPr>
            <w:tcW w:w="4138" w:type="pct"/>
            <w:gridSpan w:val="6"/>
          </w:tcPr>
          <w:p w14:paraId="13C7928A"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53229</w:t>
            </w:r>
          </w:p>
        </w:tc>
      </w:tr>
      <w:tr w:rsidR="00E31543" w:rsidRPr="00F04278" w14:paraId="52EC1C86" w14:textId="77777777" w:rsidTr="00E31543">
        <w:tc>
          <w:tcPr>
            <w:tcW w:w="862" w:type="pct"/>
          </w:tcPr>
          <w:p w14:paraId="36A4B72A"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Restriction Number</w:t>
            </w:r>
          </w:p>
        </w:tc>
        <w:tc>
          <w:tcPr>
            <w:tcW w:w="4138" w:type="pct"/>
            <w:gridSpan w:val="6"/>
          </w:tcPr>
          <w:p w14:paraId="68139947"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11791</w:t>
            </w:r>
          </w:p>
        </w:tc>
      </w:tr>
      <w:tr w:rsidR="00E31543" w:rsidRPr="00F04278" w14:paraId="0A378388" w14:textId="77777777" w:rsidTr="00E31543">
        <w:tc>
          <w:tcPr>
            <w:tcW w:w="862" w:type="pct"/>
          </w:tcPr>
          <w:p w14:paraId="470F1174"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Treatment of Code</w:t>
            </w:r>
            <w:r>
              <w:rPr>
                <w:rFonts w:ascii="Arial Narrow" w:hAnsi="Arial Narrow"/>
                <w:b/>
                <w:sz w:val="18"/>
                <w:szCs w:val="18"/>
              </w:rPr>
              <w:t xml:space="preserve"> </w:t>
            </w:r>
            <w:r w:rsidRPr="00F04278">
              <w:rPr>
                <w:rFonts w:ascii="Arial Narrow" w:hAnsi="Arial Narrow"/>
                <w:b/>
                <w:sz w:val="18"/>
                <w:szCs w:val="18"/>
              </w:rPr>
              <w:t>(</w:t>
            </w:r>
            <w:proofErr w:type="spellStart"/>
            <w:r w:rsidRPr="00F04278">
              <w:rPr>
                <w:rFonts w:ascii="Arial Narrow" w:hAnsi="Arial Narrow"/>
                <w:b/>
                <w:sz w:val="18"/>
                <w:szCs w:val="18"/>
              </w:rPr>
              <w:t>ToC</w:t>
            </w:r>
            <w:proofErr w:type="spellEnd"/>
            <w:r w:rsidRPr="00F04278">
              <w:rPr>
                <w:rFonts w:ascii="Arial Narrow" w:hAnsi="Arial Narrow"/>
                <w:b/>
                <w:sz w:val="18"/>
                <w:szCs w:val="18"/>
              </w:rPr>
              <w:t>)</w:t>
            </w:r>
          </w:p>
        </w:tc>
        <w:tc>
          <w:tcPr>
            <w:tcW w:w="4138" w:type="pct"/>
            <w:gridSpan w:val="6"/>
          </w:tcPr>
          <w:p w14:paraId="281D61A3"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8481</w:t>
            </w:r>
          </w:p>
        </w:tc>
      </w:tr>
      <w:tr w:rsidR="00E31543" w:rsidRPr="00F04278" w14:paraId="50E18E74" w14:textId="77777777" w:rsidTr="00E31543">
        <w:tc>
          <w:tcPr>
            <w:tcW w:w="862" w:type="pct"/>
          </w:tcPr>
          <w:p w14:paraId="0EBDBFAB"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Category / Program</w:t>
            </w:r>
          </w:p>
        </w:tc>
        <w:tc>
          <w:tcPr>
            <w:tcW w:w="4138" w:type="pct"/>
            <w:gridSpan w:val="6"/>
          </w:tcPr>
          <w:p w14:paraId="206EACA2"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S100 - Section 100 (Growth Hormone) (Code GH)</w:t>
            </w:r>
          </w:p>
        </w:tc>
      </w:tr>
      <w:tr w:rsidR="00E31543" w:rsidRPr="00F04278" w14:paraId="2C3F0C9C" w14:textId="77777777" w:rsidTr="00E31543">
        <w:tc>
          <w:tcPr>
            <w:tcW w:w="862" w:type="pct"/>
          </w:tcPr>
          <w:p w14:paraId="7822DC8B"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Prescriber Type(s)</w:t>
            </w:r>
          </w:p>
        </w:tc>
        <w:tc>
          <w:tcPr>
            <w:tcW w:w="4138" w:type="pct"/>
            <w:gridSpan w:val="6"/>
          </w:tcPr>
          <w:p w14:paraId="6C73A99E"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Medical Practitioners</w:t>
            </w:r>
          </w:p>
        </w:tc>
      </w:tr>
      <w:tr w:rsidR="00E31543" w:rsidRPr="00F04278" w14:paraId="6D4C4246" w14:textId="77777777" w:rsidTr="00E31543">
        <w:tc>
          <w:tcPr>
            <w:tcW w:w="862" w:type="pct"/>
          </w:tcPr>
          <w:p w14:paraId="09D37A0B"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PBS Indication</w:t>
            </w:r>
          </w:p>
        </w:tc>
        <w:tc>
          <w:tcPr>
            <w:tcW w:w="4138" w:type="pct"/>
            <w:gridSpan w:val="6"/>
          </w:tcPr>
          <w:p w14:paraId="10FDA269"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[15683] Short stature and slow growth</w:t>
            </w:r>
          </w:p>
        </w:tc>
      </w:tr>
      <w:tr w:rsidR="00E31543" w:rsidRPr="00F04278" w14:paraId="71052FD5" w14:textId="77777777" w:rsidTr="00E31543">
        <w:tc>
          <w:tcPr>
            <w:tcW w:w="862" w:type="pct"/>
          </w:tcPr>
          <w:p w14:paraId="2197771C"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Treatment phase</w:t>
            </w:r>
          </w:p>
        </w:tc>
        <w:tc>
          <w:tcPr>
            <w:tcW w:w="4138" w:type="pct"/>
            <w:gridSpan w:val="6"/>
          </w:tcPr>
          <w:p w14:paraId="4AC1346E"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Initial</w:t>
            </w:r>
            <w:r>
              <w:rPr>
                <w:rFonts w:ascii="Arial Narrow" w:hAnsi="Arial Narrow"/>
                <w:sz w:val="18"/>
                <w:szCs w:val="18"/>
              </w:rPr>
              <w:t xml:space="preserve"> PBS-subsidised</w:t>
            </w:r>
            <w:r w:rsidRPr="00F04278">
              <w:rPr>
                <w:rFonts w:ascii="Arial Narrow" w:hAnsi="Arial Narrow"/>
                <w:sz w:val="18"/>
                <w:szCs w:val="18"/>
              </w:rPr>
              <w:t xml:space="preserve"> treatment</w:t>
            </w:r>
          </w:p>
        </w:tc>
      </w:tr>
      <w:tr w:rsidR="00E31543" w:rsidRPr="00F04278" w14:paraId="29C3B995" w14:textId="77777777" w:rsidTr="00E31543">
        <w:tc>
          <w:tcPr>
            <w:tcW w:w="862" w:type="pct"/>
          </w:tcPr>
          <w:p w14:paraId="6F08F058"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Restriction Level / Method</w:t>
            </w:r>
          </w:p>
        </w:tc>
        <w:tc>
          <w:tcPr>
            <w:tcW w:w="4138" w:type="pct"/>
            <w:gridSpan w:val="6"/>
          </w:tcPr>
          <w:p w14:paraId="44F94473"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Authority required</w:t>
            </w:r>
          </w:p>
        </w:tc>
      </w:tr>
      <w:tr w:rsidR="00E31543" w:rsidRPr="00F04278" w14:paraId="54BF0906" w14:textId="77777777" w:rsidTr="00E31543">
        <w:tc>
          <w:tcPr>
            <w:tcW w:w="862" w:type="pct"/>
          </w:tcPr>
          <w:p w14:paraId="54B35FBF"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Treatment criteria</w:t>
            </w:r>
          </w:p>
        </w:tc>
        <w:tc>
          <w:tcPr>
            <w:tcW w:w="4138" w:type="pct"/>
            <w:gridSpan w:val="6"/>
          </w:tcPr>
          <w:p w14:paraId="006CFB55"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[15885]</w:t>
            </w:r>
          </w:p>
          <w:p w14:paraId="6FF2904B"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[15685] Must be treated by a specialist or consultant physician in paediatric endocrinology; or</w:t>
            </w:r>
          </w:p>
          <w:p w14:paraId="479671BA"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[15884] Must be treated by a specialist or consultant physician in general paediatrics in consultation with a nominated specialist or consultant physician in paediatric endocrinology</w:t>
            </w:r>
          </w:p>
          <w:p w14:paraId="7195C1E9"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193D0394" w14:textId="77777777" w:rsidR="00E31543" w:rsidRPr="00F04278"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r w:rsidDel="00A4518B">
              <w:rPr>
                <w:rFonts w:ascii="Arial Narrow" w:hAnsi="Arial Narrow"/>
                <w:sz w:val="18"/>
                <w:szCs w:val="18"/>
              </w:rPr>
              <w:t xml:space="preserve"> </w:t>
            </w:r>
          </w:p>
        </w:tc>
      </w:tr>
      <w:tr w:rsidR="00E31543" w:rsidRPr="00F04278" w14:paraId="00E9E999" w14:textId="77777777" w:rsidTr="00E31543">
        <w:tc>
          <w:tcPr>
            <w:tcW w:w="862" w:type="pct"/>
          </w:tcPr>
          <w:p w14:paraId="3FCA173A"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Clinical criteria</w:t>
            </w:r>
          </w:p>
        </w:tc>
        <w:tc>
          <w:tcPr>
            <w:tcW w:w="4138" w:type="pct"/>
            <w:gridSpan w:val="6"/>
          </w:tcPr>
          <w:p w14:paraId="46E9E310"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w:t>
            </w:r>
            <w:r>
              <w:rPr>
                <w:rFonts w:ascii="Arial Narrow" w:hAnsi="Arial Narrow"/>
                <w:sz w:val="18"/>
                <w:szCs w:val="18"/>
              </w:rPr>
              <w:t>New CC5</w:t>
            </w:r>
            <w:r w:rsidRPr="00F04278">
              <w:rPr>
                <w:rFonts w:ascii="Arial Narrow" w:hAnsi="Arial Narrow"/>
                <w:sz w:val="18"/>
                <w:szCs w:val="18"/>
              </w:rPr>
              <w:t>] Patient must have</w:t>
            </w:r>
            <w:r>
              <w:rPr>
                <w:rFonts w:ascii="Arial Narrow" w:hAnsi="Arial Narrow"/>
                <w:sz w:val="18"/>
                <w:szCs w:val="18"/>
              </w:rPr>
              <w:t>/have had</w:t>
            </w:r>
            <w:r w:rsidRPr="00F04278">
              <w:rPr>
                <w:rFonts w:ascii="Arial Narrow" w:hAnsi="Arial Narrow"/>
                <w:sz w:val="18"/>
                <w:szCs w:val="18"/>
              </w:rPr>
              <w:t xml:space="preserve"> a height</w:t>
            </w:r>
            <w:r>
              <w:rPr>
                <w:rFonts w:ascii="Arial Narrow" w:hAnsi="Arial Narrow"/>
                <w:sz w:val="18"/>
                <w:szCs w:val="18"/>
              </w:rPr>
              <w:t xml:space="preserve"> measurement</w:t>
            </w:r>
            <w:r w:rsidRPr="00F04278">
              <w:rPr>
                <w:rFonts w:ascii="Arial Narrow" w:hAnsi="Arial Narrow"/>
                <w:sz w:val="18"/>
                <w:szCs w:val="18"/>
              </w:rPr>
              <w:t xml:space="preserve"> </w:t>
            </w:r>
            <w:r>
              <w:rPr>
                <w:rFonts w:ascii="Arial Narrow" w:hAnsi="Arial Narrow"/>
                <w:sz w:val="18"/>
                <w:szCs w:val="18"/>
              </w:rPr>
              <w:t xml:space="preserve">no greater than </w:t>
            </w:r>
            <w:r w:rsidRPr="00F04278">
              <w:rPr>
                <w:rFonts w:ascii="Arial Narrow" w:hAnsi="Arial Narrow"/>
                <w:sz w:val="18"/>
                <w:szCs w:val="18"/>
              </w:rPr>
              <w:t xml:space="preserve">the 1st percentile </w:t>
            </w:r>
            <w:r>
              <w:rPr>
                <w:rFonts w:ascii="Arial Narrow" w:hAnsi="Arial Narrow"/>
                <w:sz w:val="18"/>
                <w:szCs w:val="18"/>
              </w:rPr>
              <w:t xml:space="preserve">adjusted </w:t>
            </w:r>
            <w:r w:rsidRPr="00F04278">
              <w:rPr>
                <w:rFonts w:ascii="Arial Narrow" w:hAnsi="Arial Narrow"/>
                <w:sz w:val="18"/>
                <w:szCs w:val="18"/>
              </w:rPr>
              <w:t xml:space="preserve">for age </w:t>
            </w:r>
            <w:r>
              <w:rPr>
                <w:rFonts w:ascii="Arial Narrow" w:hAnsi="Arial Narrow"/>
                <w:sz w:val="18"/>
                <w:szCs w:val="18"/>
              </w:rPr>
              <w:t>plus</w:t>
            </w:r>
            <w:r w:rsidRPr="00F04278">
              <w:rPr>
                <w:rFonts w:ascii="Arial Narrow" w:hAnsi="Arial Narrow"/>
                <w:sz w:val="18"/>
                <w:szCs w:val="18"/>
              </w:rPr>
              <w:t xml:space="preserve"> sex</w:t>
            </w:r>
            <w:r>
              <w:rPr>
                <w:rFonts w:ascii="Arial Narrow" w:hAnsi="Arial Narrow"/>
                <w:sz w:val="18"/>
                <w:szCs w:val="18"/>
              </w:rPr>
              <w:t>, at the time of initiating treatment with this drug</w:t>
            </w:r>
          </w:p>
          <w:p w14:paraId="15B8B23C"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699A5DF8" w14:textId="77777777" w:rsidR="00E31543" w:rsidRPr="009052C2" w:rsidRDefault="00E31543" w:rsidP="00475FED">
            <w:pPr>
              <w:spacing w:after="120"/>
              <w:rPr>
                <w:rFonts w:ascii="Arial Narrow" w:hAnsi="Arial Narrow" w:cs="Open Sans"/>
                <w:color w:val="333333"/>
                <w:sz w:val="18"/>
                <w:szCs w:val="18"/>
                <w:shd w:val="clear" w:color="auto" w:fill="FFFFFF"/>
              </w:rPr>
            </w:pPr>
            <w:r w:rsidRPr="009052C2">
              <w:rPr>
                <w:rFonts w:ascii="Arial Narrow" w:hAnsi="Arial Narrow" w:cs="Open Sans"/>
                <w:color w:val="333333"/>
                <w:sz w:val="18"/>
                <w:szCs w:val="18"/>
                <w:shd w:val="clear" w:color="auto" w:fill="FFFFFF"/>
              </w:rPr>
              <w:t>[</w:t>
            </w:r>
            <w:r>
              <w:rPr>
                <w:rFonts w:ascii="Arial Narrow" w:hAnsi="Arial Narrow" w:cs="Open Sans"/>
                <w:color w:val="333333"/>
                <w:sz w:val="18"/>
                <w:szCs w:val="18"/>
                <w:shd w:val="clear" w:color="auto" w:fill="FFFFFF"/>
              </w:rPr>
              <w:t>New CC6</w:t>
            </w:r>
            <w:r w:rsidRPr="009052C2">
              <w:rPr>
                <w:rFonts w:ascii="Arial Narrow" w:hAnsi="Arial Narrow" w:cs="Open Sans"/>
                <w:color w:val="333333"/>
                <w:sz w:val="18"/>
                <w:szCs w:val="18"/>
                <w:shd w:val="clear" w:color="auto" w:fill="FFFFFF"/>
              </w:rPr>
              <w:t>] Patient must have</w:t>
            </w:r>
            <w:r>
              <w:rPr>
                <w:rFonts w:ascii="Arial Narrow" w:hAnsi="Arial Narrow" w:cs="Open Sans"/>
                <w:color w:val="333333"/>
                <w:sz w:val="18"/>
                <w:szCs w:val="18"/>
                <w:shd w:val="clear" w:color="auto" w:fill="FFFFFF"/>
              </w:rPr>
              <w:t>/have had</w:t>
            </w:r>
            <w:r w:rsidRPr="009052C2">
              <w:rPr>
                <w:rFonts w:ascii="Arial Narrow" w:hAnsi="Arial Narrow" w:cs="Open Sans"/>
                <w:color w:val="333333"/>
                <w:sz w:val="18"/>
                <w:szCs w:val="18"/>
                <w:shd w:val="clear" w:color="auto" w:fill="FFFFFF"/>
              </w:rPr>
              <w:t xml:space="preserve"> a growth velocity </w:t>
            </w:r>
            <w:r>
              <w:rPr>
                <w:rFonts w:ascii="Arial Narrow" w:hAnsi="Arial Narrow" w:cs="Open Sans"/>
                <w:color w:val="333333"/>
                <w:sz w:val="18"/>
                <w:szCs w:val="18"/>
                <w:shd w:val="clear" w:color="auto" w:fill="FFFFFF"/>
              </w:rPr>
              <w:t xml:space="preserve">measurement </w:t>
            </w:r>
            <w:r w:rsidRPr="009052C2">
              <w:rPr>
                <w:rFonts w:ascii="Arial Narrow" w:hAnsi="Arial Narrow" w:cs="Open Sans"/>
                <w:color w:val="333333"/>
                <w:sz w:val="18"/>
                <w:szCs w:val="18"/>
                <w:shd w:val="clear" w:color="auto" w:fill="FFFFFF"/>
              </w:rPr>
              <w:t>below the 25th percentile</w:t>
            </w:r>
            <w:r>
              <w:rPr>
                <w:rFonts w:ascii="Arial Narrow" w:hAnsi="Arial Narrow" w:cs="Open Sans"/>
                <w:color w:val="333333"/>
                <w:sz w:val="18"/>
                <w:szCs w:val="18"/>
                <w:shd w:val="clear" w:color="auto" w:fill="FFFFFF"/>
              </w:rPr>
              <w:t xml:space="preserve"> adjusted</w:t>
            </w:r>
            <w:r w:rsidRPr="009052C2">
              <w:rPr>
                <w:rFonts w:ascii="Arial Narrow" w:hAnsi="Arial Narrow" w:cs="Open Sans"/>
                <w:color w:val="333333"/>
                <w:sz w:val="18"/>
                <w:szCs w:val="18"/>
                <w:shd w:val="clear" w:color="auto" w:fill="FFFFFF"/>
              </w:rPr>
              <w:t xml:space="preserve"> for bone age </w:t>
            </w:r>
            <w:r>
              <w:rPr>
                <w:rFonts w:ascii="Arial Narrow" w:hAnsi="Arial Narrow" w:cs="Open Sans"/>
                <w:color w:val="333333"/>
                <w:sz w:val="18"/>
                <w:szCs w:val="18"/>
                <w:shd w:val="clear" w:color="auto" w:fill="FFFFFF"/>
              </w:rPr>
              <w:t>plus</w:t>
            </w:r>
            <w:r w:rsidRPr="009052C2">
              <w:rPr>
                <w:rFonts w:ascii="Arial Narrow" w:hAnsi="Arial Narrow" w:cs="Open Sans"/>
                <w:color w:val="333333"/>
                <w:sz w:val="18"/>
                <w:szCs w:val="18"/>
                <w:shd w:val="clear" w:color="auto" w:fill="FFFFFF"/>
              </w:rPr>
              <w:t xml:space="preserve"> sex measured over a </w:t>
            </w:r>
            <w:proofErr w:type="gramStart"/>
            <w:r w:rsidRPr="009052C2">
              <w:rPr>
                <w:rFonts w:ascii="Arial Narrow" w:hAnsi="Arial Narrow" w:cs="Open Sans"/>
                <w:color w:val="333333"/>
                <w:sz w:val="18"/>
                <w:szCs w:val="18"/>
                <w:shd w:val="clear" w:color="auto" w:fill="FFFFFF"/>
              </w:rPr>
              <w:t>12 month</w:t>
            </w:r>
            <w:proofErr w:type="gramEnd"/>
            <w:r w:rsidRPr="009052C2">
              <w:rPr>
                <w:rFonts w:ascii="Arial Narrow" w:hAnsi="Arial Narrow" w:cs="Open Sans"/>
                <w:color w:val="333333"/>
                <w:sz w:val="18"/>
                <w:szCs w:val="18"/>
                <w:shd w:val="clear" w:color="auto" w:fill="FFFFFF"/>
              </w:rPr>
              <w:t xml:space="preserve"> interval (or a 6 month interval for an older child)</w:t>
            </w:r>
            <w:r>
              <w:rPr>
                <w:rFonts w:ascii="Arial Narrow" w:hAnsi="Arial Narrow" w:cs="Open Sans"/>
                <w:color w:val="333333"/>
                <w:sz w:val="18"/>
                <w:szCs w:val="18"/>
                <w:shd w:val="clear" w:color="auto" w:fill="FFFFFF"/>
              </w:rPr>
              <w:t>, at the time of initiating treatment with this drug</w:t>
            </w:r>
            <w:r w:rsidRPr="009052C2">
              <w:rPr>
                <w:rFonts w:ascii="Arial Narrow" w:hAnsi="Arial Narrow" w:cs="Open Sans"/>
                <w:color w:val="333333"/>
                <w:sz w:val="18"/>
                <w:szCs w:val="18"/>
                <w:shd w:val="clear" w:color="auto" w:fill="FFFFFF"/>
              </w:rPr>
              <w:t>; or</w:t>
            </w:r>
          </w:p>
          <w:p w14:paraId="6213D972" w14:textId="77777777" w:rsidR="00E31543" w:rsidRPr="00F04278" w:rsidRDefault="00E31543" w:rsidP="00475FED">
            <w:pPr>
              <w:spacing w:after="120"/>
              <w:rPr>
                <w:rFonts w:ascii="Arial Narrow" w:hAnsi="Arial Narrow" w:cs="Open Sans"/>
                <w:color w:val="00B0F0"/>
                <w:sz w:val="18"/>
                <w:szCs w:val="18"/>
                <w:shd w:val="clear" w:color="auto" w:fill="FFFFFF"/>
              </w:rPr>
            </w:pPr>
            <w:r w:rsidRPr="009052C2">
              <w:rPr>
                <w:rFonts w:ascii="Arial Narrow" w:hAnsi="Arial Narrow" w:cs="Open Sans"/>
                <w:color w:val="333333"/>
                <w:sz w:val="18"/>
                <w:szCs w:val="18"/>
                <w:shd w:val="clear" w:color="auto" w:fill="FFFFFF"/>
              </w:rPr>
              <w:t>[</w:t>
            </w:r>
            <w:r>
              <w:rPr>
                <w:rFonts w:ascii="Arial Narrow" w:hAnsi="Arial Narrow" w:cs="Open Sans"/>
                <w:color w:val="333333"/>
                <w:sz w:val="18"/>
                <w:szCs w:val="18"/>
                <w:shd w:val="clear" w:color="auto" w:fill="FFFFFF"/>
              </w:rPr>
              <w:t>New CC7</w:t>
            </w:r>
            <w:r w:rsidRPr="009052C2">
              <w:rPr>
                <w:rFonts w:ascii="Arial Narrow" w:hAnsi="Arial Narrow" w:cs="Open Sans"/>
                <w:color w:val="333333"/>
                <w:sz w:val="18"/>
                <w:szCs w:val="18"/>
                <w:shd w:val="clear" w:color="auto" w:fill="FFFFFF"/>
              </w:rPr>
              <w:t>] Patient must have</w:t>
            </w:r>
            <w:r>
              <w:rPr>
                <w:rFonts w:ascii="Arial Narrow" w:hAnsi="Arial Narrow" w:cs="Open Sans"/>
                <w:color w:val="333333"/>
                <w:sz w:val="18"/>
                <w:szCs w:val="18"/>
                <w:shd w:val="clear" w:color="auto" w:fill="FFFFFF"/>
              </w:rPr>
              <w:t>/have had</w:t>
            </w:r>
            <w:r w:rsidRPr="009052C2">
              <w:rPr>
                <w:rFonts w:ascii="Arial Narrow" w:hAnsi="Arial Narrow" w:cs="Open Sans"/>
                <w:color w:val="333333"/>
                <w:sz w:val="18"/>
                <w:szCs w:val="18"/>
                <w:shd w:val="clear" w:color="auto" w:fill="FFFFFF"/>
              </w:rPr>
              <w:t xml:space="preserve"> an annual growth velocity of </w:t>
            </w:r>
            <w:r>
              <w:rPr>
                <w:rFonts w:ascii="Arial Narrow" w:hAnsi="Arial Narrow" w:cs="Open Sans"/>
                <w:color w:val="333333"/>
                <w:sz w:val="18"/>
                <w:szCs w:val="18"/>
                <w:shd w:val="clear" w:color="auto" w:fill="FFFFFF"/>
              </w:rPr>
              <w:t xml:space="preserve">no greater than </w:t>
            </w:r>
            <w:r w:rsidRPr="009052C2">
              <w:rPr>
                <w:rFonts w:ascii="Arial Narrow" w:hAnsi="Arial Narrow" w:cs="Open Sans"/>
                <w:color w:val="333333"/>
                <w:sz w:val="18"/>
                <w:szCs w:val="18"/>
                <w:shd w:val="clear" w:color="auto" w:fill="FFFFFF"/>
              </w:rPr>
              <w:t xml:space="preserve">8 cm per </w:t>
            </w:r>
            <w:proofErr w:type="gramStart"/>
            <w:r w:rsidRPr="009052C2">
              <w:rPr>
                <w:rFonts w:ascii="Arial Narrow" w:hAnsi="Arial Narrow" w:cs="Open Sans"/>
                <w:color w:val="333333"/>
                <w:sz w:val="18"/>
                <w:szCs w:val="18"/>
                <w:shd w:val="clear" w:color="auto" w:fill="FFFFFF"/>
              </w:rPr>
              <w:t xml:space="preserve">year  </w:t>
            </w:r>
            <w:r>
              <w:rPr>
                <w:rFonts w:ascii="Arial Narrow" w:hAnsi="Arial Narrow" w:cs="Open Sans"/>
                <w:color w:val="333333"/>
                <w:sz w:val="18"/>
                <w:szCs w:val="18"/>
                <w:shd w:val="clear" w:color="auto" w:fill="FFFFFF"/>
              </w:rPr>
              <w:t>(</w:t>
            </w:r>
            <w:proofErr w:type="gramEnd"/>
            <w:r>
              <w:rPr>
                <w:rFonts w:ascii="Arial Narrow" w:hAnsi="Arial Narrow" w:cs="Open Sans"/>
                <w:color w:val="333333"/>
                <w:sz w:val="18"/>
                <w:szCs w:val="18"/>
                <w:shd w:val="clear" w:color="auto" w:fill="FFFFFF"/>
              </w:rPr>
              <w:t>where</w:t>
            </w:r>
            <w:r w:rsidRPr="009052C2">
              <w:rPr>
                <w:rFonts w:ascii="Arial Narrow" w:hAnsi="Arial Narrow" w:cs="Open Sans"/>
                <w:color w:val="333333"/>
                <w:sz w:val="18"/>
                <w:szCs w:val="18"/>
                <w:shd w:val="clear" w:color="auto" w:fill="FFFFFF"/>
              </w:rPr>
              <w:t xml:space="preserve"> the patient has</w:t>
            </w:r>
            <w:r>
              <w:rPr>
                <w:rFonts w:ascii="Arial Narrow" w:hAnsi="Arial Narrow" w:cs="Open Sans"/>
                <w:color w:val="333333"/>
                <w:sz w:val="18"/>
                <w:szCs w:val="18"/>
                <w:shd w:val="clear" w:color="auto" w:fill="FFFFFF"/>
              </w:rPr>
              <w:t xml:space="preserve">/had </w:t>
            </w:r>
            <w:r w:rsidRPr="009052C2">
              <w:rPr>
                <w:rFonts w:ascii="Arial Narrow" w:hAnsi="Arial Narrow" w:cs="Open Sans"/>
                <w:color w:val="333333"/>
                <w:sz w:val="18"/>
                <w:szCs w:val="18"/>
                <w:shd w:val="clear" w:color="auto" w:fill="FFFFFF"/>
              </w:rPr>
              <w:t>a bone</w:t>
            </w:r>
            <w:r>
              <w:rPr>
                <w:rFonts w:ascii="Arial Narrow" w:hAnsi="Arial Narrow" w:cs="Open Sans"/>
                <w:color w:val="333333"/>
                <w:sz w:val="18"/>
                <w:szCs w:val="18"/>
                <w:shd w:val="clear" w:color="auto" w:fill="FFFFFF"/>
              </w:rPr>
              <w:t>/</w:t>
            </w:r>
            <w:r w:rsidRPr="009052C2">
              <w:rPr>
                <w:rFonts w:ascii="Arial Narrow" w:hAnsi="Arial Narrow" w:cs="Open Sans"/>
                <w:color w:val="333333"/>
                <w:sz w:val="18"/>
                <w:szCs w:val="18"/>
                <w:shd w:val="clear" w:color="auto" w:fill="FFFFFF"/>
              </w:rPr>
              <w:t xml:space="preserve">chronological age of </w:t>
            </w:r>
            <w:r>
              <w:rPr>
                <w:rFonts w:ascii="Arial Narrow" w:hAnsi="Arial Narrow" w:cs="Open Sans"/>
                <w:color w:val="333333"/>
                <w:sz w:val="18"/>
                <w:szCs w:val="18"/>
                <w:shd w:val="clear" w:color="auto" w:fill="FFFFFF"/>
              </w:rPr>
              <w:t xml:space="preserve">no greater than </w:t>
            </w:r>
            <w:r w:rsidRPr="009052C2">
              <w:rPr>
                <w:rFonts w:ascii="Arial Narrow" w:hAnsi="Arial Narrow" w:cs="Open Sans"/>
                <w:color w:val="333333"/>
                <w:sz w:val="18"/>
                <w:szCs w:val="18"/>
                <w:shd w:val="clear" w:color="auto" w:fill="FFFFFF"/>
              </w:rPr>
              <w:t>2.5 years</w:t>
            </w:r>
            <w:r>
              <w:rPr>
                <w:rFonts w:ascii="Arial Narrow" w:hAnsi="Arial Narrow" w:cs="Open Sans"/>
                <w:color w:val="333333"/>
                <w:sz w:val="18"/>
                <w:szCs w:val="18"/>
                <w:shd w:val="clear" w:color="auto" w:fill="FFFFFF"/>
              </w:rPr>
              <w:t>),</w:t>
            </w:r>
            <w:r w:rsidRPr="009052C2">
              <w:rPr>
                <w:rFonts w:ascii="Arial Narrow" w:hAnsi="Arial Narrow" w:cs="Open Sans"/>
                <w:color w:val="333333"/>
                <w:sz w:val="18"/>
                <w:szCs w:val="18"/>
                <w:shd w:val="clear" w:color="auto" w:fill="FFFFFF"/>
              </w:rPr>
              <w:t xml:space="preserve"> </w:t>
            </w:r>
            <w:r>
              <w:rPr>
                <w:rFonts w:ascii="Arial Narrow" w:hAnsi="Arial Narrow" w:cs="Open Sans"/>
                <w:color w:val="333333"/>
                <w:sz w:val="18"/>
                <w:szCs w:val="18"/>
                <w:shd w:val="clear" w:color="auto" w:fill="FFFFFF"/>
              </w:rPr>
              <w:t xml:space="preserve"> at the time of initiating treatment with this drug</w:t>
            </w:r>
          </w:p>
          <w:p w14:paraId="2E89C8E6" w14:textId="77777777" w:rsidR="00E31543" w:rsidRPr="00E31543" w:rsidRDefault="00E31543" w:rsidP="00475FED">
            <w:pPr>
              <w:spacing w:after="120"/>
              <w:rPr>
                <w:rFonts w:ascii="Arial Narrow" w:hAnsi="Arial Narrow"/>
                <w:sz w:val="18"/>
                <w:szCs w:val="18"/>
              </w:rPr>
            </w:pPr>
            <w:r w:rsidRPr="00E31543">
              <w:rPr>
                <w:rFonts w:ascii="Arial Narrow" w:hAnsi="Arial Narrow"/>
                <w:sz w:val="18"/>
                <w:szCs w:val="18"/>
              </w:rPr>
              <w:t>AND</w:t>
            </w:r>
          </w:p>
          <w:p w14:paraId="76ECFB44" w14:textId="77777777" w:rsidR="00E31543" w:rsidRPr="00E31543" w:rsidRDefault="00E31543" w:rsidP="00475FED">
            <w:pPr>
              <w:spacing w:after="120"/>
              <w:rPr>
                <w:rFonts w:ascii="Arial Narrow" w:hAnsi="Arial Narrow"/>
                <w:sz w:val="18"/>
                <w:szCs w:val="18"/>
              </w:rPr>
            </w:pPr>
            <w:r w:rsidRPr="00E31543">
              <w:rPr>
                <w:rFonts w:ascii="Arial Narrow" w:hAnsi="Arial Narrow"/>
                <w:sz w:val="18"/>
                <w:szCs w:val="18"/>
              </w:rPr>
              <w:t>[NEW CC8] Patient must have been treated with non-PBS-subsidised growth hormone for the most recent treatment period (either: (</w:t>
            </w:r>
            <w:proofErr w:type="spellStart"/>
            <w:r w:rsidRPr="00E31543">
              <w:rPr>
                <w:rFonts w:ascii="Arial Narrow" w:hAnsi="Arial Narrow"/>
                <w:sz w:val="18"/>
                <w:szCs w:val="18"/>
              </w:rPr>
              <w:t>i</w:t>
            </w:r>
            <w:proofErr w:type="spellEnd"/>
            <w:r w:rsidRPr="00E31543">
              <w:rPr>
                <w:rFonts w:ascii="Arial Narrow" w:hAnsi="Arial Narrow"/>
                <w:sz w:val="18"/>
                <w:szCs w:val="18"/>
              </w:rPr>
              <w:t>) 32 weeks for an initial/recommencement treatment period, (ii) 26 weeks for a continuing treatment period) if treatment was initiated with non-PBS supply; and</w:t>
            </w:r>
          </w:p>
          <w:p w14:paraId="7C704620" w14:textId="77777777" w:rsidR="00E31543" w:rsidRPr="00E31543" w:rsidRDefault="00E31543" w:rsidP="00475FED">
            <w:pPr>
              <w:spacing w:after="120"/>
              <w:rPr>
                <w:rFonts w:ascii="Arial Narrow" w:hAnsi="Arial Narrow"/>
                <w:sz w:val="18"/>
                <w:szCs w:val="18"/>
              </w:rPr>
            </w:pPr>
            <w:r w:rsidRPr="00E31543">
              <w:rPr>
                <w:rFonts w:ascii="Arial Narrow" w:hAnsi="Arial Narrow"/>
                <w:sz w:val="18"/>
                <w:szCs w:val="18"/>
              </w:rPr>
              <w:t>[NEW CC2] Patient must have been assessed for growth for the most recent treatment period where either: (</w:t>
            </w:r>
            <w:proofErr w:type="spellStart"/>
            <w:r w:rsidRPr="00E31543">
              <w:rPr>
                <w:rFonts w:ascii="Arial Narrow" w:hAnsi="Arial Narrow"/>
                <w:sz w:val="18"/>
                <w:szCs w:val="18"/>
              </w:rPr>
              <w:t>i</w:t>
            </w:r>
            <w:proofErr w:type="spellEnd"/>
            <w:r w:rsidRPr="00E31543">
              <w:rPr>
                <w:rFonts w:ascii="Arial Narrow" w:hAnsi="Arial Narrow"/>
                <w:sz w:val="18"/>
                <w:szCs w:val="18"/>
              </w:rPr>
              <w:t>) the assessment demonstrates an adequate response to treatment irrespective of dose, (ii) the assessment demonstrates an inadequate response to treatment dosed less than the upper dose limit</w:t>
            </w:r>
          </w:p>
          <w:p w14:paraId="7A3F4583" w14:textId="77777777" w:rsidR="00E31543" w:rsidRPr="00E31543" w:rsidRDefault="00E31543" w:rsidP="00475FED">
            <w:pPr>
              <w:spacing w:after="120"/>
              <w:rPr>
                <w:rFonts w:ascii="Arial Narrow" w:hAnsi="Arial Narrow"/>
                <w:sz w:val="18"/>
                <w:szCs w:val="18"/>
              </w:rPr>
            </w:pPr>
            <w:r w:rsidRPr="00E31543">
              <w:rPr>
                <w:rFonts w:ascii="Arial Narrow" w:hAnsi="Arial Narrow"/>
                <w:sz w:val="18"/>
                <w:szCs w:val="18"/>
              </w:rPr>
              <w:t>AND</w:t>
            </w:r>
          </w:p>
          <w:p w14:paraId="685AB796"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[15708]</w:t>
            </w:r>
          </w:p>
          <w:p w14:paraId="7B41DF36"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[15707] Patient must not have a condition with a known risk of malignancy including chromosomal abnormalities such as Down and Bloom syndromes</w:t>
            </w:r>
          </w:p>
          <w:p w14:paraId="291D2623"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5E4CC895"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lastRenderedPageBreak/>
              <w:t>[15711]</w:t>
            </w:r>
          </w:p>
          <w:p w14:paraId="42B7DAFD"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[15710] Patient must not have an active tumour or evidence of tumour growth or activity</w:t>
            </w:r>
          </w:p>
          <w:p w14:paraId="2258F41A"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49995B44"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[17583]</w:t>
            </w:r>
          </w:p>
          <w:p w14:paraId="1B4F2708"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[17582] Patient must not have previously received treatment under the PBS S100 Growth Hormone Program</w:t>
            </w:r>
          </w:p>
          <w:p w14:paraId="469923E4"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7C02AE54"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[16068]</w:t>
            </w:r>
          </w:p>
          <w:p w14:paraId="0DE6B7D1"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[16066] Patient must be male and must not have a bone age of 15.5 years or more; or</w:t>
            </w:r>
          </w:p>
          <w:p w14:paraId="67268498"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[16067] Patient must be female and must not have a bone age of 13.5 years or more</w:t>
            </w:r>
          </w:p>
          <w:p w14:paraId="4BB9B9D9"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2F1B92A0"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[16071]</w:t>
            </w:r>
          </w:p>
          <w:p w14:paraId="4FD4C0F7"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 xml:space="preserve">[16069] Patient must be male and must not have a height greater than or equal to 167.7 </w:t>
            </w:r>
            <w:proofErr w:type="gramStart"/>
            <w:r w:rsidRPr="00F04278">
              <w:rPr>
                <w:rFonts w:ascii="Arial Narrow" w:hAnsi="Arial Narrow"/>
                <w:sz w:val="18"/>
                <w:szCs w:val="18"/>
              </w:rPr>
              <w:t>cm;</w:t>
            </w:r>
            <w:proofErr w:type="gramEnd"/>
            <w:r w:rsidRPr="00F04278">
              <w:rPr>
                <w:rFonts w:ascii="Arial Narrow" w:hAnsi="Arial Narrow"/>
                <w:sz w:val="18"/>
                <w:szCs w:val="18"/>
              </w:rPr>
              <w:t xml:space="preserve"> or</w:t>
            </w:r>
          </w:p>
          <w:p w14:paraId="2FFBB074"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[16070] Patient must be female and must not have a height greater than or equal to 155.0 cm</w:t>
            </w:r>
          </w:p>
          <w:p w14:paraId="65AD1B1E"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AND</w:t>
            </w:r>
          </w:p>
          <w:p w14:paraId="3CF64AF4"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[17223]</w:t>
            </w:r>
          </w:p>
          <w:p w14:paraId="4FA6528C"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 xml:space="preserve">[17221] Patient must be male and must not have maturational or constitutional delay in combination with an estimated mature height equal to or above 160.1 </w:t>
            </w:r>
            <w:proofErr w:type="gramStart"/>
            <w:r w:rsidRPr="00F04278">
              <w:rPr>
                <w:rFonts w:ascii="Arial Narrow" w:hAnsi="Arial Narrow"/>
                <w:sz w:val="18"/>
                <w:szCs w:val="18"/>
              </w:rPr>
              <w:t>cm;</w:t>
            </w:r>
            <w:proofErr w:type="gramEnd"/>
            <w:r w:rsidRPr="00F04278">
              <w:rPr>
                <w:rFonts w:ascii="Arial Narrow" w:hAnsi="Arial Narrow"/>
                <w:sz w:val="18"/>
                <w:szCs w:val="18"/>
              </w:rPr>
              <w:t xml:space="preserve"> or</w:t>
            </w:r>
          </w:p>
          <w:p w14:paraId="3AB9B1E1"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[17222] Patient must be female and must not have maturational or constitutional delay in combination with an estimated mature height equal to or above 148.0 cm</w:t>
            </w:r>
          </w:p>
        </w:tc>
      </w:tr>
      <w:tr w:rsidR="00E31543" w:rsidRPr="00F04278" w14:paraId="59704DCC" w14:textId="77777777" w:rsidTr="00E31543">
        <w:tc>
          <w:tcPr>
            <w:tcW w:w="862" w:type="pct"/>
          </w:tcPr>
          <w:p w14:paraId="28B3326E"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lastRenderedPageBreak/>
              <w:t>Population criteria</w:t>
            </w:r>
          </w:p>
        </w:tc>
        <w:tc>
          <w:tcPr>
            <w:tcW w:w="4138" w:type="pct"/>
            <w:gridSpan w:val="6"/>
          </w:tcPr>
          <w:p w14:paraId="7DA26101" w14:textId="77777777" w:rsidR="00E31543" w:rsidRPr="00F04278" w:rsidRDefault="00E31543" w:rsidP="00475FED">
            <w:pPr>
              <w:spacing w:after="120"/>
              <w:rPr>
                <w:rFonts w:ascii="Arial Narrow" w:hAnsi="Arial Narrow"/>
                <w:sz w:val="18"/>
                <w:szCs w:val="18"/>
              </w:rPr>
            </w:pPr>
          </w:p>
        </w:tc>
      </w:tr>
      <w:tr w:rsidR="00E31543" w:rsidRPr="00F04278" w14:paraId="66FC115D" w14:textId="77777777" w:rsidTr="00E31543">
        <w:tc>
          <w:tcPr>
            <w:tcW w:w="862" w:type="pct"/>
          </w:tcPr>
          <w:p w14:paraId="44657907"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Foreword</w:t>
            </w:r>
          </w:p>
        </w:tc>
        <w:tc>
          <w:tcPr>
            <w:tcW w:w="4138" w:type="pct"/>
            <w:gridSpan w:val="6"/>
          </w:tcPr>
          <w:p w14:paraId="03E0ED4B" w14:textId="77777777" w:rsidR="00E31543" w:rsidRPr="00F04278" w:rsidRDefault="00E31543" w:rsidP="00475FED">
            <w:pPr>
              <w:spacing w:after="120"/>
              <w:rPr>
                <w:rFonts w:ascii="Arial Narrow" w:hAnsi="Arial Narrow"/>
                <w:sz w:val="18"/>
                <w:szCs w:val="18"/>
              </w:rPr>
            </w:pPr>
          </w:p>
        </w:tc>
      </w:tr>
      <w:tr w:rsidR="00E31543" w:rsidRPr="00F04278" w14:paraId="4094E8F9" w14:textId="77777777" w:rsidTr="00E31543">
        <w:tc>
          <w:tcPr>
            <w:tcW w:w="862" w:type="pct"/>
          </w:tcPr>
          <w:p w14:paraId="6F3302AF"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Definitions</w:t>
            </w:r>
          </w:p>
        </w:tc>
        <w:tc>
          <w:tcPr>
            <w:tcW w:w="4138" w:type="pct"/>
            <w:gridSpan w:val="6"/>
          </w:tcPr>
          <w:p w14:paraId="12FAF4FA" w14:textId="77777777" w:rsidR="00E31543" w:rsidRPr="00F04278" w:rsidRDefault="00E31543" w:rsidP="00475FED">
            <w:pPr>
              <w:spacing w:after="120"/>
              <w:rPr>
                <w:rFonts w:ascii="Arial Narrow" w:hAnsi="Arial Narrow"/>
                <w:sz w:val="18"/>
                <w:szCs w:val="18"/>
              </w:rPr>
            </w:pPr>
          </w:p>
        </w:tc>
      </w:tr>
      <w:tr w:rsidR="00E31543" w:rsidRPr="00F04278" w14:paraId="2E8C7D63" w14:textId="77777777" w:rsidTr="00E31543">
        <w:tc>
          <w:tcPr>
            <w:tcW w:w="862" w:type="pct"/>
          </w:tcPr>
          <w:p w14:paraId="2BBA5D3E"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t>Prescriber Instructions</w:t>
            </w:r>
          </w:p>
        </w:tc>
        <w:tc>
          <w:tcPr>
            <w:tcW w:w="4138" w:type="pct"/>
            <w:gridSpan w:val="6"/>
          </w:tcPr>
          <w:p w14:paraId="2797E3A0" w14:textId="77777777" w:rsidR="00E31543" w:rsidRDefault="00E31543" w:rsidP="00475FED">
            <w:pPr>
              <w:spacing w:after="120"/>
              <w:rPr>
                <w:rFonts w:ascii="Arial Narrow" w:hAnsi="Arial Narrow"/>
                <w:sz w:val="18"/>
                <w:szCs w:val="18"/>
              </w:rPr>
            </w:pPr>
            <w:r>
              <w:rPr>
                <w:rFonts w:ascii="Arial Narrow" w:hAnsi="Arial Narrow"/>
                <w:sz w:val="18"/>
                <w:szCs w:val="18"/>
              </w:rPr>
              <w:t>[NEW PI1] Definition of an adequate response to treatment:</w:t>
            </w:r>
          </w:p>
          <w:p w14:paraId="09042B46"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 xml:space="preserve">Patient must have </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achieved </w:t>
            </w:r>
            <w:r w:rsidRPr="00042B3A">
              <w:rPr>
                <w:rFonts w:ascii="Arial Narrow" w:hAnsi="Arial Narrow"/>
                <w:sz w:val="18"/>
                <w:szCs w:val="18"/>
              </w:rPr>
              <w:t>the 50th percentile growth velocity for bone age and sex</w:t>
            </w:r>
            <w:r>
              <w:rPr>
                <w:rFonts w:ascii="Arial Narrow" w:hAnsi="Arial Narrow"/>
                <w:sz w:val="18"/>
                <w:szCs w:val="18"/>
              </w:rPr>
              <w:t xml:space="preserve">, (ii) achieved </w:t>
            </w:r>
            <w:r w:rsidRPr="00042B3A">
              <w:rPr>
                <w:rFonts w:ascii="Arial Narrow" w:hAnsi="Arial Narrow"/>
                <w:sz w:val="18"/>
                <w:szCs w:val="18"/>
              </w:rPr>
              <w:t>an increase in height standard deviation score for chronological age and sex</w:t>
            </w:r>
            <w:r>
              <w:rPr>
                <w:rFonts w:ascii="Arial Narrow" w:hAnsi="Arial Narrow"/>
                <w:sz w:val="18"/>
                <w:szCs w:val="18"/>
              </w:rPr>
              <w:t>, (iii)</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 minimum growth velocity of 4cm/year</w:t>
            </w:r>
            <w:r>
              <w:rPr>
                <w:rFonts w:ascii="Arial Narrow" w:hAnsi="Arial Narrow"/>
                <w:sz w:val="18"/>
                <w:szCs w:val="18"/>
              </w:rPr>
              <w:t>, (iv)</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and maintained mid parental height standard deviation score</w:t>
            </w:r>
            <w:r>
              <w:rPr>
                <w:rFonts w:ascii="Arial Narrow" w:hAnsi="Arial Narrow"/>
                <w:sz w:val="18"/>
                <w:szCs w:val="18"/>
              </w:rPr>
              <w:t>.</w:t>
            </w:r>
          </w:p>
          <w:p w14:paraId="7FFCCE1B" w14:textId="77777777" w:rsidR="00E31543" w:rsidRDefault="00E31543" w:rsidP="00475FED">
            <w:pPr>
              <w:spacing w:after="120"/>
              <w:rPr>
                <w:rFonts w:ascii="Arial Narrow" w:hAnsi="Arial Narrow"/>
                <w:sz w:val="18"/>
                <w:szCs w:val="18"/>
              </w:rPr>
            </w:pPr>
            <w:r>
              <w:rPr>
                <w:rFonts w:ascii="Arial Narrow" w:hAnsi="Arial Narrow"/>
                <w:sz w:val="18"/>
                <w:szCs w:val="18"/>
              </w:rPr>
              <w:t>Prescribers must assess if there is an adequate response to growth hormone treatment.</w:t>
            </w:r>
          </w:p>
          <w:p w14:paraId="207BCC0F"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[23357] An older child is defined as a male with a chronological age of at least 12 years or a bone age of at least 10 years, or a female with a chronological age of at least 10 years or a bone age of at least 8 years.</w:t>
            </w:r>
          </w:p>
          <w:p w14:paraId="485024CE"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[16075] The maximum duration of the initial treatment phase is 32 weeks. Prescribers must determine an appropriate weekly dose in accordance with the dosing arrangements detailed in the National Health (Growth Hormone Program) Special Arrangement 2015 and request the appropriate number of vials/cartridges required to provide sufficient drug for 16 weeks' worth of treatment (with up to 1 repeat allowed).</w:t>
            </w:r>
          </w:p>
          <w:p w14:paraId="45A0C602" w14:textId="77777777" w:rsidR="00E31543" w:rsidRPr="00F04278" w:rsidRDefault="00E31543" w:rsidP="00475FED">
            <w:pPr>
              <w:spacing w:after="120"/>
              <w:rPr>
                <w:rFonts w:ascii="Arial Narrow" w:hAnsi="Arial Narrow" w:cs="Open Sans"/>
                <w:color w:val="333333"/>
                <w:sz w:val="18"/>
                <w:szCs w:val="18"/>
                <w:shd w:val="clear" w:color="auto" w:fill="FFFFFF"/>
              </w:rPr>
            </w:pPr>
            <w:r>
              <w:rPr>
                <w:rFonts w:ascii="Arial Narrow" w:hAnsi="Arial Narrow"/>
                <w:sz w:val="18"/>
                <w:szCs w:val="18"/>
              </w:rPr>
              <w:t>[NEW PI2]</w:t>
            </w:r>
          </w:p>
          <w:p w14:paraId="43D90608" w14:textId="77777777" w:rsidR="00E31543" w:rsidRPr="00F04278" w:rsidRDefault="00E31543" w:rsidP="00475FED">
            <w:pPr>
              <w:pStyle w:val="NormalWeb"/>
              <w:shd w:val="clear" w:color="auto" w:fill="FFFFFF"/>
              <w:spacing w:before="0" w:after="120"/>
              <w:textAlignment w:val="baseline"/>
              <w:rPr>
                <w:rFonts w:ascii="Arial Narrow" w:hAnsi="Arial Narrow" w:cs="Open Sans"/>
                <w:color w:val="333333"/>
                <w:sz w:val="18"/>
                <w:szCs w:val="18"/>
              </w:rPr>
            </w:pPr>
            <w:r w:rsidRPr="00F04278">
              <w:rPr>
                <w:rFonts w:ascii="Arial Narrow" w:hAnsi="Arial Narrow" w:cs="Open Sans"/>
                <w:color w:val="333333"/>
                <w:sz w:val="18"/>
                <w:szCs w:val="18"/>
              </w:rPr>
              <w:t>The authority application must be in writing and must include:</w:t>
            </w:r>
          </w:p>
          <w:p w14:paraId="77C9296F" w14:textId="77777777" w:rsidR="00E31543" w:rsidRPr="00F04278" w:rsidRDefault="00E31543" w:rsidP="00475FED">
            <w:pPr>
              <w:pStyle w:val="NormalWeb"/>
              <w:shd w:val="clear" w:color="auto" w:fill="FFFFFF"/>
              <w:spacing w:before="0" w:after="120"/>
              <w:textAlignment w:val="baseline"/>
              <w:rPr>
                <w:rFonts w:ascii="Arial Narrow" w:hAnsi="Arial Narrow" w:cs="Open Sans"/>
                <w:color w:val="333333"/>
                <w:sz w:val="18"/>
                <w:szCs w:val="18"/>
              </w:rPr>
            </w:pPr>
            <w:r w:rsidRPr="00F04278">
              <w:rPr>
                <w:rFonts w:ascii="Arial Narrow" w:hAnsi="Arial Narrow" w:cs="Open Sans"/>
                <w:color w:val="333333"/>
                <w:sz w:val="18"/>
                <w:szCs w:val="18"/>
              </w:rPr>
              <w:t>1. A completed authority prescription form; AND</w:t>
            </w:r>
          </w:p>
          <w:p w14:paraId="7B4780EE" w14:textId="77777777" w:rsidR="00E31543" w:rsidRPr="00F04278" w:rsidRDefault="00E31543" w:rsidP="00475FED">
            <w:pPr>
              <w:pStyle w:val="NormalWeb"/>
              <w:shd w:val="clear" w:color="auto" w:fill="FFFFFF"/>
              <w:spacing w:before="0" w:after="120"/>
              <w:textAlignment w:val="baseline"/>
              <w:rPr>
                <w:rFonts w:ascii="Arial Narrow" w:hAnsi="Arial Narrow" w:cs="Open Sans"/>
                <w:color w:val="333333"/>
                <w:sz w:val="18"/>
                <w:szCs w:val="18"/>
              </w:rPr>
            </w:pPr>
            <w:r w:rsidRPr="00F04278">
              <w:rPr>
                <w:rFonts w:ascii="Arial Narrow" w:hAnsi="Arial Narrow" w:cs="Open Sans"/>
                <w:color w:val="333333"/>
                <w:sz w:val="18"/>
                <w:szCs w:val="18"/>
              </w:rPr>
              <w:t>2. A completed Growth Hormone Authority Application Supporting Information Form for initial treatment; AND</w:t>
            </w:r>
          </w:p>
          <w:p w14:paraId="012A232D" w14:textId="77777777" w:rsidR="00E31543" w:rsidRPr="00230732" w:rsidRDefault="00E31543" w:rsidP="00475FED">
            <w:pPr>
              <w:pStyle w:val="NormalWeb"/>
              <w:shd w:val="clear" w:color="auto" w:fill="FFFFFF"/>
              <w:spacing w:before="0" w:after="120"/>
              <w:textAlignment w:val="baseline"/>
              <w:rPr>
                <w:rFonts w:ascii="Arial Narrow" w:hAnsi="Arial Narrow" w:cs="Open Sans"/>
                <w:color w:val="333333"/>
                <w:sz w:val="18"/>
                <w:szCs w:val="18"/>
              </w:rPr>
            </w:pPr>
            <w:r w:rsidRPr="00F04278">
              <w:rPr>
                <w:rFonts w:ascii="Arial Narrow" w:hAnsi="Arial Narrow" w:cs="Open Sans"/>
                <w:color w:val="333333"/>
                <w:sz w:val="18"/>
                <w:szCs w:val="18"/>
              </w:rPr>
              <w:t xml:space="preserve">3. A minimum of 12 months of recent growth data (height and weight measurements) or a minimum of 6 months of recent growth data for an older </w:t>
            </w:r>
            <w:r w:rsidRPr="00230732">
              <w:rPr>
                <w:rFonts w:ascii="Arial Narrow" w:hAnsi="Arial Narrow" w:cs="Open Sans"/>
                <w:color w:val="333333"/>
                <w:sz w:val="18"/>
                <w:szCs w:val="18"/>
              </w:rPr>
              <w:t>child. The most recent data must not be more than three months old at the time of application; or where treatment was initiated as non-PBS subsidised supply, documented evidence of a minimum of 12 months of growth data (height and weight measurements) or a minimum of 6 months of growth data for an older child, prior to the initiation of non-PBS subsidised therapy. The most recent of that data must not have be more than three months old at the time of initiating non-PBS subsidised therapy; AND</w:t>
            </w:r>
          </w:p>
          <w:p w14:paraId="48941A70" w14:textId="77777777" w:rsidR="00E31543" w:rsidRDefault="00E31543" w:rsidP="00475FED">
            <w:pPr>
              <w:spacing w:after="120"/>
              <w:rPr>
                <w:rFonts w:ascii="Arial Narrow" w:hAnsi="Arial Narrow"/>
                <w:sz w:val="18"/>
                <w:szCs w:val="18"/>
              </w:rPr>
            </w:pPr>
            <w:r w:rsidRPr="00230732">
              <w:rPr>
                <w:rFonts w:ascii="Arial Narrow" w:hAnsi="Arial Narrow"/>
                <w:sz w:val="18"/>
                <w:szCs w:val="18"/>
              </w:rPr>
              <w:lastRenderedPageBreak/>
              <w:t>4. W</w:t>
            </w:r>
            <w:r w:rsidRPr="00230732">
              <w:rPr>
                <w:rFonts w:ascii="Arial Narrow" w:hAnsi="Arial Narrow" w:cs="Open Sans"/>
                <w:color w:val="333333"/>
                <w:sz w:val="18"/>
                <w:szCs w:val="18"/>
              </w:rPr>
              <w:t xml:space="preserve">here treatment was initiated as non-PBS subsidised supply, </w:t>
            </w:r>
            <w:r w:rsidRPr="00230732">
              <w:rPr>
                <w:rFonts w:ascii="Arial Narrow" w:hAnsi="Arial Narrow"/>
                <w:sz w:val="18"/>
                <w:szCs w:val="18"/>
              </w:rPr>
              <w:t xml:space="preserve">growth data (height and weight) for the most recent </w:t>
            </w:r>
            <w:proofErr w:type="gramStart"/>
            <w:r w:rsidRPr="00230732">
              <w:rPr>
                <w:rFonts w:ascii="Arial Narrow" w:hAnsi="Arial Narrow"/>
                <w:sz w:val="18"/>
                <w:szCs w:val="18"/>
              </w:rPr>
              <w:t>6 month</w:t>
            </w:r>
            <w:proofErr w:type="gramEnd"/>
            <w:r w:rsidRPr="00230732">
              <w:rPr>
                <w:rFonts w:ascii="Arial Narrow" w:hAnsi="Arial Narrow"/>
                <w:sz w:val="18"/>
                <w:szCs w:val="18"/>
              </w:rPr>
              <w:t xml:space="preserve"> treatment period, including data at both the start and end of the treatment period. The most recent data must not be older than three months; AND</w:t>
            </w:r>
          </w:p>
          <w:p w14:paraId="74C71127" w14:textId="77777777" w:rsidR="00E31543" w:rsidRPr="00F04278" w:rsidRDefault="00E31543" w:rsidP="00475FED">
            <w:pPr>
              <w:pStyle w:val="NormalWeb"/>
              <w:shd w:val="clear" w:color="auto" w:fill="FFFFFF"/>
              <w:spacing w:before="0" w:after="120"/>
              <w:textAlignment w:val="baseline"/>
              <w:rPr>
                <w:rFonts w:ascii="Arial Narrow" w:hAnsi="Arial Narrow" w:cs="Open Sans"/>
                <w:color w:val="333333"/>
                <w:sz w:val="18"/>
                <w:szCs w:val="18"/>
              </w:rPr>
            </w:pPr>
            <w:r>
              <w:rPr>
                <w:rFonts w:ascii="Arial Narrow" w:hAnsi="Arial Narrow" w:cs="Open Sans"/>
                <w:color w:val="333333"/>
                <w:sz w:val="18"/>
                <w:szCs w:val="18"/>
              </w:rPr>
              <w:t>5</w:t>
            </w:r>
            <w:r w:rsidRPr="00F04278">
              <w:rPr>
                <w:rFonts w:ascii="Arial Narrow" w:hAnsi="Arial Narrow" w:cs="Open Sans"/>
                <w:color w:val="333333"/>
                <w:sz w:val="18"/>
                <w:szCs w:val="18"/>
              </w:rPr>
              <w:t>. A bone age result performed within the last 12 months (except for a patient whose chronological age is 2.5 years or less)</w:t>
            </w:r>
            <w:r>
              <w:rPr>
                <w:rFonts w:ascii="Arial Narrow" w:hAnsi="Arial Narrow" w:cs="Open Sans"/>
                <w:color w:val="333333"/>
                <w:sz w:val="18"/>
                <w:szCs w:val="18"/>
              </w:rPr>
              <w:t xml:space="preserve">, and, where treatment was initiated as non-PBS subsidised supply, within the preceding 12 months </w:t>
            </w:r>
            <w:r w:rsidRPr="00042B3A">
              <w:rPr>
                <w:rFonts w:ascii="Arial Narrow" w:hAnsi="Arial Narrow" w:cs="Open Sans"/>
                <w:color w:val="333333"/>
                <w:sz w:val="18"/>
                <w:szCs w:val="18"/>
                <w:shd w:val="clear" w:color="auto" w:fill="FFFFFF"/>
              </w:rPr>
              <w:t xml:space="preserve">(except for a patient whose chronological age </w:t>
            </w:r>
            <w:r>
              <w:rPr>
                <w:rFonts w:ascii="Arial Narrow" w:hAnsi="Arial Narrow" w:cs="Open Sans"/>
                <w:color w:val="333333"/>
                <w:sz w:val="18"/>
                <w:szCs w:val="18"/>
                <w:shd w:val="clear" w:color="auto" w:fill="FFFFFF"/>
              </w:rPr>
              <w:t>wa</w:t>
            </w:r>
            <w:r w:rsidRPr="00042B3A">
              <w:rPr>
                <w:rFonts w:ascii="Arial Narrow" w:hAnsi="Arial Narrow" w:cs="Open Sans"/>
                <w:color w:val="333333"/>
                <w:sz w:val="18"/>
                <w:szCs w:val="18"/>
                <w:shd w:val="clear" w:color="auto" w:fill="FFFFFF"/>
              </w:rPr>
              <w:t>s 2.5 years or less)</w:t>
            </w:r>
            <w:r>
              <w:rPr>
                <w:rFonts w:ascii="Arial Narrow" w:hAnsi="Arial Narrow" w:cs="Open Sans"/>
                <w:color w:val="333333"/>
                <w:sz w:val="18"/>
                <w:szCs w:val="18"/>
              </w:rPr>
              <w:t xml:space="preserve"> of initiating that non-PBS subsidised supply</w:t>
            </w:r>
            <w:r w:rsidRPr="00F04278">
              <w:rPr>
                <w:rFonts w:ascii="Arial Narrow" w:hAnsi="Arial Narrow" w:cs="Open Sans"/>
                <w:color w:val="333333"/>
                <w:sz w:val="18"/>
                <w:szCs w:val="18"/>
              </w:rPr>
              <w:t>; AND</w:t>
            </w:r>
          </w:p>
          <w:p w14:paraId="13EA0200" w14:textId="77777777" w:rsidR="00E31543" w:rsidRPr="00F04278" w:rsidRDefault="00E31543" w:rsidP="00475FED">
            <w:pPr>
              <w:pStyle w:val="NormalWeb"/>
              <w:shd w:val="clear" w:color="auto" w:fill="FFFFFF"/>
              <w:spacing w:before="0" w:after="120"/>
              <w:textAlignment w:val="baseline"/>
              <w:rPr>
                <w:rFonts w:ascii="Arial Narrow" w:hAnsi="Arial Narrow" w:cs="Open Sans"/>
                <w:color w:val="333333"/>
                <w:sz w:val="18"/>
                <w:szCs w:val="18"/>
              </w:rPr>
            </w:pPr>
            <w:r>
              <w:rPr>
                <w:rFonts w:ascii="Arial Narrow" w:hAnsi="Arial Narrow" w:cs="Open Sans"/>
                <w:color w:val="333333"/>
                <w:sz w:val="18"/>
                <w:szCs w:val="18"/>
              </w:rPr>
              <w:t>6</w:t>
            </w:r>
            <w:r w:rsidRPr="00F04278">
              <w:rPr>
                <w:rFonts w:ascii="Arial Narrow" w:hAnsi="Arial Narrow" w:cs="Open Sans"/>
                <w:color w:val="333333"/>
                <w:sz w:val="18"/>
                <w:szCs w:val="18"/>
              </w:rPr>
              <w:t>. Confirmation of the patient's maturational or constitutional delay status; AND</w:t>
            </w:r>
          </w:p>
          <w:p w14:paraId="135B8528" w14:textId="77777777" w:rsidR="00E31543" w:rsidRPr="00F04278" w:rsidRDefault="00E31543" w:rsidP="00475FED">
            <w:pPr>
              <w:pStyle w:val="NormalWeb"/>
              <w:shd w:val="clear" w:color="auto" w:fill="FFFFFF"/>
              <w:spacing w:before="0" w:after="120"/>
              <w:textAlignment w:val="baseline"/>
              <w:rPr>
                <w:rFonts w:ascii="Arial Narrow" w:hAnsi="Arial Narrow" w:cs="Open Sans"/>
                <w:color w:val="333333"/>
                <w:sz w:val="18"/>
                <w:szCs w:val="18"/>
              </w:rPr>
            </w:pPr>
            <w:r>
              <w:rPr>
                <w:rFonts w:ascii="Arial Narrow" w:hAnsi="Arial Narrow" w:cs="Open Sans"/>
                <w:color w:val="333333"/>
                <w:sz w:val="18"/>
                <w:szCs w:val="18"/>
              </w:rPr>
              <w:t>7</w:t>
            </w:r>
            <w:r w:rsidRPr="00F04278">
              <w:rPr>
                <w:rFonts w:ascii="Arial Narrow" w:hAnsi="Arial Narrow" w:cs="Open Sans"/>
                <w:color w:val="333333"/>
                <w:sz w:val="18"/>
                <w:szCs w:val="18"/>
              </w:rPr>
              <w:t>. If the patient has maturational or constitutional delay, confirmation that the patient has an estimated mature height below the 1</w:t>
            </w:r>
            <w:r w:rsidRPr="00F04278">
              <w:rPr>
                <w:rFonts w:ascii="Arial Narrow" w:hAnsi="Arial Narrow" w:cs="Open Sans"/>
                <w:color w:val="333333"/>
                <w:sz w:val="18"/>
                <w:szCs w:val="18"/>
                <w:bdr w:val="none" w:sz="0" w:space="0" w:color="auto" w:frame="1"/>
                <w:vertAlign w:val="superscript"/>
              </w:rPr>
              <w:t>st</w:t>
            </w:r>
            <w:r w:rsidRPr="00F04278">
              <w:rPr>
                <w:rFonts w:ascii="Arial Narrow" w:hAnsi="Arial Narrow" w:cs="Open Sans"/>
                <w:color w:val="333333"/>
                <w:sz w:val="18"/>
                <w:szCs w:val="18"/>
              </w:rPr>
              <w:t> adult height percentile; AND</w:t>
            </w:r>
          </w:p>
          <w:p w14:paraId="39100A20" w14:textId="77777777" w:rsidR="00E31543" w:rsidRPr="00F04278" w:rsidRDefault="00E31543" w:rsidP="00475FED">
            <w:pPr>
              <w:pStyle w:val="NormalWeb"/>
              <w:shd w:val="clear" w:color="auto" w:fill="FFFFFF"/>
              <w:spacing w:before="0" w:after="120"/>
              <w:textAlignment w:val="baseline"/>
              <w:rPr>
                <w:rFonts w:ascii="Arial Narrow" w:hAnsi="Arial Narrow" w:cs="Open Sans"/>
                <w:color w:val="333333"/>
                <w:sz w:val="18"/>
                <w:szCs w:val="18"/>
              </w:rPr>
            </w:pPr>
            <w:r>
              <w:rPr>
                <w:rFonts w:ascii="Arial Narrow" w:hAnsi="Arial Narrow" w:cs="Open Sans"/>
                <w:color w:val="333333"/>
                <w:sz w:val="18"/>
                <w:szCs w:val="18"/>
              </w:rPr>
              <w:t>8</w:t>
            </w:r>
            <w:r w:rsidRPr="00F04278">
              <w:rPr>
                <w:rFonts w:ascii="Arial Narrow" w:hAnsi="Arial Narrow" w:cs="Open Sans"/>
                <w:color w:val="333333"/>
                <w:sz w:val="18"/>
                <w:szCs w:val="18"/>
              </w:rPr>
              <w:t xml:space="preserve">. The proprietary name (brand), </w:t>
            </w:r>
            <w:r>
              <w:rPr>
                <w:rFonts w:ascii="Arial Narrow" w:hAnsi="Arial Narrow" w:cs="Open Sans"/>
                <w:color w:val="333333"/>
                <w:sz w:val="18"/>
                <w:szCs w:val="18"/>
              </w:rPr>
              <w:t>form and strength of the growth hormone requested</w:t>
            </w:r>
            <w:r w:rsidRPr="00F04278">
              <w:rPr>
                <w:rFonts w:ascii="Arial Narrow" w:hAnsi="Arial Narrow" w:cs="Open Sans"/>
                <w:color w:val="333333"/>
                <w:sz w:val="18"/>
                <w:szCs w:val="18"/>
              </w:rPr>
              <w:t>, and the number of vials/cartridges required to provide sufficient drug for 16 weeks' worth of treatment (with up to 1 repeat allowed).</w:t>
            </w:r>
          </w:p>
          <w:p w14:paraId="3761491D" w14:textId="77777777" w:rsidR="00E31543" w:rsidRPr="00F04278" w:rsidRDefault="00E31543" w:rsidP="00475FED">
            <w:pPr>
              <w:spacing w:after="120"/>
              <w:rPr>
                <w:rFonts w:ascii="Arial Narrow" w:hAnsi="Arial Narrow"/>
                <w:strike/>
                <w:color w:val="FF0000"/>
                <w:sz w:val="18"/>
                <w:szCs w:val="18"/>
              </w:rPr>
            </w:pPr>
            <w:r>
              <w:rPr>
                <w:rFonts w:ascii="Arial Narrow" w:hAnsi="Arial Narrow"/>
                <w:sz w:val="18"/>
                <w:szCs w:val="18"/>
              </w:rPr>
              <w:t>9</w:t>
            </w:r>
            <w:r w:rsidRPr="00042B3A">
              <w:rPr>
                <w:rFonts w:ascii="Arial Narrow" w:hAnsi="Arial Narrow"/>
                <w:sz w:val="18"/>
                <w:szCs w:val="18"/>
              </w:rPr>
              <w:t>. The final adult height (in cm) of the patient's mother and father (where available)</w:t>
            </w:r>
          </w:p>
          <w:p w14:paraId="2A3EAF0F"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1CE9DE7" w14:textId="77777777" w:rsidR="00E31543" w:rsidRPr="00F04278" w:rsidRDefault="00E31543" w:rsidP="00475FED">
            <w:pPr>
              <w:spacing w:after="120"/>
              <w:rPr>
                <w:rFonts w:ascii="Arial Narrow" w:hAnsi="Arial Narrow"/>
                <w:sz w:val="18"/>
                <w:szCs w:val="18"/>
              </w:rPr>
            </w:pPr>
            <w:r w:rsidRPr="00F04278">
              <w:rPr>
                <w:rFonts w:ascii="Arial Narrow" w:hAnsi="Arial Narrow" w:cs="Open Sans"/>
                <w:color w:val="333333"/>
                <w:sz w:val="18"/>
                <w:szCs w:val="18"/>
                <w:shd w:val="clear" w:color="auto" w:fill="FFFFFF"/>
              </w:rPr>
              <w:t>[28759] In children with diabetes mellitus prescribers must ascertain that a growth failure is not due to poor diabetes control, diabetes control is adequate, and regular screening occurs for diabetes complications, particularly retinopathy.</w:t>
            </w:r>
          </w:p>
        </w:tc>
      </w:tr>
      <w:tr w:rsidR="00E31543" w:rsidRPr="00F04278" w14:paraId="48856E4E" w14:textId="77777777" w:rsidTr="00E31543">
        <w:tc>
          <w:tcPr>
            <w:tcW w:w="862" w:type="pct"/>
          </w:tcPr>
          <w:p w14:paraId="5EB309F7" w14:textId="77777777" w:rsidR="00E31543" w:rsidRPr="00F04278" w:rsidRDefault="00E31543" w:rsidP="00475FED">
            <w:pPr>
              <w:spacing w:after="120"/>
              <w:jc w:val="left"/>
              <w:rPr>
                <w:rFonts w:ascii="Arial Narrow" w:hAnsi="Arial Narrow"/>
                <w:sz w:val="18"/>
                <w:szCs w:val="18"/>
              </w:rPr>
            </w:pPr>
            <w:r w:rsidRPr="00F04278">
              <w:rPr>
                <w:rFonts w:ascii="Arial Narrow" w:hAnsi="Arial Narrow"/>
                <w:b/>
                <w:sz w:val="18"/>
                <w:szCs w:val="18"/>
              </w:rPr>
              <w:lastRenderedPageBreak/>
              <w:t>Administrative Advice</w:t>
            </w:r>
            <w:r w:rsidRPr="00F04278">
              <w:rPr>
                <w:rFonts w:ascii="Arial Narrow" w:hAnsi="Arial Narrow"/>
                <w:sz w:val="18"/>
                <w:szCs w:val="18"/>
              </w:rPr>
              <w:br/>
            </w:r>
          </w:p>
        </w:tc>
        <w:tc>
          <w:tcPr>
            <w:tcW w:w="4138" w:type="pct"/>
            <w:gridSpan w:val="6"/>
          </w:tcPr>
          <w:p w14:paraId="1592421E" w14:textId="77777777" w:rsidR="00E31543" w:rsidRDefault="00E31543" w:rsidP="00475FED">
            <w:pPr>
              <w:spacing w:after="120"/>
              <w:rPr>
                <w:rFonts w:ascii="Arial Narrow" w:hAnsi="Arial Narrow"/>
                <w:sz w:val="18"/>
                <w:szCs w:val="18"/>
              </w:rPr>
            </w:pPr>
            <w:r>
              <w:rPr>
                <w:rFonts w:ascii="Arial Narrow" w:hAnsi="Arial Narrow"/>
                <w:sz w:val="18"/>
                <w:szCs w:val="18"/>
              </w:rPr>
              <w:t>[</w:t>
            </w:r>
            <w:r w:rsidRPr="00EB075B">
              <w:rPr>
                <w:rFonts w:ascii="Arial Narrow" w:hAnsi="Arial Narrow"/>
                <w:sz w:val="18"/>
                <w:szCs w:val="18"/>
              </w:rPr>
              <w:t>28584</w:t>
            </w:r>
            <w:r>
              <w:rPr>
                <w:rFonts w:ascii="Arial Narrow" w:hAnsi="Arial Narrow"/>
                <w:sz w:val="18"/>
                <w:szCs w:val="18"/>
              </w:rPr>
              <w:t xml:space="preserve">] </w:t>
            </w:r>
            <w:r w:rsidRPr="00F04278">
              <w:rPr>
                <w:rFonts w:ascii="Arial Narrow" w:hAnsi="Arial Narrow"/>
                <w:sz w:val="18"/>
                <w:szCs w:val="18"/>
              </w:rPr>
              <w:t xml:space="preserve">Any queries concerning the arrangements to prescribe may be directed to the Services </w:t>
            </w:r>
            <w:r>
              <w:rPr>
                <w:rFonts w:ascii="Arial Narrow" w:hAnsi="Arial Narrow"/>
                <w:sz w:val="18"/>
                <w:szCs w:val="18"/>
              </w:rPr>
              <w:t xml:space="preserve">Australia </w:t>
            </w:r>
            <w:r w:rsidRPr="00F04278">
              <w:rPr>
                <w:rFonts w:ascii="Arial Narrow" w:hAnsi="Arial Narrow"/>
                <w:sz w:val="18"/>
                <w:szCs w:val="18"/>
              </w:rPr>
              <w:t xml:space="preserve">on 1800 700 270 (hours of operation 8 a.m. to 5 p.m. Monday to Friday). </w:t>
            </w:r>
          </w:p>
          <w:p w14:paraId="26FF3644" w14:textId="77777777" w:rsidR="00E31543" w:rsidRPr="00EB075B" w:rsidRDefault="00E31543" w:rsidP="00475FED">
            <w:pPr>
              <w:spacing w:after="120"/>
              <w:rPr>
                <w:rFonts w:ascii="Arial Narrow" w:hAnsi="Arial Narrow"/>
                <w:sz w:val="18"/>
                <w:szCs w:val="18"/>
              </w:rPr>
            </w:pPr>
            <w:r w:rsidRPr="00EB075B">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14:paraId="27D19F7A" w14:textId="77777777" w:rsidR="00E31543" w:rsidRPr="00EB075B" w:rsidRDefault="00E31543" w:rsidP="00475FED">
            <w:pPr>
              <w:spacing w:after="120"/>
              <w:rPr>
                <w:rFonts w:ascii="Arial Narrow" w:hAnsi="Arial Narrow"/>
                <w:sz w:val="18"/>
                <w:szCs w:val="18"/>
              </w:rPr>
            </w:pPr>
            <w:r w:rsidRPr="00EB075B">
              <w:rPr>
                <w:rFonts w:ascii="Arial Narrow" w:hAnsi="Arial Narrow"/>
                <w:sz w:val="18"/>
                <w:szCs w:val="18"/>
              </w:rPr>
              <w:t>Applications for authority to prescribe should be submitted online using the form upload facility in Health Professional Online Services (HPOS) at www.servicesaustralia.gov.au/hpos</w:t>
            </w:r>
          </w:p>
          <w:p w14:paraId="2FDFDDD1" w14:textId="77777777" w:rsidR="00E31543" w:rsidRPr="00EB075B" w:rsidRDefault="00E31543" w:rsidP="00475FED">
            <w:pPr>
              <w:spacing w:after="120"/>
              <w:rPr>
                <w:rFonts w:ascii="Arial Narrow" w:hAnsi="Arial Narrow"/>
                <w:sz w:val="18"/>
                <w:szCs w:val="18"/>
              </w:rPr>
            </w:pPr>
            <w:r w:rsidRPr="00EB075B">
              <w:rPr>
                <w:rFonts w:ascii="Arial Narrow" w:hAnsi="Arial Narrow"/>
                <w:sz w:val="18"/>
                <w:szCs w:val="18"/>
              </w:rPr>
              <w:t>Or mailed to:</w:t>
            </w:r>
          </w:p>
          <w:p w14:paraId="3A4D743E" w14:textId="77777777" w:rsidR="00E31543" w:rsidRPr="00EB075B" w:rsidRDefault="00E31543" w:rsidP="00475FED">
            <w:pPr>
              <w:spacing w:after="120"/>
              <w:rPr>
                <w:rFonts w:ascii="Arial Narrow" w:hAnsi="Arial Narrow"/>
                <w:sz w:val="18"/>
                <w:szCs w:val="18"/>
              </w:rPr>
            </w:pPr>
            <w:r w:rsidRPr="00EB075B">
              <w:rPr>
                <w:rFonts w:ascii="Arial Narrow" w:hAnsi="Arial Narrow"/>
                <w:sz w:val="18"/>
                <w:szCs w:val="18"/>
              </w:rPr>
              <w:t>Services Australia</w:t>
            </w:r>
          </w:p>
          <w:p w14:paraId="487135C8" w14:textId="77777777" w:rsidR="00E31543" w:rsidRPr="00EB075B" w:rsidRDefault="00E31543" w:rsidP="00475FED">
            <w:pPr>
              <w:spacing w:after="120"/>
              <w:rPr>
                <w:rFonts w:ascii="Arial Narrow" w:hAnsi="Arial Narrow"/>
                <w:sz w:val="18"/>
                <w:szCs w:val="18"/>
              </w:rPr>
            </w:pPr>
            <w:r w:rsidRPr="00EB075B">
              <w:rPr>
                <w:rFonts w:ascii="Arial Narrow" w:hAnsi="Arial Narrow"/>
                <w:sz w:val="18"/>
                <w:szCs w:val="18"/>
              </w:rPr>
              <w:t>Complex Drugs</w:t>
            </w:r>
          </w:p>
          <w:p w14:paraId="3A290988" w14:textId="77777777" w:rsidR="00E31543" w:rsidRPr="00EB075B" w:rsidRDefault="00E31543" w:rsidP="00475FED">
            <w:pPr>
              <w:spacing w:after="120"/>
              <w:rPr>
                <w:rFonts w:ascii="Arial Narrow" w:hAnsi="Arial Narrow"/>
                <w:sz w:val="18"/>
                <w:szCs w:val="18"/>
              </w:rPr>
            </w:pPr>
            <w:r w:rsidRPr="00EB075B">
              <w:rPr>
                <w:rFonts w:ascii="Arial Narrow" w:hAnsi="Arial Narrow"/>
                <w:sz w:val="18"/>
                <w:szCs w:val="18"/>
              </w:rPr>
              <w:t>Reply Paid 9826</w:t>
            </w:r>
          </w:p>
          <w:p w14:paraId="535F7202" w14:textId="77777777" w:rsidR="00E31543" w:rsidRDefault="00E31543" w:rsidP="00475FED">
            <w:pPr>
              <w:spacing w:after="120"/>
              <w:rPr>
                <w:rFonts w:ascii="Arial Narrow" w:hAnsi="Arial Narrow"/>
                <w:sz w:val="18"/>
                <w:szCs w:val="18"/>
              </w:rPr>
            </w:pPr>
            <w:r w:rsidRPr="00EB075B">
              <w:rPr>
                <w:rFonts w:ascii="Arial Narrow" w:hAnsi="Arial Narrow"/>
                <w:sz w:val="18"/>
                <w:szCs w:val="18"/>
              </w:rPr>
              <w:t>HOBART TAS 7001</w:t>
            </w:r>
            <w:r w:rsidRPr="00F04278" w:rsidDel="006D3F82">
              <w:rPr>
                <w:rFonts w:ascii="Arial Narrow" w:hAnsi="Arial Narrow"/>
                <w:sz w:val="18"/>
                <w:szCs w:val="18"/>
              </w:rPr>
              <w:t xml:space="preserve"> </w:t>
            </w:r>
          </w:p>
          <w:p w14:paraId="0FA59B22" w14:textId="77777777" w:rsidR="00E31543" w:rsidRDefault="00E31543" w:rsidP="00475FED">
            <w:pPr>
              <w:spacing w:after="120"/>
              <w:rPr>
                <w:rFonts w:ascii="Arial Narrow" w:hAnsi="Arial Narrow"/>
                <w:color w:val="333333"/>
                <w:sz w:val="18"/>
                <w:szCs w:val="18"/>
              </w:rPr>
            </w:pPr>
            <w:r>
              <w:rPr>
                <w:rFonts w:ascii="Arial Narrow" w:hAnsi="Arial Narrow"/>
                <w:sz w:val="18"/>
                <w:szCs w:val="18"/>
              </w:rPr>
              <w:t>[NEW AA2]</w:t>
            </w:r>
            <w:r>
              <w:rPr>
                <w:rFonts w:ascii="Arial Narrow" w:hAnsi="Arial Narrow"/>
                <w:color w:val="FF0000"/>
                <w:sz w:val="18"/>
                <w:szCs w:val="18"/>
              </w:rPr>
              <w:t xml:space="preserve"> </w:t>
            </w:r>
            <w:r w:rsidRPr="00B647D5">
              <w:rPr>
                <w:rFonts w:ascii="Arial Narrow" w:hAnsi="Arial Narrow"/>
                <w:sz w:val="18"/>
                <w:szCs w:val="18"/>
              </w:rPr>
              <w:t xml:space="preserve">A patient who is transitioning from non-PBS to PBS-subsidised supply of this drug for this condition must have met all the initial restriction criteria prior to initiating non-PBS subsidised treatment. </w:t>
            </w:r>
            <w:r>
              <w:rPr>
                <w:rFonts w:ascii="Arial Narrow" w:hAnsi="Arial Narrow"/>
                <w:sz w:val="18"/>
                <w:szCs w:val="18"/>
              </w:rPr>
              <w:t>A patient may qualify for PBS-subsidised treatment under this restriction once only.</w:t>
            </w:r>
          </w:p>
          <w:p w14:paraId="5F3D2A1C" w14:textId="77777777" w:rsidR="00E31543" w:rsidRPr="00F04278"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042B3A" w14:paraId="2A36CC30" w14:textId="77777777" w:rsidTr="00475FED">
        <w:tc>
          <w:tcPr>
            <w:tcW w:w="862" w:type="pct"/>
          </w:tcPr>
          <w:p w14:paraId="1CE04B1C"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Benefit Type</w:t>
            </w:r>
          </w:p>
        </w:tc>
        <w:tc>
          <w:tcPr>
            <w:tcW w:w="4138" w:type="pct"/>
            <w:gridSpan w:val="6"/>
          </w:tcPr>
          <w:p w14:paraId="63AE210D" w14:textId="77777777" w:rsidR="00E31543" w:rsidRPr="00042B3A" w:rsidRDefault="00E31543" w:rsidP="00475FED">
            <w:pPr>
              <w:spacing w:after="120"/>
              <w:rPr>
                <w:rFonts w:ascii="Arial Narrow" w:hAnsi="Arial Narrow"/>
                <w:sz w:val="18"/>
                <w:szCs w:val="18"/>
              </w:rPr>
            </w:pPr>
            <w:r w:rsidRPr="001A44D2">
              <w:rPr>
                <w:rFonts w:ascii="Arial Narrow" w:hAnsi="Arial Narrow"/>
                <w:sz w:val="18"/>
                <w:szCs w:val="18"/>
              </w:rPr>
              <w:t>55212</w:t>
            </w:r>
          </w:p>
        </w:tc>
      </w:tr>
      <w:tr w:rsidR="00E31543" w:rsidRPr="00042B3A" w14:paraId="4BD6A282" w14:textId="77777777" w:rsidTr="00475FED">
        <w:tc>
          <w:tcPr>
            <w:tcW w:w="862" w:type="pct"/>
          </w:tcPr>
          <w:p w14:paraId="13440676"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Restriction Number</w:t>
            </w:r>
          </w:p>
        </w:tc>
        <w:tc>
          <w:tcPr>
            <w:tcW w:w="4138" w:type="pct"/>
            <w:gridSpan w:val="6"/>
          </w:tcPr>
          <w:p w14:paraId="33B8991C" w14:textId="77777777" w:rsidR="00E31543" w:rsidRPr="00042B3A" w:rsidRDefault="00E31543" w:rsidP="00475FED">
            <w:pPr>
              <w:spacing w:after="120"/>
              <w:rPr>
                <w:rFonts w:ascii="Arial Narrow" w:hAnsi="Arial Narrow"/>
                <w:sz w:val="18"/>
                <w:szCs w:val="18"/>
              </w:rPr>
            </w:pPr>
            <w:r w:rsidRPr="001A44D2">
              <w:rPr>
                <w:rFonts w:ascii="Arial Narrow" w:hAnsi="Arial Narrow"/>
                <w:sz w:val="18"/>
                <w:szCs w:val="18"/>
              </w:rPr>
              <w:t>12863</w:t>
            </w:r>
          </w:p>
        </w:tc>
      </w:tr>
      <w:tr w:rsidR="00E31543" w:rsidRPr="00042B3A" w14:paraId="1A97FCB7" w14:textId="77777777" w:rsidTr="00475FED">
        <w:tc>
          <w:tcPr>
            <w:tcW w:w="862" w:type="pct"/>
          </w:tcPr>
          <w:p w14:paraId="04253F2E"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of Code</w:t>
            </w:r>
            <w:r>
              <w:rPr>
                <w:rFonts w:ascii="Arial Narrow" w:hAnsi="Arial Narrow"/>
                <w:b/>
                <w:sz w:val="18"/>
                <w:szCs w:val="18"/>
              </w:rPr>
              <w:t xml:space="preserve"> </w:t>
            </w:r>
            <w:r w:rsidRPr="00042B3A">
              <w:rPr>
                <w:rFonts w:ascii="Arial Narrow" w:hAnsi="Arial Narrow"/>
                <w:b/>
                <w:sz w:val="18"/>
                <w:szCs w:val="18"/>
              </w:rPr>
              <w:t>(</w:t>
            </w:r>
            <w:proofErr w:type="spellStart"/>
            <w:r w:rsidRPr="00042B3A">
              <w:rPr>
                <w:rFonts w:ascii="Arial Narrow" w:hAnsi="Arial Narrow"/>
                <w:b/>
                <w:sz w:val="18"/>
                <w:szCs w:val="18"/>
              </w:rPr>
              <w:t>ToC</w:t>
            </w:r>
            <w:proofErr w:type="spellEnd"/>
            <w:r w:rsidRPr="00042B3A">
              <w:rPr>
                <w:rFonts w:ascii="Arial Narrow" w:hAnsi="Arial Narrow"/>
                <w:b/>
                <w:sz w:val="18"/>
                <w:szCs w:val="18"/>
              </w:rPr>
              <w:t>)</w:t>
            </w:r>
          </w:p>
        </w:tc>
        <w:tc>
          <w:tcPr>
            <w:tcW w:w="4138" w:type="pct"/>
            <w:gridSpan w:val="6"/>
          </w:tcPr>
          <w:p w14:paraId="23F5750B" w14:textId="77777777" w:rsidR="00E31543" w:rsidRPr="00042B3A" w:rsidRDefault="00E31543" w:rsidP="00475FED">
            <w:pPr>
              <w:spacing w:after="120"/>
              <w:rPr>
                <w:rFonts w:ascii="Arial Narrow" w:hAnsi="Arial Narrow"/>
                <w:sz w:val="18"/>
                <w:szCs w:val="18"/>
              </w:rPr>
            </w:pPr>
            <w:r w:rsidRPr="001A44D2">
              <w:rPr>
                <w:rFonts w:ascii="Arial Narrow" w:hAnsi="Arial Narrow"/>
                <w:sz w:val="18"/>
                <w:szCs w:val="18"/>
              </w:rPr>
              <w:t>12787</w:t>
            </w:r>
          </w:p>
        </w:tc>
      </w:tr>
      <w:tr w:rsidR="00E31543" w:rsidRPr="00042B3A" w14:paraId="1EC934A1" w14:textId="77777777" w:rsidTr="00475FED">
        <w:tc>
          <w:tcPr>
            <w:tcW w:w="862" w:type="pct"/>
          </w:tcPr>
          <w:p w14:paraId="53C6CA87"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Category / Program</w:t>
            </w:r>
          </w:p>
        </w:tc>
        <w:tc>
          <w:tcPr>
            <w:tcW w:w="4138" w:type="pct"/>
            <w:gridSpan w:val="6"/>
          </w:tcPr>
          <w:p w14:paraId="0C5472EA"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S100 - Section 100 (Growth Hormone) (Code GH)</w:t>
            </w:r>
          </w:p>
        </w:tc>
      </w:tr>
      <w:tr w:rsidR="00E31543" w:rsidRPr="00042B3A" w14:paraId="4B11B4A6" w14:textId="77777777" w:rsidTr="00475FED">
        <w:tc>
          <w:tcPr>
            <w:tcW w:w="862" w:type="pct"/>
          </w:tcPr>
          <w:p w14:paraId="27F4D21E"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Prescriber Type(s)</w:t>
            </w:r>
          </w:p>
        </w:tc>
        <w:tc>
          <w:tcPr>
            <w:tcW w:w="4138" w:type="pct"/>
            <w:gridSpan w:val="6"/>
          </w:tcPr>
          <w:p w14:paraId="762D8344"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Medical Practitioners</w:t>
            </w:r>
          </w:p>
        </w:tc>
      </w:tr>
      <w:tr w:rsidR="00E31543" w:rsidRPr="00042B3A" w14:paraId="62DBB2CD" w14:textId="77777777" w:rsidTr="00475FED">
        <w:tc>
          <w:tcPr>
            <w:tcW w:w="862" w:type="pct"/>
          </w:tcPr>
          <w:p w14:paraId="014C2258"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PBS Indication</w:t>
            </w:r>
          </w:p>
        </w:tc>
        <w:tc>
          <w:tcPr>
            <w:tcW w:w="4138" w:type="pct"/>
            <w:gridSpan w:val="6"/>
          </w:tcPr>
          <w:p w14:paraId="60CE3BD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[15683] Short stature and slow growth</w:t>
            </w:r>
          </w:p>
        </w:tc>
      </w:tr>
      <w:tr w:rsidR="00E31543" w:rsidRPr="00042B3A" w14:paraId="1790F54B" w14:textId="77777777" w:rsidTr="00475FED">
        <w:tc>
          <w:tcPr>
            <w:tcW w:w="862" w:type="pct"/>
          </w:tcPr>
          <w:p w14:paraId="21675125"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lastRenderedPageBreak/>
              <w:t>Treatment phase</w:t>
            </w:r>
          </w:p>
        </w:tc>
        <w:tc>
          <w:tcPr>
            <w:tcW w:w="4138" w:type="pct"/>
            <w:gridSpan w:val="6"/>
          </w:tcPr>
          <w:p w14:paraId="13A0B6C9"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Continuing treatment</w:t>
            </w:r>
            <w:r>
              <w:rPr>
                <w:rFonts w:ascii="Arial Narrow" w:hAnsi="Arial Narrow"/>
                <w:sz w:val="18"/>
                <w:szCs w:val="18"/>
              </w:rPr>
              <w:t xml:space="preserve"> with this drug</w:t>
            </w:r>
          </w:p>
        </w:tc>
      </w:tr>
      <w:tr w:rsidR="00E31543" w:rsidRPr="00042B3A" w14:paraId="07A63310" w14:textId="77777777" w:rsidTr="00475FED">
        <w:tc>
          <w:tcPr>
            <w:tcW w:w="862" w:type="pct"/>
          </w:tcPr>
          <w:p w14:paraId="2F1F0188"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Restriction Level / Method</w:t>
            </w:r>
          </w:p>
        </w:tc>
        <w:tc>
          <w:tcPr>
            <w:tcW w:w="4138" w:type="pct"/>
            <w:gridSpan w:val="6"/>
          </w:tcPr>
          <w:p w14:paraId="538A9C9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Authority required</w:t>
            </w:r>
          </w:p>
        </w:tc>
      </w:tr>
      <w:tr w:rsidR="00E31543" w:rsidRPr="00042B3A" w14:paraId="1F807F3B" w14:textId="77777777" w:rsidTr="00475FED">
        <w:tc>
          <w:tcPr>
            <w:tcW w:w="862" w:type="pct"/>
          </w:tcPr>
          <w:p w14:paraId="0E019700"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criteria</w:t>
            </w:r>
          </w:p>
        </w:tc>
        <w:tc>
          <w:tcPr>
            <w:tcW w:w="4138" w:type="pct"/>
            <w:gridSpan w:val="6"/>
          </w:tcPr>
          <w:p w14:paraId="6E0A9897" w14:textId="77777777" w:rsidR="00E31543" w:rsidRDefault="00E31543" w:rsidP="00475FED">
            <w:pPr>
              <w:spacing w:after="120"/>
              <w:rPr>
                <w:rFonts w:ascii="Arial Narrow" w:hAnsi="Arial Narrow"/>
                <w:sz w:val="18"/>
                <w:szCs w:val="18"/>
              </w:rPr>
            </w:pPr>
            <w:r>
              <w:rPr>
                <w:rFonts w:ascii="Arial Narrow" w:hAnsi="Arial Narrow"/>
                <w:sz w:val="18"/>
                <w:szCs w:val="18"/>
              </w:rPr>
              <w:t>[NEW TC] Patient must be undergoing continuing PBS-subsidised treatment with this drug</w:t>
            </w:r>
          </w:p>
          <w:p w14:paraId="278CBE89"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5D7653FA"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042B3A" w14:paraId="229811DF" w14:textId="77777777" w:rsidTr="00475FED">
        <w:tc>
          <w:tcPr>
            <w:tcW w:w="862" w:type="pct"/>
          </w:tcPr>
          <w:p w14:paraId="1F9DB302"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Clinical criteria</w:t>
            </w:r>
          </w:p>
        </w:tc>
        <w:tc>
          <w:tcPr>
            <w:tcW w:w="4138" w:type="pct"/>
            <w:gridSpan w:val="6"/>
          </w:tcPr>
          <w:p w14:paraId="7FE90C85"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[17597]</w:t>
            </w:r>
          </w:p>
          <w:p w14:paraId="2A923E62"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[17596] Patient must have previously received treatment under the PBS S100 Growth Hormone Program under the short stature and slow growth category</w:t>
            </w:r>
          </w:p>
          <w:p w14:paraId="476FF704"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2D641DE2" w14:textId="77777777" w:rsidR="00E31543" w:rsidRDefault="00E31543" w:rsidP="00475FED">
            <w:pPr>
              <w:spacing w:after="120"/>
              <w:rPr>
                <w:rFonts w:ascii="Arial Narrow" w:hAnsi="Arial Narrow"/>
                <w:sz w:val="18"/>
                <w:szCs w:val="18"/>
              </w:rPr>
            </w:pPr>
            <w:r>
              <w:rPr>
                <w:rFonts w:ascii="Arial Narrow" w:hAnsi="Arial Narrow"/>
                <w:sz w:val="18"/>
                <w:szCs w:val="18"/>
              </w:rPr>
              <w:t xml:space="preserve">[NEW CC1] Patient must have been treated with PBS-subsidised growth hormone </w:t>
            </w:r>
            <w:r w:rsidRPr="006A6EB2">
              <w:rPr>
                <w:rFonts w:ascii="Arial Narrow" w:hAnsi="Arial Narrow"/>
                <w:sz w:val="18"/>
                <w:szCs w:val="18"/>
              </w:rPr>
              <w:t>for the most recent treatment period (</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w:t>
            </w:r>
            <w:r w:rsidRPr="006A6EB2">
              <w:rPr>
                <w:rFonts w:ascii="Arial Narrow" w:hAnsi="Arial Narrow"/>
                <w:sz w:val="18"/>
                <w:szCs w:val="18"/>
              </w:rPr>
              <w:t>32 weeks for an initial</w:t>
            </w:r>
            <w:r>
              <w:rPr>
                <w:rFonts w:ascii="Arial Narrow" w:hAnsi="Arial Narrow"/>
                <w:sz w:val="18"/>
                <w:szCs w:val="18"/>
              </w:rPr>
              <w:t>/</w:t>
            </w:r>
            <w:r w:rsidRPr="006A6EB2">
              <w:rPr>
                <w:rFonts w:ascii="Arial Narrow" w:hAnsi="Arial Narrow"/>
                <w:sz w:val="18"/>
                <w:szCs w:val="18"/>
              </w:rPr>
              <w:t>recommencement treatment period</w:t>
            </w:r>
            <w:r>
              <w:rPr>
                <w:rFonts w:ascii="Arial Narrow" w:hAnsi="Arial Narrow"/>
                <w:sz w:val="18"/>
                <w:szCs w:val="18"/>
              </w:rPr>
              <w:t>,</w:t>
            </w:r>
            <w:r w:rsidRPr="006A6EB2">
              <w:rPr>
                <w:rFonts w:ascii="Arial Narrow" w:hAnsi="Arial Narrow"/>
                <w:sz w:val="18"/>
                <w:szCs w:val="18"/>
              </w:rPr>
              <w:t xml:space="preserve"> </w:t>
            </w:r>
            <w:r>
              <w:rPr>
                <w:rFonts w:ascii="Arial Narrow" w:hAnsi="Arial Narrow"/>
                <w:sz w:val="18"/>
                <w:szCs w:val="18"/>
              </w:rPr>
              <w:t>(ii)</w:t>
            </w:r>
            <w:r w:rsidRPr="006A6EB2">
              <w:rPr>
                <w:rFonts w:ascii="Arial Narrow" w:hAnsi="Arial Narrow"/>
                <w:sz w:val="18"/>
                <w:szCs w:val="18"/>
              </w:rPr>
              <w:t xml:space="preserve"> 26 weeks for a continuing treatment period)</w:t>
            </w:r>
          </w:p>
          <w:p w14:paraId="74DB413D"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1A62AEB5"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[NEW CC2] Patient must have been assessed for growth for the most recent treatment period where either: (</w:t>
            </w:r>
            <w:proofErr w:type="spellStart"/>
            <w:r>
              <w:rPr>
                <w:rFonts w:ascii="Arial Narrow" w:hAnsi="Arial Narrow"/>
                <w:sz w:val="18"/>
                <w:szCs w:val="18"/>
              </w:rPr>
              <w:t>i</w:t>
            </w:r>
            <w:proofErr w:type="spellEnd"/>
            <w:r>
              <w:rPr>
                <w:rFonts w:ascii="Arial Narrow" w:hAnsi="Arial Narrow"/>
                <w:sz w:val="18"/>
                <w:szCs w:val="18"/>
              </w:rPr>
              <w:t>) the assessment demonstrates an adequate response to treatment irrespective of dose, (ii) the assessment demonstrates an inadequate response to treatment dosed less than the upper dose limit</w:t>
            </w:r>
          </w:p>
          <w:p w14:paraId="56D51EC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490BC8DC"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[15708]</w:t>
            </w:r>
          </w:p>
          <w:p w14:paraId="64257BB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[15707] Patient must not have a condition with a known risk of malignancy including chromosomal abnormalities such as Down and Bloom syndromes</w:t>
            </w:r>
          </w:p>
          <w:p w14:paraId="0D07BC2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7CC9DF22"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[15711]</w:t>
            </w:r>
          </w:p>
          <w:p w14:paraId="678219A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[15710] Patient must not have an active tumour or evidence of tumour growth or activity</w:t>
            </w:r>
          </w:p>
          <w:p w14:paraId="05200BA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396B6DD7"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[16068]</w:t>
            </w:r>
          </w:p>
          <w:p w14:paraId="6961B41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[16066] Patient must be male and must not have a bone age of 15.5 years or more; or</w:t>
            </w:r>
          </w:p>
          <w:p w14:paraId="644687C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[16067] Patient must be female and must not have a bone age of 13.5 years or more</w:t>
            </w:r>
          </w:p>
          <w:p w14:paraId="00D4E58C"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0276DB11"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[16136]</w:t>
            </w:r>
          </w:p>
          <w:p w14:paraId="24BEDF4A"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[16134] Patient must be male and must not have a height greater than or equal to 167.7cm; or</w:t>
            </w:r>
          </w:p>
          <w:p w14:paraId="4988DD21"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[16135] Patient must be female and must not have a height greater than or equal to 155.0cm</w:t>
            </w:r>
          </w:p>
        </w:tc>
      </w:tr>
      <w:tr w:rsidR="00E31543" w:rsidRPr="00042B3A" w14:paraId="74BDAEC9" w14:textId="77777777" w:rsidTr="00475FED">
        <w:tc>
          <w:tcPr>
            <w:tcW w:w="862" w:type="pct"/>
          </w:tcPr>
          <w:p w14:paraId="3EF24FC2"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Population criteria</w:t>
            </w:r>
          </w:p>
        </w:tc>
        <w:tc>
          <w:tcPr>
            <w:tcW w:w="4138" w:type="pct"/>
            <w:gridSpan w:val="6"/>
          </w:tcPr>
          <w:p w14:paraId="70EAA4B5" w14:textId="77777777" w:rsidR="00E31543" w:rsidRPr="00042B3A" w:rsidRDefault="00E31543" w:rsidP="00475FED">
            <w:pPr>
              <w:spacing w:after="120"/>
              <w:rPr>
                <w:rFonts w:ascii="Arial Narrow" w:hAnsi="Arial Narrow"/>
                <w:sz w:val="18"/>
                <w:szCs w:val="18"/>
              </w:rPr>
            </w:pPr>
          </w:p>
        </w:tc>
      </w:tr>
      <w:tr w:rsidR="00E31543" w:rsidRPr="00042B3A" w14:paraId="1A663D0D" w14:textId="77777777" w:rsidTr="00475FED">
        <w:tc>
          <w:tcPr>
            <w:tcW w:w="862" w:type="pct"/>
          </w:tcPr>
          <w:p w14:paraId="2BE738C0"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Foreword</w:t>
            </w:r>
          </w:p>
        </w:tc>
        <w:tc>
          <w:tcPr>
            <w:tcW w:w="4138" w:type="pct"/>
            <w:gridSpan w:val="6"/>
          </w:tcPr>
          <w:p w14:paraId="6078EE99" w14:textId="77777777" w:rsidR="00E31543" w:rsidRPr="00042B3A" w:rsidRDefault="00E31543" w:rsidP="00475FED">
            <w:pPr>
              <w:spacing w:after="120"/>
              <w:rPr>
                <w:rFonts w:ascii="Arial Narrow" w:hAnsi="Arial Narrow"/>
                <w:sz w:val="18"/>
                <w:szCs w:val="18"/>
              </w:rPr>
            </w:pPr>
          </w:p>
        </w:tc>
      </w:tr>
      <w:tr w:rsidR="00E31543" w:rsidRPr="00042B3A" w14:paraId="59AF3DB2" w14:textId="77777777" w:rsidTr="00475FED">
        <w:tc>
          <w:tcPr>
            <w:tcW w:w="862" w:type="pct"/>
          </w:tcPr>
          <w:p w14:paraId="5F40CA8D"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Definitions</w:t>
            </w:r>
          </w:p>
        </w:tc>
        <w:tc>
          <w:tcPr>
            <w:tcW w:w="4138" w:type="pct"/>
            <w:gridSpan w:val="6"/>
          </w:tcPr>
          <w:p w14:paraId="53A77137" w14:textId="77777777" w:rsidR="00E31543" w:rsidRPr="00042B3A" w:rsidRDefault="00E31543" w:rsidP="00475FED">
            <w:pPr>
              <w:spacing w:after="120"/>
              <w:rPr>
                <w:rFonts w:ascii="Arial Narrow" w:hAnsi="Arial Narrow"/>
                <w:sz w:val="18"/>
                <w:szCs w:val="18"/>
              </w:rPr>
            </w:pPr>
          </w:p>
        </w:tc>
      </w:tr>
      <w:tr w:rsidR="00E31543" w:rsidRPr="00042B3A" w14:paraId="6C132D0C" w14:textId="77777777" w:rsidTr="00475FED">
        <w:tc>
          <w:tcPr>
            <w:tcW w:w="862" w:type="pct"/>
          </w:tcPr>
          <w:p w14:paraId="32DEB307"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Prescriber Instructions</w:t>
            </w:r>
            <w:r w:rsidRPr="00042B3A">
              <w:rPr>
                <w:rFonts w:ascii="Arial Narrow" w:hAnsi="Arial Narrow"/>
                <w:sz w:val="18"/>
                <w:szCs w:val="18"/>
              </w:rPr>
              <w:br/>
            </w:r>
          </w:p>
        </w:tc>
        <w:tc>
          <w:tcPr>
            <w:tcW w:w="4138" w:type="pct"/>
            <w:gridSpan w:val="6"/>
          </w:tcPr>
          <w:p w14:paraId="2486D375" w14:textId="77777777" w:rsidR="00E31543" w:rsidRDefault="00E31543" w:rsidP="00475FED">
            <w:pPr>
              <w:spacing w:after="120"/>
              <w:rPr>
                <w:rFonts w:ascii="Arial Narrow" w:hAnsi="Arial Narrow"/>
                <w:sz w:val="18"/>
                <w:szCs w:val="18"/>
              </w:rPr>
            </w:pPr>
            <w:r>
              <w:rPr>
                <w:rFonts w:ascii="Arial Narrow" w:hAnsi="Arial Narrow"/>
                <w:sz w:val="18"/>
                <w:szCs w:val="18"/>
              </w:rPr>
              <w:t>[NEW PI1] Definition of an adequate response to treatment:</w:t>
            </w:r>
          </w:p>
          <w:p w14:paraId="636B0705"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 xml:space="preserve">Patient must have </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achieved </w:t>
            </w:r>
            <w:r w:rsidRPr="00042B3A">
              <w:rPr>
                <w:rFonts w:ascii="Arial Narrow" w:hAnsi="Arial Narrow"/>
                <w:sz w:val="18"/>
                <w:szCs w:val="18"/>
              </w:rPr>
              <w:t>the 50th percentile growth velocity for bone age and sex</w:t>
            </w:r>
            <w:r>
              <w:rPr>
                <w:rFonts w:ascii="Arial Narrow" w:hAnsi="Arial Narrow"/>
                <w:sz w:val="18"/>
                <w:szCs w:val="18"/>
              </w:rPr>
              <w:t xml:space="preserve">, (ii) achieved </w:t>
            </w:r>
            <w:r w:rsidRPr="00042B3A">
              <w:rPr>
                <w:rFonts w:ascii="Arial Narrow" w:hAnsi="Arial Narrow"/>
                <w:sz w:val="18"/>
                <w:szCs w:val="18"/>
              </w:rPr>
              <w:t>an increase in height standard deviation score for chronological age and sex</w:t>
            </w:r>
            <w:r>
              <w:rPr>
                <w:rFonts w:ascii="Arial Narrow" w:hAnsi="Arial Narrow"/>
                <w:sz w:val="18"/>
                <w:szCs w:val="18"/>
              </w:rPr>
              <w:t>, (iii)</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 minimum growth velocity of 4cm/year</w:t>
            </w:r>
            <w:r>
              <w:rPr>
                <w:rFonts w:ascii="Arial Narrow" w:hAnsi="Arial Narrow"/>
                <w:sz w:val="18"/>
                <w:szCs w:val="18"/>
              </w:rPr>
              <w:t>, (iv)</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and maintained mid parental height standard deviation score</w:t>
            </w:r>
            <w:r>
              <w:rPr>
                <w:rFonts w:ascii="Arial Narrow" w:hAnsi="Arial Narrow"/>
                <w:sz w:val="18"/>
                <w:szCs w:val="18"/>
              </w:rPr>
              <w:t>.</w:t>
            </w:r>
          </w:p>
          <w:p w14:paraId="1BF92AA7" w14:textId="77777777" w:rsidR="00E31543" w:rsidRDefault="00E31543" w:rsidP="00475FED">
            <w:pPr>
              <w:spacing w:after="120"/>
              <w:rPr>
                <w:rFonts w:ascii="Arial Narrow" w:hAnsi="Arial Narrow"/>
                <w:sz w:val="18"/>
                <w:szCs w:val="18"/>
              </w:rPr>
            </w:pPr>
            <w:r>
              <w:rPr>
                <w:rFonts w:ascii="Arial Narrow" w:hAnsi="Arial Narrow"/>
                <w:sz w:val="18"/>
                <w:szCs w:val="18"/>
              </w:rPr>
              <w:t>Prescribers must assess if there is an adequate response to growth hormone treatment.</w:t>
            </w:r>
          </w:p>
          <w:p w14:paraId="40E6085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 xml:space="preserve">[16059] The maximum duration of each continuing treatment phase is 26 weeks. Prescribers must determine an appropriate weekly dose in accordance with the dosing arrangements detailed in the National Health (Growth </w:t>
            </w:r>
            <w:r w:rsidRPr="00042B3A">
              <w:rPr>
                <w:rFonts w:ascii="Arial Narrow" w:hAnsi="Arial Narrow"/>
                <w:sz w:val="18"/>
                <w:szCs w:val="18"/>
              </w:rPr>
              <w:lastRenderedPageBreak/>
              <w:t>Hormone Program) Special Arrangement 2015 and request the appropriate number of vials/cartridges required to provide sufficient drug for 13 weeks' worth of treatment (with up to 1 repeat allowed).</w:t>
            </w:r>
          </w:p>
          <w:p w14:paraId="53DB7408"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w:t>
            </w:r>
            <w:r>
              <w:rPr>
                <w:rFonts w:ascii="Arial Narrow" w:hAnsi="Arial Narrow"/>
                <w:sz w:val="18"/>
                <w:szCs w:val="18"/>
              </w:rPr>
              <w:t xml:space="preserve">amend </w:t>
            </w:r>
            <w:r w:rsidRPr="00042B3A">
              <w:rPr>
                <w:rFonts w:ascii="Arial Narrow" w:hAnsi="Arial Narrow"/>
                <w:sz w:val="18"/>
                <w:szCs w:val="18"/>
              </w:rPr>
              <w:t xml:space="preserve">23360] The authority application must be in writing and must </w:t>
            </w:r>
            <w:proofErr w:type="gramStart"/>
            <w:r w:rsidRPr="00042B3A">
              <w:rPr>
                <w:rFonts w:ascii="Arial Narrow" w:hAnsi="Arial Narrow"/>
                <w:sz w:val="18"/>
                <w:szCs w:val="18"/>
              </w:rPr>
              <w:t>include:,</w:t>
            </w:r>
            <w:proofErr w:type="gramEnd"/>
            <w:r w:rsidRPr="00042B3A">
              <w:rPr>
                <w:rFonts w:ascii="Arial Narrow" w:hAnsi="Arial Narrow"/>
                <w:sz w:val="18"/>
                <w:szCs w:val="18"/>
              </w:rPr>
              <w:t xml:space="preserve"> 1. A completed authority prescription form; AND, 2. A completed Growth Hormone Authority Application Supporting Information Form for continuing treatment; AND, 3. Growth data (height and weight) for the most recent 6 month treatment period, including data at both the start and end of the treatment period. The most recent data must not be older than three months; AND, 4. A bone age result performed within the last 12 months</w:t>
            </w:r>
            <w:r w:rsidRPr="00042B3A">
              <w:rPr>
                <w:rFonts w:ascii="Arial Narrow" w:hAnsi="Arial Narrow" w:cs="Open Sans"/>
                <w:color w:val="333333"/>
                <w:sz w:val="18"/>
                <w:szCs w:val="18"/>
                <w:shd w:val="clear" w:color="auto" w:fill="FFFFFF"/>
              </w:rPr>
              <w:t xml:space="preserve"> (except for a patient whose chronological age is 2.5 years or less);</w:t>
            </w:r>
            <w:r w:rsidRPr="00042B3A">
              <w:rPr>
                <w:rFonts w:ascii="Arial Narrow" w:hAnsi="Arial Narrow"/>
                <w:sz w:val="18"/>
                <w:szCs w:val="18"/>
              </w:rPr>
              <w:t xml:space="preserve"> AND, 5. The final adult height (in cm) of the patient's mother and father (where available); AND, 6. The proprietary name (brand), </w:t>
            </w:r>
            <w:r>
              <w:rPr>
                <w:rFonts w:ascii="Arial Narrow" w:hAnsi="Arial Narrow"/>
                <w:sz w:val="18"/>
                <w:szCs w:val="18"/>
              </w:rPr>
              <w:t>form and strength of the growth hormone requested</w:t>
            </w:r>
            <w:r w:rsidRPr="00042B3A">
              <w:rPr>
                <w:rFonts w:ascii="Arial Narrow" w:hAnsi="Arial Narrow"/>
                <w:sz w:val="18"/>
                <w:szCs w:val="18"/>
              </w:rPr>
              <w:t xml:space="preserve">, and the number of vials/cartridges required to provide sufficient drug for 13 </w:t>
            </w:r>
            <w:proofErr w:type="spellStart"/>
            <w:r w:rsidRPr="00042B3A">
              <w:rPr>
                <w:rFonts w:ascii="Arial Narrow" w:hAnsi="Arial Narrow"/>
                <w:sz w:val="18"/>
                <w:szCs w:val="18"/>
              </w:rPr>
              <w:t>weeks worth</w:t>
            </w:r>
            <w:proofErr w:type="spellEnd"/>
            <w:r w:rsidRPr="00042B3A">
              <w:rPr>
                <w:rFonts w:ascii="Arial Narrow" w:hAnsi="Arial Narrow"/>
                <w:sz w:val="18"/>
                <w:szCs w:val="18"/>
              </w:rPr>
              <w:t xml:space="preserve"> of treatment (with up to 1 repeat allowed).</w:t>
            </w:r>
          </w:p>
          <w:p w14:paraId="24FF431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FBE215F" w14:textId="77777777" w:rsidR="00E31543" w:rsidRPr="00042B3A" w:rsidRDefault="00E31543" w:rsidP="00475FED">
            <w:pPr>
              <w:spacing w:after="120"/>
              <w:rPr>
                <w:rFonts w:ascii="Arial Narrow" w:hAnsi="Arial Narrow"/>
                <w:sz w:val="18"/>
                <w:szCs w:val="18"/>
              </w:rPr>
            </w:pPr>
            <w:r>
              <w:rPr>
                <w:rFonts w:ascii="Arial Narrow" w:hAnsi="Arial Narrow" w:cs="Open Sans"/>
                <w:color w:val="333333"/>
                <w:sz w:val="18"/>
                <w:szCs w:val="18"/>
                <w:shd w:val="clear" w:color="auto" w:fill="FFFFFF"/>
              </w:rPr>
              <w:t xml:space="preserve">[28759] </w:t>
            </w:r>
            <w:r w:rsidRPr="00042B3A">
              <w:rPr>
                <w:rFonts w:ascii="Arial Narrow" w:hAnsi="Arial Narrow" w:cs="Open Sans"/>
                <w:color w:val="333333"/>
                <w:sz w:val="18"/>
                <w:szCs w:val="18"/>
                <w:shd w:val="clear" w:color="auto" w:fill="FFFFFF"/>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042B3A" w14:paraId="4CA8158F" w14:textId="77777777" w:rsidTr="00475FED">
        <w:tc>
          <w:tcPr>
            <w:tcW w:w="862" w:type="pct"/>
          </w:tcPr>
          <w:p w14:paraId="36B42929"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lastRenderedPageBreak/>
              <w:t>Administrative Advice</w:t>
            </w:r>
          </w:p>
        </w:tc>
        <w:tc>
          <w:tcPr>
            <w:tcW w:w="4138" w:type="pct"/>
            <w:gridSpan w:val="6"/>
          </w:tcPr>
          <w:p w14:paraId="389BD0DA"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042B3A" w14:paraId="7F65DE31" w14:textId="77777777" w:rsidTr="00475FED">
        <w:tc>
          <w:tcPr>
            <w:tcW w:w="862" w:type="pct"/>
          </w:tcPr>
          <w:p w14:paraId="674FEB09"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Cautions</w:t>
            </w:r>
          </w:p>
        </w:tc>
        <w:tc>
          <w:tcPr>
            <w:tcW w:w="4138" w:type="pct"/>
            <w:gridSpan w:val="6"/>
          </w:tcPr>
          <w:p w14:paraId="7FF89B2C" w14:textId="77777777" w:rsidR="00E31543" w:rsidRPr="00042B3A" w:rsidRDefault="00E31543" w:rsidP="00475FED">
            <w:pPr>
              <w:spacing w:after="120"/>
              <w:rPr>
                <w:rFonts w:ascii="Arial Narrow" w:hAnsi="Arial Narrow"/>
                <w:sz w:val="18"/>
                <w:szCs w:val="18"/>
              </w:rPr>
            </w:pPr>
          </w:p>
        </w:tc>
      </w:tr>
      <w:tr w:rsidR="00E31543" w:rsidRPr="00AF5F03" w14:paraId="76B839B3" w14:textId="77777777" w:rsidTr="00475FED">
        <w:tc>
          <w:tcPr>
            <w:tcW w:w="862" w:type="pct"/>
          </w:tcPr>
          <w:p w14:paraId="5456BEA0"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Benefit Type</w:t>
            </w:r>
          </w:p>
        </w:tc>
        <w:tc>
          <w:tcPr>
            <w:tcW w:w="4138" w:type="pct"/>
            <w:gridSpan w:val="6"/>
          </w:tcPr>
          <w:p w14:paraId="1EDBF0F9"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50395</w:t>
            </w:r>
          </w:p>
        </w:tc>
      </w:tr>
      <w:tr w:rsidR="00E31543" w:rsidRPr="00AF5F03" w14:paraId="104CF6C1" w14:textId="77777777" w:rsidTr="00475FED">
        <w:tc>
          <w:tcPr>
            <w:tcW w:w="862" w:type="pct"/>
          </w:tcPr>
          <w:p w14:paraId="148A7F8A"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Restriction Number</w:t>
            </w:r>
          </w:p>
        </w:tc>
        <w:tc>
          <w:tcPr>
            <w:tcW w:w="4138" w:type="pct"/>
            <w:gridSpan w:val="6"/>
          </w:tcPr>
          <w:p w14:paraId="204BA02F"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11668</w:t>
            </w:r>
          </w:p>
        </w:tc>
      </w:tr>
      <w:tr w:rsidR="00E31543" w:rsidRPr="00AF5F03" w14:paraId="690BEDD8" w14:textId="77777777" w:rsidTr="00475FED">
        <w:tc>
          <w:tcPr>
            <w:tcW w:w="862" w:type="pct"/>
          </w:tcPr>
          <w:p w14:paraId="73A30F1F"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Treatment of Code</w:t>
            </w:r>
            <w:r>
              <w:rPr>
                <w:rFonts w:ascii="Arial Narrow" w:hAnsi="Arial Narrow"/>
                <w:b/>
                <w:sz w:val="18"/>
                <w:szCs w:val="18"/>
              </w:rPr>
              <w:t xml:space="preserve"> </w:t>
            </w:r>
            <w:r w:rsidRPr="00AF5F03">
              <w:rPr>
                <w:rFonts w:ascii="Arial Narrow" w:hAnsi="Arial Narrow"/>
                <w:b/>
                <w:sz w:val="18"/>
                <w:szCs w:val="18"/>
              </w:rPr>
              <w:t>(</w:t>
            </w:r>
            <w:proofErr w:type="spellStart"/>
            <w:r w:rsidRPr="00AF5F03">
              <w:rPr>
                <w:rFonts w:ascii="Arial Narrow" w:hAnsi="Arial Narrow"/>
                <w:b/>
                <w:sz w:val="18"/>
                <w:szCs w:val="18"/>
              </w:rPr>
              <w:t>ToC</w:t>
            </w:r>
            <w:proofErr w:type="spellEnd"/>
            <w:r w:rsidRPr="00AF5F03">
              <w:rPr>
                <w:rFonts w:ascii="Arial Narrow" w:hAnsi="Arial Narrow"/>
                <w:b/>
                <w:sz w:val="18"/>
                <w:szCs w:val="18"/>
              </w:rPr>
              <w:t>)</w:t>
            </w:r>
          </w:p>
        </w:tc>
        <w:tc>
          <w:tcPr>
            <w:tcW w:w="4138" w:type="pct"/>
            <w:gridSpan w:val="6"/>
          </w:tcPr>
          <w:p w14:paraId="5187FD44"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8389</w:t>
            </w:r>
          </w:p>
        </w:tc>
      </w:tr>
      <w:tr w:rsidR="00E31543" w:rsidRPr="00AF5F03" w14:paraId="7E96C5E7" w14:textId="77777777" w:rsidTr="00475FED">
        <w:tc>
          <w:tcPr>
            <w:tcW w:w="862" w:type="pct"/>
          </w:tcPr>
          <w:p w14:paraId="09B07700"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Category / Program</w:t>
            </w:r>
          </w:p>
        </w:tc>
        <w:tc>
          <w:tcPr>
            <w:tcW w:w="4138" w:type="pct"/>
            <w:gridSpan w:val="6"/>
          </w:tcPr>
          <w:p w14:paraId="51D1F452"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S100 - Section 100 (Growth Hormone) (Code GH)</w:t>
            </w:r>
          </w:p>
        </w:tc>
      </w:tr>
      <w:tr w:rsidR="00E31543" w:rsidRPr="00AF5F03" w14:paraId="64EF9506" w14:textId="77777777" w:rsidTr="00475FED">
        <w:tc>
          <w:tcPr>
            <w:tcW w:w="862" w:type="pct"/>
          </w:tcPr>
          <w:p w14:paraId="79332022"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Prescriber Type(s)</w:t>
            </w:r>
          </w:p>
        </w:tc>
        <w:tc>
          <w:tcPr>
            <w:tcW w:w="4138" w:type="pct"/>
            <w:gridSpan w:val="6"/>
          </w:tcPr>
          <w:p w14:paraId="3964A3E0"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Medical Practitioners</w:t>
            </w:r>
          </w:p>
        </w:tc>
      </w:tr>
      <w:tr w:rsidR="00E31543" w:rsidRPr="00AF5F03" w14:paraId="08743AFE" w14:textId="77777777" w:rsidTr="00475FED">
        <w:tc>
          <w:tcPr>
            <w:tcW w:w="862" w:type="pct"/>
          </w:tcPr>
          <w:p w14:paraId="5635006A"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PBS Indication</w:t>
            </w:r>
          </w:p>
        </w:tc>
        <w:tc>
          <w:tcPr>
            <w:tcW w:w="4138" w:type="pct"/>
            <w:gridSpan w:val="6"/>
          </w:tcPr>
          <w:p w14:paraId="4A5DB84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[15683] Short stature and slow growth</w:t>
            </w:r>
          </w:p>
        </w:tc>
      </w:tr>
      <w:tr w:rsidR="00E31543" w:rsidRPr="00AF5F03" w14:paraId="37557495" w14:textId="77777777" w:rsidTr="00475FED">
        <w:tc>
          <w:tcPr>
            <w:tcW w:w="862" w:type="pct"/>
          </w:tcPr>
          <w:p w14:paraId="6E07CDA8"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Treatment phase</w:t>
            </w:r>
          </w:p>
        </w:tc>
        <w:tc>
          <w:tcPr>
            <w:tcW w:w="4138" w:type="pct"/>
            <w:gridSpan w:val="6"/>
          </w:tcPr>
          <w:p w14:paraId="3C698664"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Continuing treatment as a reclassified patient</w:t>
            </w:r>
          </w:p>
        </w:tc>
      </w:tr>
      <w:tr w:rsidR="00E31543" w:rsidRPr="00AF5F03" w14:paraId="7F8A3E43" w14:textId="77777777" w:rsidTr="00475FED">
        <w:tc>
          <w:tcPr>
            <w:tcW w:w="862" w:type="pct"/>
          </w:tcPr>
          <w:p w14:paraId="64665231"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Restriction Level / Method</w:t>
            </w:r>
          </w:p>
        </w:tc>
        <w:tc>
          <w:tcPr>
            <w:tcW w:w="4138" w:type="pct"/>
            <w:gridSpan w:val="6"/>
          </w:tcPr>
          <w:p w14:paraId="446C0861"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Authority required</w:t>
            </w:r>
          </w:p>
        </w:tc>
      </w:tr>
      <w:tr w:rsidR="00E31543" w:rsidRPr="00AF5F03" w14:paraId="438EEE41" w14:textId="77777777" w:rsidTr="00475FED">
        <w:tc>
          <w:tcPr>
            <w:tcW w:w="862" w:type="pct"/>
          </w:tcPr>
          <w:p w14:paraId="7583860D"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Treatment criteria</w:t>
            </w:r>
          </w:p>
        </w:tc>
        <w:tc>
          <w:tcPr>
            <w:tcW w:w="4138" w:type="pct"/>
            <w:gridSpan w:val="6"/>
          </w:tcPr>
          <w:p w14:paraId="51BA8859"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[16426]</w:t>
            </w:r>
          </w:p>
          <w:p w14:paraId="7C0DA043"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[16422] Must be treated by a medical practitioner in consultation with a nominated specialist or consultant physician in paediatric endocrinology; or</w:t>
            </w:r>
          </w:p>
          <w:p w14:paraId="31CA13B1"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[16425] Must be treated by a medical practitioner in consultation with a nominated specialist or consultant physician in general paediatrics</w:t>
            </w:r>
          </w:p>
          <w:p w14:paraId="30622FC3"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41CF2A1A" w14:textId="77777777" w:rsidR="00E31543" w:rsidRPr="00AF5F03"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AF5F03" w14:paraId="030DD1A4" w14:textId="77777777" w:rsidTr="00475FED">
        <w:tc>
          <w:tcPr>
            <w:tcW w:w="862" w:type="pct"/>
          </w:tcPr>
          <w:p w14:paraId="5D57000A"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Clinical criteria</w:t>
            </w:r>
          </w:p>
        </w:tc>
        <w:tc>
          <w:tcPr>
            <w:tcW w:w="4138" w:type="pct"/>
            <w:gridSpan w:val="6"/>
          </w:tcPr>
          <w:p w14:paraId="6DA963F6"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[23446]</w:t>
            </w:r>
          </w:p>
          <w:p w14:paraId="166CB687"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[23445] Patient must have previously received treatment under the PBS S100 Growth Hormone Program (treatment) under a category other than short stature and slow growth</w:t>
            </w:r>
          </w:p>
          <w:p w14:paraId="63A30AB8"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00DF1F19"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[17237]</w:t>
            </w:r>
          </w:p>
          <w:p w14:paraId="0AB8A4E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lastRenderedPageBreak/>
              <w:t>[17232]</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or</w:t>
            </w:r>
          </w:p>
          <w:p w14:paraId="689BDD55"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[17233]</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 significant medical illness; or</w:t>
            </w:r>
          </w:p>
          <w:p w14:paraId="3E86E4E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[17234]</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major surgery (</w:t>
            </w:r>
            <w:proofErr w:type="gramStart"/>
            <w:r w:rsidRPr="00AF5F03">
              <w:rPr>
                <w:rFonts w:ascii="Arial Narrow" w:hAnsi="Arial Narrow"/>
                <w:sz w:val="18"/>
                <w:szCs w:val="18"/>
              </w:rPr>
              <w:t>e.g.</w:t>
            </w:r>
            <w:proofErr w:type="gramEnd"/>
            <w:r w:rsidRPr="00AF5F03">
              <w:rPr>
                <w:rFonts w:ascii="Arial Narrow" w:hAnsi="Arial Narrow"/>
                <w:sz w:val="18"/>
                <w:szCs w:val="18"/>
              </w:rPr>
              <w:t xml:space="preserve"> renal transplant); or</w:t>
            </w:r>
          </w:p>
          <w:p w14:paraId="58092E90"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[17235]</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an adverse reaction to growth hormone; or</w:t>
            </w:r>
          </w:p>
          <w:p w14:paraId="734C3BA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[17236]</w:t>
            </w:r>
            <w:r w:rsidRPr="00042B3A">
              <w:rPr>
                <w:rFonts w:ascii="Arial Narrow" w:hAnsi="Arial Narrow"/>
                <w:sz w:val="18"/>
                <w:szCs w:val="18"/>
              </w:rPr>
              <w:t xml:space="preserve"> </w:t>
            </w:r>
            <w:r>
              <w:rPr>
                <w:rFonts w:ascii="Arial Narrow" w:hAnsi="Arial Narrow"/>
                <w:sz w:val="18"/>
                <w:szCs w:val="18"/>
              </w:rPr>
              <w:t>– [NEW]</w:t>
            </w:r>
            <w:r w:rsidRPr="00AF5F03">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non-compliance due to social/family problems</w:t>
            </w:r>
          </w:p>
          <w:p w14:paraId="4E9A553B"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11C49C2B"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[23447]</w:t>
            </w:r>
          </w:p>
          <w:p w14:paraId="3EA7C808"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 xml:space="preserve">[17279] Patient must have previously received treatment under the indication short stature associated with chronic renal insufficiency, have undergone a renal transplant and a </w:t>
            </w:r>
            <w:proofErr w:type="gramStart"/>
            <w:r w:rsidRPr="00AF5F03">
              <w:rPr>
                <w:rFonts w:ascii="Arial Narrow" w:hAnsi="Arial Narrow"/>
                <w:sz w:val="18"/>
                <w:szCs w:val="18"/>
              </w:rPr>
              <w:t>12 month</w:t>
            </w:r>
            <w:proofErr w:type="gramEnd"/>
            <w:r w:rsidRPr="00AF5F03">
              <w:rPr>
                <w:rFonts w:ascii="Arial Narrow" w:hAnsi="Arial Narrow"/>
                <w:sz w:val="18"/>
                <w:szCs w:val="18"/>
              </w:rPr>
              <w:t xml:space="preserve"> period of observation following the transplant, and have an estimated glomerular filtration rate of greater than or equal to 30mL/minute/1.73m2 measured by creatinine clearance, excretion of radionuclides such as DTPA, or by the height/creatinine formula; or</w:t>
            </w:r>
          </w:p>
          <w:p w14:paraId="45B1AD67"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 xml:space="preserve">[23448] Patient must have had a height at or below the 1st percentile for age and sex immediately prior to commencing treatment and a growth velocity below the 25th percentile for bone age and sex measured over the </w:t>
            </w:r>
            <w:proofErr w:type="gramStart"/>
            <w:r w:rsidRPr="00AF5F03">
              <w:rPr>
                <w:rFonts w:ascii="Arial Narrow" w:hAnsi="Arial Narrow"/>
                <w:sz w:val="18"/>
                <w:szCs w:val="18"/>
              </w:rPr>
              <w:t>12 month</w:t>
            </w:r>
            <w:proofErr w:type="gramEnd"/>
            <w:r w:rsidRPr="00AF5F03">
              <w:rPr>
                <w:rFonts w:ascii="Arial Narrow" w:hAnsi="Arial Narrow"/>
                <w:sz w:val="18"/>
                <w:szCs w:val="18"/>
              </w:rPr>
              <w:t xml:space="preserve"> interval immediately prior to commencement of treatment (or the 6 month interval immediately prior to commencement of treatment if the patient was an older child at commencement of treatment)</w:t>
            </w:r>
          </w:p>
          <w:p w14:paraId="4C5621BB"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1F58F08E"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[15708]</w:t>
            </w:r>
          </w:p>
          <w:p w14:paraId="32114776"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[15707] Patient must not have a condition with a known risk of malignancy including chromosomal abnormalities such as Down and Bloom syndromes</w:t>
            </w:r>
          </w:p>
          <w:p w14:paraId="5BEF4578"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0548F100"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[15711]</w:t>
            </w:r>
          </w:p>
          <w:p w14:paraId="5A524FC3"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[15710] Patient must not have an active tumour or evidence of tumour growth or activity</w:t>
            </w:r>
          </w:p>
          <w:p w14:paraId="22CABF9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5725A05B"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[16068]</w:t>
            </w:r>
          </w:p>
          <w:p w14:paraId="5985B759"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[16066] Patient must be male and must not have a bone age of 15.5 years or more; or</w:t>
            </w:r>
          </w:p>
          <w:p w14:paraId="79D7A792"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[16067] Patient must be female and must not have a bone age of 13.5 years or more</w:t>
            </w:r>
          </w:p>
          <w:p w14:paraId="61448ED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AND</w:t>
            </w:r>
          </w:p>
          <w:p w14:paraId="1E2993D2"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[16071]</w:t>
            </w:r>
          </w:p>
          <w:p w14:paraId="3C18A978"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 xml:space="preserve">[16069] Patient must be male and must not have a height greater than or equal to 167.7 </w:t>
            </w:r>
            <w:proofErr w:type="gramStart"/>
            <w:r w:rsidRPr="00AF5F03">
              <w:rPr>
                <w:rFonts w:ascii="Arial Narrow" w:hAnsi="Arial Narrow"/>
                <w:sz w:val="18"/>
                <w:szCs w:val="18"/>
              </w:rPr>
              <w:t>cm;</w:t>
            </w:r>
            <w:proofErr w:type="gramEnd"/>
            <w:r w:rsidRPr="00AF5F03">
              <w:rPr>
                <w:rFonts w:ascii="Arial Narrow" w:hAnsi="Arial Narrow"/>
                <w:sz w:val="18"/>
                <w:szCs w:val="18"/>
              </w:rPr>
              <w:t xml:space="preserve"> or</w:t>
            </w:r>
          </w:p>
          <w:p w14:paraId="192A33B1"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[16070] Patient must be female and must not have a height greater than or equal to 155.0 cm</w:t>
            </w:r>
          </w:p>
        </w:tc>
      </w:tr>
      <w:tr w:rsidR="00E31543" w:rsidRPr="00AF5F03" w14:paraId="42250C1D" w14:textId="77777777" w:rsidTr="00475FED">
        <w:tc>
          <w:tcPr>
            <w:tcW w:w="862" w:type="pct"/>
          </w:tcPr>
          <w:p w14:paraId="443026DE"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lastRenderedPageBreak/>
              <w:t>Population criteria</w:t>
            </w:r>
          </w:p>
        </w:tc>
        <w:tc>
          <w:tcPr>
            <w:tcW w:w="4138" w:type="pct"/>
            <w:gridSpan w:val="6"/>
          </w:tcPr>
          <w:p w14:paraId="064FE586" w14:textId="77777777" w:rsidR="00E31543" w:rsidRPr="00AF5F03" w:rsidRDefault="00E31543" w:rsidP="00475FED">
            <w:pPr>
              <w:spacing w:after="120"/>
              <w:rPr>
                <w:rFonts w:ascii="Arial Narrow" w:hAnsi="Arial Narrow"/>
                <w:sz w:val="18"/>
                <w:szCs w:val="18"/>
              </w:rPr>
            </w:pPr>
          </w:p>
        </w:tc>
      </w:tr>
      <w:tr w:rsidR="00E31543" w:rsidRPr="00AF5F03" w14:paraId="01F09CAF" w14:textId="77777777" w:rsidTr="00475FED">
        <w:tc>
          <w:tcPr>
            <w:tcW w:w="862" w:type="pct"/>
          </w:tcPr>
          <w:p w14:paraId="224E847C"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Foreword</w:t>
            </w:r>
          </w:p>
        </w:tc>
        <w:tc>
          <w:tcPr>
            <w:tcW w:w="4138" w:type="pct"/>
            <w:gridSpan w:val="6"/>
          </w:tcPr>
          <w:p w14:paraId="393D5B9E" w14:textId="77777777" w:rsidR="00E31543" w:rsidRPr="00AF5F03" w:rsidRDefault="00E31543" w:rsidP="00475FED">
            <w:pPr>
              <w:spacing w:after="120"/>
              <w:rPr>
                <w:rFonts w:ascii="Arial Narrow" w:hAnsi="Arial Narrow"/>
                <w:sz w:val="18"/>
                <w:szCs w:val="18"/>
              </w:rPr>
            </w:pPr>
          </w:p>
        </w:tc>
      </w:tr>
      <w:tr w:rsidR="00E31543" w:rsidRPr="00AF5F03" w14:paraId="2129DB3A" w14:textId="77777777" w:rsidTr="00475FED">
        <w:tc>
          <w:tcPr>
            <w:tcW w:w="862" w:type="pct"/>
          </w:tcPr>
          <w:p w14:paraId="06B7A8B7"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lastRenderedPageBreak/>
              <w:t>Definitions</w:t>
            </w:r>
          </w:p>
        </w:tc>
        <w:tc>
          <w:tcPr>
            <w:tcW w:w="4138" w:type="pct"/>
            <w:gridSpan w:val="6"/>
          </w:tcPr>
          <w:p w14:paraId="4ED01E5E" w14:textId="77777777" w:rsidR="00E31543" w:rsidRPr="00AF5F03" w:rsidRDefault="00E31543" w:rsidP="00475FED">
            <w:pPr>
              <w:spacing w:after="120"/>
              <w:rPr>
                <w:rFonts w:ascii="Arial Narrow" w:hAnsi="Arial Narrow"/>
                <w:sz w:val="18"/>
                <w:szCs w:val="18"/>
              </w:rPr>
            </w:pPr>
          </w:p>
        </w:tc>
      </w:tr>
      <w:tr w:rsidR="00E31543" w:rsidRPr="00AF5F03" w14:paraId="2445B954" w14:textId="77777777" w:rsidTr="00475FED">
        <w:tc>
          <w:tcPr>
            <w:tcW w:w="862" w:type="pct"/>
          </w:tcPr>
          <w:p w14:paraId="5DCBF784"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Prescriber Instructions</w:t>
            </w:r>
            <w:r w:rsidRPr="00AF5F03">
              <w:rPr>
                <w:rFonts w:ascii="Arial Narrow" w:hAnsi="Arial Narrow"/>
                <w:sz w:val="18"/>
                <w:szCs w:val="18"/>
              </w:rPr>
              <w:br/>
            </w:r>
          </w:p>
        </w:tc>
        <w:tc>
          <w:tcPr>
            <w:tcW w:w="4138" w:type="pct"/>
            <w:gridSpan w:val="6"/>
          </w:tcPr>
          <w:p w14:paraId="74E36CAD"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[23357] An older child is defined as a male with a chronological age of at least 12 years or a bone age of at least 10 years, or a female with a chronological age of at least 10 years or a bone age of at least 8 years.</w:t>
            </w:r>
          </w:p>
          <w:p w14:paraId="53CD0E00"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[16059] The maximum duration of each continuing treatment phase is 26 weeks. Prescribers must determine an appropriate weekly dose in accordance with the dosing arrangements detailed in the National Health (Growth Hormone Program) Special Arrangement 2015 and request the appropriate number of vials/cartridges required to provide sufficient drug for 13 weeks' worth of treatment (with up to 1 repeat allowed).</w:t>
            </w:r>
          </w:p>
          <w:p w14:paraId="7C9EF83A"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w:t>
            </w:r>
            <w:r>
              <w:rPr>
                <w:rFonts w:ascii="Arial Narrow" w:hAnsi="Arial Narrow"/>
                <w:sz w:val="18"/>
                <w:szCs w:val="18"/>
              </w:rPr>
              <w:t xml:space="preserve">amend </w:t>
            </w:r>
            <w:r w:rsidRPr="00AF5F03">
              <w:rPr>
                <w:rFonts w:ascii="Arial Narrow" w:hAnsi="Arial Narrow"/>
                <w:sz w:val="18"/>
                <w:szCs w:val="18"/>
              </w:rPr>
              <w:t xml:space="preserve">23449] The authority application must be in writing and must include:, 1. A completed authority prescription form; AND, 2. A completed Growth Hormone Authority Application Supporting Information Form for continuing treatment as a reclassified patient; AND, 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OR, (b) Confirmation that the patient has previously received treatment under the indication short stature associated with chronic renal insufficiency, has undergone a renal transplant and a 12 month period of observation following the transplant, and has an estimated glomerular filtration rate of greater than or equal to 30mL/minute/1.73m2 measured by creatinine clearance, excretion of radionuclides such as DTPA, or by the height/creatinine formula; AND, 4. Growth data (height and weight) for the most recent 6 month treatment period, including data at both the start and end of the treatment period. The most recent data must not be older than three months; AND, 5. A bone age result performed within the last 12 months </w:t>
            </w:r>
            <w:r w:rsidRPr="00AF5F03">
              <w:rPr>
                <w:rFonts w:ascii="Arial Narrow" w:hAnsi="Arial Narrow" w:cs="Open Sans"/>
                <w:color w:val="333333"/>
                <w:sz w:val="18"/>
                <w:szCs w:val="18"/>
                <w:shd w:val="clear" w:color="auto" w:fill="FFFFFF"/>
              </w:rPr>
              <w:t>(except for a patient whose chronological age is 2.5 years or less</w:t>
            </w:r>
            <w:proofErr w:type="gramStart"/>
            <w:r w:rsidRPr="00AF5F03">
              <w:rPr>
                <w:rFonts w:ascii="Arial Narrow" w:hAnsi="Arial Narrow" w:cs="Open Sans"/>
                <w:color w:val="333333"/>
                <w:sz w:val="18"/>
                <w:szCs w:val="18"/>
                <w:shd w:val="clear" w:color="auto" w:fill="FFFFFF"/>
              </w:rPr>
              <w:t>);</w:t>
            </w:r>
            <w:r w:rsidRPr="00AF5F03">
              <w:rPr>
                <w:rFonts w:ascii="Arial Narrow" w:hAnsi="Arial Narrow"/>
                <w:sz w:val="18"/>
                <w:szCs w:val="18"/>
              </w:rPr>
              <w:t>;</w:t>
            </w:r>
            <w:proofErr w:type="gramEnd"/>
            <w:r w:rsidRPr="00AF5F03">
              <w:rPr>
                <w:rFonts w:ascii="Arial Narrow" w:hAnsi="Arial Narrow"/>
                <w:sz w:val="18"/>
                <w:szCs w:val="18"/>
              </w:rPr>
              <w:t xml:space="preserve"> AND, 6. The proprietary name (brand), </w:t>
            </w:r>
            <w:r>
              <w:rPr>
                <w:rFonts w:ascii="Arial Narrow" w:hAnsi="Arial Narrow"/>
                <w:sz w:val="18"/>
                <w:szCs w:val="18"/>
              </w:rPr>
              <w:t>form and strength of the growth hormone requested</w:t>
            </w:r>
            <w:r w:rsidRPr="00AF5F03">
              <w:rPr>
                <w:rFonts w:ascii="Arial Narrow" w:hAnsi="Arial Narrow"/>
                <w:sz w:val="18"/>
                <w:szCs w:val="18"/>
              </w:rPr>
              <w:t>, and the number of vials/cartridges required to provide sufficient drug for 13 weeks' worth of treatment (with up to 1 repeat allowed).</w:t>
            </w:r>
          </w:p>
          <w:p w14:paraId="79A5CE4A" w14:textId="77777777" w:rsidR="00E31543" w:rsidRPr="00AF5F03" w:rsidRDefault="00E31543" w:rsidP="00475FED">
            <w:pPr>
              <w:spacing w:after="120"/>
              <w:rPr>
                <w:rFonts w:ascii="Arial Narrow" w:hAnsi="Arial Narrow"/>
                <w:sz w:val="18"/>
                <w:szCs w:val="18"/>
              </w:rPr>
            </w:pPr>
            <w:r w:rsidRPr="00AF5F03">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8E7EB96" w14:textId="77777777" w:rsidR="00E31543" w:rsidRPr="00AF5F03" w:rsidRDefault="00E31543" w:rsidP="00475FED">
            <w:pPr>
              <w:spacing w:after="120"/>
              <w:rPr>
                <w:rFonts w:ascii="Arial Narrow" w:hAnsi="Arial Narrow"/>
                <w:sz w:val="18"/>
                <w:szCs w:val="18"/>
              </w:rPr>
            </w:pPr>
            <w:r>
              <w:rPr>
                <w:rFonts w:ascii="Arial Narrow" w:hAnsi="Arial Narrow" w:cs="Open Sans"/>
                <w:color w:val="333333"/>
                <w:sz w:val="18"/>
                <w:szCs w:val="18"/>
                <w:shd w:val="clear" w:color="auto" w:fill="FFFFFF"/>
              </w:rPr>
              <w:t xml:space="preserve">[28759] </w:t>
            </w:r>
            <w:r w:rsidRPr="00AF5F03">
              <w:rPr>
                <w:rFonts w:ascii="Arial Narrow" w:hAnsi="Arial Narrow" w:cs="Open Sans"/>
                <w:color w:val="333333"/>
                <w:sz w:val="18"/>
                <w:szCs w:val="18"/>
                <w:shd w:val="clear" w:color="auto" w:fill="FFFFFF"/>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AF5F03" w14:paraId="67C6379C" w14:textId="77777777" w:rsidTr="00475FED">
        <w:tc>
          <w:tcPr>
            <w:tcW w:w="862" w:type="pct"/>
          </w:tcPr>
          <w:p w14:paraId="21E38B35"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Administrative Advice</w:t>
            </w:r>
            <w:r w:rsidRPr="00AF5F03">
              <w:rPr>
                <w:rFonts w:ascii="Arial Narrow" w:hAnsi="Arial Narrow"/>
                <w:sz w:val="18"/>
                <w:szCs w:val="18"/>
              </w:rPr>
              <w:br/>
            </w:r>
          </w:p>
        </w:tc>
        <w:tc>
          <w:tcPr>
            <w:tcW w:w="4138" w:type="pct"/>
            <w:gridSpan w:val="6"/>
          </w:tcPr>
          <w:p w14:paraId="316032DE" w14:textId="77777777" w:rsidR="00E31543" w:rsidRDefault="00E31543" w:rsidP="00475FED">
            <w:pPr>
              <w:spacing w:after="120"/>
              <w:rPr>
                <w:rFonts w:ascii="Arial Narrow" w:hAnsi="Arial Narrow"/>
                <w:sz w:val="18"/>
                <w:szCs w:val="18"/>
              </w:rPr>
            </w:pPr>
            <w:r w:rsidRPr="00AF5F03">
              <w:rPr>
                <w:rFonts w:ascii="Arial Narrow" w:hAnsi="Arial Narrow"/>
                <w:sz w:val="18"/>
                <w:szCs w:val="18"/>
              </w:rPr>
              <w:t>[11698] Any queries concerning the arrangements to prescribe may be directed to the Department of Human Services on 1800 700 270 (hours of operation 8 a.m. to 5 p.m. EST Monday to Friday). , Prescribing information (including Authority Application forms and other relevant documentation as applicable) is available on the Department of Human Services website at www.humanservices.gov.au, Applications for authority to prescribe should be forwarded to:, Department of Human Services , Prior Written Approval of Complex Drugs, Reply Paid 9826, HOBART TAS 7001</w:t>
            </w:r>
          </w:p>
          <w:p w14:paraId="528C347B" w14:textId="77777777" w:rsidR="00E31543" w:rsidRPr="00AF5F03"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AF5F03" w14:paraId="1265283B" w14:textId="77777777" w:rsidTr="00475FED">
        <w:tc>
          <w:tcPr>
            <w:tcW w:w="862" w:type="pct"/>
          </w:tcPr>
          <w:p w14:paraId="3A504F36" w14:textId="77777777" w:rsidR="00E31543" w:rsidRPr="00AF5F03" w:rsidRDefault="00E31543" w:rsidP="00475FED">
            <w:pPr>
              <w:spacing w:after="120"/>
              <w:jc w:val="left"/>
              <w:rPr>
                <w:rFonts w:ascii="Arial Narrow" w:hAnsi="Arial Narrow"/>
                <w:sz w:val="18"/>
                <w:szCs w:val="18"/>
              </w:rPr>
            </w:pPr>
            <w:r w:rsidRPr="00AF5F03">
              <w:rPr>
                <w:rFonts w:ascii="Arial Narrow" w:hAnsi="Arial Narrow"/>
                <w:b/>
                <w:sz w:val="18"/>
                <w:szCs w:val="18"/>
              </w:rPr>
              <w:t>Cautions</w:t>
            </w:r>
          </w:p>
        </w:tc>
        <w:tc>
          <w:tcPr>
            <w:tcW w:w="4138" w:type="pct"/>
            <w:gridSpan w:val="6"/>
          </w:tcPr>
          <w:p w14:paraId="35FBA7E7" w14:textId="77777777" w:rsidR="00E31543" w:rsidRPr="00AF5F03" w:rsidRDefault="00E31543" w:rsidP="00475FED">
            <w:pPr>
              <w:spacing w:after="120"/>
              <w:rPr>
                <w:rFonts w:ascii="Arial Narrow" w:hAnsi="Arial Narrow"/>
                <w:sz w:val="18"/>
                <w:szCs w:val="18"/>
              </w:rPr>
            </w:pPr>
          </w:p>
        </w:tc>
      </w:tr>
      <w:tr w:rsidR="00E31543" w14:paraId="22FF2705" w14:textId="77777777" w:rsidTr="00475FED">
        <w:tblPrEx>
          <w:tblLook w:val="04A0" w:firstRow="1" w:lastRow="0" w:firstColumn="1" w:lastColumn="0" w:noHBand="0" w:noVBand="1"/>
        </w:tblPrEx>
        <w:tc>
          <w:tcPr>
            <w:tcW w:w="862" w:type="pct"/>
          </w:tcPr>
          <w:p w14:paraId="1CB8433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Benefit Type</w:t>
            </w:r>
          </w:p>
        </w:tc>
        <w:tc>
          <w:tcPr>
            <w:tcW w:w="4138" w:type="pct"/>
            <w:gridSpan w:val="6"/>
          </w:tcPr>
          <w:p w14:paraId="63F75830"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50438</w:t>
            </w:r>
          </w:p>
        </w:tc>
      </w:tr>
      <w:tr w:rsidR="00E31543" w14:paraId="6C6E34B4" w14:textId="77777777" w:rsidTr="00475FED">
        <w:tblPrEx>
          <w:tblLook w:val="04A0" w:firstRow="1" w:lastRow="0" w:firstColumn="1" w:lastColumn="0" w:noHBand="0" w:noVBand="1"/>
        </w:tblPrEx>
        <w:tc>
          <w:tcPr>
            <w:tcW w:w="862" w:type="pct"/>
          </w:tcPr>
          <w:p w14:paraId="3188AEC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Restriction Number</w:t>
            </w:r>
          </w:p>
        </w:tc>
        <w:tc>
          <w:tcPr>
            <w:tcW w:w="4138" w:type="pct"/>
            <w:gridSpan w:val="6"/>
          </w:tcPr>
          <w:p w14:paraId="63A5D87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11665</w:t>
            </w:r>
          </w:p>
        </w:tc>
      </w:tr>
      <w:tr w:rsidR="00E31543" w14:paraId="66F113DA" w14:textId="77777777" w:rsidTr="00475FED">
        <w:tblPrEx>
          <w:tblLook w:val="04A0" w:firstRow="1" w:lastRow="0" w:firstColumn="1" w:lastColumn="0" w:noHBand="0" w:noVBand="1"/>
        </w:tblPrEx>
        <w:tc>
          <w:tcPr>
            <w:tcW w:w="862" w:type="pct"/>
          </w:tcPr>
          <w:p w14:paraId="5AE8D7A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Treatment of Code</w:t>
            </w:r>
            <w:r>
              <w:rPr>
                <w:rFonts w:ascii="Arial Narrow" w:hAnsi="Arial Narrow"/>
                <w:b/>
                <w:sz w:val="18"/>
                <w:szCs w:val="18"/>
              </w:rPr>
              <w:t xml:space="preserve"> </w:t>
            </w:r>
            <w:r w:rsidRPr="00914DF7">
              <w:rPr>
                <w:rFonts w:ascii="Arial Narrow" w:hAnsi="Arial Narrow"/>
                <w:b/>
                <w:sz w:val="18"/>
                <w:szCs w:val="18"/>
              </w:rPr>
              <w:t>(</w:t>
            </w:r>
            <w:proofErr w:type="spellStart"/>
            <w:r w:rsidRPr="00914DF7">
              <w:rPr>
                <w:rFonts w:ascii="Arial Narrow" w:hAnsi="Arial Narrow"/>
                <w:b/>
                <w:sz w:val="18"/>
                <w:szCs w:val="18"/>
              </w:rPr>
              <w:t>ToC</w:t>
            </w:r>
            <w:proofErr w:type="spellEnd"/>
            <w:r w:rsidRPr="00914DF7">
              <w:rPr>
                <w:rFonts w:ascii="Arial Narrow" w:hAnsi="Arial Narrow"/>
                <w:b/>
                <w:sz w:val="18"/>
                <w:szCs w:val="18"/>
              </w:rPr>
              <w:t>)</w:t>
            </w:r>
          </w:p>
        </w:tc>
        <w:tc>
          <w:tcPr>
            <w:tcW w:w="4138" w:type="pct"/>
            <w:gridSpan w:val="6"/>
          </w:tcPr>
          <w:p w14:paraId="31A6CC1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5352</w:t>
            </w:r>
          </w:p>
        </w:tc>
      </w:tr>
      <w:tr w:rsidR="00E31543" w14:paraId="676E151D" w14:textId="77777777" w:rsidTr="00475FED">
        <w:tblPrEx>
          <w:tblLook w:val="04A0" w:firstRow="1" w:lastRow="0" w:firstColumn="1" w:lastColumn="0" w:noHBand="0" w:noVBand="1"/>
        </w:tblPrEx>
        <w:tc>
          <w:tcPr>
            <w:tcW w:w="862" w:type="pct"/>
          </w:tcPr>
          <w:p w14:paraId="49938F8D"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Category / Program</w:t>
            </w:r>
          </w:p>
        </w:tc>
        <w:tc>
          <w:tcPr>
            <w:tcW w:w="4138" w:type="pct"/>
            <w:gridSpan w:val="6"/>
          </w:tcPr>
          <w:p w14:paraId="3CF6E9A4"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S100 - Section 100 (Growth Hormone) (Code GH)</w:t>
            </w:r>
          </w:p>
        </w:tc>
      </w:tr>
      <w:tr w:rsidR="00E31543" w14:paraId="02A376FE" w14:textId="77777777" w:rsidTr="00475FED">
        <w:tblPrEx>
          <w:tblLook w:val="04A0" w:firstRow="1" w:lastRow="0" w:firstColumn="1" w:lastColumn="0" w:noHBand="0" w:noVBand="1"/>
        </w:tblPrEx>
        <w:tc>
          <w:tcPr>
            <w:tcW w:w="862" w:type="pct"/>
          </w:tcPr>
          <w:p w14:paraId="052CDFE4"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Prescriber Type(s)</w:t>
            </w:r>
          </w:p>
        </w:tc>
        <w:tc>
          <w:tcPr>
            <w:tcW w:w="4138" w:type="pct"/>
            <w:gridSpan w:val="6"/>
          </w:tcPr>
          <w:p w14:paraId="2595E5F4"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Medical Practitioners</w:t>
            </w:r>
          </w:p>
        </w:tc>
      </w:tr>
      <w:tr w:rsidR="00E31543" w14:paraId="590BE142" w14:textId="77777777" w:rsidTr="00475FED">
        <w:tblPrEx>
          <w:tblLook w:val="04A0" w:firstRow="1" w:lastRow="0" w:firstColumn="1" w:lastColumn="0" w:noHBand="0" w:noVBand="1"/>
        </w:tblPrEx>
        <w:tc>
          <w:tcPr>
            <w:tcW w:w="862" w:type="pct"/>
          </w:tcPr>
          <w:p w14:paraId="5418AE5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PBS Indication</w:t>
            </w:r>
          </w:p>
        </w:tc>
        <w:tc>
          <w:tcPr>
            <w:tcW w:w="4138" w:type="pct"/>
            <w:gridSpan w:val="6"/>
          </w:tcPr>
          <w:p w14:paraId="51E4FEB2"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[15683] Short stature and slow growth</w:t>
            </w:r>
          </w:p>
        </w:tc>
      </w:tr>
      <w:tr w:rsidR="00E31543" w14:paraId="7712CA48" w14:textId="77777777" w:rsidTr="00475FED">
        <w:tblPrEx>
          <w:tblLook w:val="04A0" w:firstRow="1" w:lastRow="0" w:firstColumn="1" w:lastColumn="0" w:noHBand="0" w:noVBand="1"/>
        </w:tblPrEx>
        <w:tc>
          <w:tcPr>
            <w:tcW w:w="862" w:type="pct"/>
          </w:tcPr>
          <w:p w14:paraId="37CD7EB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Treatment phase</w:t>
            </w:r>
          </w:p>
        </w:tc>
        <w:tc>
          <w:tcPr>
            <w:tcW w:w="4138" w:type="pct"/>
            <w:gridSpan w:val="6"/>
          </w:tcPr>
          <w:p w14:paraId="6182EEDF"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Recommencement of treatment</w:t>
            </w:r>
          </w:p>
        </w:tc>
      </w:tr>
      <w:tr w:rsidR="00E31543" w14:paraId="2C9BBBA1" w14:textId="77777777" w:rsidTr="00475FED">
        <w:tblPrEx>
          <w:tblLook w:val="04A0" w:firstRow="1" w:lastRow="0" w:firstColumn="1" w:lastColumn="0" w:noHBand="0" w:noVBand="1"/>
        </w:tblPrEx>
        <w:tc>
          <w:tcPr>
            <w:tcW w:w="862" w:type="pct"/>
          </w:tcPr>
          <w:p w14:paraId="26E7343A"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Restriction Level / Method</w:t>
            </w:r>
          </w:p>
        </w:tc>
        <w:tc>
          <w:tcPr>
            <w:tcW w:w="4138" w:type="pct"/>
            <w:gridSpan w:val="6"/>
          </w:tcPr>
          <w:p w14:paraId="0ECB6985"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Authority required</w:t>
            </w:r>
          </w:p>
        </w:tc>
      </w:tr>
      <w:tr w:rsidR="00E31543" w14:paraId="50BCCBB8" w14:textId="77777777" w:rsidTr="00475FED">
        <w:tblPrEx>
          <w:tblLook w:val="04A0" w:firstRow="1" w:lastRow="0" w:firstColumn="1" w:lastColumn="0" w:noHBand="0" w:noVBand="1"/>
        </w:tblPrEx>
        <w:tc>
          <w:tcPr>
            <w:tcW w:w="862" w:type="pct"/>
          </w:tcPr>
          <w:p w14:paraId="6D79DEAF"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lastRenderedPageBreak/>
              <w:t>Treatment criteria</w:t>
            </w:r>
          </w:p>
        </w:tc>
        <w:tc>
          <w:tcPr>
            <w:tcW w:w="4138" w:type="pct"/>
            <w:gridSpan w:val="6"/>
          </w:tcPr>
          <w:p w14:paraId="7760DF8C"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[16426]</w:t>
            </w:r>
          </w:p>
          <w:p w14:paraId="5A6D075A"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[16422] Must be treated by a medical practitioner in consultation with a nominated specialist or consultant physician in paediatric endocrinology; or</w:t>
            </w:r>
          </w:p>
          <w:p w14:paraId="23BFED86"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[16425] Must be treated by a medical practitioner in consultation with a nominated specialist or consultant physician in general paediatrics</w:t>
            </w:r>
          </w:p>
          <w:p w14:paraId="150801C1"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6F37F4F2" w14:textId="77777777" w:rsidR="00E31543" w:rsidRPr="00914DF7"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14:paraId="64FF72AB" w14:textId="77777777" w:rsidTr="00475FED">
        <w:tblPrEx>
          <w:tblLook w:val="04A0" w:firstRow="1" w:lastRow="0" w:firstColumn="1" w:lastColumn="0" w:noHBand="0" w:noVBand="1"/>
        </w:tblPrEx>
        <w:tc>
          <w:tcPr>
            <w:tcW w:w="862" w:type="pct"/>
          </w:tcPr>
          <w:p w14:paraId="75E02995"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Clinical criteria</w:t>
            </w:r>
          </w:p>
        </w:tc>
        <w:tc>
          <w:tcPr>
            <w:tcW w:w="4138" w:type="pct"/>
            <w:gridSpan w:val="6"/>
          </w:tcPr>
          <w:p w14:paraId="33A82DDE"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[17597]</w:t>
            </w:r>
          </w:p>
          <w:p w14:paraId="55F4777D"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[17596] Patient must have previously received treatment under the PBS S100 Growth Hormone Program under the short stature and slow growth category</w:t>
            </w:r>
          </w:p>
          <w:p w14:paraId="1E98C81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6640A704"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[16128]</w:t>
            </w:r>
          </w:p>
          <w:p w14:paraId="5954390A"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[16127] Patient must have had a lapse in growth hormone treatment</w:t>
            </w:r>
          </w:p>
          <w:p w14:paraId="0F1D26C0"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6C645FBA"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[17237]</w:t>
            </w:r>
          </w:p>
          <w:p w14:paraId="61B94373"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[17232]</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or</w:t>
            </w:r>
          </w:p>
          <w:p w14:paraId="1B5D8DBD"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[17233]</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 significant medical illness; or</w:t>
            </w:r>
          </w:p>
          <w:p w14:paraId="6F1341E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[17234]</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major surgery (</w:t>
            </w:r>
            <w:proofErr w:type="gramStart"/>
            <w:r w:rsidRPr="00914DF7">
              <w:rPr>
                <w:rFonts w:ascii="Arial Narrow" w:hAnsi="Arial Narrow"/>
                <w:sz w:val="18"/>
                <w:szCs w:val="18"/>
              </w:rPr>
              <w:t>e.g.</w:t>
            </w:r>
            <w:proofErr w:type="gramEnd"/>
            <w:r w:rsidRPr="00914DF7">
              <w:rPr>
                <w:rFonts w:ascii="Arial Narrow" w:hAnsi="Arial Narrow"/>
                <w:sz w:val="18"/>
                <w:szCs w:val="18"/>
              </w:rPr>
              <w:t xml:space="preserve"> renal transplant); or</w:t>
            </w:r>
          </w:p>
          <w:p w14:paraId="50D44E9A"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[17235]</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an adverse reaction to growth hormone; or</w:t>
            </w:r>
          </w:p>
          <w:p w14:paraId="7BD84461"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[17236]</w:t>
            </w:r>
            <w:r w:rsidRPr="00042B3A">
              <w:rPr>
                <w:rFonts w:ascii="Arial Narrow" w:hAnsi="Arial Narrow"/>
                <w:sz w:val="18"/>
                <w:szCs w:val="18"/>
              </w:rPr>
              <w:t xml:space="preserve"> </w:t>
            </w:r>
            <w:r>
              <w:rPr>
                <w:rFonts w:ascii="Arial Narrow" w:hAnsi="Arial Narrow"/>
                <w:sz w:val="18"/>
                <w:szCs w:val="18"/>
              </w:rPr>
              <w:t>–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non-compliance due to social/family problems</w:t>
            </w:r>
          </w:p>
          <w:p w14:paraId="32C446A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2ED779F7"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[15708]</w:t>
            </w:r>
          </w:p>
          <w:p w14:paraId="1B6ED7E4"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[15707] Patient must not have a condition with a known risk of malignancy including chromosomal abnormalities such as Down and Bloom syndromes</w:t>
            </w:r>
          </w:p>
          <w:p w14:paraId="065D138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3BC309BF"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[15711]</w:t>
            </w:r>
          </w:p>
          <w:p w14:paraId="4459A6D9"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[15710] Patient must not have an active tumour or evidence of tumour growth or activity</w:t>
            </w:r>
          </w:p>
          <w:p w14:paraId="3E62B11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AND</w:t>
            </w:r>
          </w:p>
          <w:p w14:paraId="6B30AC86"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[16068]</w:t>
            </w:r>
          </w:p>
          <w:p w14:paraId="4557837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[16066] Patient must be male and must not have a bone age of 15.5 years or more; or</w:t>
            </w:r>
          </w:p>
          <w:p w14:paraId="495B76EC"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[16067] Patient must be female and must not have a bone age of 13.5 years or more</w:t>
            </w:r>
          </w:p>
          <w:p w14:paraId="54EE1DE4"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lastRenderedPageBreak/>
              <w:t>AND</w:t>
            </w:r>
          </w:p>
          <w:p w14:paraId="4DFD8BB8"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[16136]</w:t>
            </w:r>
          </w:p>
          <w:p w14:paraId="12E5EE29"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[16134] Patient must be male and must not have a height greater than or equal to 167.7cm; or</w:t>
            </w:r>
          </w:p>
          <w:p w14:paraId="19EE45FB"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[16135] Patient must be female and must not have a height greater than or equal to 155.0cm</w:t>
            </w:r>
          </w:p>
        </w:tc>
      </w:tr>
      <w:tr w:rsidR="00E31543" w14:paraId="175D016F" w14:textId="77777777" w:rsidTr="00475FED">
        <w:tblPrEx>
          <w:tblLook w:val="04A0" w:firstRow="1" w:lastRow="0" w:firstColumn="1" w:lastColumn="0" w:noHBand="0" w:noVBand="1"/>
        </w:tblPrEx>
        <w:tc>
          <w:tcPr>
            <w:tcW w:w="862" w:type="pct"/>
          </w:tcPr>
          <w:p w14:paraId="36DEE4B6"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lastRenderedPageBreak/>
              <w:t>Population criteria</w:t>
            </w:r>
          </w:p>
        </w:tc>
        <w:tc>
          <w:tcPr>
            <w:tcW w:w="4138" w:type="pct"/>
            <w:gridSpan w:val="6"/>
          </w:tcPr>
          <w:p w14:paraId="1FF8E4C0" w14:textId="77777777" w:rsidR="00E31543" w:rsidRPr="00914DF7" w:rsidRDefault="00E31543" w:rsidP="00475FED">
            <w:pPr>
              <w:spacing w:after="120"/>
              <w:jc w:val="left"/>
              <w:rPr>
                <w:rFonts w:ascii="Arial Narrow" w:hAnsi="Arial Narrow"/>
                <w:sz w:val="18"/>
                <w:szCs w:val="18"/>
              </w:rPr>
            </w:pPr>
          </w:p>
          <w:p w14:paraId="2A6C49EE" w14:textId="77777777" w:rsidR="00E31543" w:rsidRPr="00914DF7" w:rsidRDefault="00E31543" w:rsidP="00475FED">
            <w:pPr>
              <w:spacing w:after="120"/>
              <w:jc w:val="left"/>
              <w:rPr>
                <w:rFonts w:ascii="Arial Narrow" w:hAnsi="Arial Narrow"/>
                <w:sz w:val="18"/>
                <w:szCs w:val="18"/>
              </w:rPr>
            </w:pPr>
          </w:p>
        </w:tc>
      </w:tr>
      <w:tr w:rsidR="00E31543" w14:paraId="666CACD0" w14:textId="77777777" w:rsidTr="00475FED">
        <w:tblPrEx>
          <w:tblLook w:val="04A0" w:firstRow="1" w:lastRow="0" w:firstColumn="1" w:lastColumn="0" w:noHBand="0" w:noVBand="1"/>
        </w:tblPrEx>
        <w:tc>
          <w:tcPr>
            <w:tcW w:w="862" w:type="pct"/>
          </w:tcPr>
          <w:p w14:paraId="660CCE39"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Foreword</w:t>
            </w:r>
          </w:p>
        </w:tc>
        <w:tc>
          <w:tcPr>
            <w:tcW w:w="4138" w:type="pct"/>
            <w:gridSpan w:val="6"/>
          </w:tcPr>
          <w:p w14:paraId="145044D0" w14:textId="77777777" w:rsidR="00E31543" w:rsidRPr="00914DF7" w:rsidRDefault="00E31543" w:rsidP="00475FED">
            <w:pPr>
              <w:spacing w:after="120"/>
              <w:jc w:val="left"/>
              <w:rPr>
                <w:rFonts w:ascii="Arial Narrow" w:hAnsi="Arial Narrow"/>
                <w:sz w:val="18"/>
                <w:szCs w:val="18"/>
              </w:rPr>
            </w:pPr>
          </w:p>
        </w:tc>
      </w:tr>
      <w:tr w:rsidR="00E31543" w14:paraId="40F5B09F" w14:textId="77777777" w:rsidTr="00475FED">
        <w:tblPrEx>
          <w:tblLook w:val="04A0" w:firstRow="1" w:lastRow="0" w:firstColumn="1" w:lastColumn="0" w:noHBand="0" w:noVBand="1"/>
        </w:tblPrEx>
        <w:tc>
          <w:tcPr>
            <w:tcW w:w="862" w:type="pct"/>
          </w:tcPr>
          <w:p w14:paraId="722E8BD0"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Definitions</w:t>
            </w:r>
          </w:p>
        </w:tc>
        <w:tc>
          <w:tcPr>
            <w:tcW w:w="4138" w:type="pct"/>
            <w:gridSpan w:val="6"/>
          </w:tcPr>
          <w:p w14:paraId="7EB6AC1C" w14:textId="77777777" w:rsidR="00E31543" w:rsidRPr="00914DF7" w:rsidRDefault="00E31543" w:rsidP="00475FED">
            <w:pPr>
              <w:spacing w:after="120"/>
              <w:jc w:val="left"/>
              <w:rPr>
                <w:rFonts w:ascii="Arial Narrow" w:hAnsi="Arial Narrow"/>
                <w:sz w:val="18"/>
                <w:szCs w:val="18"/>
              </w:rPr>
            </w:pPr>
          </w:p>
        </w:tc>
      </w:tr>
      <w:tr w:rsidR="00E31543" w14:paraId="6E33D729" w14:textId="77777777" w:rsidTr="00475FED">
        <w:tblPrEx>
          <w:tblLook w:val="04A0" w:firstRow="1" w:lastRow="0" w:firstColumn="1" w:lastColumn="0" w:noHBand="0" w:noVBand="1"/>
        </w:tblPrEx>
        <w:tc>
          <w:tcPr>
            <w:tcW w:w="862" w:type="pct"/>
          </w:tcPr>
          <w:p w14:paraId="2C85A6B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Prescriber Instructions</w:t>
            </w:r>
            <w:r w:rsidRPr="00914DF7">
              <w:rPr>
                <w:rFonts w:ascii="Arial Narrow" w:hAnsi="Arial Narrow"/>
                <w:sz w:val="18"/>
                <w:szCs w:val="18"/>
              </w:rPr>
              <w:br/>
            </w:r>
          </w:p>
        </w:tc>
        <w:tc>
          <w:tcPr>
            <w:tcW w:w="4138" w:type="pct"/>
            <w:gridSpan w:val="6"/>
          </w:tcPr>
          <w:p w14:paraId="1E5A9ED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 xml:space="preserve">[16142] The maximum duration of each recommencement treatment phase is 32 weeks. Prescribers must determine an appropriate weekly dose in accordance with the dosing arrangements detailed in the National Health (Growth Hormone Program) Special Arrangement 2015 and request the appropriate number of vials/cartridges required to provide sufficient drug for 16 </w:t>
            </w:r>
            <w:proofErr w:type="spellStart"/>
            <w:r w:rsidRPr="00914DF7">
              <w:rPr>
                <w:rFonts w:ascii="Arial Narrow" w:hAnsi="Arial Narrow"/>
                <w:sz w:val="18"/>
                <w:szCs w:val="18"/>
              </w:rPr>
              <w:t>weeks worth</w:t>
            </w:r>
            <w:proofErr w:type="spellEnd"/>
            <w:r w:rsidRPr="00914DF7">
              <w:rPr>
                <w:rFonts w:ascii="Arial Narrow" w:hAnsi="Arial Narrow"/>
                <w:sz w:val="18"/>
                <w:szCs w:val="18"/>
              </w:rPr>
              <w:t xml:space="preserve"> of treatment (with up to 1 repeat allowed).</w:t>
            </w:r>
          </w:p>
          <w:p w14:paraId="158C7374"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w:t>
            </w:r>
            <w:r>
              <w:rPr>
                <w:rFonts w:ascii="Arial Narrow" w:hAnsi="Arial Narrow"/>
                <w:sz w:val="18"/>
                <w:szCs w:val="18"/>
              </w:rPr>
              <w:t xml:space="preserve">amend </w:t>
            </w:r>
            <w:r w:rsidRPr="00914DF7">
              <w:rPr>
                <w:rFonts w:ascii="Arial Narrow" w:hAnsi="Arial Narrow"/>
                <w:sz w:val="18"/>
                <w:szCs w:val="18"/>
              </w:rPr>
              <w:t xml:space="preserve">16148] The authority application must be in writing and must include:, 1. A completed authority prescription form; AND, 2. A completed Growth Hormone Authority Application Supporting Information Form for recommencement of treatment; AND, 3. Recent growth data (height and weight, not older than three months); AND, 4. A bone age result performed within the last 12 months </w:t>
            </w:r>
            <w:r w:rsidRPr="00914DF7">
              <w:rPr>
                <w:rFonts w:ascii="Arial Narrow" w:hAnsi="Arial Narrow" w:cs="Open Sans"/>
                <w:color w:val="333333"/>
                <w:sz w:val="18"/>
                <w:szCs w:val="18"/>
                <w:shd w:val="clear" w:color="auto" w:fill="FFFFFF"/>
              </w:rPr>
              <w:t>(except for a patient whose chronological age is 2.5 years or less)</w:t>
            </w:r>
            <w:r w:rsidRPr="00914DF7">
              <w:rPr>
                <w:rFonts w:ascii="Arial Narrow" w:hAnsi="Arial Narrow"/>
                <w:sz w:val="18"/>
                <w:szCs w:val="18"/>
              </w:rPr>
              <w:t xml:space="preserve">; AND, 5. The proprietary name (brand), </w:t>
            </w:r>
            <w:r>
              <w:rPr>
                <w:rFonts w:ascii="Arial Narrow" w:hAnsi="Arial Narrow"/>
                <w:sz w:val="18"/>
                <w:szCs w:val="18"/>
              </w:rPr>
              <w:t>form and strength of the growth hormone requested</w:t>
            </w:r>
            <w:r w:rsidRPr="00914DF7">
              <w:rPr>
                <w:rFonts w:ascii="Arial Narrow" w:hAnsi="Arial Narrow"/>
                <w:sz w:val="18"/>
                <w:szCs w:val="18"/>
              </w:rPr>
              <w:t>, and the number of vials/cartridges required to provide sufficient drug for 16 weeks' worth of treatment (with up to 1 repeat allowed).</w:t>
            </w:r>
          </w:p>
          <w:p w14:paraId="4835D85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4B99271" w14:textId="77777777" w:rsidR="00E31543" w:rsidRPr="00914DF7" w:rsidRDefault="00E31543" w:rsidP="00475FED">
            <w:pPr>
              <w:spacing w:after="120"/>
              <w:jc w:val="left"/>
              <w:rPr>
                <w:rFonts w:ascii="Arial Narrow" w:hAnsi="Arial Narrow"/>
                <w:sz w:val="18"/>
                <w:szCs w:val="18"/>
              </w:rPr>
            </w:pPr>
            <w:r>
              <w:rPr>
                <w:rFonts w:ascii="Arial Narrow" w:hAnsi="Arial Narrow" w:cs="Open Sans"/>
                <w:color w:val="333333"/>
                <w:sz w:val="18"/>
                <w:szCs w:val="18"/>
                <w:shd w:val="clear" w:color="auto" w:fill="FFFFFF"/>
              </w:rPr>
              <w:t xml:space="preserve">[28759] </w:t>
            </w:r>
            <w:r w:rsidRPr="00914DF7">
              <w:rPr>
                <w:rFonts w:ascii="Arial Narrow" w:hAnsi="Arial Narrow" w:cs="Open Sans"/>
                <w:color w:val="333333"/>
                <w:sz w:val="18"/>
                <w:szCs w:val="18"/>
                <w:shd w:val="clear" w:color="auto" w:fill="FFFFFF"/>
              </w:rPr>
              <w:t>In children with diabetes mellitus prescribers must ascertain that a growth failure is not due to poor diabetes control, diabetes control is adequate, and regular screening occurs for diabetes complications, particularly retinopathy</w:t>
            </w:r>
          </w:p>
        </w:tc>
      </w:tr>
      <w:tr w:rsidR="00E31543" w14:paraId="091394EA" w14:textId="77777777" w:rsidTr="00475FED">
        <w:tblPrEx>
          <w:tblLook w:val="04A0" w:firstRow="1" w:lastRow="0" w:firstColumn="1" w:lastColumn="0" w:noHBand="0" w:noVBand="1"/>
        </w:tblPrEx>
        <w:tc>
          <w:tcPr>
            <w:tcW w:w="862" w:type="pct"/>
          </w:tcPr>
          <w:p w14:paraId="55D21F21"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Administrative Advice</w:t>
            </w:r>
            <w:r w:rsidRPr="00914DF7">
              <w:rPr>
                <w:rFonts w:ascii="Arial Narrow" w:hAnsi="Arial Narrow"/>
                <w:sz w:val="18"/>
                <w:szCs w:val="18"/>
              </w:rPr>
              <w:br/>
            </w:r>
          </w:p>
        </w:tc>
        <w:tc>
          <w:tcPr>
            <w:tcW w:w="4138" w:type="pct"/>
            <w:gridSpan w:val="6"/>
          </w:tcPr>
          <w:p w14:paraId="790109BB" w14:textId="77777777" w:rsidR="00E31543" w:rsidRDefault="00E31543" w:rsidP="00475FED">
            <w:pPr>
              <w:spacing w:after="120"/>
              <w:jc w:val="left"/>
              <w:rPr>
                <w:rFonts w:ascii="Arial Narrow" w:hAnsi="Arial Narrow"/>
                <w:sz w:val="18"/>
                <w:szCs w:val="18"/>
              </w:rPr>
            </w:pPr>
            <w:r w:rsidRPr="00914DF7">
              <w:rPr>
                <w:rFonts w:ascii="Arial Narrow" w:hAnsi="Arial Narrow"/>
                <w:sz w:val="18"/>
                <w:szCs w:val="18"/>
              </w:rPr>
              <w:t>[16513] If recommencement of treatment is sought under a different indication than that under which the patient was previously receiving treatment an application for recommencement of treatment as a reclassified patient should be submitted.</w:t>
            </w:r>
          </w:p>
          <w:p w14:paraId="37DF357C" w14:textId="77777777" w:rsidR="00E31543" w:rsidRPr="00914DF7" w:rsidRDefault="00E31543" w:rsidP="00475FED">
            <w:pPr>
              <w:spacing w:after="120"/>
              <w:jc w:val="left"/>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14:paraId="5DC13A09" w14:textId="77777777" w:rsidTr="00475FED">
        <w:tblPrEx>
          <w:tblLook w:val="04A0" w:firstRow="1" w:lastRow="0" w:firstColumn="1" w:lastColumn="0" w:noHBand="0" w:noVBand="1"/>
        </w:tblPrEx>
        <w:tc>
          <w:tcPr>
            <w:tcW w:w="862" w:type="pct"/>
          </w:tcPr>
          <w:p w14:paraId="4F4497B2"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Cautions</w:t>
            </w:r>
          </w:p>
        </w:tc>
        <w:tc>
          <w:tcPr>
            <w:tcW w:w="4138" w:type="pct"/>
            <w:gridSpan w:val="6"/>
          </w:tcPr>
          <w:p w14:paraId="157C5478" w14:textId="77777777" w:rsidR="00E31543" w:rsidRPr="00914DF7" w:rsidRDefault="00E31543" w:rsidP="00475FED">
            <w:pPr>
              <w:spacing w:after="120"/>
              <w:jc w:val="left"/>
              <w:rPr>
                <w:rFonts w:ascii="Arial Narrow" w:hAnsi="Arial Narrow"/>
                <w:sz w:val="18"/>
                <w:szCs w:val="18"/>
              </w:rPr>
            </w:pPr>
          </w:p>
        </w:tc>
      </w:tr>
      <w:tr w:rsidR="00E31543" w:rsidRPr="00914DF7" w14:paraId="6A497BB5" w14:textId="77777777" w:rsidTr="00475FED">
        <w:tblPrEx>
          <w:tblLook w:val="04A0" w:firstRow="1" w:lastRow="0" w:firstColumn="1" w:lastColumn="0" w:noHBand="0" w:noVBand="1"/>
        </w:tblPrEx>
        <w:tc>
          <w:tcPr>
            <w:tcW w:w="862" w:type="pct"/>
          </w:tcPr>
          <w:p w14:paraId="193C67D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Benefit Type</w:t>
            </w:r>
          </w:p>
        </w:tc>
        <w:tc>
          <w:tcPr>
            <w:tcW w:w="4138" w:type="pct"/>
            <w:gridSpan w:val="6"/>
          </w:tcPr>
          <w:p w14:paraId="3D686DCF"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50438</w:t>
            </w:r>
          </w:p>
        </w:tc>
      </w:tr>
      <w:tr w:rsidR="00E31543" w:rsidRPr="00914DF7" w14:paraId="593DBDBB" w14:textId="77777777" w:rsidTr="00475FED">
        <w:tblPrEx>
          <w:tblLook w:val="04A0" w:firstRow="1" w:lastRow="0" w:firstColumn="1" w:lastColumn="0" w:noHBand="0" w:noVBand="1"/>
        </w:tblPrEx>
        <w:tc>
          <w:tcPr>
            <w:tcW w:w="862" w:type="pct"/>
          </w:tcPr>
          <w:p w14:paraId="201BC2F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Restriction Number</w:t>
            </w:r>
          </w:p>
        </w:tc>
        <w:tc>
          <w:tcPr>
            <w:tcW w:w="4138" w:type="pct"/>
            <w:gridSpan w:val="6"/>
          </w:tcPr>
          <w:p w14:paraId="6413735E"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11656</w:t>
            </w:r>
          </w:p>
        </w:tc>
      </w:tr>
      <w:tr w:rsidR="00E31543" w:rsidRPr="00914DF7" w14:paraId="22B2A8CB" w14:textId="77777777" w:rsidTr="00475FED">
        <w:tblPrEx>
          <w:tblLook w:val="04A0" w:firstRow="1" w:lastRow="0" w:firstColumn="1" w:lastColumn="0" w:noHBand="0" w:noVBand="1"/>
        </w:tblPrEx>
        <w:tc>
          <w:tcPr>
            <w:tcW w:w="862" w:type="pct"/>
          </w:tcPr>
          <w:p w14:paraId="30A48DF2"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Treatment of Code</w:t>
            </w:r>
            <w:r>
              <w:rPr>
                <w:rFonts w:ascii="Arial Narrow" w:hAnsi="Arial Narrow"/>
                <w:b/>
                <w:sz w:val="18"/>
                <w:szCs w:val="18"/>
              </w:rPr>
              <w:t xml:space="preserve"> </w:t>
            </w:r>
            <w:r w:rsidRPr="00914DF7">
              <w:rPr>
                <w:rFonts w:ascii="Arial Narrow" w:hAnsi="Arial Narrow"/>
                <w:b/>
                <w:sz w:val="18"/>
                <w:szCs w:val="18"/>
              </w:rPr>
              <w:t>(</w:t>
            </w:r>
            <w:proofErr w:type="spellStart"/>
            <w:r w:rsidRPr="00914DF7">
              <w:rPr>
                <w:rFonts w:ascii="Arial Narrow" w:hAnsi="Arial Narrow"/>
                <w:b/>
                <w:sz w:val="18"/>
                <w:szCs w:val="18"/>
              </w:rPr>
              <w:t>ToC</w:t>
            </w:r>
            <w:proofErr w:type="spellEnd"/>
            <w:r w:rsidRPr="00914DF7">
              <w:rPr>
                <w:rFonts w:ascii="Arial Narrow" w:hAnsi="Arial Narrow"/>
                <w:b/>
                <w:sz w:val="18"/>
                <w:szCs w:val="18"/>
              </w:rPr>
              <w:t>)</w:t>
            </w:r>
          </w:p>
        </w:tc>
        <w:tc>
          <w:tcPr>
            <w:tcW w:w="4138" w:type="pct"/>
            <w:gridSpan w:val="6"/>
          </w:tcPr>
          <w:p w14:paraId="33E63CAE"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8494</w:t>
            </w:r>
          </w:p>
        </w:tc>
      </w:tr>
      <w:tr w:rsidR="00E31543" w:rsidRPr="00914DF7" w14:paraId="7A4404DA" w14:textId="77777777" w:rsidTr="00475FED">
        <w:tblPrEx>
          <w:tblLook w:val="04A0" w:firstRow="1" w:lastRow="0" w:firstColumn="1" w:lastColumn="0" w:noHBand="0" w:noVBand="1"/>
        </w:tblPrEx>
        <w:tc>
          <w:tcPr>
            <w:tcW w:w="862" w:type="pct"/>
          </w:tcPr>
          <w:p w14:paraId="3B023575"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Category / Program</w:t>
            </w:r>
          </w:p>
        </w:tc>
        <w:tc>
          <w:tcPr>
            <w:tcW w:w="4138" w:type="pct"/>
            <w:gridSpan w:val="6"/>
          </w:tcPr>
          <w:p w14:paraId="5EC9AECE"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S100 - Section 100 (Growth Hormone) (Code GH)</w:t>
            </w:r>
          </w:p>
        </w:tc>
      </w:tr>
      <w:tr w:rsidR="00E31543" w:rsidRPr="00914DF7" w14:paraId="70D188BD" w14:textId="77777777" w:rsidTr="00475FED">
        <w:tblPrEx>
          <w:tblLook w:val="04A0" w:firstRow="1" w:lastRow="0" w:firstColumn="1" w:lastColumn="0" w:noHBand="0" w:noVBand="1"/>
        </w:tblPrEx>
        <w:tc>
          <w:tcPr>
            <w:tcW w:w="862" w:type="pct"/>
          </w:tcPr>
          <w:p w14:paraId="1E7B0E3E"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Prescriber Type(s)</w:t>
            </w:r>
          </w:p>
        </w:tc>
        <w:tc>
          <w:tcPr>
            <w:tcW w:w="4138" w:type="pct"/>
            <w:gridSpan w:val="6"/>
          </w:tcPr>
          <w:p w14:paraId="71DE1B7D"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Medical Practitioners</w:t>
            </w:r>
          </w:p>
        </w:tc>
      </w:tr>
      <w:tr w:rsidR="00E31543" w:rsidRPr="00914DF7" w14:paraId="6412773F" w14:textId="77777777" w:rsidTr="00475FED">
        <w:tblPrEx>
          <w:tblLook w:val="04A0" w:firstRow="1" w:lastRow="0" w:firstColumn="1" w:lastColumn="0" w:noHBand="0" w:noVBand="1"/>
        </w:tblPrEx>
        <w:tc>
          <w:tcPr>
            <w:tcW w:w="862" w:type="pct"/>
          </w:tcPr>
          <w:p w14:paraId="31779E17"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PBS Indication</w:t>
            </w:r>
          </w:p>
        </w:tc>
        <w:tc>
          <w:tcPr>
            <w:tcW w:w="4138" w:type="pct"/>
            <w:gridSpan w:val="6"/>
          </w:tcPr>
          <w:p w14:paraId="54F8B3B1"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[15683] Short stature and slow growth</w:t>
            </w:r>
          </w:p>
        </w:tc>
      </w:tr>
      <w:tr w:rsidR="00E31543" w:rsidRPr="00914DF7" w14:paraId="22E0BAE6" w14:textId="77777777" w:rsidTr="00475FED">
        <w:tblPrEx>
          <w:tblLook w:val="04A0" w:firstRow="1" w:lastRow="0" w:firstColumn="1" w:lastColumn="0" w:noHBand="0" w:noVBand="1"/>
        </w:tblPrEx>
        <w:tc>
          <w:tcPr>
            <w:tcW w:w="862" w:type="pct"/>
          </w:tcPr>
          <w:p w14:paraId="3375A5F2"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Treatment phase</w:t>
            </w:r>
          </w:p>
        </w:tc>
        <w:tc>
          <w:tcPr>
            <w:tcW w:w="4138" w:type="pct"/>
            <w:gridSpan w:val="6"/>
          </w:tcPr>
          <w:p w14:paraId="436C0AA2"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Recommencement of treatment as a reclassified patient</w:t>
            </w:r>
          </w:p>
        </w:tc>
      </w:tr>
      <w:tr w:rsidR="00E31543" w:rsidRPr="00914DF7" w14:paraId="098DBBF9" w14:textId="77777777" w:rsidTr="00475FED">
        <w:tblPrEx>
          <w:tblLook w:val="04A0" w:firstRow="1" w:lastRow="0" w:firstColumn="1" w:lastColumn="0" w:noHBand="0" w:noVBand="1"/>
        </w:tblPrEx>
        <w:tc>
          <w:tcPr>
            <w:tcW w:w="862" w:type="pct"/>
          </w:tcPr>
          <w:p w14:paraId="226EDF6D"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Restriction Level / Method</w:t>
            </w:r>
          </w:p>
        </w:tc>
        <w:tc>
          <w:tcPr>
            <w:tcW w:w="4138" w:type="pct"/>
            <w:gridSpan w:val="6"/>
          </w:tcPr>
          <w:p w14:paraId="127E1238"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Authority required</w:t>
            </w:r>
          </w:p>
        </w:tc>
      </w:tr>
      <w:tr w:rsidR="00E31543" w:rsidRPr="00914DF7" w14:paraId="36DCFFCC" w14:textId="77777777" w:rsidTr="00475FED">
        <w:tblPrEx>
          <w:tblLook w:val="04A0" w:firstRow="1" w:lastRow="0" w:firstColumn="1" w:lastColumn="0" w:noHBand="0" w:noVBand="1"/>
        </w:tblPrEx>
        <w:tc>
          <w:tcPr>
            <w:tcW w:w="862" w:type="pct"/>
          </w:tcPr>
          <w:p w14:paraId="1D70F9D4"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Treatment criteria</w:t>
            </w:r>
          </w:p>
        </w:tc>
        <w:tc>
          <w:tcPr>
            <w:tcW w:w="4138" w:type="pct"/>
            <w:gridSpan w:val="6"/>
          </w:tcPr>
          <w:p w14:paraId="122D009A"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[16426]</w:t>
            </w:r>
          </w:p>
          <w:p w14:paraId="637CCB77"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lastRenderedPageBreak/>
              <w:t>[16422] Must be treated by a medical practitioner in consultation with a nominated specialist or consultant physician in paediatric endocrinology; or</w:t>
            </w:r>
          </w:p>
          <w:p w14:paraId="459684EC"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[16425] Must be treated by a medical practitioner in consultation with a nominated specialist or consultant physician in general paediatrics</w:t>
            </w:r>
          </w:p>
          <w:p w14:paraId="3A7632C4"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63866BA8" w14:textId="77777777" w:rsidR="00E31543" w:rsidRPr="00914DF7"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914DF7" w14:paraId="3014812F" w14:textId="77777777" w:rsidTr="00475FED">
        <w:tblPrEx>
          <w:tblLook w:val="04A0" w:firstRow="1" w:lastRow="0" w:firstColumn="1" w:lastColumn="0" w:noHBand="0" w:noVBand="1"/>
        </w:tblPrEx>
        <w:tc>
          <w:tcPr>
            <w:tcW w:w="862" w:type="pct"/>
          </w:tcPr>
          <w:p w14:paraId="574E00F0"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lastRenderedPageBreak/>
              <w:t>Clinical criteria</w:t>
            </w:r>
          </w:p>
        </w:tc>
        <w:tc>
          <w:tcPr>
            <w:tcW w:w="4138" w:type="pct"/>
            <w:gridSpan w:val="6"/>
          </w:tcPr>
          <w:p w14:paraId="6686CA22"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[23446]</w:t>
            </w:r>
          </w:p>
          <w:p w14:paraId="5C05571D"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[23445] Patient must have previously received treatment under the PBS S100 Growth Hormone Program (treatment) under a category other than short stature and slow growth</w:t>
            </w:r>
          </w:p>
          <w:p w14:paraId="53EBC86E"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AND</w:t>
            </w:r>
          </w:p>
          <w:p w14:paraId="1774F616"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[23398]</w:t>
            </w:r>
          </w:p>
          <w:p w14:paraId="7D116076"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[23400] Patient must have had a lapse in treatment</w:t>
            </w:r>
          </w:p>
          <w:p w14:paraId="1EAE9118"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AND</w:t>
            </w:r>
          </w:p>
          <w:p w14:paraId="2A0113DF"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[17237]</w:t>
            </w:r>
          </w:p>
          <w:p w14:paraId="066416CD"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w:t>
            </w:r>
            <w:r>
              <w:rPr>
                <w:rFonts w:ascii="Arial Narrow" w:hAnsi="Arial Narrow"/>
                <w:sz w:val="18"/>
                <w:szCs w:val="18"/>
              </w:rPr>
              <w:t xml:space="preserve">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or</w:t>
            </w:r>
          </w:p>
          <w:p w14:paraId="48CB6035"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w:t>
            </w:r>
            <w:r>
              <w:rPr>
                <w:rFonts w:ascii="Arial Narrow" w:hAnsi="Arial Narrow"/>
                <w:sz w:val="18"/>
                <w:szCs w:val="18"/>
              </w:rPr>
              <w:t xml:space="preserve">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 significant medical illness; or</w:t>
            </w:r>
          </w:p>
          <w:p w14:paraId="3D36B1C3" w14:textId="77777777" w:rsidR="00E31543" w:rsidRPr="00914DF7" w:rsidRDefault="00E31543" w:rsidP="00475FED">
            <w:pPr>
              <w:spacing w:after="120"/>
              <w:rPr>
                <w:rFonts w:ascii="Arial Narrow" w:hAnsi="Arial Narrow"/>
                <w:sz w:val="18"/>
                <w:szCs w:val="18"/>
              </w:rPr>
            </w:pPr>
            <w:r>
              <w:rPr>
                <w:rFonts w:ascii="Arial Narrow" w:hAnsi="Arial Narrow"/>
                <w:sz w:val="18"/>
                <w:szCs w:val="18"/>
              </w:rPr>
              <w:t xml:space="preserve">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major surgery (</w:t>
            </w:r>
            <w:proofErr w:type="gramStart"/>
            <w:r w:rsidRPr="00914DF7">
              <w:rPr>
                <w:rFonts w:ascii="Arial Narrow" w:hAnsi="Arial Narrow"/>
                <w:sz w:val="18"/>
                <w:szCs w:val="18"/>
              </w:rPr>
              <w:t>e.g.</w:t>
            </w:r>
            <w:proofErr w:type="gramEnd"/>
            <w:r w:rsidRPr="00914DF7">
              <w:rPr>
                <w:rFonts w:ascii="Arial Narrow" w:hAnsi="Arial Narrow"/>
                <w:sz w:val="18"/>
                <w:szCs w:val="18"/>
              </w:rPr>
              <w:t xml:space="preserve"> renal transplant); or</w:t>
            </w:r>
          </w:p>
          <w:p w14:paraId="764E5DE1"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w:t>
            </w:r>
            <w:r>
              <w:rPr>
                <w:rFonts w:ascii="Arial Narrow" w:hAnsi="Arial Narrow"/>
                <w:sz w:val="18"/>
                <w:szCs w:val="18"/>
              </w:rPr>
              <w:t xml:space="preserve">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an adverse reaction to growth hormone; or</w:t>
            </w:r>
          </w:p>
          <w:p w14:paraId="37746AFD" w14:textId="77777777" w:rsidR="00E31543" w:rsidRPr="00914DF7" w:rsidRDefault="00E31543" w:rsidP="00475FED">
            <w:pPr>
              <w:spacing w:after="120"/>
              <w:rPr>
                <w:rFonts w:ascii="Arial Narrow" w:hAnsi="Arial Narrow"/>
                <w:sz w:val="18"/>
                <w:szCs w:val="18"/>
              </w:rPr>
            </w:pPr>
            <w:r>
              <w:rPr>
                <w:rFonts w:ascii="Arial Narrow" w:hAnsi="Arial Narrow"/>
                <w:sz w:val="18"/>
                <w:szCs w:val="18"/>
              </w:rPr>
              <w:t xml:space="preserve"> [NEW]</w:t>
            </w:r>
            <w:r w:rsidRPr="00914DF7">
              <w:rPr>
                <w:rFonts w:ascii="Arial Narrow" w:hAnsi="Arial Narrow"/>
                <w:sz w:val="18"/>
                <w:szCs w:val="18"/>
              </w:rPr>
              <w:t xml:space="preserve"> The treatment must not have lapsed due to failure to respond to growth hormone for the most recent treatment period (32 weeks for an initial or recommencement treatment period and 26 weeks for a continuing treatment period, whichever applies), unless response was affected by non-compliance due to social/family problems</w:t>
            </w:r>
          </w:p>
          <w:p w14:paraId="08393545"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AND</w:t>
            </w:r>
          </w:p>
          <w:p w14:paraId="15BD44E0"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[23447]</w:t>
            </w:r>
          </w:p>
          <w:p w14:paraId="190810AE"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 xml:space="preserve">[17279] Patient must have previously received treatment under the indication short stature associated with chronic renal insufficiency, have undergone a renal transplant and a </w:t>
            </w:r>
            <w:proofErr w:type="gramStart"/>
            <w:r w:rsidRPr="00914DF7">
              <w:rPr>
                <w:rFonts w:ascii="Arial Narrow" w:hAnsi="Arial Narrow"/>
                <w:sz w:val="18"/>
                <w:szCs w:val="18"/>
              </w:rPr>
              <w:t>12 month</w:t>
            </w:r>
            <w:proofErr w:type="gramEnd"/>
            <w:r w:rsidRPr="00914DF7">
              <w:rPr>
                <w:rFonts w:ascii="Arial Narrow" w:hAnsi="Arial Narrow"/>
                <w:sz w:val="18"/>
                <w:szCs w:val="18"/>
              </w:rPr>
              <w:t xml:space="preserve"> period of observation following the transplant, and have an estimated glomerular filtration rate of greater than or equal to 30mL/minute/1.73m2 measured by creatinine clearance, excretion of radionuclides such as DTPA, or by the height/creatinine formula; or</w:t>
            </w:r>
          </w:p>
          <w:p w14:paraId="6574ABBD"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 xml:space="preserve">[23448] Patient must have had a height at or below the 1st percentile for age and sex immediately prior to commencing treatment and a growth velocity below the 25th percentile for bone age and sex measured over the </w:t>
            </w:r>
            <w:proofErr w:type="gramStart"/>
            <w:r w:rsidRPr="00914DF7">
              <w:rPr>
                <w:rFonts w:ascii="Arial Narrow" w:hAnsi="Arial Narrow"/>
                <w:sz w:val="18"/>
                <w:szCs w:val="18"/>
              </w:rPr>
              <w:t>12 month</w:t>
            </w:r>
            <w:proofErr w:type="gramEnd"/>
            <w:r w:rsidRPr="00914DF7">
              <w:rPr>
                <w:rFonts w:ascii="Arial Narrow" w:hAnsi="Arial Narrow"/>
                <w:sz w:val="18"/>
                <w:szCs w:val="18"/>
              </w:rPr>
              <w:t xml:space="preserve"> interval immediately prior to commencement of treatment (or the 6 month interval immediately prior to commencement of treatment if the patient was an older child at commencement of treatment)</w:t>
            </w:r>
          </w:p>
          <w:p w14:paraId="47ED6B45"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AND</w:t>
            </w:r>
          </w:p>
          <w:p w14:paraId="7A390856"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[15708]</w:t>
            </w:r>
          </w:p>
          <w:p w14:paraId="7901B603"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[15707] Patient must not have a condition with a known risk of malignancy including chromosomal abnormalities such as Down and Bloom syndromes</w:t>
            </w:r>
          </w:p>
          <w:p w14:paraId="51B08B26"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AND</w:t>
            </w:r>
          </w:p>
          <w:p w14:paraId="7CD70698"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lastRenderedPageBreak/>
              <w:t>[15711]</w:t>
            </w:r>
          </w:p>
          <w:p w14:paraId="6024F498"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[15710] Patient must not have an active tumour or evidence of tumour growth or activity</w:t>
            </w:r>
          </w:p>
          <w:p w14:paraId="04C86355"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AND</w:t>
            </w:r>
          </w:p>
          <w:p w14:paraId="16976DE0"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[16071]</w:t>
            </w:r>
          </w:p>
          <w:p w14:paraId="4A5EF47B"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 xml:space="preserve">[16069] Patient must be male and must not have a height greater than or equal to 167.7 </w:t>
            </w:r>
            <w:proofErr w:type="gramStart"/>
            <w:r w:rsidRPr="00914DF7">
              <w:rPr>
                <w:rFonts w:ascii="Arial Narrow" w:hAnsi="Arial Narrow"/>
                <w:sz w:val="18"/>
                <w:szCs w:val="18"/>
              </w:rPr>
              <w:t>cm;</w:t>
            </w:r>
            <w:proofErr w:type="gramEnd"/>
            <w:r w:rsidRPr="00914DF7">
              <w:rPr>
                <w:rFonts w:ascii="Arial Narrow" w:hAnsi="Arial Narrow"/>
                <w:sz w:val="18"/>
                <w:szCs w:val="18"/>
              </w:rPr>
              <w:t xml:space="preserve"> or</w:t>
            </w:r>
          </w:p>
          <w:p w14:paraId="37D5DED0"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[16070] Patient must be female and must not have a height greater than or equal to 155.0 cm</w:t>
            </w:r>
          </w:p>
          <w:p w14:paraId="22D19A05"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AND</w:t>
            </w:r>
          </w:p>
          <w:p w14:paraId="5E0E7E18" w14:textId="77777777" w:rsidR="00E31543" w:rsidRDefault="00E31543" w:rsidP="00475FED">
            <w:pPr>
              <w:spacing w:after="120"/>
              <w:rPr>
                <w:rFonts w:ascii="Arial Narrow" w:hAnsi="Arial Narrow"/>
                <w:sz w:val="18"/>
                <w:szCs w:val="18"/>
              </w:rPr>
            </w:pPr>
            <w:r w:rsidRPr="00914DF7">
              <w:rPr>
                <w:rFonts w:ascii="Arial Narrow" w:hAnsi="Arial Narrow"/>
                <w:sz w:val="18"/>
                <w:szCs w:val="18"/>
              </w:rPr>
              <w:t>[16068]</w:t>
            </w:r>
          </w:p>
          <w:p w14:paraId="6D08351C"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[16066] Patient must be male and must not have a bone age of 15.5 years or more; or</w:t>
            </w:r>
          </w:p>
          <w:p w14:paraId="6EEA5D91"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[16067] Patient must be female and must not have a bone age of 13.5 years or more</w:t>
            </w:r>
          </w:p>
        </w:tc>
      </w:tr>
      <w:tr w:rsidR="00E31543" w:rsidRPr="00914DF7" w14:paraId="0399B997" w14:textId="77777777" w:rsidTr="00475FED">
        <w:tblPrEx>
          <w:tblLook w:val="04A0" w:firstRow="1" w:lastRow="0" w:firstColumn="1" w:lastColumn="0" w:noHBand="0" w:noVBand="1"/>
        </w:tblPrEx>
        <w:tc>
          <w:tcPr>
            <w:tcW w:w="862" w:type="pct"/>
          </w:tcPr>
          <w:p w14:paraId="1DACA525"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lastRenderedPageBreak/>
              <w:t>Population criteria</w:t>
            </w:r>
          </w:p>
        </w:tc>
        <w:tc>
          <w:tcPr>
            <w:tcW w:w="4138" w:type="pct"/>
            <w:gridSpan w:val="6"/>
          </w:tcPr>
          <w:p w14:paraId="03483158" w14:textId="77777777" w:rsidR="00E31543" w:rsidRPr="00914DF7" w:rsidRDefault="00E31543" w:rsidP="00475FED">
            <w:pPr>
              <w:spacing w:after="120"/>
              <w:rPr>
                <w:rFonts w:ascii="Arial Narrow" w:hAnsi="Arial Narrow"/>
                <w:sz w:val="18"/>
                <w:szCs w:val="18"/>
              </w:rPr>
            </w:pPr>
          </w:p>
        </w:tc>
      </w:tr>
      <w:tr w:rsidR="00E31543" w:rsidRPr="00914DF7" w14:paraId="55CD12D9" w14:textId="77777777" w:rsidTr="00475FED">
        <w:tblPrEx>
          <w:tblLook w:val="04A0" w:firstRow="1" w:lastRow="0" w:firstColumn="1" w:lastColumn="0" w:noHBand="0" w:noVBand="1"/>
        </w:tblPrEx>
        <w:tc>
          <w:tcPr>
            <w:tcW w:w="862" w:type="pct"/>
          </w:tcPr>
          <w:p w14:paraId="3B718750"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Foreword</w:t>
            </w:r>
          </w:p>
        </w:tc>
        <w:tc>
          <w:tcPr>
            <w:tcW w:w="4138" w:type="pct"/>
            <w:gridSpan w:val="6"/>
          </w:tcPr>
          <w:p w14:paraId="0D60CE0A" w14:textId="77777777" w:rsidR="00E31543" w:rsidRPr="00914DF7" w:rsidRDefault="00E31543" w:rsidP="00475FED">
            <w:pPr>
              <w:spacing w:after="120"/>
              <w:rPr>
                <w:rFonts w:ascii="Arial Narrow" w:hAnsi="Arial Narrow"/>
                <w:sz w:val="18"/>
                <w:szCs w:val="18"/>
              </w:rPr>
            </w:pPr>
          </w:p>
        </w:tc>
      </w:tr>
      <w:tr w:rsidR="00E31543" w:rsidRPr="00914DF7" w14:paraId="31210382" w14:textId="77777777" w:rsidTr="00475FED">
        <w:tblPrEx>
          <w:tblLook w:val="04A0" w:firstRow="1" w:lastRow="0" w:firstColumn="1" w:lastColumn="0" w:noHBand="0" w:noVBand="1"/>
        </w:tblPrEx>
        <w:tc>
          <w:tcPr>
            <w:tcW w:w="862" w:type="pct"/>
          </w:tcPr>
          <w:p w14:paraId="3758F80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Definitions</w:t>
            </w:r>
          </w:p>
        </w:tc>
        <w:tc>
          <w:tcPr>
            <w:tcW w:w="4138" w:type="pct"/>
            <w:gridSpan w:val="6"/>
          </w:tcPr>
          <w:p w14:paraId="6B3025A4" w14:textId="77777777" w:rsidR="00E31543" w:rsidRPr="00914DF7" w:rsidRDefault="00E31543" w:rsidP="00475FED">
            <w:pPr>
              <w:spacing w:after="120"/>
              <w:rPr>
                <w:rFonts w:ascii="Arial Narrow" w:hAnsi="Arial Narrow"/>
                <w:sz w:val="18"/>
                <w:szCs w:val="18"/>
              </w:rPr>
            </w:pPr>
          </w:p>
        </w:tc>
      </w:tr>
      <w:tr w:rsidR="00E31543" w:rsidRPr="00914DF7" w14:paraId="7B8A9EA1" w14:textId="77777777" w:rsidTr="00475FED">
        <w:tblPrEx>
          <w:tblLook w:val="04A0" w:firstRow="1" w:lastRow="0" w:firstColumn="1" w:lastColumn="0" w:noHBand="0" w:noVBand="1"/>
        </w:tblPrEx>
        <w:tc>
          <w:tcPr>
            <w:tcW w:w="862" w:type="pct"/>
          </w:tcPr>
          <w:p w14:paraId="5A9060AD"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Prescriber Instructions</w:t>
            </w:r>
            <w:r w:rsidRPr="00914DF7">
              <w:rPr>
                <w:rFonts w:ascii="Arial Narrow" w:hAnsi="Arial Narrow"/>
                <w:sz w:val="18"/>
                <w:szCs w:val="18"/>
              </w:rPr>
              <w:br/>
            </w:r>
          </w:p>
        </w:tc>
        <w:tc>
          <w:tcPr>
            <w:tcW w:w="4138" w:type="pct"/>
            <w:gridSpan w:val="6"/>
          </w:tcPr>
          <w:p w14:paraId="6FD9AD81"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[23357] An older child is defined as a male with a chronological age of at least 12 years or a bone age of at least 10 years, or a female with a chronological age of at least 10 years or a bone age of at least 8 years.</w:t>
            </w:r>
          </w:p>
          <w:p w14:paraId="0CE213D8"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[16142] The maximum duration of each recommencement treatment phase is 32 weeks. Prescribers must determine an appropriate weekly dose in accordance with the dosing arrangements detailed in the National Health (Growth Hormone Program) Special Arrangement 2015 and request the appropriate number of vials/cartridges required to provide sufficient drug for 16 weeks' worth of treatment (with up to 1 repeat allowed).</w:t>
            </w:r>
          </w:p>
          <w:p w14:paraId="5820012F"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w:t>
            </w:r>
            <w:r>
              <w:rPr>
                <w:rFonts w:ascii="Arial Narrow" w:hAnsi="Arial Narrow"/>
                <w:sz w:val="18"/>
                <w:szCs w:val="18"/>
              </w:rPr>
              <w:t xml:space="preserve">amend </w:t>
            </w:r>
            <w:r w:rsidRPr="00914DF7">
              <w:rPr>
                <w:rFonts w:ascii="Arial Narrow" w:hAnsi="Arial Narrow"/>
                <w:sz w:val="18"/>
                <w:szCs w:val="18"/>
              </w:rPr>
              <w:t xml:space="preserve">23488] The authority application must be in writing and must include:, 1. A completed authority prescription form; AND, 2. A completed Growth Hormone Authority Application Supporting Information Form for recommencement of treatment as a reclassified patient; AND, 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OR, (b) Confirmation that the patient has previously received treatment under the indication short stature associated with chronic renal insufficiency, has undergone a renal transplant and a 12 month period of observation following the transplant, and has an estimated glomerular filtration rate of greater than or equal to 30mL/minute/1.73m2 measured by creatinine clearance, excretion of radionuclides such as DTPA, or by the height/creatinine formula; AND, 4. Recent growth data (height and weight, not older than three months); AND, 5. A bone age result performed within the last 12 months </w:t>
            </w:r>
            <w:r w:rsidRPr="00914DF7">
              <w:rPr>
                <w:rFonts w:ascii="Arial Narrow" w:hAnsi="Arial Narrow" w:cs="Open Sans"/>
                <w:color w:val="333333"/>
                <w:sz w:val="18"/>
                <w:szCs w:val="18"/>
                <w:shd w:val="clear" w:color="auto" w:fill="FFFFFF"/>
              </w:rPr>
              <w:t> (except for a patient whose chronological age is 2.5 years or less)</w:t>
            </w:r>
            <w:r w:rsidRPr="00914DF7">
              <w:rPr>
                <w:rFonts w:ascii="Arial Narrow" w:hAnsi="Arial Narrow"/>
                <w:sz w:val="18"/>
                <w:szCs w:val="18"/>
              </w:rPr>
              <w:t xml:space="preserve">AND, 6. The proprietary name (brand), </w:t>
            </w:r>
            <w:r>
              <w:rPr>
                <w:rFonts w:ascii="Arial Narrow" w:hAnsi="Arial Narrow"/>
                <w:sz w:val="18"/>
                <w:szCs w:val="18"/>
              </w:rPr>
              <w:t>form and strength of the growth hormone requested</w:t>
            </w:r>
            <w:r w:rsidRPr="00914DF7">
              <w:rPr>
                <w:rFonts w:ascii="Arial Narrow" w:hAnsi="Arial Narrow"/>
                <w:sz w:val="18"/>
                <w:szCs w:val="18"/>
              </w:rPr>
              <w:t>, and the number of vials/cartridges required to provide sufficient drug for 16 weeks' worth of treatment (with up to 1 repeat allowed).</w:t>
            </w:r>
          </w:p>
          <w:p w14:paraId="5EDA5F5C" w14:textId="77777777" w:rsidR="00E31543" w:rsidRPr="00914DF7" w:rsidRDefault="00E31543" w:rsidP="00475FED">
            <w:pPr>
              <w:spacing w:after="120"/>
              <w:rPr>
                <w:rFonts w:ascii="Arial Narrow" w:hAnsi="Arial Narrow"/>
                <w:sz w:val="18"/>
                <w:szCs w:val="18"/>
              </w:rPr>
            </w:pPr>
            <w:r w:rsidRPr="00914DF7">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A892CDA" w14:textId="77777777" w:rsidR="00E31543" w:rsidRPr="00914DF7" w:rsidRDefault="00E31543" w:rsidP="00475FED">
            <w:pPr>
              <w:spacing w:after="120"/>
              <w:rPr>
                <w:rFonts w:ascii="Arial Narrow" w:hAnsi="Arial Narrow"/>
                <w:sz w:val="18"/>
                <w:szCs w:val="18"/>
              </w:rPr>
            </w:pPr>
            <w:r>
              <w:rPr>
                <w:rFonts w:ascii="Arial Narrow" w:hAnsi="Arial Narrow"/>
                <w:sz w:val="18"/>
                <w:szCs w:val="18"/>
              </w:rPr>
              <w:t xml:space="preserve">[28759] </w:t>
            </w:r>
            <w:r w:rsidRPr="00914DF7">
              <w:rPr>
                <w:rFonts w:ascii="Arial Narrow" w:hAnsi="Arial Narrow" w:cs="Open Sans"/>
                <w:color w:val="333333"/>
                <w:sz w:val="18"/>
                <w:szCs w:val="18"/>
                <w:shd w:val="clear" w:color="auto" w:fill="FFFFFF"/>
              </w:rPr>
              <w:t>In children with diabetes mellitus prescribers must ascertain that a growth failure is not due to poor diabetes control, diabetes control is adequate, and regular screening occurs for diabetes complications, particularly retinopathy.</w:t>
            </w:r>
          </w:p>
        </w:tc>
      </w:tr>
      <w:tr w:rsidR="00E31543" w:rsidRPr="00914DF7" w14:paraId="2E6B3C86" w14:textId="77777777" w:rsidTr="00475FED">
        <w:tblPrEx>
          <w:tblLook w:val="04A0" w:firstRow="1" w:lastRow="0" w:firstColumn="1" w:lastColumn="0" w:noHBand="0" w:noVBand="1"/>
        </w:tblPrEx>
        <w:tc>
          <w:tcPr>
            <w:tcW w:w="862" w:type="pct"/>
          </w:tcPr>
          <w:p w14:paraId="0FF47503"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Administrative Advice</w:t>
            </w:r>
          </w:p>
        </w:tc>
        <w:tc>
          <w:tcPr>
            <w:tcW w:w="4138" w:type="pct"/>
            <w:gridSpan w:val="6"/>
          </w:tcPr>
          <w:p w14:paraId="3039A492" w14:textId="77777777" w:rsidR="00E31543" w:rsidRPr="00914DF7"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914DF7" w14:paraId="7B4FCC50" w14:textId="77777777" w:rsidTr="00475FED">
        <w:tblPrEx>
          <w:tblLook w:val="04A0" w:firstRow="1" w:lastRow="0" w:firstColumn="1" w:lastColumn="0" w:noHBand="0" w:noVBand="1"/>
        </w:tblPrEx>
        <w:tc>
          <w:tcPr>
            <w:tcW w:w="862" w:type="pct"/>
          </w:tcPr>
          <w:p w14:paraId="62FD9F18" w14:textId="77777777" w:rsidR="00E31543" w:rsidRPr="00914DF7" w:rsidRDefault="00E31543" w:rsidP="00475FED">
            <w:pPr>
              <w:spacing w:after="120"/>
              <w:jc w:val="left"/>
              <w:rPr>
                <w:rFonts w:ascii="Arial Narrow" w:hAnsi="Arial Narrow"/>
                <w:sz w:val="18"/>
                <w:szCs w:val="18"/>
              </w:rPr>
            </w:pPr>
            <w:r w:rsidRPr="00914DF7">
              <w:rPr>
                <w:rFonts w:ascii="Arial Narrow" w:hAnsi="Arial Narrow"/>
                <w:b/>
                <w:sz w:val="18"/>
                <w:szCs w:val="18"/>
              </w:rPr>
              <w:t>Cautions</w:t>
            </w:r>
          </w:p>
        </w:tc>
        <w:tc>
          <w:tcPr>
            <w:tcW w:w="4138" w:type="pct"/>
            <w:gridSpan w:val="6"/>
          </w:tcPr>
          <w:p w14:paraId="36CD4153" w14:textId="77777777" w:rsidR="00E31543" w:rsidRPr="00914DF7" w:rsidRDefault="00E31543" w:rsidP="00475FED">
            <w:pPr>
              <w:spacing w:after="120"/>
              <w:rPr>
                <w:rFonts w:ascii="Arial Narrow" w:hAnsi="Arial Narrow"/>
                <w:sz w:val="18"/>
                <w:szCs w:val="18"/>
              </w:rPr>
            </w:pPr>
          </w:p>
        </w:tc>
      </w:tr>
      <w:tr w:rsidR="00E31543" w:rsidRPr="00042B3A" w14:paraId="46216A7C" w14:textId="77777777" w:rsidTr="00475FED">
        <w:tc>
          <w:tcPr>
            <w:tcW w:w="862" w:type="pct"/>
          </w:tcPr>
          <w:p w14:paraId="18B12F61"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Benefit Type</w:t>
            </w:r>
          </w:p>
        </w:tc>
        <w:tc>
          <w:tcPr>
            <w:tcW w:w="4138" w:type="pct"/>
            <w:gridSpan w:val="6"/>
          </w:tcPr>
          <w:p w14:paraId="6073661E"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NEW</w:t>
            </w:r>
          </w:p>
        </w:tc>
      </w:tr>
      <w:tr w:rsidR="00E31543" w:rsidRPr="00042B3A" w14:paraId="7BC68F6D" w14:textId="77777777" w:rsidTr="00475FED">
        <w:tc>
          <w:tcPr>
            <w:tcW w:w="862" w:type="pct"/>
          </w:tcPr>
          <w:p w14:paraId="0AFEEBDF"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Restriction Number</w:t>
            </w:r>
          </w:p>
        </w:tc>
        <w:tc>
          <w:tcPr>
            <w:tcW w:w="4138" w:type="pct"/>
            <w:gridSpan w:val="6"/>
          </w:tcPr>
          <w:p w14:paraId="70AB6ECD"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NEW</w:t>
            </w:r>
          </w:p>
        </w:tc>
      </w:tr>
      <w:tr w:rsidR="00E31543" w:rsidRPr="00042B3A" w14:paraId="0B5DDC15" w14:textId="77777777" w:rsidTr="00475FED">
        <w:tc>
          <w:tcPr>
            <w:tcW w:w="862" w:type="pct"/>
          </w:tcPr>
          <w:p w14:paraId="0B794A9A"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Treatment of Code</w:t>
            </w:r>
            <w:r>
              <w:rPr>
                <w:rFonts w:ascii="Arial Narrow" w:hAnsi="Arial Narrow"/>
                <w:b/>
                <w:sz w:val="18"/>
                <w:szCs w:val="18"/>
              </w:rPr>
              <w:t xml:space="preserve"> </w:t>
            </w:r>
            <w:r w:rsidRPr="00042B3A">
              <w:rPr>
                <w:rFonts w:ascii="Arial Narrow" w:hAnsi="Arial Narrow"/>
                <w:b/>
                <w:sz w:val="18"/>
                <w:szCs w:val="18"/>
              </w:rPr>
              <w:t>(</w:t>
            </w:r>
            <w:proofErr w:type="spellStart"/>
            <w:r w:rsidRPr="00042B3A">
              <w:rPr>
                <w:rFonts w:ascii="Arial Narrow" w:hAnsi="Arial Narrow"/>
                <w:b/>
                <w:sz w:val="18"/>
                <w:szCs w:val="18"/>
              </w:rPr>
              <w:t>ToC</w:t>
            </w:r>
            <w:proofErr w:type="spellEnd"/>
            <w:r w:rsidRPr="00042B3A">
              <w:rPr>
                <w:rFonts w:ascii="Arial Narrow" w:hAnsi="Arial Narrow"/>
                <w:b/>
                <w:sz w:val="18"/>
                <w:szCs w:val="18"/>
              </w:rPr>
              <w:t>)</w:t>
            </w:r>
          </w:p>
        </w:tc>
        <w:tc>
          <w:tcPr>
            <w:tcW w:w="4138" w:type="pct"/>
            <w:gridSpan w:val="6"/>
          </w:tcPr>
          <w:p w14:paraId="472FAF1E"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NEW</w:t>
            </w:r>
          </w:p>
        </w:tc>
      </w:tr>
      <w:tr w:rsidR="00E31543" w:rsidRPr="00042B3A" w14:paraId="66A803E9" w14:textId="77777777" w:rsidTr="00475FED">
        <w:tc>
          <w:tcPr>
            <w:tcW w:w="862" w:type="pct"/>
          </w:tcPr>
          <w:p w14:paraId="2AD0BE5D"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lastRenderedPageBreak/>
              <w:t>Category / Program</w:t>
            </w:r>
          </w:p>
        </w:tc>
        <w:tc>
          <w:tcPr>
            <w:tcW w:w="4138" w:type="pct"/>
            <w:gridSpan w:val="6"/>
          </w:tcPr>
          <w:p w14:paraId="2523BA1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S100 - Section 100 (Growth Hormone) (Code GH)</w:t>
            </w:r>
          </w:p>
        </w:tc>
      </w:tr>
      <w:tr w:rsidR="00E31543" w:rsidRPr="00042B3A" w14:paraId="30C8BD6C" w14:textId="77777777" w:rsidTr="00475FED">
        <w:tc>
          <w:tcPr>
            <w:tcW w:w="862" w:type="pct"/>
          </w:tcPr>
          <w:p w14:paraId="56AAFAE1"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Prescriber Type(s)</w:t>
            </w:r>
          </w:p>
        </w:tc>
        <w:tc>
          <w:tcPr>
            <w:tcW w:w="4138" w:type="pct"/>
            <w:gridSpan w:val="6"/>
          </w:tcPr>
          <w:p w14:paraId="78675F8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Medical Practitioners</w:t>
            </w:r>
          </w:p>
        </w:tc>
      </w:tr>
      <w:tr w:rsidR="00E31543" w:rsidRPr="00042B3A" w14:paraId="3C5FB89A" w14:textId="77777777" w:rsidTr="00475FED">
        <w:tc>
          <w:tcPr>
            <w:tcW w:w="862" w:type="pct"/>
          </w:tcPr>
          <w:p w14:paraId="2017A9FC"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PBS Indication</w:t>
            </w:r>
          </w:p>
        </w:tc>
        <w:tc>
          <w:tcPr>
            <w:tcW w:w="4138" w:type="pct"/>
            <w:gridSpan w:val="6"/>
          </w:tcPr>
          <w:p w14:paraId="46E0E28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[15683] Short stature and slow growth</w:t>
            </w:r>
          </w:p>
        </w:tc>
      </w:tr>
      <w:tr w:rsidR="00E31543" w:rsidRPr="00042B3A" w14:paraId="4AD78AB3" w14:textId="77777777" w:rsidTr="00475FED">
        <w:tc>
          <w:tcPr>
            <w:tcW w:w="862" w:type="pct"/>
          </w:tcPr>
          <w:p w14:paraId="3F39B813"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Treatment phase</w:t>
            </w:r>
          </w:p>
        </w:tc>
        <w:tc>
          <w:tcPr>
            <w:tcW w:w="4138" w:type="pct"/>
            <w:gridSpan w:val="6"/>
          </w:tcPr>
          <w:p w14:paraId="2457795C"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Changing drug</w:t>
            </w:r>
            <w:r w:rsidRPr="00042B3A">
              <w:rPr>
                <w:rFonts w:ascii="Arial Narrow" w:hAnsi="Arial Narrow"/>
                <w:sz w:val="18"/>
                <w:szCs w:val="18"/>
              </w:rPr>
              <w:t xml:space="preserve"> treatment</w:t>
            </w:r>
            <w:r>
              <w:rPr>
                <w:rFonts w:ascii="Arial Narrow" w:hAnsi="Arial Narrow"/>
                <w:sz w:val="18"/>
                <w:szCs w:val="18"/>
              </w:rPr>
              <w:t xml:space="preserve"> of this PBS-indication</w:t>
            </w:r>
          </w:p>
        </w:tc>
      </w:tr>
      <w:tr w:rsidR="00E31543" w:rsidRPr="00042B3A" w14:paraId="099BD836" w14:textId="77777777" w:rsidTr="00475FED">
        <w:tc>
          <w:tcPr>
            <w:tcW w:w="862" w:type="pct"/>
          </w:tcPr>
          <w:p w14:paraId="49F0CB6B"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Restriction Level / Method</w:t>
            </w:r>
          </w:p>
        </w:tc>
        <w:tc>
          <w:tcPr>
            <w:tcW w:w="4138" w:type="pct"/>
            <w:gridSpan w:val="6"/>
          </w:tcPr>
          <w:p w14:paraId="35B8B24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Authority required</w:t>
            </w:r>
          </w:p>
        </w:tc>
      </w:tr>
      <w:tr w:rsidR="00E31543" w:rsidRPr="00042B3A" w14:paraId="1C4136D8" w14:textId="77777777" w:rsidTr="00475FED">
        <w:tc>
          <w:tcPr>
            <w:tcW w:w="862" w:type="pct"/>
          </w:tcPr>
          <w:p w14:paraId="3AC24C9C" w14:textId="77777777" w:rsidR="00E31543" w:rsidRPr="00042B3A" w:rsidRDefault="00E31543" w:rsidP="00475FED">
            <w:pPr>
              <w:spacing w:after="120"/>
              <w:jc w:val="left"/>
              <w:rPr>
                <w:rFonts w:ascii="Arial Narrow" w:hAnsi="Arial Narrow"/>
                <w:sz w:val="18"/>
                <w:szCs w:val="18"/>
              </w:rPr>
            </w:pPr>
            <w:r w:rsidRPr="00042B3A">
              <w:rPr>
                <w:rFonts w:ascii="Arial Narrow" w:hAnsi="Arial Narrow"/>
                <w:b/>
                <w:sz w:val="18"/>
                <w:szCs w:val="18"/>
              </w:rPr>
              <w:t>Treatment criteria</w:t>
            </w:r>
          </w:p>
        </w:tc>
        <w:tc>
          <w:tcPr>
            <w:tcW w:w="4138" w:type="pct"/>
            <w:gridSpan w:val="6"/>
          </w:tcPr>
          <w:p w14:paraId="4B01D0F7"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[15885]</w:t>
            </w:r>
          </w:p>
          <w:p w14:paraId="1FBA7AD6" w14:textId="77777777" w:rsidR="00E31543" w:rsidRPr="00F04278" w:rsidRDefault="00E31543" w:rsidP="00475FED">
            <w:pPr>
              <w:spacing w:after="120"/>
              <w:rPr>
                <w:rFonts w:ascii="Arial Narrow" w:hAnsi="Arial Narrow"/>
                <w:sz w:val="18"/>
                <w:szCs w:val="18"/>
              </w:rPr>
            </w:pPr>
            <w:r w:rsidRPr="00F04278">
              <w:rPr>
                <w:rFonts w:ascii="Arial Narrow" w:hAnsi="Arial Narrow"/>
                <w:sz w:val="18"/>
                <w:szCs w:val="18"/>
              </w:rPr>
              <w:t>[15685] Must be treated by a specialist or consultant physician in paediatric endocrinology; or</w:t>
            </w:r>
          </w:p>
          <w:p w14:paraId="500714D2" w14:textId="77777777" w:rsidR="00E31543" w:rsidRDefault="00E31543" w:rsidP="00475FED">
            <w:pPr>
              <w:spacing w:after="120"/>
              <w:rPr>
                <w:rFonts w:ascii="Arial Narrow" w:hAnsi="Arial Narrow"/>
                <w:sz w:val="18"/>
                <w:szCs w:val="18"/>
              </w:rPr>
            </w:pPr>
            <w:r w:rsidRPr="00F04278">
              <w:rPr>
                <w:rFonts w:ascii="Arial Narrow" w:hAnsi="Arial Narrow"/>
                <w:sz w:val="18"/>
                <w:szCs w:val="18"/>
              </w:rPr>
              <w:t>[15884] Must be treated by a specialist or consultant physician in general paediatrics in consultation with a nominated specialist or consultant physician in paediatric endocrinology</w:t>
            </w:r>
          </w:p>
          <w:p w14:paraId="3AB69528"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0984E358" w14:textId="77777777" w:rsidR="00E31543" w:rsidRDefault="00E31543" w:rsidP="00475FED">
            <w:pPr>
              <w:spacing w:after="120"/>
              <w:rPr>
                <w:rFonts w:ascii="Arial Narrow" w:hAnsi="Arial Narrow"/>
                <w:sz w:val="18"/>
                <w:szCs w:val="18"/>
              </w:rPr>
            </w:pPr>
            <w:r>
              <w:rPr>
                <w:rFonts w:ascii="Arial Narrow" w:hAnsi="Arial Narrow"/>
                <w:sz w:val="18"/>
                <w:szCs w:val="18"/>
              </w:rPr>
              <w:t>[NEW TC3] Patient must be undergoing PBS-subsidised treatment of this indication where each of the following applies: (</w:t>
            </w:r>
            <w:proofErr w:type="spellStart"/>
            <w:r>
              <w:rPr>
                <w:rFonts w:ascii="Arial Narrow" w:hAnsi="Arial Narrow"/>
                <w:sz w:val="18"/>
                <w:szCs w:val="18"/>
              </w:rPr>
              <w:t>i</w:t>
            </w:r>
            <w:proofErr w:type="spellEnd"/>
            <w:r>
              <w:rPr>
                <w:rFonts w:ascii="Arial Narrow" w:hAnsi="Arial Narrow"/>
                <w:sz w:val="18"/>
                <w:szCs w:val="18"/>
              </w:rPr>
              <w:t xml:space="preserve">) </w:t>
            </w:r>
            <w:r w:rsidRPr="00DF6BB1">
              <w:rPr>
                <w:rFonts w:ascii="Arial Narrow" w:hAnsi="Arial Narrow"/>
                <w:sz w:val="18"/>
                <w:szCs w:val="18"/>
              </w:rPr>
              <w:t>the drug is changing,</w:t>
            </w:r>
            <w:r>
              <w:rPr>
                <w:rFonts w:ascii="Arial Narrow" w:hAnsi="Arial Narrow"/>
                <w:sz w:val="18"/>
                <w:szCs w:val="18"/>
              </w:rPr>
              <w:t xml:space="preserve"> (ii) </w:t>
            </w:r>
            <w:r w:rsidRPr="00DF6BB1">
              <w:rPr>
                <w:rFonts w:ascii="Arial Narrow" w:hAnsi="Arial Narrow"/>
                <w:sz w:val="18"/>
                <w:szCs w:val="18"/>
              </w:rPr>
              <w:t xml:space="preserve">a Continuing treatment authority application for </w:t>
            </w:r>
            <w:r>
              <w:rPr>
                <w:rFonts w:ascii="Arial Narrow" w:hAnsi="Arial Narrow"/>
                <w:sz w:val="18"/>
                <w:szCs w:val="18"/>
              </w:rPr>
              <w:t xml:space="preserve">growth hormone </w:t>
            </w:r>
            <w:r w:rsidRPr="00DF6BB1">
              <w:rPr>
                <w:rFonts w:ascii="Arial Narrow" w:hAnsi="Arial Narrow"/>
                <w:sz w:val="18"/>
                <w:szCs w:val="18"/>
              </w:rPr>
              <w:t>has not been rejected in the past</w:t>
            </w:r>
          </w:p>
          <w:p w14:paraId="4A126934"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3F5ADF9C"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TC1] </w:t>
            </w:r>
            <w:r w:rsidRPr="00FF21BF">
              <w:rPr>
                <w:rFonts w:ascii="Arial Narrow" w:hAnsi="Arial Narrow"/>
                <w:sz w:val="18"/>
                <w:szCs w:val="18"/>
              </w:rPr>
              <w:t xml:space="preserve">Patient must be undergoing treatment for the stated indication with only one </w:t>
            </w:r>
            <w:r>
              <w:rPr>
                <w:rFonts w:ascii="Arial Narrow" w:hAnsi="Arial Narrow"/>
                <w:sz w:val="18"/>
                <w:szCs w:val="18"/>
              </w:rPr>
              <w:t>growth hormone</w:t>
            </w:r>
          </w:p>
        </w:tc>
      </w:tr>
      <w:tr w:rsidR="00E31543" w:rsidRPr="00042B3A" w14:paraId="49AD219E" w14:textId="77777777" w:rsidTr="00475FED">
        <w:tc>
          <w:tcPr>
            <w:tcW w:w="862" w:type="pct"/>
          </w:tcPr>
          <w:p w14:paraId="0CE1C7C6"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Clinical criteria</w:t>
            </w:r>
          </w:p>
        </w:tc>
        <w:tc>
          <w:tcPr>
            <w:tcW w:w="4138" w:type="pct"/>
            <w:gridSpan w:val="6"/>
          </w:tcPr>
          <w:p w14:paraId="4CB9BF76"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[17597]</w:t>
            </w:r>
          </w:p>
          <w:p w14:paraId="0CF2E51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[17596] Patient must have previously received treatment under the PBS S100 Growth Hormone Program under the short stature and slow growth category</w:t>
            </w:r>
          </w:p>
          <w:p w14:paraId="5D4C5BCE" w14:textId="77777777" w:rsidR="00E31543" w:rsidRDefault="00E31543" w:rsidP="00475FED">
            <w:pPr>
              <w:spacing w:after="120"/>
              <w:rPr>
                <w:rFonts w:ascii="Arial Narrow" w:hAnsi="Arial Narrow"/>
                <w:sz w:val="18"/>
                <w:szCs w:val="18"/>
              </w:rPr>
            </w:pPr>
            <w:r>
              <w:rPr>
                <w:rFonts w:ascii="Arial Narrow" w:hAnsi="Arial Narrow"/>
                <w:sz w:val="18"/>
                <w:szCs w:val="18"/>
              </w:rPr>
              <w:t>AND</w:t>
            </w:r>
          </w:p>
          <w:p w14:paraId="556AD89C" w14:textId="77777777" w:rsidR="00E31543" w:rsidRDefault="00E31543" w:rsidP="00475FED">
            <w:pPr>
              <w:spacing w:after="120"/>
              <w:rPr>
                <w:rFonts w:ascii="Arial Narrow" w:hAnsi="Arial Narrow"/>
                <w:sz w:val="18"/>
                <w:szCs w:val="18"/>
              </w:rPr>
            </w:pPr>
            <w:r>
              <w:rPr>
                <w:rFonts w:ascii="Arial Narrow" w:hAnsi="Arial Narrow"/>
                <w:sz w:val="18"/>
                <w:szCs w:val="18"/>
              </w:rPr>
              <w:t>[NEW CC3] Patient must have been treated with PBS-subsidised growth hormone for less than 32 weeks; or</w:t>
            </w:r>
          </w:p>
          <w:p w14:paraId="7F04AC4A" w14:textId="77777777" w:rsidR="00E31543" w:rsidRDefault="00E31543" w:rsidP="00475FED">
            <w:pPr>
              <w:spacing w:after="120"/>
              <w:rPr>
                <w:rFonts w:ascii="Arial Narrow" w:hAnsi="Arial Narrow"/>
                <w:sz w:val="18"/>
                <w:szCs w:val="18"/>
              </w:rPr>
            </w:pPr>
            <w:r>
              <w:rPr>
                <w:rFonts w:ascii="Arial Narrow" w:hAnsi="Arial Narrow"/>
                <w:sz w:val="18"/>
                <w:szCs w:val="18"/>
              </w:rPr>
              <w:t xml:space="preserve">[NEW CC4] Patient must have been treated with PBS-subsidised growth hormone for the most recent treatment period </w:t>
            </w:r>
            <w:r w:rsidRPr="006A6EB2">
              <w:rPr>
                <w:rFonts w:ascii="Arial Narrow" w:hAnsi="Arial Narrow"/>
                <w:sz w:val="18"/>
                <w:szCs w:val="18"/>
              </w:rPr>
              <w:t>(</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w:t>
            </w:r>
            <w:r w:rsidRPr="006A6EB2">
              <w:rPr>
                <w:rFonts w:ascii="Arial Narrow" w:hAnsi="Arial Narrow"/>
                <w:sz w:val="18"/>
                <w:szCs w:val="18"/>
              </w:rPr>
              <w:t>32 weeks for an initial</w:t>
            </w:r>
            <w:r>
              <w:rPr>
                <w:rFonts w:ascii="Arial Narrow" w:hAnsi="Arial Narrow"/>
                <w:sz w:val="18"/>
                <w:szCs w:val="18"/>
              </w:rPr>
              <w:t>/</w:t>
            </w:r>
            <w:r w:rsidRPr="006A6EB2">
              <w:rPr>
                <w:rFonts w:ascii="Arial Narrow" w:hAnsi="Arial Narrow"/>
                <w:sz w:val="18"/>
                <w:szCs w:val="18"/>
              </w:rPr>
              <w:t>recommencement treatment period</w:t>
            </w:r>
            <w:r>
              <w:rPr>
                <w:rFonts w:ascii="Arial Narrow" w:hAnsi="Arial Narrow"/>
                <w:sz w:val="18"/>
                <w:szCs w:val="18"/>
              </w:rPr>
              <w:t>,</w:t>
            </w:r>
            <w:r w:rsidRPr="006A6EB2">
              <w:rPr>
                <w:rFonts w:ascii="Arial Narrow" w:hAnsi="Arial Narrow"/>
                <w:sz w:val="18"/>
                <w:szCs w:val="18"/>
              </w:rPr>
              <w:t xml:space="preserve"> </w:t>
            </w:r>
            <w:r>
              <w:rPr>
                <w:rFonts w:ascii="Arial Narrow" w:hAnsi="Arial Narrow"/>
                <w:sz w:val="18"/>
                <w:szCs w:val="18"/>
              </w:rPr>
              <w:t>(ii)</w:t>
            </w:r>
            <w:r w:rsidRPr="006A6EB2">
              <w:rPr>
                <w:rFonts w:ascii="Arial Narrow" w:hAnsi="Arial Narrow"/>
                <w:sz w:val="18"/>
                <w:szCs w:val="18"/>
              </w:rPr>
              <w:t xml:space="preserve"> 26 weeks for a continuing treatment period)</w:t>
            </w:r>
            <w:r>
              <w:rPr>
                <w:rFonts w:ascii="Arial Narrow" w:hAnsi="Arial Narrow"/>
                <w:sz w:val="18"/>
                <w:szCs w:val="18"/>
              </w:rPr>
              <w:t xml:space="preserve"> where each of the following applies: (</w:t>
            </w:r>
            <w:proofErr w:type="spellStart"/>
            <w:r>
              <w:rPr>
                <w:rFonts w:ascii="Arial Narrow" w:hAnsi="Arial Narrow"/>
                <w:sz w:val="18"/>
                <w:szCs w:val="18"/>
              </w:rPr>
              <w:t>i</w:t>
            </w:r>
            <w:proofErr w:type="spellEnd"/>
            <w:r>
              <w:rPr>
                <w:rFonts w:ascii="Arial Narrow" w:hAnsi="Arial Narrow"/>
                <w:sz w:val="18"/>
                <w:szCs w:val="18"/>
              </w:rPr>
              <w:t>) has been treated for at least 32 weeks, (ii) has been assessed for growth for the most recent treatment period where either: (a) the assessment demonstrates adequate growth irrespective of dose, (b) the assessment demonstrates an inadequate response to treatment dosed less than the upper dose limit of the previous growth hormone</w:t>
            </w:r>
          </w:p>
          <w:p w14:paraId="715287FE"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063817E2"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[15708]</w:t>
            </w:r>
          </w:p>
          <w:p w14:paraId="30F8EF47"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[15707] Patient must not have a condition with a known risk of malignancy including chromosomal abnormalities such as Down and Bloom syndromes</w:t>
            </w:r>
          </w:p>
          <w:p w14:paraId="590036C8"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78427523"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[15711]</w:t>
            </w:r>
          </w:p>
          <w:p w14:paraId="2894C1C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[15710] Patient must not have an active tumour or evidence of tumour growth or activity</w:t>
            </w:r>
          </w:p>
          <w:p w14:paraId="6DDB48CF"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108512A8"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[16068]</w:t>
            </w:r>
          </w:p>
          <w:p w14:paraId="5C296868"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[16066] Patient must be male and must not have a bone age of 15.5 years or more; or</w:t>
            </w:r>
          </w:p>
          <w:p w14:paraId="3B97528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[16067] Patient must be female and must not have a bone age of 13.5 years or more</w:t>
            </w:r>
          </w:p>
          <w:p w14:paraId="37459202"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AND</w:t>
            </w:r>
          </w:p>
          <w:p w14:paraId="02FF1A77"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[16136]</w:t>
            </w:r>
          </w:p>
          <w:p w14:paraId="0FA70281"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[16134] Patient must be male and must not have a height greater than or equal to 167.7cm; or</w:t>
            </w:r>
          </w:p>
          <w:p w14:paraId="1517B5FB"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[16135] Patient must be female and must not have a height greater than or equal to 155.0cm</w:t>
            </w:r>
          </w:p>
        </w:tc>
      </w:tr>
      <w:tr w:rsidR="00E31543" w:rsidRPr="00042B3A" w14:paraId="35245717" w14:textId="77777777" w:rsidTr="00475FED">
        <w:tc>
          <w:tcPr>
            <w:tcW w:w="862" w:type="pct"/>
          </w:tcPr>
          <w:p w14:paraId="11EF9686"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Population criteria</w:t>
            </w:r>
          </w:p>
        </w:tc>
        <w:tc>
          <w:tcPr>
            <w:tcW w:w="4138" w:type="pct"/>
            <w:gridSpan w:val="6"/>
          </w:tcPr>
          <w:p w14:paraId="2F6E4A47" w14:textId="77777777" w:rsidR="00E31543" w:rsidRPr="00042B3A" w:rsidRDefault="00E31543" w:rsidP="00475FED">
            <w:pPr>
              <w:spacing w:after="120"/>
              <w:rPr>
                <w:rFonts w:ascii="Arial Narrow" w:hAnsi="Arial Narrow"/>
                <w:sz w:val="18"/>
                <w:szCs w:val="18"/>
              </w:rPr>
            </w:pPr>
          </w:p>
        </w:tc>
      </w:tr>
      <w:tr w:rsidR="00E31543" w:rsidRPr="00042B3A" w14:paraId="3D23F2A6" w14:textId="77777777" w:rsidTr="00475FED">
        <w:tc>
          <w:tcPr>
            <w:tcW w:w="862" w:type="pct"/>
          </w:tcPr>
          <w:p w14:paraId="4E2DEA44"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lastRenderedPageBreak/>
              <w:t>Foreword</w:t>
            </w:r>
          </w:p>
        </w:tc>
        <w:tc>
          <w:tcPr>
            <w:tcW w:w="4138" w:type="pct"/>
            <w:gridSpan w:val="6"/>
          </w:tcPr>
          <w:p w14:paraId="52811588" w14:textId="77777777" w:rsidR="00E31543" w:rsidRPr="00042B3A" w:rsidRDefault="00E31543" w:rsidP="00475FED">
            <w:pPr>
              <w:spacing w:after="120"/>
              <w:rPr>
                <w:rFonts w:ascii="Arial Narrow" w:hAnsi="Arial Narrow"/>
                <w:sz w:val="18"/>
                <w:szCs w:val="18"/>
              </w:rPr>
            </w:pPr>
          </w:p>
        </w:tc>
      </w:tr>
      <w:tr w:rsidR="00E31543" w:rsidRPr="00042B3A" w14:paraId="62006D75" w14:textId="77777777" w:rsidTr="00475FED">
        <w:tc>
          <w:tcPr>
            <w:tcW w:w="862" w:type="pct"/>
          </w:tcPr>
          <w:p w14:paraId="2720A7E4"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Definitions</w:t>
            </w:r>
          </w:p>
        </w:tc>
        <w:tc>
          <w:tcPr>
            <w:tcW w:w="4138" w:type="pct"/>
            <w:gridSpan w:val="6"/>
          </w:tcPr>
          <w:p w14:paraId="2AD5AAA6" w14:textId="77777777" w:rsidR="00E31543" w:rsidRPr="00042B3A" w:rsidRDefault="00E31543" w:rsidP="00475FED">
            <w:pPr>
              <w:spacing w:after="120"/>
              <w:rPr>
                <w:rFonts w:ascii="Arial Narrow" w:hAnsi="Arial Narrow"/>
                <w:sz w:val="18"/>
                <w:szCs w:val="18"/>
              </w:rPr>
            </w:pPr>
          </w:p>
        </w:tc>
      </w:tr>
      <w:tr w:rsidR="00E31543" w:rsidRPr="00042B3A" w14:paraId="0C1F5D91" w14:textId="77777777" w:rsidTr="00475FED">
        <w:tc>
          <w:tcPr>
            <w:tcW w:w="862" w:type="pct"/>
          </w:tcPr>
          <w:p w14:paraId="45740276"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Prescriber Instructions</w:t>
            </w:r>
            <w:r w:rsidRPr="00042B3A">
              <w:rPr>
                <w:rFonts w:ascii="Arial Narrow" w:hAnsi="Arial Narrow"/>
                <w:sz w:val="18"/>
                <w:szCs w:val="18"/>
              </w:rPr>
              <w:br/>
            </w:r>
          </w:p>
        </w:tc>
        <w:tc>
          <w:tcPr>
            <w:tcW w:w="4138" w:type="pct"/>
            <w:gridSpan w:val="6"/>
          </w:tcPr>
          <w:p w14:paraId="0E8F445C" w14:textId="77777777" w:rsidR="00E31543" w:rsidRDefault="00E31543" w:rsidP="00475FED">
            <w:pPr>
              <w:spacing w:after="120"/>
              <w:rPr>
                <w:rFonts w:ascii="Arial Narrow" w:hAnsi="Arial Narrow"/>
                <w:sz w:val="18"/>
                <w:szCs w:val="18"/>
              </w:rPr>
            </w:pPr>
            <w:r>
              <w:rPr>
                <w:rFonts w:ascii="Arial Narrow" w:hAnsi="Arial Narrow"/>
                <w:sz w:val="18"/>
                <w:szCs w:val="18"/>
              </w:rPr>
              <w:t>[NEW PI1] Definition of an adequate response to treatment:</w:t>
            </w:r>
          </w:p>
          <w:p w14:paraId="293E2895" w14:textId="77777777" w:rsidR="00E31543" w:rsidRDefault="00E31543" w:rsidP="00475FED">
            <w:pPr>
              <w:spacing w:after="120"/>
              <w:rPr>
                <w:rFonts w:ascii="Arial Narrow" w:hAnsi="Arial Narrow"/>
                <w:sz w:val="18"/>
                <w:szCs w:val="18"/>
              </w:rPr>
            </w:pPr>
            <w:r w:rsidRPr="00042B3A">
              <w:rPr>
                <w:rFonts w:ascii="Arial Narrow" w:hAnsi="Arial Narrow"/>
                <w:sz w:val="18"/>
                <w:szCs w:val="18"/>
              </w:rPr>
              <w:t xml:space="preserve">Patient must have </w:t>
            </w:r>
            <w:r>
              <w:rPr>
                <w:rFonts w:ascii="Arial Narrow" w:hAnsi="Arial Narrow"/>
                <w:sz w:val="18"/>
                <w:szCs w:val="18"/>
              </w:rPr>
              <w:t>either: (</w:t>
            </w:r>
            <w:proofErr w:type="spellStart"/>
            <w:r>
              <w:rPr>
                <w:rFonts w:ascii="Arial Narrow" w:hAnsi="Arial Narrow"/>
                <w:sz w:val="18"/>
                <w:szCs w:val="18"/>
              </w:rPr>
              <w:t>i</w:t>
            </w:r>
            <w:proofErr w:type="spellEnd"/>
            <w:r>
              <w:rPr>
                <w:rFonts w:ascii="Arial Narrow" w:hAnsi="Arial Narrow"/>
                <w:sz w:val="18"/>
                <w:szCs w:val="18"/>
              </w:rPr>
              <w:t xml:space="preserve">) achieved </w:t>
            </w:r>
            <w:r w:rsidRPr="00042B3A">
              <w:rPr>
                <w:rFonts w:ascii="Arial Narrow" w:hAnsi="Arial Narrow"/>
                <w:sz w:val="18"/>
                <w:szCs w:val="18"/>
              </w:rPr>
              <w:t>the 50th percentile growth velocity for bone age and sex</w:t>
            </w:r>
            <w:r>
              <w:rPr>
                <w:rFonts w:ascii="Arial Narrow" w:hAnsi="Arial Narrow"/>
                <w:sz w:val="18"/>
                <w:szCs w:val="18"/>
              </w:rPr>
              <w:t xml:space="preserve">, (ii) achieved </w:t>
            </w:r>
            <w:r w:rsidRPr="00042B3A">
              <w:rPr>
                <w:rFonts w:ascii="Arial Narrow" w:hAnsi="Arial Narrow"/>
                <w:sz w:val="18"/>
                <w:szCs w:val="18"/>
              </w:rPr>
              <w:t>an increase in height standard deviation score for chronological age and sex</w:t>
            </w:r>
            <w:r>
              <w:rPr>
                <w:rFonts w:ascii="Arial Narrow" w:hAnsi="Arial Narrow"/>
                <w:sz w:val="18"/>
                <w:szCs w:val="18"/>
              </w:rPr>
              <w:t>, (iii)</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 minimum growth velocity of 4cm/year</w:t>
            </w:r>
            <w:r>
              <w:rPr>
                <w:rFonts w:ascii="Arial Narrow" w:hAnsi="Arial Narrow"/>
                <w:sz w:val="18"/>
                <w:szCs w:val="18"/>
              </w:rPr>
              <w:t>, (iv)</w:t>
            </w:r>
            <w:r w:rsidRPr="00042B3A">
              <w:rPr>
                <w:rFonts w:ascii="Arial Narrow" w:hAnsi="Arial Narrow"/>
                <w:sz w:val="18"/>
                <w:szCs w:val="18"/>
              </w:rPr>
              <w:t xml:space="preserve"> </w:t>
            </w:r>
            <w:r>
              <w:rPr>
                <w:rFonts w:ascii="Arial Narrow" w:hAnsi="Arial Narrow"/>
                <w:sz w:val="18"/>
                <w:szCs w:val="18"/>
              </w:rPr>
              <w:t xml:space="preserve">achieved </w:t>
            </w:r>
            <w:r w:rsidRPr="00042B3A">
              <w:rPr>
                <w:rFonts w:ascii="Arial Narrow" w:hAnsi="Arial Narrow"/>
                <w:sz w:val="18"/>
                <w:szCs w:val="18"/>
              </w:rPr>
              <w:t>and maintained mid parental height standard deviation score</w:t>
            </w:r>
            <w:r>
              <w:rPr>
                <w:rFonts w:ascii="Arial Narrow" w:hAnsi="Arial Narrow"/>
                <w:sz w:val="18"/>
                <w:szCs w:val="18"/>
              </w:rPr>
              <w:t>.</w:t>
            </w:r>
          </w:p>
          <w:p w14:paraId="50A7A795" w14:textId="77777777" w:rsidR="00E31543" w:rsidRDefault="00E31543" w:rsidP="00475FED">
            <w:pPr>
              <w:spacing w:after="120"/>
              <w:rPr>
                <w:rFonts w:ascii="Arial Narrow" w:hAnsi="Arial Narrow"/>
                <w:sz w:val="18"/>
                <w:szCs w:val="18"/>
              </w:rPr>
            </w:pPr>
            <w:r>
              <w:rPr>
                <w:rFonts w:ascii="Arial Narrow" w:hAnsi="Arial Narrow"/>
                <w:sz w:val="18"/>
                <w:szCs w:val="18"/>
              </w:rPr>
              <w:t>Prescribers must assess if there is an adequate response to growth hormone treatment.</w:t>
            </w:r>
          </w:p>
          <w:p w14:paraId="4AD4D599"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[16059] The maximum duration of each continuing treatment phase is 26 weeks. Prescribers must determine an appropriate weekly dose in accordance with the dosing arrangements detailed in the National Health (Growth Hormone Program) Special Arrangement 2015 and request the appropriate number of vials/cartridges required to provide sufficient drug for 13 weeks</w:t>
            </w:r>
            <w:r>
              <w:rPr>
                <w:rFonts w:ascii="Arial Narrow" w:hAnsi="Arial Narrow"/>
                <w:sz w:val="18"/>
                <w:szCs w:val="18"/>
              </w:rPr>
              <w:t>’</w:t>
            </w:r>
            <w:r w:rsidRPr="00042B3A">
              <w:rPr>
                <w:rFonts w:ascii="Arial Narrow" w:hAnsi="Arial Narrow"/>
                <w:sz w:val="18"/>
                <w:szCs w:val="18"/>
              </w:rPr>
              <w:t xml:space="preserve"> worth of treatment (with up to 1 repeat allowed).</w:t>
            </w:r>
          </w:p>
          <w:p w14:paraId="62131995"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w:t>
            </w:r>
            <w:r>
              <w:rPr>
                <w:rFonts w:ascii="Arial Narrow" w:hAnsi="Arial Narrow"/>
                <w:sz w:val="18"/>
                <w:szCs w:val="18"/>
              </w:rPr>
              <w:t xml:space="preserve">amend </w:t>
            </w:r>
            <w:r w:rsidRPr="00042B3A">
              <w:rPr>
                <w:rFonts w:ascii="Arial Narrow" w:hAnsi="Arial Narrow"/>
                <w:sz w:val="18"/>
                <w:szCs w:val="18"/>
              </w:rPr>
              <w:t xml:space="preserve">23360] The authority application must be in writing and must </w:t>
            </w:r>
            <w:proofErr w:type="gramStart"/>
            <w:r w:rsidRPr="00042B3A">
              <w:rPr>
                <w:rFonts w:ascii="Arial Narrow" w:hAnsi="Arial Narrow"/>
                <w:sz w:val="18"/>
                <w:szCs w:val="18"/>
              </w:rPr>
              <w:t>include:,</w:t>
            </w:r>
            <w:proofErr w:type="gramEnd"/>
            <w:r w:rsidRPr="00042B3A">
              <w:rPr>
                <w:rFonts w:ascii="Arial Narrow" w:hAnsi="Arial Narrow"/>
                <w:sz w:val="18"/>
                <w:szCs w:val="18"/>
              </w:rPr>
              <w:t xml:space="preserve"> 1. A completed authority prescription form; AND, 2. A completed Growth Hormone Authority Application Supporting Information Form for continuing treatment; AND, 3. Growth data (height and weight) for the most recent 6 month treatment period, including data at both the start and end of the treatment period. The most recent data must not be older than three months; AND</w:t>
            </w:r>
            <w:r w:rsidRPr="003A538E">
              <w:rPr>
                <w:rFonts w:ascii="Arial Narrow" w:hAnsi="Arial Narrow"/>
                <w:sz w:val="18"/>
                <w:szCs w:val="18"/>
              </w:rPr>
              <w:t>, 4. A bone age result performed within the last 12 months</w:t>
            </w:r>
            <w:r w:rsidRPr="003A538E">
              <w:rPr>
                <w:rFonts w:ascii="Arial Narrow" w:hAnsi="Arial Narrow" w:cs="Open Sans"/>
                <w:color w:val="333333"/>
                <w:sz w:val="18"/>
                <w:szCs w:val="18"/>
              </w:rPr>
              <w:t xml:space="preserve"> (except for a patient whose chronological age is 2.5 years or less);</w:t>
            </w:r>
            <w:r w:rsidRPr="003A538E">
              <w:rPr>
                <w:rFonts w:ascii="Arial Narrow" w:hAnsi="Arial Narrow"/>
                <w:sz w:val="18"/>
                <w:szCs w:val="18"/>
              </w:rPr>
              <w:t xml:space="preserve"> AND, 5. The final adult height (in cm) of the patient's mother and father (where available); AND, 6. The proprietary</w:t>
            </w:r>
            <w:r w:rsidRPr="00042B3A">
              <w:rPr>
                <w:rFonts w:ascii="Arial Narrow" w:hAnsi="Arial Narrow"/>
                <w:sz w:val="18"/>
                <w:szCs w:val="18"/>
              </w:rPr>
              <w:t xml:space="preserve"> name (brand), form and strength of </w:t>
            </w:r>
            <w:r>
              <w:rPr>
                <w:rFonts w:ascii="Arial Narrow" w:hAnsi="Arial Narrow"/>
                <w:sz w:val="18"/>
                <w:szCs w:val="18"/>
              </w:rPr>
              <w:t>the growth hormone</w:t>
            </w:r>
            <w:r w:rsidRPr="00042B3A">
              <w:rPr>
                <w:rFonts w:ascii="Arial Narrow" w:hAnsi="Arial Narrow"/>
                <w:sz w:val="18"/>
                <w:szCs w:val="18"/>
              </w:rPr>
              <w:t xml:space="preserve"> requested, and the number of vials/cartridges required to provide sufficient drug for 13 </w:t>
            </w:r>
            <w:proofErr w:type="spellStart"/>
            <w:r w:rsidRPr="00042B3A">
              <w:rPr>
                <w:rFonts w:ascii="Arial Narrow" w:hAnsi="Arial Narrow"/>
                <w:sz w:val="18"/>
                <w:szCs w:val="18"/>
              </w:rPr>
              <w:t>weeks worth</w:t>
            </w:r>
            <w:proofErr w:type="spellEnd"/>
            <w:r w:rsidRPr="00042B3A">
              <w:rPr>
                <w:rFonts w:ascii="Arial Narrow" w:hAnsi="Arial Narrow"/>
                <w:sz w:val="18"/>
                <w:szCs w:val="18"/>
              </w:rPr>
              <w:t xml:space="preserve"> of treatment (with up to 1 repeat allowed).</w:t>
            </w:r>
          </w:p>
          <w:p w14:paraId="11C96284" w14:textId="77777777" w:rsidR="00E31543" w:rsidRPr="00042B3A" w:rsidRDefault="00E31543" w:rsidP="00475FED">
            <w:pPr>
              <w:spacing w:after="120"/>
              <w:rPr>
                <w:rFonts w:ascii="Arial Narrow" w:hAnsi="Arial Narrow"/>
                <w:sz w:val="18"/>
                <w:szCs w:val="18"/>
              </w:rPr>
            </w:pPr>
            <w:r w:rsidRPr="00042B3A">
              <w:rPr>
                <w:rFonts w:ascii="Arial Narrow" w:hAnsi="Arial Narrow"/>
                <w:sz w:val="18"/>
                <w:szCs w:val="18"/>
              </w:rPr>
              <w:t>[16016] 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5D51F51" w14:textId="77777777" w:rsidR="00E31543" w:rsidRPr="00042B3A" w:rsidRDefault="00E31543" w:rsidP="00475FED">
            <w:pPr>
              <w:spacing w:after="120"/>
              <w:rPr>
                <w:rFonts w:ascii="Arial Narrow" w:hAnsi="Arial Narrow"/>
                <w:sz w:val="18"/>
                <w:szCs w:val="18"/>
              </w:rPr>
            </w:pPr>
            <w:r w:rsidRPr="003A538E">
              <w:rPr>
                <w:rFonts w:ascii="Arial Narrow" w:hAnsi="Arial Narrow" w:cs="Open Sans"/>
                <w:color w:val="333333"/>
                <w:sz w:val="18"/>
                <w:szCs w:val="18"/>
              </w:rPr>
              <w:t>[28759] In children with diabetes mellitus prescribers must ascertain that a growth failure is not due to poor diabetes control, diabetes control is adequate, and regular screening occurs for diabetes complications, particularly retinopathy.</w:t>
            </w:r>
          </w:p>
        </w:tc>
      </w:tr>
      <w:tr w:rsidR="00E31543" w:rsidRPr="00042B3A" w14:paraId="0B25EFFF" w14:textId="77777777" w:rsidTr="00475FED">
        <w:tc>
          <w:tcPr>
            <w:tcW w:w="862" w:type="pct"/>
          </w:tcPr>
          <w:p w14:paraId="2A552FF6"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Administrative Advice</w:t>
            </w:r>
          </w:p>
        </w:tc>
        <w:tc>
          <w:tcPr>
            <w:tcW w:w="4138" w:type="pct"/>
            <w:gridSpan w:val="6"/>
          </w:tcPr>
          <w:p w14:paraId="211DB142" w14:textId="77777777" w:rsidR="00E31543" w:rsidRPr="00042B3A" w:rsidRDefault="00E31543" w:rsidP="00475FED">
            <w:pPr>
              <w:spacing w:after="120"/>
              <w:rPr>
                <w:rFonts w:ascii="Arial Narrow" w:hAnsi="Arial Narrow"/>
                <w:sz w:val="18"/>
                <w:szCs w:val="18"/>
              </w:rPr>
            </w:pPr>
            <w:r>
              <w:rPr>
                <w:rFonts w:ascii="Arial Narrow" w:hAnsi="Arial Narrow"/>
                <w:sz w:val="18"/>
                <w:szCs w:val="18"/>
              </w:rPr>
              <w:t xml:space="preserve">[NEW AA1] The upper dose limit of </w:t>
            </w:r>
            <w:proofErr w:type="spellStart"/>
            <w:r>
              <w:rPr>
                <w:rFonts w:ascii="Arial Narrow" w:hAnsi="Arial Narrow"/>
                <w:sz w:val="18"/>
                <w:szCs w:val="18"/>
              </w:rPr>
              <w:t>somatrogon</w:t>
            </w:r>
            <w:proofErr w:type="spellEnd"/>
            <w:r>
              <w:rPr>
                <w:rFonts w:ascii="Arial Narrow" w:hAnsi="Arial Narrow"/>
                <w:sz w:val="18"/>
                <w:szCs w:val="18"/>
              </w:rPr>
              <w:t xml:space="preserve"> is 20.73 mg/m2/week. The upper dose limit of somatropin is 7.5 mg/m2/week</w:t>
            </w:r>
          </w:p>
        </w:tc>
      </w:tr>
      <w:tr w:rsidR="00E31543" w:rsidRPr="00042B3A" w14:paraId="5FE99117" w14:textId="77777777" w:rsidTr="00475FED">
        <w:tc>
          <w:tcPr>
            <w:tcW w:w="862" w:type="pct"/>
          </w:tcPr>
          <w:p w14:paraId="4974B3E5" w14:textId="77777777" w:rsidR="00E31543" w:rsidRPr="00042B3A" w:rsidRDefault="00E31543" w:rsidP="00475FED">
            <w:pPr>
              <w:jc w:val="left"/>
              <w:rPr>
                <w:rFonts w:ascii="Arial Narrow" w:hAnsi="Arial Narrow"/>
                <w:sz w:val="18"/>
                <w:szCs w:val="18"/>
              </w:rPr>
            </w:pPr>
            <w:r w:rsidRPr="00042B3A">
              <w:rPr>
                <w:rFonts w:ascii="Arial Narrow" w:hAnsi="Arial Narrow"/>
                <w:b/>
                <w:sz w:val="18"/>
                <w:szCs w:val="18"/>
              </w:rPr>
              <w:t>Cautions</w:t>
            </w:r>
          </w:p>
        </w:tc>
        <w:tc>
          <w:tcPr>
            <w:tcW w:w="4138" w:type="pct"/>
            <w:gridSpan w:val="6"/>
          </w:tcPr>
          <w:p w14:paraId="1D26431E" w14:textId="77777777" w:rsidR="00E31543" w:rsidRPr="00042B3A" w:rsidRDefault="00E31543" w:rsidP="00475FED">
            <w:pPr>
              <w:spacing w:after="120"/>
              <w:rPr>
                <w:rFonts w:ascii="Arial Narrow" w:hAnsi="Arial Narrow"/>
                <w:sz w:val="18"/>
                <w:szCs w:val="18"/>
              </w:rPr>
            </w:pPr>
          </w:p>
        </w:tc>
      </w:tr>
    </w:tbl>
    <w:p w14:paraId="1E700C3B" w14:textId="77777777" w:rsidR="00E31543" w:rsidRDefault="00E31543" w:rsidP="00E31543">
      <w:pPr>
        <w:pStyle w:val="3-BodyText"/>
        <w:numPr>
          <w:ilvl w:val="1"/>
          <w:numId w:val="1"/>
        </w:numPr>
        <w:spacing w:before="120"/>
      </w:pPr>
      <w:r w:rsidRPr="0007388B">
        <w:t>Flow-on changes to</w:t>
      </w:r>
      <w:r>
        <w:t xml:space="preserve"> all</w:t>
      </w:r>
      <w:r w:rsidRPr="0007388B">
        <w:t xml:space="preserve"> PBS </w:t>
      </w:r>
      <w:r>
        <w:t>restrictions</w:t>
      </w:r>
      <w:r w:rsidRPr="0007388B">
        <w:t xml:space="preserve"> </w:t>
      </w:r>
      <w:r>
        <w:t>of</w:t>
      </w:r>
      <w:r w:rsidRPr="0007388B">
        <w:t xml:space="preserve"> somatropin</w:t>
      </w:r>
      <w:r>
        <w:t xml:space="preserve"> indicated for SSABGHD and SSSG:</w:t>
      </w:r>
    </w:p>
    <w:p w14:paraId="4B91E3FD" w14:textId="77777777" w:rsidR="00E31543" w:rsidRDefault="00E31543" w:rsidP="00E31543">
      <w:pPr>
        <w:pStyle w:val="ListParagraph"/>
      </w:pPr>
      <w:r>
        <w:t>Remove population criteria “Patient must be aged 3 years old”.</w:t>
      </w:r>
    </w:p>
    <w:p w14:paraId="36E42F5C" w14:textId="77777777" w:rsidR="00E31543" w:rsidRDefault="00E31543" w:rsidP="00E31543">
      <w:pPr>
        <w:pStyle w:val="ListParagraph"/>
      </w:pPr>
      <w:r>
        <w:t>Replace concept code 23434 with 23443 where applicable.</w:t>
      </w:r>
    </w:p>
    <w:p w14:paraId="6AF9BD14" w14:textId="77777777" w:rsidR="00E31543" w:rsidRPr="006E7A9F" w:rsidRDefault="00E31543" w:rsidP="00E31543">
      <w:pPr>
        <w:pStyle w:val="ListParagraph"/>
      </w:pPr>
      <w:r>
        <w:t>Replace existing somatropin continuing treatment phase restriction with the continuing treatment phase restriction outlined above for the respective indications.</w:t>
      </w:r>
    </w:p>
    <w:p w14:paraId="09D78E3F" w14:textId="77777777" w:rsidR="00E31543" w:rsidRPr="006D4F21" w:rsidRDefault="00E31543" w:rsidP="00E31543">
      <w:pPr>
        <w:pStyle w:val="ListParagraph"/>
      </w:pPr>
      <w:r>
        <w:t>Amend concept code 23443 to read “</w:t>
      </w:r>
      <w:r w:rsidRPr="006D4F21">
        <w:t>the growth hormone</w:t>
      </w:r>
      <w:r>
        <w:t>” instead of “somatropin”.</w:t>
      </w:r>
    </w:p>
    <w:p w14:paraId="2D78C29B" w14:textId="77777777" w:rsidR="00E31543" w:rsidRDefault="00E31543" w:rsidP="00E31543">
      <w:pPr>
        <w:pStyle w:val="ListParagraph"/>
      </w:pPr>
      <w:r>
        <w:t>Add changing drug treatment phase.</w:t>
      </w:r>
    </w:p>
    <w:p w14:paraId="0CCE853C" w14:textId="77777777" w:rsidR="00E31543" w:rsidRPr="002C33B1" w:rsidRDefault="00E31543" w:rsidP="00E31543">
      <w:pPr>
        <w:pStyle w:val="ListParagraph"/>
      </w:pPr>
      <w:r>
        <w:t xml:space="preserve">Add this treatment criterion to all treatment phases: </w:t>
      </w:r>
      <w:r w:rsidRPr="006E7A9F">
        <w:t>[NEW TC1] Patient must be undergoing treatment for the stated indication with only one growth hormone</w:t>
      </w:r>
      <w:r>
        <w:t>.</w:t>
      </w:r>
    </w:p>
    <w:p w14:paraId="69DA08DD" w14:textId="77777777" w:rsidR="00E31543" w:rsidRDefault="00E31543" w:rsidP="00E31543">
      <w:pPr>
        <w:spacing w:before="120"/>
        <w:jc w:val="left"/>
        <w:rPr>
          <w:rFonts w:asciiTheme="minorHAnsi" w:hAnsiTheme="minorHAnsi"/>
          <w:szCs w:val="22"/>
        </w:rPr>
      </w:pPr>
      <w:r w:rsidRPr="00BB6D30">
        <w:rPr>
          <w:rFonts w:asciiTheme="minorHAnsi" w:hAnsiTheme="minorHAnsi"/>
          <w:b/>
          <w:bCs/>
          <w:i/>
          <w:szCs w:val="22"/>
        </w:rPr>
        <w:lastRenderedPageBreak/>
        <w:t>This restriction may be subject to further review. Should there be any changes made to the restriction the sponsor will be informed</w:t>
      </w:r>
      <w:r w:rsidRPr="007F262A">
        <w:rPr>
          <w:rFonts w:asciiTheme="minorHAnsi" w:hAnsiTheme="minorHAnsi"/>
          <w:szCs w:val="22"/>
        </w:rPr>
        <w:t>.</w:t>
      </w:r>
    </w:p>
    <w:p w14:paraId="2CD28989" w14:textId="1D9D1498" w:rsidR="009A3E0D" w:rsidRDefault="009A3E0D" w:rsidP="009A3E0D">
      <w:pPr>
        <w:pStyle w:val="2-SectionHeading"/>
        <w:rPr>
          <w:bCs/>
          <w:lang w:val="en-GB"/>
        </w:rPr>
      </w:pPr>
      <w:r w:rsidRPr="00C07617">
        <w:t>Context for Decision</w:t>
      </w:r>
    </w:p>
    <w:p w14:paraId="23F31288" w14:textId="77777777" w:rsidR="009A3E0D" w:rsidRPr="007129F2" w:rsidRDefault="009A3E0D" w:rsidP="009A3E0D">
      <w:pPr>
        <w:pStyle w:val="3-BodyText"/>
        <w:numPr>
          <w:ilvl w:val="0"/>
          <w:numId w:val="0"/>
        </w:numPr>
        <w:ind w:left="720"/>
        <w:rPr>
          <w:rFonts w:cs="Arial"/>
          <w:bCs/>
          <w:lang w:val="en-GB"/>
        </w:rPr>
      </w:pPr>
      <w:r w:rsidRPr="007129F2">
        <w:rPr>
          <w:rFonts w:cs="Arial"/>
          <w:bCs/>
          <w:lang w:val="en-GB"/>
        </w:rPr>
        <w:t xml:space="preserve">The PBAC helps decide whether and, if so, how medicines should be subsidised through the Pharmaceutical Benefits Scheme (PBS) in Australia. It considers applications regarding the </w:t>
      </w:r>
      <w:r w:rsidRPr="009A3E0D">
        <w:rPr>
          <w:snapToGrid w:val="0"/>
        </w:rPr>
        <w:t>listing</w:t>
      </w:r>
      <w:r w:rsidRPr="007129F2">
        <w:rPr>
          <w:rFonts w:cs="Arial"/>
          <w:bCs/>
          <w:lang w:val="en-GB"/>
        </w:rPr>
        <w:t xml:space="preserve">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F1AA301" w14:textId="5ADB7523" w:rsidR="009A3E0D" w:rsidRPr="00C07617" w:rsidRDefault="009A3E0D" w:rsidP="009A3E0D">
      <w:pPr>
        <w:pStyle w:val="2-SectionHeading"/>
        <w:rPr>
          <w:b w:val="0"/>
        </w:rPr>
      </w:pPr>
      <w:r>
        <w:t>Sponsor’s Comment</w:t>
      </w:r>
    </w:p>
    <w:p w14:paraId="75432AEC" w14:textId="28DD40A5" w:rsidR="009A3E0D" w:rsidRPr="009A3E0D" w:rsidRDefault="00871F51" w:rsidP="004C3D18">
      <w:pPr>
        <w:jc w:val="left"/>
        <w:rPr>
          <w:rFonts w:asciiTheme="minorHAnsi" w:hAnsiTheme="minorHAnsi"/>
          <w:szCs w:val="22"/>
        </w:rPr>
      </w:pPr>
      <w:bookmarkStart w:id="36" w:name="_Hlk104206536"/>
      <w:r w:rsidRPr="00871F51">
        <w:rPr>
          <w:bCs/>
          <w:lang w:val="en-GB"/>
        </w:rPr>
        <w:t xml:space="preserve">Pfizer is pleased that the PBAC has recommended </w:t>
      </w:r>
      <w:proofErr w:type="spellStart"/>
      <w:r w:rsidRPr="00871F51">
        <w:rPr>
          <w:bCs/>
          <w:lang w:val="en-GB"/>
        </w:rPr>
        <w:t>somatrogon</w:t>
      </w:r>
      <w:proofErr w:type="spellEnd"/>
      <w:r w:rsidRPr="00871F51">
        <w:rPr>
          <w:bCs/>
          <w:lang w:val="en-GB"/>
        </w:rPr>
        <w:t xml:space="preserve"> for children with biochemical growth hormone deficiency, and short stature and slow growth. PBS reimbursement of this weekly treatment option will reduce the burden associated with daily injections for Australian children and their caregivers.</w:t>
      </w:r>
      <w:bookmarkEnd w:id="36"/>
    </w:p>
    <w:sectPr w:rsidR="009A3E0D" w:rsidRPr="009A3E0D"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36E24" w14:textId="77777777" w:rsidR="00B82FAA" w:rsidRDefault="00B82FAA" w:rsidP="00124A51">
      <w:r>
        <w:separator/>
      </w:r>
    </w:p>
    <w:p w14:paraId="11E50185" w14:textId="77777777" w:rsidR="00B82FAA" w:rsidRDefault="00B82FAA"/>
  </w:endnote>
  <w:endnote w:type="continuationSeparator" w:id="0">
    <w:p w14:paraId="2C81D764" w14:textId="77777777" w:rsidR="00B82FAA" w:rsidRDefault="00B82FAA" w:rsidP="00124A51">
      <w:r>
        <w:continuationSeparator/>
      </w:r>
    </w:p>
    <w:p w14:paraId="0C30F119" w14:textId="77777777" w:rsidR="00B82FAA" w:rsidRDefault="00B82FAA"/>
  </w:endnote>
  <w:endnote w:type="continuationNotice" w:id="1">
    <w:p w14:paraId="621D3CBE" w14:textId="77777777" w:rsidR="00B82FAA" w:rsidRDefault="00B82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EEBB" w14:textId="77777777" w:rsidR="00703E69" w:rsidRDefault="00703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F3470" w14:textId="37E5C066" w:rsidR="00B82FAA" w:rsidRDefault="00B82FAA">
    <w:pPr>
      <w:pStyle w:val="Footer"/>
    </w:pPr>
  </w:p>
  <w:p w14:paraId="0412EC1D" w14:textId="2FAD80ED" w:rsidR="00B82FAA" w:rsidRPr="004C584D" w:rsidRDefault="00B82FAA" w:rsidP="004C584D">
    <w:pPr>
      <w:tabs>
        <w:tab w:val="left" w:pos="142"/>
        <w:tab w:val="right" w:pos="9027"/>
      </w:tabs>
      <w:jc w:val="center"/>
      <w:rPr>
        <w:b/>
        <w:bCs/>
      </w:rPr>
    </w:pPr>
    <w:r w:rsidRPr="004C584D">
      <w:rPr>
        <w:b/>
        <w:bCs/>
      </w:rPr>
      <w:fldChar w:fldCharType="begin"/>
    </w:r>
    <w:r w:rsidRPr="004C584D">
      <w:rPr>
        <w:b/>
        <w:bCs/>
      </w:rPr>
      <w:instrText xml:space="preserve"> PAGE   \* MERGEFORMAT </w:instrText>
    </w:r>
    <w:r w:rsidRPr="004C584D">
      <w:rPr>
        <w:b/>
        <w:bCs/>
      </w:rPr>
      <w:fldChar w:fldCharType="separate"/>
    </w:r>
    <w:r>
      <w:rPr>
        <w:b/>
        <w:bCs/>
        <w:noProof/>
      </w:rPr>
      <w:t>42</w:t>
    </w:r>
    <w:r w:rsidRPr="004C584D">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4D2B" w14:textId="77777777" w:rsidR="00703E69" w:rsidRDefault="00703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4E803" w14:textId="77777777" w:rsidR="00B82FAA" w:rsidRDefault="00B82FAA" w:rsidP="00124A51">
      <w:r>
        <w:separator/>
      </w:r>
    </w:p>
    <w:p w14:paraId="6AD57E39" w14:textId="77777777" w:rsidR="00B82FAA" w:rsidRDefault="00B82FAA"/>
  </w:footnote>
  <w:footnote w:type="continuationSeparator" w:id="0">
    <w:p w14:paraId="24B4DCF2" w14:textId="77777777" w:rsidR="00B82FAA" w:rsidRDefault="00B82FAA" w:rsidP="00124A51">
      <w:r>
        <w:continuationSeparator/>
      </w:r>
    </w:p>
    <w:p w14:paraId="498D06AE" w14:textId="77777777" w:rsidR="00B82FAA" w:rsidRDefault="00B82FAA"/>
  </w:footnote>
  <w:footnote w:type="continuationNotice" w:id="1">
    <w:p w14:paraId="187CBCE5" w14:textId="77777777" w:rsidR="00B82FAA" w:rsidRDefault="00B82FAA"/>
  </w:footnote>
  <w:footnote w:id="2">
    <w:p w14:paraId="476953DB" w14:textId="02BCAF14" w:rsidR="00B82FAA" w:rsidRDefault="00B82FAA" w:rsidP="6D648542">
      <w:r w:rsidRPr="6D648542">
        <w:rPr>
          <w:rStyle w:val="FootnoteReference"/>
          <w:sz w:val="20"/>
          <w:szCs w:val="20"/>
        </w:rPr>
        <w:footnoteRef/>
      </w:r>
      <w:r w:rsidRPr="6D648542">
        <w:rPr>
          <w:sz w:val="20"/>
          <w:szCs w:val="20"/>
        </w:rPr>
        <w:t xml:space="preserve"> </w:t>
      </w:r>
      <w:r w:rsidRPr="6D648542">
        <w:rPr>
          <w:rFonts w:ascii="Arial" w:eastAsia="Arial" w:hAnsi="Arial"/>
          <w:sz w:val="20"/>
          <w:szCs w:val="20"/>
        </w:rPr>
        <w:t>GH Research Society. Consensus guidelines for the diagnosis and treatment of growth hormone deficiency in childhood and adolescence: summary statement of the GH Research Society. Journal of Clinical Endocrinology and Metabolism, 2000, 85:3990–3.</w:t>
      </w:r>
    </w:p>
    <w:p w14:paraId="248C094F" w14:textId="52210F2C" w:rsidR="00B82FAA" w:rsidRDefault="00B82FAA" w:rsidP="6D6485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CFB2" w14:textId="77777777" w:rsidR="00703E69" w:rsidRDefault="00703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4CE7" w14:textId="36CA27B8" w:rsidR="00B82FAA" w:rsidRDefault="00B82FAA" w:rsidP="00681B56">
    <w:pPr>
      <w:jc w:val="center"/>
      <w:rPr>
        <w:i/>
        <w:iCs/>
      </w:rPr>
    </w:pPr>
    <w:r>
      <w:rPr>
        <w:i/>
        <w:iCs/>
      </w:rPr>
      <w:t>Public Summary Document</w:t>
    </w:r>
    <w:r w:rsidRPr="004C584D">
      <w:rPr>
        <w:i/>
        <w:iCs/>
      </w:rPr>
      <w:t xml:space="preserve"> – March 2022 PBAC Meeting</w:t>
    </w:r>
  </w:p>
  <w:p w14:paraId="04628E9F" w14:textId="77777777" w:rsidR="00B82FAA" w:rsidRPr="00681B56" w:rsidRDefault="00B82FAA" w:rsidP="00681B56">
    <w:pP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A732" w14:textId="77777777" w:rsidR="00703E69" w:rsidRDefault="00703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8E2D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A73F88"/>
    <w:multiLevelType w:val="hybridMultilevel"/>
    <w:tmpl w:val="76A89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DA6102"/>
    <w:multiLevelType w:val="hybridMultilevel"/>
    <w:tmpl w:val="4D60B55C"/>
    <w:lvl w:ilvl="0" w:tplc="A22E5F30">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EF265A3"/>
    <w:multiLevelType w:val="hybridMultilevel"/>
    <w:tmpl w:val="91222DCA"/>
    <w:lvl w:ilvl="0" w:tplc="BAE20F54">
      <w:start w:val="1"/>
      <w:numFmt w:val="lowerRoman"/>
      <w:lvlText w:val="(%1)"/>
      <w:lvlJc w:val="left"/>
      <w:pPr>
        <w:ind w:left="1080" w:hanging="720"/>
      </w:pPr>
      <w:rPr>
        <w:rFonts w:hint="default"/>
      </w:rPr>
    </w:lvl>
    <w:lvl w:ilvl="1" w:tplc="1C74D71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C432C9"/>
    <w:multiLevelType w:val="hybridMultilevel"/>
    <w:tmpl w:val="FCBA2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4D60B55C"/>
    <w:lvl w:ilvl="0" w:tplc="A22E5F30">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7F5B41"/>
    <w:multiLevelType w:val="hybridMultilevel"/>
    <w:tmpl w:val="9F2A8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120969"/>
    <w:multiLevelType w:val="hybridMultilevel"/>
    <w:tmpl w:val="546E83F0"/>
    <w:lvl w:ilvl="0" w:tplc="08090001">
      <w:start w:val="1"/>
      <w:numFmt w:val="bullet"/>
      <w:lvlText w:val=""/>
      <w:lvlJc w:val="left"/>
      <w:pPr>
        <w:ind w:left="1080" w:hanging="360"/>
      </w:pPr>
      <w:rPr>
        <w:rFonts w:ascii="Symbol" w:hAnsi="Symbol" w:hint="default"/>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43C18"/>
    <w:multiLevelType w:val="hybridMultilevel"/>
    <w:tmpl w:val="91222DCA"/>
    <w:lvl w:ilvl="0" w:tplc="BAE20F54">
      <w:start w:val="1"/>
      <w:numFmt w:val="lowerRoman"/>
      <w:lvlText w:val="(%1)"/>
      <w:lvlJc w:val="left"/>
      <w:pPr>
        <w:ind w:left="1080" w:hanging="720"/>
      </w:pPr>
      <w:rPr>
        <w:rFonts w:hint="default"/>
      </w:rPr>
    </w:lvl>
    <w:lvl w:ilvl="1" w:tplc="1C74D71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376C72"/>
    <w:multiLevelType w:val="hybridMultilevel"/>
    <w:tmpl w:val="776CF350"/>
    <w:lvl w:ilvl="0" w:tplc="E90E59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8400DA"/>
    <w:multiLevelType w:val="hybridMultilevel"/>
    <w:tmpl w:val="A042A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E7C124D"/>
    <w:multiLevelType w:val="hybridMultilevel"/>
    <w:tmpl w:val="4D60B55C"/>
    <w:lvl w:ilvl="0" w:tplc="A22E5F30">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A6F77F1"/>
    <w:multiLevelType w:val="hybridMultilevel"/>
    <w:tmpl w:val="4CFE3D4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7830ED"/>
    <w:multiLevelType w:val="hybridMultilevel"/>
    <w:tmpl w:val="64BE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9E2A9C"/>
    <w:multiLevelType w:val="hybridMultilevel"/>
    <w:tmpl w:val="966AF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B51C26"/>
    <w:multiLevelType w:val="hybridMultilevel"/>
    <w:tmpl w:val="4D925E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4B74F68"/>
    <w:multiLevelType w:val="hybridMultilevel"/>
    <w:tmpl w:val="91222DCA"/>
    <w:lvl w:ilvl="0" w:tplc="BAE20F54">
      <w:start w:val="1"/>
      <w:numFmt w:val="lowerRoman"/>
      <w:lvlText w:val="(%1)"/>
      <w:lvlJc w:val="left"/>
      <w:pPr>
        <w:ind w:left="1080" w:hanging="720"/>
      </w:pPr>
      <w:rPr>
        <w:rFonts w:hint="default"/>
      </w:rPr>
    </w:lvl>
    <w:lvl w:ilvl="1" w:tplc="1C74D71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4D033C"/>
    <w:multiLevelType w:val="multilevel"/>
    <w:tmpl w:val="91CE1D1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5"/>
  </w:num>
  <w:num w:numId="3">
    <w:abstractNumId w:val="0"/>
  </w:num>
  <w:num w:numId="4">
    <w:abstractNumId w:val="14"/>
  </w:num>
  <w:num w:numId="5">
    <w:abstractNumId w:val="24"/>
  </w:num>
  <w:num w:numId="6">
    <w:abstractNumId w:val="12"/>
  </w:num>
  <w:num w:numId="7">
    <w:abstractNumId w:val="4"/>
  </w:num>
  <w:num w:numId="8">
    <w:abstractNumId w:val="19"/>
  </w:num>
  <w:num w:numId="9">
    <w:abstractNumId w:val="10"/>
  </w:num>
  <w:num w:numId="10">
    <w:abstractNumId w:val="27"/>
  </w:num>
  <w:num w:numId="11">
    <w:abstractNumId w:val="2"/>
  </w:num>
  <w:num w:numId="12">
    <w:abstractNumId w:val="21"/>
  </w:num>
  <w:num w:numId="13">
    <w:abstractNumId w:val="9"/>
  </w:num>
  <w:num w:numId="14">
    <w:abstractNumId w:val="17"/>
  </w:num>
  <w:num w:numId="15">
    <w:abstractNumId w:val="3"/>
  </w:num>
  <w:num w:numId="16">
    <w:abstractNumId w:val="1"/>
  </w:num>
  <w:num w:numId="17">
    <w:abstractNumId w:val="7"/>
  </w:num>
  <w:num w:numId="18">
    <w:abstractNumId w:val="6"/>
  </w:num>
  <w:num w:numId="1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3"/>
  </w:num>
  <w:num w:numId="24">
    <w:abstractNumId w:val="8"/>
  </w:num>
  <w:num w:numId="25">
    <w:abstractNumId w:val="16"/>
  </w:num>
  <w:num w:numId="26">
    <w:abstractNumId w:val="18"/>
  </w:num>
  <w:num w:numId="27">
    <w:abstractNumId w:val="25"/>
  </w:num>
  <w:num w:numId="28">
    <w:abstractNumId w:val="27"/>
  </w:num>
  <w:num w:numId="29">
    <w:abstractNumId w:val="27"/>
  </w:num>
  <w:num w:numId="30">
    <w:abstractNumId w:val="27"/>
  </w:num>
  <w:num w:numId="31">
    <w:abstractNumId w:val="27"/>
  </w:num>
  <w:num w:numId="32">
    <w:abstractNumId w:val="5"/>
  </w:num>
  <w:num w:numId="33">
    <w:abstractNumId w:val="13"/>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177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AD6"/>
    <w:rsid w:val="0000110B"/>
    <w:rsid w:val="0000138A"/>
    <w:rsid w:val="00003499"/>
    <w:rsid w:val="000039B7"/>
    <w:rsid w:val="000041FA"/>
    <w:rsid w:val="00004E67"/>
    <w:rsid w:val="00006162"/>
    <w:rsid w:val="0000639A"/>
    <w:rsid w:val="0000660B"/>
    <w:rsid w:val="00006EBF"/>
    <w:rsid w:val="00007243"/>
    <w:rsid w:val="000100CA"/>
    <w:rsid w:val="00010329"/>
    <w:rsid w:val="0001045D"/>
    <w:rsid w:val="0001047B"/>
    <w:rsid w:val="0001091F"/>
    <w:rsid w:val="000115E9"/>
    <w:rsid w:val="000120FC"/>
    <w:rsid w:val="00013247"/>
    <w:rsid w:val="00013E04"/>
    <w:rsid w:val="00015886"/>
    <w:rsid w:val="000162EF"/>
    <w:rsid w:val="00016645"/>
    <w:rsid w:val="00017393"/>
    <w:rsid w:val="000207C9"/>
    <w:rsid w:val="0002225F"/>
    <w:rsid w:val="00023763"/>
    <w:rsid w:val="000239D5"/>
    <w:rsid w:val="000241AA"/>
    <w:rsid w:val="0002543E"/>
    <w:rsid w:val="0002651F"/>
    <w:rsid w:val="00026A90"/>
    <w:rsid w:val="0002719E"/>
    <w:rsid w:val="000274B8"/>
    <w:rsid w:val="000303FB"/>
    <w:rsid w:val="00031048"/>
    <w:rsid w:val="0003111E"/>
    <w:rsid w:val="0003120B"/>
    <w:rsid w:val="00032058"/>
    <w:rsid w:val="00032BF3"/>
    <w:rsid w:val="00032FA1"/>
    <w:rsid w:val="0003358F"/>
    <w:rsid w:val="00033863"/>
    <w:rsid w:val="00035062"/>
    <w:rsid w:val="00035DC0"/>
    <w:rsid w:val="00036829"/>
    <w:rsid w:val="0004005E"/>
    <w:rsid w:val="00040895"/>
    <w:rsid w:val="000412A2"/>
    <w:rsid w:val="0004195B"/>
    <w:rsid w:val="00042331"/>
    <w:rsid w:val="00042B3A"/>
    <w:rsid w:val="000435EE"/>
    <w:rsid w:val="00043C37"/>
    <w:rsid w:val="00043C3D"/>
    <w:rsid w:val="000449FA"/>
    <w:rsid w:val="00044B5F"/>
    <w:rsid w:val="00045017"/>
    <w:rsid w:val="00045A2B"/>
    <w:rsid w:val="00045AAE"/>
    <w:rsid w:val="00045C3F"/>
    <w:rsid w:val="0004698F"/>
    <w:rsid w:val="0004699D"/>
    <w:rsid w:val="00046A5A"/>
    <w:rsid w:val="00046E65"/>
    <w:rsid w:val="000470C3"/>
    <w:rsid w:val="00047B6F"/>
    <w:rsid w:val="00047DC2"/>
    <w:rsid w:val="0005106D"/>
    <w:rsid w:val="00051A96"/>
    <w:rsid w:val="0005272C"/>
    <w:rsid w:val="00052C03"/>
    <w:rsid w:val="000539D0"/>
    <w:rsid w:val="00054621"/>
    <w:rsid w:val="000546AB"/>
    <w:rsid w:val="000546D7"/>
    <w:rsid w:val="00056ECF"/>
    <w:rsid w:val="00057008"/>
    <w:rsid w:val="00057B36"/>
    <w:rsid w:val="000604DF"/>
    <w:rsid w:val="000611AE"/>
    <w:rsid w:val="000622B6"/>
    <w:rsid w:val="0006254C"/>
    <w:rsid w:val="00063051"/>
    <w:rsid w:val="00063605"/>
    <w:rsid w:val="000639AE"/>
    <w:rsid w:val="0006408F"/>
    <w:rsid w:val="000647D5"/>
    <w:rsid w:val="00064B4F"/>
    <w:rsid w:val="000650C7"/>
    <w:rsid w:val="000653B5"/>
    <w:rsid w:val="00066360"/>
    <w:rsid w:val="00066522"/>
    <w:rsid w:val="00066AF8"/>
    <w:rsid w:val="00067396"/>
    <w:rsid w:val="000708BA"/>
    <w:rsid w:val="00071248"/>
    <w:rsid w:val="0007148D"/>
    <w:rsid w:val="00071B81"/>
    <w:rsid w:val="000720B9"/>
    <w:rsid w:val="0007264C"/>
    <w:rsid w:val="000726EF"/>
    <w:rsid w:val="00072DB5"/>
    <w:rsid w:val="000733E5"/>
    <w:rsid w:val="000737F7"/>
    <w:rsid w:val="00073D11"/>
    <w:rsid w:val="0007672F"/>
    <w:rsid w:val="00076B54"/>
    <w:rsid w:val="000774F0"/>
    <w:rsid w:val="000777ED"/>
    <w:rsid w:val="00077D0B"/>
    <w:rsid w:val="000800D8"/>
    <w:rsid w:val="00080909"/>
    <w:rsid w:val="00080C3A"/>
    <w:rsid w:val="000812CA"/>
    <w:rsid w:val="0008186B"/>
    <w:rsid w:val="00081C00"/>
    <w:rsid w:val="00081CE4"/>
    <w:rsid w:val="00081E63"/>
    <w:rsid w:val="0008258D"/>
    <w:rsid w:val="00083E99"/>
    <w:rsid w:val="000844C9"/>
    <w:rsid w:val="000847E7"/>
    <w:rsid w:val="00084FA8"/>
    <w:rsid w:val="00085021"/>
    <w:rsid w:val="000852A9"/>
    <w:rsid w:val="000856C5"/>
    <w:rsid w:val="000859F4"/>
    <w:rsid w:val="00085C31"/>
    <w:rsid w:val="00086F87"/>
    <w:rsid w:val="000902D9"/>
    <w:rsid w:val="00090C7E"/>
    <w:rsid w:val="00091103"/>
    <w:rsid w:val="00092600"/>
    <w:rsid w:val="0009262B"/>
    <w:rsid w:val="000931BF"/>
    <w:rsid w:val="00093291"/>
    <w:rsid w:val="00093310"/>
    <w:rsid w:val="0009445C"/>
    <w:rsid w:val="00095200"/>
    <w:rsid w:val="00095CAA"/>
    <w:rsid w:val="00095FE5"/>
    <w:rsid w:val="00096284"/>
    <w:rsid w:val="000966CE"/>
    <w:rsid w:val="000979E2"/>
    <w:rsid w:val="00097EAA"/>
    <w:rsid w:val="000A14DD"/>
    <w:rsid w:val="000A1BC0"/>
    <w:rsid w:val="000A1D13"/>
    <w:rsid w:val="000A269F"/>
    <w:rsid w:val="000A2798"/>
    <w:rsid w:val="000A3A93"/>
    <w:rsid w:val="000A41D0"/>
    <w:rsid w:val="000A5B8D"/>
    <w:rsid w:val="000A6039"/>
    <w:rsid w:val="000A6CD6"/>
    <w:rsid w:val="000A6E97"/>
    <w:rsid w:val="000A7453"/>
    <w:rsid w:val="000A7A92"/>
    <w:rsid w:val="000A7D08"/>
    <w:rsid w:val="000B0121"/>
    <w:rsid w:val="000B02E1"/>
    <w:rsid w:val="000B0670"/>
    <w:rsid w:val="000B0AA0"/>
    <w:rsid w:val="000B0E75"/>
    <w:rsid w:val="000B173F"/>
    <w:rsid w:val="000B295B"/>
    <w:rsid w:val="000B2DCB"/>
    <w:rsid w:val="000B388E"/>
    <w:rsid w:val="000B41EE"/>
    <w:rsid w:val="000B431F"/>
    <w:rsid w:val="000B45BA"/>
    <w:rsid w:val="000B45C2"/>
    <w:rsid w:val="000B4A13"/>
    <w:rsid w:val="000B4F5A"/>
    <w:rsid w:val="000B5A3B"/>
    <w:rsid w:val="000B5C28"/>
    <w:rsid w:val="000B5CE0"/>
    <w:rsid w:val="000B6370"/>
    <w:rsid w:val="000B67BA"/>
    <w:rsid w:val="000B6CAC"/>
    <w:rsid w:val="000B7612"/>
    <w:rsid w:val="000B78AE"/>
    <w:rsid w:val="000B7954"/>
    <w:rsid w:val="000B7C1F"/>
    <w:rsid w:val="000C04C5"/>
    <w:rsid w:val="000C15AB"/>
    <w:rsid w:val="000C227A"/>
    <w:rsid w:val="000C2CAD"/>
    <w:rsid w:val="000C3C6C"/>
    <w:rsid w:val="000C3DF9"/>
    <w:rsid w:val="000C4EB6"/>
    <w:rsid w:val="000C6713"/>
    <w:rsid w:val="000C671C"/>
    <w:rsid w:val="000C6F56"/>
    <w:rsid w:val="000C7FD2"/>
    <w:rsid w:val="000D006D"/>
    <w:rsid w:val="000D0F1C"/>
    <w:rsid w:val="000D180E"/>
    <w:rsid w:val="000D1BFC"/>
    <w:rsid w:val="000D1D5D"/>
    <w:rsid w:val="000D281A"/>
    <w:rsid w:val="000D2848"/>
    <w:rsid w:val="000D30E8"/>
    <w:rsid w:val="000D326A"/>
    <w:rsid w:val="000D38EF"/>
    <w:rsid w:val="000D3BDC"/>
    <w:rsid w:val="000D3BF0"/>
    <w:rsid w:val="000D4CB8"/>
    <w:rsid w:val="000D4DBD"/>
    <w:rsid w:val="000D5151"/>
    <w:rsid w:val="000D51FB"/>
    <w:rsid w:val="000D6A4B"/>
    <w:rsid w:val="000D7027"/>
    <w:rsid w:val="000D752D"/>
    <w:rsid w:val="000D771C"/>
    <w:rsid w:val="000D7977"/>
    <w:rsid w:val="000D7C6F"/>
    <w:rsid w:val="000E0640"/>
    <w:rsid w:val="000E0DDE"/>
    <w:rsid w:val="000E135D"/>
    <w:rsid w:val="000E1EC3"/>
    <w:rsid w:val="000E1F01"/>
    <w:rsid w:val="000E2184"/>
    <w:rsid w:val="000E24F6"/>
    <w:rsid w:val="000E376F"/>
    <w:rsid w:val="000E463D"/>
    <w:rsid w:val="000E494D"/>
    <w:rsid w:val="000E49E4"/>
    <w:rsid w:val="000E4C3B"/>
    <w:rsid w:val="000E556A"/>
    <w:rsid w:val="000E654D"/>
    <w:rsid w:val="000E67DE"/>
    <w:rsid w:val="000E72E2"/>
    <w:rsid w:val="000F00BA"/>
    <w:rsid w:val="000F0B8D"/>
    <w:rsid w:val="000F14D7"/>
    <w:rsid w:val="000F211E"/>
    <w:rsid w:val="000F316A"/>
    <w:rsid w:val="000F33AB"/>
    <w:rsid w:val="000F37EC"/>
    <w:rsid w:val="000F3C74"/>
    <w:rsid w:val="000F3DC0"/>
    <w:rsid w:val="000F4204"/>
    <w:rsid w:val="000F4264"/>
    <w:rsid w:val="000F4BB8"/>
    <w:rsid w:val="000F4FA9"/>
    <w:rsid w:val="000F536C"/>
    <w:rsid w:val="000F53FB"/>
    <w:rsid w:val="000F5AAD"/>
    <w:rsid w:val="000F7127"/>
    <w:rsid w:val="000F7833"/>
    <w:rsid w:val="000F79EC"/>
    <w:rsid w:val="000F7B54"/>
    <w:rsid w:val="0010056F"/>
    <w:rsid w:val="00100E27"/>
    <w:rsid w:val="00100F8A"/>
    <w:rsid w:val="00102C32"/>
    <w:rsid w:val="00102DBC"/>
    <w:rsid w:val="00103218"/>
    <w:rsid w:val="0010334D"/>
    <w:rsid w:val="0010386B"/>
    <w:rsid w:val="00103E58"/>
    <w:rsid w:val="001041F2"/>
    <w:rsid w:val="0010452E"/>
    <w:rsid w:val="0010494B"/>
    <w:rsid w:val="001051D6"/>
    <w:rsid w:val="00105AE2"/>
    <w:rsid w:val="001060C6"/>
    <w:rsid w:val="001061A1"/>
    <w:rsid w:val="00106B80"/>
    <w:rsid w:val="0011032E"/>
    <w:rsid w:val="00110ACA"/>
    <w:rsid w:val="001133EF"/>
    <w:rsid w:val="0011348B"/>
    <w:rsid w:val="00113AF3"/>
    <w:rsid w:val="001155F5"/>
    <w:rsid w:val="00115982"/>
    <w:rsid w:val="00116C53"/>
    <w:rsid w:val="0011700C"/>
    <w:rsid w:val="00117450"/>
    <w:rsid w:val="001175A5"/>
    <w:rsid w:val="00117A5F"/>
    <w:rsid w:val="00117C76"/>
    <w:rsid w:val="001205A8"/>
    <w:rsid w:val="00121014"/>
    <w:rsid w:val="001214EA"/>
    <w:rsid w:val="00121799"/>
    <w:rsid w:val="001217BC"/>
    <w:rsid w:val="0012188F"/>
    <w:rsid w:val="00122194"/>
    <w:rsid w:val="001222FC"/>
    <w:rsid w:val="00122446"/>
    <w:rsid w:val="00123161"/>
    <w:rsid w:val="00123558"/>
    <w:rsid w:val="001235DF"/>
    <w:rsid w:val="00123902"/>
    <w:rsid w:val="001240D8"/>
    <w:rsid w:val="00124A51"/>
    <w:rsid w:val="00124CC3"/>
    <w:rsid w:val="00126130"/>
    <w:rsid w:val="0012619A"/>
    <w:rsid w:val="00126621"/>
    <w:rsid w:val="00126B1D"/>
    <w:rsid w:val="00126DC9"/>
    <w:rsid w:val="001301E9"/>
    <w:rsid w:val="00131D82"/>
    <w:rsid w:val="00131DB0"/>
    <w:rsid w:val="0013243C"/>
    <w:rsid w:val="00132956"/>
    <w:rsid w:val="00132B22"/>
    <w:rsid w:val="001335D1"/>
    <w:rsid w:val="0013376A"/>
    <w:rsid w:val="00133887"/>
    <w:rsid w:val="00133D36"/>
    <w:rsid w:val="00133EA3"/>
    <w:rsid w:val="0013447E"/>
    <w:rsid w:val="00134761"/>
    <w:rsid w:val="00135C61"/>
    <w:rsid w:val="001366B6"/>
    <w:rsid w:val="00136F1B"/>
    <w:rsid w:val="0013723B"/>
    <w:rsid w:val="00137645"/>
    <w:rsid w:val="001377CC"/>
    <w:rsid w:val="00137BC8"/>
    <w:rsid w:val="0014015A"/>
    <w:rsid w:val="00140DEB"/>
    <w:rsid w:val="00140E99"/>
    <w:rsid w:val="00141278"/>
    <w:rsid w:val="001425E7"/>
    <w:rsid w:val="001436A8"/>
    <w:rsid w:val="00143826"/>
    <w:rsid w:val="00143D45"/>
    <w:rsid w:val="00143F67"/>
    <w:rsid w:val="00145540"/>
    <w:rsid w:val="001456B0"/>
    <w:rsid w:val="001467B2"/>
    <w:rsid w:val="001474E0"/>
    <w:rsid w:val="00147D2A"/>
    <w:rsid w:val="00151DBC"/>
    <w:rsid w:val="00152807"/>
    <w:rsid w:val="00154147"/>
    <w:rsid w:val="0015423F"/>
    <w:rsid w:val="00154418"/>
    <w:rsid w:val="00154B7D"/>
    <w:rsid w:val="00154CCD"/>
    <w:rsid w:val="001554B3"/>
    <w:rsid w:val="00155FF4"/>
    <w:rsid w:val="0015689B"/>
    <w:rsid w:val="00156F8F"/>
    <w:rsid w:val="00157130"/>
    <w:rsid w:val="0015769F"/>
    <w:rsid w:val="001576B1"/>
    <w:rsid w:val="00157EF8"/>
    <w:rsid w:val="00160341"/>
    <w:rsid w:val="0016047B"/>
    <w:rsid w:val="00160A4C"/>
    <w:rsid w:val="001613D6"/>
    <w:rsid w:val="00161FC2"/>
    <w:rsid w:val="00162096"/>
    <w:rsid w:val="00162584"/>
    <w:rsid w:val="00162913"/>
    <w:rsid w:val="00163E3D"/>
    <w:rsid w:val="00163EFF"/>
    <w:rsid w:val="00163F66"/>
    <w:rsid w:val="0016420A"/>
    <w:rsid w:val="0016491F"/>
    <w:rsid w:val="001656CC"/>
    <w:rsid w:val="001658CA"/>
    <w:rsid w:val="001658DE"/>
    <w:rsid w:val="00165A6B"/>
    <w:rsid w:val="001660E8"/>
    <w:rsid w:val="001661FB"/>
    <w:rsid w:val="00166759"/>
    <w:rsid w:val="001671A0"/>
    <w:rsid w:val="0016767F"/>
    <w:rsid w:val="00167A40"/>
    <w:rsid w:val="001712BC"/>
    <w:rsid w:val="00171CDD"/>
    <w:rsid w:val="00171F1A"/>
    <w:rsid w:val="001724D7"/>
    <w:rsid w:val="00172868"/>
    <w:rsid w:val="001732BD"/>
    <w:rsid w:val="00173565"/>
    <w:rsid w:val="00173B07"/>
    <w:rsid w:val="001748DF"/>
    <w:rsid w:val="00174F0F"/>
    <w:rsid w:val="001751FA"/>
    <w:rsid w:val="0017633F"/>
    <w:rsid w:val="00177249"/>
    <w:rsid w:val="00177A9E"/>
    <w:rsid w:val="001803FD"/>
    <w:rsid w:val="00181D9C"/>
    <w:rsid w:val="001820E4"/>
    <w:rsid w:val="00182A16"/>
    <w:rsid w:val="00183741"/>
    <w:rsid w:val="00183C22"/>
    <w:rsid w:val="0018470D"/>
    <w:rsid w:val="001848EE"/>
    <w:rsid w:val="00184B0E"/>
    <w:rsid w:val="00184CEB"/>
    <w:rsid w:val="00185F85"/>
    <w:rsid w:val="00186A91"/>
    <w:rsid w:val="00186E31"/>
    <w:rsid w:val="00187208"/>
    <w:rsid w:val="0018752F"/>
    <w:rsid w:val="00187A84"/>
    <w:rsid w:val="00191743"/>
    <w:rsid w:val="001917DA"/>
    <w:rsid w:val="001920BD"/>
    <w:rsid w:val="00193838"/>
    <w:rsid w:val="00194AD8"/>
    <w:rsid w:val="00194C8E"/>
    <w:rsid w:val="001950BB"/>
    <w:rsid w:val="00195222"/>
    <w:rsid w:val="00195264"/>
    <w:rsid w:val="00195592"/>
    <w:rsid w:val="001959FB"/>
    <w:rsid w:val="00195CC6"/>
    <w:rsid w:val="001963D5"/>
    <w:rsid w:val="0019708C"/>
    <w:rsid w:val="001975D8"/>
    <w:rsid w:val="00197C64"/>
    <w:rsid w:val="001A0698"/>
    <w:rsid w:val="001A178E"/>
    <w:rsid w:val="001A2BF8"/>
    <w:rsid w:val="001A2C5D"/>
    <w:rsid w:val="001A3227"/>
    <w:rsid w:val="001A4344"/>
    <w:rsid w:val="001A43FA"/>
    <w:rsid w:val="001A47C5"/>
    <w:rsid w:val="001A59FB"/>
    <w:rsid w:val="001A5CDE"/>
    <w:rsid w:val="001A5E9E"/>
    <w:rsid w:val="001A6354"/>
    <w:rsid w:val="001A6366"/>
    <w:rsid w:val="001A6487"/>
    <w:rsid w:val="001A6852"/>
    <w:rsid w:val="001A7AE8"/>
    <w:rsid w:val="001B0F31"/>
    <w:rsid w:val="001B1302"/>
    <w:rsid w:val="001B1D93"/>
    <w:rsid w:val="001B204E"/>
    <w:rsid w:val="001B20EC"/>
    <w:rsid w:val="001B2372"/>
    <w:rsid w:val="001B327B"/>
    <w:rsid w:val="001B3443"/>
    <w:rsid w:val="001B346A"/>
    <w:rsid w:val="001B34A8"/>
    <w:rsid w:val="001B38B5"/>
    <w:rsid w:val="001B3F71"/>
    <w:rsid w:val="001B4D20"/>
    <w:rsid w:val="001B54D2"/>
    <w:rsid w:val="001B558A"/>
    <w:rsid w:val="001B6B39"/>
    <w:rsid w:val="001B6C70"/>
    <w:rsid w:val="001B6CC2"/>
    <w:rsid w:val="001B6E21"/>
    <w:rsid w:val="001C05D6"/>
    <w:rsid w:val="001C0681"/>
    <w:rsid w:val="001C08E8"/>
    <w:rsid w:val="001C0AE5"/>
    <w:rsid w:val="001C2A66"/>
    <w:rsid w:val="001C2A9B"/>
    <w:rsid w:val="001C4299"/>
    <w:rsid w:val="001C4874"/>
    <w:rsid w:val="001C5D81"/>
    <w:rsid w:val="001C5F94"/>
    <w:rsid w:val="001C6736"/>
    <w:rsid w:val="001C6CBA"/>
    <w:rsid w:val="001C6E66"/>
    <w:rsid w:val="001C7495"/>
    <w:rsid w:val="001D1100"/>
    <w:rsid w:val="001D1391"/>
    <w:rsid w:val="001D13D7"/>
    <w:rsid w:val="001D23E4"/>
    <w:rsid w:val="001D25D7"/>
    <w:rsid w:val="001D2722"/>
    <w:rsid w:val="001D3123"/>
    <w:rsid w:val="001D3944"/>
    <w:rsid w:val="001D3974"/>
    <w:rsid w:val="001D3B81"/>
    <w:rsid w:val="001D50B2"/>
    <w:rsid w:val="001D53A8"/>
    <w:rsid w:val="001D5AEB"/>
    <w:rsid w:val="001D7645"/>
    <w:rsid w:val="001E04FB"/>
    <w:rsid w:val="001E1E86"/>
    <w:rsid w:val="001E238E"/>
    <w:rsid w:val="001E2483"/>
    <w:rsid w:val="001E2B1E"/>
    <w:rsid w:val="001E2CFF"/>
    <w:rsid w:val="001E2F24"/>
    <w:rsid w:val="001E30D4"/>
    <w:rsid w:val="001E31FC"/>
    <w:rsid w:val="001E34DF"/>
    <w:rsid w:val="001E3876"/>
    <w:rsid w:val="001E3ADA"/>
    <w:rsid w:val="001E52EB"/>
    <w:rsid w:val="001E5D65"/>
    <w:rsid w:val="001E5F96"/>
    <w:rsid w:val="001E61D2"/>
    <w:rsid w:val="001E62C4"/>
    <w:rsid w:val="001E6417"/>
    <w:rsid w:val="001E68E9"/>
    <w:rsid w:val="001E740C"/>
    <w:rsid w:val="001E75B4"/>
    <w:rsid w:val="001E7D26"/>
    <w:rsid w:val="001E7F4A"/>
    <w:rsid w:val="001F07BE"/>
    <w:rsid w:val="001F0951"/>
    <w:rsid w:val="001F1235"/>
    <w:rsid w:val="001F1CAE"/>
    <w:rsid w:val="001F1CB3"/>
    <w:rsid w:val="001F2F82"/>
    <w:rsid w:val="001F31A4"/>
    <w:rsid w:val="001F32C7"/>
    <w:rsid w:val="001F38B5"/>
    <w:rsid w:val="001F3BD3"/>
    <w:rsid w:val="001F4081"/>
    <w:rsid w:val="001F540F"/>
    <w:rsid w:val="001F55E2"/>
    <w:rsid w:val="001F6E6F"/>
    <w:rsid w:val="001F7180"/>
    <w:rsid w:val="001F7361"/>
    <w:rsid w:val="00200C1B"/>
    <w:rsid w:val="002011B0"/>
    <w:rsid w:val="0020157B"/>
    <w:rsid w:val="00201B8E"/>
    <w:rsid w:val="00201FE7"/>
    <w:rsid w:val="00203181"/>
    <w:rsid w:val="00203694"/>
    <w:rsid w:val="00203783"/>
    <w:rsid w:val="0020385F"/>
    <w:rsid w:val="00203B96"/>
    <w:rsid w:val="00203E89"/>
    <w:rsid w:val="00203FE8"/>
    <w:rsid w:val="0020449E"/>
    <w:rsid w:val="002068A0"/>
    <w:rsid w:val="00207021"/>
    <w:rsid w:val="0020732F"/>
    <w:rsid w:val="00207D00"/>
    <w:rsid w:val="00207F51"/>
    <w:rsid w:val="0021022D"/>
    <w:rsid w:val="00210491"/>
    <w:rsid w:val="002105C1"/>
    <w:rsid w:val="002107BC"/>
    <w:rsid w:val="00210F75"/>
    <w:rsid w:val="00211DD3"/>
    <w:rsid w:val="002127E5"/>
    <w:rsid w:val="00213494"/>
    <w:rsid w:val="00213C63"/>
    <w:rsid w:val="00213EF5"/>
    <w:rsid w:val="00214882"/>
    <w:rsid w:val="00214A18"/>
    <w:rsid w:val="00216593"/>
    <w:rsid w:val="00216BF5"/>
    <w:rsid w:val="00216C05"/>
    <w:rsid w:val="0021776B"/>
    <w:rsid w:val="00217F42"/>
    <w:rsid w:val="00217F4C"/>
    <w:rsid w:val="00220841"/>
    <w:rsid w:val="00220ABD"/>
    <w:rsid w:val="00221798"/>
    <w:rsid w:val="00222081"/>
    <w:rsid w:val="00222358"/>
    <w:rsid w:val="00223B49"/>
    <w:rsid w:val="00223CF1"/>
    <w:rsid w:val="00223D5A"/>
    <w:rsid w:val="00224DD4"/>
    <w:rsid w:val="00224EED"/>
    <w:rsid w:val="00225426"/>
    <w:rsid w:val="002278A0"/>
    <w:rsid w:val="002309CC"/>
    <w:rsid w:val="0023209F"/>
    <w:rsid w:val="002325C1"/>
    <w:rsid w:val="00233C01"/>
    <w:rsid w:val="0023413C"/>
    <w:rsid w:val="00234417"/>
    <w:rsid w:val="0023444E"/>
    <w:rsid w:val="002346F0"/>
    <w:rsid w:val="0023478F"/>
    <w:rsid w:val="0023566F"/>
    <w:rsid w:val="00235FBA"/>
    <w:rsid w:val="0023629D"/>
    <w:rsid w:val="00237255"/>
    <w:rsid w:val="00240244"/>
    <w:rsid w:val="00241451"/>
    <w:rsid w:val="002424AF"/>
    <w:rsid w:val="002426E8"/>
    <w:rsid w:val="002439DC"/>
    <w:rsid w:val="002441D2"/>
    <w:rsid w:val="00244DC8"/>
    <w:rsid w:val="002452DE"/>
    <w:rsid w:val="002455F2"/>
    <w:rsid w:val="002458BA"/>
    <w:rsid w:val="00245C15"/>
    <w:rsid w:val="00245CE9"/>
    <w:rsid w:val="0024636C"/>
    <w:rsid w:val="002467B5"/>
    <w:rsid w:val="00246CCD"/>
    <w:rsid w:val="00246E55"/>
    <w:rsid w:val="002471C3"/>
    <w:rsid w:val="002471C6"/>
    <w:rsid w:val="002473D1"/>
    <w:rsid w:val="00247925"/>
    <w:rsid w:val="00247964"/>
    <w:rsid w:val="0025010E"/>
    <w:rsid w:val="00251006"/>
    <w:rsid w:val="0025116D"/>
    <w:rsid w:val="00251B34"/>
    <w:rsid w:val="002524D5"/>
    <w:rsid w:val="0025350E"/>
    <w:rsid w:val="00253538"/>
    <w:rsid w:val="0025363B"/>
    <w:rsid w:val="00253B1D"/>
    <w:rsid w:val="00254185"/>
    <w:rsid w:val="002545A4"/>
    <w:rsid w:val="002549EB"/>
    <w:rsid w:val="00254DCF"/>
    <w:rsid w:val="00254F80"/>
    <w:rsid w:val="0025534B"/>
    <w:rsid w:val="00255BB7"/>
    <w:rsid w:val="00255E6C"/>
    <w:rsid w:val="00256CF2"/>
    <w:rsid w:val="00257541"/>
    <w:rsid w:val="0025793F"/>
    <w:rsid w:val="00257A39"/>
    <w:rsid w:val="00257AC4"/>
    <w:rsid w:val="002601E5"/>
    <w:rsid w:val="002606B5"/>
    <w:rsid w:val="00261EEF"/>
    <w:rsid w:val="0026238F"/>
    <w:rsid w:val="00262954"/>
    <w:rsid w:val="00262A1A"/>
    <w:rsid w:val="00262A87"/>
    <w:rsid w:val="00264D26"/>
    <w:rsid w:val="00264D5F"/>
    <w:rsid w:val="00265E02"/>
    <w:rsid w:val="002664E1"/>
    <w:rsid w:val="0026651C"/>
    <w:rsid w:val="00266539"/>
    <w:rsid w:val="002671D1"/>
    <w:rsid w:val="00267642"/>
    <w:rsid w:val="00267ADD"/>
    <w:rsid w:val="00267AEA"/>
    <w:rsid w:val="002700E6"/>
    <w:rsid w:val="002707B4"/>
    <w:rsid w:val="0027148E"/>
    <w:rsid w:val="00272712"/>
    <w:rsid w:val="0027294B"/>
    <w:rsid w:val="00272D29"/>
    <w:rsid w:val="00272F26"/>
    <w:rsid w:val="00273EB4"/>
    <w:rsid w:val="00274682"/>
    <w:rsid w:val="002754B7"/>
    <w:rsid w:val="00275C5A"/>
    <w:rsid w:val="00275D7C"/>
    <w:rsid w:val="00277C7F"/>
    <w:rsid w:val="00277C94"/>
    <w:rsid w:val="00277E4E"/>
    <w:rsid w:val="00281014"/>
    <w:rsid w:val="002848BA"/>
    <w:rsid w:val="00285539"/>
    <w:rsid w:val="00285586"/>
    <w:rsid w:val="0028650B"/>
    <w:rsid w:val="0028665D"/>
    <w:rsid w:val="00286C79"/>
    <w:rsid w:val="00290060"/>
    <w:rsid w:val="00290EB9"/>
    <w:rsid w:val="00291B95"/>
    <w:rsid w:val="00292649"/>
    <w:rsid w:val="00294C5C"/>
    <w:rsid w:val="00295B58"/>
    <w:rsid w:val="00297362"/>
    <w:rsid w:val="002974AB"/>
    <w:rsid w:val="002A0DEC"/>
    <w:rsid w:val="002A105F"/>
    <w:rsid w:val="002A12B3"/>
    <w:rsid w:val="002A14AB"/>
    <w:rsid w:val="002A1A15"/>
    <w:rsid w:val="002A1D28"/>
    <w:rsid w:val="002A22CE"/>
    <w:rsid w:val="002A2404"/>
    <w:rsid w:val="002A2ADE"/>
    <w:rsid w:val="002A2D9F"/>
    <w:rsid w:val="002A2F50"/>
    <w:rsid w:val="002A40AE"/>
    <w:rsid w:val="002A432D"/>
    <w:rsid w:val="002A452B"/>
    <w:rsid w:val="002A4710"/>
    <w:rsid w:val="002A474E"/>
    <w:rsid w:val="002A4E21"/>
    <w:rsid w:val="002A5633"/>
    <w:rsid w:val="002A579A"/>
    <w:rsid w:val="002A5E6E"/>
    <w:rsid w:val="002A5E93"/>
    <w:rsid w:val="002A727D"/>
    <w:rsid w:val="002A7343"/>
    <w:rsid w:val="002B05A1"/>
    <w:rsid w:val="002B063A"/>
    <w:rsid w:val="002B09A4"/>
    <w:rsid w:val="002B1C1F"/>
    <w:rsid w:val="002B1E26"/>
    <w:rsid w:val="002B2D40"/>
    <w:rsid w:val="002B432F"/>
    <w:rsid w:val="002B5683"/>
    <w:rsid w:val="002B605F"/>
    <w:rsid w:val="002B62B3"/>
    <w:rsid w:val="002B6754"/>
    <w:rsid w:val="002B6949"/>
    <w:rsid w:val="002B6CCE"/>
    <w:rsid w:val="002B7304"/>
    <w:rsid w:val="002B74AF"/>
    <w:rsid w:val="002C08BA"/>
    <w:rsid w:val="002C137E"/>
    <w:rsid w:val="002C2510"/>
    <w:rsid w:val="002C2775"/>
    <w:rsid w:val="002C27C1"/>
    <w:rsid w:val="002C283E"/>
    <w:rsid w:val="002C2C07"/>
    <w:rsid w:val="002C36E2"/>
    <w:rsid w:val="002C49CA"/>
    <w:rsid w:val="002C5099"/>
    <w:rsid w:val="002C5662"/>
    <w:rsid w:val="002C5889"/>
    <w:rsid w:val="002C5EB6"/>
    <w:rsid w:val="002C6EB6"/>
    <w:rsid w:val="002C6F64"/>
    <w:rsid w:val="002C705D"/>
    <w:rsid w:val="002C70EB"/>
    <w:rsid w:val="002C71B2"/>
    <w:rsid w:val="002C71CE"/>
    <w:rsid w:val="002C7C6D"/>
    <w:rsid w:val="002C7D41"/>
    <w:rsid w:val="002D0353"/>
    <w:rsid w:val="002D08F8"/>
    <w:rsid w:val="002D1EDB"/>
    <w:rsid w:val="002D31AC"/>
    <w:rsid w:val="002D386C"/>
    <w:rsid w:val="002D3CE9"/>
    <w:rsid w:val="002D3DB2"/>
    <w:rsid w:val="002D3ED2"/>
    <w:rsid w:val="002D518C"/>
    <w:rsid w:val="002D51BE"/>
    <w:rsid w:val="002D523B"/>
    <w:rsid w:val="002D577C"/>
    <w:rsid w:val="002D5BA0"/>
    <w:rsid w:val="002D7731"/>
    <w:rsid w:val="002E072D"/>
    <w:rsid w:val="002E0F91"/>
    <w:rsid w:val="002E1071"/>
    <w:rsid w:val="002E15B9"/>
    <w:rsid w:val="002E2158"/>
    <w:rsid w:val="002E2717"/>
    <w:rsid w:val="002E2E30"/>
    <w:rsid w:val="002E368E"/>
    <w:rsid w:val="002E4190"/>
    <w:rsid w:val="002E43F1"/>
    <w:rsid w:val="002E4641"/>
    <w:rsid w:val="002E4F02"/>
    <w:rsid w:val="002E5794"/>
    <w:rsid w:val="002E5D6F"/>
    <w:rsid w:val="002E6BAE"/>
    <w:rsid w:val="002E770B"/>
    <w:rsid w:val="002E7722"/>
    <w:rsid w:val="002F07BA"/>
    <w:rsid w:val="002F0CC3"/>
    <w:rsid w:val="002F0DA9"/>
    <w:rsid w:val="002F1014"/>
    <w:rsid w:val="002F191B"/>
    <w:rsid w:val="002F3110"/>
    <w:rsid w:val="002F3B16"/>
    <w:rsid w:val="002F424A"/>
    <w:rsid w:val="002F643C"/>
    <w:rsid w:val="002F71C0"/>
    <w:rsid w:val="002F74F1"/>
    <w:rsid w:val="0030017D"/>
    <w:rsid w:val="003001A7"/>
    <w:rsid w:val="003005E9"/>
    <w:rsid w:val="00301017"/>
    <w:rsid w:val="00301377"/>
    <w:rsid w:val="0030155F"/>
    <w:rsid w:val="003040F9"/>
    <w:rsid w:val="003045C6"/>
    <w:rsid w:val="0030587B"/>
    <w:rsid w:val="00305C84"/>
    <w:rsid w:val="00306D98"/>
    <w:rsid w:val="0030740F"/>
    <w:rsid w:val="0030786C"/>
    <w:rsid w:val="00307CC0"/>
    <w:rsid w:val="0031031A"/>
    <w:rsid w:val="00310981"/>
    <w:rsid w:val="003124D9"/>
    <w:rsid w:val="00312594"/>
    <w:rsid w:val="00312636"/>
    <w:rsid w:val="003126B7"/>
    <w:rsid w:val="003127DF"/>
    <w:rsid w:val="00312AC6"/>
    <w:rsid w:val="0031414C"/>
    <w:rsid w:val="003150D2"/>
    <w:rsid w:val="00315498"/>
    <w:rsid w:val="00315533"/>
    <w:rsid w:val="00316474"/>
    <w:rsid w:val="00316F8B"/>
    <w:rsid w:val="003173F0"/>
    <w:rsid w:val="00320C31"/>
    <w:rsid w:val="003215A0"/>
    <w:rsid w:val="00321A00"/>
    <w:rsid w:val="00322107"/>
    <w:rsid w:val="00322355"/>
    <w:rsid w:val="00322693"/>
    <w:rsid w:val="00322846"/>
    <w:rsid w:val="00322D22"/>
    <w:rsid w:val="00323BF9"/>
    <w:rsid w:val="00323F76"/>
    <w:rsid w:val="003241ED"/>
    <w:rsid w:val="00325023"/>
    <w:rsid w:val="00325B6B"/>
    <w:rsid w:val="00325C3C"/>
    <w:rsid w:val="0032667D"/>
    <w:rsid w:val="00326DA7"/>
    <w:rsid w:val="003270E4"/>
    <w:rsid w:val="00327779"/>
    <w:rsid w:val="00327D7F"/>
    <w:rsid w:val="003306E2"/>
    <w:rsid w:val="00330922"/>
    <w:rsid w:val="00330DAA"/>
    <w:rsid w:val="00330F5C"/>
    <w:rsid w:val="00331131"/>
    <w:rsid w:val="003315E9"/>
    <w:rsid w:val="00332038"/>
    <w:rsid w:val="003328E5"/>
    <w:rsid w:val="00333162"/>
    <w:rsid w:val="00333D8E"/>
    <w:rsid w:val="00333E16"/>
    <w:rsid w:val="003344E7"/>
    <w:rsid w:val="003360C5"/>
    <w:rsid w:val="0033626C"/>
    <w:rsid w:val="003366C9"/>
    <w:rsid w:val="00336C89"/>
    <w:rsid w:val="00336FA7"/>
    <w:rsid w:val="003371B0"/>
    <w:rsid w:val="00340129"/>
    <w:rsid w:val="00340DF1"/>
    <w:rsid w:val="00340E7B"/>
    <w:rsid w:val="00341967"/>
    <w:rsid w:val="00341DFB"/>
    <w:rsid w:val="00342390"/>
    <w:rsid w:val="00343A49"/>
    <w:rsid w:val="00343E63"/>
    <w:rsid w:val="00343E9B"/>
    <w:rsid w:val="00344609"/>
    <w:rsid w:val="0034508A"/>
    <w:rsid w:val="0034522E"/>
    <w:rsid w:val="0034686D"/>
    <w:rsid w:val="00347406"/>
    <w:rsid w:val="00347A8D"/>
    <w:rsid w:val="003500D1"/>
    <w:rsid w:val="0035113F"/>
    <w:rsid w:val="00351617"/>
    <w:rsid w:val="003517F9"/>
    <w:rsid w:val="0035191A"/>
    <w:rsid w:val="00351BA9"/>
    <w:rsid w:val="00352CA2"/>
    <w:rsid w:val="00353322"/>
    <w:rsid w:val="00353459"/>
    <w:rsid w:val="00353FC5"/>
    <w:rsid w:val="0035498D"/>
    <w:rsid w:val="00354F64"/>
    <w:rsid w:val="003555FC"/>
    <w:rsid w:val="0035579B"/>
    <w:rsid w:val="003561C3"/>
    <w:rsid w:val="0035620E"/>
    <w:rsid w:val="003575B6"/>
    <w:rsid w:val="0035785E"/>
    <w:rsid w:val="00360345"/>
    <w:rsid w:val="00360C8D"/>
    <w:rsid w:val="00360E9B"/>
    <w:rsid w:val="00361A05"/>
    <w:rsid w:val="003624C4"/>
    <w:rsid w:val="00362AA2"/>
    <w:rsid w:val="00362F0C"/>
    <w:rsid w:val="00363321"/>
    <w:rsid w:val="00363B00"/>
    <w:rsid w:val="00363BFF"/>
    <w:rsid w:val="003654AC"/>
    <w:rsid w:val="00365A87"/>
    <w:rsid w:val="00365AB5"/>
    <w:rsid w:val="00365B6B"/>
    <w:rsid w:val="00366699"/>
    <w:rsid w:val="00366A92"/>
    <w:rsid w:val="00366D78"/>
    <w:rsid w:val="00367B7A"/>
    <w:rsid w:val="0037053E"/>
    <w:rsid w:val="00370D4F"/>
    <w:rsid w:val="003710CF"/>
    <w:rsid w:val="00372535"/>
    <w:rsid w:val="00372E2C"/>
    <w:rsid w:val="00372F25"/>
    <w:rsid w:val="00373457"/>
    <w:rsid w:val="0037358A"/>
    <w:rsid w:val="00373DE1"/>
    <w:rsid w:val="003750F6"/>
    <w:rsid w:val="00375943"/>
    <w:rsid w:val="00375CDF"/>
    <w:rsid w:val="003760FC"/>
    <w:rsid w:val="003765BC"/>
    <w:rsid w:val="00380B87"/>
    <w:rsid w:val="00380BBC"/>
    <w:rsid w:val="003812B1"/>
    <w:rsid w:val="003819FE"/>
    <w:rsid w:val="0038201B"/>
    <w:rsid w:val="0038286F"/>
    <w:rsid w:val="00383548"/>
    <w:rsid w:val="0038365C"/>
    <w:rsid w:val="0038369B"/>
    <w:rsid w:val="00383732"/>
    <w:rsid w:val="00383B78"/>
    <w:rsid w:val="00384116"/>
    <w:rsid w:val="003845A6"/>
    <w:rsid w:val="0038582D"/>
    <w:rsid w:val="00385A9D"/>
    <w:rsid w:val="00385DD9"/>
    <w:rsid w:val="00386284"/>
    <w:rsid w:val="00386476"/>
    <w:rsid w:val="00390107"/>
    <w:rsid w:val="003902B1"/>
    <w:rsid w:val="00390B4E"/>
    <w:rsid w:val="003915A5"/>
    <w:rsid w:val="0039170C"/>
    <w:rsid w:val="0039179C"/>
    <w:rsid w:val="003920B2"/>
    <w:rsid w:val="003925A6"/>
    <w:rsid w:val="00392AE2"/>
    <w:rsid w:val="0039311B"/>
    <w:rsid w:val="00393E17"/>
    <w:rsid w:val="0039458A"/>
    <w:rsid w:val="0039460E"/>
    <w:rsid w:val="00394818"/>
    <w:rsid w:val="0039484D"/>
    <w:rsid w:val="00394D65"/>
    <w:rsid w:val="00395646"/>
    <w:rsid w:val="00396896"/>
    <w:rsid w:val="00396DA7"/>
    <w:rsid w:val="00396FD0"/>
    <w:rsid w:val="003974AB"/>
    <w:rsid w:val="00397AAE"/>
    <w:rsid w:val="00397AE8"/>
    <w:rsid w:val="00397BC1"/>
    <w:rsid w:val="00397E27"/>
    <w:rsid w:val="003A0234"/>
    <w:rsid w:val="003A1A7A"/>
    <w:rsid w:val="003A2392"/>
    <w:rsid w:val="003A2831"/>
    <w:rsid w:val="003A31AA"/>
    <w:rsid w:val="003A3CB6"/>
    <w:rsid w:val="003A3ED1"/>
    <w:rsid w:val="003A4152"/>
    <w:rsid w:val="003A44DB"/>
    <w:rsid w:val="003A48B9"/>
    <w:rsid w:val="003A4EAF"/>
    <w:rsid w:val="003A4EC6"/>
    <w:rsid w:val="003A5A4C"/>
    <w:rsid w:val="003A629E"/>
    <w:rsid w:val="003A6A8D"/>
    <w:rsid w:val="003A782F"/>
    <w:rsid w:val="003B08E7"/>
    <w:rsid w:val="003B0DA8"/>
    <w:rsid w:val="003B3971"/>
    <w:rsid w:val="003B429B"/>
    <w:rsid w:val="003B47E2"/>
    <w:rsid w:val="003B4BA9"/>
    <w:rsid w:val="003B55D1"/>
    <w:rsid w:val="003B5AFE"/>
    <w:rsid w:val="003B5B61"/>
    <w:rsid w:val="003B6055"/>
    <w:rsid w:val="003B7348"/>
    <w:rsid w:val="003B7A42"/>
    <w:rsid w:val="003C0887"/>
    <w:rsid w:val="003C0943"/>
    <w:rsid w:val="003C1024"/>
    <w:rsid w:val="003C1513"/>
    <w:rsid w:val="003C1654"/>
    <w:rsid w:val="003C1773"/>
    <w:rsid w:val="003C200A"/>
    <w:rsid w:val="003C325E"/>
    <w:rsid w:val="003C4C54"/>
    <w:rsid w:val="003C5542"/>
    <w:rsid w:val="003C63AD"/>
    <w:rsid w:val="003C68CA"/>
    <w:rsid w:val="003C7C1C"/>
    <w:rsid w:val="003C7D19"/>
    <w:rsid w:val="003C7D2F"/>
    <w:rsid w:val="003D1828"/>
    <w:rsid w:val="003D1DD1"/>
    <w:rsid w:val="003D1DE4"/>
    <w:rsid w:val="003D1E9A"/>
    <w:rsid w:val="003D1EA7"/>
    <w:rsid w:val="003D2422"/>
    <w:rsid w:val="003D2BD3"/>
    <w:rsid w:val="003D33CE"/>
    <w:rsid w:val="003D39A1"/>
    <w:rsid w:val="003D3FBF"/>
    <w:rsid w:val="003D4A30"/>
    <w:rsid w:val="003D4E7C"/>
    <w:rsid w:val="003D71D1"/>
    <w:rsid w:val="003D7452"/>
    <w:rsid w:val="003D79BB"/>
    <w:rsid w:val="003D7C98"/>
    <w:rsid w:val="003D7D9D"/>
    <w:rsid w:val="003E0543"/>
    <w:rsid w:val="003E1465"/>
    <w:rsid w:val="003E1B27"/>
    <w:rsid w:val="003E2990"/>
    <w:rsid w:val="003E32CF"/>
    <w:rsid w:val="003E353B"/>
    <w:rsid w:val="003E48CC"/>
    <w:rsid w:val="003E4BC6"/>
    <w:rsid w:val="003E749E"/>
    <w:rsid w:val="003E74DB"/>
    <w:rsid w:val="003E7697"/>
    <w:rsid w:val="003E7D06"/>
    <w:rsid w:val="003F2940"/>
    <w:rsid w:val="003F313C"/>
    <w:rsid w:val="003F3D4B"/>
    <w:rsid w:val="003F4156"/>
    <w:rsid w:val="003F432A"/>
    <w:rsid w:val="003F535F"/>
    <w:rsid w:val="003F5732"/>
    <w:rsid w:val="003F5ADF"/>
    <w:rsid w:val="003F62B0"/>
    <w:rsid w:val="003F6A79"/>
    <w:rsid w:val="003F7580"/>
    <w:rsid w:val="003F7F36"/>
    <w:rsid w:val="00400721"/>
    <w:rsid w:val="0040094B"/>
    <w:rsid w:val="00400B29"/>
    <w:rsid w:val="00402C42"/>
    <w:rsid w:val="00402C6D"/>
    <w:rsid w:val="004047DA"/>
    <w:rsid w:val="0040504B"/>
    <w:rsid w:val="004059F4"/>
    <w:rsid w:val="004068A0"/>
    <w:rsid w:val="00407A28"/>
    <w:rsid w:val="00407FE5"/>
    <w:rsid w:val="004101B0"/>
    <w:rsid w:val="00410326"/>
    <w:rsid w:val="004106AD"/>
    <w:rsid w:val="00410708"/>
    <w:rsid w:val="00410B94"/>
    <w:rsid w:val="00410EC7"/>
    <w:rsid w:val="00411B39"/>
    <w:rsid w:val="004127A7"/>
    <w:rsid w:val="00413517"/>
    <w:rsid w:val="00413580"/>
    <w:rsid w:val="00413A1E"/>
    <w:rsid w:val="00414476"/>
    <w:rsid w:val="004144AD"/>
    <w:rsid w:val="00414C2E"/>
    <w:rsid w:val="00414DC6"/>
    <w:rsid w:val="004151CF"/>
    <w:rsid w:val="0041532B"/>
    <w:rsid w:val="00416364"/>
    <w:rsid w:val="0041657E"/>
    <w:rsid w:val="00416D2E"/>
    <w:rsid w:val="00417777"/>
    <w:rsid w:val="00420267"/>
    <w:rsid w:val="0042047F"/>
    <w:rsid w:val="004205C9"/>
    <w:rsid w:val="00420AA6"/>
    <w:rsid w:val="00420B9F"/>
    <w:rsid w:val="0042192C"/>
    <w:rsid w:val="00422071"/>
    <w:rsid w:val="00422260"/>
    <w:rsid w:val="004228F7"/>
    <w:rsid w:val="0042378C"/>
    <w:rsid w:val="004239F8"/>
    <w:rsid w:val="00424004"/>
    <w:rsid w:val="0042413F"/>
    <w:rsid w:val="004244BC"/>
    <w:rsid w:val="00425F99"/>
    <w:rsid w:val="00430178"/>
    <w:rsid w:val="004304CD"/>
    <w:rsid w:val="004319F8"/>
    <w:rsid w:val="00431E55"/>
    <w:rsid w:val="004321F6"/>
    <w:rsid w:val="00432333"/>
    <w:rsid w:val="0043247E"/>
    <w:rsid w:val="00432949"/>
    <w:rsid w:val="00433044"/>
    <w:rsid w:val="00433862"/>
    <w:rsid w:val="00433BC0"/>
    <w:rsid w:val="00434088"/>
    <w:rsid w:val="004342C9"/>
    <w:rsid w:val="00435D96"/>
    <w:rsid w:val="004363B0"/>
    <w:rsid w:val="004370B8"/>
    <w:rsid w:val="004375B9"/>
    <w:rsid w:val="00440CF0"/>
    <w:rsid w:val="004428D0"/>
    <w:rsid w:val="0044415D"/>
    <w:rsid w:val="00444185"/>
    <w:rsid w:val="004441A8"/>
    <w:rsid w:val="0044435F"/>
    <w:rsid w:val="004443A6"/>
    <w:rsid w:val="004443A7"/>
    <w:rsid w:val="0044442C"/>
    <w:rsid w:val="004446C5"/>
    <w:rsid w:val="004456C9"/>
    <w:rsid w:val="00445941"/>
    <w:rsid w:val="00445A25"/>
    <w:rsid w:val="00445B6F"/>
    <w:rsid w:val="004464EB"/>
    <w:rsid w:val="00447D26"/>
    <w:rsid w:val="00447DFC"/>
    <w:rsid w:val="00450809"/>
    <w:rsid w:val="004514B5"/>
    <w:rsid w:val="0045194C"/>
    <w:rsid w:val="004540DB"/>
    <w:rsid w:val="0045483D"/>
    <w:rsid w:val="004553B3"/>
    <w:rsid w:val="004557A2"/>
    <w:rsid w:val="00455D45"/>
    <w:rsid w:val="00456310"/>
    <w:rsid w:val="004575E5"/>
    <w:rsid w:val="00461B31"/>
    <w:rsid w:val="0046215E"/>
    <w:rsid w:val="00464155"/>
    <w:rsid w:val="00464595"/>
    <w:rsid w:val="00464930"/>
    <w:rsid w:val="00464B13"/>
    <w:rsid w:val="0046523C"/>
    <w:rsid w:val="00465335"/>
    <w:rsid w:val="004658B5"/>
    <w:rsid w:val="00465F42"/>
    <w:rsid w:val="004674A8"/>
    <w:rsid w:val="004715A3"/>
    <w:rsid w:val="00471EA5"/>
    <w:rsid w:val="00471F6F"/>
    <w:rsid w:val="004722B8"/>
    <w:rsid w:val="00472320"/>
    <w:rsid w:val="00472884"/>
    <w:rsid w:val="00472A79"/>
    <w:rsid w:val="00472DCA"/>
    <w:rsid w:val="004736B6"/>
    <w:rsid w:val="00473F19"/>
    <w:rsid w:val="00473F93"/>
    <w:rsid w:val="00475B86"/>
    <w:rsid w:val="00475E22"/>
    <w:rsid w:val="00477781"/>
    <w:rsid w:val="00477A37"/>
    <w:rsid w:val="00477FF5"/>
    <w:rsid w:val="0048088E"/>
    <w:rsid w:val="00480F2B"/>
    <w:rsid w:val="0048135D"/>
    <w:rsid w:val="00482720"/>
    <w:rsid w:val="00482F23"/>
    <w:rsid w:val="00483357"/>
    <w:rsid w:val="004835E7"/>
    <w:rsid w:val="00483DBF"/>
    <w:rsid w:val="004861A3"/>
    <w:rsid w:val="004865C4"/>
    <w:rsid w:val="004867E2"/>
    <w:rsid w:val="004903EC"/>
    <w:rsid w:val="00490603"/>
    <w:rsid w:val="00490B17"/>
    <w:rsid w:val="004912B9"/>
    <w:rsid w:val="004915C1"/>
    <w:rsid w:val="00491B3A"/>
    <w:rsid w:val="004921AE"/>
    <w:rsid w:val="0049280E"/>
    <w:rsid w:val="00492CFD"/>
    <w:rsid w:val="00492DED"/>
    <w:rsid w:val="00494207"/>
    <w:rsid w:val="004947EE"/>
    <w:rsid w:val="00494DD5"/>
    <w:rsid w:val="00495CA9"/>
    <w:rsid w:val="004962D2"/>
    <w:rsid w:val="00496727"/>
    <w:rsid w:val="00496A7A"/>
    <w:rsid w:val="00497B4D"/>
    <w:rsid w:val="004A0DA1"/>
    <w:rsid w:val="004A13D6"/>
    <w:rsid w:val="004A181E"/>
    <w:rsid w:val="004A213A"/>
    <w:rsid w:val="004A2152"/>
    <w:rsid w:val="004A2394"/>
    <w:rsid w:val="004A3311"/>
    <w:rsid w:val="004A473A"/>
    <w:rsid w:val="004A4967"/>
    <w:rsid w:val="004A4B3D"/>
    <w:rsid w:val="004A52E9"/>
    <w:rsid w:val="004A542B"/>
    <w:rsid w:val="004A587E"/>
    <w:rsid w:val="004A6040"/>
    <w:rsid w:val="004A6533"/>
    <w:rsid w:val="004A6597"/>
    <w:rsid w:val="004A7848"/>
    <w:rsid w:val="004A79A5"/>
    <w:rsid w:val="004B084E"/>
    <w:rsid w:val="004B0B19"/>
    <w:rsid w:val="004B1CB4"/>
    <w:rsid w:val="004B2348"/>
    <w:rsid w:val="004B2F18"/>
    <w:rsid w:val="004B3D54"/>
    <w:rsid w:val="004B3DDB"/>
    <w:rsid w:val="004B3F01"/>
    <w:rsid w:val="004B44FD"/>
    <w:rsid w:val="004B4A87"/>
    <w:rsid w:val="004B534B"/>
    <w:rsid w:val="004B5675"/>
    <w:rsid w:val="004B5CFC"/>
    <w:rsid w:val="004B5FFB"/>
    <w:rsid w:val="004B6833"/>
    <w:rsid w:val="004B6873"/>
    <w:rsid w:val="004B6F79"/>
    <w:rsid w:val="004B774D"/>
    <w:rsid w:val="004C180F"/>
    <w:rsid w:val="004C3576"/>
    <w:rsid w:val="004C3C90"/>
    <w:rsid w:val="004C3D18"/>
    <w:rsid w:val="004C3D8A"/>
    <w:rsid w:val="004C4520"/>
    <w:rsid w:val="004C47B5"/>
    <w:rsid w:val="004C4AED"/>
    <w:rsid w:val="004C584D"/>
    <w:rsid w:val="004C695C"/>
    <w:rsid w:val="004C7043"/>
    <w:rsid w:val="004C735E"/>
    <w:rsid w:val="004C791D"/>
    <w:rsid w:val="004C7994"/>
    <w:rsid w:val="004D2AD3"/>
    <w:rsid w:val="004D2C2D"/>
    <w:rsid w:val="004D32A1"/>
    <w:rsid w:val="004D3332"/>
    <w:rsid w:val="004D3518"/>
    <w:rsid w:val="004D3E8C"/>
    <w:rsid w:val="004D48B4"/>
    <w:rsid w:val="004D54B3"/>
    <w:rsid w:val="004D58CE"/>
    <w:rsid w:val="004D59C2"/>
    <w:rsid w:val="004D5F05"/>
    <w:rsid w:val="004D69B5"/>
    <w:rsid w:val="004D6DAA"/>
    <w:rsid w:val="004D7227"/>
    <w:rsid w:val="004D771C"/>
    <w:rsid w:val="004E0E7F"/>
    <w:rsid w:val="004E0EB8"/>
    <w:rsid w:val="004E18E9"/>
    <w:rsid w:val="004E2ADC"/>
    <w:rsid w:val="004E2E58"/>
    <w:rsid w:val="004E33E0"/>
    <w:rsid w:val="004E3930"/>
    <w:rsid w:val="004E40EC"/>
    <w:rsid w:val="004E43B2"/>
    <w:rsid w:val="004E52E4"/>
    <w:rsid w:val="004E6413"/>
    <w:rsid w:val="004E6F0A"/>
    <w:rsid w:val="004E72BB"/>
    <w:rsid w:val="004F0F07"/>
    <w:rsid w:val="004F1D02"/>
    <w:rsid w:val="004F2679"/>
    <w:rsid w:val="004F2F21"/>
    <w:rsid w:val="004F3862"/>
    <w:rsid w:val="004F3882"/>
    <w:rsid w:val="004F3DE5"/>
    <w:rsid w:val="004F4069"/>
    <w:rsid w:val="004F40D6"/>
    <w:rsid w:val="004F57C7"/>
    <w:rsid w:val="004F5882"/>
    <w:rsid w:val="004F5CCD"/>
    <w:rsid w:val="004F61C3"/>
    <w:rsid w:val="004F6431"/>
    <w:rsid w:val="004F6913"/>
    <w:rsid w:val="004F756B"/>
    <w:rsid w:val="004F7865"/>
    <w:rsid w:val="004F790A"/>
    <w:rsid w:val="005010B5"/>
    <w:rsid w:val="0050125B"/>
    <w:rsid w:val="0050174E"/>
    <w:rsid w:val="00501854"/>
    <w:rsid w:val="0050219B"/>
    <w:rsid w:val="0050265A"/>
    <w:rsid w:val="0050297B"/>
    <w:rsid w:val="00503F17"/>
    <w:rsid w:val="00504569"/>
    <w:rsid w:val="005045D9"/>
    <w:rsid w:val="00504764"/>
    <w:rsid w:val="0050476E"/>
    <w:rsid w:val="0050504C"/>
    <w:rsid w:val="0050522C"/>
    <w:rsid w:val="005056F1"/>
    <w:rsid w:val="0050574F"/>
    <w:rsid w:val="00506928"/>
    <w:rsid w:val="00507025"/>
    <w:rsid w:val="0050703F"/>
    <w:rsid w:val="005077EF"/>
    <w:rsid w:val="00511AD5"/>
    <w:rsid w:val="00511D4A"/>
    <w:rsid w:val="00511DC7"/>
    <w:rsid w:val="00511E92"/>
    <w:rsid w:val="00513D8C"/>
    <w:rsid w:val="005142C5"/>
    <w:rsid w:val="0051479E"/>
    <w:rsid w:val="0051501B"/>
    <w:rsid w:val="005152B5"/>
    <w:rsid w:val="00515500"/>
    <w:rsid w:val="00515789"/>
    <w:rsid w:val="00517005"/>
    <w:rsid w:val="00520D60"/>
    <w:rsid w:val="00520FF6"/>
    <w:rsid w:val="0052123C"/>
    <w:rsid w:val="00521319"/>
    <w:rsid w:val="00521DC9"/>
    <w:rsid w:val="005221D7"/>
    <w:rsid w:val="00522691"/>
    <w:rsid w:val="00522BC8"/>
    <w:rsid w:val="00523905"/>
    <w:rsid w:val="00523C28"/>
    <w:rsid w:val="005242F8"/>
    <w:rsid w:val="00527513"/>
    <w:rsid w:val="00531725"/>
    <w:rsid w:val="0053176B"/>
    <w:rsid w:val="00531B99"/>
    <w:rsid w:val="00531D0B"/>
    <w:rsid w:val="0053262A"/>
    <w:rsid w:val="00534E5B"/>
    <w:rsid w:val="00535190"/>
    <w:rsid w:val="00535FFA"/>
    <w:rsid w:val="00536F42"/>
    <w:rsid w:val="00537012"/>
    <w:rsid w:val="00537182"/>
    <w:rsid w:val="00537DCE"/>
    <w:rsid w:val="00537DD9"/>
    <w:rsid w:val="005401DA"/>
    <w:rsid w:val="00541EDD"/>
    <w:rsid w:val="00542743"/>
    <w:rsid w:val="00542C2D"/>
    <w:rsid w:val="00543A4E"/>
    <w:rsid w:val="00543F32"/>
    <w:rsid w:val="00544C65"/>
    <w:rsid w:val="00545549"/>
    <w:rsid w:val="005472FC"/>
    <w:rsid w:val="00547335"/>
    <w:rsid w:val="005478BD"/>
    <w:rsid w:val="0054795E"/>
    <w:rsid w:val="005479E3"/>
    <w:rsid w:val="00547F80"/>
    <w:rsid w:val="005507A9"/>
    <w:rsid w:val="00550E9E"/>
    <w:rsid w:val="0055139F"/>
    <w:rsid w:val="00551985"/>
    <w:rsid w:val="00552093"/>
    <w:rsid w:val="005522FE"/>
    <w:rsid w:val="00552B12"/>
    <w:rsid w:val="00552BD3"/>
    <w:rsid w:val="005532A0"/>
    <w:rsid w:val="00553302"/>
    <w:rsid w:val="005535B6"/>
    <w:rsid w:val="0055408F"/>
    <w:rsid w:val="00554DCA"/>
    <w:rsid w:val="00555109"/>
    <w:rsid w:val="005564F1"/>
    <w:rsid w:val="00556607"/>
    <w:rsid w:val="00556B35"/>
    <w:rsid w:val="0055741A"/>
    <w:rsid w:val="00557987"/>
    <w:rsid w:val="005611B7"/>
    <w:rsid w:val="005613F1"/>
    <w:rsid w:val="005618D4"/>
    <w:rsid w:val="00561DCB"/>
    <w:rsid w:val="005626B0"/>
    <w:rsid w:val="00562AE4"/>
    <w:rsid w:val="00562FF5"/>
    <w:rsid w:val="0056428A"/>
    <w:rsid w:val="005647AD"/>
    <w:rsid w:val="00564A3F"/>
    <w:rsid w:val="00565473"/>
    <w:rsid w:val="00565DBD"/>
    <w:rsid w:val="00565DF0"/>
    <w:rsid w:val="0056615F"/>
    <w:rsid w:val="0056644C"/>
    <w:rsid w:val="00566547"/>
    <w:rsid w:val="0056696F"/>
    <w:rsid w:val="00567202"/>
    <w:rsid w:val="00567815"/>
    <w:rsid w:val="00567987"/>
    <w:rsid w:val="00570056"/>
    <w:rsid w:val="00570654"/>
    <w:rsid w:val="0057113F"/>
    <w:rsid w:val="00571348"/>
    <w:rsid w:val="005714E5"/>
    <w:rsid w:val="00571647"/>
    <w:rsid w:val="00572269"/>
    <w:rsid w:val="0057244A"/>
    <w:rsid w:val="00572F26"/>
    <w:rsid w:val="005732B9"/>
    <w:rsid w:val="005748C3"/>
    <w:rsid w:val="00574A90"/>
    <w:rsid w:val="005750C5"/>
    <w:rsid w:val="005752DE"/>
    <w:rsid w:val="00575D36"/>
    <w:rsid w:val="00575D8D"/>
    <w:rsid w:val="00576176"/>
    <w:rsid w:val="00576972"/>
    <w:rsid w:val="00576D00"/>
    <w:rsid w:val="00576EEE"/>
    <w:rsid w:val="00577CF8"/>
    <w:rsid w:val="00580059"/>
    <w:rsid w:val="00580413"/>
    <w:rsid w:val="00580893"/>
    <w:rsid w:val="00582B4E"/>
    <w:rsid w:val="00583699"/>
    <w:rsid w:val="005838F7"/>
    <w:rsid w:val="00585CDD"/>
    <w:rsid w:val="00587058"/>
    <w:rsid w:val="00590743"/>
    <w:rsid w:val="005908A3"/>
    <w:rsid w:val="00590AF1"/>
    <w:rsid w:val="00591528"/>
    <w:rsid w:val="00591957"/>
    <w:rsid w:val="00591DEC"/>
    <w:rsid w:val="005925BC"/>
    <w:rsid w:val="0059324F"/>
    <w:rsid w:val="00593580"/>
    <w:rsid w:val="00593941"/>
    <w:rsid w:val="005959DB"/>
    <w:rsid w:val="00595C02"/>
    <w:rsid w:val="00596EF0"/>
    <w:rsid w:val="005975B4"/>
    <w:rsid w:val="00597BF9"/>
    <w:rsid w:val="005A000E"/>
    <w:rsid w:val="005A0AE8"/>
    <w:rsid w:val="005A0B55"/>
    <w:rsid w:val="005A0FFF"/>
    <w:rsid w:val="005A1F02"/>
    <w:rsid w:val="005A2A3A"/>
    <w:rsid w:val="005A309A"/>
    <w:rsid w:val="005A373D"/>
    <w:rsid w:val="005A4188"/>
    <w:rsid w:val="005A48FF"/>
    <w:rsid w:val="005A50A1"/>
    <w:rsid w:val="005A5C2B"/>
    <w:rsid w:val="005A61D7"/>
    <w:rsid w:val="005A6220"/>
    <w:rsid w:val="005A6C07"/>
    <w:rsid w:val="005A738C"/>
    <w:rsid w:val="005A7390"/>
    <w:rsid w:val="005A748E"/>
    <w:rsid w:val="005B06B6"/>
    <w:rsid w:val="005B08C4"/>
    <w:rsid w:val="005B0B58"/>
    <w:rsid w:val="005B1558"/>
    <w:rsid w:val="005B167A"/>
    <w:rsid w:val="005B2382"/>
    <w:rsid w:val="005B3522"/>
    <w:rsid w:val="005B3DD7"/>
    <w:rsid w:val="005B3F4E"/>
    <w:rsid w:val="005B4E53"/>
    <w:rsid w:val="005B5666"/>
    <w:rsid w:val="005B5857"/>
    <w:rsid w:val="005B6277"/>
    <w:rsid w:val="005B69AF"/>
    <w:rsid w:val="005B6E6E"/>
    <w:rsid w:val="005B6F77"/>
    <w:rsid w:val="005B7072"/>
    <w:rsid w:val="005B72AE"/>
    <w:rsid w:val="005B7C5C"/>
    <w:rsid w:val="005C0CBF"/>
    <w:rsid w:val="005C119F"/>
    <w:rsid w:val="005C1B83"/>
    <w:rsid w:val="005C25FF"/>
    <w:rsid w:val="005C2D55"/>
    <w:rsid w:val="005C2E3F"/>
    <w:rsid w:val="005C346B"/>
    <w:rsid w:val="005C3CF0"/>
    <w:rsid w:val="005C48AC"/>
    <w:rsid w:val="005C504A"/>
    <w:rsid w:val="005C59C0"/>
    <w:rsid w:val="005C7AC8"/>
    <w:rsid w:val="005D044D"/>
    <w:rsid w:val="005D0ABD"/>
    <w:rsid w:val="005D13BA"/>
    <w:rsid w:val="005D16CB"/>
    <w:rsid w:val="005D18AD"/>
    <w:rsid w:val="005D1DAB"/>
    <w:rsid w:val="005D26B4"/>
    <w:rsid w:val="005D5D4C"/>
    <w:rsid w:val="005D5D9B"/>
    <w:rsid w:val="005D74F5"/>
    <w:rsid w:val="005D7658"/>
    <w:rsid w:val="005D7F63"/>
    <w:rsid w:val="005E0F18"/>
    <w:rsid w:val="005E1BA2"/>
    <w:rsid w:val="005E3742"/>
    <w:rsid w:val="005E4F89"/>
    <w:rsid w:val="005E53BF"/>
    <w:rsid w:val="005E5590"/>
    <w:rsid w:val="005E6507"/>
    <w:rsid w:val="005E6C40"/>
    <w:rsid w:val="005E6CBC"/>
    <w:rsid w:val="005E72FF"/>
    <w:rsid w:val="005E73C0"/>
    <w:rsid w:val="005F078F"/>
    <w:rsid w:val="005F09D5"/>
    <w:rsid w:val="005F1838"/>
    <w:rsid w:val="005F2706"/>
    <w:rsid w:val="005F31DC"/>
    <w:rsid w:val="005F3231"/>
    <w:rsid w:val="005F402D"/>
    <w:rsid w:val="005F53F0"/>
    <w:rsid w:val="005F54AB"/>
    <w:rsid w:val="005F6A8F"/>
    <w:rsid w:val="005F6AF8"/>
    <w:rsid w:val="005F6BB7"/>
    <w:rsid w:val="005F7588"/>
    <w:rsid w:val="006026A2"/>
    <w:rsid w:val="00602AFF"/>
    <w:rsid w:val="006035AB"/>
    <w:rsid w:val="00603DB9"/>
    <w:rsid w:val="006040D4"/>
    <w:rsid w:val="00604BE5"/>
    <w:rsid w:val="006066AC"/>
    <w:rsid w:val="006069C0"/>
    <w:rsid w:val="00606A9D"/>
    <w:rsid w:val="00606FBA"/>
    <w:rsid w:val="006074AA"/>
    <w:rsid w:val="00607669"/>
    <w:rsid w:val="006076F4"/>
    <w:rsid w:val="00607AFD"/>
    <w:rsid w:val="006108B0"/>
    <w:rsid w:val="00611258"/>
    <w:rsid w:val="00612BC6"/>
    <w:rsid w:val="00612C29"/>
    <w:rsid w:val="00612F97"/>
    <w:rsid w:val="00613422"/>
    <w:rsid w:val="0061345D"/>
    <w:rsid w:val="0061384E"/>
    <w:rsid w:val="00614642"/>
    <w:rsid w:val="00614EDB"/>
    <w:rsid w:val="006150FE"/>
    <w:rsid w:val="0061549B"/>
    <w:rsid w:val="0061552C"/>
    <w:rsid w:val="00616041"/>
    <w:rsid w:val="00616802"/>
    <w:rsid w:val="00617E12"/>
    <w:rsid w:val="00620136"/>
    <w:rsid w:val="006204DC"/>
    <w:rsid w:val="00620C25"/>
    <w:rsid w:val="006210D2"/>
    <w:rsid w:val="00621477"/>
    <w:rsid w:val="00621ADA"/>
    <w:rsid w:val="00621EFC"/>
    <w:rsid w:val="00622232"/>
    <w:rsid w:val="00622692"/>
    <w:rsid w:val="00623603"/>
    <w:rsid w:val="00623F7B"/>
    <w:rsid w:val="006249E2"/>
    <w:rsid w:val="00626809"/>
    <w:rsid w:val="006278D4"/>
    <w:rsid w:val="00630ECC"/>
    <w:rsid w:val="0063158F"/>
    <w:rsid w:val="00631D6B"/>
    <w:rsid w:val="00632183"/>
    <w:rsid w:val="00632558"/>
    <w:rsid w:val="006330A1"/>
    <w:rsid w:val="0063479F"/>
    <w:rsid w:val="00634D67"/>
    <w:rsid w:val="006353F0"/>
    <w:rsid w:val="006357B5"/>
    <w:rsid w:val="00635D54"/>
    <w:rsid w:val="006360E7"/>
    <w:rsid w:val="006364A1"/>
    <w:rsid w:val="0063678E"/>
    <w:rsid w:val="0063774B"/>
    <w:rsid w:val="00637B68"/>
    <w:rsid w:val="00637BFD"/>
    <w:rsid w:val="00640323"/>
    <w:rsid w:val="006407A3"/>
    <w:rsid w:val="00641C4E"/>
    <w:rsid w:val="00641FB3"/>
    <w:rsid w:val="0064294A"/>
    <w:rsid w:val="006435A3"/>
    <w:rsid w:val="0064434C"/>
    <w:rsid w:val="006446A0"/>
    <w:rsid w:val="006446D4"/>
    <w:rsid w:val="00645420"/>
    <w:rsid w:val="006456D7"/>
    <w:rsid w:val="00645DC1"/>
    <w:rsid w:val="006471CC"/>
    <w:rsid w:val="0064732D"/>
    <w:rsid w:val="00647A29"/>
    <w:rsid w:val="00650309"/>
    <w:rsid w:val="00650319"/>
    <w:rsid w:val="0065079F"/>
    <w:rsid w:val="00651732"/>
    <w:rsid w:val="006524C3"/>
    <w:rsid w:val="006526FE"/>
    <w:rsid w:val="00652A28"/>
    <w:rsid w:val="00652FF5"/>
    <w:rsid w:val="006533D2"/>
    <w:rsid w:val="0065379F"/>
    <w:rsid w:val="006539F7"/>
    <w:rsid w:val="00653C69"/>
    <w:rsid w:val="00654C86"/>
    <w:rsid w:val="00654CCB"/>
    <w:rsid w:val="00655277"/>
    <w:rsid w:val="00655517"/>
    <w:rsid w:val="00656188"/>
    <w:rsid w:val="006562A5"/>
    <w:rsid w:val="006562BC"/>
    <w:rsid w:val="0065637A"/>
    <w:rsid w:val="006563B0"/>
    <w:rsid w:val="00656412"/>
    <w:rsid w:val="006564F3"/>
    <w:rsid w:val="00656E74"/>
    <w:rsid w:val="0065715A"/>
    <w:rsid w:val="00657B60"/>
    <w:rsid w:val="006605BF"/>
    <w:rsid w:val="00660D37"/>
    <w:rsid w:val="006610F1"/>
    <w:rsid w:val="00661C6B"/>
    <w:rsid w:val="006627C9"/>
    <w:rsid w:val="006634D3"/>
    <w:rsid w:val="00665581"/>
    <w:rsid w:val="00667338"/>
    <w:rsid w:val="006678EC"/>
    <w:rsid w:val="00670D60"/>
    <w:rsid w:val="00670FE5"/>
    <w:rsid w:val="00671004"/>
    <w:rsid w:val="006716F0"/>
    <w:rsid w:val="00671799"/>
    <w:rsid w:val="00671C7B"/>
    <w:rsid w:val="00671FB6"/>
    <w:rsid w:val="00672646"/>
    <w:rsid w:val="00672ACA"/>
    <w:rsid w:val="0067313C"/>
    <w:rsid w:val="00673606"/>
    <w:rsid w:val="006736B2"/>
    <w:rsid w:val="00674E42"/>
    <w:rsid w:val="006762AE"/>
    <w:rsid w:val="00677027"/>
    <w:rsid w:val="00680133"/>
    <w:rsid w:val="006805E8"/>
    <w:rsid w:val="00680716"/>
    <w:rsid w:val="00680B49"/>
    <w:rsid w:val="006813F8"/>
    <w:rsid w:val="006816CB"/>
    <w:rsid w:val="00681B56"/>
    <w:rsid w:val="00682112"/>
    <w:rsid w:val="006824C2"/>
    <w:rsid w:val="00682A13"/>
    <w:rsid w:val="00682BA6"/>
    <w:rsid w:val="00682CB6"/>
    <w:rsid w:val="00683092"/>
    <w:rsid w:val="00683B4B"/>
    <w:rsid w:val="00684890"/>
    <w:rsid w:val="00684A42"/>
    <w:rsid w:val="00684C91"/>
    <w:rsid w:val="00685258"/>
    <w:rsid w:val="00685FFD"/>
    <w:rsid w:val="00686957"/>
    <w:rsid w:val="006872BA"/>
    <w:rsid w:val="0069006A"/>
    <w:rsid w:val="00690156"/>
    <w:rsid w:val="00690312"/>
    <w:rsid w:val="00690766"/>
    <w:rsid w:val="00690795"/>
    <w:rsid w:val="00691648"/>
    <w:rsid w:val="00691677"/>
    <w:rsid w:val="006917D7"/>
    <w:rsid w:val="00691E60"/>
    <w:rsid w:val="0069419B"/>
    <w:rsid w:val="0069434C"/>
    <w:rsid w:val="00694714"/>
    <w:rsid w:val="00694809"/>
    <w:rsid w:val="00694DC1"/>
    <w:rsid w:val="00694F44"/>
    <w:rsid w:val="00696BD3"/>
    <w:rsid w:val="00696F51"/>
    <w:rsid w:val="006977D6"/>
    <w:rsid w:val="006979A5"/>
    <w:rsid w:val="006A068B"/>
    <w:rsid w:val="006A15F7"/>
    <w:rsid w:val="006A2D75"/>
    <w:rsid w:val="006A40C8"/>
    <w:rsid w:val="006A6B99"/>
    <w:rsid w:val="006A775A"/>
    <w:rsid w:val="006A7E5F"/>
    <w:rsid w:val="006B002D"/>
    <w:rsid w:val="006B1B69"/>
    <w:rsid w:val="006B261B"/>
    <w:rsid w:val="006B2A71"/>
    <w:rsid w:val="006B2C90"/>
    <w:rsid w:val="006B3143"/>
    <w:rsid w:val="006B35E6"/>
    <w:rsid w:val="006B3E6F"/>
    <w:rsid w:val="006B414D"/>
    <w:rsid w:val="006B4398"/>
    <w:rsid w:val="006B4579"/>
    <w:rsid w:val="006B465A"/>
    <w:rsid w:val="006B55FD"/>
    <w:rsid w:val="006B628B"/>
    <w:rsid w:val="006B6BEB"/>
    <w:rsid w:val="006B6DD0"/>
    <w:rsid w:val="006B7E08"/>
    <w:rsid w:val="006C0399"/>
    <w:rsid w:val="006C0D5B"/>
    <w:rsid w:val="006C1796"/>
    <w:rsid w:val="006C2399"/>
    <w:rsid w:val="006C24DC"/>
    <w:rsid w:val="006C297A"/>
    <w:rsid w:val="006C2A8E"/>
    <w:rsid w:val="006C3255"/>
    <w:rsid w:val="006C3931"/>
    <w:rsid w:val="006C3EA8"/>
    <w:rsid w:val="006C3F26"/>
    <w:rsid w:val="006C4E72"/>
    <w:rsid w:val="006C5206"/>
    <w:rsid w:val="006C5798"/>
    <w:rsid w:val="006C5799"/>
    <w:rsid w:val="006C603A"/>
    <w:rsid w:val="006C662F"/>
    <w:rsid w:val="006C7173"/>
    <w:rsid w:val="006C7534"/>
    <w:rsid w:val="006D0D17"/>
    <w:rsid w:val="006D1283"/>
    <w:rsid w:val="006D2632"/>
    <w:rsid w:val="006D3993"/>
    <w:rsid w:val="006D3C7D"/>
    <w:rsid w:val="006D4614"/>
    <w:rsid w:val="006D4659"/>
    <w:rsid w:val="006D4951"/>
    <w:rsid w:val="006D4B84"/>
    <w:rsid w:val="006D5D5F"/>
    <w:rsid w:val="006D6340"/>
    <w:rsid w:val="006D68FB"/>
    <w:rsid w:val="006D7E6C"/>
    <w:rsid w:val="006E0819"/>
    <w:rsid w:val="006E0E53"/>
    <w:rsid w:val="006E1BA1"/>
    <w:rsid w:val="006E1FBE"/>
    <w:rsid w:val="006E2868"/>
    <w:rsid w:val="006E46B1"/>
    <w:rsid w:val="006E5897"/>
    <w:rsid w:val="006E5FB7"/>
    <w:rsid w:val="006E6757"/>
    <w:rsid w:val="006E6819"/>
    <w:rsid w:val="006E7215"/>
    <w:rsid w:val="006E75F1"/>
    <w:rsid w:val="006E773F"/>
    <w:rsid w:val="006E7D07"/>
    <w:rsid w:val="006F0021"/>
    <w:rsid w:val="006F01F4"/>
    <w:rsid w:val="006F105A"/>
    <w:rsid w:val="006F1DCB"/>
    <w:rsid w:val="006F306C"/>
    <w:rsid w:val="006F431F"/>
    <w:rsid w:val="006F5E9C"/>
    <w:rsid w:val="006F63A5"/>
    <w:rsid w:val="006F6516"/>
    <w:rsid w:val="006F67D3"/>
    <w:rsid w:val="00700066"/>
    <w:rsid w:val="0070142B"/>
    <w:rsid w:val="00702522"/>
    <w:rsid w:val="0070276E"/>
    <w:rsid w:val="007027C3"/>
    <w:rsid w:val="00702F8F"/>
    <w:rsid w:val="0070304E"/>
    <w:rsid w:val="00703CD7"/>
    <w:rsid w:val="00703E69"/>
    <w:rsid w:val="00704E8F"/>
    <w:rsid w:val="00706544"/>
    <w:rsid w:val="00706845"/>
    <w:rsid w:val="007074FE"/>
    <w:rsid w:val="007079FC"/>
    <w:rsid w:val="007103C7"/>
    <w:rsid w:val="00711529"/>
    <w:rsid w:val="00711A36"/>
    <w:rsid w:val="00711B11"/>
    <w:rsid w:val="00712F76"/>
    <w:rsid w:val="00713B77"/>
    <w:rsid w:val="00714C26"/>
    <w:rsid w:val="00715104"/>
    <w:rsid w:val="0071529C"/>
    <w:rsid w:val="00715795"/>
    <w:rsid w:val="007161DD"/>
    <w:rsid w:val="0071638A"/>
    <w:rsid w:val="00717039"/>
    <w:rsid w:val="007170DA"/>
    <w:rsid w:val="007172AD"/>
    <w:rsid w:val="00717E76"/>
    <w:rsid w:val="0071F578"/>
    <w:rsid w:val="0072030B"/>
    <w:rsid w:val="0072037B"/>
    <w:rsid w:val="00720801"/>
    <w:rsid w:val="007211E7"/>
    <w:rsid w:val="007212E6"/>
    <w:rsid w:val="0072137B"/>
    <w:rsid w:val="00722B1B"/>
    <w:rsid w:val="00722D8E"/>
    <w:rsid w:val="00723162"/>
    <w:rsid w:val="00723554"/>
    <w:rsid w:val="00723E32"/>
    <w:rsid w:val="0072416F"/>
    <w:rsid w:val="007244FD"/>
    <w:rsid w:val="00724D8C"/>
    <w:rsid w:val="007261AC"/>
    <w:rsid w:val="007267A2"/>
    <w:rsid w:val="0072722C"/>
    <w:rsid w:val="007277D9"/>
    <w:rsid w:val="00727C94"/>
    <w:rsid w:val="007303A1"/>
    <w:rsid w:val="007308D4"/>
    <w:rsid w:val="00731054"/>
    <w:rsid w:val="00731638"/>
    <w:rsid w:val="00731B0A"/>
    <w:rsid w:val="00731EAE"/>
    <w:rsid w:val="00733073"/>
    <w:rsid w:val="00733D91"/>
    <w:rsid w:val="00733D95"/>
    <w:rsid w:val="00733DB7"/>
    <w:rsid w:val="00733E56"/>
    <w:rsid w:val="00734386"/>
    <w:rsid w:val="00735033"/>
    <w:rsid w:val="00735328"/>
    <w:rsid w:val="00735565"/>
    <w:rsid w:val="00735801"/>
    <w:rsid w:val="007359E2"/>
    <w:rsid w:val="0073666C"/>
    <w:rsid w:val="0073685B"/>
    <w:rsid w:val="0073716F"/>
    <w:rsid w:val="007379EA"/>
    <w:rsid w:val="0074048E"/>
    <w:rsid w:val="00741745"/>
    <w:rsid w:val="00741C94"/>
    <w:rsid w:val="00742B22"/>
    <w:rsid w:val="00743FF7"/>
    <w:rsid w:val="00744013"/>
    <w:rsid w:val="0074451B"/>
    <w:rsid w:val="0074456B"/>
    <w:rsid w:val="007449BF"/>
    <w:rsid w:val="007455FC"/>
    <w:rsid w:val="00745EF0"/>
    <w:rsid w:val="00746BC0"/>
    <w:rsid w:val="00747476"/>
    <w:rsid w:val="007474CB"/>
    <w:rsid w:val="007510B4"/>
    <w:rsid w:val="00751A9B"/>
    <w:rsid w:val="00752142"/>
    <w:rsid w:val="007523F9"/>
    <w:rsid w:val="007529A8"/>
    <w:rsid w:val="0075357E"/>
    <w:rsid w:val="00753CCD"/>
    <w:rsid w:val="0075466E"/>
    <w:rsid w:val="00754A9A"/>
    <w:rsid w:val="007559A8"/>
    <w:rsid w:val="007573E8"/>
    <w:rsid w:val="0075741F"/>
    <w:rsid w:val="00757AB4"/>
    <w:rsid w:val="00760926"/>
    <w:rsid w:val="00760C4E"/>
    <w:rsid w:val="00760F9E"/>
    <w:rsid w:val="00761847"/>
    <w:rsid w:val="0076189D"/>
    <w:rsid w:val="007627BE"/>
    <w:rsid w:val="00762D9A"/>
    <w:rsid w:val="00762DD9"/>
    <w:rsid w:val="0076361E"/>
    <w:rsid w:val="00763F19"/>
    <w:rsid w:val="0076490F"/>
    <w:rsid w:val="00764F03"/>
    <w:rsid w:val="00765B1A"/>
    <w:rsid w:val="00765CED"/>
    <w:rsid w:val="00767634"/>
    <w:rsid w:val="00770447"/>
    <w:rsid w:val="007708AA"/>
    <w:rsid w:val="00770C6D"/>
    <w:rsid w:val="0077130E"/>
    <w:rsid w:val="00772464"/>
    <w:rsid w:val="007728D8"/>
    <w:rsid w:val="00773A8B"/>
    <w:rsid w:val="00774757"/>
    <w:rsid w:val="00774E9D"/>
    <w:rsid w:val="00775F89"/>
    <w:rsid w:val="007765AC"/>
    <w:rsid w:val="00777335"/>
    <w:rsid w:val="007816B5"/>
    <w:rsid w:val="0078378D"/>
    <w:rsid w:val="007843F2"/>
    <w:rsid w:val="007845EE"/>
    <w:rsid w:val="00784A6F"/>
    <w:rsid w:val="00784D2C"/>
    <w:rsid w:val="007857BE"/>
    <w:rsid w:val="00785A9F"/>
    <w:rsid w:val="00786DA4"/>
    <w:rsid w:val="00787ECB"/>
    <w:rsid w:val="00787ED7"/>
    <w:rsid w:val="00790077"/>
    <w:rsid w:val="00790B68"/>
    <w:rsid w:val="007916F9"/>
    <w:rsid w:val="0079206F"/>
    <w:rsid w:val="007925DF"/>
    <w:rsid w:val="00793F26"/>
    <w:rsid w:val="0079422A"/>
    <w:rsid w:val="0079471E"/>
    <w:rsid w:val="00794C34"/>
    <w:rsid w:val="00794EB7"/>
    <w:rsid w:val="00795058"/>
    <w:rsid w:val="0079574C"/>
    <w:rsid w:val="0079780A"/>
    <w:rsid w:val="00797C33"/>
    <w:rsid w:val="007A08AA"/>
    <w:rsid w:val="007A0A12"/>
    <w:rsid w:val="007A132D"/>
    <w:rsid w:val="007A1345"/>
    <w:rsid w:val="007A2301"/>
    <w:rsid w:val="007A2DDB"/>
    <w:rsid w:val="007A32D5"/>
    <w:rsid w:val="007A56EC"/>
    <w:rsid w:val="007A6165"/>
    <w:rsid w:val="007A70BA"/>
    <w:rsid w:val="007A7678"/>
    <w:rsid w:val="007A7AB3"/>
    <w:rsid w:val="007A7C88"/>
    <w:rsid w:val="007B065B"/>
    <w:rsid w:val="007B0D68"/>
    <w:rsid w:val="007B21CA"/>
    <w:rsid w:val="007B251D"/>
    <w:rsid w:val="007B2913"/>
    <w:rsid w:val="007B31A0"/>
    <w:rsid w:val="007B4045"/>
    <w:rsid w:val="007B428A"/>
    <w:rsid w:val="007B4B9B"/>
    <w:rsid w:val="007B4F58"/>
    <w:rsid w:val="007B528D"/>
    <w:rsid w:val="007B555C"/>
    <w:rsid w:val="007B5983"/>
    <w:rsid w:val="007B5F62"/>
    <w:rsid w:val="007B63CA"/>
    <w:rsid w:val="007B6B79"/>
    <w:rsid w:val="007B77AF"/>
    <w:rsid w:val="007B77D1"/>
    <w:rsid w:val="007B79BB"/>
    <w:rsid w:val="007C047B"/>
    <w:rsid w:val="007C07C7"/>
    <w:rsid w:val="007C17C0"/>
    <w:rsid w:val="007C1C9E"/>
    <w:rsid w:val="007C1CD9"/>
    <w:rsid w:val="007C32EF"/>
    <w:rsid w:val="007C361D"/>
    <w:rsid w:val="007C38CA"/>
    <w:rsid w:val="007C3F74"/>
    <w:rsid w:val="007C4A6A"/>
    <w:rsid w:val="007C4B35"/>
    <w:rsid w:val="007C4B84"/>
    <w:rsid w:val="007C5DC1"/>
    <w:rsid w:val="007C6614"/>
    <w:rsid w:val="007C70FF"/>
    <w:rsid w:val="007C7C25"/>
    <w:rsid w:val="007D004F"/>
    <w:rsid w:val="007D0B38"/>
    <w:rsid w:val="007D226A"/>
    <w:rsid w:val="007D24A0"/>
    <w:rsid w:val="007D26FE"/>
    <w:rsid w:val="007D27B6"/>
    <w:rsid w:val="007D2FA5"/>
    <w:rsid w:val="007D47F6"/>
    <w:rsid w:val="007D538E"/>
    <w:rsid w:val="007D5440"/>
    <w:rsid w:val="007D69EB"/>
    <w:rsid w:val="007D6A84"/>
    <w:rsid w:val="007D6C28"/>
    <w:rsid w:val="007D7E38"/>
    <w:rsid w:val="007E0D6B"/>
    <w:rsid w:val="007E128F"/>
    <w:rsid w:val="007E1543"/>
    <w:rsid w:val="007E1717"/>
    <w:rsid w:val="007E1CA9"/>
    <w:rsid w:val="007E2CD3"/>
    <w:rsid w:val="007E2ECA"/>
    <w:rsid w:val="007E3121"/>
    <w:rsid w:val="007E337C"/>
    <w:rsid w:val="007E3B16"/>
    <w:rsid w:val="007E3CD0"/>
    <w:rsid w:val="007E4405"/>
    <w:rsid w:val="007E475F"/>
    <w:rsid w:val="007E4A67"/>
    <w:rsid w:val="007E4B76"/>
    <w:rsid w:val="007F00D6"/>
    <w:rsid w:val="007F077D"/>
    <w:rsid w:val="007F0E3D"/>
    <w:rsid w:val="007F1017"/>
    <w:rsid w:val="007F121E"/>
    <w:rsid w:val="007F1416"/>
    <w:rsid w:val="007F318D"/>
    <w:rsid w:val="007F31EF"/>
    <w:rsid w:val="007F33C3"/>
    <w:rsid w:val="007F3D45"/>
    <w:rsid w:val="007F3FF4"/>
    <w:rsid w:val="007F4A3F"/>
    <w:rsid w:val="007F4A61"/>
    <w:rsid w:val="007F5255"/>
    <w:rsid w:val="007F56CC"/>
    <w:rsid w:val="007F61C2"/>
    <w:rsid w:val="007F6685"/>
    <w:rsid w:val="007F72DB"/>
    <w:rsid w:val="007F7FA2"/>
    <w:rsid w:val="008013F2"/>
    <w:rsid w:val="00801E30"/>
    <w:rsid w:val="00802951"/>
    <w:rsid w:val="00804C72"/>
    <w:rsid w:val="00804FF8"/>
    <w:rsid w:val="008050DD"/>
    <w:rsid w:val="00805142"/>
    <w:rsid w:val="008057FE"/>
    <w:rsid w:val="00805C7D"/>
    <w:rsid w:val="00805FCE"/>
    <w:rsid w:val="00806B48"/>
    <w:rsid w:val="00806B82"/>
    <w:rsid w:val="00807683"/>
    <w:rsid w:val="00807A8B"/>
    <w:rsid w:val="00810AB1"/>
    <w:rsid w:val="00811383"/>
    <w:rsid w:val="00811E0E"/>
    <w:rsid w:val="00812149"/>
    <w:rsid w:val="00812CAC"/>
    <w:rsid w:val="0081427B"/>
    <w:rsid w:val="00814EE2"/>
    <w:rsid w:val="00816361"/>
    <w:rsid w:val="008166EF"/>
    <w:rsid w:val="008167C8"/>
    <w:rsid w:val="00816A97"/>
    <w:rsid w:val="00816FEF"/>
    <w:rsid w:val="00817016"/>
    <w:rsid w:val="008177A3"/>
    <w:rsid w:val="0082092D"/>
    <w:rsid w:val="00820A8C"/>
    <w:rsid w:val="008215AA"/>
    <w:rsid w:val="008215FB"/>
    <w:rsid w:val="00821EA2"/>
    <w:rsid w:val="0082286D"/>
    <w:rsid w:val="00823174"/>
    <w:rsid w:val="008239F8"/>
    <w:rsid w:val="0082454F"/>
    <w:rsid w:val="008251B7"/>
    <w:rsid w:val="0082555C"/>
    <w:rsid w:val="00825751"/>
    <w:rsid w:val="0082599E"/>
    <w:rsid w:val="008259BA"/>
    <w:rsid w:val="00825EDF"/>
    <w:rsid w:val="008264EB"/>
    <w:rsid w:val="00826D51"/>
    <w:rsid w:val="008273D8"/>
    <w:rsid w:val="008304B0"/>
    <w:rsid w:val="00830CD5"/>
    <w:rsid w:val="008311D5"/>
    <w:rsid w:val="008313CF"/>
    <w:rsid w:val="008317EC"/>
    <w:rsid w:val="00832C4D"/>
    <w:rsid w:val="00833B05"/>
    <w:rsid w:val="008340CF"/>
    <w:rsid w:val="00834618"/>
    <w:rsid w:val="00835454"/>
    <w:rsid w:val="00835AA1"/>
    <w:rsid w:val="00835F85"/>
    <w:rsid w:val="00836153"/>
    <w:rsid w:val="008362B4"/>
    <w:rsid w:val="0083674A"/>
    <w:rsid w:val="00836C06"/>
    <w:rsid w:val="0083767F"/>
    <w:rsid w:val="0084000F"/>
    <w:rsid w:val="008402BD"/>
    <w:rsid w:val="008404A6"/>
    <w:rsid w:val="0084067A"/>
    <w:rsid w:val="00840BCF"/>
    <w:rsid w:val="00840CA2"/>
    <w:rsid w:val="00841CF7"/>
    <w:rsid w:val="008420A9"/>
    <w:rsid w:val="0084220E"/>
    <w:rsid w:val="00842CC2"/>
    <w:rsid w:val="008430EF"/>
    <w:rsid w:val="0084374F"/>
    <w:rsid w:val="00843C87"/>
    <w:rsid w:val="00844307"/>
    <w:rsid w:val="0084436E"/>
    <w:rsid w:val="008448D4"/>
    <w:rsid w:val="00844A22"/>
    <w:rsid w:val="00844D46"/>
    <w:rsid w:val="008455C9"/>
    <w:rsid w:val="008458A0"/>
    <w:rsid w:val="00846295"/>
    <w:rsid w:val="0084746C"/>
    <w:rsid w:val="00847703"/>
    <w:rsid w:val="00847DF5"/>
    <w:rsid w:val="0085101D"/>
    <w:rsid w:val="008513B5"/>
    <w:rsid w:val="0085211A"/>
    <w:rsid w:val="00852A4C"/>
    <w:rsid w:val="00852F65"/>
    <w:rsid w:val="0085309C"/>
    <w:rsid w:val="0085309D"/>
    <w:rsid w:val="008535FC"/>
    <w:rsid w:val="00853C86"/>
    <w:rsid w:val="00854729"/>
    <w:rsid w:val="008547C8"/>
    <w:rsid w:val="00855826"/>
    <w:rsid w:val="00856897"/>
    <w:rsid w:val="00856B40"/>
    <w:rsid w:val="00856CF9"/>
    <w:rsid w:val="00856E9A"/>
    <w:rsid w:val="0085769D"/>
    <w:rsid w:val="0086075D"/>
    <w:rsid w:val="00860887"/>
    <w:rsid w:val="008617BF"/>
    <w:rsid w:val="008624F9"/>
    <w:rsid w:val="00862502"/>
    <w:rsid w:val="0086283F"/>
    <w:rsid w:val="00862CC1"/>
    <w:rsid w:val="00863EE3"/>
    <w:rsid w:val="008654B0"/>
    <w:rsid w:val="00865C5E"/>
    <w:rsid w:val="008660D4"/>
    <w:rsid w:val="008660E2"/>
    <w:rsid w:val="00866A2A"/>
    <w:rsid w:val="00866B09"/>
    <w:rsid w:val="00866FF1"/>
    <w:rsid w:val="00870228"/>
    <w:rsid w:val="008704B4"/>
    <w:rsid w:val="0087063F"/>
    <w:rsid w:val="00870DA0"/>
    <w:rsid w:val="00871AA7"/>
    <w:rsid w:val="00871F51"/>
    <w:rsid w:val="00871FA9"/>
    <w:rsid w:val="008728E9"/>
    <w:rsid w:val="00873F54"/>
    <w:rsid w:val="008743C5"/>
    <w:rsid w:val="00874FCD"/>
    <w:rsid w:val="00875766"/>
    <w:rsid w:val="008764F8"/>
    <w:rsid w:val="00876F53"/>
    <w:rsid w:val="00876FC5"/>
    <w:rsid w:val="0088143D"/>
    <w:rsid w:val="00881F84"/>
    <w:rsid w:val="00882874"/>
    <w:rsid w:val="00882E3C"/>
    <w:rsid w:val="00882EC7"/>
    <w:rsid w:val="00883787"/>
    <w:rsid w:val="00883FCF"/>
    <w:rsid w:val="008855E4"/>
    <w:rsid w:val="00885C67"/>
    <w:rsid w:val="0088670E"/>
    <w:rsid w:val="00886CD2"/>
    <w:rsid w:val="008870B5"/>
    <w:rsid w:val="008871C6"/>
    <w:rsid w:val="008872F2"/>
    <w:rsid w:val="008876A2"/>
    <w:rsid w:val="00890379"/>
    <w:rsid w:val="0089144D"/>
    <w:rsid w:val="00891E6F"/>
    <w:rsid w:val="0089275D"/>
    <w:rsid w:val="00892A36"/>
    <w:rsid w:val="00893239"/>
    <w:rsid w:val="0089342F"/>
    <w:rsid w:val="00893570"/>
    <w:rsid w:val="00894489"/>
    <w:rsid w:val="008946B1"/>
    <w:rsid w:val="008950A4"/>
    <w:rsid w:val="008959C0"/>
    <w:rsid w:val="00895E60"/>
    <w:rsid w:val="008963A5"/>
    <w:rsid w:val="008966C7"/>
    <w:rsid w:val="00896D3F"/>
    <w:rsid w:val="00896D5D"/>
    <w:rsid w:val="008972E4"/>
    <w:rsid w:val="0089732A"/>
    <w:rsid w:val="008979A0"/>
    <w:rsid w:val="008A04C2"/>
    <w:rsid w:val="008A0831"/>
    <w:rsid w:val="008A0DA7"/>
    <w:rsid w:val="008A1313"/>
    <w:rsid w:val="008A293C"/>
    <w:rsid w:val="008A2B18"/>
    <w:rsid w:val="008A2B79"/>
    <w:rsid w:val="008A313F"/>
    <w:rsid w:val="008A3363"/>
    <w:rsid w:val="008A3371"/>
    <w:rsid w:val="008A3C3E"/>
    <w:rsid w:val="008A4318"/>
    <w:rsid w:val="008A634C"/>
    <w:rsid w:val="008A79DE"/>
    <w:rsid w:val="008B0703"/>
    <w:rsid w:val="008B0F15"/>
    <w:rsid w:val="008B1757"/>
    <w:rsid w:val="008B2CDE"/>
    <w:rsid w:val="008B460B"/>
    <w:rsid w:val="008B60BF"/>
    <w:rsid w:val="008B63DC"/>
    <w:rsid w:val="008B7992"/>
    <w:rsid w:val="008B7D7E"/>
    <w:rsid w:val="008C0863"/>
    <w:rsid w:val="008C1C3E"/>
    <w:rsid w:val="008C2268"/>
    <w:rsid w:val="008C46AE"/>
    <w:rsid w:val="008C55E9"/>
    <w:rsid w:val="008C5610"/>
    <w:rsid w:val="008C5739"/>
    <w:rsid w:val="008C5890"/>
    <w:rsid w:val="008C665F"/>
    <w:rsid w:val="008C71AC"/>
    <w:rsid w:val="008C71B6"/>
    <w:rsid w:val="008C7373"/>
    <w:rsid w:val="008C74A7"/>
    <w:rsid w:val="008C7ECB"/>
    <w:rsid w:val="008D1282"/>
    <w:rsid w:val="008D1F15"/>
    <w:rsid w:val="008D1FAA"/>
    <w:rsid w:val="008D2B9E"/>
    <w:rsid w:val="008D3662"/>
    <w:rsid w:val="008D3B86"/>
    <w:rsid w:val="008D42D5"/>
    <w:rsid w:val="008D4755"/>
    <w:rsid w:val="008D4841"/>
    <w:rsid w:val="008D4C3D"/>
    <w:rsid w:val="008D6D1C"/>
    <w:rsid w:val="008D738B"/>
    <w:rsid w:val="008D743C"/>
    <w:rsid w:val="008D76DC"/>
    <w:rsid w:val="008E0216"/>
    <w:rsid w:val="008E0C22"/>
    <w:rsid w:val="008E0C70"/>
    <w:rsid w:val="008E0D3C"/>
    <w:rsid w:val="008E0FA3"/>
    <w:rsid w:val="008E138E"/>
    <w:rsid w:val="008E1B9E"/>
    <w:rsid w:val="008E29A7"/>
    <w:rsid w:val="008E43F2"/>
    <w:rsid w:val="008E55AB"/>
    <w:rsid w:val="008E57CA"/>
    <w:rsid w:val="008E57CF"/>
    <w:rsid w:val="008E6663"/>
    <w:rsid w:val="008E69D8"/>
    <w:rsid w:val="008F120A"/>
    <w:rsid w:val="008F19EF"/>
    <w:rsid w:val="008F27E0"/>
    <w:rsid w:val="008F2D4C"/>
    <w:rsid w:val="008F2FC3"/>
    <w:rsid w:val="008F48EB"/>
    <w:rsid w:val="008F4DF2"/>
    <w:rsid w:val="008F4F0B"/>
    <w:rsid w:val="008F654D"/>
    <w:rsid w:val="008F6DC3"/>
    <w:rsid w:val="008F7A58"/>
    <w:rsid w:val="00900526"/>
    <w:rsid w:val="00900C33"/>
    <w:rsid w:val="0090277F"/>
    <w:rsid w:val="0090314C"/>
    <w:rsid w:val="00903590"/>
    <w:rsid w:val="00903C88"/>
    <w:rsid w:val="0090413A"/>
    <w:rsid w:val="009046C4"/>
    <w:rsid w:val="00904A8D"/>
    <w:rsid w:val="009052C2"/>
    <w:rsid w:val="009062A5"/>
    <w:rsid w:val="0090688B"/>
    <w:rsid w:val="009068E6"/>
    <w:rsid w:val="00910FA7"/>
    <w:rsid w:val="00911272"/>
    <w:rsid w:val="00912247"/>
    <w:rsid w:val="0091234A"/>
    <w:rsid w:val="00912ECD"/>
    <w:rsid w:val="00913208"/>
    <w:rsid w:val="009135D6"/>
    <w:rsid w:val="0091385B"/>
    <w:rsid w:val="00913EE8"/>
    <w:rsid w:val="00914C77"/>
    <w:rsid w:val="00914DF7"/>
    <w:rsid w:val="009156E4"/>
    <w:rsid w:val="009157AC"/>
    <w:rsid w:val="00915FB4"/>
    <w:rsid w:val="00917251"/>
    <w:rsid w:val="00920D90"/>
    <w:rsid w:val="00921ACB"/>
    <w:rsid w:val="00921BBC"/>
    <w:rsid w:val="00922BC4"/>
    <w:rsid w:val="00922EC6"/>
    <w:rsid w:val="0092369B"/>
    <w:rsid w:val="0092401A"/>
    <w:rsid w:val="00925513"/>
    <w:rsid w:val="009255EC"/>
    <w:rsid w:val="00925A4C"/>
    <w:rsid w:val="00925D13"/>
    <w:rsid w:val="00926E9F"/>
    <w:rsid w:val="00930C9D"/>
    <w:rsid w:val="009311FF"/>
    <w:rsid w:val="00931D64"/>
    <w:rsid w:val="00932048"/>
    <w:rsid w:val="00932DDC"/>
    <w:rsid w:val="00933068"/>
    <w:rsid w:val="00934988"/>
    <w:rsid w:val="00934ABC"/>
    <w:rsid w:val="009361B8"/>
    <w:rsid w:val="009362D2"/>
    <w:rsid w:val="009368A8"/>
    <w:rsid w:val="00936EFD"/>
    <w:rsid w:val="00936F2F"/>
    <w:rsid w:val="00937089"/>
    <w:rsid w:val="0094002C"/>
    <w:rsid w:val="00940D35"/>
    <w:rsid w:val="00943AFE"/>
    <w:rsid w:val="0094442A"/>
    <w:rsid w:val="00944822"/>
    <w:rsid w:val="00944DAD"/>
    <w:rsid w:val="00944F8A"/>
    <w:rsid w:val="009461C0"/>
    <w:rsid w:val="00946951"/>
    <w:rsid w:val="00946C27"/>
    <w:rsid w:val="00947419"/>
    <w:rsid w:val="00947EEA"/>
    <w:rsid w:val="00947F3F"/>
    <w:rsid w:val="0095049D"/>
    <w:rsid w:val="00950AC2"/>
    <w:rsid w:val="00950E49"/>
    <w:rsid w:val="00950F52"/>
    <w:rsid w:val="009510A2"/>
    <w:rsid w:val="009512FE"/>
    <w:rsid w:val="00951AE6"/>
    <w:rsid w:val="00953257"/>
    <w:rsid w:val="0095415B"/>
    <w:rsid w:val="0095474C"/>
    <w:rsid w:val="00954D47"/>
    <w:rsid w:val="00954EAE"/>
    <w:rsid w:val="0096017D"/>
    <w:rsid w:val="00960190"/>
    <w:rsid w:val="009605A4"/>
    <w:rsid w:val="00962018"/>
    <w:rsid w:val="00962CB9"/>
    <w:rsid w:val="0096349C"/>
    <w:rsid w:val="009636F9"/>
    <w:rsid w:val="00963CF2"/>
    <w:rsid w:val="00964312"/>
    <w:rsid w:val="0096432C"/>
    <w:rsid w:val="00964E4E"/>
    <w:rsid w:val="00965631"/>
    <w:rsid w:val="00965A5B"/>
    <w:rsid w:val="00965B8A"/>
    <w:rsid w:val="0096652E"/>
    <w:rsid w:val="009706F3"/>
    <w:rsid w:val="0097071F"/>
    <w:rsid w:val="00970C32"/>
    <w:rsid w:val="00971718"/>
    <w:rsid w:val="009717AC"/>
    <w:rsid w:val="0097291C"/>
    <w:rsid w:val="00972BA1"/>
    <w:rsid w:val="00973C21"/>
    <w:rsid w:val="009751C1"/>
    <w:rsid w:val="00975D7F"/>
    <w:rsid w:val="009773CD"/>
    <w:rsid w:val="009811F1"/>
    <w:rsid w:val="0098139C"/>
    <w:rsid w:val="009819F8"/>
    <w:rsid w:val="00981B92"/>
    <w:rsid w:val="00981DA8"/>
    <w:rsid w:val="00983E57"/>
    <w:rsid w:val="00983E67"/>
    <w:rsid w:val="00985DE2"/>
    <w:rsid w:val="009861EB"/>
    <w:rsid w:val="00986479"/>
    <w:rsid w:val="00986554"/>
    <w:rsid w:val="0098675D"/>
    <w:rsid w:val="00986D07"/>
    <w:rsid w:val="0098710B"/>
    <w:rsid w:val="00987A2B"/>
    <w:rsid w:val="00987F10"/>
    <w:rsid w:val="009910B7"/>
    <w:rsid w:val="009912BC"/>
    <w:rsid w:val="00991516"/>
    <w:rsid w:val="009925E9"/>
    <w:rsid w:val="009926E0"/>
    <w:rsid w:val="009933EA"/>
    <w:rsid w:val="0099432B"/>
    <w:rsid w:val="0099451E"/>
    <w:rsid w:val="0099539F"/>
    <w:rsid w:val="009957F4"/>
    <w:rsid w:val="0099581A"/>
    <w:rsid w:val="00996703"/>
    <w:rsid w:val="009967E9"/>
    <w:rsid w:val="00996B1A"/>
    <w:rsid w:val="009974E6"/>
    <w:rsid w:val="00997711"/>
    <w:rsid w:val="00997839"/>
    <w:rsid w:val="009A0232"/>
    <w:rsid w:val="009A0C33"/>
    <w:rsid w:val="009A2DCC"/>
    <w:rsid w:val="009A2E36"/>
    <w:rsid w:val="009A324D"/>
    <w:rsid w:val="009A3C98"/>
    <w:rsid w:val="009A3E0D"/>
    <w:rsid w:val="009A3E9E"/>
    <w:rsid w:val="009A4041"/>
    <w:rsid w:val="009A4F21"/>
    <w:rsid w:val="009A54F1"/>
    <w:rsid w:val="009A56BD"/>
    <w:rsid w:val="009A5ABC"/>
    <w:rsid w:val="009A5F21"/>
    <w:rsid w:val="009A7152"/>
    <w:rsid w:val="009A7383"/>
    <w:rsid w:val="009A739B"/>
    <w:rsid w:val="009A73AF"/>
    <w:rsid w:val="009A7F10"/>
    <w:rsid w:val="009B08A9"/>
    <w:rsid w:val="009B0A0E"/>
    <w:rsid w:val="009B1A47"/>
    <w:rsid w:val="009B1FA5"/>
    <w:rsid w:val="009B27CF"/>
    <w:rsid w:val="009B38B3"/>
    <w:rsid w:val="009B3AD1"/>
    <w:rsid w:val="009B3DF2"/>
    <w:rsid w:val="009B3E26"/>
    <w:rsid w:val="009B4E35"/>
    <w:rsid w:val="009B6B35"/>
    <w:rsid w:val="009B6FEF"/>
    <w:rsid w:val="009B707F"/>
    <w:rsid w:val="009B7C00"/>
    <w:rsid w:val="009C00D6"/>
    <w:rsid w:val="009C11E9"/>
    <w:rsid w:val="009C25DD"/>
    <w:rsid w:val="009C3706"/>
    <w:rsid w:val="009C3A3A"/>
    <w:rsid w:val="009C63DF"/>
    <w:rsid w:val="009C6CEA"/>
    <w:rsid w:val="009C7B85"/>
    <w:rsid w:val="009C7EED"/>
    <w:rsid w:val="009D0254"/>
    <w:rsid w:val="009D0429"/>
    <w:rsid w:val="009D1A64"/>
    <w:rsid w:val="009D1EBA"/>
    <w:rsid w:val="009D2CB6"/>
    <w:rsid w:val="009D37F4"/>
    <w:rsid w:val="009D4074"/>
    <w:rsid w:val="009D4387"/>
    <w:rsid w:val="009D5138"/>
    <w:rsid w:val="009D5B91"/>
    <w:rsid w:val="009D5E69"/>
    <w:rsid w:val="009D792E"/>
    <w:rsid w:val="009D7ED7"/>
    <w:rsid w:val="009E0C46"/>
    <w:rsid w:val="009E0DFE"/>
    <w:rsid w:val="009E1A6E"/>
    <w:rsid w:val="009E31F6"/>
    <w:rsid w:val="009E37A2"/>
    <w:rsid w:val="009E457B"/>
    <w:rsid w:val="009E4C07"/>
    <w:rsid w:val="009E4E1D"/>
    <w:rsid w:val="009E567F"/>
    <w:rsid w:val="009F051D"/>
    <w:rsid w:val="009F1E28"/>
    <w:rsid w:val="009F4EC1"/>
    <w:rsid w:val="009F529F"/>
    <w:rsid w:val="009F5AB5"/>
    <w:rsid w:val="00A0009D"/>
    <w:rsid w:val="00A01184"/>
    <w:rsid w:val="00A01F93"/>
    <w:rsid w:val="00A02458"/>
    <w:rsid w:val="00A0271E"/>
    <w:rsid w:val="00A02ED8"/>
    <w:rsid w:val="00A037C2"/>
    <w:rsid w:val="00A03847"/>
    <w:rsid w:val="00A03D43"/>
    <w:rsid w:val="00A04380"/>
    <w:rsid w:val="00A04FE1"/>
    <w:rsid w:val="00A05472"/>
    <w:rsid w:val="00A05C32"/>
    <w:rsid w:val="00A061AD"/>
    <w:rsid w:val="00A0653F"/>
    <w:rsid w:val="00A076D8"/>
    <w:rsid w:val="00A079DF"/>
    <w:rsid w:val="00A07C83"/>
    <w:rsid w:val="00A1156E"/>
    <w:rsid w:val="00A119CD"/>
    <w:rsid w:val="00A11CD0"/>
    <w:rsid w:val="00A120F8"/>
    <w:rsid w:val="00A127A7"/>
    <w:rsid w:val="00A13948"/>
    <w:rsid w:val="00A1555B"/>
    <w:rsid w:val="00A155C5"/>
    <w:rsid w:val="00A15706"/>
    <w:rsid w:val="00A1626C"/>
    <w:rsid w:val="00A16AD8"/>
    <w:rsid w:val="00A16DAC"/>
    <w:rsid w:val="00A17DFE"/>
    <w:rsid w:val="00A20EB6"/>
    <w:rsid w:val="00A21C95"/>
    <w:rsid w:val="00A21CF3"/>
    <w:rsid w:val="00A23ECF"/>
    <w:rsid w:val="00A241A6"/>
    <w:rsid w:val="00A243E5"/>
    <w:rsid w:val="00A24813"/>
    <w:rsid w:val="00A25C0D"/>
    <w:rsid w:val="00A26EDD"/>
    <w:rsid w:val="00A273AF"/>
    <w:rsid w:val="00A27AEC"/>
    <w:rsid w:val="00A27B67"/>
    <w:rsid w:val="00A27D37"/>
    <w:rsid w:val="00A30A09"/>
    <w:rsid w:val="00A315ED"/>
    <w:rsid w:val="00A320DB"/>
    <w:rsid w:val="00A32175"/>
    <w:rsid w:val="00A3234A"/>
    <w:rsid w:val="00A32F20"/>
    <w:rsid w:val="00A33D98"/>
    <w:rsid w:val="00A35213"/>
    <w:rsid w:val="00A35D16"/>
    <w:rsid w:val="00A36973"/>
    <w:rsid w:val="00A36E19"/>
    <w:rsid w:val="00A36F4E"/>
    <w:rsid w:val="00A37155"/>
    <w:rsid w:val="00A37BCD"/>
    <w:rsid w:val="00A41689"/>
    <w:rsid w:val="00A41AAC"/>
    <w:rsid w:val="00A421D5"/>
    <w:rsid w:val="00A42592"/>
    <w:rsid w:val="00A43808"/>
    <w:rsid w:val="00A43C59"/>
    <w:rsid w:val="00A44150"/>
    <w:rsid w:val="00A447DB"/>
    <w:rsid w:val="00A44BBE"/>
    <w:rsid w:val="00A457C5"/>
    <w:rsid w:val="00A47143"/>
    <w:rsid w:val="00A5035A"/>
    <w:rsid w:val="00A50ECD"/>
    <w:rsid w:val="00A518F3"/>
    <w:rsid w:val="00A51E44"/>
    <w:rsid w:val="00A5247E"/>
    <w:rsid w:val="00A52729"/>
    <w:rsid w:val="00A52743"/>
    <w:rsid w:val="00A53102"/>
    <w:rsid w:val="00A53675"/>
    <w:rsid w:val="00A53FEF"/>
    <w:rsid w:val="00A54416"/>
    <w:rsid w:val="00A564D7"/>
    <w:rsid w:val="00A56B6A"/>
    <w:rsid w:val="00A56BD2"/>
    <w:rsid w:val="00A56DA5"/>
    <w:rsid w:val="00A578DC"/>
    <w:rsid w:val="00A6068A"/>
    <w:rsid w:val="00A63235"/>
    <w:rsid w:val="00A640E2"/>
    <w:rsid w:val="00A64D65"/>
    <w:rsid w:val="00A64EA9"/>
    <w:rsid w:val="00A6652F"/>
    <w:rsid w:val="00A66C41"/>
    <w:rsid w:val="00A66D36"/>
    <w:rsid w:val="00A67096"/>
    <w:rsid w:val="00A6725B"/>
    <w:rsid w:val="00A70605"/>
    <w:rsid w:val="00A7195B"/>
    <w:rsid w:val="00A71C3A"/>
    <w:rsid w:val="00A72ED2"/>
    <w:rsid w:val="00A73134"/>
    <w:rsid w:val="00A73376"/>
    <w:rsid w:val="00A74B29"/>
    <w:rsid w:val="00A75E19"/>
    <w:rsid w:val="00A76001"/>
    <w:rsid w:val="00A766D4"/>
    <w:rsid w:val="00A76FB9"/>
    <w:rsid w:val="00A7701A"/>
    <w:rsid w:val="00A777B2"/>
    <w:rsid w:val="00A77F80"/>
    <w:rsid w:val="00A8042E"/>
    <w:rsid w:val="00A80580"/>
    <w:rsid w:val="00A8106B"/>
    <w:rsid w:val="00A825D4"/>
    <w:rsid w:val="00A828F6"/>
    <w:rsid w:val="00A82B73"/>
    <w:rsid w:val="00A83811"/>
    <w:rsid w:val="00A83BBF"/>
    <w:rsid w:val="00A84594"/>
    <w:rsid w:val="00A849CD"/>
    <w:rsid w:val="00A84A86"/>
    <w:rsid w:val="00A8540C"/>
    <w:rsid w:val="00A85805"/>
    <w:rsid w:val="00A867B1"/>
    <w:rsid w:val="00A86E8B"/>
    <w:rsid w:val="00A87164"/>
    <w:rsid w:val="00A8754F"/>
    <w:rsid w:val="00A906A0"/>
    <w:rsid w:val="00A9105C"/>
    <w:rsid w:val="00A911AD"/>
    <w:rsid w:val="00A92C5C"/>
    <w:rsid w:val="00A93072"/>
    <w:rsid w:val="00A93448"/>
    <w:rsid w:val="00A938BD"/>
    <w:rsid w:val="00A93953"/>
    <w:rsid w:val="00A94CC5"/>
    <w:rsid w:val="00A954AC"/>
    <w:rsid w:val="00A95951"/>
    <w:rsid w:val="00A959D8"/>
    <w:rsid w:val="00A95AFA"/>
    <w:rsid w:val="00A97223"/>
    <w:rsid w:val="00A974A3"/>
    <w:rsid w:val="00A97822"/>
    <w:rsid w:val="00AA113D"/>
    <w:rsid w:val="00AA1302"/>
    <w:rsid w:val="00AA15F2"/>
    <w:rsid w:val="00AA3AC7"/>
    <w:rsid w:val="00AA4EF2"/>
    <w:rsid w:val="00AA519E"/>
    <w:rsid w:val="00AA5CBC"/>
    <w:rsid w:val="00AA6BD5"/>
    <w:rsid w:val="00AA6BD8"/>
    <w:rsid w:val="00AA6C7D"/>
    <w:rsid w:val="00AA723C"/>
    <w:rsid w:val="00AA7A28"/>
    <w:rsid w:val="00AA7F4D"/>
    <w:rsid w:val="00AA7FD6"/>
    <w:rsid w:val="00AB042A"/>
    <w:rsid w:val="00AB1310"/>
    <w:rsid w:val="00AB19EF"/>
    <w:rsid w:val="00AB29A6"/>
    <w:rsid w:val="00AB2A52"/>
    <w:rsid w:val="00AB2D34"/>
    <w:rsid w:val="00AB3430"/>
    <w:rsid w:val="00AB37B9"/>
    <w:rsid w:val="00AB3F01"/>
    <w:rsid w:val="00AB4480"/>
    <w:rsid w:val="00AB48F2"/>
    <w:rsid w:val="00AB4AD1"/>
    <w:rsid w:val="00AB557B"/>
    <w:rsid w:val="00AB5599"/>
    <w:rsid w:val="00AB5E07"/>
    <w:rsid w:val="00AB68C5"/>
    <w:rsid w:val="00AB794F"/>
    <w:rsid w:val="00AB7CFA"/>
    <w:rsid w:val="00AC0810"/>
    <w:rsid w:val="00AC08D7"/>
    <w:rsid w:val="00AC16C0"/>
    <w:rsid w:val="00AC3D57"/>
    <w:rsid w:val="00AC41B0"/>
    <w:rsid w:val="00AC453C"/>
    <w:rsid w:val="00AC5B48"/>
    <w:rsid w:val="00AC740B"/>
    <w:rsid w:val="00AC7764"/>
    <w:rsid w:val="00AD016C"/>
    <w:rsid w:val="00AD0189"/>
    <w:rsid w:val="00AD0C1B"/>
    <w:rsid w:val="00AD1450"/>
    <w:rsid w:val="00AD33FB"/>
    <w:rsid w:val="00AD38A2"/>
    <w:rsid w:val="00AD38BA"/>
    <w:rsid w:val="00AD3B98"/>
    <w:rsid w:val="00AD5799"/>
    <w:rsid w:val="00AD61A4"/>
    <w:rsid w:val="00AD6502"/>
    <w:rsid w:val="00AD6524"/>
    <w:rsid w:val="00AE0695"/>
    <w:rsid w:val="00AE06E2"/>
    <w:rsid w:val="00AE0713"/>
    <w:rsid w:val="00AE09DF"/>
    <w:rsid w:val="00AE1EF7"/>
    <w:rsid w:val="00AE291C"/>
    <w:rsid w:val="00AE2E8C"/>
    <w:rsid w:val="00AE3E7E"/>
    <w:rsid w:val="00AE4124"/>
    <w:rsid w:val="00AE4B5B"/>
    <w:rsid w:val="00AE4FFF"/>
    <w:rsid w:val="00AE508A"/>
    <w:rsid w:val="00AE5F19"/>
    <w:rsid w:val="00AE6152"/>
    <w:rsid w:val="00AE6179"/>
    <w:rsid w:val="00AE6ACD"/>
    <w:rsid w:val="00AE6B9C"/>
    <w:rsid w:val="00AE6CF7"/>
    <w:rsid w:val="00AE70BC"/>
    <w:rsid w:val="00AE7EF6"/>
    <w:rsid w:val="00AF0B98"/>
    <w:rsid w:val="00AF0F53"/>
    <w:rsid w:val="00AF1315"/>
    <w:rsid w:val="00AF19BF"/>
    <w:rsid w:val="00AF1F3F"/>
    <w:rsid w:val="00AF2D1A"/>
    <w:rsid w:val="00AF2DC3"/>
    <w:rsid w:val="00AF2E66"/>
    <w:rsid w:val="00AF3723"/>
    <w:rsid w:val="00AF4401"/>
    <w:rsid w:val="00AF4EB0"/>
    <w:rsid w:val="00AF5AAC"/>
    <w:rsid w:val="00AF5D72"/>
    <w:rsid w:val="00AF5F03"/>
    <w:rsid w:val="00AF5F32"/>
    <w:rsid w:val="00AF7073"/>
    <w:rsid w:val="00AF7082"/>
    <w:rsid w:val="00AF7A27"/>
    <w:rsid w:val="00AF7C69"/>
    <w:rsid w:val="00B003C4"/>
    <w:rsid w:val="00B015F7"/>
    <w:rsid w:val="00B02A09"/>
    <w:rsid w:val="00B02D1A"/>
    <w:rsid w:val="00B033E5"/>
    <w:rsid w:val="00B03A63"/>
    <w:rsid w:val="00B03CD9"/>
    <w:rsid w:val="00B04108"/>
    <w:rsid w:val="00B0531B"/>
    <w:rsid w:val="00B05ABC"/>
    <w:rsid w:val="00B06584"/>
    <w:rsid w:val="00B07305"/>
    <w:rsid w:val="00B118F5"/>
    <w:rsid w:val="00B1357A"/>
    <w:rsid w:val="00B13A31"/>
    <w:rsid w:val="00B13D02"/>
    <w:rsid w:val="00B14120"/>
    <w:rsid w:val="00B14322"/>
    <w:rsid w:val="00B14906"/>
    <w:rsid w:val="00B14FE0"/>
    <w:rsid w:val="00B15D0A"/>
    <w:rsid w:val="00B1776C"/>
    <w:rsid w:val="00B17966"/>
    <w:rsid w:val="00B17CE1"/>
    <w:rsid w:val="00B201A4"/>
    <w:rsid w:val="00B201D1"/>
    <w:rsid w:val="00B20CD2"/>
    <w:rsid w:val="00B213A6"/>
    <w:rsid w:val="00B21CD2"/>
    <w:rsid w:val="00B22454"/>
    <w:rsid w:val="00B22867"/>
    <w:rsid w:val="00B22901"/>
    <w:rsid w:val="00B235B0"/>
    <w:rsid w:val="00B2421D"/>
    <w:rsid w:val="00B24DF6"/>
    <w:rsid w:val="00B2505E"/>
    <w:rsid w:val="00B25E9E"/>
    <w:rsid w:val="00B260F5"/>
    <w:rsid w:val="00B2785F"/>
    <w:rsid w:val="00B279D4"/>
    <w:rsid w:val="00B27B9F"/>
    <w:rsid w:val="00B27CD1"/>
    <w:rsid w:val="00B306A7"/>
    <w:rsid w:val="00B30CFE"/>
    <w:rsid w:val="00B31253"/>
    <w:rsid w:val="00B313BC"/>
    <w:rsid w:val="00B32A3D"/>
    <w:rsid w:val="00B33BAF"/>
    <w:rsid w:val="00B33D9F"/>
    <w:rsid w:val="00B344E6"/>
    <w:rsid w:val="00B34FE2"/>
    <w:rsid w:val="00B35166"/>
    <w:rsid w:val="00B35396"/>
    <w:rsid w:val="00B353B4"/>
    <w:rsid w:val="00B357D8"/>
    <w:rsid w:val="00B358F0"/>
    <w:rsid w:val="00B35A5E"/>
    <w:rsid w:val="00B360F4"/>
    <w:rsid w:val="00B36A00"/>
    <w:rsid w:val="00B372D7"/>
    <w:rsid w:val="00B37BFC"/>
    <w:rsid w:val="00B40223"/>
    <w:rsid w:val="00B40358"/>
    <w:rsid w:val="00B4051E"/>
    <w:rsid w:val="00B41614"/>
    <w:rsid w:val="00B422E4"/>
    <w:rsid w:val="00B42851"/>
    <w:rsid w:val="00B42F80"/>
    <w:rsid w:val="00B433AD"/>
    <w:rsid w:val="00B435CB"/>
    <w:rsid w:val="00B443B7"/>
    <w:rsid w:val="00B458AE"/>
    <w:rsid w:val="00B45BCF"/>
    <w:rsid w:val="00B469E6"/>
    <w:rsid w:val="00B46B2A"/>
    <w:rsid w:val="00B4761B"/>
    <w:rsid w:val="00B505C8"/>
    <w:rsid w:val="00B50DB8"/>
    <w:rsid w:val="00B513EF"/>
    <w:rsid w:val="00B51869"/>
    <w:rsid w:val="00B51F8B"/>
    <w:rsid w:val="00B52BF8"/>
    <w:rsid w:val="00B530E3"/>
    <w:rsid w:val="00B53654"/>
    <w:rsid w:val="00B53905"/>
    <w:rsid w:val="00B548F9"/>
    <w:rsid w:val="00B54B5B"/>
    <w:rsid w:val="00B5562E"/>
    <w:rsid w:val="00B55D65"/>
    <w:rsid w:val="00B56990"/>
    <w:rsid w:val="00B56B1B"/>
    <w:rsid w:val="00B56E18"/>
    <w:rsid w:val="00B57000"/>
    <w:rsid w:val="00B577FD"/>
    <w:rsid w:val="00B60939"/>
    <w:rsid w:val="00B60A4E"/>
    <w:rsid w:val="00B60AFD"/>
    <w:rsid w:val="00B6161B"/>
    <w:rsid w:val="00B6202E"/>
    <w:rsid w:val="00B621D0"/>
    <w:rsid w:val="00B62365"/>
    <w:rsid w:val="00B62715"/>
    <w:rsid w:val="00B62C43"/>
    <w:rsid w:val="00B6434B"/>
    <w:rsid w:val="00B64DA6"/>
    <w:rsid w:val="00B652EB"/>
    <w:rsid w:val="00B65611"/>
    <w:rsid w:val="00B65810"/>
    <w:rsid w:val="00B66C9F"/>
    <w:rsid w:val="00B670B1"/>
    <w:rsid w:val="00B678EB"/>
    <w:rsid w:val="00B700D6"/>
    <w:rsid w:val="00B701B3"/>
    <w:rsid w:val="00B70332"/>
    <w:rsid w:val="00B70E8E"/>
    <w:rsid w:val="00B7126D"/>
    <w:rsid w:val="00B712FF"/>
    <w:rsid w:val="00B72CDE"/>
    <w:rsid w:val="00B73C06"/>
    <w:rsid w:val="00B74A32"/>
    <w:rsid w:val="00B74F85"/>
    <w:rsid w:val="00B753D5"/>
    <w:rsid w:val="00B75859"/>
    <w:rsid w:val="00B75C68"/>
    <w:rsid w:val="00B76C92"/>
    <w:rsid w:val="00B77AE3"/>
    <w:rsid w:val="00B80DFC"/>
    <w:rsid w:val="00B818A4"/>
    <w:rsid w:val="00B81BF8"/>
    <w:rsid w:val="00B82FAA"/>
    <w:rsid w:val="00B8356E"/>
    <w:rsid w:val="00B84117"/>
    <w:rsid w:val="00B8486B"/>
    <w:rsid w:val="00B8584C"/>
    <w:rsid w:val="00B858F0"/>
    <w:rsid w:val="00B85AA2"/>
    <w:rsid w:val="00B8649C"/>
    <w:rsid w:val="00B866AC"/>
    <w:rsid w:val="00B8695D"/>
    <w:rsid w:val="00B86F61"/>
    <w:rsid w:val="00B8771E"/>
    <w:rsid w:val="00B87F0A"/>
    <w:rsid w:val="00B905EB"/>
    <w:rsid w:val="00B9214D"/>
    <w:rsid w:val="00B92D0B"/>
    <w:rsid w:val="00B93AAA"/>
    <w:rsid w:val="00B94766"/>
    <w:rsid w:val="00B94945"/>
    <w:rsid w:val="00B94DD6"/>
    <w:rsid w:val="00B965EA"/>
    <w:rsid w:val="00B96B5A"/>
    <w:rsid w:val="00B96ECB"/>
    <w:rsid w:val="00B97B7E"/>
    <w:rsid w:val="00BA08B9"/>
    <w:rsid w:val="00BA18A2"/>
    <w:rsid w:val="00BA1CED"/>
    <w:rsid w:val="00BA219F"/>
    <w:rsid w:val="00BA2C15"/>
    <w:rsid w:val="00BA322D"/>
    <w:rsid w:val="00BA324A"/>
    <w:rsid w:val="00BA412D"/>
    <w:rsid w:val="00BA51C5"/>
    <w:rsid w:val="00BA63FA"/>
    <w:rsid w:val="00BA6762"/>
    <w:rsid w:val="00BA6B42"/>
    <w:rsid w:val="00BA6E99"/>
    <w:rsid w:val="00BA7150"/>
    <w:rsid w:val="00BA7216"/>
    <w:rsid w:val="00BA78AC"/>
    <w:rsid w:val="00BB00B3"/>
    <w:rsid w:val="00BB03A8"/>
    <w:rsid w:val="00BB0593"/>
    <w:rsid w:val="00BB0BDD"/>
    <w:rsid w:val="00BB13CF"/>
    <w:rsid w:val="00BB176C"/>
    <w:rsid w:val="00BB26AF"/>
    <w:rsid w:val="00BB2A73"/>
    <w:rsid w:val="00BB2B2F"/>
    <w:rsid w:val="00BB35E8"/>
    <w:rsid w:val="00BB3A45"/>
    <w:rsid w:val="00BB4ACC"/>
    <w:rsid w:val="00BB4FE8"/>
    <w:rsid w:val="00BB5495"/>
    <w:rsid w:val="00BB5805"/>
    <w:rsid w:val="00BB5807"/>
    <w:rsid w:val="00BB5996"/>
    <w:rsid w:val="00BB61A1"/>
    <w:rsid w:val="00BB63A9"/>
    <w:rsid w:val="00BB6491"/>
    <w:rsid w:val="00BB6E86"/>
    <w:rsid w:val="00BB703E"/>
    <w:rsid w:val="00BB732D"/>
    <w:rsid w:val="00BB7405"/>
    <w:rsid w:val="00BC027D"/>
    <w:rsid w:val="00BC26D8"/>
    <w:rsid w:val="00BC3631"/>
    <w:rsid w:val="00BC3917"/>
    <w:rsid w:val="00BC591F"/>
    <w:rsid w:val="00BC6282"/>
    <w:rsid w:val="00BC7D6D"/>
    <w:rsid w:val="00BD09B5"/>
    <w:rsid w:val="00BD0B70"/>
    <w:rsid w:val="00BD0C37"/>
    <w:rsid w:val="00BD1C11"/>
    <w:rsid w:val="00BD2108"/>
    <w:rsid w:val="00BD2D9C"/>
    <w:rsid w:val="00BD46C1"/>
    <w:rsid w:val="00BD59FF"/>
    <w:rsid w:val="00BD6804"/>
    <w:rsid w:val="00BD68A3"/>
    <w:rsid w:val="00BD6938"/>
    <w:rsid w:val="00BD6CF3"/>
    <w:rsid w:val="00BE0ECA"/>
    <w:rsid w:val="00BE1084"/>
    <w:rsid w:val="00BE1ADF"/>
    <w:rsid w:val="00BE20B0"/>
    <w:rsid w:val="00BE2180"/>
    <w:rsid w:val="00BE21F2"/>
    <w:rsid w:val="00BE36F1"/>
    <w:rsid w:val="00BE4275"/>
    <w:rsid w:val="00BE531A"/>
    <w:rsid w:val="00BE65CE"/>
    <w:rsid w:val="00BE6EAE"/>
    <w:rsid w:val="00BF034A"/>
    <w:rsid w:val="00BF06AE"/>
    <w:rsid w:val="00BF0AFA"/>
    <w:rsid w:val="00BF0BE4"/>
    <w:rsid w:val="00BF0F95"/>
    <w:rsid w:val="00BF181A"/>
    <w:rsid w:val="00BF1BFB"/>
    <w:rsid w:val="00BF21F7"/>
    <w:rsid w:val="00BF2433"/>
    <w:rsid w:val="00BF2580"/>
    <w:rsid w:val="00BF2F0D"/>
    <w:rsid w:val="00BF482A"/>
    <w:rsid w:val="00BF5000"/>
    <w:rsid w:val="00BF58CF"/>
    <w:rsid w:val="00BF61C9"/>
    <w:rsid w:val="00BF6C94"/>
    <w:rsid w:val="00BF774F"/>
    <w:rsid w:val="00C00424"/>
    <w:rsid w:val="00C00ABE"/>
    <w:rsid w:val="00C016F6"/>
    <w:rsid w:val="00C019AF"/>
    <w:rsid w:val="00C01FE8"/>
    <w:rsid w:val="00C020F0"/>
    <w:rsid w:val="00C02791"/>
    <w:rsid w:val="00C02899"/>
    <w:rsid w:val="00C0370D"/>
    <w:rsid w:val="00C0394E"/>
    <w:rsid w:val="00C03E8E"/>
    <w:rsid w:val="00C03FE4"/>
    <w:rsid w:val="00C04276"/>
    <w:rsid w:val="00C04283"/>
    <w:rsid w:val="00C04980"/>
    <w:rsid w:val="00C0510F"/>
    <w:rsid w:val="00C06C8F"/>
    <w:rsid w:val="00C073AD"/>
    <w:rsid w:val="00C07FD8"/>
    <w:rsid w:val="00C10DD7"/>
    <w:rsid w:val="00C1179F"/>
    <w:rsid w:val="00C119B0"/>
    <w:rsid w:val="00C12BCC"/>
    <w:rsid w:val="00C12C14"/>
    <w:rsid w:val="00C13085"/>
    <w:rsid w:val="00C13717"/>
    <w:rsid w:val="00C14D55"/>
    <w:rsid w:val="00C14E8E"/>
    <w:rsid w:val="00C15F04"/>
    <w:rsid w:val="00C16587"/>
    <w:rsid w:val="00C165B9"/>
    <w:rsid w:val="00C16A87"/>
    <w:rsid w:val="00C179B3"/>
    <w:rsid w:val="00C17B20"/>
    <w:rsid w:val="00C17E3F"/>
    <w:rsid w:val="00C17E9B"/>
    <w:rsid w:val="00C200AA"/>
    <w:rsid w:val="00C200BA"/>
    <w:rsid w:val="00C210CA"/>
    <w:rsid w:val="00C2245F"/>
    <w:rsid w:val="00C2263C"/>
    <w:rsid w:val="00C237ED"/>
    <w:rsid w:val="00C24165"/>
    <w:rsid w:val="00C24404"/>
    <w:rsid w:val="00C24632"/>
    <w:rsid w:val="00C251FF"/>
    <w:rsid w:val="00C25418"/>
    <w:rsid w:val="00C25496"/>
    <w:rsid w:val="00C25D9C"/>
    <w:rsid w:val="00C25DF2"/>
    <w:rsid w:val="00C26131"/>
    <w:rsid w:val="00C2613B"/>
    <w:rsid w:val="00C26CEA"/>
    <w:rsid w:val="00C2702A"/>
    <w:rsid w:val="00C27602"/>
    <w:rsid w:val="00C2778B"/>
    <w:rsid w:val="00C30E02"/>
    <w:rsid w:val="00C31649"/>
    <w:rsid w:val="00C31986"/>
    <w:rsid w:val="00C31A06"/>
    <w:rsid w:val="00C33130"/>
    <w:rsid w:val="00C33975"/>
    <w:rsid w:val="00C33F48"/>
    <w:rsid w:val="00C3434C"/>
    <w:rsid w:val="00C34691"/>
    <w:rsid w:val="00C349B0"/>
    <w:rsid w:val="00C3608F"/>
    <w:rsid w:val="00C36C69"/>
    <w:rsid w:val="00C37174"/>
    <w:rsid w:val="00C37F83"/>
    <w:rsid w:val="00C400B2"/>
    <w:rsid w:val="00C40385"/>
    <w:rsid w:val="00C41127"/>
    <w:rsid w:val="00C41427"/>
    <w:rsid w:val="00C41768"/>
    <w:rsid w:val="00C43C16"/>
    <w:rsid w:val="00C43FF7"/>
    <w:rsid w:val="00C4546D"/>
    <w:rsid w:val="00C46D34"/>
    <w:rsid w:val="00C475AA"/>
    <w:rsid w:val="00C47FB2"/>
    <w:rsid w:val="00C5004F"/>
    <w:rsid w:val="00C5034F"/>
    <w:rsid w:val="00C50371"/>
    <w:rsid w:val="00C503CF"/>
    <w:rsid w:val="00C50D85"/>
    <w:rsid w:val="00C510B9"/>
    <w:rsid w:val="00C51C33"/>
    <w:rsid w:val="00C523A6"/>
    <w:rsid w:val="00C525FE"/>
    <w:rsid w:val="00C53C98"/>
    <w:rsid w:val="00C54DFE"/>
    <w:rsid w:val="00C5503A"/>
    <w:rsid w:val="00C55A90"/>
    <w:rsid w:val="00C56479"/>
    <w:rsid w:val="00C5662B"/>
    <w:rsid w:val="00C56FCF"/>
    <w:rsid w:val="00C57360"/>
    <w:rsid w:val="00C576FF"/>
    <w:rsid w:val="00C57B6C"/>
    <w:rsid w:val="00C60B92"/>
    <w:rsid w:val="00C60D84"/>
    <w:rsid w:val="00C6134A"/>
    <w:rsid w:val="00C61986"/>
    <w:rsid w:val="00C61D8C"/>
    <w:rsid w:val="00C61F69"/>
    <w:rsid w:val="00C628A6"/>
    <w:rsid w:val="00C62CA2"/>
    <w:rsid w:val="00C636C9"/>
    <w:rsid w:val="00C641EC"/>
    <w:rsid w:val="00C64344"/>
    <w:rsid w:val="00C65108"/>
    <w:rsid w:val="00C65576"/>
    <w:rsid w:val="00C65D1E"/>
    <w:rsid w:val="00C66165"/>
    <w:rsid w:val="00C66756"/>
    <w:rsid w:val="00C67204"/>
    <w:rsid w:val="00C6742B"/>
    <w:rsid w:val="00C67FF7"/>
    <w:rsid w:val="00C7060A"/>
    <w:rsid w:val="00C70843"/>
    <w:rsid w:val="00C709D9"/>
    <w:rsid w:val="00C712F8"/>
    <w:rsid w:val="00C7151A"/>
    <w:rsid w:val="00C717E3"/>
    <w:rsid w:val="00C71D66"/>
    <w:rsid w:val="00C71F60"/>
    <w:rsid w:val="00C72241"/>
    <w:rsid w:val="00C73807"/>
    <w:rsid w:val="00C73F8C"/>
    <w:rsid w:val="00C74A21"/>
    <w:rsid w:val="00C750C8"/>
    <w:rsid w:val="00C752AC"/>
    <w:rsid w:val="00C753AC"/>
    <w:rsid w:val="00C7560F"/>
    <w:rsid w:val="00C7587D"/>
    <w:rsid w:val="00C759AC"/>
    <w:rsid w:val="00C76121"/>
    <w:rsid w:val="00C762E6"/>
    <w:rsid w:val="00C76340"/>
    <w:rsid w:val="00C767DF"/>
    <w:rsid w:val="00C7688A"/>
    <w:rsid w:val="00C76F94"/>
    <w:rsid w:val="00C770D3"/>
    <w:rsid w:val="00C77B12"/>
    <w:rsid w:val="00C80217"/>
    <w:rsid w:val="00C80A0E"/>
    <w:rsid w:val="00C81196"/>
    <w:rsid w:val="00C81529"/>
    <w:rsid w:val="00C8213F"/>
    <w:rsid w:val="00C828B5"/>
    <w:rsid w:val="00C82BE4"/>
    <w:rsid w:val="00C83842"/>
    <w:rsid w:val="00C844A5"/>
    <w:rsid w:val="00C84F54"/>
    <w:rsid w:val="00C85154"/>
    <w:rsid w:val="00C85F35"/>
    <w:rsid w:val="00C8704D"/>
    <w:rsid w:val="00C87368"/>
    <w:rsid w:val="00C87845"/>
    <w:rsid w:val="00C8797A"/>
    <w:rsid w:val="00C900B8"/>
    <w:rsid w:val="00C90C71"/>
    <w:rsid w:val="00C91AFA"/>
    <w:rsid w:val="00C91FD1"/>
    <w:rsid w:val="00C93091"/>
    <w:rsid w:val="00C930D0"/>
    <w:rsid w:val="00C931CF"/>
    <w:rsid w:val="00C938CF"/>
    <w:rsid w:val="00C94053"/>
    <w:rsid w:val="00C945FC"/>
    <w:rsid w:val="00C94EA3"/>
    <w:rsid w:val="00C9624D"/>
    <w:rsid w:val="00C966AC"/>
    <w:rsid w:val="00C9696B"/>
    <w:rsid w:val="00C969DA"/>
    <w:rsid w:val="00C97041"/>
    <w:rsid w:val="00C97D77"/>
    <w:rsid w:val="00C97ED3"/>
    <w:rsid w:val="00CA0639"/>
    <w:rsid w:val="00CA0958"/>
    <w:rsid w:val="00CA1CCF"/>
    <w:rsid w:val="00CA2C77"/>
    <w:rsid w:val="00CA33E3"/>
    <w:rsid w:val="00CA3773"/>
    <w:rsid w:val="00CA444F"/>
    <w:rsid w:val="00CA4868"/>
    <w:rsid w:val="00CA5245"/>
    <w:rsid w:val="00CA59E3"/>
    <w:rsid w:val="00CA6E37"/>
    <w:rsid w:val="00CA7055"/>
    <w:rsid w:val="00CA71F4"/>
    <w:rsid w:val="00CA7B09"/>
    <w:rsid w:val="00CB0439"/>
    <w:rsid w:val="00CB0865"/>
    <w:rsid w:val="00CB0905"/>
    <w:rsid w:val="00CB12A5"/>
    <w:rsid w:val="00CB1CAC"/>
    <w:rsid w:val="00CB2F2A"/>
    <w:rsid w:val="00CB34C4"/>
    <w:rsid w:val="00CB355B"/>
    <w:rsid w:val="00CB393C"/>
    <w:rsid w:val="00CB3967"/>
    <w:rsid w:val="00CB4CF8"/>
    <w:rsid w:val="00CB4E93"/>
    <w:rsid w:val="00CB5B1A"/>
    <w:rsid w:val="00CB619D"/>
    <w:rsid w:val="00CB628A"/>
    <w:rsid w:val="00CB6B22"/>
    <w:rsid w:val="00CB6DD2"/>
    <w:rsid w:val="00CB7F5F"/>
    <w:rsid w:val="00CC1B39"/>
    <w:rsid w:val="00CC259E"/>
    <w:rsid w:val="00CC35EA"/>
    <w:rsid w:val="00CC3848"/>
    <w:rsid w:val="00CC38F3"/>
    <w:rsid w:val="00CC470C"/>
    <w:rsid w:val="00CC63CE"/>
    <w:rsid w:val="00CC6929"/>
    <w:rsid w:val="00CC6D36"/>
    <w:rsid w:val="00CC6D56"/>
    <w:rsid w:val="00CC7262"/>
    <w:rsid w:val="00CC76F1"/>
    <w:rsid w:val="00CD0AB8"/>
    <w:rsid w:val="00CD15BF"/>
    <w:rsid w:val="00CD2845"/>
    <w:rsid w:val="00CD29A1"/>
    <w:rsid w:val="00CD3CB5"/>
    <w:rsid w:val="00CD3F77"/>
    <w:rsid w:val="00CD4A57"/>
    <w:rsid w:val="00CD4EB1"/>
    <w:rsid w:val="00CD6ADC"/>
    <w:rsid w:val="00CD7174"/>
    <w:rsid w:val="00CD7193"/>
    <w:rsid w:val="00CD7293"/>
    <w:rsid w:val="00CD799B"/>
    <w:rsid w:val="00CD7FB2"/>
    <w:rsid w:val="00CE1DF1"/>
    <w:rsid w:val="00CE22C0"/>
    <w:rsid w:val="00CE25CF"/>
    <w:rsid w:val="00CE38C8"/>
    <w:rsid w:val="00CE391F"/>
    <w:rsid w:val="00CE4031"/>
    <w:rsid w:val="00CE5AC3"/>
    <w:rsid w:val="00CE6053"/>
    <w:rsid w:val="00CE6274"/>
    <w:rsid w:val="00CE77B6"/>
    <w:rsid w:val="00CE78DF"/>
    <w:rsid w:val="00CF00DA"/>
    <w:rsid w:val="00CF047E"/>
    <w:rsid w:val="00CF08E8"/>
    <w:rsid w:val="00CF1F1F"/>
    <w:rsid w:val="00CF2B8D"/>
    <w:rsid w:val="00CF3599"/>
    <w:rsid w:val="00CF381C"/>
    <w:rsid w:val="00CF38E6"/>
    <w:rsid w:val="00CF456B"/>
    <w:rsid w:val="00CF467D"/>
    <w:rsid w:val="00CF5A22"/>
    <w:rsid w:val="00CF5C6E"/>
    <w:rsid w:val="00CF696A"/>
    <w:rsid w:val="00CF69EC"/>
    <w:rsid w:val="00CF6B81"/>
    <w:rsid w:val="00CF798F"/>
    <w:rsid w:val="00CF7DD9"/>
    <w:rsid w:val="00D00043"/>
    <w:rsid w:val="00D0029C"/>
    <w:rsid w:val="00D003EF"/>
    <w:rsid w:val="00D020B0"/>
    <w:rsid w:val="00D020CB"/>
    <w:rsid w:val="00D0262E"/>
    <w:rsid w:val="00D0263F"/>
    <w:rsid w:val="00D02900"/>
    <w:rsid w:val="00D02DDD"/>
    <w:rsid w:val="00D02FBC"/>
    <w:rsid w:val="00D0303A"/>
    <w:rsid w:val="00D0420F"/>
    <w:rsid w:val="00D050F1"/>
    <w:rsid w:val="00D05343"/>
    <w:rsid w:val="00D05793"/>
    <w:rsid w:val="00D05E3D"/>
    <w:rsid w:val="00D06139"/>
    <w:rsid w:val="00D06E69"/>
    <w:rsid w:val="00D07A1C"/>
    <w:rsid w:val="00D1000A"/>
    <w:rsid w:val="00D10AAB"/>
    <w:rsid w:val="00D10D8F"/>
    <w:rsid w:val="00D10F02"/>
    <w:rsid w:val="00D110BD"/>
    <w:rsid w:val="00D11132"/>
    <w:rsid w:val="00D12C3F"/>
    <w:rsid w:val="00D12EC0"/>
    <w:rsid w:val="00D12F8D"/>
    <w:rsid w:val="00D13675"/>
    <w:rsid w:val="00D13738"/>
    <w:rsid w:val="00D13A17"/>
    <w:rsid w:val="00D13F5C"/>
    <w:rsid w:val="00D141E1"/>
    <w:rsid w:val="00D14482"/>
    <w:rsid w:val="00D1479B"/>
    <w:rsid w:val="00D15314"/>
    <w:rsid w:val="00D16A3E"/>
    <w:rsid w:val="00D17724"/>
    <w:rsid w:val="00D17D6C"/>
    <w:rsid w:val="00D17DE7"/>
    <w:rsid w:val="00D2097D"/>
    <w:rsid w:val="00D2155B"/>
    <w:rsid w:val="00D215D2"/>
    <w:rsid w:val="00D22232"/>
    <w:rsid w:val="00D22F82"/>
    <w:rsid w:val="00D238BD"/>
    <w:rsid w:val="00D23A32"/>
    <w:rsid w:val="00D23D11"/>
    <w:rsid w:val="00D244B6"/>
    <w:rsid w:val="00D245FE"/>
    <w:rsid w:val="00D246D8"/>
    <w:rsid w:val="00D24748"/>
    <w:rsid w:val="00D24BBF"/>
    <w:rsid w:val="00D25242"/>
    <w:rsid w:val="00D25EC8"/>
    <w:rsid w:val="00D2754D"/>
    <w:rsid w:val="00D27B27"/>
    <w:rsid w:val="00D27B87"/>
    <w:rsid w:val="00D30284"/>
    <w:rsid w:val="00D3178F"/>
    <w:rsid w:val="00D32F50"/>
    <w:rsid w:val="00D33368"/>
    <w:rsid w:val="00D33BE9"/>
    <w:rsid w:val="00D33F93"/>
    <w:rsid w:val="00D341BA"/>
    <w:rsid w:val="00D34548"/>
    <w:rsid w:val="00D34B24"/>
    <w:rsid w:val="00D357FF"/>
    <w:rsid w:val="00D35CCC"/>
    <w:rsid w:val="00D36230"/>
    <w:rsid w:val="00D36F65"/>
    <w:rsid w:val="00D36FE7"/>
    <w:rsid w:val="00D42276"/>
    <w:rsid w:val="00D424C7"/>
    <w:rsid w:val="00D42C07"/>
    <w:rsid w:val="00D4314A"/>
    <w:rsid w:val="00D43B2A"/>
    <w:rsid w:val="00D43D83"/>
    <w:rsid w:val="00D4493B"/>
    <w:rsid w:val="00D45353"/>
    <w:rsid w:val="00D4564D"/>
    <w:rsid w:val="00D45EF7"/>
    <w:rsid w:val="00D46C22"/>
    <w:rsid w:val="00D46E31"/>
    <w:rsid w:val="00D47575"/>
    <w:rsid w:val="00D5243B"/>
    <w:rsid w:val="00D5287D"/>
    <w:rsid w:val="00D52FD4"/>
    <w:rsid w:val="00D533EC"/>
    <w:rsid w:val="00D541B4"/>
    <w:rsid w:val="00D5520D"/>
    <w:rsid w:val="00D561E8"/>
    <w:rsid w:val="00D56A95"/>
    <w:rsid w:val="00D6096C"/>
    <w:rsid w:val="00D61CA5"/>
    <w:rsid w:val="00D62B77"/>
    <w:rsid w:val="00D63427"/>
    <w:rsid w:val="00D6461D"/>
    <w:rsid w:val="00D65B50"/>
    <w:rsid w:val="00D65DA3"/>
    <w:rsid w:val="00D660D9"/>
    <w:rsid w:val="00D669EC"/>
    <w:rsid w:val="00D7029E"/>
    <w:rsid w:val="00D7069D"/>
    <w:rsid w:val="00D707D1"/>
    <w:rsid w:val="00D70F16"/>
    <w:rsid w:val="00D723E6"/>
    <w:rsid w:val="00D72F57"/>
    <w:rsid w:val="00D74535"/>
    <w:rsid w:val="00D76A44"/>
    <w:rsid w:val="00D76EFC"/>
    <w:rsid w:val="00D8083B"/>
    <w:rsid w:val="00D815EF"/>
    <w:rsid w:val="00D8190F"/>
    <w:rsid w:val="00D81F26"/>
    <w:rsid w:val="00D821AA"/>
    <w:rsid w:val="00D846A6"/>
    <w:rsid w:val="00D86231"/>
    <w:rsid w:val="00D86293"/>
    <w:rsid w:val="00D8655B"/>
    <w:rsid w:val="00D867D4"/>
    <w:rsid w:val="00D87072"/>
    <w:rsid w:val="00D90F0D"/>
    <w:rsid w:val="00D91923"/>
    <w:rsid w:val="00D91EC7"/>
    <w:rsid w:val="00D93753"/>
    <w:rsid w:val="00D9468A"/>
    <w:rsid w:val="00D9561F"/>
    <w:rsid w:val="00D96505"/>
    <w:rsid w:val="00D976FB"/>
    <w:rsid w:val="00D97A62"/>
    <w:rsid w:val="00DA0597"/>
    <w:rsid w:val="00DA1478"/>
    <w:rsid w:val="00DA1796"/>
    <w:rsid w:val="00DA1B98"/>
    <w:rsid w:val="00DA21D2"/>
    <w:rsid w:val="00DA23FF"/>
    <w:rsid w:val="00DA24B1"/>
    <w:rsid w:val="00DA2D22"/>
    <w:rsid w:val="00DA3167"/>
    <w:rsid w:val="00DA33B2"/>
    <w:rsid w:val="00DA340E"/>
    <w:rsid w:val="00DA3AA7"/>
    <w:rsid w:val="00DA4DC3"/>
    <w:rsid w:val="00DA645C"/>
    <w:rsid w:val="00DA66FC"/>
    <w:rsid w:val="00DA77A5"/>
    <w:rsid w:val="00DA7CB8"/>
    <w:rsid w:val="00DB2FE4"/>
    <w:rsid w:val="00DB33BE"/>
    <w:rsid w:val="00DB3DBF"/>
    <w:rsid w:val="00DB484F"/>
    <w:rsid w:val="00DB4C90"/>
    <w:rsid w:val="00DB5208"/>
    <w:rsid w:val="00DB59AE"/>
    <w:rsid w:val="00DB64C8"/>
    <w:rsid w:val="00DB65AC"/>
    <w:rsid w:val="00DB6618"/>
    <w:rsid w:val="00DB6B4C"/>
    <w:rsid w:val="00DB6CDB"/>
    <w:rsid w:val="00DB7827"/>
    <w:rsid w:val="00DC002D"/>
    <w:rsid w:val="00DC04F6"/>
    <w:rsid w:val="00DC0690"/>
    <w:rsid w:val="00DC1C79"/>
    <w:rsid w:val="00DC1D65"/>
    <w:rsid w:val="00DC3C57"/>
    <w:rsid w:val="00DC470C"/>
    <w:rsid w:val="00DC54CE"/>
    <w:rsid w:val="00DC5501"/>
    <w:rsid w:val="00DC6048"/>
    <w:rsid w:val="00DC6519"/>
    <w:rsid w:val="00DC710F"/>
    <w:rsid w:val="00DC7154"/>
    <w:rsid w:val="00DC78AA"/>
    <w:rsid w:val="00DC7E8A"/>
    <w:rsid w:val="00DD0C90"/>
    <w:rsid w:val="00DD0F78"/>
    <w:rsid w:val="00DD191C"/>
    <w:rsid w:val="00DD273C"/>
    <w:rsid w:val="00DD294B"/>
    <w:rsid w:val="00DD29D6"/>
    <w:rsid w:val="00DD2DA5"/>
    <w:rsid w:val="00DD2F58"/>
    <w:rsid w:val="00DD374C"/>
    <w:rsid w:val="00DD3EE6"/>
    <w:rsid w:val="00DD3F28"/>
    <w:rsid w:val="00DD42E2"/>
    <w:rsid w:val="00DD4537"/>
    <w:rsid w:val="00DD4E15"/>
    <w:rsid w:val="00DD5226"/>
    <w:rsid w:val="00DD66B0"/>
    <w:rsid w:val="00DD67B6"/>
    <w:rsid w:val="00DD6C04"/>
    <w:rsid w:val="00DE1183"/>
    <w:rsid w:val="00DE181F"/>
    <w:rsid w:val="00DE1EBE"/>
    <w:rsid w:val="00DE2104"/>
    <w:rsid w:val="00DE2304"/>
    <w:rsid w:val="00DE3138"/>
    <w:rsid w:val="00DE37F8"/>
    <w:rsid w:val="00DE472E"/>
    <w:rsid w:val="00DE4744"/>
    <w:rsid w:val="00DE49DF"/>
    <w:rsid w:val="00DE4FCB"/>
    <w:rsid w:val="00DE5D07"/>
    <w:rsid w:val="00DE72A7"/>
    <w:rsid w:val="00DE75C6"/>
    <w:rsid w:val="00DE7832"/>
    <w:rsid w:val="00DF18FC"/>
    <w:rsid w:val="00DF25FB"/>
    <w:rsid w:val="00DF31B3"/>
    <w:rsid w:val="00DF32D7"/>
    <w:rsid w:val="00DF33CF"/>
    <w:rsid w:val="00DF44B8"/>
    <w:rsid w:val="00DF4934"/>
    <w:rsid w:val="00DF4EF1"/>
    <w:rsid w:val="00DF5011"/>
    <w:rsid w:val="00DF504F"/>
    <w:rsid w:val="00DF5D2B"/>
    <w:rsid w:val="00DF7543"/>
    <w:rsid w:val="00DF7AF3"/>
    <w:rsid w:val="00E00BE0"/>
    <w:rsid w:val="00E00E8E"/>
    <w:rsid w:val="00E01FE2"/>
    <w:rsid w:val="00E03BAE"/>
    <w:rsid w:val="00E04586"/>
    <w:rsid w:val="00E04695"/>
    <w:rsid w:val="00E04E50"/>
    <w:rsid w:val="00E05630"/>
    <w:rsid w:val="00E05C2E"/>
    <w:rsid w:val="00E06DBB"/>
    <w:rsid w:val="00E0740F"/>
    <w:rsid w:val="00E10149"/>
    <w:rsid w:val="00E102E8"/>
    <w:rsid w:val="00E11340"/>
    <w:rsid w:val="00E1149D"/>
    <w:rsid w:val="00E122A1"/>
    <w:rsid w:val="00E14EC8"/>
    <w:rsid w:val="00E1548B"/>
    <w:rsid w:val="00E16260"/>
    <w:rsid w:val="00E16372"/>
    <w:rsid w:val="00E16D11"/>
    <w:rsid w:val="00E16DBB"/>
    <w:rsid w:val="00E176B9"/>
    <w:rsid w:val="00E17B04"/>
    <w:rsid w:val="00E17BBE"/>
    <w:rsid w:val="00E17E16"/>
    <w:rsid w:val="00E201B8"/>
    <w:rsid w:val="00E202E6"/>
    <w:rsid w:val="00E20DA7"/>
    <w:rsid w:val="00E20E4D"/>
    <w:rsid w:val="00E20ED6"/>
    <w:rsid w:val="00E21358"/>
    <w:rsid w:val="00E2249B"/>
    <w:rsid w:val="00E22A0D"/>
    <w:rsid w:val="00E22F53"/>
    <w:rsid w:val="00E232BD"/>
    <w:rsid w:val="00E23526"/>
    <w:rsid w:val="00E235C6"/>
    <w:rsid w:val="00E244F6"/>
    <w:rsid w:val="00E24EAD"/>
    <w:rsid w:val="00E2579A"/>
    <w:rsid w:val="00E25A36"/>
    <w:rsid w:val="00E25ACF"/>
    <w:rsid w:val="00E25BAD"/>
    <w:rsid w:val="00E25E4F"/>
    <w:rsid w:val="00E26597"/>
    <w:rsid w:val="00E2771E"/>
    <w:rsid w:val="00E27DD5"/>
    <w:rsid w:val="00E27ED4"/>
    <w:rsid w:val="00E30550"/>
    <w:rsid w:val="00E3087B"/>
    <w:rsid w:val="00E30DBA"/>
    <w:rsid w:val="00E311EF"/>
    <w:rsid w:val="00E31543"/>
    <w:rsid w:val="00E31850"/>
    <w:rsid w:val="00E32180"/>
    <w:rsid w:val="00E32599"/>
    <w:rsid w:val="00E3260B"/>
    <w:rsid w:val="00E326CA"/>
    <w:rsid w:val="00E3306E"/>
    <w:rsid w:val="00E332AE"/>
    <w:rsid w:val="00E33342"/>
    <w:rsid w:val="00E343BE"/>
    <w:rsid w:val="00E343F3"/>
    <w:rsid w:val="00E345E4"/>
    <w:rsid w:val="00E346CE"/>
    <w:rsid w:val="00E34948"/>
    <w:rsid w:val="00E3499B"/>
    <w:rsid w:val="00E34B32"/>
    <w:rsid w:val="00E34DB4"/>
    <w:rsid w:val="00E37569"/>
    <w:rsid w:val="00E37612"/>
    <w:rsid w:val="00E379AF"/>
    <w:rsid w:val="00E401B2"/>
    <w:rsid w:val="00E4073B"/>
    <w:rsid w:val="00E4089C"/>
    <w:rsid w:val="00E40DB8"/>
    <w:rsid w:val="00E41735"/>
    <w:rsid w:val="00E41E30"/>
    <w:rsid w:val="00E42F73"/>
    <w:rsid w:val="00E435E9"/>
    <w:rsid w:val="00E43D70"/>
    <w:rsid w:val="00E4429D"/>
    <w:rsid w:val="00E45F9D"/>
    <w:rsid w:val="00E46560"/>
    <w:rsid w:val="00E466F3"/>
    <w:rsid w:val="00E46B18"/>
    <w:rsid w:val="00E46D2C"/>
    <w:rsid w:val="00E47224"/>
    <w:rsid w:val="00E47B2C"/>
    <w:rsid w:val="00E47E0D"/>
    <w:rsid w:val="00E5129A"/>
    <w:rsid w:val="00E51560"/>
    <w:rsid w:val="00E516CF"/>
    <w:rsid w:val="00E52901"/>
    <w:rsid w:val="00E5332B"/>
    <w:rsid w:val="00E53FC8"/>
    <w:rsid w:val="00E54347"/>
    <w:rsid w:val="00E544A3"/>
    <w:rsid w:val="00E54AF7"/>
    <w:rsid w:val="00E54C5B"/>
    <w:rsid w:val="00E55424"/>
    <w:rsid w:val="00E55915"/>
    <w:rsid w:val="00E55BB5"/>
    <w:rsid w:val="00E5737F"/>
    <w:rsid w:val="00E57F58"/>
    <w:rsid w:val="00E618BC"/>
    <w:rsid w:val="00E619F9"/>
    <w:rsid w:val="00E61F6A"/>
    <w:rsid w:val="00E6373F"/>
    <w:rsid w:val="00E63E07"/>
    <w:rsid w:val="00E64CAC"/>
    <w:rsid w:val="00E6513E"/>
    <w:rsid w:val="00E656B7"/>
    <w:rsid w:val="00E65E79"/>
    <w:rsid w:val="00E668BA"/>
    <w:rsid w:val="00E66BA2"/>
    <w:rsid w:val="00E67416"/>
    <w:rsid w:val="00E7027D"/>
    <w:rsid w:val="00E71496"/>
    <w:rsid w:val="00E714A1"/>
    <w:rsid w:val="00E714CF"/>
    <w:rsid w:val="00E718B6"/>
    <w:rsid w:val="00E71A4D"/>
    <w:rsid w:val="00E723BA"/>
    <w:rsid w:val="00E728F7"/>
    <w:rsid w:val="00E73581"/>
    <w:rsid w:val="00E73C86"/>
    <w:rsid w:val="00E7560B"/>
    <w:rsid w:val="00E7589F"/>
    <w:rsid w:val="00E768E3"/>
    <w:rsid w:val="00E803AD"/>
    <w:rsid w:val="00E833F7"/>
    <w:rsid w:val="00E83BDF"/>
    <w:rsid w:val="00E85DCF"/>
    <w:rsid w:val="00E87118"/>
    <w:rsid w:val="00E8751C"/>
    <w:rsid w:val="00E87A1D"/>
    <w:rsid w:val="00E87AA9"/>
    <w:rsid w:val="00E9094A"/>
    <w:rsid w:val="00E91D35"/>
    <w:rsid w:val="00E91F6F"/>
    <w:rsid w:val="00E923EA"/>
    <w:rsid w:val="00E9243B"/>
    <w:rsid w:val="00E926A5"/>
    <w:rsid w:val="00E93670"/>
    <w:rsid w:val="00E94885"/>
    <w:rsid w:val="00E94D01"/>
    <w:rsid w:val="00E95616"/>
    <w:rsid w:val="00E96ADA"/>
    <w:rsid w:val="00E96AFA"/>
    <w:rsid w:val="00E96E9F"/>
    <w:rsid w:val="00EA04BA"/>
    <w:rsid w:val="00EA0875"/>
    <w:rsid w:val="00EA1229"/>
    <w:rsid w:val="00EA17C3"/>
    <w:rsid w:val="00EA1DCB"/>
    <w:rsid w:val="00EA2684"/>
    <w:rsid w:val="00EA28E3"/>
    <w:rsid w:val="00EA2CAA"/>
    <w:rsid w:val="00EA3777"/>
    <w:rsid w:val="00EA3811"/>
    <w:rsid w:val="00EA3864"/>
    <w:rsid w:val="00EA5AA2"/>
    <w:rsid w:val="00EA5F3A"/>
    <w:rsid w:val="00EA65C5"/>
    <w:rsid w:val="00EA74AB"/>
    <w:rsid w:val="00EA7F1C"/>
    <w:rsid w:val="00EB14CE"/>
    <w:rsid w:val="00EB15B6"/>
    <w:rsid w:val="00EB1CC6"/>
    <w:rsid w:val="00EB2967"/>
    <w:rsid w:val="00EB2D06"/>
    <w:rsid w:val="00EB3359"/>
    <w:rsid w:val="00EB3D06"/>
    <w:rsid w:val="00EB4916"/>
    <w:rsid w:val="00EB6038"/>
    <w:rsid w:val="00EB6753"/>
    <w:rsid w:val="00EB6D17"/>
    <w:rsid w:val="00EB7D96"/>
    <w:rsid w:val="00EB7E51"/>
    <w:rsid w:val="00EC00C9"/>
    <w:rsid w:val="00EC01C4"/>
    <w:rsid w:val="00EC0DD9"/>
    <w:rsid w:val="00EC10BA"/>
    <w:rsid w:val="00EC2214"/>
    <w:rsid w:val="00EC2649"/>
    <w:rsid w:val="00EC3087"/>
    <w:rsid w:val="00EC31ED"/>
    <w:rsid w:val="00EC520D"/>
    <w:rsid w:val="00EC5836"/>
    <w:rsid w:val="00EC5A12"/>
    <w:rsid w:val="00EC688C"/>
    <w:rsid w:val="00EC68EA"/>
    <w:rsid w:val="00ECB2D6"/>
    <w:rsid w:val="00ED02CD"/>
    <w:rsid w:val="00ED0397"/>
    <w:rsid w:val="00ED0C31"/>
    <w:rsid w:val="00ED0DDD"/>
    <w:rsid w:val="00ED16E4"/>
    <w:rsid w:val="00ED16F1"/>
    <w:rsid w:val="00ED27C3"/>
    <w:rsid w:val="00ED2B17"/>
    <w:rsid w:val="00ED2F5A"/>
    <w:rsid w:val="00ED359A"/>
    <w:rsid w:val="00ED375A"/>
    <w:rsid w:val="00ED40F2"/>
    <w:rsid w:val="00ED4E5B"/>
    <w:rsid w:val="00ED5005"/>
    <w:rsid w:val="00ED54AB"/>
    <w:rsid w:val="00ED57EA"/>
    <w:rsid w:val="00ED59AF"/>
    <w:rsid w:val="00ED59B4"/>
    <w:rsid w:val="00ED5BD4"/>
    <w:rsid w:val="00ED6302"/>
    <w:rsid w:val="00ED6303"/>
    <w:rsid w:val="00EE07D3"/>
    <w:rsid w:val="00EE1996"/>
    <w:rsid w:val="00EE1C01"/>
    <w:rsid w:val="00EE2088"/>
    <w:rsid w:val="00EE22AF"/>
    <w:rsid w:val="00EE292A"/>
    <w:rsid w:val="00EE62D9"/>
    <w:rsid w:val="00EF0171"/>
    <w:rsid w:val="00EF0E91"/>
    <w:rsid w:val="00EF1027"/>
    <w:rsid w:val="00EF1B25"/>
    <w:rsid w:val="00EF1B7D"/>
    <w:rsid w:val="00EF1DA0"/>
    <w:rsid w:val="00EF30CB"/>
    <w:rsid w:val="00EF35DC"/>
    <w:rsid w:val="00EF3B07"/>
    <w:rsid w:val="00EF3D15"/>
    <w:rsid w:val="00EF4747"/>
    <w:rsid w:val="00EF4BF8"/>
    <w:rsid w:val="00EF58D1"/>
    <w:rsid w:val="00EF629A"/>
    <w:rsid w:val="00EF7685"/>
    <w:rsid w:val="00F00156"/>
    <w:rsid w:val="00F00CB5"/>
    <w:rsid w:val="00F01BEE"/>
    <w:rsid w:val="00F02253"/>
    <w:rsid w:val="00F02E3A"/>
    <w:rsid w:val="00F03C2E"/>
    <w:rsid w:val="00F04129"/>
    <w:rsid w:val="00F04278"/>
    <w:rsid w:val="00F04A66"/>
    <w:rsid w:val="00F04B4B"/>
    <w:rsid w:val="00F0516C"/>
    <w:rsid w:val="00F067A2"/>
    <w:rsid w:val="00F06965"/>
    <w:rsid w:val="00F070AD"/>
    <w:rsid w:val="00F07714"/>
    <w:rsid w:val="00F07B9E"/>
    <w:rsid w:val="00F1116F"/>
    <w:rsid w:val="00F111EE"/>
    <w:rsid w:val="00F11F89"/>
    <w:rsid w:val="00F121A9"/>
    <w:rsid w:val="00F1263A"/>
    <w:rsid w:val="00F13CC3"/>
    <w:rsid w:val="00F13CDA"/>
    <w:rsid w:val="00F14049"/>
    <w:rsid w:val="00F14821"/>
    <w:rsid w:val="00F14BB3"/>
    <w:rsid w:val="00F15410"/>
    <w:rsid w:val="00F15B77"/>
    <w:rsid w:val="00F16214"/>
    <w:rsid w:val="00F202E5"/>
    <w:rsid w:val="00F219BC"/>
    <w:rsid w:val="00F21FEA"/>
    <w:rsid w:val="00F2223C"/>
    <w:rsid w:val="00F22F52"/>
    <w:rsid w:val="00F23C31"/>
    <w:rsid w:val="00F24837"/>
    <w:rsid w:val="00F24C76"/>
    <w:rsid w:val="00F25358"/>
    <w:rsid w:val="00F2575F"/>
    <w:rsid w:val="00F25816"/>
    <w:rsid w:val="00F25FC0"/>
    <w:rsid w:val="00F26A1F"/>
    <w:rsid w:val="00F26BB1"/>
    <w:rsid w:val="00F26F1B"/>
    <w:rsid w:val="00F270C8"/>
    <w:rsid w:val="00F2734E"/>
    <w:rsid w:val="00F27565"/>
    <w:rsid w:val="00F30514"/>
    <w:rsid w:val="00F30E7D"/>
    <w:rsid w:val="00F310D4"/>
    <w:rsid w:val="00F3193A"/>
    <w:rsid w:val="00F31D5A"/>
    <w:rsid w:val="00F326F4"/>
    <w:rsid w:val="00F32BF0"/>
    <w:rsid w:val="00F330E7"/>
    <w:rsid w:val="00F33975"/>
    <w:rsid w:val="00F33DE9"/>
    <w:rsid w:val="00F3490B"/>
    <w:rsid w:val="00F35715"/>
    <w:rsid w:val="00F35AA9"/>
    <w:rsid w:val="00F35E6D"/>
    <w:rsid w:val="00F3619A"/>
    <w:rsid w:val="00F36ADE"/>
    <w:rsid w:val="00F40312"/>
    <w:rsid w:val="00F40AAA"/>
    <w:rsid w:val="00F40AEB"/>
    <w:rsid w:val="00F40BA7"/>
    <w:rsid w:val="00F40F9D"/>
    <w:rsid w:val="00F41ACD"/>
    <w:rsid w:val="00F447FD"/>
    <w:rsid w:val="00F453E4"/>
    <w:rsid w:val="00F454EC"/>
    <w:rsid w:val="00F461F0"/>
    <w:rsid w:val="00F46CB6"/>
    <w:rsid w:val="00F4756D"/>
    <w:rsid w:val="00F47AF7"/>
    <w:rsid w:val="00F47DE8"/>
    <w:rsid w:val="00F47F0D"/>
    <w:rsid w:val="00F50294"/>
    <w:rsid w:val="00F51F11"/>
    <w:rsid w:val="00F52503"/>
    <w:rsid w:val="00F52C5C"/>
    <w:rsid w:val="00F52E5C"/>
    <w:rsid w:val="00F52F71"/>
    <w:rsid w:val="00F5304F"/>
    <w:rsid w:val="00F53458"/>
    <w:rsid w:val="00F537E6"/>
    <w:rsid w:val="00F53AA6"/>
    <w:rsid w:val="00F53F31"/>
    <w:rsid w:val="00F542C1"/>
    <w:rsid w:val="00F54B78"/>
    <w:rsid w:val="00F55E73"/>
    <w:rsid w:val="00F55EDA"/>
    <w:rsid w:val="00F56C80"/>
    <w:rsid w:val="00F5763E"/>
    <w:rsid w:val="00F60092"/>
    <w:rsid w:val="00F6036E"/>
    <w:rsid w:val="00F60531"/>
    <w:rsid w:val="00F61C18"/>
    <w:rsid w:val="00F63F0E"/>
    <w:rsid w:val="00F65630"/>
    <w:rsid w:val="00F65F4B"/>
    <w:rsid w:val="00F66AF5"/>
    <w:rsid w:val="00F66F84"/>
    <w:rsid w:val="00F67A69"/>
    <w:rsid w:val="00F67BDE"/>
    <w:rsid w:val="00F70643"/>
    <w:rsid w:val="00F70BFF"/>
    <w:rsid w:val="00F70C9D"/>
    <w:rsid w:val="00F70E20"/>
    <w:rsid w:val="00F71E11"/>
    <w:rsid w:val="00F72FC8"/>
    <w:rsid w:val="00F731D5"/>
    <w:rsid w:val="00F73CAF"/>
    <w:rsid w:val="00F73EF1"/>
    <w:rsid w:val="00F74CD9"/>
    <w:rsid w:val="00F76E75"/>
    <w:rsid w:val="00F80A7B"/>
    <w:rsid w:val="00F80E5D"/>
    <w:rsid w:val="00F815B7"/>
    <w:rsid w:val="00F81E78"/>
    <w:rsid w:val="00F826B4"/>
    <w:rsid w:val="00F83557"/>
    <w:rsid w:val="00F837C7"/>
    <w:rsid w:val="00F8480A"/>
    <w:rsid w:val="00F84E2E"/>
    <w:rsid w:val="00F84FE1"/>
    <w:rsid w:val="00F851CE"/>
    <w:rsid w:val="00F854CA"/>
    <w:rsid w:val="00F857F7"/>
    <w:rsid w:val="00F86633"/>
    <w:rsid w:val="00F878BA"/>
    <w:rsid w:val="00F87EBB"/>
    <w:rsid w:val="00F9025C"/>
    <w:rsid w:val="00F9051A"/>
    <w:rsid w:val="00F91219"/>
    <w:rsid w:val="00F9130C"/>
    <w:rsid w:val="00F92444"/>
    <w:rsid w:val="00F928E8"/>
    <w:rsid w:val="00F9393E"/>
    <w:rsid w:val="00F93DCC"/>
    <w:rsid w:val="00F941CC"/>
    <w:rsid w:val="00F942BB"/>
    <w:rsid w:val="00F95311"/>
    <w:rsid w:val="00F955B3"/>
    <w:rsid w:val="00F95A4D"/>
    <w:rsid w:val="00F964F7"/>
    <w:rsid w:val="00F967A2"/>
    <w:rsid w:val="00F96B2F"/>
    <w:rsid w:val="00F96FD0"/>
    <w:rsid w:val="00F97A78"/>
    <w:rsid w:val="00FA050B"/>
    <w:rsid w:val="00FA0523"/>
    <w:rsid w:val="00FA0B20"/>
    <w:rsid w:val="00FA12C4"/>
    <w:rsid w:val="00FA179A"/>
    <w:rsid w:val="00FA1D35"/>
    <w:rsid w:val="00FA24E7"/>
    <w:rsid w:val="00FA3815"/>
    <w:rsid w:val="00FA3E24"/>
    <w:rsid w:val="00FA5638"/>
    <w:rsid w:val="00FA57C4"/>
    <w:rsid w:val="00FA5D0E"/>
    <w:rsid w:val="00FA5EE6"/>
    <w:rsid w:val="00FA5F96"/>
    <w:rsid w:val="00FA6FF0"/>
    <w:rsid w:val="00FA71D0"/>
    <w:rsid w:val="00FA7956"/>
    <w:rsid w:val="00FA7A74"/>
    <w:rsid w:val="00FA7C17"/>
    <w:rsid w:val="00FB09CA"/>
    <w:rsid w:val="00FB1231"/>
    <w:rsid w:val="00FB14E1"/>
    <w:rsid w:val="00FB24AD"/>
    <w:rsid w:val="00FB2FCB"/>
    <w:rsid w:val="00FB39E4"/>
    <w:rsid w:val="00FB4A8B"/>
    <w:rsid w:val="00FB4DAC"/>
    <w:rsid w:val="00FB5FE4"/>
    <w:rsid w:val="00FB664F"/>
    <w:rsid w:val="00FB6737"/>
    <w:rsid w:val="00FB6CE6"/>
    <w:rsid w:val="00FB6E39"/>
    <w:rsid w:val="00FB71B8"/>
    <w:rsid w:val="00FB7355"/>
    <w:rsid w:val="00FB7C55"/>
    <w:rsid w:val="00FB7F7D"/>
    <w:rsid w:val="00FC1074"/>
    <w:rsid w:val="00FC1659"/>
    <w:rsid w:val="00FC1884"/>
    <w:rsid w:val="00FC1D27"/>
    <w:rsid w:val="00FC371D"/>
    <w:rsid w:val="00FC4A65"/>
    <w:rsid w:val="00FC4DB4"/>
    <w:rsid w:val="00FC5C4F"/>
    <w:rsid w:val="00FC5F0B"/>
    <w:rsid w:val="00FC5FBB"/>
    <w:rsid w:val="00FC6F91"/>
    <w:rsid w:val="00FC7471"/>
    <w:rsid w:val="00FC7496"/>
    <w:rsid w:val="00FCB8A9"/>
    <w:rsid w:val="00FD0443"/>
    <w:rsid w:val="00FD0886"/>
    <w:rsid w:val="00FD0AB5"/>
    <w:rsid w:val="00FD1739"/>
    <w:rsid w:val="00FD1A1A"/>
    <w:rsid w:val="00FD1E54"/>
    <w:rsid w:val="00FD20F4"/>
    <w:rsid w:val="00FD2100"/>
    <w:rsid w:val="00FD2117"/>
    <w:rsid w:val="00FD239D"/>
    <w:rsid w:val="00FD2752"/>
    <w:rsid w:val="00FD35EF"/>
    <w:rsid w:val="00FD436C"/>
    <w:rsid w:val="00FD446D"/>
    <w:rsid w:val="00FD4F2C"/>
    <w:rsid w:val="00FD5654"/>
    <w:rsid w:val="00FD5BBB"/>
    <w:rsid w:val="00FD6394"/>
    <w:rsid w:val="00FD6CB5"/>
    <w:rsid w:val="00FD6F47"/>
    <w:rsid w:val="00FE06B7"/>
    <w:rsid w:val="00FE0E6C"/>
    <w:rsid w:val="00FE1CDC"/>
    <w:rsid w:val="00FE1E39"/>
    <w:rsid w:val="00FE2AE1"/>
    <w:rsid w:val="00FE2F94"/>
    <w:rsid w:val="00FE4FC9"/>
    <w:rsid w:val="00FE5010"/>
    <w:rsid w:val="00FE63FD"/>
    <w:rsid w:val="00FE66C1"/>
    <w:rsid w:val="00FE6FB2"/>
    <w:rsid w:val="00FE70C3"/>
    <w:rsid w:val="00FE794A"/>
    <w:rsid w:val="00FE7EF3"/>
    <w:rsid w:val="00FE7FBD"/>
    <w:rsid w:val="00FF2AD9"/>
    <w:rsid w:val="00FF359F"/>
    <w:rsid w:val="00FF3DCF"/>
    <w:rsid w:val="00FF492C"/>
    <w:rsid w:val="00FF4A21"/>
    <w:rsid w:val="00FF53A8"/>
    <w:rsid w:val="00FF5AA3"/>
    <w:rsid w:val="00FF5AD8"/>
    <w:rsid w:val="00FF64C6"/>
    <w:rsid w:val="00FF67AA"/>
    <w:rsid w:val="00FF70BB"/>
    <w:rsid w:val="00FF76A2"/>
    <w:rsid w:val="01A0F4C3"/>
    <w:rsid w:val="01C1B259"/>
    <w:rsid w:val="01EB67BC"/>
    <w:rsid w:val="02078476"/>
    <w:rsid w:val="022F059D"/>
    <w:rsid w:val="02599154"/>
    <w:rsid w:val="02771B07"/>
    <w:rsid w:val="0279DA64"/>
    <w:rsid w:val="02DD3F76"/>
    <w:rsid w:val="032D886B"/>
    <w:rsid w:val="0361349F"/>
    <w:rsid w:val="037ABBA1"/>
    <w:rsid w:val="038F2062"/>
    <w:rsid w:val="0418BAD7"/>
    <w:rsid w:val="048451CC"/>
    <w:rsid w:val="04B6D7E3"/>
    <w:rsid w:val="04CB4543"/>
    <w:rsid w:val="04E1BAA6"/>
    <w:rsid w:val="0517CBCB"/>
    <w:rsid w:val="0581DD20"/>
    <w:rsid w:val="05D399EF"/>
    <w:rsid w:val="05F0DAA2"/>
    <w:rsid w:val="06035B8F"/>
    <w:rsid w:val="061DBC44"/>
    <w:rsid w:val="0650BFCB"/>
    <w:rsid w:val="0665292D"/>
    <w:rsid w:val="067C3CA6"/>
    <w:rsid w:val="06A58AA4"/>
    <w:rsid w:val="06E71786"/>
    <w:rsid w:val="07014444"/>
    <w:rsid w:val="072F2C9C"/>
    <w:rsid w:val="076A4CCE"/>
    <w:rsid w:val="076CE97E"/>
    <w:rsid w:val="07AB142E"/>
    <w:rsid w:val="07BB9616"/>
    <w:rsid w:val="07BF75F3"/>
    <w:rsid w:val="07FD467B"/>
    <w:rsid w:val="08626A53"/>
    <w:rsid w:val="08AF8288"/>
    <w:rsid w:val="08D2CA72"/>
    <w:rsid w:val="0911B923"/>
    <w:rsid w:val="0941A3C1"/>
    <w:rsid w:val="0965DFE2"/>
    <w:rsid w:val="0976E61E"/>
    <w:rsid w:val="098E8605"/>
    <w:rsid w:val="09B3DD68"/>
    <w:rsid w:val="0A261C2D"/>
    <w:rsid w:val="0B00147F"/>
    <w:rsid w:val="0B10E2A1"/>
    <w:rsid w:val="0B193F41"/>
    <w:rsid w:val="0B23694B"/>
    <w:rsid w:val="0B34E73D"/>
    <w:rsid w:val="0BDF9F2F"/>
    <w:rsid w:val="0C2F1EEE"/>
    <w:rsid w:val="0C3F371E"/>
    <w:rsid w:val="0C3FD684"/>
    <w:rsid w:val="0CAE86E0"/>
    <w:rsid w:val="0D30E7C2"/>
    <w:rsid w:val="0D587D97"/>
    <w:rsid w:val="0D9B7A76"/>
    <w:rsid w:val="0E265657"/>
    <w:rsid w:val="0E418CFC"/>
    <w:rsid w:val="0EF6E51C"/>
    <w:rsid w:val="0F2BF5B1"/>
    <w:rsid w:val="0F34A7C8"/>
    <w:rsid w:val="0F3F2BAA"/>
    <w:rsid w:val="0F76A1C8"/>
    <w:rsid w:val="0F9D9AE9"/>
    <w:rsid w:val="10DCBEC8"/>
    <w:rsid w:val="11298C34"/>
    <w:rsid w:val="11833713"/>
    <w:rsid w:val="1192AE8D"/>
    <w:rsid w:val="12458656"/>
    <w:rsid w:val="13444D7A"/>
    <w:rsid w:val="13B5122C"/>
    <w:rsid w:val="1456A42C"/>
    <w:rsid w:val="14921C8A"/>
    <w:rsid w:val="149B3710"/>
    <w:rsid w:val="158F79A3"/>
    <w:rsid w:val="159EE161"/>
    <w:rsid w:val="15B61085"/>
    <w:rsid w:val="15EC377C"/>
    <w:rsid w:val="15EE2D53"/>
    <w:rsid w:val="1616EE0C"/>
    <w:rsid w:val="16337684"/>
    <w:rsid w:val="1646E0E6"/>
    <w:rsid w:val="17559433"/>
    <w:rsid w:val="17FE0E50"/>
    <w:rsid w:val="18034574"/>
    <w:rsid w:val="186457D4"/>
    <w:rsid w:val="18A0C38A"/>
    <w:rsid w:val="18BFDB93"/>
    <w:rsid w:val="193E9F2E"/>
    <w:rsid w:val="196E53A9"/>
    <w:rsid w:val="1970ABA8"/>
    <w:rsid w:val="19B40A26"/>
    <w:rsid w:val="1A37A2EF"/>
    <w:rsid w:val="1A4A0296"/>
    <w:rsid w:val="1A64A1E1"/>
    <w:rsid w:val="1A9C6BD9"/>
    <w:rsid w:val="1AAD8838"/>
    <w:rsid w:val="1B2D5AB6"/>
    <w:rsid w:val="1B4064EF"/>
    <w:rsid w:val="1B6ED293"/>
    <w:rsid w:val="1BD64961"/>
    <w:rsid w:val="1BE2B5E9"/>
    <w:rsid w:val="1C2F025F"/>
    <w:rsid w:val="1CAFB507"/>
    <w:rsid w:val="1CB92828"/>
    <w:rsid w:val="1CDF86AF"/>
    <w:rsid w:val="1CE8E09D"/>
    <w:rsid w:val="1D39C165"/>
    <w:rsid w:val="1DB55FF0"/>
    <w:rsid w:val="1DCBA148"/>
    <w:rsid w:val="1E1945F2"/>
    <w:rsid w:val="1EC2A332"/>
    <w:rsid w:val="1EC35E18"/>
    <w:rsid w:val="1EE7C69B"/>
    <w:rsid w:val="1F0A17BE"/>
    <w:rsid w:val="1F16A8F8"/>
    <w:rsid w:val="1F46B002"/>
    <w:rsid w:val="1FA6AC06"/>
    <w:rsid w:val="204C51E1"/>
    <w:rsid w:val="20710720"/>
    <w:rsid w:val="20A9BA84"/>
    <w:rsid w:val="20C256B4"/>
    <w:rsid w:val="216A9FB5"/>
    <w:rsid w:val="21AD112D"/>
    <w:rsid w:val="21ED4CB8"/>
    <w:rsid w:val="22154AA3"/>
    <w:rsid w:val="2233B53A"/>
    <w:rsid w:val="223BEB3F"/>
    <w:rsid w:val="22458AE5"/>
    <w:rsid w:val="225AF7F7"/>
    <w:rsid w:val="22D49DE1"/>
    <w:rsid w:val="23066956"/>
    <w:rsid w:val="2309DEAC"/>
    <w:rsid w:val="235A80CC"/>
    <w:rsid w:val="23960567"/>
    <w:rsid w:val="23B9A6CF"/>
    <w:rsid w:val="23DC1D19"/>
    <w:rsid w:val="23E5EDB7"/>
    <w:rsid w:val="2412D9A5"/>
    <w:rsid w:val="2428A283"/>
    <w:rsid w:val="2447F4EC"/>
    <w:rsid w:val="246DBCA4"/>
    <w:rsid w:val="24706E42"/>
    <w:rsid w:val="24893F5B"/>
    <w:rsid w:val="24A6D203"/>
    <w:rsid w:val="24ADC9ED"/>
    <w:rsid w:val="2577E7B6"/>
    <w:rsid w:val="25EBC1FC"/>
    <w:rsid w:val="26250FBC"/>
    <w:rsid w:val="266B6B85"/>
    <w:rsid w:val="269466E2"/>
    <w:rsid w:val="26D0AB1A"/>
    <w:rsid w:val="26FF7C17"/>
    <w:rsid w:val="2705B42E"/>
    <w:rsid w:val="27DDAD43"/>
    <w:rsid w:val="2802F7DF"/>
    <w:rsid w:val="28114A99"/>
    <w:rsid w:val="28868690"/>
    <w:rsid w:val="288C9F3B"/>
    <w:rsid w:val="28F2AAB3"/>
    <w:rsid w:val="2909A0FF"/>
    <w:rsid w:val="2969E7CF"/>
    <w:rsid w:val="29B9A398"/>
    <w:rsid w:val="29D3CB2B"/>
    <w:rsid w:val="29F590E2"/>
    <w:rsid w:val="2A0952AE"/>
    <w:rsid w:val="2A1B9E94"/>
    <w:rsid w:val="2A7D43A7"/>
    <w:rsid w:val="2B5D1703"/>
    <w:rsid w:val="2B60543E"/>
    <w:rsid w:val="2B8EF69C"/>
    <w:rsid w:val="2C211F81"/>
    <w:rsid w:val="2C23B0F5"/>
    <w:rsid w:val="2CD37449"/>
    <w:rsid w:val="2CDD5A0D"/>
    <w:rsid w:val="2CFB795D"/>
    <w:rsid w:val="2D029C9A"/>
    <w:rsid w:val="2D33AAA8"/>
    <w:rsid w:val="2D5BBC00"/>
    <w:rsid w:val="2D635CF3"/>
    <w:rsid w:val="2D68C7F5"/>
    <w:rsid w:val="2D72EB3F"/>
    <w:rsid w:val="2D990ACA"/>
    <w:rsid w:val="2DA45114"/>
    <w:rsid w:val="2DC270E4"/>
    <w:rsid w:val="2E0F7D72"/>
    <w:rsid w:val="2E1F8554"/>
    <w:rsid w:val="2E2A8E68"/>
    <w:rsid w:val="2E9599D8"/>
    <w:rsid w:val="2EBF67A4"/>
    <w:rsid w:val="2F1426C2"/>
    <w:rsid w:val="2F240DED"/>
    <w:rsid w:val="2F34DB2B"/>
    <w:rsid w:val="2F55B06F"/>
    <w:rsid w:val="2F89D945"/>
    <w:rsid w:val="2FFE6B66"/>
    <w:rsid w:val="3011F19D"/>
    <w:rsid w:val="30373FA3"/>
    <w:rsid w:val="3066D8B6"/>
    <w:rsid w:val="30944351"/>
    <w:rsid w:val="30D0AB8C"/>
    <w:rsid w:val="31594B33"/>
    <w:rsid w:val="31A96B3C"/>
    <w:rsid w:val="31ECBC73"/>
    <w:rsid w:val="321ED13B"/>
    <w:rsid w:val="322005DE"/>
    <w:rsid w:val="32544D0C"/>
    <w:rsid w:val="3289D79A"/>
    <w:rsid w:val="334C9C84"/>
    <w:rsid w:val="337817FF"/>
    <w:rsid w:val="33797C11"/>
    <w:rsid w:val="339A0FA8"/>
    <w:rsid w:val="33C25264"/>
    <w:rsid w:val="33C54D5D"/>
    <w:rsid w:val="33DED737"/>
    <w:rsid w:val="33F6A0F3"/>
    <w:rsid w:val="3410FB28"/>
    <w:rsid w:val="34239E7F"/>
    <w:rsid w:val="34539159"/>
    <w:rsid w:val="34E4C450"/>
    <w:rsid w:val="357AA798"/>
    <w:rsid w:val="358E8F94"/>
    <w:rsid w:val="3594CF3E"/>
    <w:rsid w:val="35AB7C73"/>
    <w:rsid w:val="35E005CC"/>
    <w:rsid w:val="35F7CD31"/>
    <w:rsid w:val="35F9A382"/>
    <w:rsid w:val="36220B29"/>
    <w:rsid w:val="36C0877F"/>
    <w:rsid w:val="3700ACC5"/>
    <w:rsid w:val="38183940"/>
    <w:rsid w:val="38221FFF"/>
    <w:rsid w:val="38244F0F"/>
    <w:rsid w:val="3842D59A"/>
    <w:rsid w:val="385A7DE3"/>
    <w:rsid w:val="3899EE0C"/>
    <w:rsid w:val="3903FE69"/>
    <w:rsid w:val="39516984"/>
    <w:rsid w:val="3972A392"/>
    <w:rsid w:val="399D57D3"/>
    <w:rsid w:val="3A0BC23C"/>
    <w:rsid w:val="3A1C811A"/>
    <w:rsid w:val="3AB5423D"/>
    <w:rsid w:val="3AB90B4D"/>
    <w:rsid w:val="3B43C408"/>
    <w:rsid w:val="3B5677AF"/>
    <w:rsid w:val="3B7F3974"/>
    <w:rsid w:val="3C522DC4"/>
    <w:rsid w:val="3C70F4C5"/>
    <w:rsid w:val="3C7B1413"/>
    <w:rsid w:val="3D0789BA"/>
    <w:rsid w:val="3D3A8896"/>
    <w:rsid w:val="3D4BC1E0"/>
    <w:rsid w:val="3D7CD9B3"/>
    <w:rsid w:val="3DB1E21E"/>
    <w:rsid w:val="3DC9DB8B"/>
    <w:rsid w:val="3E1564FC"/>
    <w:rsid w:val="3E1A4475"/>
    <w:rsid w:val="3E4EC88B"/>
    <w:rsid w:val="3E599526"/>
    <w:rsid w:val="3E5FD38F"/>
    <w:rsid w:val="3EE948FC"/>
    <w:rsid w:val="3F19E137"/>
    <w:rsid w:val="3F47DABB"/>
    <w:rsid w:val="3FAE5C70"/>
    <w:rsid w:val="3FBDDA96"/>
    <w:rsid w:val="3FBE4669"/>
    <w:rsid w:val="3FE66715"/>
    <w:rsid w:val="3FF3E455"/>
    <w:rsid w:val="4017D31E"/>
    <w:rsid w:val="40BCB062"/>
    <w:rsid w:val="40C2B714"/>
    <w:rsid w:val="40E8C973"/>
    <w:rsid w:val="40FF719D"/>
    <w:rsid w:val="410992A6"/>
    <w:rsid w:val="4129566C"/>
    <w:rsid w:val="4130386A"/>
    <w:rsid w:val="41600E9E"/>
    <w:rsid w:val="416AF4E1"/>
    <w:rsid w:val="42109ECB"/>
    <w:rsid w:val="425181F9"/>
    <w:rsid w:val="428E8986"/>
    <w:rsid w:val="42955931"/>
    <w:rsid w:val="42F10B24"/>
    <w:rsid w:val="4346B7F0"/>
    <w:rsid w:val="434D231F"/>
    <w:rsid w:val="43509802"/>
    <w:rsid w:val="43B92DEB"/>
    <w:rsid w:val="43D8B2EC"/>
    <w:rsid w:val="43D941D3"/>
    <w:rsid w:val="43ED525A"/>
    <w:rsid w:val="43F35FD4"/>
    <w:rsid w:val="442377B3"/>
    <w:rsid w:val="444A42B6"/>
    <w:rsid w:val="4492D59B"/>
    <w:rsid w:val="44B615C2"/>
    <w:rsid w:val="44CC9D26"/>
    <w:rsid w:val="44D2BFEF"/>
    <w:rsid w:val="44F90AAE"/>
    <w:rsid w:val="454386AB"/>
    <w:rsid w:val="4546A23D"/>
    <w:rsid w:val="4567A081"/>
    <w:rsid w:val="4577506C"/>
    <w:rsid w:val="4580F61A"/>
    <w:rsid w:val="45DC0063"/>
    <w:rsid w:val="4632D327"/>
    <w:rsid w:val="4635AFF4"/>
    <w:rsid w:val="468AFFC1"/>
    <w:rsid w:val="46A50EEF"/>
    <w:rsid w:val="46CA5428"/>
    <w:rsid w:val="4710E14B"/>
    <w:rsid w:val="4712C989"/>
    <w:rsid w:val="48205EB6"/>
    <w:rsid w:val="4824DEA4"/>
    <w:rsid w:val="483A2B52"/>
    <w:rsid w:val="49C9CA47"/>
    <w:rsid w:val="49CC1602"/>
    <w:rsid w:val="49FB9249"/>
    <w:rsid w:val="4A16F7CE"/>
    <w:rsid w:val="4A1C21D2"/>
    <w:rsid w:val="4A8722E2"/>
    <w:rsid w:val="4A99732B"/>
    <w:rsid w:val="4AA2B5B1"/>
    <w:rsid w:val="4AAD5E54"/>
    <w:rsid w:val="4B0D891C"/>
    <w:rsid w:val="4B33338A"/>
    <w:rsid w:val="4B379427"/>
    <w:rsid w:val="4B4BB4F7"/>
    <w:rsid w:val="4BBA5169"/>
    <w:rsid w:val="4BEA80CF"/>
    <w:rsid w:val="4C028379"/>
    <w:rsid w:val="4C81471A"/>
    <w:rsid w:val="4CC7B458"/>
    <w:rsid w:val="4CE0D1C4"/>
    <w:rsid w:val="4D3A9A93"/>
    <w:rsid w:val="4D4E0BB0"/>
    <w:rsid w:val="4DB79F1F"/>
    <w:rsid w:val="4DC7C856"/>
    <w:rsid w:val="4DE9AC96"/>
    <w:rsid w:val="4E094967"/>
    <w:rsid w:val="4E158F97"/>
    <w:rsid w:val="4E6F3392"/>
    <w:rsid w:val="4E80046E"/>
    <w:rsid w:val="4E8C2594"/>
    <w:rsid w:val="4EC63112"/>
    <w:rsid w:val="4ECC1FFC"/>
    <w:rsid w:val="4ED21D6C"/>
    <w:rsid w:val="4EE9DC11"/>
    <w:rsid w:val="4EEA68F1"/>
    <w:rsid w:val="4F140411"/>
    <w:rsid w:val="4F6758B3"/>
    <w:rsid w:val="4FBA1D9D"/>
    <w:rsid w:val="5010BCBA"/>
    <w:rsid w:val="5012483E"/>
    <w:rsid w:val="50511B39"/>
    <w:rsid w:val="506039E5"/>
    <w:rsid w:val="5087107F"/>
    <w:rsid w:val="50CD869B"/>
    <w:rsid w:val="50E35B44"/>
    <w:rsid w:val="5150218C"/>
    <w:rsid w:val="52189311"/>
    <w:rsid w:val="5245E8C5"/>
    <w:rsid w:val="524E0626"/>
    <w:rsid w:val="52AE3CC0"/>
    <w:rsid w:val="5350AAC0"/>
    <w:rsid w:val="537574AE"/>
    <w:rsid w:val="5428804A"/>
    <w:rsid w:val="5450C505"/>
    <w:rsid w:val="54622420"/>
    <w:rsid w:val="547AB505"/>
    <w:rsid w:val="54C6BCE8"/>
    <w:rsid w:val="54FA4A18"/>
    <w:rsid w:val="55593CDA"/>
    <w:rsid w:val="55950A78"/>
    <w:rsid w:val="55AA61D7"/>
    <w:rsid w:val="55B43CE3"/>
    <w:rsid w:val="56207F7D"/>
    <w:rsid w:val="562CB4A3"/>
    <w:rsid w:val="568A3ADC"/>
    <w:rsid w:val="56DA8BD1"/>
    <w:rsid w:val="57559DE5"/>
    <w:rsid w:val="577BD87A"/>
    <w:rsid w:val="5788646A"/>
    <w:rsid w:val="57D43879"/>
    <w:rsid w:val="58031A06"/>
    <w:rsid w:val="584EBCC0"/>
    <w:rsid w:val="58742361"/>
    <w:rsid w:val="592689F7"/>
    <w:rsid w:val="593E8752"/>
    <w:rsid w:val="59592041"/>
    <w:rsid w:val="5988EBA5"/>
    <w:rsid w:val="59CAAA3A"/>
    <w:rsid w:val="59FA33C2"/>
    <w:rsid w:val="5A2A0151"/>
    <w:rsid w:val="5AB4B1F2"/>
    <w:rsid w:val="5AB741FA"/>
    <w:rsid w:val="5AEF9282"/>
    <w:rsid w:val="5B06057F"/>
    <w:rsid w:val="5B2F3600"/>
    <w:rsid w:val="5B861D30"/>
    <w:rsid w:val="5C093D56"/>
    <w:rsid w:val="5C4586ED"/>
    <w:rsid w:val="5C6039DC"/>
    <w:rsid w:val="5C8D46A3"/>
    <w:rsid w:val="5CDBEFED"/>
    <w:rsid w:val="5CF1BC6E"/>
    <w:rsid w:val="5D2AAD2A"/>
    <w:rsid w:val="5D3D03AD"/>
    <w:rsid w:val="5D8575F8"/>
    <w:rsid w:val="5DBD7647"/>
    <w:rsid w:val="5E1759FB"/>
    <w:rsid w:val="5E83536E"/>
    <w:rsid w:val="5E8BF1CA"/>
    <w:rsid w:val="5EC7D1DC"/>
    <w:rsid w:val="5ED8D40E"/>
    <w:rsid w:val="5F437C40"/>
    <w:rsid w:val="5F77BF65"/>
    <w:rsid w:val="5FB86118"/>
    <w:rsid w:val="5FDB2751"/>
    <w:rsid w:val="601D666A"/>
    <w:rsid w:val="6020C361"/>
    <w:rsid w:val="602FAFB1"/>
    <w:rsid w:val="603147C9"/>
    <w:rsid w:val="604AB6E2"/>
    <w:rsid w:val="605668D3"/>
    <w:rsid w:val="60930A63"/>
    <w:rsid w:val="60BEEC06"/>
    <w:rsid w:val="60E862EE"/>
    <w:rsid w:val="60F427CF"/>
    <w:rsid w:val="611D3A17"/>
    <w:rsid w:val="61782567"/>
    <w:rsid w:val="617EB9FC"/>
    <w:rsid w:val="61A7F454"/>
    <w:rsid w:val="61DC062F"/>
    <w:rsid w:val="61F00AA4"/>
    <w:rsid w:val="61FA01FA"/>
    <w:rsid w:val="62BB0217"/>
    <w:rsid w:val="63897D25"/>
    <w:rsid w:val="638BDB05"/>
    <w:rsid w:val="63B70F8C"/>
    <w:rsid w:val="63BF3693"/>
    <w:rsid w:val="644623E5"/>
    <w:rsid w:val="645B5ACB"/>
    <w:rsid w:val="64683A4A"/>
    <w:rsid w:val="64819788"/>
    <w:rsid w:val="6484CDF8"/>
    <w:rsid w:val="64AE9874"/>
    <w:rsid w:val="64EBA340"/>
    <w:rsid w:val="64EC2C5F"/>
    <w:rsid w:val="651AB8BB"/>
    <w:rsid w:val="65413BEB"/>
    <w:rsid w:val="65624E9D"/>
    <w:rsid w:val="658D527A"/>
    <w:rsid w:val="65B8E52C"/>
    <w:rsid w:val="662E44C6"/>
    <w:rsid w:val="66727D2D"/>
    <w:rsid w:val="6679A6F6"/>
    <w:rsid w:val="66829274"/>
    <w:rsid w:val="669AEDF5"/>
    <w:rsid w:val="669EF135"/>
    <w:rsid w:val="66D6E629"/>
    <w:rsid w:val="66DF35DC"/>
    <w:rsid w:val="67A692DC"/>
    <w:rsid w:val="67AB03A0"/>
    <w:rsid w:val="67CF0DA2"/>
    <w:rsid w:val="67D23B39"/>
    <w:rsid w:val="67DC663C"/>
    <w:rsid w:val="67F29A01"/>
    <w:rsid w:val="685A070A"/>
    <w:rsid w:val="68613095"/>
    <w:rsid w:val="688E0062"/>
    <w:rsid w:val="6895E7C4"/>
    <w:rsid w:val="68A8DA1F"/>
    <w:rsid w:val="68D3C709"/>
    <w:rsid w:val="68D4706C"/>
    <w:rsid w:val="68FEBB1B"/>
    <w:rsid w:val="6921F20D"/>
    <w:rsid w:val="6954C9B4"/>
    <w:rsid w:val="6967C914"/>
    <w:rsid w:val="69941384"/>
    <w:rsid w:val="69BD374F"/>
    <w:rsid w:val="69E4A2A3"/>
    <w:rsid w:val="69E79180"/>
    <w:rsid w:val="6A41EB2E"/>
    <w:rsid w:val="6A6ABAD3"/>
    <w:rsid w:val="6A9C6E53"/>
    <w:rsid w:val="6ACE658D"/>
    <w:rsid w:val="6AD62974"/>
    <w:rsid w:val="6ADF9AC8"/>
    <w:rsid w:val="6AEACE94"/>
    <w:rsid w:val="6AFCF477"/>
    <w:rsid w:val="6B1C45A1"/>
    <w:rsid w:val="6B48BBF0"/>
    <w:rsid w:val="6B58C3C3"/>
    <w:rsid w:val="6BC68C73"/>
    <w:rsid w:val="6C39403F"/>
    <w:rsid w:val="6C5992CF"/>
    <w:rsid w:val="6C8CD15D"/>
    <w:rsid w:val="6C9785EC"/>
    <w:rsid w:val="6D407EB2"/>
    <w:rsid w:val="6D648542"/>
    <w:rsid w:val="6D720DA9"/>
    <w:rsid w:val="6D81BAC1"/>
    <w:rsid w:val="6DF3A499"/>
    <w:rsid w:val="6E029F89"/>
    <w:rsid w:val="6E338D87"/>
    <w:rsid w:val="6E5467D1"/>
    <w:rsid w:val="6EB08611"/>
    <w:rsid w:val="6EDF4577"/>
    <w:rsid w:val="6F0F8D08"/>
    <w:rsid w:val="6F142315"/>
    <w:rsid w:val="6F225CB1"/>
    <w:rsid w:val="6F75B160"/>
    <w:rsid w:val="6F84C709"/>
    <w:rsid w:val="6FDAF393"/>
    <w:rsid w:val="6FE7161F"/>
    <w:rsid w:val="6FED1342"/>
    <w:rsid w:val="70693A3C"/>
    <w:rsid w:val="70A90E0E"/>
    <w:rsid w:val="70ADA6DA"/>
    <w:rsid w:val="70B3237F"/>
    <w:rsid w:val="70F6F13D"/>
    <w:rsid w:val="7103D7FC"/>
    <w:rsid w:val="711A5901"/>
    <w:rsid w:val="7122A0ED"/>
    <w:rsid w:val="7136DABF"/>
    <w:rsid w:val="71527290"/>
    <w:rsid w:val="716A7FBF"/>
    <w:rsid w:val="7173F31F"/>
    <w:rsid w:val="718A3049"/>
    <w:rsid w:val="723EF4D9"/>
    <w:rsid w:val="72AD5222"/>
    <w:rsid w:val="72C62078"/>
    <w:rsid w:val="72D3B874"/>
    <w:rsid w:val="73D4E758"/>
    <w:rsid w:val="73E6D499"/>
    <w:rsid w:val="7404634B"/>
    <w:rsid w:val="742CD4BC"/>
    <w:rsid w:val="7471E10D"/>
    <w:rsid w:val="74984117"/>
    <w:rsid w:val="749F697B"/>
    <w:rsid w:val="74DF0121"/>
    <w:rsid w:val="74F0EF37"/>
    <w:rsid w:val="754CF5AF"/>
    <w:rsid w:val="755867A7"/>
    <w:rsid w:val="75F4088D"/>
    <w:rsid w:val="766302C0"/>
    <w:rsid w:val="76D5D7F4"/>
    <w:rsid w:val="77679EF8"/>
    <w:rsid w:val="776FEE10"/>
    <w:rsid w:val="77FED321"/>
    <w:rsid w:val="781EEBEA"/>
    <w:rsid w:val="7849E696"/>
    <w:rsid w:val="78822A22"/>
    <w:rsid w:val="789D71AF"/>
    <w:rsid w:val="78B0A76D"/>
    <w:rsid w:val="78F70BDE"/>
    <w:rsid w:val="7950CAE2"/>
    <w:rsid w:val="79A88C80"/>
    <w:rsid w:val="79AACAD9"/>
    <w:rsid w:val="79BA9BEC"/>
    <w:rsid w:val="79BB98CC"/>
    <w:rsid w:val="7A502FB8"/>
    <w:rsid w:val="7AE9A9BE"/>
    <w:rsid w:val="7B0DF499"/>
    <w:rsid w:val="7B3E84F7"/>
    <w:rsid w:val="7B568CAC"/>
    <w:rsid w:val="7B9BD5DD"/>
    <w:rsid w:val="7BB86692"/>
    <w:rsid w:val="7C4B9EBC"/>
    <w:rsid w:val="7C570FCA"/>
    <w:rsid w:val="7C86E57D"/>
    <w:rsid w:val="7CD65570"/>
    <w:rsid w:val="7CF5AF42"/>
    <w:rsid w:val="7D106BEA"/>
    <w:rsid w:val="7D440F6F"/>
    <w:rsid w:val="7D5436F3"/>
    <w:rsid w:val="7D7B9587"/>
    <w:rsid w:val="7D8C6682"/>
    <w:rsid w:val="7DF95206"/>
    <w:rsid w:val="7E0FF0A2"/>
    <w:rsid w:val="7E1E87F9"/>
    <w:rsid w:val="7E39B32C"/>
    <w:rsid w:val="7E7FC07D"/>
    <w:rsid w:val="7E8B604F"/>
    <w:rsid w:val="7F0904B7"/>
    <w:rsid w:val="7F65904D"/>
    <w:rsid w:val="7F75BA4C"/>
    <w:rsid w:val="7F8BD52A"/>
    <w:rsid w:val="7FDE3E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1"/>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0F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Table Legend,Bullet1,Bullet 1,Section 5,Styl moj,Akapit z listą11,L,Bullet Point,Bullet"/>
    <w:next w:val="ListBullet"/>
    <w:link w:val="ListParagraphChar"/>
    <w:uiPriority w:val="34"/>
    <w:qFormat/>
    <w:rsid w:val="00ED40F2"/>
    <w:pPr>
      <w:numPr>
        <w:numId w:val="9"/>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Table Legend Char,Bullet1 Char"/>
    <w:basedOn w:val="DefaultParagraphFont"/>
    <w:link w:val="ListParagraph"/>
    <w:uiPriority w:val="34"/>
    <w:qFormat/>
    <w:locked/>
    <w:rsid w:val="00ED40F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D40F2"/>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D40F2"/>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1 Char,Comment Text Char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D40F2"/>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D40F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D40F2"/>
    <w:pPr>
      <w:keepNext/>
    </w:pPr>
    <w:rPr>
      <w:rFonts w:ascii="Arial Narrow" w:eastAsiaTheme="majorEastAsia" w:hAnsi="Arial Narrow"/>
      <w:b/>
      <w:szCs w:val="24"/>
      <w:lang w:val="en-US"/>
    </w:rPr>
  </w:style>
  <w:style w:type="paragraph" w:customStyle="1" w:styleId="2-SectionHeading">
    <w:name w:val="2-Section Heading"/>
    <w:qFormat/>
    <w:rsid w:val="00ED40F2"/>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D40F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D40F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ED40F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D40F2"/>
    <w:rPr>
      <w:rFonts w:ascii="Arial Narrow" w:eastAsiaTheme="majorEastAsia" w:hAnsi="Arial Narrow" w:cstheme="majorBidi"/>
      <w:b/>
      <w:bCs/>
      <w:szCs w:val="24"/>
    </w:rPr>
  </w:style>
  <w:style w:type="paragraph" w:customStyle="1" w:styleId="3-BodyText">
    <w:name w:val="3-Body Text"/>
    <w:link w:val="3-BodyTextChar"/>
    <w:qFormat/>
    <w:rsid w:val="00ED40F2"/>
    <w:pPr>
      <w:numPr>
        <w:ilvl w:val="1"/>
        <w:numId w:val="10"/>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D40F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ED40F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D40F2"/>
    <w:rPr>
      <w:rFonts w:ascii="Calibri" w:hAnsi="Calibri" w:cs="Arial"/>
      <w:b/>
      <w:sz w:val="24"/>
      <w:szCs w:val="24"/>
    </w:rPr>
  </w:style>
  <w:style w:type="paragraph" w:customStyle="1" w:styleId="TableFigureFooter">
    <w:name w:val="Table/Figure Footer"/>
    <w:basedOn w:val="Normal"/>
    <w:link w:val="TableFigureFooterChar"/>
    <w:qFormat/>
    <w:rsid w:val="00ED40F2"/>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D40F2"/>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D40F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ED40F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ED40F2"/>
    <w:pPr>
      <w:keepNext/>
      <w:keepLines/>
      <w:spacing w:before="40"/>
    </w:pPr>
    <w:rPr>
      <w:rFonts w:asciiTheme="minorHAnsi" w:eastAsiaTheme="majorEastAsia" w:hAnsiTheme="minorHAnsi" w:cstheme="majorBidi"/>
      <w:b/>
      <w:color w:val="000000" w:themeColor="text1"/>
    </w:rPr>
  </w:style>
  <w:style w:type="character" w:customStyle="1" w:styleId="5-SubsectionSubheadingChar">
    <w:name w:val="5-Subsection Subheading Char"/>
    <w:basedOn w:val="Heading3Char"/>
    <w:link w:val="5-SubsectionSubheading"/>
    <w:rsid w:val="00ED40F2"/>
    <w:rPr>
      <w:rFonts w:asciiTheme="minorHAnsi" w:eastAsiaTheme="majorEastAsia" w:hAnsiTheme="minorHAnsi" w:cstheme="majorBidi"/>
      <w:b/>
      <w:color w:val="000000" w:themeColor="text1"/>
      <w:sz w:val="24"/>
      <w:szCs w:val="24"/>
      <w:u w:val="single"/>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D40F2"/>
    <w:rPr>
      <w:rFonts w:ascii="Arial Narrow" w:eastAsiaTheme="majorEastAsia" w:hAnsi="Arial Narrow" w:cstheme="majorBidi"/>
      <w:bCs/>
      <w:szCs w:val="24"/>
    </w:rPr>
  </w:style>
  <w:style w:type="paragraph" w:customStyle="1" w:styleId="MainBodyText">
    <w:name w:val="Main Body Text"/>
    <w:basedOn w:val="Normal"/>
    <w:link w:val="MainBodyTextChar"/>
    <w:rsid w:val="00440CF0"/>
    <w:pPr>
      <w:spacing w:after="240" w:line="276" w:lineRule="auto"/>
    </w:pPr>
    <w:rPr>
      <w:rFonts w:ascii="Arial" w:hAnsi="Arial" w:cs="Times New Roman"/>
      <w:sz w:val="22"/>
      <w:szCs w:val="22"/>
    </w:rPr>
  </w:style>
  <w:style w:type="character" w:customStyle="1" w:styleId="MainBodyTextChar">
    <w:name w:val="Main Body Text Char"/>
    <w:link w:val="MainBodyText"/>
    <w:rsid w:val="00440CF0"/>
    <w:rPr>
      <w:rFonts w:ascii="Arial" w:hAnsi="Arial"/>
      <w:sz w:val="22"/>
      <w:szCs w:val="22"/>
    </w:rPr>
  </w:style>
  <w:style w:type="paragraph" w:customStyle="1" w:styleId="LastLineundertable">
    <w:name w:val="Last Line under table"/>
    <w:basedOn w:val="Normal"/>
    <w:next w:val="MainBodyText"/>
    <w:rsid w:val="00C200BA"/>
    <w:pPr>
      <w:spacing w:before="60" w:after="200" w:line="276" w:lineRule="auto"/>
      <w:contextualSpacing/>
      <w:jc w:val="left"/>
    </w:pPr>
    <w:rPr>
      <w:rFonts w:ascii="Arial" w:hAnsi="Arial" w:cs="Times New Roman"/>
      <w:i/>
      <w:sz w:val="16"/>
      <w:szCs w:val="22"/>
    </w:rPr>
  </w:style>
  <w:style w:type="paragraph" w:customStyle="1" w:styleId="ListBulletlvl3">
    <w:name w:val="List Bullet lvl 3"/>
    <w:basedOn w:val="ListBullet"/>
    <w:rsid w:val="006C297A"/>
    <w:pPr>
      <w:numPr>
        <w:numId w:val="0"/>
      </w:numPr>
      <w:spacing w:after="120" w:line="276" w:lineRule="auto"/>
      <w:ind w:left="2160" w:hanging="360"/>
      <w:contextualSpacing w:val="0"/>
      <w:jc w:val="left"/>
    </w:pPr>
    <w:rPr>
      <w:rFonts w:eastAsiaTheme="minorHAnsi" w:cstheme="minorBidi"/>
      <w:szCs w:val="22"/>
      <w:lang w:eastAsia="en-US"/>
    </w:rPr>
  </w:style>
  <w:style w:type="paragraph" w:customStyle="1" w:styleId="ListBulletlvl4">
    <w:name w:val="List Bullet lvl 4"/>
    <w:basedOn w:val="ListBullet"/>
    <w:rsid w:val="006C297A"/>
    <w:pPr>
      <w:numPr>
        <w:numId w:val="0"/>
      </w:numPr>
      <w:spacing w:after="120" w:line="276" w:lineRule="auto"/>
      <w:ind w:left="2880" w:hanging="360"/>
      <w:contextualSpacing w:val="0"/>
      <w:jc w:val="left"/>
    </w:pPr>
    <w:rPr>
      <w:rFonts w:eastAsiaTheme="minorHAnsi" w:cstheme="minorBidi"/>
      <w:szCs w:val="22"/>
      <w:lang w:eastAsia="en-US"/>
    </w:rPr>
  </w:style>
  <w:style w:type="paragraph" w:customStyle="1" w:styleId="ListBulletlvl5">
    <w:name w:val="List Bullet lvl 5"/>
    <w:basedOn w:val="ListBullet"/>
    <w:rsid w:val="006C297A"/>
    <w:pPr>
      <w:numPr>
        <w:numId w:val="0"/>
      </w:numPr>
      <w:spacing w:after="120" w:line="276" w:lineRule="auto"/>
      <w:ind w:left="3600" w:hanging="360"/>
      <w:contextualSpacing w:val="0"/>
      <w:jc w:val="left"/>
    </w:pPr>
    <w:rPr>
      <w:rFonts w:eastAsiaTheme="minorHAnsi" w:cstheme="minorBidi"/>
      <w:szCs w:val="22"/>
      <w:lang w:eastAsia="en-US"/>
    </w:rPr>
  </w:style>
  <w:style w:type="paragraph" w:customStyle="1" w:styleId="ListBulletlvl6">
    <w:name w:val="List Bullet lvl 6"/>
    <w:basedOn w:val="ListBullet"/>
    <w:rsid w:val="006C297A"/>
    <w:pPr>
      <w:numPr>
        <w:numId w:val="0"/>
      </w:numPr>
      <w:spacing w:after="120" w:line="276" w:lineRule="auto"/>
      <w:ind w:left="4320" w:hanging="360"/>
      <w:contextualSpacing w:val="0"/>
      <w:jc w:val="left"/>
    </w:pPr>
    <w:rPr>
      <w:rFonts w:eastAsiaTheme="minorHAnsi" w:cstheme="minorBidi"/>
      <w:szCs w:val="22"/>
      <w:lang w:eastAsia="en-US"/>
    </w:rPr>
  </w:style>
  <w:style w:type="paragraph" w:customStyle="1" w:styleId="ListBulletlvl7">
    <w:name w:val="List Bullet lvl 7"/>
    <w:basedOn w:val="ListBullet"/>
    <w:rsid w:val="006C297A"/>
    <w:pPr>
      <w:numPr>
        <w:numId w:val="0"/>
      </w:numPr>
      <w:spacing w:after="120" w:line="276" w:lineRule="auto"/>
      <w:ind w:left="5040" w:hanging="360"/>
      <w:contextualSpacing w:val="0"/>
      <w:jc w:val="left"/>
    </w:pPr>
    <w:rPr>
      <w:rFonts w:eastAsiaTheme="minorHAnsi" w:cstheme="minorBidi"/>
      <w:szCs w:val="22"/>
      <w:lang w:eastAsia="en-US"/>
    </w:rPr>
  </w:style>
  <w:style w:type="paragraph" w:customStyle="1" w:styleId="ListBulletlvl8">
    <w:name w:val="List Bullet lvl 8"/>
    <w:basedOn w:val="ListBullet"/>
    <w:rsid w:val="006C297A"/>
    <w:pPr>
      <w:numPr>
        <w:numId w:val="0"/>
      </w:numPr>
      <w:spacing w:after="120" w:line="276" w:lineRule="auto"/>
      <w:ind w:left="5760" w:hanging="360"/>
      <w:contextualSpacing w:val="0"/>
      <w:jc w:val="left"/>
    </w:pPr>
    <w:rPr>
      <w:rFonts w:eastAsiaTheme="minorHAnsi" w:cstheme="minorBidi"/>
      <w:szCs w:val="22"/>
      <w:lang w:eastAsia="en-US"/>
    </w:rPr>
  </w:style>
  <w:style w:type="paragraph" w:customStyle="1" w:styleId="ListBulletlvl9">
    <w:name w:val="List Bullet lvl 9"/>
    <w:basedOn w:val="ListBullet"/>
    <w:rsid w:val="006C297A"/>
    <w:pPr>
      <w:numPr>
        <w:numId w:val="0"/>
      </w:numPr>
      <w:spacing w:after="120" w:line="276" w:lineRule="auto"/>
      <w:ind w:left="6480" w:hanging="360"/>
      <w:contextualSpacing w:val="0"/>
      <w:jc w:val="left"/>
    </w:pPr>
    <w:rPr>
      <w:rFonts w:eastAsiaTheme="minorHAnsi" w:cstheme="minorBidi"/>
      <w:szCs w:val="22"/>
      <w:lang w:eastAsia="en-US"/>
    </w:rPr>
  </w:style>
  <w:style w:type="paragraph" w:customStyle="1" w:styleId="Default">
    <w:name w:val="Default"/>
    <w:rsid w:val="00B9214D"/>
    <w:pPr>
      <w:autoSpaceDE w:val="0"/>
      <w:autoSpaceDN w:val="0"/>
      <w:adjustRightInd w:val="0"/>
    </w:pPr>
    <w:rPr>
      <w:rFonts w:eastAsia="Calibri"/>
      <w:color w:val="000000"/>
      <w:sz w:val="24"/>
      <w:szCs w:val="24"/>
    </w:rPr>
  </w:style>
  <w:style w:type="character" w:styleId="FootnoteReference">
    <w:name w:val="footnote reference"/>
    <w:basedOn w:val="DefaultParagraphFont"/>
    <w:uiPriority w:val="99"/>
    <w:semiHidden/>
    <w:unhideWhenUsed/>
    <w:rsid w:val="00B9214D"/>
    <w:rPr>
      <w:vertAlign w:val="superscript"/>
    </w:rPr>
  </w:style>
  <w:style w:type="character" w:customStyle="1" w:styleId="FootnoteTextChar">
    <w:name w:val="Footnote Text Char"/>
    <w:basedOn w:val="DefaultParagraphFont"/>
    <w:link w:val="FootnoteText"/>
    <w:uiPriority w:val="99"/>
    <w:semiHidden/>
    <w:rsid w:val="00B9214D"/>
  </w:style>
  <w:style w:type="paragraph" w:styleId="FootnoteText">
    <w:name w:val="footnote text"/>
    <w:basedOn w:val="Normal"/>
    <w:link w:val="FootnoteTextChar"/>
    <w:uiPriority w:val="99"/>
    <w:semiHidden/>
    <w:unhideWhenUsed/>
    <w:rsid w:val="00B9214D"/>
    <w:rPr>
      <w:rFonts w:ascii="Times New Roman" w:hAnsi="Times New Roman" w:cs="Times New Roman"/>
      <w:sz w:val="20"/>
      <w:szCs w:val="20"/>
    </w:rPr>
  </w:style>
  <w:style w:type="character" w:customStyle="1" w:styleId="FootnoteTextChar1">
    <w:name w:val="Footnote Text Char1"/>
    <w:basedOn w:val="DefaultParagraphFont"/>
    <w:semiHidden/>
    <w:rsid w:val="00B9214D"/>
    <w:rPr>
      <w:rFonts w:ascii="Calibri" w:hAnsi="Calibri" w:cs="Arial"/>
    </w:rPr>
  </w:style>
  <w:style w:type="character" w:customStyle="1" w:styleId="Heading1Char">
    <w:name w:val="Heading 1 Char"/>
    <w:basedOn w:val="DefaultParagraphFont"/>
    <w:link w:val="Heading1"/>
    <w:uiPriority w:val="1"/>
    <w:rsid w:val="000622B6"/>
    <w:rPr>
      <w:rFonts w:ascii="Calibri" w:hAnsi="Calibri" w:cs="Arial"/>
      <w:b/>
      <w:caps/>
      <w:sz w:val="32"/>
      <w:szCs w:val="24"/>
    </w:rPr>
  </w:style>
  <w:style w:type="character" w:customStyle="1" w:styleId="TableHeadingChar">
    <w:name w:val="TableHeading Char"/>
    <w:link w:val="TableHeading"/>
    <w:rsid w:val="000622B6"/>
    <w:rPr>
      <w:rFonts w:ascii="Arial Narrow" w:hAnsi="Arial Narrow" w:cs="Arial Narrow"/>
      <w:b/>
      <w:bCs/>
      <w:snapToGrid w:val="0"/>
      <w:szCs w:val="24"/>
    </w:rPr>
  </w:style>
  <w:style w:type="character" w:customStyle="1" w:styleId="UnresolvedMention1">
    <w:name w:val="Unresolved Mention1"/>
    <w:basedOn w:val="DefaultParagraphFont"/>
    <w:uiPriority w:val="99"/>
    <w:unhideWhenUsed/>
    <w:rsid w:val="000622B6"/>
    <w:rPr>
      <w:color w:val="605E5C"/>
      <w:shd w:val="clear" w:color="auto" w:fill="E1DFDD"/>
    </w:rPr>
  </w:style>
  <w:style w:type="character" w:customStyle="1" w:styleId="Small">
    <w:name w:val="Small"/>
    <w:basedOn w:val="DefaultParagraphFont"/>
    <w:uiPriority w:val="1"/>
    <w:rsid w:val="000622B6"/>
    <w:rPr>
      <w:rFonts w:asciiTheme="minorHAnsi" w:hAnsiTheme="minorHAnsi"/>
      <w:sz w:val="18"/>
    </w:rPr>
  </w:style>
  <w:style w:type="character" w:customStyle="1" w:styleId="normaltextrun">
    <w:name w:val="normaltextrun"/>
    <w:basedOn w:val="DefaultParagraphFont"/>
    <w:rsid w:val="000622B6"/>
  </w:style>
  <w:style w:type="character" w:customStyle="1" w:styleId="eop">
    <w:name w:val="eop"/>
    <w:basedOn w:val="DefaultParagraphFont"/>
    <w:rsid w:val="000622B6"/>
  </w:style>
  <w:style w:type="paragraph" w:customStyle="1" w:styleId="paragraph">
    <w:name w:val="paragraph"/>
    <w:basedOn w:val="Normal"/>
    <w:rsid w:val="000622B6"/>
    <w:pPr>
      <w:spacing w:before="100" w:beforeAutospacing="1" w:after="100" w:afterAutospacing="1"/>
      <w:jc w:val="left"/>
    </w:pPr>
    <w:rPr>
      <w:rFonts w:ascii="Times New Roman" w:hAnsi="Times New Roman" w:cs="Times New Roman"/>
    </w:rPr>
  </w:style>
  <w:style w:type="character" w:customStyle="1" w:styleId="Mention1">
    <w:name w:val="Mention1"/>
    <w:basedOn w:val="DefaultParagraphFont"/>
    <w:uiPriority w:val="99"/>
    <w:unhideWhenUsed/>
    <w:rsid w:val="000622B6"/>
    <w:rPr>
      <w:color w:val="2B579A"/>
      <w:shd w:val="clear" w:color="auto" w:fill="E1DFDD"/>
    </w:rPr>
  </w:style>
  <w:style w:type="character" w:customStyle="1" w:styleId="Heading3Char">
    <w:name w:val="Heading 3 Char"/>
    <w:basedOn w:val="DefaultParagraphFont"/>
    <w:link w:val="Heading3"/>
    <w:rsid w:val="000622B6"/>
    <w:rPr>
      <w:rFonts w:ascii="Calibri" w:hAnsi="Calibri" w:cs="Arial"/>
      <w:sz w:val="24"/>
      <w:szCs w:val="24"/>
      <w:u w:val="single"/>
    </w:rPr>
  </w:style>
  <w:style w:type="character" w:customStyle="1" w:styleId="Heading4Char">
    <w:name w:val="Heading 4 Char"/>
    <w:basedOn w:val="DefaultParagraphFont"/>
    <w:link w:val="Heading4"/>
    <w:rsid w:val="000622B6"/>
    <w:rPr>
      <w:rFonts w:ascii="Calibri" w:hAnsi="Calibri" w:cs="Arial"/>
      <w:b/>
      <w:bCs/>
      <w:i/>
      <w:sz w:val="26"/>
      <w:szCs w:val="28"/>
    </w:rPr>
  </w:style>
  <w:style w:type="character" w:customStyle="1" w:styleId="Heading5Char">
    <w:name w:val="Heading 5 Char"/>
    <w:basedOn w:val="DefaultParagraphFont"/>
    <w:link w:val="Heading5"/>
    <w:rsid w:val="000622B6"/>
    <w:rPr>
      <w:rFonts w:ascii="Calibri" w:hAnsi="Calibri" w:cs="Arial"/>
      <w:b/>
      <w:bCs/>
      <w:iCs/>
      <w:sz w:val="26"/>
      <w:szCs w:val="26"/>
    </w:rPr>
  </w:style>
  <w:style w:type="character" w:customStyle="1" w:styleId="Heading6Char">
    <w:name w:val="Heading 6 Char"/>
    <w:basedOn w:val="DefaultParagraphFont"/>
    <w:link w:val="Heading6"/>
    <w:rsid w:val="000622B6"/>
    <w:rPr>
      <w:rFonts w:ascii="Calibri" w:hAnsi="Calibri" w:cs="Arial"/>
      <w:b/>
      <w:bCs/>
      <w:i/>
      <w:sz w:val="24"/>
      <w:szCs w:val="24"/>
    </w:rPr>
  </w:style>
  <w:style w:type="character" w:customStyle="1" w:styleId="tabchar">
    <w:name w:val="tabchar"/>
    <w:basedOn w:val="DefaultParagraphFont"/>
    <w:rsid w:val="000622B6"/>
  </w:style>
  <w:style w:type="character" w:customStyle="1" w:styleId="findhit">
    <w:name w:val="findhit"/>
    <w:basedOn w:val="DefaultParagraphFont"/>
    <w:rsid w:val="00811E0E"/>
  </w:style>
  <w:style w:type="character" w:customStyle="1" w:styleId="spellingerrorsuperscript">
    <w:name w:val="spellingerrorsuperscript"/>
    <w:basedOn w:val="DefaultParagraphFont"/>
    <w:rsid w:val="00811E0E"/>
  </w:style>
  <w:style w:type="paragraph" w:styleId="TableofFigures">
    <w:name w:val="table of figures"/>
    <w:basedOn w:val="Normal"/>
    <w:next w:val="Normal"/>
    <w:uiPriority w:val="99"/>
    <w:unhideWhenUsed/>
    <w:rsid w:val="00397AE8"/>
  </w:style>
  <w:style w:type="character" w:customStyle="1" w:styleId="UnresolvedMention2">
    <w:name w:val="Unresolved Mention2"/>
    <w:basedOn w:val="DefaultParagraphFont"/>
    <w:uiPriority w:val="99"/>
    <w:unhideWhenUsed/>
    <w:rsid w:val="003315E9"/>
    <w:rPr>
      <w:color w:val="605E5C"/>
      <w:shd w:val="clear" w:color="auto" w:fill="E1DFDD"/>
    </w:rPr>
  </w:style>
  <w:style w:type="character" w:customStyle="1" w:styleId="Mention2">
    <w:name w:val="Mention2"/>
    <w:basedOn w:val="DefaultParagraphFont"/>
    <w:uiPriority w:val="99"/>
    <w:unhideWhenUsed/>
    <w:rsid w:val="003315E9"/>
    <w:rPr>
      <w:color w:val="2B579A"/>
      <w:shd w:val="clear" w:color="auto" w:fill="E1DFDD"/>
    </w:rPr>
  </w:style>
  <w:style w:type="character" w:customStyle="1" w:styleId="UnresolvedMention3">
    <w:name w:val="Unresolved Mention3"/>
    <w:basedOn w:val="DefaultParagraphFont"/>
    <w:uiPriority w:val="99"/>
    <w:semiHidden/>
    <w:unhideWhenUsed/>
    <w:rsid w:val="00E31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215062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4453815">
      <w:bodyDiv w:val="1"/>
      <w:marLeft w:val="0"/>
      <w:marRight w:val="0"/>
      <w:marTop w:val="0"/>
      <w:marBottom w:val="0"/>
      <w:divBdr>
        <w:top w:val="none" w:sz="0" w:space="0" w:color="auto"/>
        <w:left w:val="none" w:sz="0" w:space="0" w:color="auto"/>
        <w:bottom w:val="none" w:sz="0" w:space="0" w:color="auto"/>
        <w:right w:val="none" w:sz="0" w:space="0" w:color="auto"/>
      </w:divBdr>
    </w:div>
    <w:div w:id="454492797">
      <w:bodyDiv w:val="1"/>
      <w:marLeft w:val="0"/>
      <w:marRight w:val="0"/>
      <w:marTop w:val="0"/>
      <w:marBottom w:val="0"/>
      <w:divBdr>
        <w:top w:val="none" w:sz="0" w:space="0" w:color="auto"/>
        <w:left w:val="none" w:sz="0" w:space="0" w:color="auto"/>
        <w:bottom w:val="none" w:sz="0" w:space="0" w:color="auto"/>
        <w:right w:val="none" w:sz="0" w:space="0" w:color="auto"/>
      </w:divBdr>
    </w:div>
    <w:div w:id="487748276">
      <w:bodyDiv w:val="1"/>
      <w:marLeft w:val="0"/>
      <w:marRight w:val="0"/>
      <w:marTop w:val="0"/>
      <w:marBottom w:val="0"/>
      <w:divBdr>
        <w:top w:val="none" w:sz="0" w:space="0" w:color="auto"/>
        <w:left w:val="none" w:sz="0" w:space="0" w:color="auto"/>
        <w:bottom w:val="none" w:sz="0" w:space="0" w:color="auto"/>
        <w:right w:val="none" w:sz="0" w:space="0" w:color="auto"/>
      </w:divBdr>
    </w:div>
    <w:div w:id="793792890">
      <w:bodyDiv w:val="1"/>
      <w:marLeft w:val="0"/>
      <w:marRight w:val="0"/>
      <w:marTop w:val="0"/>
      <w:marBottom w:val="0"/>
      <w:divBdr>
        <w:top w:val="none" w:sz="0" w:space="0" w:color="auto"/>
        <w:left w:val="none" w:sz="0" w:space="0" w:color="auto"/>
        <w:bottom w:val="none" w:sz="0" w:space="0" w:color="auto"/>
        <w:right w:val="none" w:sz="0" w:space="0" w:color="auto"/>
      </w:divBdr>
    </w:div>
    <w:div w:id="811218617">
      <w:bodyDiv w:val="1"/>
      <w:marLeft w:val="0"/>
      <w:marRight w:val="0"/>
      <w:marTop w:val="0"/>
      <w:marBottom w:val="0"/>
      <w:divBdr>
        <w:top w:val="none" w:sz="0" w:space="0" w:color="auto"/>
        <w:left w:val="none" w:sz="0" w:space="0" w:color="auto"/>
        <w:bottom w:val="none" w:sz="0" w:space="0" w:color="auto"/>
        <w:right w:val="none" w:sz="0" w:space="0" w:color="auto"/>
      </w:divBdr>
    </w:div>
    <w:div w:id="815147555">
      <w:bodyDiv w:val="1"/>
      <w:marLeft w:val="0"/>
      <w:marRight w:val="0"/>
      <w:marTop w:val="0"/>
      <w:marBottom w:val="0"/>
      <w:divBdr>
        <w:top w:val="none" w:sz="0" w:space="0" w:color="auto"/>
        <w:left w:val="none" w:sz="0" w:space="0" w:color="auto"/>
        <w:bottom w:val="none" w:sz="0" w:space="0" w:color="auto"/>
        <w:right w:val="none" w:sz="0" w:space="0" w:color="auto"/>
      </w:divBdr>
    </w:div>
    <w:div w:id="90422425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70036">
      <w:bodyDiv w:val="1"/>
      <w:marLeft w:val="0"/>
      <w:marRight w:val="0"/>
      <w:marTop w:val="0"/>
      <w:marBottom w:val="0"/>
      <w:divBdr>
        <w:top w:val="none" w:sz="0" w:space="0" w:color="auto"/>
        <w:left w:val="none" w:sz="0" w:space="0" w:color="auto"/>
        <w:bottom w:val="none" w:sz="0" w:space="0" w:color="auto"/>
        <w:right w:val="none" w:sz="0" w:space="0" w:color="auto"/>
      </w:divBdr>
    </w:div>
    <w:div w:id="1303659234">
      <w:bodyDiv w:val="1"/>
      <w:marLeft w:val="0"/>
      <w:marRight w:val="0"/>
      <w:marTop w:val="0"/>
      <w:marBottom w:val="0"/>
      <w:divBdr>
        <w:top w:val="none" w:sz="0" w:space="0" w:color="auto"/>
        <w:left w:val="none" w:sz="0" w:space="0" w:color="auto"/>
        <w:bottom w:val="none" w:sz="0" w:space="0" w:color="auto"/>
        <w:right w:val="none" w:sz="0" w:space="0" w:color="auto"/>
      </w:divBdr>
    </w:div>
    <w:div w:id="1345782135">
      <w:bodyDiv w:val="1"/>
      <w:marLeft w:val="0"/>
      <w:marRight w:val="0"/>
      <w:marTop w:val="0"/>
      <w:marBottom w:val="0"/>
      <w:divBdr>
        <w:top w:val="none" w:sz="0" w:space="0" w:color="auto"/>
        <w:left w:val="none" w:sz="0" w:space="0" w:color="auto"/>
        <w:bottom w:val="none" w:sz="0" w:space="0" w:color="auto"/>
        <w:right w:val="none" w:sz="0" w:space="0" w:color="auto"/>
      </w:divBdr>
    </w:div>
    <w:div w:id="1346055773">
      <w:bodyDiv w:val="1"/>
      <w:marLeft w:val="0"/>
      <w:marRight w:val="0"/>
      <w:marTop w:val="0"/>
      <w:marBottom w:val="0"/>
      <w:divBdr>
        <w:top w:val="none" w:sz="0" w:space="0" w:color="auto"/>
        <w:left w:val="none" w:sz="0" w:space="0" w:color="auto"/>
        <w:bottom w:val="none" w:sz="0" w:space="0" w:color="auto"/>
        <w:right w:val="none" w:sz="0" w:space="0" w:color="auto"/>
      </w:divBdr>
    </w:div>
    <w:div w:id="1616327231">
      <w:bodyDiv w:val="1"/>
      <w:marLeft w:val="0"/>
      <w:marRight w:val="0"/>
      <w:marTop w:val="0"/>
      <w:marBottom w:val="0"/>
      <w:divBdr>
        <w:top w:val="none" w:sz="0" w:space="0" w:color="auto"/>
        <w:left w:val="none" w:sz="0" w:space="0" w:color="auto"/>
        <w:bottom w:val="none" w:sz="0" w:space="0" w:color="auto"/>
        <w:right w:val="none" w:sz="0" w:space="0" w:color="auto"/>
      </w:divBdr>
    </w:div>
    <w:div w:id="187265093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341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403B-194E-4853-BA07-9BB37833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21756</Words>
  <Characters>118321</Characters>
  <Application>Microsoft Office Word</Application>
  <DocSecurity>0</DocSecurity>
  <Lines>986</Lines>
  <Paragraphs>279</Paragraphs>
  <ScaleCrop>false</ScaleCrop>
  <Company/>
  <LinksUpToDate>false</LinksUpToDate>
  <CharactersWithSpaces>139798</CharactersWithSpaces>
  <SharedDoc>false</SharedDoc>
  <HLinks>
    <vt:vector size="486" baseType="variant">
      <vt:variant>
        <vt:i4>4980805</vt:i4>
      </vt:variant>
      <vt:variant>
        <vt:i4>522</vt:i4>
      </vt:variant>
      <vt:variant>
        <vt:i4>0</vt:i4>
      </vt:variant>
      <vt:variant>
        <vt:i4>5</vt:i4>
      </vt:variant>
      <vt:variant>
        <vt:lpwstr>https://ascendispharma.gcs-web.com/static-files/692edb83-40e9-449a-866c-2368e0898ae9</vt:lpwstr>
      </vt:variant>
      <vt:variant>
        <vt:lpwstr/>
      </vt:variant>
      <vt:variant>
        <vt:i4>7929974</vt:i4>
      </vt:variant>
      <vt:variant>
        <vt:i4>489</vt:i4>
      </vt:variant>
      <vt:variant>
        <vt:i4>0</vt:i4>
      </vt:variant>
      <vt:variant>
        <vt:i4>5</vt:i4>
      </vt:variant>
      <vt:variant>
        <vt:lpwstr>https://www.pbs.gov.au/browse/section100-gh</vt:lpwstr>
      </vt:variant>
      <vt:variant>
        <vt:lpwstr/>
      </vt:variant>
      <vt:variant>
        <vt:i4>1114163</vt:i4>
      </vt:variant>
      <vt:variant>
        <vt:i4>446</vt:i4>
      </vt:variant>
      <vt:variant>
        <vt:i4>0</vt:i4>
      </vt:variant>
      <vt:variant>
        <vt:i4>5</vt:i4>
      </vt:variant>
      <vt:variant>
        <vt:lpwstr/>
      </vt:variant>
      <vt:variant>
        <vt:lpwstr>_Toc22898914</vt:lpwstr>
      </vt:variant>
      <vt:variant>
        <vt:i4>1441843</vt:i4>
      </vt:variant>
      <vt:variant>
        <vt:i4>440</vt:i4>
      </vt:variant>
      <vt:variant>
        <vt:i4>0</vt:i4>
      </vt:variant>
      <vt:variant>
        <vt:i4>5</vt:i4>
      </vt:variant>
      <vt:variant>
        <vt:lpwstr/>
      </vt:variant>
      <vt:variant>
        <vt:lpwstr>_Toc22898913</vt:lpwstr>
      </vt:variant>
      <vt:variant>
        <vt:i4>1507379</vt:i4>
      </vt:variant>
      <vt:variant>
        <vt:i4>434</vt:i4>
      </vt:variant>
      <vt:variant>
        <vt:i4>0</vt:i4>
      </vt:variant>
      <vt:variant>
        <vt:i4>5</vt:i4>
      </vt:variant>
      <vt:variant>
        <vt:lpwstr/>
      </vt:variant>
      <vt:variant>
        <vt:lpwstr>_Toc22898912</vt:lpwstr>
      </vt:variant>
      <vt:variant>
        <vt:i4>1310771</vt:i4>
      </vt:variant>
      <vt:variant>
        <vt:i4>428</vt:i4>
      </vt:variant>
      <vt:variant>
        <vt:i4>0</vt:i4>
      </vt:variant>
      <vt:variant>
        <vt:i4>5</vt:i4>
      </vt:variant>
      <vt:variant>
        <vt:lpwstr/>
      </vt:variant>
      <vt:variant>
        <vt:lpwstr>_Toc22898911</vt:lpwstr>
      </vt:variant>
      <vt:variant>
        <vt:i4>1376307</vt:i4>
      </vt:variant>
      <vt:variant>
        <vt:i4>422</vt:i4>
      </vt:variant>
      <vt:variant>
        <vt:i4>0</vt:i4>
      </vt:variant>
      <vt:variant>
        <vt:i4>5</vt:i4>
      </vt:variant>
      <vt:variant>
        <vt:lpwstr/>
      </vt:variant>
      <vt:variant>
        <vt:lpwstr>_Toc22898910</vt:lpwstr>
      </vt:variant>
      <vt:variant>
        <vt:i4>1835058</vt:i4>
      </vt:variant>
      <vt:variant>
        <vt:i4>416</vt:i4>
      </vt:variant>
      <vt:variant>
        <vt:i4>0</vt:i4>
      </vt:variant>
      <vt:variant>
        <vt:i4>5</vt:i4>
      </vt:variant>
      <vt:variant>
        <vt:lpwstr/>
      </vt:variant>
      <vt:variant>
        <vt:lpwstr>_Toc22898909</vt:lpwstr>
      </vt:variant>
      <vt:variant>
        <vt:i4>1900594</vt:i4>
      </vt:variant>
      <vt:variant>
        <vt:i4>410</vt:i4>
      </vt:variant>
      <vt:variant>
        <vt:i4>0</vt:i4>
      </vt:variant>
      <vt:variant>
        <vt:i4>5</vt:i4>
      </vt:variant>
      <vt:variant>
        <vt:lpwstr/>
      </vt:variant>
      <vt:variant>
        <vt:lpwstr>_Toc22898908</vt:lpwstr>
      </vt:variant>
      <vt:variant>
        <vt:i4>1179698</vt:i4>
      </vt:variant>
      <vt:variant>
        <vt:i4>404</vt:i4>
      </vt:variant>
      <vt:variant>
        <vt:i4>0</vt:i4>
      </vt:variant>
      <vt:variant>
        <vt:i4>5</vt:i4>
      </vt:variant>
      <vt:variant>
        <vt:lpwstr/>
      </vt:variant>
      <vt:variant>
        <vt:lpwstr>_Toc22898907</vt:lpwstr>
      </vt:variant>
      <vt:variant>
        <vt:i4>1245234</vt:i4>
      </vt:variant>
      <vt:variant>
        <vt:i4>398</vt:i4>
      </vt:variant>
      <vt:variant>
        <vt:i4>0</vt:i4>
      </vt:variant>
      <vt:variant>
        <vt:i4>5</vt:i4>
      </vt:variant>
      <vt:variant>
        <vt:lpwstr/>
      </vt:variant>
      <vt:variant>
        <vt:lpwstr>_Toc22898906</vt:lpwstr>
      </vt:variant>
      <vt:variant>
        <vt:i4>1048626</vt:i4>
      </vt:variant>
      <vt:variant>
        <vt:i4>392</vt:i4>
      </vt:variant>
      <vt:variant>
        <vt:i4>0</vt:i4>
      </vt:variant>
      <vt:variant>
        <vt:i4>5</vt:i4>
      </vt:variant>
      <vt:variant>
        <vt:lpwstr/>
      </vt:variant>
      <vt:variant>
        <vt:lpwstr>_Toc22898905</vt:lpwstr>
      </vt:variant>
      <vt:variant>
        <vt:i4>1114162</vt:i4>
      </vt:variant>
      <vt:variant>
        <vt:i4>386</vt:i4>
      </vt:variant>
      <vt:variant>
        <vt:i4>0</vt:i4>
      </vt:variant>
      <vt:variant>
        <vt:i4>5</vt:i4>
      </vt:variant>
      <vt:variant>
        <vt:lpwstr/>
      </vt:variant>
      <vt:variant>
        <vt:lpwstr>_Toc22898904</vt:lpwstr>
      </vt:variant>
      <vt:variant>
        <vt:i4>1441842</vt:i4>
      </vt:variant>
      <vt:variant>
        <vt:i4>380</vt:i4>
      </vt:variant>
      <vt:variant>
        <vt:i4>0</vt:i4>
      </vt:variant>
      <vt:variant>
        <vt:i4>5</vt:i4>
      </vt:variant>
      <vt:variant>
        <vt:lpwstr/>
      </vt:variant>
      <vt:variant>
        <vt:lpwstr>_Toc22898903</vt:lpwstr>
      </vt:variant>
      <vt:variant>
        <vt:i4>1507378</vt:i4>
      </vt:variant>
      <vt:variant>
        <vt:i4>374</vt:i4>
      </vt:variant>
      <vt:variant>
        <vt:i4>0</vt:i4>
      </vt:variant>
      <vt:variant>
        <vt:i4>5</vt:i4>
      </vt:variant>
      <vt:variant>
        <vt:lpwstr/>
      </vt:variant>
      <vt:variant>
        <vt:lpwstr>_Toc22898902</vt:lpwstr>
      </vt:variant>
      <vt:variant>
        <vt:i4>1310770</vt:i4>
      </vt:variant>
      <vt:variant>
        <vt:i4>368</vt:i4>
      </vt:variant>
      <vt:variant>
        <vt:i4>0</vt:i4>
      </vt:variant>
      <vt:variant>
        <vt:i4>5</vt:i4>
      </vt:variant>
      <vt:variant>
        <vt:lpwstr/>
      </vt:variant>
      <vt:variant>
        <vt:lpwstr>_Toc22898901</vt:lpwstr>
      </vt:variant>
      <vt:variant>
        <vt:i4>1376306</vt:i4>
      </vt:variant>
      <vt:variant>
        <vt:i4>362</vt:i4>
      </vt:variant>
      <vt:variant>
        <vt:i4>0</vt:i4>
      </vt:variant>
      <vt:variant>
        <vt:i4>5</vt:i4>
      </vt:variant>
      <vt:variant>
        <vt:lpwstr/>
      </vt:variant>
      <vt:variant>
        <vt:lpwstr>_Toc22898900</vt:lpwstr>
      </vt:variant>
      <vt:variant>
        <vt:i4>1900603</vt:i4>
      </vt:variant>
      <vt:variant>
        <vt:i4>356</vt:i4>
      </vt:variant>
      <vt:variant>
        <vt:i4>0</vt:i4>
      </vt:variant>
      <vt:variant>
        <vt:i4>5</vt:i4>
      </vt:variant>
      <vt:variant>
        <vt:lpwstr/>
      </vt:variant>
      <vt:variant>
        <vt:lpwstr>_Toc22898899</vt:lpwstr>
      </vt:variant>
      <vt:variant>
        <vt:i4>1835067</vt:i4>
      </vt:variant>
      <vt:variant>
        <vt:i4>350</vt:i4>
      </vt:variant>
      <vt:variant>
        <vt:i4>0</vt:i4>
      </vt:variant>
      <vt:variant>
        <vt:i4>5</vt:i4>
      </vt:variant>
      <vt:variant>
        <vt:lpwstr/>
      </vt:variant>
      <vt:variant>
        <vt:lpwstr>_Toc22898898</vt:lpwstr>
      </vt:variant>
      <vt:variant>
        <vt:i4>1245243</vt:i4>
      </vt:variant>
      <vt:variant>
        <vt:i4>344</vt:i4>
      </vt:variant>
      <vt:variant>
        <vt:i4>0</vt:i4>
      </vt:variant>
      <vt:variant>
        <vt:i4>5</vt:i4>
      </vt:variant>
      <vt:variant>
        <vt:lpwstr/>
      </vt:variant>
      <vt:variant>
        <vt:lpwstr>_Toc22898897</vt:lpwstr>
      </vt:variant>
      <vt:variant>
        <vt:i4>1179707</vt:i4>
      </vt:variant>
      <vt:variant>
        <vt:i4>338</vt:i4>
      </vt:variant>
      <vt:variant>
        <vt:i4>0</vt:i4>
      </vt:variant>
      <vt:variant>
        <vt:i4>5</vt:i4>
      </vt:variant>
      <vt:variant>
        <vt:lpwstr/>
      </vt:variant>
      <vt:variant>
        <vt:lpwstr>_Toc22898896</vt:lpwstr>
      </vt:variant>
      <vt:variant>
        <vt:i4>1114171</vt:i4>
      </vt:variant>
      <vt:variant>
        <vt:i4>332</vt:i4>
      </vt:variant>
      <vt:variant>
        <vt:i4>0</vt:i4>
      </vt:variant>
      <vt:variant>
        <vt:i4>5</vt:i4>
      </vt:variant>
      <vt:variant>
        <vt:lpwstr/>
      </vt:variant>
      <vt:variant>
        <vt:lpwstr>_Toc22898895</vt:lpwstr>
      </vt:variant>
      <vt:variant>
        <vt:i4>1048635</vt:i4>
      </vt:variant>
      <vt:variant>
        <vt:i4>326</vt:i4>
      </vt:variant>
      <vt:variant>
        <vt:i4>0</vt:i4>
      </vt:variant>
      <vt:variant>
        <vt:i4>5</vt:i4>
      </vt:variant>
      <vt:variant>
        <vt:lpwstr/>
      </vt:variant>
      <vt:variant>
        <vt:lpwstr>_Toc22898894</vt:lpwstr>
      </vt:variant>
      <vt:variant>
        <vt:i4>1507387</vt:i4>
      </vt:variant>
      <vt:variant>
        <vt:i4>320</vt:i4>
      </vt:variant>
      <vt:variant>
        <vt:i4>0</vt:i4>
      </vt:variant>
      <vt:variant>
        <vt:i4>5</vt:i4>
      </vt:variant>
      <vt:variant>
        <vt:lpwstr/>
      </vt:variant>
      <vt:variant>
        <vt:lpwstr>_Toc22898893</vt:lpwstr>
      </vt:variant>
      <vt:variant>
        <vt:i4>1441851</vt:i4>
      </vt:variant>
      <vt:variant>
        <vt:i4>314</vt:i4>
      </vt:variant>
      <vt:variant>
        <vt:i4>0</vt:i4>
      </vt:variant>
      <vt:variant>
        <vt:i4>5</vt:i4>
      </vt:variant>
      <vt:variant>
        <vt:lpwstr/>
      </vt:variant>
      <vt:variant>
        <vt:lpwstr>_Toc22898892</vt:lpwstr>
      </vt:variant>
      <vt:variant>
        <vt:i4>1376315</vt:i4>
      </vt:variant>
      <vt:variant>
        <vt:i4>308</vt:i4>
      </vt:variant>
      <vt:variant>
        <vt:i4>0</vt:i4>
      </vt:variant>
      <vt:variant>
        <vt:i4>5</vt:i4>
      </vt:variant>
      <vt:variant>
        <vt:lpwstr/>
      </vt:variant>
      <vt:variant>
        <vt:lpwstr>_Toc22898891</vt:lpwstr>
      </vt:variant>
      <vt:variant>
        <vt:i4>1310779</vt:i4>
      </vt:variant>
      <vt:variant>
        <vt:i4>302</vt:i4>
      </vt:variant>
      <vt:variant>
        <vt:i4>0</vt:i4>
      </vt:variant>
      <vt:variant>
        <vt:i4>5</vt:i4>
      </vt:variant>
      <vt:variant>
        <vt:lpwstr/>
      </vt:variant>
      <vt:variant>
        <vt:lpwstr>_Toc22898890</vt:lpwstr>
      </vt:variant>
      <vt:variant>
        <vt:i4>1900602</vt:i4>
      </vt:variant>
      <vt:variant>
        <vt:i4>296</vt:i4>
      </vt:variant>
      <vt:variant>
        <vt:i4>0</vt:i4>
      </vt:variant>
      <vt:variant>
        <vt:i4>5</vt:i4>
      </vt:variant>
      <vt:variant>
        <vt:lpwstr/>
      </vt:variant>
      <vt:variant>
        <vt:lpwstr>_Toc22898889</vt:lpwstr>
      </vt:variant>
      <vt:variant>
        <vt:i4>1835066</vt:i4>
      </vt:variant>
      <vt:variant>
        <vt:i4>290</vt:i4>
      </vt:variant>
      <vt:variant>
        <vt:i4>0</vt:i4>
      </vt:variant>
      <vt:variant>
        <vt:i4>5</vt:i4>
      </vt:variant>
      <vt:variant>
        <vt:lpwstr/>
      </vt:variant>
      <vt:variant>
        <vt:lpwstr>_Toc22898888</vt:lpwstr>
      </vt:variant>
      <vt:variant>
        <vt:i4>1245242</vt:i4>
      </vt:variant>
      <vt:variant>
        <vt:i4>284</vt:i4>
      </vt:variant>
      <vt:variant>
        <vt:i4>0</vt:i4>
      </vt:variant>
      <vt:variant>
        <vt:i4>5</vt:i4>
      </vt:variant>
      <vt:variant>
        <vt:lpwstr/>
      </vt:variant>
      <vt:variant>
        <vt:lpwstr>_Toc22898887</vt:lpwstr>
      </vt:variant>
      <vt:variant>
        <vt:i4>1179706</vt:i4>
      </vt:variant>
      <vt:variant>
        <vt:i4>278</vt:i4>
      </vt:variant>
      <vt:variant>
        <vt:i4>0</vt:i4>
      </vt:variant>
      <vt:variant>
        <vt:i4>5</vt:i4>
      </vt:variant>
      <vt:variant>
        <vt:lpwstr/>
      </vt:variant>
      <vt:variant>
        <vt:lpwstr>_Toc22898886</vt:lpwstr>
      </vt:variant>
      <vt:variant>
        <vt:i4>1114170</vt:i4>
      </vt:variant>
      <vt:variant>
        <vt:i4>272</vt:i4>
      </vt:variant>
      <vt:variant>
        <vt:i4>0</vt:i4>
      </vt:variant>
      <vt:variant>
        <vt:i4>5</vt:i4>
      </vt:variant>
      <vt:variant>
        <vt:lpwstr/>
      </vt:variant>
      <vt:variant>
        <vt:lpwstr>_Toc22898885</vt:lpwstr>
      </vt:variant>
      <vt:variant>
        <vt:i4>1048634</vt:i4>
      </vt:variant>
      <vt:variant>
        <vt:i4>266</vt:i4>
      </vt:variant>
      <vt:variant>
        <vt:i4>0</vt:i4>
      </vt:variant>
      <vt:variant>
        <vt:i4>5</vt:i4>
      </vt:variant>
      <vt:variant>
        <vt:lpwstr/>
      </vt:variant>
      <vt:variant>
        <vt:lpwstr>_Toc22898884</vt:lpwstr>
      </vt:variant>
      <vt:variant>
        <vt:i4>1507386</vt:i4>
      </vt:variant>
      <vt:variant>
        <vt:i4>260</vt:i4>
      </vt:variant>
      <vt:variant>
        <vt:i4>0</vt:i4>
      </vt:variant>
      <vt:variant>
        <vt:i4>5</vt:i4>
      </vt:variant>
      <vt:variant>
        <vt:lpwstr/>
      </vt:variant>
      <vt:variant>
        <vt:lpwstr>_Toc22898883</vt:lpwstr>
      </vt:variant>
      <vt:variant>
        <vt:i4>1441850</vt:i4>
      </vt:variant>
      <vt:variant>
        <vt:i4>254</vt:i4>
      </vt:variant>
      <vt:variant>
        <vt:i4>0</vt:i4>
      </vt:variant>
      <vt:variant>
        <vt:i4>5</vt:i4>
      </vt:variant>
      <vt:variant>
        <vt:lpwstr/>
      </vt:variant>
      <vt:variant>
        <vt:lpwstr>_Toc22898882</vt:lpwstr>
      </vt:variant>
      <vt:variant>
        <vt:i4>1376314</vt:i4>
      </vt:variant>
      <vt:variant>
        <vt:i4>248</vt:i4>
      </vt:variant>
      <vt:variant>
        <vt:i4>0</vt:i4>
      </vt:variant>
      <vt:variant>
        <vt:i4>5</vt:i4>
      </vt:variant>
      <vt:variant>
        <vt:lpwstr/>
      </vt:variant>
      <vt:variant>
        <vt:lpwstr>_Toc22898881</vt:lpwstr>
      </vt:variant>
      <vt:variant>
        <vt:i4>1310778</vt:i4>
      </vt:variant>
      <vt:variant>
        <vt:i4>242</vt:i4>
      </vt:variant>
      <vt:variant>
        <vt:i4>0</vt:i4>
      </vt:variant>
      <vt:variant>
        <vt:i4>5</vt:i4>
      </vt:variant>
      <vt:variant>
        <vt:lpwstr/>
      </vt:variant>
      <vt:variant>
        <vt:lpwstr>_Toc22898880</vt:lpwstr>
      </vt:variant>
      <vt:variant>
        <vt:i4>1900597</vt:i4>
      </vt:variant>
      <vt:variant>
        <vt:i4>236</vt:i4>
      </vt:variant>
      <vt:variant>
        <vt:i4>0</vt:i4>
      </vt:variant>
      <vt:variant>
        <vt:i4>5</vt:i4>
      </vt:variant>
      <vt:variant>
        <vt:lpwstr/>
      </vt:variant>
      <vt:variant>
        <vt:lpwstr>_Toc22898879</vt:lpwstr>
      </vt:variant>
      <vt:variant>
        <vt:i4>1835061</vt:i4>
      </vt:variant>
      <vt:variant>
        <vt:i4>230</vt:i4>
      </vt:variant>
      <vt:variant>
        <vt:i4>0</vt:i4>
      </vt:variant>
      <vt:variant>
        <vt:i4>5</vt:i4>
      </vt:variant>
      <vt:variant>
        <vt:lpwstr/>
      </vt:variant>
      <vt:variant>
        <vt:lpwstr>_Toc22898878</vt:lpwstr>
      </vt:variant>
      <vt:variant>
        <vt:i4>1245237</vt:i4>
      </vt:variant>
      <vt:variant>
        <vt:i4>224</vt:i4>
      </vt:variant>
      <vt:variant>
        <vt:i4>0</vt:i4>
      </vt:variant>
      <vt:variant>
        <vt:i4>5</vt:i4>
      </vt:variant>
      <vt:variant>
        <vt:lpwstr/>
      </vt:variant>
      <vt:variant>
        <vt:lpwstr>_Toc22898877</vt:lpwstr>
      </vt:variant>
      <vt:variant>
        <vt:i4>1179701</vt:i4>
      </vt:variant>
      <vt:variant>
        <vt:i4>218</vt:i4>
      </vt:variant>
      <vt:variant>
        <vt:i4>0</vt:i4>
      </vt:variant>
      <vt:variant>
        <vt:i4>5</vt:i4>
      </vt:variant>
      <vt:variant>
        <vt:lpwstr/>
      </vt:variant>
      <vt:variant>
        <vt:lpwstr>_Toc22898876</vt:lpwstr>
      </vt:variant>
      <vt:variant>
        <vt:i4>1114165</vt:i4>
      </vt:variant>
      <vt:variant>
        <vt:i4>212</vt:i4>
      </vt:variant>
      <vt:variant>
        <vt:i4>0</vt:i4>
      </vt:variant>
      <vt:variant>
        <vt:i4>5</vt:i4>
      </vt:variant>
      <vt:variant>
        <vt:lpwstr/>
      </vt:variant>
      <vt:variant>
        <vt:lpwstr>_Toc22898875</vt:lpwstr>
      </vt:variant>
      <vt:variant>
        <vt:i4>1048629</vt:i4>
      </vt:variant>
      <vt:variant>
        <vt:i4>206</vt:i4>
      </vt:variant>
      <vt:variant>
        <vt:i4>0</vt:i4>
      </vt:variant>
      <vt:variant>
        <vt:i4>5</vt:i4>
      </vt:variant>
      <vt:variant>
        <vt:lpwstr/>
      </vt:variant>
      <vt:variant>
        <vt:lpwstr>_Toc22898874</vt:lpwstr>
      </vt:variant>
      <vt:variant>
        <vt:i4>1507381</vt:i4>
      </vt:variant>
      <vt:variant>
        <vt:i4>200</vt:i4>
      </vt:variant>
      <vt:variant>
        <vt:i4>0</vt:i4>
      </vt:variant>
      <vt:variant>
        <vt:i4>5</vt:i4>
      </vt:variant>
      <vt:variant>
        <vt:lpwstr/>
      </vt:variant>
      <vt:variant>
        <vt:lpwstr>_Toc22898873</vt:lpwstr>
      </vt:variant>
      <vt:variant>
        <vt:i4>1441845</vt:i4>
      </vt:variant>
      <vt:variant>
        <vt:i4>194</vt:i4>
      </vt:variant>
      <vt:variant>
        <vt:i4>0</vt:i4>
      </vt:variant>
      <vt:variant>
        <vt:i4>5</vt:i4>
      </vt:variant>
      <vt:variant>
        <vt:lpwstr/>
      </vt:variant>
      <vt:variant>
        <vt:lpwstr>_Toc22898872</vt:lpwstr>
      </vt:variant>
      <vt:variant>
        <vt:i4>1376309</vt:i4>
      </vt:variant>
      <vt:variant>
        <vt:i4>188</vt:i4>
      </vt:variant>
      <vt:variant>
        <vt:i4>0</vt:i4>
      </vt:variant>
      <vt:variant>
        <vt:i4>5</vt:i4>
      </vt:variant>
      <vt:variant>
        <vt:lpwstr/>
      </vt:variant>
      <vt:variant>
        <vt:lpwstr>_Toc22898871</vt:lpwstr>
      </vt:variant>
      <vt:variant>
        <vt:i4>1310773</vt:i4>
      </vt:variant>
      <vt:variant>
        <vt:i4>182</vt:i4>
      </vt:variant>
      <vt:variant>
        <vt:i4>0</vt:i4>
      </vt:variant>
      <vt:variant>
        <vt:i4>5</vt:i4>
      </vt:variant>
      <vt:variant>
        <vt:lpwstr/>
      </vt:variant>
      <vt:variant>
        <vt:lpwstr>_Toc22898870</vt:lpwstr>
      </vt:variant>
      <vt:variant>
        <vt:i4>1900596</vt:i4>
      </vt:variant>
      <vt:variant>
        <vt:i4>176</vt:i4>
      </vt:variant>
      <vt:variant>
        <vt:i4>0</vt:i4>
      </vt:variant>
      <vt:variant>
        <vt:i4>5</vt:i4>
      </vt:variant>
      <vt:variant>
        <vt:lpwstr/>
      </vt:variant>
      <vt:variant>
        <vt:lpwstr>_Toc22898869</vt:lpwstr>
      </vt:variant>
      <vt:variant>
        <vt:i4>1835060</vt:i4>
      </vt:variant>
      <vt:variant>
        <vt:i4>170</vt:i4>
      </vt:variant>
      <vt:variant>
        <vt:i4>0</vt:i4>
      </vt:variant>
      <vt:variant>
        <vt:i4>5</vt:i4>
      </vt:variant>
      <vt:variant>
        <vt:lpwstr/>
      </vt:variant>
      <vt:variant>
        <vt:lpwstr>_Toc22898868</vt:lpwstr>
      </vt:variant>
      <vt:variant>
        <vt:i4>1245236</vt:i4>
      </vt:variant>
      <vt:variant>
        <vt:i4>164</vt:i4>
      </vt:variant>
      <vt:variant>
        <vt:i4>0</vt:i4>
      </vt:variant>
      <vt:variant>
        <vt:i4>5</vt:i4>
      </vt:variant>
      <vt:variant>
        <vt:lpwstr/>
      </vt:variant>
      <vt:variant>
        <vt:lpwstr>_Toc22898867</vt:lpwstr>
      </vt:variant>
      <vt:variant>
        <vt:i4>1179700</vt:i4>
      </vt:variant>
      <vt:variant>
        <vt:i4>158</vt:i4>
      </vt:variant>
      <vt:variant>
        <vt:i4>0</vt:i4>
      </vt:variant>
      <vt:variant>
        <vt:i4>5</vt:i4>
      </vt:variant>
      <vt:variant>
        <vt:lpwstr/>
      </vt:variant>
      <vt:variant>
        <vt:lpwstr>_Toc22898866</vt:lpwstr>
      </vt:variant>
      <vt:variant>
        <vt:i4>1114164</vt:i4>
      </vt:variant>
      <vt:variant>
        <vt:i4>152</vt:i4>
      </vt:variant>
      <vt:variant>
        <vt:i4>0</vt:i4>
      </vt:variant>
      <vt:variant>
        <vt:i4>5</vt:i4>
      </vt:variant>
      <vt:variant>
        <vt:lpwstr/>
      </vt:variant>
      <vt:variant>
        <vt:lpwstr>_Toc22898865</vt:lpwstr>
      </vt:variant>
      <vt:variant>
        <vt:i4>1048628</vt:i4>
      </vt:variant>
      <vt:variant>
        <vt:i4>146</vt:i4>
      </vt:variant>
      <vt:variant>
        <vt:i4>0</vt:i4>
      </vt:variant>
      <vt:variant>
        <vt:i4>5</vt:i4>
      </vt:variant>
      <vt:variant>
        <vt:lpwstr/>
      </vt:variant>
      <vt:variant>
        <vt:lpwstr>_Toc22898864</vt:lpwstr>
      </vt:variant>
      <vt:variant>
        <vt:i4>1507380</vt:i4>
      </vt:variant>
      <vt:variant>
        <vt:i4>140</vt:i4>
      </vt:variant>
      <vt:variant>
        <vt:i4>0</vt:i4>
      </vt:variant>
      <vt:variant>
        <vt:i4>5</vt:i4>
      </vt:variant>
      <vt:variant>
        <vt:lpwstr/>
      </vt:variant>
      <vt:variant>
        <vt:lpwstr>_Toc22898863</vt:lpwstr>
      </vt:variant>
      <vt:variant>
        <vt:i4>1441844</vt:i4>
      </vt:variant>
      <vt:variant>
        <vt:i4>134</vt:i4>
      </vt:variant>
      <vt:variant>
        <vt:i4>0</vt:i4>
      </vt:variant>
      <vt:variant>
        <vt:i4>5</vt:i4>
      </vt:variant>
      <vt:variant>
        <vt:lpwstr/>
      </vt:variant>
      <vt:variant>
        <vt:lpwstr>_Toc22898862</vt:lpwstr>
      </vt:variant>
      <vt:variant>
        <vt:i4>1376308</vt:i4>
      </vt:variant>
      <vt:variant>
        <vt:i4>128</vt:i4>
      </vt:variant>
      <vt:variant>
        <vt:i4>0</vt:i4>
      </vt:variant>
      <vt:variant>
        <vt:i4>5</vt:i4>
      </vt:variant>
      <vt:variant>
        <vt:lpwstr/>
      </vt:variant>
      <vt:variant>
        <vt:lpwstr>_Toc22898861</vt:lpwstr>
      </vt:variant>
      <vt:variant>
        <vt:i4>1310772</vt:i4>
      </vt:variant>
      <vt:variant>
        <vt:i4>122</vt:i4>
      </vt:variant>
      <vt:variant>
        <vt:i4>0</vt:i4>
      </vt:variant>
      <vt:variant>
        <vt:i4>5</vt:i4>
      </vt:variant>
      <vt:variant>
        <vt:lpwstr/>
      </vt:variant>
      <vt:variant>
        <vt:lpwstr>_Toc22898860</vt:lpwstr>
      </vt:variant>
      <vt:variant>
        <vt:i4>1900599</vt:i4>
      </vt:variant>
      <vt:variant>
        <vt:i4>116</vt:i4>
      </vt:variant>
      <vt:variant>
        <vt:i4>0</vt:i4>
      </vt:variant>
      <vt:variant>
        <vt:i4>5</vt:i4>
      </vt:variant>
      <vt:variant>
        <vt:lpwstr/>
      </vt:variant>
      <vt:variant>
        <vt:lpwstr>_Toc22898859</vt:lpwstr>
      </vt:variant>
      <vt:variant>
        <vt:i4>1835063</vt:i4>
      </vt:variant>
      <vt:variant>
        <vt:i4>110</vt:i4>
      </vt:variant>
      <vt:variant>
        <vt:i4>0</vt:i4>
      </vt:variant>
      <vt:variant>
        <vt:i4>5</vt:i4>
      </vt:variant>
      <vt:variant>
        <vt:lpwstr/>
      </vt:variant>
      <vt:variant>
        <vt:lpwstr>_Toc22898858</vt:lpwstr>
      </vt:variant>
      <vt:variant>
        <vt:i4>1245239</vt:i4>
      </vt:variant>
      <vt:variant>
        <vt:i4>104</vt:i4>
      </vt:variant>
      <vt:variant>
        <vt:i4>0</vt:i4>
      </vt:variant>
      <vt:variant>
        <vt:i4>5</vt:i4>
      </vt:variant>
      <vt:variant>
        <vt:lpwstr/>
      </vt:variant>
      <vt:variant>
        <vt:lpwstr>_Toc22898857</vt:lpwstr>
      </vt:variant>
      <vt:variant>
        <vt:i4>1179703</vt:i4>
      </vt:variant>
      <vt:variant>
        <vt:i4>98</vt:i4>
      </vt:variant>
      <vt:variant>
        <vt:i4>0</vt:i4>
      </vt:variant>
      <vt:variant>
        <vt:i4>5</vt:i4>
      </vt:variant>
      <vt:variant>
        <vt:lpwstr/>
      </vt:variant>
      <vt:variant>
        <vt:lpwstr>_Toc22898856</vt:lpwstr>
      </vt:variant>
      <vt:variant>
        <vt:i4>1114167</vt:i4>
      </vt:variant>
      <vt:variant>
        <vt:i4>92</vt:i4>
      </vt:variant>
      <vt:variant>
        <vt:i4>0</vt:i4>
      </vt:variant>
      <vt:variant>
        <vt:i4>5</vt:i4>
      </vt:variant>
      <vt:variant>
        <vt:lpwstr/>
      </vt:variant>
      <vt:variant>
        <vt:lpwstr>_Toc22898855</vt:lpwstr>
      </vt:variant>
      <vt:variant>
        <vt:i4>1048631</vt:i4>
      </vt:variant>
      <vt:variant>
        <vt:i4>86</vt:i4>
      </vt:variant>
      <vt:variant>
        <vt:i4>0</vt:i4>
      </vt:variant>
      <vt:variant>
        <vt:i4>5</vt:i4>
      </vt:variant>
      <vt:variant>
        <vt:lpwstr/>
      </vt:variant>
      <vt:variant>
        <vt:lpwstr>_Toc22898854</vt:lpwstr>
      </vt:variant>
      <vt:variant>
        <vt:i4>1507383</vt:i4>
      </vt:variant>
      <vt:variant>
        <vt:i4>80</vt:i4>
      </vt:variant>
      <vt:variant>
        <vt:i4>0</vt:i4>
      </vt:variant>
      <vt:variant>
        <vt:i4>5</vt:i4>
      </vt:variant>
      <vt:variant>
        <vt:lpwstr/>
      </vt:variant>
      <vt:variant>
        <vt:lpwstr>_Toc22898853</vt:lpwstr>
      </vt:variant>
      <vt:variant>
        <vt:i4>1441847</vt:i4>
      </vt:variant>
      <vt:variant>
        <vt:i4>74</vt:i4>
      </vt:variant>
      <vt:variant>
        <vt:i4>0</vt:i4>
      </vt:variant>
      <vt:variant>
        <vt:i4>5</vt:i4>
      </vt:variant>
      <vt:variant>
        <vt:lpwstr/>
      </vt:variant>
      <vt:variant>
        <vt:lpwstr>_Toc22898852</vt:lpwstr>
      </vt:variant>
      <vt:variant>
        <vt:i4>1376311</vt:i4>
      </vt:variant>
      <vt:variant>
        <vt:i4>68</vt:i4>
      </vt:variant>
      <vt:variant>
        <vt:i4>0</vt:i4>
      </vt:variant>
      <vt:variant>
        <vt:i4>5</vt:i4>
      </vt:variant>
      <vt:variant>
        <vt:lpwstr/>
      </vt:variant>
      <vt:variant>
        <vt:lpwstr>_Toc22898851</vt:lpwstr>
      </vt:variant>
      <vt:variant>
        <vt:i4>1310775</vt:i4>
      </vt:variant>
      <vt:variant>
        <vt:i4>62</vt:i4>
      </vt:variant>
      <vt:variant>
        <vt:i4>0</vt:i4>
      </vt:variant>
      <vt:variant>
        <vt:i4>5</vt:i4>
      </vt:variant>
      <vt:variant>
        <vt:lpwstr/>
      </vt:variant>
      <vt:variant>
        <vt:lpwstr>_Toc22898850</vt:lpwstr>
      </vt:variant>
      <vt:variant>
        <vt:i4>1900598</vt:i4>
      </vt:variant>
      <vt:variant>
        <vt:i4>56</vt:i4>
      </vt:variant>
      <vt:variant>
        <vt:i4>0</vt:i4>
      </vt:variant>
      <vt:variant>
        <vt:i4>5</vt:i4>
      </vt:variant>
      <vt:variant>
        <vt:lpwstr/>
      </vt:variant>
      <vt:variant>
        <vt:lpwstr>_Toc22898849</vt:lpwstr>
      </vt:variant>
      <vt:variant>
        <vt:i4>1835062</vt:i4>
      </vt:variant>
      <vt:variant>
        <vt:i4>50</vt:i4>
      </vt:variant>
      <vt:variant>
        <vt:i4>0</vt:i4>
      </vt:variant>
      <vt:variant>
        <vt:i4>5</vt:i4>
      </vt:variant>
      <vt:variant>
        <vt:lpwstr/>
      </vt:variant>
      <vt:variant>
        <vt:lpwstr>_Toc22898848</vt:lpwstr>
      </vt:variant>
      <vt:variant>
        <vt:i4>1245238</vt:i4>
      </vt:variant>
      <vt:variant>
        <vt:i4>44</vt:i4>
      </vt:variant>
      <vt:variant>
        <vt:i4>0</vt:i4>
      </vt:variant>
      <vt:variant>
        <vt:i4>5</vt:i4>
      </vt:variant>
      <vt:variant>
        <vt:lpwstr/>
      </vt:variant>
      <vt:variant>
        <vt:lpwstr>_Toc22898847</vt:lpwstr>
      </vt:variant>
      <vt:variant>
        <vt:i4>1179702</vt:i4>
      </vt:variant>
      <vt:variant>
        <vt:i4>38</vt:i4>
      </vt:variant>
      <vt:variant>
        <vt:i4>0</vt:i4>
      </vt:variant>
      <vt:variant>
        <vt:i4>5</vt:i4>
      </vt:variant>
      <vt:variant>
        <vt:lpwstr/>
      </vt:variant>
      <vt:variant>
        <vt:lpwstr>_Toc22898846</vt:lpwstr>
      </vt:variant>
      <vt:variant>
        <vt:i4>1114166</vt:i4>
      </vt:variant>
      <vt:variant>
        <vt:i4>32</vt:i4>
      </vt:variant>
      <vt:variant>
        <vt:i4>0</vt:i4>
      </vt:variant>
      <vt:variant>
        <vt:i4>5</vt:i4>
      </vt:variant>
      <vt:variant>
        <vt:lpwstr/>
      </vt:variant>
      <vt:variant>
        <vt:lpwstr>_Toc22898845</vt:lpwstr>
      </vt:variant>
      <vt:variant>
        <vt:i4>1048630</vt:i4>
      </vt:variant>
      <vt:variant>
        <vt:i4>26</vt:i4>
      </vt:variant>
      <vt:variant>
        <vt:i4>0</vt:i4>
      </vt:variant>
      <vt:variant>
        <vt:i4>5</vt:i4>
      </vt:variant>
      <vt:variant>
        <vt:lpwstr/>
      </vt:variant>
      <vt:variant>
        <vt:lpwstr>_Toc22898844</vt:lpwstr>
      </vt:variant>
      <vt:variant>
        <vt:i4>1507382</vt:i4>
      </vt:variant>
      <vt:variant>
        <vt:i4>20</vt:i4>
      </vt:variant>
      <vt:variant>
        <vt:i4>0</vt:i4>
      </vt:variant>
      <vt:variant>
        <vt:i4>5</vt:i4>
      </vt:variant>
      <vt:variant>
        <vt:lpwstr/>
      </vt:variant>
      <vt:variant>
        <vt:lpwstr>_Toc22898843</vt:lpwstr>
      </vt:variant>
      <vt:variant>
        <vt:i4>1441846</vt:i4>
      </vt:variant>
      <vt:variant>
        <vt:i4>14</vt:i4>
      </vt:variant>
      <vt:variant>
        <vt:i4>0</vt:i4>
      </vt:variant>
      <vt:variant>
        <vt:i4>5</vt:i4>
      </vt:variant>
      <vt:variant>
        <vt:lpwstr/>
      </vt:variant>
      <vt:variant>
        <vt:lpwstr>_Toc22898842</vt:lpwstr>
      </vt:variant>
      <vt:variant>
        <vt:i4>1376310</vt:i4>
      </vt:variant>
      <vt:variant>
        <vt:i4>8</vt:i4>
      </vt:variant>
      <vt:variant>
        <vt:i4>0</vt:i4>
      </vt:variant>
      <vt:variant>
        <vt:i4>5</vt:i4>
      </vt:variant>
      <vt:variant>
        <vt:lpwstr/>
      </vt:variant>
      <vt:variant>
        <vt:lpwstr>_Toc22898841</vt:lpwstr>
      </vt:variant>
      <vt:variant>
        <vt:i4>1310774</vt:i4>
      </vt:variant>
      <vt:variant>
        <vt:i4>2</vt:i4>
      </vt:variant>
      <vt:variant>
        <vt:i4>0</vt:i4>
      </vt:variant>
      <vt:variant>
        <vt:i4>5</vt:i4>
      </vt:variant>
      <vt:variant>
        <vt:lpwstr/>
      </vt:variant>
      <vt:variant>
        <vt:lpwstr>_Toc22898840</vt:lpwstr>
      </vt:variant>
      <vt:variant>
        <vt:i4>196664</vt:i4>
      </vt:variant>
      <vt:variant>
        <vt:i4>9</vt:i4>
      </vt:variant>
      <vt:variant>
        <vt:i4>0</vt:i4>
      </vt:variant>
      <vt:variant>
        <vt:i4>5</vt:i4>
      </vt:variant>
      <vt:variant>
        <vt:lpwstr>mailto:kim.dalziel@unimelb.edu.au</vt:lpwstr>
      </vt:variant>
      <vt:variant>
        <vt:lpwstr/>
      </vt:variant>
      <vt:variant>
        <vt:i4>196664</vt:i4>
      </vt:variant>
      <vt:variant>
        <vt:i4>6</vt:i4>
      </vt:variant>
      <vt:variant>
        <vt:i4>0</vt:i4>
      </vt:variant>
      <vt:variant>
        <vt:i4>5</vt:i4>
      </vt:variant>
      <vt:variant>
        <vt:lpwstr>mailto:kim.dalziel@unimelb.edu.au</vt:lpwstr>
      </vt:variant>
      <vt:variant>
        <vt:lpwstr/>
      </vt:variant>
      <vt:variant>
        <vt:i4>5767195</vt:i4>
      </vt:variant>
      <vt:variant>
        <vt:i4>3</vt:i4>
      </vt:variant>
      <vt:variant>
        <vt:i4>0</vt:i4>
      </vt:variant>
      <vt:variant>
        <vt:i4>5</vt:i4>
      </vt:variant>
      <vt:variant>
        <vt:lpwstr>https://www.tga.gov.au/apm-summary/ngenla</vt:lpwstr>
      </vt:variant>
      <vt:variant>
        <vt:lpwstr/>
      </vt:variant>
      <vt:variant>
        <vt:i4>1769479</vt:i4>
      </vt:variant>
      <vt:variant>
        <vt:i4>0</vt:i4>
      </vt:variant>
      <vt:variant>
        <vt:i4>0</vt:i4>
      </vt:variant>
      <vt:variant>
        <vt:i4>5</vt:i4>
      </vt:variant>
      <vt:variant>
        <vt:lpwstr>https://www.pbs.gov.au/industry/listing/elements/pbac-meetings/agenda/pdf/2022/PBAC-meeting-agenda-March-2022-v4.pdf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2022-07-01T00:21:00Z</dcterms:created>
  <dcterms:modified xsi:type="dcterms:W3CDTF">2022-07-01T00:27:00Z</dcterms:modified>
</cp:coreProperties>
</file>