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75EAC709" w:rsidR="00B60939" w:rsidRPr="00ED3401" w:rsidRDefault="00EB3702" w:rsidP="00ED3401">
      <w:pPr>
        <w:pStyle w:val="1-MainHeading"/>
      </w:pPr>
      <w:r w:rsidRPr="00CB6395">
        <w:t>5.17</w:t>
      </w:r>
      <w:r w:rsidR="00163F66" w:rsidRPr="00CB6395">
        <w:tab/>
      </w:r>
      <w:r w:rsidR="00FF62B0" w:rsidRPr="00CB6395">
        <w:t>SOMAPACITAN</w:t>
      </w:r>
      <w:r w:rsidR="00163F66" w:rsidRPr="00CB6395">
        <w:t>,</w:t>
      </w:r>
      <w:r w:rsidR="00ED3401">
        <w:br/>
      </w:r>
      <w:r w:rsidR="002A668D" w:rsidRPr="00CB6395">
        <w:t>Injection</w:t>
      </w:r>
      <w:r w:rsidR="006C205A" w:rsidRPr="00CB6395">
        <w:t xml:space="preserve"> 10</w:t>
      </w:r>
      <w:r w:rsidR="00FA2764">
        <w:t> </w:t>
      </w:r>
      <w:r w:rsidR="006C205A" w:rsidRPr="00CB6395">
        <w:t>mg</w:t>
      </w:r>
      <w:r w:rsidR="002A668D" w:rsidRPr="00CB6395">
        <w:t xml:space="preserve"> in </w:t>
      </w:r>
      <w:r w:rsidR="006C205A" w:rsidRPr="00CB6395">
        <w:t>1.5</w:t>
      </w:r>
      <w:r w:rsidR="00FA2764">
        <w:t> </w:t>
      </w:r>
      <w:r w:rsidR="006C205A" w:rsidRPr="00CB6395">
        <w:t>mL pre-filled pen</w:t>
      </w:r>
      <w:r w:rsidR="002A668D" w:rsidRPr="00CB6395">
        <w:t>,</w:t>
      </w:r>
      <w:r w:rsidR="00ED3401">
        <w:br/>
      </w:r>
      <w:proofErr w:type="spellStart"/>
      <w:r w:rsidR="006C205A" w:rsidRPr="00CB6395">
        <w:rPr>
          <w:rFonts w:cs="Calibri"/>
        </w:rPr>
        <w:t>Sogroya</w:t>
      </w:r>
      <w:proofErr w:type="spellEnd"/>
      <w:r w:rsidR="00B60939" w:rsidRPr="00CB6395">
        <w:rPr>
          <w:rFonts w:cs="Calibri"/>
        </w:rPr>
        <w:t>®</w:t>
      </w:r>
      <w:r w:rsidR="004A6040" w:rsidRPr="00CB6395">
        <w:rPr>
          <w:rFonts w:cs="Calibri"/>
        </w:rPr>
        <w:t>,</w:t>
      </w:r>
      <w:r w:rsidR="00ED3401">
        <w:rPr>
          <w:rFonts w:cs="Calibri"/>
        </w:rPr>
        <w:br/>
      </w:r>
      <w:r w:rsidR="006C205A" w:rsidRPr="00CB6395">
        <w:rPr>
          <w:rFonts w:cs="Calibri"/>
        </w:rPr>
        <w:t xml:space="preserve">Novo </w:t>
      </w:r>
      <w:r w:rsidR="002A668D" w:rsidRPr="00CB6395">
        <w:rPr>
          <w:rFonts w:cs="Calibri"/>
        </w:rPr>
        <w:t>Nordisk Pharmaceuticals Pty Ltd</w:t>
      </w:r>
    </w:p>
    <w:p w14:paraId="5CE1A6D9" w14:textId="77777777" w:rsidR="00C5732F" w:rsidRPr="00CB6395" w:rsidRDefault="00C5732F" w:rsidP="00C5732F">
      <w:pPr>
        <w:pStyle w:val="2-SectionHeading"/>
      </w:pPr>
      <w:bookmarkStart w:id="0" w:name="_Toc22898844"/>
      <w:bookmarkStart w:id="1" w:name="_Toc93488104"/>
      <w:bookmarkStart w:id="2" w:name="_Toc22897640"/>
      <w:r w:rsidRPr="00CB6395">
        <w:t>Purpose of submission</w:t>
      </w:r>
      <w:bookmarkEnd w:id="0"/>
      <w:bookmarkEnd w:id="1"/>
    </w:p>
    <w:p w14:paraId="2C8A17BB" w14:textId="4F269E97" w:rsidR="000449CE" w:rsidRDefault="00C5732F" w:rsidP="001E3C7B">
      <w:pPr>
        <w:pStyle w:val="3-BodyText"/>
      </w:pPr>
      <w:r w:rsidRPr="00CB6395">
        <w:t xml:space="preserve">The </w:t>
      </w:r>
      <w:r w:rsidR="00F22627">
        <w:t xml:space="preserve">Category 2 </w:t>
      </w:r>
      <w:r w:rsidRPr="00CB6395">
        <w:t xml:space="preserve">submission requested </w:t>
      </w:r>
      <w:r w:rsidR="00CD7367">
        <w:t xml:space="preserve">the </w:t>
      </w:r>
      <w:r w:rsidR="0060691D">
        <w:t>S</w:t>
      </w:r>
      <w:r w:rsidRPr="00CB6395">
        <w:t xml:space="preserve">ection 100 Growth Hormone Program listing for </w:t>
      </w:r>
      <w:proofErr w:type="spellStart"/>
      <w:r w:rsidRPr="00CB6395">
        <w:t>somapacitan</w:t>
      </w:r>
      <w:proofErr w:type="spellEnd"/>
      <w:r w:rsidRPr="00CB6395">
        <w:t xml:space="preserve"> for the treatment of adults with growth hormone deficiency (AGHD).</w:t>
      </w:r>
    </w:p>
    <w:p w14:paraId="1A1242D1" w14:textId="77777777" w:rsidR="000449CE" w:rsidRDefault="00C5732F" w:rsidP="00C5732F">
      <w:pPr>
        <w:pStyle w:val="3-BodyText"/>
      </w:pPr>
      <w:r w:rsidRPr="00CB6395">
        <w:t xml:space="preserve">Listing was requested </w:t>
      </w:r>
      <w:r w:rsidR="00755D80" w:rsidRPr="00CB6395">
        <w:t>based on</w:t>
      </w:r>
      <w:r w:rsidRPr="00CB6395">
        <w:t xml:space="preserve"> a cost-minimisation analysis versus somatropin.</w:t>
      </w:r>
    </w:p>
    <w:p w14:paraId="7A2BBA2B" w14:textId="4AC2659F" w:rsidR="00C5732F" w:rsidRPr="00EE0668" w:rsidRDefault="00C5732F" w:rsidP="00EE0668">
      <w:pPr>
        <w:pStyle w:val="TableFigureHeading"/>
        <w:rPr>
          <w:rStyle w:val="CommentReference"/>
          <w:b/>
          <w:szCs w:val="24"/>
        </w:rPr>
      </w:pPr>
      <w:r w:rsidRPr="00EE0668">
        <w:rPr>
          <w:rStyle w:val="CommentReference"/>
          <w:b/>
          <w:szCs w:val="24"/>
        </w:rPr>
        <w:t xml:space="preserve">Table </w:t>
      </w:r>
      <w:r w:rsidR="00CC3C60" w:rsidRPr="00EE0668">
        <w:rPr>
          <w:rStyle w:val="CommentReference"/>
          <w:b/>
          <w:szCs w:val="24"/>
        </w:rPr>
        <w:fldChar w:fldCharType="begin"/>
      </w:r>
      <w:r w:rsidR="00CC3C60" w:rsidRPr="00EE0668">
        <w:rPr>
          <w:rStyle w:val="CommentReference"/>
          <w:b/>
          <w:szCs w:val="24"/>
        </w:rPr>
        <w:instrText xml:space="preserve"> SEQ Table \* ARABIC </w:instrText>
      </w:r>
      <w:r w:rsidR="00CC3C60" w:rsidRPr="00EE0668">
        <w:rPr>
          <w:rStyle w:val="CommentReference"/>
          <w:b/>
          <w:szCs w:val="24"/>
        </w:rPr>
        <w:fldChar w:fldCharType="separate"/>
      </w:r>
      <w:r w:rsidR="00AB6385">
        <w:rPr>
          <w:rStyle w:val="CommentReference"/>
          <w:b/>
          <w:noProof/>
          <w:szCs w:val="24"/>
        </w:rPr>
        <w:t>1</w:t>
      </w:r>
      <w:r w:rsidR="00CC3C60" w:rsidRPr="00EE0668">
        <w:rPr>
          <w:rStyle w:val="CommentReference"/>
          <w:b/>
          <w:szCs w:val="24"/>
        </w:rPr>
        <w:fldChar w:fldCharType="end"/>
      </w:r>
      <w:r w:rsidRPr="00EE0668">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C5732F" w:rsidRPr="00CB6395" w14:paraId="0A184ED2" w14:textId="77777777" w:rsidTr="008C7497">
        <w:trPr>
          <w:cantSplit/>
          <w:tblHeader/>
        </w:trPr>
        <w:tc>
          <w:tcPr>
            <w:tcW w:w="924" w:type="pct"/>
            <w:shd w:val="clear" w:color="auto" w:fill="auto"/>
          </w:tcPr>
          <w:p w14:paraId="7A91FE33" w14:textId="77777777" w:rsidR="00C5732F" w:rsidRPr="00CB6395" w:rsidRDefault="00C5732F" w:rsidP="008C7497">
            <w:pPr>
              <w:pStyle w:val="In-tableHeading"/>
              <w:rPr>
                <w:szCs w:val="20"/>
                <w:lang w:val="en-AU"/>
              </w:rPr>
            </w:pPr>
            <w:r w:rsidRPr="00CB6395">
              <w:rPr>
                <w:lang w:val="en-AU"/>
              </w:rPr>
              <w:t>Component</w:t>
            </w:r>
          </w:p>
        </w:tc>
        <w:tc>
          <w:tcPr>
            <w:tcW w:w="4076" w:type="pct"/>
            <w:shd w:val="clear" w:color="auto" w:fill="auto"/>
          </w:tcPr>
          <w:p w14:paraId="4DD1F106" w14:textId="77777777" w:rsidR="00C5732F" w:rsidRPr="00CB6395" w:rsidRDefault="00C5732F" w:rsidP="008C7497">
            <w:pPr>
              <w:pStyle w:val="In-tableHeading"/>
              <w:rPr>
                <w:lang w:val="en-AU"/>
              </w:rPr>
            </w:pPr>
            <w:r w:rsidRPr="00CB6395">
              <w:rPr>
                <w:lang w:val="en-AU"/>
              </w:rPr>
              <w:t>Description</w:t>
            </w:r>
          </w:p>
        </w:tc>
      </w:tr>
      <w:tr w:rsidR="00C5732F" w:rsidRPr="00CB6395" w14:paraId="0B192991" w14:textId="77777777" w:rsidTr="008C7497">
        <w:trPr>
          <w:cantSplit/>
        </w:trPr>
        <w:tc>
          <w:tcPr>
            <w:tcW w:w="924" w:type="pct"/>
            <w:shd w:val="clear" w:color="auto" w:fill="auto"/>
          </w:tcPr>
          <w:p w14:paraId="61948762" w14:textId="77777777" w:rsidR="00C5732F" w:rsidRPr="00CB6395" w:rsidRDefault="00C5732F" w:rsidP="008C7497">
            <w:pPr>
              <w:pStyle w:val="TableText0"/>
            </w:pPr>
            <w:r w:rsidRPr="00CB6395">
              <w:t>Population</w:t>
            </w:r>
          </w:p>
        </w:tc>
        <w:tc>
          <w:tcPr>
            <w:tcW w:w="4076" w:type="pct"/>
            <w:shd w:val="clear" w:color="auto" w:fill="auto"/>
          </w:tcPr>
          <w:p w14:paraId="1A1AA42E" w14:textId="77777777" w:rsidR="00C5732F" w:rsidRPr="00CB6395" w:rsidRDefault="00C5732F" w:rsidP="008C7497">
            <w:pPr>
              <w:pStyle w:val="TableText0"/>
              <w:spacing w:line="259" w:lineRule="auto"/>
              <w:rPr>
                <w:rFonts w:eastAsia="MS Gothic" w:cs="Times New Roman"/>
              </w:rPr>
            </w:pPr>
            <w:r w:rsidRPr="00CB6395">
              <w:t>Adults with growth hormone deficiency</w:t>
            </w:r>
          </w:p>
        </w:tc>
      </w:tr>
      <w:tr w:rsidR="00C5732F" w:rsidRPr="00CB6395" w14:paraId="7051A170" w14:textId="77777777" w:rsidTr="008C7497">
        <w:trPr>
          <w:cantSplit/>
        </w:trPr>
        <w:tc>
          <w:tcPr>
            <w:tcW w:w="924" w:type="pct"/>
            <w:shd w:val="clear" w:color="auto" w:fill="auto"/>
          </w:tcPr>
          <w:p w14:paraId="5F5C63A2" w14:textId="77777777" w:rsidR="00C5732F" w:rsidRPr="00CB6395" w:rsidRDefault="00C5732F" w:rsidP="008C7497">
            <w:pPr>
              <w:pStyle w:val="TableText0"/>
            </w:pPr>
            <w:r w:rsidRPr="00CB6395">
              <w:t>Intervention</w:t>
            </w:r>
          </w:p>
        </w:tc>
        <w:tc>
          <w:tcPr>
            <w:tcW w:w="4076" w:type="pct"/>
            <w:shd w:val="clear" w:color="auto" w:fill="auto"/>
          </w:tcPr>
          <w:p w14:paraId="76673463" w14:textId="76E57B43"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 xml:space="preserve">Initial treatment with </w:t>
            </w:r>
            <w:proofErr w:type="spellStart"/>
            <w:r w:rsidRPr="00CB6395">
              <w:rPr>
                <w:rFonts w:eastAsia="Arial Narrow" w:cs="Arial Narrow"/>
                <w:bCs w:val="0"/>
                <w:color w:val="000000" w:themeColor="text1"/>
                <w:szCs w:val="20"/>
              </w:rPr>
              <w:t>somapacitan</w:t>
            </w:r>
            <w:proofErr w:type="spellEnd"/>
            <w:r w:rsidRPr="00CB6395">
              <w:rPr>
                <w:rFonts w:eastAsia="Arial Narrow" w:cs="Arial Narrow"/>
                <w:bCs w:val="0"/>
                <w:color w:val="000000" w:themeColor="text1"/>
                <w:szCs w:val="20"/>
              </w:rPr>
              <w:t xml:space="preserve"> </w:t>
            </w:r>
            <w:r w:rsidR="00CD7367">
              <w:rPr>
                <w:rFonts w:eastAsia="Arial Narrow" w:cs="Arial Narrow"/>
                <w:bCs w:val="0"/>
                <w:color w:val="000000" w:themeColor="text1"/>
                <w:szCs w:val="20"/>
              </w:rPr>
              <w:t>using</w:t>
            </w:r>
            <w:r w:rsidR="00CD7367" w:rsidRPr="00CB6395">
              <w:rPr>
                <w:rFonts w:eastAsia="Arial Narrow" w:cs="Arial Narrow"/>
                <w:bCs w:val="0"/>
                <w:color w:val="000000" w:themeColor="text1"/>
                <w:szCs w:val="20"/>
              </w:rPr>
              <w:t xml:space="preserve"> </w:t>
            </w:r>
            <w:r w:rsidRPr="00CB6395">
              <w:rPr>
                <w:rFonts w:eastAsia="Arial Narrow" w:cs="Arial Narrow"/>
                <w:bCs w:val="0"/>
                <w:color w:val="000000" w:themeColor="text1"/>
                <w:szCs w:val="20"/>
              </w:rPr>
              <w:t>a once-weekly dose of approximately 1.</w:t>
            </w:r>
            <w:r w:rsidR="00FA2764" w:rsidRPr="00CB6395">
              <w:rPr>
                <w:rFonts w:eastAsia="Arial Narrow" w:cs="Arial Narrow"/>
                <w:bCs w:val="0"/>
                <w:color w:val="000000" w:themeColor="text1"/>
                <w:szCs w:val="20"/>
              </w:rPr>
              <w:t>5</w:t>
            </w:r>
            <w:r w:rsidR="00FA2764">
              <w:rPr>
                <w:rFonts w:eastAsia="Arial Narrow" w:cs="Arial Narrow"/>
                <w:bCs w:val="0"/>
                <w:color w:val="000000" w:themeColor="text1"/>
                <w:szCs w:val="20"/>
              </w:rPr>
              <w:t> </w:t>
            </w:r>
            <w:r w:rsidRPr="00CB6395">
              <w:rPr>
                <w:rFonts w:eastAsia="Arial Narrow" w:cs="Arial Narrow"/>
                <w:bCs w:val="0"/>
                <w:color w:val="000000" w:themeColor="text1"/>
                <w:szCs w:val="20"/>
              </w:rPr>
              <w:t>mg/week (range, 1.0–2.</w:t>
            </w:r>
            <w:r w:rsidR="00FA2764" w:rsidRPr="00CB6395">
              <w:rPr>
                <w:rFonts w:eastAsia="Arial Narrow" w:cs="Arial Narrow"/>
                <w:bCs w:val="0"/>
                <w:color w:val="000000" w:themeColor="text1"/>
                <w:szCs w:val="20"/>
              </w:rPr>
              <w:t>0</w:t>
            </w:r>
            <w:r w:rsidR="00FA2764">
              <w:rPr>
                <w:rFonts w:eastAsia="Arial Narrow" w:cs="Arial Narrow"/>
                <w:bCs w:val="0"/>
                <w:color w:val="000000" w:themeColor="text1"/>
                <w:szCs w:val="20"/>
              </w:rPr>
              <w:t> </w:t>
            </w:r>
            <w:r w:rsidRPr="00CB6395">
              <w:rPr>
                <w:rFonts w:eastAsia="Arial Narrow" w:cs="Arial Narrow"/>
                <w:bCs w:val="0"/>
                <w:color w:val="000000" w:themeColor="text1"/>
                <w:szCs w:val="20"/>
              </w:rPr>
              <w:t>mg/week) for treatment naïve patients or a dose of approximately 2.</w:t>
            </w:r>
            <w:r w:rsidR="00FA2764" w:rsidRPr="00CB6395">
              <w:rPr>
                <w:rFonts w:eastAsia="Arial Narrow" w:cs="Arial Narrow"/>
                <w:bCs w:val="0"/>
                <w:color w:val="000000" w:themeColor="text1"/>
                <w:szCs w:val="20"/>
              </w:rPr>
              <w:t>0</w:t>
            </w:r>
            <w:r w:rsidR="00FA2764">
              <w:rPr>
                <w:rFonts w:eastAsia="Arial Narrow" w:cs="Arial Narrow"/>
                <w:bCs w:val="0"/>
                <w:color w:val="000000" w:themeColor="text1"/>
                <w:szCs w:val="20"/>
              </w:rPr>
              <w:t> </w:t>
            </w:r>
            <w:r w:rsidRPr="00CB6395">
              <w:rPr>
                <w:rFonts w:eastAsia="Arial Narrow" w:cs="Arial Narrow"/>
                <w:bCs w:val="0"/>
                <w:color w:val="000000" w:themeColor="text1"/>
                <w:szCs w:val="20"/>
              </w:rPr>
              <w:t>mg/week (range, 1.5–4.0</w:t>
            </w:r>
            <w:r w:rsidR="00FA2764">
              <w:rPr>
                <w:rFonts w:eastAsia="Arial Narrow" w:cs="Arial Narrow"/>
                <w:bCs w:val="0"/>
                <w:color w:val="000000" w:themeColor="text1"/>
                <w:szCs w:val="20"/>
              </w:rPr>
              <w:t> </w:t>
            </w:r>
            <w:r w:rsidRPr="00CB6395">
              <w:rPr>
                <w:rFonts w:eastAsia="Arial Narrow" w:cs="Arial Narrow"/>
                <w:bCs w:val="0"/>
                <w:color w:val="000000" w:themeColor="text1"/>
                <w:szCs w:val="20"/>
              </w:rPr>
              <w:t>mg/week) for patients switching from daily growth hormone (somatropin), titrated at intervals of at least 2 weeks or longer by increments of approximately +0.</w:t>
            </w:r>
            <w:r w:rsidR="00FA2764" w:rsidRPr="00CB6395">
              <w:rPr>
                <w:rFonts w:eastAsia="Arial Narrow" w:cs="Arial Narrow"/>
                <w:bCs w:val="0"/>
                <w:color w:val="000000" w:themeColor="text1"/>
                <w:szCs w:val="20"/>
              </w:rPr>
              <w:t>5</w:t>
            </w:r>
            <w:r w:rsidR="00FA2764">
              <w:rPr>
                <w:rFonts w:eastAsia="Arial Narrow" w:cs="Arial Narrow"/>
                <w:bCs w:val="0"/>
                <w:color w:val="000000" w:themeColor="text1"/>
                <w:szCs w:val="20"/>
              </w:rPr>
              <w:t> </w:t>
            </w:r>
            <w:r w:rsidRPr="00CB6395">
              <w:rPr>
                <w:rFonts w:eastAsia="Arial Narrow" w:cs="Arial Narrow"/>
                <w:bCs w:val="0"/>
                <w:color w:val="000000" w:themeColor="text1"/>
                <w:szCs w:val="20"/>
              </w:rPr>
              <w:t>mg to +1.</w:t>
            </w:r>
            <w:r w:rsidR="00FA2764" w:rsidRPr="00CB6395">
              <w:rPr>
                <w:rFonts w:eastAsia="Arial Narrow" w:cs="Arial Narrow"/>
                <w:bCs w:val="0"/>
                <w:color w:val="000000" w:themeColor="text1"/>
                <w:szCs w:val="20"/>
              </w:rPr>
              <w:t>5</w:t>
            </w:r>
            <w:r w:rsidR="00FA2764">
              <w:rPr>
                <w:rFonts w:eastAsia="Arial Narrow" w:cs="Arial Narrow"/>
                <w:bCs w:val="0"/>
                <w:color w:val="000000" w:themeColor="text1"/>
                <w:szCs w:val="20"/>
              </w:rPr>
              <w:t> </w:t>
            </w:r>
            <w:r w:rsidRPr="00CB6395">
              <w:rPr>
                <w:rFonts w:eastAsia="Arial Narrow" w:cs="Arial Narrow"/>
                <w:bCs w:val="0"/>
                <w:color w:val="000000" w:themeColor="text1"/>
                <w:szCs w:val="20"/>
              </w:rPr>
              <w:t>mg, according to individual patient requirements based on clinical response and serum IGF-I concentrations.</w:t>
            </w:r>
          </w:p>
        </w:tc>
      </w:tr>
      <w:tr w:rsidR="00C5732F" w:rsidRPr="00CB6395" w14:paraId="04925D4B" w14:textId="77777777" w:rsidTr="008C7497">
        <w:trPr>
          <w:cantSplit/>
        </w:trPr>
        <w:tc>
          <w:tcPr>
            <w:tcW w:w="924" w:type="pct"/>
            <w:shd w:val="clear" w:color="auto" w:fill="auto"/>
          </w:tcPr>
          <w:p w14:paraId="06AB400D" w14:textId="77777777" w:rsidR="00C5732F" w:rsidRPr="00CB6395" w:rsidRDefault="00C5732F" w:rsidP="008C7497">
            <w:pPr>
              <w:pStyle w:val="TableText0"/>
            </w:pPr>
            <w:r w:rsidRPr="00CB6395">
              <w:t>Comparator</w:t>
            </w:r>
          </w:p>
        </w:tc>
        <w:tc>
          <w:tcPr>
            <w:tcW w:w="4076" w:type="pct"/>
            <w:shd w:val="clear" w:color="auto" w:fill="auto"/>
          </w:tcPr>
          <w:p w14:paraId="72C4D7A9" w14:textId="77777777" w:rsidR="00C5732F" w:rsidRPr="00CB6395" w:rsidRDefault="00C5732F" w:rsidP="008C7497">
            <w:pPr>
              <w:pStyle w:val="TableText0"/>
              <w:spacing w:line="259" w:lineRule="auto"/>
              <w:rPr>
                <w:rFonts w:eastAsia="MS Gothic" w:cs="Times New Roman"/>
              </w:rPr>
            </w:pPr>
            <w:r w:rsidRPr="00CB6395">
              <w:t>Somatropin</w:t>
            </w:r>
          </w:p>
        </w:tc>
      </w:tr>
      <w:tr w:rsidR="00C5732F" w:rsidRPr="00CB6395" w14:paraId="2DAF8DE7" w14:textId="77777777" w:rsidTr="008C7497">
        <w:trPr>
          <w:cantSplit/>
        </w:trPr>
        <w:tc>
          <w:tcPr>
            <w:tcW w:w="924" w:type="pct"/>
            <w:shd w:val="clear" w:color="auto" w:fill="auto"/>
          </w:tcPr>
          <w:p w14:paraId="7E11B320" w14:textId="77777777" w:rsidR="00C5732F" w:rsidRPr="00CB6395" w:rsidRDefault="00C5732F" w:rsidP="008C7497">
            <w:pPr>
              <w:pStyle w:val="TableText0"/>
            </w:pPr>
            <w:r w:rsidRPr="00CB6395">
              <w:t>Outcomes</w:t>
            </w:r>
          </w:p>
        </w:tc>
        <w:tc>
          <w:tcPr>
            <w:tcW w:w="4076" w:type="pct"/>
            <w:shd w:val="clear" w:color="auto" w:fill="auto"/>
          </w:tcPr>
          <w:p w14:paraId="0811CB43" w14:textId="77777777"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Change in body composition including reduction in truncal fat percentage, fat mass, visceral adipose tissue, and increase in lean body mass and muscle mass, IGF-1 standard deviation score, QoL measures, lipid profile, cardiovascular risk factors, and BMD. Safety assessments including adverse events, injection site reactions, antibodies, and glucose metabolism.</w:t>
            </w:r>
          </w:p>
        </w:tc>
      </w:tr>
      <w:tr w:rsidR="00C5732F" w:rsidRPr="00CB6395" w14:paraId="705861E9" w14:textId="77777777" w:rsidTr="008C7497">
        <w:trPr>
          <w:cantSplit/>
        </w:trPr>
        <w:tc>
          <w:tcPr>
            <w:tcW w:w="924" w:type="pct"/>
            <w:shd w:val="clear" w:color="auto" w:fill="auto"/>
          </w:tcPr>
          <w:p w14:paraId="42E3921D" w14:textId="77777777" w:rsidR="00C5732F" w:rsidRPr="00CB6395" w:rsidRDefault="00C5732F" w:rsidP="008C7497">
            <w:pPr>
              <w:pStyle w:val="TableText0"/>
            </w:pPr>
            <w:r w:rsidRPr="00CB6395">
              <w:t>Clinical claim</w:t>
            </w:r>
          </w:p>
        </w:tc>
        <w:tc>
          <w:tcPr>
            <w:tcW w:w="4076" w:type="pct"/>
            <w:shd w:val="clear" w:color="auto" w:fill="auto"/>
          </w:tcPr>
          <w:p w14:paraId="2F69290B" w14:textId="11DED0F1"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 xml:space="preserve">In AGHD, </w:t>
            </w:r>
            <w:proofErr w:type="spellStart"/>
            <w:r w:rsidRPr="00CB6395">
              <w:rPr>
                <w:rFonts w:eastAsia="Arial Narrow" w:cs="Arial Narrow"/>
                <w:bCs w:val="0"/>
                <w:color w:val="000000" w:themeColor="text1"/>
                <w:szCs w:val="20"/>
              </w:rPr>
              <w:t>somapacitan</w:t>
            </w:r>
            <w:proofErr w:type="spellEnd"/>
            <w:r w:rsidRPr="00CB6395">
              <w:rPr>
                <w:rFonts w:eastAsia="Arial Narrow" w:cs="Arial Narrow"/>
                <w:bCs w:val="0"/>
                <w:color w:val="000000" w:themeColor="text1"/>
                <w:szCs w:val="20"/>
              </w:rPr>
              <w:t xml:space="preserve"> is non-inferior in effectiveness and non-inferior in terms of safety compared with somatropin.</w:t>
            </w:r>
          </w:p>
        </w:tc>
      </w:tr>
    </w:tbl>
    <w:p w14:paraId="09B11C76" w14:textId="2678863D" w:rsidR="00C5732F" w:rsidRPr="00CB6395" w:rsidRDefault="00C5732F" w:rsidP="00C5732F">
      <w:pPr>
        <w:pStyle w:val="TableFigureFooter"/>
      </w:pPr>
      <w:r w:rsidRPr="00CB6395">
        <w:t>Source: Table 1.1.1, p14 of the submission.</w:t>
      </w:r>
    </w:p>
    <w:p w14:paraId="78C28D80" w14:textId="6AB5CCE7" w:rsidR="00CC3C60" w:rsidRPr="00CB6395" w:rsidRDefault="00755D80" w:rsidP="00C5732F">
      <w:pPr>
        <w:pStyle w:val="TableFigureFooter"/>
      </w:pPr>
      <w:r>
        <w:t>m</w:t>
      </w:r>
      <w:r w:rsidRPr="00CB6395">
        <w:t>g</w:t>
      </w:r>
      <w:r>
        <w:t xml:space="preserve"> </w:t>
      </w:r>
      <w:r w:rsidR="00CC3C60" w:rsidRPr="00CB6395">
        <w:t>=</w:t>
      </w:r>
      <w:r>
        <w:t xml:space="preserve"> </w:t>
      </w:r>
      <w:r w:rsidR="00CC3C60" w:rsidRPr="00CB6395">
        <w:t xml:space="preserve">milligram, </w:t>
      </w:r>
      <w:r w:rsidR="00F86157" w:rsidRPr="00CB6395">
        <w:t>IGF-1</w:t>
      </w:r>
      <w:r>
        <w:t xml:space="preserve"> </w:t>
      </w:r>
      <w:r w:rsidR="00F86157" w:rsidRPr="00CB6395">
        <w:t xml:space="preserve">= </w:t>
      </w:r>
      <w:r w:rsidR="005311A8" w:rsidRPr="00CB6395">
        <w:t xml:space="preserve">insulin-like growth factor 1, </w:t>
      </w:r>
      <w:r w:rsidRPr="00CB6395">
        <w:t>Qo</w:t>
      </w:r>
      <w:r>
        <w:t xml:space="preserve">L </w:t>
      </w:r>
      <w:r w:rsidR="005311A8" w:rsidRPr="00CB6395">
        <w:t>= quality of life, AGHD</w:t>
      </w:r>
      <w:r>
        <w:t xml:space="preserve"> </w:t>
      </w:r>
      <w:r w:rsidR="005311A8" w:rsidRPr="00CB6395">
        <w:t>= adult growth hormone</w:t>
      </w:r>
      <w:r w:rsidR="00260745">
        <w:t xml:space="preserve"> deficiency</w:t>
      </w:r>
      <w:r w:rsidR="005311A8" w:rsidRPr="00CB6395">
        <w:t>, BMD</w:t>
      </w:r>
      <w:r>
        <w:t xml:space="preserve"> </w:t>
      </w:r>
      <w:r w:rsidR="005311A8" w:rsidRPr="00CB6395">
        <w:t>= bone mineral density</w:t>
      </w:r>
      <w:r w:rsidR="00054496" w:rsidRPr="00CB6395">
        <w:t>.</w:t>
      </w:r>
    </w:p>
    <w:p w14:paraId="6A9D953C" w14:textId="77777777" w:rsidR="00C5732F" w:rsidRPr="00CB6395" w:rsidRDefault="00C5732F" w:rsidP="00C5732F">
      <w:pPr>
        <w:pStyle w:val="2-SectionHeading"/>
      </w:pPr>
      <w:bookmarkStart w:id="3" w:name="_Toc22898845"/>
      <w:bookmarkStart w:id="4" w:name="_Toc93488105"/>
      <w:r w:rsidRPr="00CB6395">
        <w:t>Background</w:t>
      </w:r>
      <w:bookmarkEnd w:id="3"/>
      <w:bookmarkEnd w:id="4"/>
    </w:p>
    <w:p w14:paraId="3A730BBE" w14:textId="77777777" w:rsidR="00C5732F" w:rsidRPr="00CB6395" w:rsidRDefault="00C5732F" w:rsidP="00C5732F">
      <w:pPr>
        <w:pStyle w:val="4-SubsectionHeading"/>
      </w:pPr>
      <w:bookmarkStart w:id="5" w:name="_Toc22897638"/>
      <w:bookmarkStart w:id="6" w:name="_Toc22898846"/>
      <w:bookmarkStart w:id="7" w:name="_Toc93488106"/>
      <w:r w:rsidRPr="00CB6395">
        <w:t>Registration status</w:t>
      </w:r>
      <w:bookmarkEnd w:id="5"/>
      <w:bookmarkEnd w:id="6"/>
      <w:bookmarkEnd w:id="7"/>
    </w:p>
    <w:p w14:paraId="073F73F1" w14:textId="332DF547" w:rsidR="008157D7" w:rsidRPr="00CD7367" w:rsidRDefault="00CD7367" w:rsidP="00B11F5C">
      <w:pPr>
        <w:pStyle w:val="3-BodyText"/>
        <w:numPr>
          <w:ilvl w:val="1"/>
          <w:numId w:val="5"/>
        </w:numPr>
        <w:rPr>
          <w:rFonts w:eastAsiaTheme="minorEastAsia"/>
        </w:rPr>
      </w:pPr>
      <w:proofErr w:type="spellStart"/>
      <w:r>
        <w:rPr>
          <w:rFonts w:eastAsiaTheme="minorEastAsia"/>
        </w:rPr>
        <w:t>Somapacitan</w:t>
      </w:r>
      <w:proofErr w:type="spellEnd"/>
      <w:r>
        <w:rPr>
          <w:rFonts w:eastAsiaTheme="minorEastAsia"/>
        </w:rPr>
        <w:t xml:space="preserve"> was registered on the Australian Register of Therapeutic Goods (ARTG) on 21 February </w:t>
      </w:r>
      <w:r w:rsidRPr="00CD7367">
        <w:rPr>
          <w:rFonts w:eastAsiaTheme="minorEastAsia"/>
        </w:rPr>
        <w:t>2022</w:t>
      </w:r>
      <w:r w:rsidR="00E81A41" w:rsidRPr="00CD7367">
        <w:t xml:space="preserve"> </w:t>
      </w:r>
      <w:r w:rsidR="002868F1" w:rsidRPr="00CD7367">
        <w:t xml:space="preserve">for </w:t>
      </w:r>
      <w:r w:rsidR="00E81A41" w:rsidRPr="00CD7367">
        <w:t xml:space="preserve">the replacement of endogenous GH in </w:t>
      </w:r>
      <w:r w:rsidR="002868F1" w:rsidRPr="00CD7367">
        <w:t xml:space="preserve">adults with </w:t>
      </w:r>
      <w:r w:rsidR="00E81A41" w:rsidRPr="00CD7367">
        <w:t>AGHD.</w:t>
      </w:r>
    </w:p>
    <w:p w14:paraId="2808527E" w14:textId="2FF37976" w:rsidR="00C5732F" w:rsidRPr="00CB6395" w:rsidRDefault="00C5732F" w:rsidP="00C5732F">
      <w:pPr>
        <w:pStyle w:val="2-SectionHeading"/>
      </w:pPr>
      <w:bookmarkStart w:id="8" w:name="_Toc22898848"/>
      <w:bookmarkStart w:id="9" w:name="_Toc93488107"/>
      <w:r w:rsidRPr="00CB6395">
        <w:t>Requested listing</w:t>
      </w:r>
      <w:bookmarkEnd w:id="8"/>
      <w:bookmarkEnd w:id="9"/>
    </w:p>
    <w:p w14:paraId="2A876F3F" w14:textId="40FDF79C" w:rsidR="007F4397" w:rsidRPr="00CB6395" w:rsidRDefault="00423C69" w:rsidP="002F0371">
      <w:pPr>
        <w:pStyle w:val="3-BodyText"/>
      </w:pPr>
      <w:r w:rsidRPr="00CB6395">
        <w:t xml:space="preserve">The abridged requested listing for </w:t>
      </w:r>
      <w:proofErr w:type="spellStart"/>
      <w:r w:rsidRPr="00CB6395">
        <w:t>somapacitan</w:t>
      </w:r>
      <w:proofErr w:type="spellEnd"/>
      <w:r w:rsidRPr="00CB6395">
        <w:t xml:space="preserve"> is provided below (for initial treatment of adult-onset GHD, and for continuing treatment).</w:t>
      </w:r>
    </w:p>
    <w:tbl>
      <w:tblPr>
        <w:tblW w:w="4977" w:type="pct"/>
        <w:tblInd w:w="28" w:type="dxa"/>
        <w:tblCellMar>
          <w:left w:w="28" w:type="dxa"/>
          <w:right w:w="28" w:type="dxa"/>
        </w:tblCellMar>
        <w:tblLook w:val="0000" w:firstRow="0" w:lastRow="0" w:firstColumn="0" w:lastColumn="0" w:noHBand="0" w:noVBand="0"/>
      </w:tblPr>
      <w:tblGrid>
        <w:gridCol w:w="2253"/>
        <w:gridCol w:w="1130"/>
        <w:gridCol w:w="1089"/>
        <w:gridCol w:w="846"/>
        <w:gridCol w:w="1518"/>
        <w:gridCol w:w="654"/>
        <w:gridCol w:w="1495"/>
      </w:tblGrid>
      <w:tr w:rsidR="00C5732F" w:rsidRPr="00CB6395" w14:paraId="2C4AF482" w14:textId="77777777" w:rsidTr="008C7497">
        <w:trPr>
          <w:cantSplit/>
          <w:trHeight w:val="463"/>
        </w:trPr>
        <w:tc>
          <w:tcPr>
            <w:tcW w:w="1882" w:type="pct"/>
            <w:gridSpan w:val="2"/>
            <w:tcBorders>
              <w:top w:val="single" w:sz="4" w:space="0" w:color="auto"/>
              <w:bottom w:val="single" w:sz="4" w:space="0" w:color="auto"/>
            </w:tcBorders>
            <w:vAlign w:val="center"/>
          </w:tcPr>
          <w:p w14:paraId="680A7D0C" w14:textId="77777777" w:rsidR="00C5732F" w:rsidRPr="00CB6395" w:rsidRDefault="00C5732F" w:rsidP="008C7497">
            <w:pPr>
              <w:keepNext/>
              <w:rPr>
                <w:rFonts w:ascii="Arial Narrow" w:hAnsi="Arial Narrow"/>
                <w:b/>
                <w:sz w:val="20"/>
              </w:rPr>
            </w:pPr>
            <w:r w:rsidRPr="00CB6395">
              <w:rPr>
                <w:rFonts w:ascii="Arial Narrow" w:hAnsi="Arial Narrow"/>
                <w:b/>
                <w:sz w:val="20"/>
              </w:rPr>
              <w:lastRenderedPageBreak/>
              <w:t>Name, Restriction,</w:t>
            </w:r>
          </w:p>
          <w:p w14:paraId="756C278C" w14:textId="77777777" w:rsidR="00C5732F" w:rsidRPr="00CB6395" w:rsidRDefault="00C5732F" w:rsidP="008C7497">
            <w:pPr>
              <w:keepNext/>
              <w:rPr>
                <w:rFonts w:ascii="Arial Narrow" w:hAnsi="Arial Narrow"/>
                <w:b/>
                <w:sz w:val="20"/>
              </w:rPr>
            </w:pPr>
            <w:r w:rsidRPr="00CB6395">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14:paraId="51361F2B" w14:textId="77777777" w:rsidR="00C5732F" w:rsidRPr="00CB6395" w:rsidRDefault="00C5732F" w:rsidP="008C7497">
            <w:pPr>
              <w:keepNext/>
              <w:jc w:val="center"/>
              <w:rPr>
                <w:rFonts w:ascii="Arial Narrow" w:hAnsi="Arial Narrow"/>
                <w:b/>
                <w:sz w:val="20"/>
              </w:rPr>
            </w:pPr>
            <w:r w:rsidRPr="00CB6395">
              <w:rPr>
                <w:rFonts w:ascii="Arial Narrow" w:hAnsi="Arial Narrow"/>
                <w:b/>
                <w:sz w:val="20"/>
              </w:rPr>
              <w:t>Max.</w:t>
            </w:r>
          </w:p>
          <w:p w14:paraId="24569176" w14:textId="77777777" w:rsidR="00C5732F" w:rsidRPr="00CB6395" w:rsidRDefault="00C5732F" w:rsidP="008C7497">
            <w:pPr>
              <w:keepNext/>
              <w:jc w:val="center"/>
              <w:rPr>
                <w:rFonts w:ascii="Arial Narrow" w:hAnsi="Arial Narrow"/>
                <w:b/>
                <w:bCs/>
                <w:sz w:val="20"/>
                <w:szCs w:val="20"/>
              </w:rPr>
            </w:pPr>
            <w:r w:rsidRPr="00CB6395">
              <w:rPr>
                <w:rFonts w:ascii="Arial Narrow" w:hAnsi="Arial Narrow"/>
                <w:b/>
                <w:bCs/>
                <w:sz w:val="20"/>
                <w:szCs w:val="20"/>
              </w:rPr>
              <w:t>Qty</w:t>
            </w:r>
          </w:p>
        </w:tc>
        <w:tc>
          <w:tcPr>
            <w:tcW w:w="471" w:type="pct"/>
            <w:tcBorders>
              <w:top w:val="single" w:sz="4" w:space="0" w:color="auto"/>
              <w:bottom w:val="single" w:sz="4" w:space="0" w:color="auto"/>
            </w:tcBorders>
            <w:vAlign w:val="center"/>
          </w:tcPr>
          <w:p w14:paraId="2817115E" w14:textId="77777777" w:rsidR="00C5732F" w:rsidRPr="00CB6395" w:rsidRDefault="00C5732F" w:rsidP="008C7497">
            <w:pPr>
              <w:keepNext/>
              <w:jc w:val="center"/>
              <w:rPr>
                <w:rFonts w:ascii="Arial Narrow" w:hAnsi="Arial Narrow"/>
                <w:b/>
                <w:sz w:val="20"/>
              </w:rPr>
            </w:pPr>
            <w:proofErr w:type="gramStart"/>
            <w:r w:rsidRPr="00CB6395">
              <w:rPr>
                <w:rFonts w:ascii="Arial Narrow" w:hAnsi="Arial Narrow"/>
                <w:b/>
                <w:sz w:val="20"/>
              </w:rPr>
              <w:t>№.of</w:t>
            </w:r>
            <w:proofErr w:type="gramEnd"/>
          </w:p>
          <w:p w14:paraId="18021127" w14:textId="77777777" w:rsidR="00C5732F" w:rsidRPr="00CB6395" w:rsidRDefault="00C5732F" w:rsidP="008C7497">
            <w:pPr>
              <w:keepNext/>
              <w:jc w:val="center"/>
              <w:rPr>
                <w:rFonts w:ascii="Arial Narrow" w:hAnsi="Arial Narrow"/>
                <w:b/>
                <w:sz w:val="20"/>
              </w:rPr>
            </w:pPr>
            <w:proofErr w:type="spellStart"/>
            <w:r w:rsidRPr="00CB6395">
              <w:rPr>
                <w:rFonts w:ascii="Arial Narrow" w:hAnsi="Arial Narrow"/>
                <w:b/>
                <w:sz w:val="20"/>
              </w:rPr>
              <w:t>Rpts</w:t>
            </w:r>
            <w:proofErr w:type="spellEnd"/>
          </w:p>
        </w:tc>
        <w:tc>
          <w:tcPr>
            <w:tcW w:w="845" w:type="pct"/>
            <w:tcBorders>
              <w:top w:val="single" w:sz="4" w:space="0" w:color="auto"/>
              <w:bottom w:val="single" w:sz="4" w:space="0" w:color="auto"/>
            </w:tcBorders>
            <w:vAlign w:val="center"/>
          </w:tcPr>
          <w:p w14:paraId="2258BC05" w14:textId="393C4C11" w:rsidR="00C5732F" w:rsidRPr="00CB6395" w:rsidRDefault="002F6E2E" w:rsidP="00A743EF">
            <w:pPr>
              <w:keepNext/>
              <w:jc w:val="center"/>
              <w:rPr>
                <w:rFonts w:ascii="Arial Narrow" w:hAnsi="Arial Narrow"/>
                <w:b/>
                <w:sz w:val="20"/>
              </w:rPr>
            </w:pPr>
            <w:r>
              <w:rPr>
                <w:rFonts w:ascii="Arial Narrow" w:hAnsi="Arial Narrow"/>
                <w:b/>
                <w:sz w:val="20"/>
              </w:rPr>
              <w:t>A</w:t>
            </w:r>
            <w:r w:rsidRPr="002F6E2E">
              <w:rPr>
                <w:rFonts w:ascii="Arial Narrow" w:hAnsi="Arial Narrow"/>
                <w:b/>
                <w:sz w:val="20"/>
              </w:rPr>
              <w:t>pproved ex-manufacturer price</w:t>
            </w:r>
            <w:r w:rsidRPr="002F6E2E" w:rsidDel="002F6E2E">
              <w:rPr>
                <w:rFonts w:ascii="Arial Narrow" w:hAnsi="Arial Narrow"/>
                <w:b/>
                <w:sz w:val="20"/>
              </w:rPr>
              <w:t xml:space="preserve"> </w:t>
            </w:r>
          </w:p>
        </w:tc>
        <w:tc>
          <w:tcPr>
            <w:tcW w:w="1196" w:type="pct"/>
            <w:gridSpan w:val="2"/>
            <w:tcBorders>
              <w:top w:val="single" w:sz="4" w:space="0" w:color="auto"/>
              <w:bottom w:val="single" w:sz="4" w:space="0" w:color="auto"/>
            </w:tcBorders>
            <w:vAlign w:val="center"/>
          </w:tcPr>
          <w:p w14:paraId="4131BDCB" w14:textId="77777777" w:rsidR="00C5732F" w:rsidRPr="00CB6395" w:rsidRDefault="00C5732F" w:rsidP="008C7497">
            <w:pPr>
              <w:keepNext/>
              <w:jc w:val="center"/>
              <w:rPr>
                <w:rFonts w:ascii="Arial Narrow" w:hAnsi="Arial Narrow"/>
                <w:b/>
                <w:sz w:val="20"/>
              </w:rPr>
            </w:pPr>
            <w:r w:rsidRPr="00CB6395">
              <w:rPr>
                <w:rFonts w:ascii="Arial Narrow" w:hAnsi="Arial Narrow"/>
                <w:b/>
                <w:sz w:val="20"/>
              </w:rPr>
              <w:t>Proprietary Name and Manufacturer</w:t>
            </w:r>
          </w:p>
        </w:tc>
      </w:tr>
      <w:tr w:rsidR="00C5732F" w:rsidRPr="00CB6395" w14:paraId="5DF28025" w14:textId="77777777" w:rsidTr="008C7497">
        <w:trPr>
          <w:cantSplit/>
          <w:trHeight w:val="567"/>
        </w:trPr>
        <w:tc>
          <w:tcPr>
            <w:tcW w:w="1882" w:type="pct"/>
            <w:gridSpan w:val="2"/>
            <w:vAlign w:val="center"/>
          </w:tcPr>
          <w:p w14:paraId="5292D7F2" w14:textId="1BE06F7F" w:rsidR="00C5732F" w:rsidRPr="00CB6395" w:rsidRDefault="00C5732F" w:rsidP="008C7497">
            <w:pPr>
              <w:spacing w:line="259" w:lineRule="auto"/>
              <w:rPr>
                <w:smallCaps/>
              </w:rPr>
            </w:pPr>
            <w:r w:rsidRPr="00CB6395">
              <w:rPr>
                <w:rFonts w:ascii="Arial Narrow" w:hAnsi="Arial Narrow"/>
                <w:smallCaps/>
                <w:sz w:val="20"/>
                <w:szCs w:val="20"/>
              </w:rPr>
              <w:t>SOMAPACITAN, 6.7mg/1mL</w:t>
            </w:r>
          </w:p>
          <w:p w14:paraId="66734C02" w14:textId="54E66C67" w:rsidR="00C5732F" w:rsidRPr="00CB6395" w:rsidRDefault="00C5732F" w:rsidP="008C7497">
            <w:pPr>
              <w:keepNext/>
              <w:rPr>
                <w:rFonts w:ascii="Arial Narrow" w:hAnsi="Arial Narrow"/>
                <w:sz w:val="20"/>
                <w:szCs w:val="20"/>
              </w:rPr>
            </w:pPr>
            <w:r w:rsidRPr="00CB6395">
              <w:rPr>
                <w:rFonts w:ascii="Arial Narrow" w:hAnsi="Arial Narrow"/>
                <w:sz w:val="20"/>
                <w:szCs w:val="20"/>
              </w:rPr>
              <w:t>Solution for injection, 1</w:t>
            </w:r>
            <w:r w:rsidR="00714616" w:rsidRPr="00CB6395">
              <w:rPr>
                <w:rFonts w:ascii="Arial Narrow" w:hAnsi="Arial Narrow"/>
                <w:sz w:val="20"/>
                <w:szCs w:val="20"/>
              </w:rPr>
              <w:t>0 mg/1.5 mL injection, 1</w:t>
            </w:r>
            <w:r w:rsidRPr="00CB6395">
              <w:rPr>
                <w:rFonts w:ascii="Arial Narrow" w:hAnsi="Arial Narrow"/>
                <w:sz w:val="20"/>
                <w:szCs w:val="20"/>
              </w:rPr>
              <w:t xml:space="preserve"> x 1.5mL pre-filled pen </w:t>
            </w:r>
          </w:p>
        </w:tc>
        <w:tc>
          <w:tcPr>
            <w:tcW w:w="606" w:type="pct"/>
            <w:vAlign w:val="center"/>
          </w:tcPr>
          <w:p w14:paraId="7037D48C" w14:textId="77777777" w:rsidR="00C5732F" w:rsidRPr="00CB6395" w:rsidRDefault="00C5732F" w:rsidP="008C7497">
            <w:pPr>
              <w:keepNext/>
              <w:jc w:val="center"/>
              <w:rPr>
                <w:rFonts w:ascii="Arial Narrow" w:hAnsi="Arial Narrow"/>
                <w:sz w:val="20"/>
                <w:szCs w:val="20"/>
              </w:rPr>
            </w:pPr>
            <w:r w:rsidRPr="00CB6395">
              <w:rPr>
                <w:rFonts w:ascii="Arial Narrow" w:hAnsi="Arial Narrow"/>
                <w:sz w:val="20"/>
                <w:szCs w:val="20"/>
              </w:rPr>
              <w:t>1</w:t>
            </w:r>
          </w:p>
        </w:tc>
        <w:tc>
          <w:tcPr>
            <w:tcW w:w="471" w:type="pct"/>
            <w:vAlign w:val="center"/>
          </w:tcPr>
          <w:p w14:paraId="28E1E750" w14:textId="77777777" w:rsidR="00C5732F" w:rsidRPr="00CB6395" w:rsidRDefault="00C5732F" w:rsidP="008C7497">
            <w:pPr>
              <w:keepNext/>
              <w:jc w:val="center"/>
              <w:rPr>
                <w:rFonts w:ascii="Arial Narrow" w:hAnsi="Arial Narrow"/>
                <w:sz w:val="20"/>
                <w:szCs w:val="20"/>
              </w:rPr>
            </w:pPr>
            <w:r w:rsidRPr="00CB6395">
              <w:rPr>
                <w:rFonts w:ascii="Arial Narrow" w:hAnsi="Arial Narrow"/>
                <w:sz w:val="20"/>
                <w:szCs w:val="20"/>
              </w:rPr>
              <w:t>5</w:t>
            </w:r>
          </w:p>
        </w:tc>
        <w:tc>
          <w:tcPr>
            <w:tcW w:w="845" w:type="pct"/>
            <w:vAlign w:val="center"/>
          </w:tcPr>
          <w:p w14:paraId="7D73A3A1" w14:textId="77777777" w:rsidR="00C5732F" w:rsidRPr="00CB6395" w:rsidRDefault="00C5732F" w:rsidP="008C7497">
            <w:pPr>
              <w:keepNext/>
              <w:jc w:val="center"/>
              <w:rPr>
                <w:rFonts w:ascii="Arial Narrow" w:hAnsi="Arial Narrow"/>
                <w:sz w:val="20"/>
                <w:szCs w:val="20"/>
              </w:rPr>
            </w:pPr>
            <w:r w:rsidRPr="00CB6395">
              <w:rPr>
                <w:rFonts w:ascii="Arial Narrow" w:hAnsi="Arial Narrow"/>
                <w:sz w:val="20"/>
                <w:szCs w:val="20"/>
              </w:rPr>
              <w:t>$547.83 ($54.78 per mg) published price</w:t>
            </w:r>
          </w:p>
          <w:p w14:paraId="585940D6" w14:textId="3F44DC3D" w:rsidR="00C5732F" w:rsidRPr="00CB6395" w:rsidRDefault="00C5732F" w:rsidP="008C7497">
            <w:pPr>
              <w:keepNext/>
              <w:jc w:val="center"/>
              <w:rPr>
                <w:rFonts w:ascii="Arial Narrow" w:hAnsi="Arial Narrow"/>
                <w:sz w:val="20"/>
                <w:szCs w:val="20"/>
              </w:rPr>
            </w:pPr>
            <w:r w:rsidRPr="00CB6395">
              <w:rPr>
                <w:rFonts w:ascii="Arial Narrow" w:hAnsi="Arial Narrow"/>
                <w:sz w:val="20"/>
                <w:szCs w:val="20"/>
              </w:rPr>
              <w:t>$</w:t>
            </w:r>
            <w:r w:rsidR="00440ADF" w:rsidRPr="00440ADF">
              <w:rPr>
                <w:rFonts w:ascii="Arial Narrow" w:hAnsi="Arial Narrow"/>
                <w:color w:val="000000"/>
                <w:spacing w:val="49"/>
                <w:sz w:val="20"/>
                <w:szCs w:val="20"/>
                <w:shd w:val="solid" w:color="000000" w:fill="000000"/>
                <w:fitText w:val="320" w:id="-1500864000"/>
                <w14:textFill>
                  <w14:solidFill>
                    <w14:srgbClr w14:val="000000">
                      <w14:alpha w14:val="100000"/>
                    </w14:srgbClr>
                  </w14:solidFill>
                </w14:textFill>
              </w:rPr>
              <w:t>|||</w:t>
            </w:r>
            <w:r w:rsidR="00440ADF" w:rsidRPr="00440ADF">
              <w:rPr>
                <w:rFonts w:ascii="Arial Narrow" w:hAnsi="Arial Narrow"/>
                <w:color w:val="000000"/>
                <w:spacing w:val="3"/>
                <w:sz w:val="20"/>
                <w:szCs w:val="20"/>
                <w:shd w:val="solid" w:color="000000" w:fill="000000"/>
                <w:fitText w:val="320" w:id="-1500864000"/>
                <w14:textFill>
                  <w14:solidFill>
                    <w14:srgbClr w14:val="000000">
                      <w14:alpha w14:val="100000"/>
                    </w14:srgbClr>
                  </w14:solidFill>
                </w14:textFill>
              </w:rPr>
              <w:t>|</w:t>
            </w:r>
            <w:r w:rsidRPr="00CB6395">
              <w:rPr>
                <w:rFonts w:ascii="Arial Narrow" w:hAnsi="Arial Narrow"/>
                <w:sz w:val="20"/>
                <w:szCs w:val="20"/>
              </w:rPr>
              <w:t xml:space="preserve"> ($</w:t>
            </w:r>
            <w:r w:rsidR="00440ADF" w:rsidRPr="00440ADF">
              <w:rPr>
                <w:rFonts w:ascii="Arial Narrow" w:hAnsi="Arial Narrow"/>
                <w:color w:val="000000"/>
                <w:spacing w:val="174"/>
                <w:sz w:val="20"/>
                <w:szCs w:val="20"/>
                <w:shd w:val="solid" w:color="000000" w:fill="000000"/>
                <w:fitText w:val="260" w:id="-1500863999"/>
                <w14:textFill>
                  <w14:solidFill>
                    <w14:srgbClr w14:val="000000">
                      <w14:alpha w14:val="100000"/>
                    </w14:srgbClr>
                  </w14:solidFill>
                </w14:textFill>
              </w:rPr>
              <w:t>|</w:t>
            </w:r>
            <w:r w:rsidR="00440ADF" w:rsidRPr="00440ADF">
              <w:rPr>
                <w:rFonts w:ascii="Arial Narrow" w:hAnsi="Arial Narrow"/>
                <w:color w:val="000000"/>
                <w:sz w:val="20"/>
                <w:szCs w:val="20"/>
                <w:shd w:val="solid" w:color="000000" w:fill="000000"/>
                <w:fitText w:val="260" w:id="-1500863999"/>
                <w14:textFill>
                  <w14:solidFill>
                    <w14:srgbClr w14:val="000000">
                      <w14:alpha w14:val="100000"/>
                    </w14:srgbClr>
                  </w14:solidFill>
                </w14:textFill>
              </w:rPr>
              <w:t>|</w:t>
            </w:r>
            <w:r w:rsidRPr="00CB6395">
              <w:rPr>
                <w:rFonts w:ascii="Arial Narrow" w:hAnsi="Arial Narrow"/>
                <w:sz w:val="20"/>
                <w:szCs w:val="20"/>
              </w:rPr>
              <w:t xml:space="preserve"> per mg) effective price</w:t>
            </w:r>
          </w:p>
        </w:tc>
        <w:tc>
          <w:tcPr>
            <w:tcW w:w="364" w:type="pct"/>
            <w:vAlign w:val="center"/>
          </w:tcPr>
          <w:p w14:paraId="73193A90" w14:textId="77777777" w:rsidR="00C5732F" w:rsidRPr="00CB6395" w:rsidRDefault="00C5732F" w:rsidP="008C7497">
            <w:pPr>
              <w:keepNext/>
              <w:jc w:val="center"/>
              <w:rPr>
                <w:rFonts w:ascii="Arial Narrow" w:hAnsi="Arial Narrow"/>
                <w:sz w:val="20"/>
                <w:szCs w:val="20"/>
              </w:rPr>
            </w:pPr>
          </w:p>
        </w:tc>
        <w:tc>
          <w:tcPr>
            <w:tcW w:w="832" w:type="pct"/>
            <w:vAlign w:val="center"/>
          </w:tcPr>
          <w:p w14:paraId="29E8AAF0" w14:textId="77777777" w:rsidR="00C5732F" w:rsidRPr="00CB6395" w:rsidRDefault="00C5732F" w:rsidP="008C7497">
            <w:pPr>
              <w:keepNext/>
              <w:jc w:val="center"/>
              <w:rPr>
                <w:color w:val="000000" w:themeColor="text1"/>
              </w:rPr>
            </w:pPr>
            <w:proofErr w:type="spellStart"/>
            <w:r w:rsidRPr="00CB6395">
              <w:rPr>
                <w:rFonts w:ascii="Arial Narrow" w:hAnsi="Arial Narrow"/>
                <w:sz w:val="20"/>
                <w:szCs w:val="20"/>
              </w:rPr>
              <w:t>Sogroya</w:t>
            </w:r>
            <w:proofErr w:type="spellEnd"/>
            <w:r w:rsidRPr="00CB6395">
              <w:rPr>
                <w:rFonts w:ascii="Arial Narrow" w:eastAsia="Arial Narrow" w:hAnsi="Arial Narrow" w:cs="Arial Narrow"/>
                <w:color w:val="000000" w:themeColor="text1"/>
                <w:sz w:val="19"/>
                <w:szCs w:val="19"/>
              </w:rPr>
              <w:t xml:space="preserve">®, Novo Nordisk Pharmaceuticals Pty Limited </w:t>
            </w:r>
          </w:p>
        </w:tc>
      </w:tr>
      <w:tr w:rsidR="00C5732F" w:rsidRPr="00CB6395" w14:paraId="726D9FA3"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3B2AE5CE" w14:textId="77777777" w:rsidR="00C5732F" w:rsidRPr="00CB6395" w:rsidRDefault="00C5732F" w:rsidP="008C7497">
            <w:pPr>
              <w:pStyle w:val="Tabletext"/>
            </w:pPr>
            <w:r w:rsidRPr="00CB6395">
              <w:t>Category/Program:</w:t>
            </w:r>
          </w:p>
        </w:tc>
        <w:tc>
          <w:tcPr>
            <w:tcW w:w="3747" w:type="pct"/>
            <w:gridSpan w:val="6"/>
            <w:tcBorders>
              <w:top w:val="single" w:sz="4" w:space="0" w:color="auto"/>
              <w:left w:val="single" w:sz="4" w:space="0" w:color="auto"/>
              <w:bottom w:val="single" w:sz="4" w:space="0" w:color="auto"/>
              <w:right w:val="single" w:sz="4" w:space="0" w:color="auto"/>
            </w:tcBorders>
          </w:tcPr>
          <w:p w14:paraId="77BEEBEB" w14:textId="77777777" w:rsidR="00C5732F" w:rsidRPr="00CB6395" w:rsidRDefault="00C5732F" w:rsidP="008C7497">
            <w:pPr>
              <w:pStyle w:val="Tabletext"/>
              <w:spacing w:line="259" w:lineRule="auto"/>
              <w:rPr>
                <w:szCs w:val="20"/>
              </w:rPr>
            </w:pPr>
            <w:r w:rsidRPr="00CB6395">
              <w:t>Section 100 – Growth Hormone Program</w:t>
            </w:r>
          </w:p>
        </w:tc>
      </w:tr>
      <w:tr w:rsidR="00C5732F" w:rsidRPr="00CB6395" w14:paraId="3E31CCF4"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7292276C" w14:textId="77777777" w:rsidR="00C5732F" w:rsidRPr="00CB6395" w:rsidRDefault="00C5732F" w:rsidP="008C7497">
            <w:pPr>
              <w:pStyle w:val="Tabletext"/>
            </w:pPr>
            <w:r w:rsidRPr="00CB6395">
              <w:t>PBS indication:</w:t>
            </w:r>
          </w:p>
        </w:tc>
        <w:tc>
          <w:tcPr>
            <w:tcW w:w="3747" w:type="pct"/>
            <w:gridSpan w:val="6"/>
            <w:tcBorders>
              <w:top w:val="single" w:sz="4" w:space="0" w:color="auto"/>
              <w:left w:val="single" w:sz="4" w:space="0" w:color="auto"/>
              <w:bottom w:val="single" w:sz="4" w:space="0" w:color="auto"/>
              <w:right w:val="single" w:sz="4" w:space="0" w:color="auto"/>
            </w:tcBorders>
          </w:tcPr>
          <w:p w14:paraId="6BFF5A22" w14:textId="77777777" w:rsidR="00C5732F" w:rsidRPr="00CB6395" w:rsidRDefault="00C5732F" w:rsidP="008C7497">
            <w:pPr>
              <w:pStyle w:val="Tabletext"/>
              <w:spacing w:line="259" w:lineRule="auto"/>
              <w:rPr>
                <w:szCs w:val="20"/>
              </w:rPr>
            </w:pPr>
            <w:r w:rsidRPr="00CB6395">
              <w:t xml:space="preserve">Severe growth hormone deficiency </w:t>
            </w:r>
          </w:p>
        </w:tc>
      </w:tr>
      <w:tr w:rsidR="00C5732F" w:rsidRPr="00CB6395" w14:paraId="663F90C0"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17907732" w14:textId="77777777" w:rsidR="00C5732F" w:rsidRPr="00CB6395" w:rsidRDefault="00C5732F" w:rsidP="008C7497">
            <w:pPr>
              <w:pStyle w:val="Tabletext"/>
            </w:pPr>
            <w:r w:rsidRPr="00CB6395">
              <w:t>Treatment phase:</w:t>
            </w:r>
          </w:p>
        </w:tc>
        <w:tc>
          <w:tcPr>
            <w:tcW w:w="3747" w:type="pct"/>
            <w:gridSpan w:val="6"/>
            <w:tcBorders>
              <w:top w:val="single" w:sz="4" w:space="0" w:color="auto"/>
              <w:left w:val="single" w:sz="4" w:space="0" w:color="auto"/>
              <w:bottom w:val="single" w:sz="4" w:space="0" w:color="auto"/>
              <w:right w:val="single" w:sz="4" w:space="0" w:color="auto"/>
            </w:tcBorders>
          </w:tcPr>
          <w:p w14:paraId="1C3988BE" w14:textId="77777777" w:rsidR="00C5732F" w:rsidRPr="00CB6395" w:rsidRDefault="00C5732F" w:rsidP="008C7497">
            <w:pPr>
              <w:pStyle w:val="Tabletext"/>
            </w:pPr>
            <w:r w:rsidRPr="00CB6395">
              <w:t>Initial treatment of adult-onset growth hormone deficiency</w:t>
            </w:r>
          </w:p>
        </w:tc>
      </w:tr>
      <w:tr w:rsidR="00C5732F" w:rsidRPr="00CB6395" w14:paraId="420777F6"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2FA10AA4" w14:textId="77777777" w:rsidR="00C5732F" w:rsidRPr="00CB6395" w:rsidRDefault="00C5732F" w:rsidP="008C7497">
            <w:pPr>
              <w:pStyle w:val="Tabletext"/>
            </w:pPr>
            <w:r w:rsidRPr="00CB6395">
              <w:t>Restriction:</w:t>
            </w:r>
          </w:p>
        </w:tc>
        <w:tc>
          <w:tcPr>
            <w:tcW w:w="3747" w:type="pct"/>
            <w:gridSpan w:val="6"/>
            <w:tcBorders>
              <w:top w:val="single" w:sz="4" w:space="0" w:color="auto"/>
              <w:left w:val="single" w:sz="4" w:space="0" w:color="auto"/>
              <w:bottom w:val="single" w:sz="4" w:space="0" w:color="auto"/>
              <w:right w:val="single" w:sz="4" w:space="0" w:color="auto"/>
            </w:tcBorders>
          </w:tcPr>
          <w:p w14:paraId="5021F6D7" w14:textId="77777777" w:rsidR="00C5732F" w:rsidRPr="00CB6395" w:rsidRDefault="00C5732F" w:rsidP="008C7497">
            <w:pPr>
              <w:pStyle w:val="Tabletext"/>
            </w:pPr>
            <w:r w:rsidRPr="00CB6395">
              <w:t>Authority Required – In Writing</w:t>
            </w:r>
          </w:p>
        </w:tc>
      </w:tr>
      <w:tr w:rsidR="00C5732F" w:rsidRPr="00CB6395" w14:paraId="6D230105"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3391FAC0" w14:textId="77777777" w:rsidR="00C5732F" w:rsidRPr="00CB6395" w:rsidRDefault="00C5732F" w:rsidP="008C7497">
            <w:pPr>
              <w:pStyle w:val="Tabletext"/>
            </w:pPr>
            <w:r w:rsidRPr="00CB6395">
              <w:t>Treatment criteria:</w:t>
            </w:r>
          </w:p>
        </w:tc>
        <w:tc>
          <w:tcPr>
            <w:tcW w:w="3747" w:type="pct"/>
            <w:gridSpan w:val="6"/>
            <w:tcBorders>
              <w:top w:val="single" w:sz="4" w:space="0" w:color="auto"/>
              <w:left w:val="single" w:sz="4" w:space="0" w:color="auto"/>
              <w:bottom w:val="single" w:sz="4" w:space="0" w:color="auto"/>
              <w:right w:val="single" w:sz="4" w:space="0" w:color="auto"/>
            </w:tcBorders>
          </w:tcPr>
          <w:p w14:paraId="024D5E30" w14:textId="77777777" w:rsidR="00C5732F" w:rsidRPr="00CB6395" w:rsidRDefault="00C5732F" w:rsidP="008C7497">
            <w:pPr>
              <w:pStyle w:val="Tabletext"/>
            </w:pPr>
            <w:r w:rsidRPr="00CB6395">
              <w:t>Must be treated by an endocrinologist</w:t>
            </w:r>
          </w:p>
        </w:tc>
      </w:tr>
      <w:tr w:rsidR="00C5732F" w:rsidRPr="00CB6395" w14:paraId="76CB928F"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72EB15C0" w14:textId="77777777" w:rsidR="00C5732F" w:rsidRPr="00CB6395" w:rsidRDefault="00C5732F" w:rsidP="008C7497">
            <w:pPr>
              <w:pStyle w:val="Tabletext"/>
            </w:pPr>
            <w:r w:rsidRPr="00CB6395">
              <w:t>Clinical criteria:</w:t>
            </w:r>
          </w:p>
        </w:tc>
        <w:tc>
          <w:tcPr>
            <w:tcW w:w="3747" w:type="pct"/>
            <w:gridSpan w:val="6"/>
            <w:tcBorders>
              <w:top w:val="single" w:sz="4" w:space="0" w:color="auto"/>
              <w:left w:val="single" w:sz="4" w:space="0" w:color="auto"/>
              <w:bottom w:val="single" w:sz="4" w:space="0" w:color="auto"/>
              <w:right w:val="single" w:sz="4" w:space="0" w:color="auto"/>
            </w:tcBorders>
          </w:tcPr>
          <w:p w14:paraId="3FAE5E1C" w14:textId="77777777"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Patient must have adult-onset growth hormone deficiency secondary to organic hypothalamic or pituitary disease, AND</w:t>
            </w:r>
          </w:p>
          <w:p w14:paraId="1F5D3FA6" w14:textId="77777777"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 xml:space="preserve">Patient must have an insulin tolerance test with maximum serum growth hormone (GH) less than 2.5 micrograms per </w:t>
            </w:r>
            <w:proofErr w:type="gramStart"/>
            <w:r w:rsidRPr="00CB6395">
              <w:rPr>
                <w:rFonts w:eastAsia="Arial Narrow" w:cs="Arial Narrow"/>
                <w:bCs w:val="0"/>
                <w:color w:val="000000" w:themeColor="text1"/>
                <w:szCs w:val="20"/>
              </w:rPr>
              <w:t>litre;</w:t>
            </w:r>
            <w:proofErr w:type="gramEnd"/>
            <w:r w:rsidRPr="00CB6395">
              <w:rPr>
                <w:rFonts w:eastAsia="Arial Narrow" w:cs="Arial Narrow"/>
                <w:bCs w:val="0"/>
                <w:color w:val="000000" w:themeColor="text1"/>
                <w:szCs w:val="20"/>
              </w:rPr>
              <w:t xml:space="preserve"> OR</w:t>
            </w:r>
          </w:p>
          <w:p w14:paraId="575F9739" w14:textId="77777777"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 xml:space="preserve">Patient must have an arginine infusion test with maximum serum GH less than 0.4 micrograms per </w:t>
            </w:r>
            <w:proofErr w:type="gramStart"/>
            <w:r w:rsidRPr="00CB6395">
              <w:rPr>
                <w:rFonts w:eastAsia="Arial Narrow" w:cs="Arial Narrow"/>
                <w:bCs w:val="0"/>
                <w:color w:val="000000" w:themeColor="text1"/>
                <w:szCs w:val="20"/>
              </w:rPr>
              <w:t>litre;</w:t>
            </w:r>
            <w:proofErr w:type="gramEnd"/>
            <w:r w:rsidRPr="00CB6395">
              <w:rPr>
                <w:rFonts w:eastAsia="Arial Narrow" w:cs="Arial Narrow"/>
                <w:bCs w:val="0"/>
                <w:color w:val="000000" w:themeColor="text1"/>
                <w:szCs w:val="20"/>
              </w:rPr>
              <w:t xml:space="preserve"> OR</w:t>
            </w:r>
          </w:p>
          <w:p w14:paraId="09395055" w14:textId="77777777"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Patient must have a glucagon provocation test with maximum serum GH less than 3 micrograms per litre</w:t>
            </w:r>
          </w:p>
        </w:tc>
      </w:tr>
      <w:tr w:rsidR="00C5732F" w:rsidRPr="00CB6395" w14:paraId="54E1D698"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tcPr>
          <w:p w14:paraId="7AC2754D" w14:textId="77777777" w:rsidR="00C5732F" w:rsidRPr="00CB6395" w:rsidRDefault="00C5732F" w:rsidP="008C7497">
            <w:pPr>
              <w:pStyle w:val="Tabletext"/>
            </w:pPr>
            <w:r w:rsidRPr="00CB6395">
              <w:t>Population criteria:</w:t>
            </w:r>
          </w:p>
        </w:tc>
        <w:tc>
          <w:tcPr>
            <w:tcW w:w="3747" w:type="pct"/>
            <w:gridSpan w:val="6"/>
            <w:tcBorders>
              <w:top w:val="single" w:sz="4" w:space="0" w:color="auto"/>
              <w:left w:val="single" w:sz="4" w:space="0" w:color="auto"/>
              <w:bottom w:val="single" w:sz="4" w:space="0" w:color="auto"/>
              <w:right w:val="single" w:sz="4" w:space="0" w:color="auto"/>
            </w:tcBorders>
          </w:tcPr>
          <w:p w14:paraId="111B06D5" w14:textId="685EF4B2" w:rsidR="00C5732F" w:rsidRPr="00CB6395" w:rsidRDefault="00C5732F" w:rsidP="008C7497">
            <w:pPr>
              <w:pStyle w:val="Tabletext"/>
              <w:rPr>
                <w:color w:val="000000"/>
              </w:rPr>
            </w:pPr>
            <w:r w:rsidRPr="00CB6395">
              <w:rPr>
                <w:color w:val="000000" w:themeColor="text1"/>
              </w:rPr>
              <w:t>Patient must be aged 18 years o</w:t>
            </w:r>
            <w:r w:rsidR="0054400A">
              <w:rPr>
                <w:color w:val="000000" w:themeColor="text1"/>
              </w:rPr>
              <w:t>r</w:t>
            </w:r>
            <w:r w:rsidRPr="00CB6395">
              <w:rPr>
                <w:color w:val="000000" w:themeColor="text1"/>
              </w:rPr>
              <w:t xml:space="preserve"> older. </w:t>
            </w:r>
          </w:p>
        </w:tc>
      </w:tr>
      <w:tr w:rsidR="00C5732F" w:rsidRPr="00CB6395" w14:paraId="2FE30E50" w14:textId="77777777" w:rsidTr="008C74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14:paraId="76F26E6A" w14:textId="61B43414" w:rsidR="00C5732F" w:rsidRPr="00CB6395" w:rsidRDefault="00C5732F" w:rsidP="008C7497">
            <w:pPr>
              <w:pStyle w:val="Tabletext"/>
            </w:pPr>
            <w:r w:rsidRPr="00CB6395">
              <w:t xml:space="preserve">Prescriber </w:t>
            </w:r>
            <w:r w:rsidR="00E151ED" w:rsidRPr="00CB6395">
              <w:t>instructions</w:t>
            </w:r>
            <w:r w:rsidRPr="00CB6395">
              <w:t>:</w:t>
            </w:r>
          </w:p>
        </w:tc>
        <w:tc>
          <w:tcPr>
            <w:tcW w:w="3747" w:type="pct"/>
            <w:gridSpan w:val="6"/>
            <w:tcBorders>
              <w:top w:val="single" w:sz="4" w:space="0" w:color="auto"/>
              <w:left w:val="single" w:sz="4" w:space="0" w:color="auto"/>
              <w:bottom w:val="single" w:sz="4" w:space="0" w:color="auto"/>
              <w:right w:val="single" w:sz="4" w:space="0" w:color="auto"/>
            </w:tcBorders>
          </w:tcPr>
          <w:p w14:paraId="2F60C792" w14:textId="77777777" w:rsidR="00E151ED" w:rsidRPr="00CB6395" w:rsidRDefault="00E151ED" w:rsidP="00E151ED">
            <w:pPr>
              <w:pStyle w:val="Tabletext"/>
              <w:rPr>
                <w:color w:val="000000"/>
              </w:rPr>
            </w:pPr>
            <w:r w:rsidRPr="00CB6395">
              <w:rPr>
                <w:color w:val="000000"/>
              </w:rPr>
              <w:t>Grandfathered patient who has previously received non-PBS subsidised treatment with this drug for this condition prior to 1 December 2018 must have met all the initial restriction criteria prior to initiating non-PBS subsidised treatment. Additional information of a baseline serum IGF-1 measurement, including the date of testing and laboratory reference range for age and sex, of less than 12 weeks prior to initiating non-PBS subsidised treatment with this drug for this condition must be provided at the time of application. A Grandfathered patient may qualify for PBS-subsidised treatment under this restriction once only. For continuing PBS-subsidised treatment, a Grandfathered patient must qualify under the Continuing treatment criteria.</w:t>
            </w:r>
          </w:p>
          <w:p w14:paraId="499A13A2" w14:textId="77777777" w:rsidR="000449CE" w:rsidRDefault="000449CE" w:rsidP="00E151ED">
            <w:pPr>
              <w:pStyle w:val="Tabletext"/>
              <w:rPr>
                <w:color w:val="000000"/>
              </w:rPr>
            </w:pPr>
          </w:p>
          <w:p w14:paraId="38D1A525" w14:textId="77777777" w:rsidR="00E151ED" w:rsidRPr="00CB6395" w:rsidRDefault="00E151ED" w:rsidP="00E151ED">
            <w:pPr>
              <w:pStyle w:val="Tabletext"/>
              <w:rPr>
                <w:color w:val="000000"/>
              </w:rPr>
            </w:pPr>
            <w:r w:rsidRPr="00CB6395">
              <w:rPr>
                <w:color w:val="000000"/>
              </w:rPr>
              <w:t>The authority application must be in writing and must include:</w:t>
            </w:r>
          </w:p>
          <w:p w14:paraId="36F0012C" w14:textId="77777777" w:rsidR="000449CE" w:rsidRDefault="000449CE" w:rsidP="00E151ED">
            <w:pPr>
              <w:pStyle w:val="Tabletext"/>
              <w:rPr>
                <w:color w:val="000000"/>
              </w:rPr>
            </w:pPr>
          </w:p>
          <w:p w14:paraId="2894CC53" w14:textId="77777777" w:rsidR="00E151ED" w:rsidRPr="00CB6395" w:rsidRDefault="00E151ED" w:rsidP="00E151ED">
            <w:pPr>
              <w:pStyle w:val="Tabletext"/>
              <w:rPr>
                <w:color w:val="000000"/>
              </w:rPr>
            </w:pPr>
            <w:r w:rsidRPr="00CB6395">
              <w:rPr>
                <w:color w:val="000000"/>
              </w:rPr>
              <w:t>A completed authority prescription form; AND</w:t>
            </w:r>
          </w:p>
          <w:p w14:paraId="6F6F4D0A" w14:textId="77777777" w:rsidR="00E151ED" w:rsidRPr="00CB6395" w:rsidRDefault="00E151ED" w:rsidP="00E151ED">
            <w:pPr>
              <w:pStyle w:val="Tabletext"/>
              <w:rPr>
                <w:color w:val="000000"/>
              </w:rPr>
            </w:pPr>
            <w:r w:rsidRPr="00CB6395">
              <w:rPr>
                <w:color w:val="000000"/>
              </w:rPr>
              <w:t>A completed Severe Growth Hormone Deficiency supporting information form; AND</w:t>
            </w:r>
          </w:p>
          <w:p w14:paraId="4D82D99C" w14:textId="1BEB5E03" w:rsidR="00C5732F" w:rsidRPr="00CB6395" w:rsidRDefault="00E151ED" w:rsidP="008C7497">
            <w:pPr>
              <w:pStyle w:val="Tabletext"/>
              <w:rPr>
                <w:color w:val="000000"/>
              </w:rPr>
            </w:pPr>
            <w:r w:rsidRPr="00CB6395">
              <w:rPr>
                <w:color w:val="000000"/>
              </w:rPr>
              <w:t>Results of the growth hormone stimulation testing, including the date of testing, the type of test performed, the peak growth hormone concentration, and laboratory reference range for age/gender.</w:t>
            </w:r>
          </w:p>
        </w:tc>
      </w:tr>
    </w:tbl>
    <w:p w14:paraId="34A8E855" w14:textId="77777777" w:rsidR="00C5732F" w:rsidRPr="00CB6395" w:rsidRDefault="00C5732F" w:rsidP="00C5732F"/>
    <w:tbl>
      <w:tblPr>
        <w:tblW w:w="0" w:type="auto"/>
        <w:tblInd w:w="28" w:type="dxa"/>
        <w:tblLook w:val="0000" w:firstRow="0" w:lastRow="0" w:firstColumn="0" w:lastColumn="0" w:noHBand="0" w:noVBand="0"/>
      </w:tblPr>
      <w:tblGrid>
        <w:gridCol w:w="2253"/>
        <w:gridCol w:w="6732"/>
      </w:tblGrid>
      <w:tr w:rsidR="00C5732F" w:rsidRPr="00CB6395" w14:paraId="23C437BF"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4EE5D37A" w14:textId="77777777" w:rsidR="00C5732F" w:rsidRPr="00CB6395" w:rsidRDefault="00C5732F" w:rsidP="008C7497">
            <w:pPr>
              <w:pStyle w:val="Tabletext"/>
            </w:pPr>
            <w:r w:rsidRPr="00CB6395">
              <w:t>Category/Program:</w:t>
            </w:r>
          </w:p>
        </w:tc>
        <w:tc>
          <w:tcPr>
            <w:tcW w:w="6732" w:type="dxa"/>
            <w:tcBorders>
              <w:top w:val="single" w:sz="4" w:space="0" w:color="auto"/>
              <w:left w:val="single" w:sz="4" w:space="0" w:color="auto"/>
              <w:bottom w:val="single" w:sz="4" w:space="0" w:color="auto"/>
              <w:right w:val="single" w:sz="4" w:space="0" w:color="auto"/>
            </w:tcBorders>
          </w:tcPr>
          <w:p w14:paraId="61EEDDEA" w14:textId="77777777" w:rsidR="00C5732F" w:rsidRPr="00CB6395" w:rsidRDefault="00C5732F" w:rsidP="008C7497">
            <w:pPr>
              <w:pStyle w:val="Tabletext"/>
              <w:spacing w:line="259" w:lineRule="auto"/>
              <w:rPr>
                <w:szCs w:val="20"/>
              </w:rPr>
            </w:pPr>
            <w:r w:rsidRPr="00CB6395">
              <w:t>Section 100 – Growth Hormone Program</w:t>
            </w:r>
          </w:p>
        </w:tc>
      </w:tr>
      <w:tr w:rsidR="00C5732F" w:rsidRPr="00CB6395" w14:paraId="64DF1161"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399B56C8" w14:textId="77777777" w:rsidR="00C5732F" w:rsidRPr="00CB6395" w:rsidRDefault="00C5732F" w:rsidP="008C7497">
            <w:pPr>
              <w:pStyle w:val="Tabletext"/>
            </w:pPr>
            <w:r w:rsidRPr="00CB6395">
              <w:t>PBS indication:</w:t>
            </w:r>
          </w:p>
        </w:tc>
        <w:tc>
          <w:tcPr>
            <w:tcW w:w="6732" w:type="dxa"/>
            <w:tcBorders>
              <w:top w:val="single" w:sz="4" w:space="0" w:color="auto"/>
              <w:left w:val="single" w:sz="4" w:space="0" w:color="auto"/>
              <w:bottom w:val="single" w:sz="4" w:space="0" w:color="auto"/>
              <w:right w:val="single" w:sz="4" w:space="0" w:color="auto"/>
            </w:tcBorders>
          </w:tcPr>
          <w:p w14:paraId="175CF992" w14:textId="77777777" w:rsidR="00C5732F" w:rsidRPr="00CB6395" w:rsidRDefault="00C5732F" w:rsidP="008C7497">
            <w:pPr>
              <w:pStyle w:val="Tabletext"/>
              <w:spacing w:line="259" w:lineRule="auto"/>
              <w:rPr>
                <w:szCs w:val="20"/>
              </w:rPr>
            </w:pPr>
            <w:r w:rsidRPr="00CB6395">
              <w:t xml:space="preserve">Severe growth hormone deficiency </w:t>
            </w:r>
          </w:p>
        </w:tc>
      </w:tr>
      <w:tr w:rsidR="00C5732F" w:rsidRPr="00CB6395" w14:paraId="70107077"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5CAAB10B" w14:textId="77777777" w:rsidR="00C5732F" w:rsidRPr="00CB6395" w:rsidRDefault="00C5732F" w:rsidP="008C7497">
            <w:pPr>
              <w:pStyle w:val="Tabletext"/>
            </w:pPr>
            <w:r w:rsidRPr="00CB6395">
              <w:t>Treatment phase:</w:t>
            </w:r>
          </w:p>
        </w:tc>
        <w:tc>
          <w:tcPr>
            <w:tcW w:w="6732" w:type="dxa"/>
            <w:tcBorders>
              <w:top w:val="single" w:sz="4" w:space="0" w:color="auto"/>
              <w:left w:val="single" w:sz="4" w:space="0" w:color="auto"/>
              <w:bottom w:val="single" w:sz="4" w:space="0" w:color="auto"/>
              <w:right w:val="single" w:sz="4" w:space="0" w:color="auto"/>
            </w:tcBorders>
          </w:tcPr>
          <w:p w14:paraId="1B56E809" w14:textId="77777777" w:rsidR="00C5732F" w:rsidRPr="00CB6395" w:rsidRDefault="00C5732F" w:rsidP="008C7497">
            <w:pPr>
              <w:pStyle w:val="Tabletext"/>
            </w:pPr>
            <w:r w:rsidRPr="00CB6395">
              <w:t xml:space="preserve">Continuing treatment in a person with a mature skeleton or aged 18 years or older </w:t>
            </w:r>
          </w:p>
        </w:tc>
      </w:tr>
      <w:tr w:rsidR="00C5732F" w:rsidRPr="00CB6395" w14:paraId="5A6D065A"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41B78535" w14:textId="77777777" w:rsidR="00C5732F" w:rsidRPr="00CB6395" w:rsidRDefault="00C5732F" w:rsidP="008C7497">
            <w:pPr>
              <w:pStyle w:val="Tabletext"/>
            </w:pPr>
            <w:r w:rsidRPr="00CB6395">
              <w:t>Restriction:</w:t>
            </w:r>
          </w:p>
        </w:tc>
        <w:tc>
          <w:tcPr>
            <w:tcW w:w="6732" w:type="dxa"/>
            <w:tcBorders>
              <w:top w:val="single" w:sz="4" w:space="0" w:color="auto"/>
              <w:left w:val="single" w:sz="4" w:space="0" w:color="auto"/>
              <w:bottom w:val="single" w:sz="4" w:space="0" w:color="auto"/>
              <w:right w:val="single" w:sz="4" w:space="0" w:color="auto"/>
            </w:tcBorders>
          </w:tcPr>
          <w:p w14:paraId="387E2563" w14:textId="77777777" w:rsidR="00C5732F" w:rsidRPr="00CB6395" w:rsidRDefault="00C5732F" w:rsidP="008C7497">
            <w:pPr>
              <w:pStyle w:val="Tabletext"/>
            </w:pPr>
            <w:r w:rsidRPr="00CB6395">
              <w:t>Authority Required – In Writing</w:t>
            </w:r>
          </w:p>
        </w:tc>
      </w:tr>
      <w:tr w:rsidR="00C5732F" w:rsidRPr="00CB6395" w14:paraId="017F380D"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23999E29" w14:textId="77777777" w:rsidR="00C5732F" w:rsidRPr="00CB6395" w:rsidRDefault="00C5732F" w:rsidP="008C7497">
            <w:pPr>
              <w:pStyle w:val="Tabletext"/>
            </w:pPr>
            <w:r w:rsidRPr="00CB6395">
              <w:t>Treatment criteria:</w:t>
            </w:r>
          </w:p>
        </w:tc>
        <w:tc>
          <w:tcPr>
            <w:tcW w:w="6732" w:type="dxa"/>
            <w:tcBorders>
              <w:top w:val="single" w:sz="4" w:space="0" w:color="auto"/>
              <w:left w:val="single" w:sz="4" w:space="0" w:color="auto"/>
              <w:bottom w:val="single" w:sz="4" w:space="0" w:color="auto"/>
              <w:right w:val="single" w:sz="4" w:space="0" w:color="auto"/>
            </w:tcBorders>
          </w:tcPr>
          <w:p w14:paraId="57556136" w14:textId="77777777" w:rsidR="00C5732F" w:rsidRPr="00CB6395" w:rsidRDefault="00C5732F" w:rsidP="008C7497">
            <w:pPr>
              <w:pStyle w:val="Tabletext"/>
            </w:pPr>
            <w:r w:rsidRPr="00CB6395">
              <w:t>Must be treated by an endocrinologist</w:t>
            </w:r>
          </w:p>
        </w:tc>
      </w:tr>
      <w:tr w:rsidR="00C5732F" w:rsidRPr="00CB6395" w14:paraId="4119457F"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0895FFA0" w14:textId="77777777" w:rsidR="00C5732F" w:rsidRPr="00CB6395" w:rsidRDefault="00C5732F" w:rsidP="008C7497">
            <w:pPr>
              <w:pStyle w:val="Tabletext"/>
            </w:pPr>
            <w:r w:rsidRPr="00CB6395">
              <w:t>Clinical criteria:</w:t>
            </w:r>
          </w:p>
        </w:tc>
        <w:tc>
          <w:tcPr>
            <w:tcW w:w="6732" w:type="dxa"/>
            <w:tcBorders>
              <w:top w:val="single" w:sz="4" w:space="0" w:color="auto"/>
              <w:left w:val="single" w:sz="4" w:space="0" w:color="auto"/>
              <w:bottom w:val="single" w:sz="4" w:space="0" w:color="auto"/>
              <w:right w:val="single" w:sz="4" w:space="0" w:color="auto"/>
            </w:tcBorders>
          </w:tcPr>
          <w:p w14:paraId="4D9F30D6" w14:textId="77777777" w:rsidR="000449CE"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The patient has previously received PBS subsidised therapy with this drug for this condition under an initial treatment restriction applying to:</w:t>
            </w:r>
          </w:p>
          <w:p w14:paraId="6F61222D" w14:textId="77777777" w:rsidR="000449CE"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 xml:space="preserve">A documented childhood-onset growth hormone deficiency due to a congenital, </w:t>
            </w:r>
            <w:proofErr w:type="gramStart"/>
            <w:r w:rsidRPr="00CB6395">
              <w:rPr>
                <w:rFonts w:eastAsia="Arial Narrow" w:cs="Arial Narrow"/>
                <w:bCs w:val="0"/>
                <w:color w:val="000000" w:themeColor="text1"/>
                <w:szCs w:val="20"/>
              </w:rPr>
              <w:t>genetic</w:t>
            </w:r>
            <w:proofErr w:type="gramEnd"/>
            <w:r w:rsidRPr="00CB6395">
              <w:rPr>
                <w:rFonts w:eastAsia="Arial Narrow" w:cs="Arial Narrow"/>
                <w:bCs w:val="0"/>
                <w:color w:val="000000" w:themeColor="text1"/>
                <w:szCs w:val="20"/>
              </w:rPr>
              <w:t xml:space="preserve"> or structural cause in a patient aged 18 years or older; OR</w:t>
            </w:r>
          </w:p>
          <w:p w14:paraId="581F3AA2" w14:textId="6F21665E" w:rsidR="00C5732F" w:rsidRPr="00CB6395" w:rsidRDefault="00C5732F" w:rsidP="008C7497">
            <w:pPr>
              <w:pStyle w:val="TableText0"/>
              <w:rPr>
                <w:rFonts w:eastAsia="Arial Narrow" w:cs="Arial Narrow"/>
                <w:bCs w:val="0"/>
                <w:color w:val="000000" w:themeColor="text1"/>
                <w:szCs w:val="20"/>
              </w:rPr>
            </w:pPr>
            <w:r w:rsidRPr="00CB6395">
              <w:rPr>
                <w:rFonts w:eastAsia="Arial Narrow" w:cs="Arial Narrow"/>
                <w:bCs w:val="0"/>
                <w:color w:val="000000" w:themeColor="text1"/>
                <w:szCs w:val="20"/>
              </w:rPr>
              <w:t>Adult-onset growth hormone deficiency secondary to organic hypothalamic or pituitary disease in a patient aged 18 years or older.</w:t>
            </w:r>
          </w:p>
        </w:tc>
      </w:tr>
      <w:tr w:rsidR="00C5732F" w:rsidRPr="00CB6395" w14:paraId="1AFB23F5" w14:textId="77777777" w:rsidTr="008C7497">
        <w:trPr>
          <w:trHeight w:val="300"/>
        </w:trPr>
        <w:tc>
          <w:tcPr>
            <w:tcW w:w="2253" w:type="dxa"/>
            <w:tcBorders>
              <w:top w:val="single" w:sz="4" w:space="0" w:color="auto"/>
              <w:left w:val="single" w:sz="4" w:space="0" w:color="auto"/>
              <w:bottom w:val="single" w:sz="4" w:space="0" w:color="auto"/>
              <w:right w:val="single" w:sz="4" w:space="0" w:color="auto"/>
            </w:tcBorders>
          </w:tcPr>
          <w:p w14:paraId="018C0184" w14:textId="77777777" w:rsidR="00C5732F" w:rsidRPr="00CB6395" w:rsidRDefault="00C5732F" w:rsidP="008C7497">
            <w:pPr>
              <w:pStyle w:val="Tabletext"/>
            </w:pPr>
            <w:r w:rsidRPr="00CB6395">
              <w:t>Population criteria:</w:t>
            </w:r>
          </w:p>
        </w:tc>
        <w:tc>
          <w:tcPr>
            <w:tcW w:w="6732" w:type="dxa"/>
            <w:tcBorders>
              <w:top w:val="single" w:sz="4" w:space="0" w:color="auto"/>
              <w:left w:val="single" w:sz="4" w:space="0" w:color="auto"/>
              <w:bottom w:val="single" w:sz="4" w:space="0" w:color="auto"/>
              <w:right w:val="single" w:sz="4" w:space="0" w:color="auto"/>
            </w:tcBorders>
          </w:tcPr>
          <w:p w14:paraId="7322D966" w14:textId="2B3F12D0" w:rsidR="00C5732F" w:rsidRPr="00CB6395" w:rsidRDefault="00C5732F" w:rsidP="008C7497">
            <w:pPr>
              <w:pStyle w:val="Tabletext"/>
              <w:rPr>
                <w:color w:val="000000" w:themeColor="text1"/>
              </w:rPr>
            </w:pPr>
            <w:r w:rsidRPr="00CB6395">
              <w:rPr>
                <w:color w:val="000000" w:themeColor="text1"/>
              </w:rPr>
              <w:t>Patient must be aged 18 years o</w:t>
            </w:r>
            <w:r w:rsidR="0054400A">
              <w:rPr>
                <w:color w:val="000000" w:themeColor="text1"/>
              </w:rPr>
              <w:t>r</w:t>
            </w:r>
            <w:r w:rsidRPr="00CB6395">
              <w:rPr>
                <w:color w:val="000000" w:themeColor="text1"/>
              </w:rPr>
              <w:t xml:space="preserve"> older. </w:t>
            </w:r>
          </w:p>
        </w:tc>
      </w:tr>
      <w:tr w:rsidR="00C5732F" w:rsidRPr="00CB6395" w14:paraId="54684F5A" w14:textId="77777777" w:rsidTr="009652B0">
        <w:trPr>
          <w:cantSplit/>
          <w:trHeight w:val="300"/>
        </w:trPr>
        <w:tc>
          <w:tcPr>
            <w:tcW w:w="2253" w:type="dxa"/>
            <w:tcBorders>
              <w:top w:val="single" w:sz="4" w:space="0" w:color="auto"/>
              <w:left w:val="single" w:sz="4" w:space="0" w:color="auto"/>
              <w:bottom w:val="single" w:sz="4" w:space="0" w:color="auto"/>
              <w:right w:val="single" w:sz="4" w:space="0" w:color="auto"/>
            </w:tcBorders>
          </w:tcPr>
          <w:p w14:paraId="2F9F1D6F" w14:textId="71B04AB4" w:rsidR="00C5732F" w:rsidRPr="00CB6395" w:rsidRDefault="00C5732F" w:rsidP="008C7497">
            <w:pPr>
              <w:pStyle w:val="Tabletext"/>
            </w:pPr>
            <w:r w:rsidRPr="00CB6395">
              <w:t xml:space="preserve">Prescriber </w:t>
            </w:r>
            <w:r w:rsidR="00E151ED" w:rsidRPr="00CB6395">
              <w:t>instructions</w:t>
            </w:r>
            <w:r w:rsidRPr="00CB6395">
              <w:t>:</w:t>
            </w:r>
          </w:p>
        </w:tc>
        <w:tc>
          <w:tcPr>
            <w:tcW w:w="6732" w:type="dxa"/>
            <w:tcBorders>
              <w:top w:val="single" w:sz="4" w:space="0" w:color="auto"/>
              <w:left w:val="single" w:sz="4" w:space="0" w:color="auto"/>
              <w:bottom w:val="single" w:sz="4" w:space="0" w:color="auto"/>
              <w:right w:val="single" w:sz="4" w:space="0" w:color="auto"/>
            </w:tcBorders>
          </w:tcPr>
          <w:p w14:paraId="3B55B42C" w14:textId="77777777" w:rsidR="007F4397" w:rsidRPr="00CB6395" w:rsidRDefault="007F4397" w:rsidP="007F4397">
            <w:pPr>
              <w:pStyle w:val="Tabletext"/>
              <w:rPr>
                <w:color w:val="000000" w:themeColor="text1"/>
              </w:rPr>
            </w:pPr>
            <w:r w:rsidRPr="00CB6395">
              <w:rPr>
                <w:color w:val="000000" w:themeColor="text1"/>
              </w:rPr>
              <w:t>The authority application must be in writing and must include:</w:t>
            </w:r>
          </w:p>
          <w:p w14:paraId="0FC65303" w14:textId="77777777" w:rsidR="000449CE" w:rsidRDefault="000449CE" w:rsidP="007F4397">
            <w:pPr>
              <w:pStyle w:val="Tabletext"/>
              <w:rPr>
                <w:color w:val="000000" w:themeColor="text1"/>
              </w:rPr>
            </w:pPr>
          </w:p>
          <w:p w14:paraId="7A032A69" w14:textId="77777777" w:rsidR="007F4397" w:rsidRPr="00CB6395" w:rsidRDefault="007F4397" w:rsidP="007F4397">
            <w:pPr>
              <w:pStyle w:val="Tabletext"/>
              <w:rPr>
                <w:color w:val="000000" w:themeColor="text1"/>
              </w:rPr>
            </w:pPr>
            <w:r w:rsidRPr="00CB6395">
              <w:rPr>
                <w:color w:val="000000" w:themeColor="text1"/>
              </w:rPr>
              <w:t>A completed authority prescription form; AND</w:t>
            </w:r>
          </w:p>
          <w:p w14:paraId="06390458" w14:textId="667EF7C0" w:rsidR="00C5732F" w:rsidRPr="00CB6395" w:rsidRDefault="007F4397" w:rsidP="008C7497">
            <w:pPr>
              <w:pStyle w:val="Tabletext"/>
              <w:rPr>
                <w:color w:val="000000" w:themeColor="text1"/>
              </w:rPr>
            </w:pPr>
            <w:r w:rsidRPr="00CB6395">
              <w:rPr>
                <w:color w:val="000000" w:themeColor="text1"/>
              </w:rPr>
              <w:t>A completed Severe Growth Hormone Deficiency supporting information</w:t>
            </w:r>
          </w:p>
        </w:tc>
      </w:tr>
    </w:tbl>
    <w:p w14:paraId="40B9100E" w14:textId="77777777" w:rsidR="00C5732F" w:rsidRPr="00CB6395" w:rsidRDefault="00C5732F" w:rsidP="00C5732F"/>
    <w:p w14:paraId="23F29E68" w14:textId="36723604" w:rsidR="00FE651F" w:rsidRPr="00FE651F" w:rsidRDefault="0060691D" w:rsidP="00FE651F">
      <w:pPr>
        <w:pStyle w:val="3-BodyText"/>
        <w:rPr>
          <w:iCs/>
        </w:rPr>
      </w:pPr>
      <w:r>
        <w:t>W</w:t>
      </w:r>
      <w:r w:rsidR="00C5732F" w:rsidRPr="003214C3">
        <w:t xml:space="preserve">hile somatropin is PBS-listed in a variety of formulations </w:t>
      </w:r>
      <w:r w:rsidR="00F77728">
        <w:t>with</w:t>
      </w:r>
      <w:r w:rsidR="00C5732F" w:rsidRPr="003214C3">
        <w:t xml:space="preserve"> varying strengths, the proposed PBS listing for </w:t>
      </w:r>
      <w:proofErr w:type="spellStart"/>
      <w:r w:rsidR="00C5732F" w:rsidRPr="003214C3">
        <w:t>somapacitan</w:t>
      </w:r>
      <w:proofErr w:type="spellEnd"/>
      <w:r w:rsidR="00C5732F" w:rsidRPr="003214C3">
        <w:t xml:space="preserve"> is for </w:t>
      </w:r>
      <w:r w:rsidR="0090196C">
        <w:t>a single</w:t>
      </w:r>
      <w:r w:rsidR="0090196C" w:rsidRPr="003214C3">
        <w:t xml:space="preserve"> </w:t>
      </w:r>
      <w:r w:rsidR="00C5732F" w:rsidRPr="003214C3">
        <w:t>formulation (6.7</w:t>
      </w:r>
      <w:r w:rsidR="00DE5DB0" w:rsidRPr="003214C3">
        <w:t> </w:t>
      </w:r>
      <w:r w:rsidR="00C5732F" w:rsidRPr="003214C3">
        <w:t>mg/1</w:t>
      </w:r>
      <w:r w:rsidR="00DE5DB0" w:rsidRPr="003214C3">
        <w:t> </w:t>
      </w:r>
      <w:r w:rsidR="00C5732F" w:rsidRPr="003214C3">
        <w:t>mL [10</w:t>
      </w:r>
      <w:r w:rsidR="000509C1">
        <w:t> </w:t>
      </w:r>
      <w:r w:rsidR="00C5732F" w:rsidRPr="003214C3">
        <w:t>mg/1.5</w:t>
      </w:r>
      <w:r w:rsidR="000509C1">
        <w:t> </w:t>
      </w:r>
      <w:r w:rsidR="00C5732F" w:rsidRPr="003214C3">
        <w:t>mL device]) of a pre-filled multi-dose disposable pen</w:t>
      </w:r>
      <w:r w:rsidR="0055025B" w:rsidRPr="003214C3">
        <w:t>.</w:t>
      </w:r>
      <w:r w:rsidR="00C5732F" w:rsidRPr="003214C3">
        <w:t xml:space="preserve"> </w:t>
      </w:r>
      <w:r w:rsidR="0055025B" w:rsidRPr="003214C3">
        <w:t>T</w:t>
      </w:r>
      <w:r w:rsidR="00C5732F" w:rsidRPr="003214C3">
        <w:t>herefore</w:t>
      </w:r>
      <w:r w:rsidR="0055025B" w:rsidRPr="003214C3">
        <w:t>,</w:t>
      </w:r>
      <w:r w:rsidR="00C5732F" w:rsidRPr="003214C3">
        <w:t xml:space="preserve"> the frequency of dispensing </w:t>
      </w:r>
      <w:proofErr w:type="spellStart"/>
      <w:r w:rsidR="0055025B" w:rsidRPr="003214C3">
        <w:t>somapacitan</w:t>
      </w:r>
      <w:proofErr w:type="spellEnd"/>
      <w:r w:rsidR="0055025B" w:rsidRPr="003214C3">
        <w:t xml:space="preserve"> </w:t>
      </w:r>
      <w:r w:rsidR="00C5732F" w:rsidRPr="003214C3">
        <w:t>will vary depending on the patient’s individual weekly dose.</w:t>
      </w:r>
      <w:r w:rsidR="00E70F03" w:rsidRPr="003214C3">
        <w:rPr>
          <w:rFonts w:eastAsiaTheme="minorEastAsia"/>
          <w:iCs/>
        </w:rPr>
        <w:t xml:space="preserve"> </w:t>
      </w:r>
      <w:r w:rsidR="00DB5BE2" w:rsidRPr="003214C3">
        <w:rPr>
          <w:iCs/>
        </w:rPr>
        <w:t xml:space="preserve">The REAL-1 study demonstrated a mean dose of </w:t>
      </w:r>
      <w:proofErr w:type="spellStart"/>
      <w:r w:rsidR="00DB5BE2" w:rsidRPr="003214C3">
        <w:rPr>
          <w:iCs/>
        </w:rPr>
        <w:t>somapacitan</w:t>
      </w:r>
      <w:proofErr w:type="spellEnd"/>
      <w:r w:rsidR="00DB5BE2" w:rsidRPr="003214C3">
        <w:rPr>
          <w:iCs/>
        </w:rPr>
        <w:t xml:space="preserve"> (following dose adjustments) of 2.</w:t>
      </w:r>
      <w:r w:rsidR="00FA2764" w:rsidRPr="003214C3">
        <w:rPr>
          <w:iCs/>
        </w:rPr>
        <w:t>33</w:t>
      </w:r>
      <w:r w:rsidR="00FA2764">
        <w:rPr>
          <w:iCs/>
        </w:rPr>
        <w:t> </w:t>
      </w:r>
      <w:r w:rsidR="00DB5BE2" w:rsidRPr="003214C3">
        <w:rPr>
          <w:iCs/>
        </w:rPr>
        <w:t>mg per week</w:t>
      </w:r>
      <w:r w:rsidR="00B16768">
        <w:rPr>
          <w:iCs/>
        </w:rPr>
        <w:t>,</w:t>
      </w:r>
      <w:r w:rsidR="00EA3A86">
        <w:rPr>
          <w:iCs/>
        </w:rPr>
        <w:t xml:space="preserve"> where t</w:t>
      </w:r>
      <w:r w:rsidR="00DB5BE2" w:rsidRPr="003214C3">
        <w:rPr>
          <w:iCs/>
        </w:rPr>
        <w:t xml:space="preserve">he minimum and maximum doses of </w:t>
      </w:r>
      <w:proofErr w:type="spellStart"/>
      <w:r w:rsidR="00DB5BE2" w:rsidRPr="003214C3">
        <w:rPr>
          <w:iCs/>
        </w:rPr>
        <w:t>somapacitan</w:t>
      </w:r>
      <w:proofErr w:type="spellEnd"/>
      <w:r w:rsidR="00DB5BE2" w:rsidRPr="003214C3">
        <w:rPr>
          <w:iCs/>
        </w:rPr>
        <w:t xml:space="preserve"> were set to 0.</w:t>
      </w:r>
      <w:r w:rsidR="00FA2764" w:rsidRPr="003214C3">
        <w:rPr>
          <w:iCs/>
        </w:rPr>
        <w:t>1</w:t>
      </w:r>
      <w:r w:rsidR="00FA2764">
        <w:rPr>
          <w:iCs/>
        </w:rPr>
        <w:t> </w:t>
      </w:r>
      <w:r w:rsidR="00DB5BE2" w:rsidRPr="003214C3">
        <w:rPr>
          <w:iCs/>
        </w:rPr>
        <w:t xml:space="preserve">mg and </w:t>
      </w:r>
      <w:r w:rsidR="00FA2764" w:rsidRPr="003214C3">
        <w:rPr>
          <w:iCs/>
        </w:rPr>
        <w:t>8</w:t>
      </w:r>
      <w:r w:rsidR="00FA2764">
        <w:rPr>
          <w:iCs/>
        </w:rPr>
        <w:t> </w:t>
      </w:r>
      <w:r w:rsidR="00DB5BE2" w:rsidRPr="003214C3">
        <w:rPr>
          <w:iCs/>
        </w:rPr>
        <w:t xml:space="preserve">mg weekly, respectively. </w:t>
      </w:r>
      <w:r w:rsidR="00DB5BE2">
        <w:rPr>
          <w:rFonts w:eastAsiaTheme="minorEastAsia"/>
          <w:iCs/>
        </w:rPr>
        <w:t xml:space="preserve">It was noted in the evaluation that </w:t>
      </w:r>
      <w:r w:rsidR="00DB5BE2">
        <w:t>i</w:t>
      </w:r>
      <w:r w:rsidR="00C5732F" w:rsidRPr="003214C3">
        <w:t xml:space="preserve">t </w:t>
      </w:r>
      <w:r w:rsidR="0090196C">
        <w:t>wa</w:t>
      </w:r>
      <w:r w:rsidR="0090196C" w:rsidRPr="003214C3">
        <w:t xml:space="preserve">s </w:t>
      </w:r>
      <w:r w:rsidR="00C5732F" w:rsidRPr="003214C3">
        <w:t xml:space="preserve">unclear </w:t>
      </w:r>
      <w:r w:rsidR="0090196C">
        <w:t xml:space="preserve">in the submission </w:t>
      </w:r>
      <w:r w:rsidR="00C5732F" w:rsidRPr="003214C3">
        <w:t xml:space="preserve">if patients would use </w:t>
      </w:r>
      <w:proofErr w:type="gramStart"/>
      <w:r w:rsidR="00C5732F" w:rsidRPr="003214C3">
        <w:t>all</w:t>
      </w:r>
      <w:r w:rsidR="0090196C">
        <w:t xml:space="preserve"> of</w:t>
      </w:r>
      <w:proofErr w:type="gramEnd"/>
      <w:r w:rsidR="00C5732F" w:rsidRPr="003214C3">
        <w:t xml:space="preserve"> the drug available in one pen before starting another </w:t>
      </w:r>
      <w:r w:rsidR="0090196C">
        <w:t>pen</w:t>
      </w:r>
      <w:r w:rsidR="0090196C" w:rsidRPr="003214C3">
        <w:t xml:space="preserve"> </w:t>
      </w:r>
      <w:r w:rsidR="00C5732F" w:rsidRPr="003214C3">
        <w:t>(which may necessitate two injections in one week to make up the correct dose).</w:t>
      </w:r>
      <w:r w:rsidR="00C5732F" w:rsidRPr="003214C3" w:rsidDel="00E835BE">
        <w:t xml:space="preserve"> </w:t>
      </w:r>
      <w:r w:rsidR="00DB5BE2">
        <w:rPr>
          <w:iCs/>
        </w:rPr>
        <w:t xml:space="preserve">The evaluation </w:t>
      </w:r>
      <w:r w:rsidR="001B7F5C">
        <w:rPr>
          <w:iCs/>
        </w:rPr>
        <w:t xml:space="preserve">also </w:t>
      </w:r>
      <w:r w:rsidR="00DB5BE2">
        <w:rPr>
          <w:iCs/>
        </w:rPr>
        <w:t>noted t</w:t>
      </w:r>
      <w:r w:rsidR="580A5F5C" w:rsidRPr="003214C3">
        <w:rPr>
          <w:iCs/>
        </w:rPr>
        <w:t xml:space="preserve">he possibility of taking a full dose of </w:t>
      </w:r>
      <w:proofErr w:type="spellStart"/>
      <w:r w:rsidR="580A5F5C" w:rsidRPr="003214C3">
        <w:rPr>
          <w:iCs/>
        </w:rPr>
        <w:t>somapacitan</w:t>
      </w:r>
      <w:proofErr w:type="spellEnd"/>
      <w:r w:rsidR="580A5F5C" w:rsidRPr="003214C3">
        <w:rPr>
          <w:iCs/>
        </w:rPr>
        <w:t xml:space="preserve"> using two different pens may represent</w:t>
      </w:r>
      <w:r w:rsidR="2B13D74F" w:rsidRPr="003214C3">
        <w:rPr>
          <w:iCs/>
        </w:rPr>
        <w:t xml:space="preserve"> an important </w:t>
      </w:r>
      <w:r w:rsidR="003F5111">
        <w:rPr>
          <w:iCs/>
        </w:rPr>
        <w:t>Q</w:t>
      </w:r>
      <w:r w:rsidR="003F5111" w:rsidRPr="003214C3">
        <w:rPr>
          <w:iCs/>
        </w:rPr>
        <w:t xml:space="preserve">uality </w:t>
      </w:r>
      <w:r w:rsidR="003F5111">
        <w:rPr>
          <w:iCs/>
        </w:rPr>
        <w:t>U</w:t>
      </w:r>
      <w:r w:rsidR="003F5111" w:rsidRPr="003214C3">
        <w:rPr>
          <w:iCs/>
        </w:rPr>
        <w:t xml:space="preserve">se </w:t>
      </w:r>
      <w:r w:rsidR="2B13D74F" w:rsidRPr="003214C3">
        <w:rPr>
          <w:iCs/>
        </w:rPr>
        <w:t xml:space="preserve">of </w:t>
      </w:r>
      <w:r w:rsidR="003F5111">
        <w:rPr>
          <w:iCs/>
        </w:rPr>
        <w:t>M</w:t>
      </w:r>
      <w:r w:rsidR="003F5111" w:rsidRPr="003214C3">
        <w:rPr>
          <w:iCs/>
        </w:rPr>
        <w:t>edicines</w:t>
      </w:r>
      <w:r w:rsidR="00F77728">
        <w:rPr>
          <w:iCs/>
        </w:rPr>
        <w:t xml:space="preserve"> (QUM)</w:t>
      </w:r>
      <w:r w:rsidR="003F5111" w:rsidRPr="003214C3">
        <w:rPr>
          <w:iCs/>
        </w:rPr>
        <w:t xml:space="preserve"> </w:t>
      </w:r>
      <w:r w:rsidR="2B13D74F" w:rsidRPr="003214C3">
        <w:rPr>
          <w:iCs/>
        </w:rPr>
        <w:t xml:space="preserve">issue, particularly </w:t>
      </w:r>
      <w:r w:rsidR="00755D80" w:rsidRPr="003214C3">
        <w:rPr>
          <w:iCs/>
        </w:rPr>
        <w:t>regarding</w:t>
      </w:r>
      <w:r w:rsidR="2B13D74F" w:rsidRPr="003214C3">
        <w:rPr>
          <w:iCs/>
        </w:rPr>
        <w:t xml:space="preserve"> minimis</w:t>
      </w:r>
      <w:r w:rsidR="40EF96FE" w:rsidRPr="003214C3">
        <w:rPr>
          <w:iCs/>
        </w:rPr>
        <w:t>ing</w:t>
      </w:r>
      <w:r w:rsidR="2B13D74F" w:rsidRPr="003214C3">
        <w:rPr>
          <w:iCs/>
        </w:rPr>
        <w:t xml:space="preserve"> </w:t>
      </w:r>
      <w:r w:rsidR="0090196C">
        <w:rPr>
          <w:iCs/>
        </w:rPr>
        <w:t xml:space="preserve">the </w:t>
      </w:r>
      <w:r w:rsidR="2B13D74F" w:rsidRPr="003214C3">
        <w:rPr>
          <w:iCs/>
        </w:rPr>
        <w:t>risk of over- or under-dosing</w:t>
      </w:r>
      <w:r w:rsidR="5FB11F1D" w:rsidRPr="003214C3">
        <w:rPr>
          <w:iCs/>
        </w:rPr>
        <w:t xml:space="preserve"> and</w:t>
      </w:r>
      <w:r w:rsidR="0090196C">
        <w:rPr>
          <w:iCs/>
        </w:rPr>
        <w:t xml:space="preserve"> the</w:t>
      </w:r>
      <w:r w:rsidR="5FB11F1D" w:rsidRPr="003214C3">
        <w:rPr>
          <w:iCs/>
        </w:rPr>
        <w:t xml:space="preserve"> prevention of injection site reaction.</w:t>
      </w:r>
      <w:r w:rsidR="0643BB7E" w:rsidRPr="003214C3">
        <w:rPr>
          <w:iCs/>
        </w:rPr>
        <w:t xml:space="preserve"> There may also be quality of life implications if patients are required to have more than one injection </w:t>
      </w:r>
      <w:r w:rsidR="0090196C">
        <w:rPr>
          <w:iCs/>
        </w:rPr>
        <w:t>i</w:t>
      </w:r>
      <w:r w:rsidR="00F942DC" w:rsidRPr="003214C3">
        <w:rPr>
          <w:iCs/>
        </w:rPr>
        <w:t>n a single day</w:t>
      </w:r>
      <w:r w:rsidR="0643BB7E" w:rsidRPr="003214C3">
        <w:rPr>
          <w:iCs/>
        </w:rPr>
        <w:t>.</w:t>
      </w:r>
      <w:r w:rsidR="00F90633" w:rsidRPr="003214C3">
        <w:rPr>
          <w:iCs/>
        </w:rPr>
        <w:t xml:space="preserve"> Additionally, </w:t>
      </w:r>
      <w:r w:rsidR="00F90633" w:rsidRPr="003214C3">
        <w:t>wastage and hence financial implications may also result if pens are discarded with remaining doses.</w:t>
      </w:r>
      <w:r w:rsidR="00DB5BE2">
        <w:t xml:space="preserve"> The pre-PBAC response noted the Product Information includes details of </w:t>
      </w:r>
      <w:r w:rsidR="00DB5BE2" w:rsidRPr="00DB5BE2">
        <w:t>what to do if a patient requires a larger dose than that remaining in the pen (</w:t>
      </w:r>
      <w:proofErr w:type="gramStart"/>
      <w:r w:rsidR="00DB5BE2" w:rsidRPr="00DB5BE2">
        <w:t>i.e.</w:t>
      </w:r>
      <w:proofErr w:type="gramEnd"/>
      <w:r w:rsidR="00DB5BE2" w:rsidRPr="00DB5BE2">
        <w:t xml:space="preserve"> use a new pen or split the dose between the current pen and new pen if patients have been trained/advised by a doctor/nurse).</w:t>
      </w:r>
      <w:r w:rsidR="00DB5BE2">
        <w:t xml:space="preserve"> The PBAC considered that </w:t>
      </w:r>
      <w:r w:rsidR="00EA3A86">
        <w:t xml:space="preserve">prescribers would educate patients about </w:t>
      </w:r>
      <w:r w:rsidR="00DB5BE2">
        <w:t xml:space="preserve">correct dosing </w:t>
      </w:r>
      <w:r w:rsidR="00EA3A86">
        <w:t xml:space="preserve">in practice which </w:t>
      </w:r>
      <w:r w:rsidR="00DB5BE2">
        <w:t xml:space="preserve">would reduce </w:t>
      </w:r>
      <w:r w:rsidR="00EA3A86">
        <w:t xml:space="preserve">these </w:t>
      </w:r>
      <w:r w:rsidR="00DB5BE2">
        <w:t>QUM concerns.</w:t>
      </w:r>
    </w:p>
    <w:p w14:paraId="34B6D1BB" w14:textId="31EDD968" w:rsidR="000D5F4D" w:rsidRDefault="006D2E3C" w:rsidP="00660C7F">
      <w:pPr>
        <w:pStyle w:val="3-BodyText"/>
      </w:pPr>
      <w:bookmarkStart w:id="10" w:name="_Toc22898849"/>
      <w:bookmarkStart w:id="11" w:name="_Toc93488108"/>
      <w:r w:rsidRPr="0090196C">
        <w:t xml:space="preserve">The submission requested restriction wording that is </w:t>
      </w:r>
      <w:r w:rsidR="00E130E3">
        <w:t xml:space="preserve">mostly </w:t>
      </w:r>
      <w:r w:rsidRPr="0090196C">
        <w:t>the same as the existing listings of somatropin for this indication</w:t>
      </w:r>
      <w:r w:rsidR="006661A7">
        <w:t xml:space="preserve"> (</w:t>
      </w:r>
      <w:r w:rsidR="006661A7" w:rsidRPr="0090196C">
        <w:t xml:space="preserve">PBS item codes </w:t>
      </w:r>
      <w:r w:rsidR="006661A7" w:rsidRPr="002D5451">
        <w:t>11493X</w:t>
      </w:r>
      <w:r w:rsidR="006661A7" w:rsidRPr="0090196C">
        <w:t xml:space="preserve">, 11495B, 11650E, and 11895C as </w:t>
      </w:r>
      <w:proofErr w:type="gramStart"/>
      <w:r w:rsidR="006661A7" w:rsidRPr="0090196C">
        <w:t>at</w:t>
      </w:r>
      <w:proofErr w:type="gramEnd"/>
      <w:r w:rsidR="006661A7" w:rsidRPr="0090196C">
        <w:t xml:space="preserve"> 1 December 2021</w:t>
      </w:r>
      <w:r w:rsidR="006661A7">
        <w:t>)</w:t>
      </w:r>
      <w:r w:rsidRPr="0090196C">
        <w:t xml:space="preserve">. </w:t>
      </w:r>
      <w:r w:rsidR="00E130E3">
        <w:t>T</w:t>
      </w:r>
      <w:r w:rsidRPr="0090196C">
        <w:t xml:space="preserve">he submission did not </w:t>
      </w:r>
      <w:r w:rsidR="00E130E3">
        <w:t>request</w:t>
      </w:r>
      <w:r w:rsidR="00E130E3" w:rsidRPr="0090196C">
        <w:t xml:space="preserve"> </w:t>
      </w:r>
      <w:r w:rsidR="00FE651F">
        <w:t>i</w:t>
      </w:r>
      <w:r w:rsidR="00FE651F" w:rsidRPr="00FE651F">
        <w:t xml:space="preserve">nitial treatment of childhood onset growth hormone deficiency in a patient who has received PBS-subsidised </w:t>
      </w:r>
      <w:r w:rsidR="00FE651F">
        <w:t xml:space="preserve">or non-PBS subsidised </w:t>
      </w:r>
      <w:r w:rsidR="00FE651F" w:rsidRPr="00FE651F">
        <w:t>treatment as a child</w:t>
      </w:r>
      <w:r w:rsidR="00660C7F">
        <w:t>,</w:t>
      </w:r>
      <w:r w:rsidR="00FE651F">
        <w:t xml:space="preserve"> which is </w:t>
      </w:r>
      <w:r w:rsidRPr="0090196C">
        <w:t xml:space="preserve">currently listed </w:t>
      </w:r>
      <w:r w:rsidR="00660C7F">
        <w:t xml:space="preserve">for </w:t>
      </w:r>
      <w:r w:rsidRPr="0090196C">
        <w:t>somatropin</w:t>
      </w:r>
      <w:r w:rsidR="00E130E3">
        <w:t xml:space="preserve"> under the PBS item codes mentioned above</w:t>
      </w:r>
      <w:r w:rsidR="00FE651F">
        <w:t xml:space="preserve">. </w:t>
      </w:r>
      <w:r w:rsidR="000D5F4D">
        <w:t>The PBAC considered that it was reasonable to</w:t>
      </w:r>
      <w:r w:rsidR="00FE651F">
        <w:t xml:space="preserve"> </w:t>
      </w:r>
      <w:r w:rsidR="000D5F4D">
        <w:t xml:space="preserve">allow </w:t>
      </w:r>
      <w:r w:rsidR="008925F5">
        <w:t xml:space="preserve">adult patients </w:t>
      </w:r>
      <w:r w:rsidR="00FE651F">
        <w:t xml:space="preserve">with </w:t>
      </w:r>
      <w:r w:rsidR="00D95452">
        <w:t xml:space="preserve">documented </w:t>
      </w:r>
      <w:r w:rsidR="00FE651F">
        <w:t xml:space="preserve">childhood onset growth hormone deficiency </w:t>
      </w:r>
      <w:r w:rsidR="008925F5">
        <w:t xml:space="preserve">to initiate </w:t>
      </w:r>
      <w:proofErr w:type="spellStart"/>
      <w:r w:rsidR="008925F5">
        <w:t>somapacitan</w:t>
      </w:r>
      <w:proofErr w:type="spellEnd"/>
      <w:r w:rsidR="008925F5">
        <w:t xml:space="preserve"> therapy.</w:t>
      </w:r>
      <w:r w:rsidR="00660C7F" w:rsidRPr="00660C7F">
        <w:t xml:space="preserve"> </w:t>
      </w:r>
      <w:r w:rsidR="00660C7F">
        <w:t xml:space="preserve">Therefore, the PBAC considered the restrictions for these </w:t>
      </w:r>
      <w:r w:rsidR="00660C7F" w:rsidRPr="00660C7F">
        <w:t xml:space="preserve">treatment phases </w:t>
      </w:r>
      <w:r w:rsidR="00660C7F">
        <w:t xml:space="preserve">be included for </w:t>
      </w:r>
      <w:proofErr w:type="spellStart"/>
      <w:r w:rsidR="00660C7F">
        <w:t>somapacitan</w:t>
      </w:r>
      <w:proofErr w:type="spellEnd"/>
      <w:r w:rsidR="00660C7F">
        <w:t>.</w:t>
      </w:r>
    </w:p>
    <w:p w14:paraId="64F9D167" w14:textId="292D71EA" w:rsidR="008925F5" w:rsidRDefault="008925F5" w:rsidP="008925F5">
      <w:pPr>
        <w:pStyle w:val="3-BodyText"/>
      </w:pPr>
      <w:r>
        <w:t>T</w:t>
      </w:r>
      <w:r w:rsidR="00EA2C24">
        <w:rPr>
          <w:iCs/>
        </w:rPr>
        <w:t xml:space="preserve">he PBAC considered </w:t>
      </w:r>
      <w:r w:rsidR="00A4003D">
        <w:rPr>
          <w:iCs/>
        </w:rPr>
        <w:t xml:space="preserve">it </w:t>
      </w:r>
      <w:r>
        <w:rPr>
          <w:iCs/>
        </w:rPr>
        <w:t>reasonable</w:t>
      </w:r>
      <w:r w:rsidR="00A4003D">
        <w:rPr>
          <w:iCs/>
        </w:rPr>
        <w:t xml:space="preserve"> to allow an adult patient who ha</w:t>
      </w:r>
      <w:r>
        <w:rPr>
          <w:iCs/>
        </w:rPr>
        <w:t>s</w:t>
      </w:r>
      <w:r w:rsidR="00A4003D">
        <w:rPr>
          <w:iCs/>
        </w:rPr>
        <w:t xml:space="preserve"> documented childhood onset GHD to </w:t>
      </w:r>
      <w:r>
        <w:rPr>
          <w:iCs/>
        </w:rPr>
        <w:t>switch</w:t>
      </w:r>
      <w:r w:rsidR="00A4003D">
        <w:rPr>
          <w:iCs/>
        </w:rPr>
        <w:t xml:space="preserve"> between PBS-subsidised somatropin to PBS-subsidised </w:t>
      </w:r>
      <w:proofErr w:type="spellStart"/>
      <w:r w:rsidR="00A4003D">
        <w:rPr>
          <w:iCs/>
        </w:rPr>
        <w:t>somapacitan</w:t>
      </w:r>
      <w:proofErr w:type="spellEnd"/>
      <w:r w:rsidR="00A4003D">
        <w:rPr>
          <w:iCs/>
        </w:rPr>
        <w:t xml:space="preserve"> under the continuing restriction without being subject to </w:t>
      </w:r>
      <w:r w:rsidR="001A448D">
        <w:rPr>
          <w:iCs/>
        </w:rPr>
        <w:t xml:space="preserve">assessment of eligibility under </w:t>
      </w:r>
      <w:r>
        <w:rPr>
          <w:iCs/>
        </w:rPr>
        <w:t xml:space="preserve">the </w:t>
      </w:r>
      <w:r w:rsidR="001A448D">
        <w:rPr>
          <w:iCs/>
        </w:rPr>
        <w:t>initial restriction</w:t>
      </w:r>
      <w:r w:rsidR="00DE1027">
        <w:t>.</w:t>
      </w:r>
    </w:p>
    <w:p w14:paraId="16A6631C" w14:textId="45AEB10F" w:rsidR="006D2E3C" w:rsidRPr="0090196C" w:rsidRDefault="00E403AF" w:rsidP="008925F5">
      <w:pPr>
        <w:pStyle w:val="3-BodyText"/>
      </w:pPr>
      <w:r>
        <w:t xml:space="preserve">The PBAC considered </w:t>
      </w:r>
      <w:r w:rsidRPr="0090196C">
        <w:rPr>
          <w:iCs/>
        </w:rPr>
        <w:t xml:space="preserve">that </w:t>
      </w:r>
      <w:r>
        <w:rPr>
          <w:iCs/>
        </w:rPr>
        <w:t xml:space="preserve">switching </w:t>
      </w:r>
      <w:r w:rsidRPr="0090196C">
        <w:rPr>
          <w:iCs/>
        </w:rPr>
        <w:t xml:space="preserve">between </w:t>
      </w:r>
      <w:r w:rsidR="00660C7F">
        <w:rPr>
          <w:iCs/>
        </w:rPr>
        <w:t xml:space="preserve">growth hormone </w:t>
      </w:r>
      <w:r w:rsidRPr="0090196C">
        <w:rPr>
          <w:iCs/>
        </w:rPr>
        <w:t xml:space="preserve">treatments </w:t>
      </w:r>
      <w:r>
        <w:rPr>
          <w:iCs/>
        </w:rPr>
        <w:t xml:space="preserve">should </w:t>
      </w:r>
      <w:r w:rsidRPr="0090196C">
        <w:rPr>
          <w:iCs/>
        </w:rPr>
        <w:t>only occur</w:t>
      </w:r>
      <w:r>
        <w:rPr>
          <w:iCs/>
        </w:rPr>
        <w:t xml:space="preserve"> when the patient is</w:t>
      </w:r>
      <w:r w:rsidRPr="0090196C">
        <w:rPr>
          <w:iCs/>
        </w:rPr>
        <w:t xml:space="preserve"> stable</w:t>
      </w:r>
      <w:r>
        <w:rPr>
          <w:iCs/>
        </w:rPr>
        <w:t xml:space="preserve">, has previously met the initial restriction criteria of </w:t>
      </w:r>
      <w:proofErr w:type="spellStart"/>
      <w:r>
        <w:rPr>
          <w:iCs/>
        </w:rPr>
        <w:t>somapacitan</w:t>
      </w:r>
      <w:proofErr w:type="spellEnd"/>
      <w:r>
        <w:rPr>
          <w:iCs/>
        </w:rPr>
        <w:t xml:space="preserve"> or somatropin,</w:t>
      </w:r>
      <w:r w:rsidRPr="0090196C">
        <w:rPr>
          <w:iCs/>
        </w:rPr>
        <w:t xml:space="preserve"> </w:t>
      </w:r>
      <w:r>
        <w:rPr>
          <w:iCs/>
        </w:rPr>
        <w:t xml:space="preserve">and </w:t>
      </w:r>
      <w:r w:rsidRPr="0090196C">
        <w:rPr>
          <w:iCs/>
        </w:rPr>
        <w:t>is not concurrently taking any other PBS subsidised therapy for the same indication (</w:t>
      </w:r>
      <w:proofErr w:type="gramStart"/>
      <w:r w:rsidRPr="0090196C">
        <w:rPr>
          <w:iCs/>
        </w:rPr>
        <w:t>i.e.</w:t>
      </w:r>
      <w:proofErr w:type="gramEnd"/>
      <w:r w:rsidRPr="0090196C">
        <w:rPr>
          <w:iCs/>
        </w:rPr>
        <w:t xml:space="preserve"> is not taking </w:t>
      </w:r>
      <w:r>
        <w:rPr>
          <w:iCs/>
        </w:rPr>
        <w:t xml:space="preserve">both </w:t>
      </w:r>
      <w:r w:rsidRPr="0090196C">
        <w:rPr>
          <w:iCs/>
        </w:rPr>
        <w:t xml:space="preserve">somatropin and </w:t>
      </w:r>
      <w:proofErr w:type="spellStart"/>
      <w:r w:rsidRPr="0090196C">
        <w:rPr>
          <w:iCs/>
        </w:rPr>
        <w:t>somapacitan</w:t>
      </w:r>
      <w:proofErr w:type="spellEnd"/>
      <w:r w:rsidRPr="0090196C">
        <w:rPr>
          <w:iCs/>
        </w:rPr>
        <w:t>)</w:t>
      </w:r>
      <w:r>
        <w:rPr>
          <w:iCs/>
        </w:rPr>
        <w:t>. The PBAC noted that the concurrent use of both therapies</w:t>
      </w:r>
      <w:r w:rsidRPr="0090196C">
        <w:rPr>
          <w:iCs/>
        </w:rPr>
        <w:t xml:space="preserve"> </w:t>
      </w:r>
      <w:proofErr w:type="gramStart"/>
      <w:r w:rsidRPr="0090196C">
        <w:rPr>
          <w:iCs/>
        </w:rPr>
        <w:t>or</w:t>
      </w:r>
      <w:proofErr w:type="gramEnd"/>
      <w:r w:rsidRPr="0090196C">
        <w:rPr>
          <w:iCs/>
        </w:rPr>
        <w:t xml:space="preserve"> frequently interchang</w:t>
      </w:r>
      <w:r>
        <w:rPr>
          <w:iCs/>
        </w:rPr>
        <w:t>ing</w:t>
      </w:r>
      <w:r w:rsidRPr="0090196C">
        <w:rPr>
          <w:iCs/>
        </w:rPr>
        <w:t xml:space="preserve"> between them</w:t>
      </w:r>
      <w:r>
        <w:rPr>
          <w:iCs/>
        </w:rPr>
        <w:t xml:space="preserve"> may represent</w:t>
      </w:r>
      <w:r w:rsidRPr="0090196C">
        <w:rPr>
          <w:iCs/>
        </w:rPr>
        <w:t xml:space="preserve"> a </w:t>
      </w:r>
      <w:r>
        <w:rPr>
          <w:iCs/>
        </w:rPr>
        <w:t>QUM</w:t>
      </w:r>
      <w:r w:rsidRPr="0090196C">
        <w:rPr>
          <w:iCs/>
        </w:rPr>
        <w:t xml:space="preserve"> </w:t>
      </w:r>
      <w:r>
        <w:rPr>
          <w:iCs/>
        </w:rPr>
        <w:t xml:space="preserve">issue but considered this </w:t>
      </w:r>
      <w:r w:rsidRPr="00BF349C">
        <w:rPr>
          <w:iCs/>
        </w:rPr>
        <w:t>should be left to the discretion of the treating endocrinologist in discussion with the patient</w:t>
      </w:r>
      <w:r>
        <w:rPr>
          <w:iCs/>
        </w:rPr>
        <w:t>.</w:t>
      </w:r>
    </w:p>
    <w:p w14:paraId="70E08EAC" w14:textId="3B6EC0B2" w:rsidR="00F3136B" w:rsidRPr="00F3136B" w:rsidRDefault="001B7F5C" w:rsidP="00D2062C">
      <w:pPr>
        <w:pStyle w:val="3-BodyText"/>
        <w:rPr>
          <w:rFonts w:eastAsiaTheme="minorEastAsia"/>
        </w:rPr>
      </w:pPr>
      <w:r>
        <w:rPr>
          <w:iCs/>
          <w:color w:val="000000" w:themeColor="text1"/>
        </w:rPr>
        <w:t xml:space="preserve">The </w:t>
      </w:r>
      <w:r w:rsidR="00452412">
        <w:rPr>
          <w:iCs/>
          <w:color w:val="000000" w:themeColor="text1"/>
        </w:rPr>
        <w:t xml:space="preserve">PBAC </w:t>
      </w:r>
      <w:r w:rsidR="001A448D">
        <w:rPr>
          <w:iCs/>
          <w:color w:val="000000" w:themeColor="text1"/>
        </w:rPr>
        <w:t xml:space="preserve">also </w:t>
      </w:r>
      <w:r w:rsidR="00452412">
        <w:rPr>
          <w:iCs/>
          <w:color w:val="000000" w:themeColor="text1"/>
        </w:rPr>
        <w:t xml:space="preserve">considered </w:t>
      </w:r>
      <w:r w:rsidR="001A448D">
        <w:rPr>
          <w:iCs/>
          <w:color w:val="000000" w:themeColor="text1"/>
        </w:rPr>
        <w:t xml:space="preserve">it is appropriate to include a cohort that has </w:t>
      </w:r>
      <w:r w:rsidR="001A448D" w:rsidRPr="001A448D">
        <w:rPr>
          <w:iCs/>
          <w:color w:val="000000" w:themeColor="text1"/>
        </w:rPr>
        <w:t>onset of growth hormone deficiency diagnosed after skeletal maturity (bone age greater than or equal to 15.5 years in males or 13.5 years in females) but before age 18 years</w:t>
      </w:r>
      <w:r w:rsidR="001F096B">
        <w:rPr>
          <w:iCs/>
          <w:color w:val="000000" w:themeColor="text1"/>
        </w:rPr>
        <w:t xml:space="preserve"> in the restriction</w:t>
      </w:r>
      <w:r w:rsidR="001A448D" w:rsidRPr="001A448D">
        <w:rPr>
          <w:iCs/>
          <w:color w:val="000000" w:themeColor="text1"/>
        </w:rPr>
        <w:t>.</w:t>
      </w:r>
      <w:r w:rsidR="001A448D">
        <w:rPr>
          <w:iCs/>
          <w:color w:val="000000" w:themeColor="text1"/>
        </w:rPr>
        <w:t xml:space="preserve"> This </w:t>
      </w:r>
      <w:r w:rsidR="008925F5">
        <w:rPr>
          <w:iCs/>
          <w:color w:val="000000" w:themeColor="text1"/>
        </w:rPr>
        <w:t>wa</w:t>
      </w:r>
      <w:r w:rsidR="001A448D">
        <w:rPr>
          <w:iCs/>
          <w:color w:val="000000" w:themeColor="text1"/>
        </w:rPr>
        <w:t xml:space="preserve">s consistent with the PBAC’s recommendation at the September 2021 </w:t>
      </w:r>
      <w:r w:rsidR="004C74A8">
        <w:rPr>
          <w:iCs/>
          <w:color w:val="000000" w:themeColor="text1"/>
        </w:rPr>
        <w:t xml:space="preserve">intracycle </w:t>
      </w:r>
      <w:r w:rsidR="001A448D">
        <w:rPr>
          <w:iCs/>
          <w:color w:val="000000" w:themeColor="text1"/>
        </w:rPr>
        <w:t xml:space="preserve">meeting. </w:t>
      </w:r>
    </w:p>
    <w:p w14:paraId="712A61C6" w14:textId="13547729" w:rsidR="00E403AF" w:rsidRPr="0090196C" w:rsidRDefault="00E403AF" w:rsidP="008925F5">
      <w:pPr>
        <w:pStyle w:val="3-BodyText"/>
      </w:pPr>
      <w:r>
        <w:t xml:space="preserve">The submission appropriately did not include </w:t>
      </w:r>
      <w:r w:rsidRPr="008925F5">
        <w:rPr>
          <w:iCs/>
        </w:rPr>
        <w:t xml:space="preserve">clinical criteria for patients with Prader-Willi syndrome, for which somatropin has been approved to treat. The PBAC noted that </w:t>
      </w:r>
      <w:proofErr w:type="spellStart"/>
      <w:r w:rsidRPr="008925F5">
        <w:rPr>
          <w:iCs/>
        </w:rPr>
        <w:t>somapacitan</w:t>
      </w:r>
      <w:proofErr w:type="spellEnd"/>
      <w:r w:rsidRPr="008925F5">
        <w:rPr>
          <w:iCs/>
        </w:rPr>
        <w:t xml:space="preserve"> is not approved for patients with Prader-Willi syndrome.</w:t>
      </w:r>
    </w:p>
    <w:p w14:paraId="140216A9" w14:textId="234775F4" w:rsidR="00B93F87" w:rsidRDefault="00B93F87" w:rsidP="008925F5">
      <w:pPr>
        <w:pStyle w:val="3-BodyText"/>
      </w:pPr>
      <w:r w:rsidRPr="00B11F5C">
        <w:t xml:space="preserve">The requested maximum quantity and number of repeats were appropriate for a 1-pack. </w:t>
      </w:r>
      <w:r>
        <w:t xml:space="preserve">It was unclear in the submission if listing was being requested for a 1-pack or 5-pack of </w:t>
      </w:r>
      <w:proofErr w:type="spellStart"/>
      <w:r>
        <w:t>somapacitan</w:t>
      </w:r>
      <w:proofErr w:type="spellEnd"/>
      <w:r>
        <w:t xml:space="preserve">. </w:t>
      </w:r>
      <w:r w:rsidRPr="00B11F5C">
        <w:t xml:space="preserve">The PBAC noted that </w:t>
      </w:r>
      <w:r>
        <w:t xml:space="preserve">maximum quantity and number of repeats would </w:t>
      </w:r>
      <w:r w:rsidRPr="00B11F5C">
        <w:t xml:space="preserve">need to be adjusted if a 5-pack </w:t>
      </w:r>
      <w:r>
        <w:t>is requested to be listed.</w:t>
      </w:r>
    </w:p>
    <w:p w14:paraId="46D1FD51" w14:textId="4EB041CD" w:rsidR="00B16768" w:rsidRPr="0090196C" w:rsidRDefault="00D56054" w:rsidP="00D56054">
      <w:pPr>
        <w:pStyle w:val="3-BodyText"/>
      </w:pPr>
      <w:r w:rsidRPr="0090196C">
        <w:t xml:space="preserve">The submission </w:t>
      </w:r>
      <w:r>
        <w:t xml:space="preserve">requested a grandfather restriction for </w:t>
      </w:r>
      <w:r w:rsidRPr="0090196C">
        <w:t xml:space="preserve">30 patients </w:t>
      </w:r>
      <w:r>
        <w:t xml:space="preserve">who </w:t>
      </w:r>
      <w:r w:rsidRPr="0090196C">
        <w:t>were included in the REAL-1 study.</w:t>
      </w:r>
      <w:r>
        <w:t xml:space="preserve"> The PBAC noted </w:t>
      </w:r>
      <w:r w:rsidRPr="000841C6">
        <w:t xml:space="preserve">a separate </w:t>
      </w:r>
      <w:r>
        <w:t xml:space="preserve">grandfather </w:t>
      </w:r>
      <w:r w:rsidRPr="000841C6">
        <w:t xml:space="preserve">restriction </w:t>
      </w:r>
      <w:r>
        <w:t xml:space="preserve">would not be required </w:t>
      </w:r>
      <w:r w:rsidRPr="000841C6">
        <w:t xml:space="preserve">as </w:t>
      </w:r>
      <w:r>
        <w:t xml:space="preserve">these patients </w:t>
      </w:r>
      <w:r w:rsidRPr="000841C6">
        <w:t xml:space="preserve">would be able to transition to PBS subsidised </w:t>
      </w:r>
      <w:proofErr w:type="spellStart"/>
      <w:r w:rsidRPr="000841C6">
        <w:t>somapacitan</w:t>
      </w:r>
      <w:proofErr w:type="spellEnd"/>
      <w:r w:rsidRPr="000841C6">
        <w:t xml:space="preserve"> under </w:t>
      </w:r>
      <w:r>
        <w:t xml:space="preserve">the </w:t>
      </w:r>
      <w:r w:rsidRPr="000841C6">
        <w:t xml:space="preserve">initial </w:t>
      </w:r>
      <w:r>
        <w:t>restriction</w:t>
      </w:r>
      <w:r w:rsidRPr="000841C6">
        <w:t>.</w:t>
      </w:r>
    </w:p>
    <w:p w14:paraId="0A8921B3" w14:textId="77777777" w:rsidR="00C5732F" w:rsidRPr="00CB6395" w:rsidRDefault="00C5732F" w:rsidP="00B11F5C">
      <w:pPr>
        <w:pStyle w:val="2-SectionHeading"/>
      </w:pPr>
      <w:r w:rsidRPr="00CB6395">
        <w:t>Population and disease</w:t>
      </w:r>
      <w:bookmarkEnd w:id="10"/>
      <w:bookmarkEnd w:id="11"/>
    </w:p>
    <w:p w14:paraId="49DE9423" w14:textId="6656388D" w:rsidR="00C5732F" w:rsidRPr="00395F61" w:rsidRDefault="00C5732F" w:rsidP="00395F61">
      <w:pPr>
        <w:pStyle w:val="3-BodyText"/>
      </w:pPr>
      <w:r w:rsidRPr="00395F61">
        <w:t xml:space="preserve">AGHD is a rare condition in which adults have sustained low levels of growth hormone (GH) and insulin-like growth factor-1 (IGF-1) and is characterised by an adversely altered body composition, reflected in visceral obesity, reduced muscle strength and mass, decreased bone mass, and an adverse metabolic profile which can lead to osteoporosis, fatigue, </w:t>
      </w:r>
      <w:r w:rsidR="009A1D66" w:rsidRPr="00395F61">
        <w:t>demotivation,</w:t>
      </w:r>
      <w:r w:rsidRPr="00395F61">
        <w:t xml:space="preserve"> and depression. AGHD can persist from childhood or be newly acquired in </w:t>
      </w:r>
      <w:r w:rsidR="00236D8A" w:rsidRPr="00395F61">
        <w:t>adulthood and</w:t>
      </w:r>
      <w:r w:rsidRPr="00395F61">
        <w:t xml:space="preserve"> </w:t>
      </w:r>
      <w:r w:rsidR="00B41A05">
        <w:t xml:space="preserve">can be </w:t>
      </w:r>
      <w:r w:rsidRPr="00395F61">
        <w:t xml:space="preserve">the result of congenital pituitary abnormalities or </w:t>
      </w:r>
      <w:r w:rsidR="00B41A05">
        <w:t xml:space="preserve">of </w:t>
      </w:r>
      <w:r w:rsidRPr="00395F61">
        <w:t>acquired loss of pituitary function resulting from tumours, irradiation, intracerebral haemorrhage, and head injuries.</w:t>
      </w:r>
    </w:p>
    <w:p w14:paraId="7AE5E0D2" w14:textId="65E84E82" w:rsidR="00C5732F" w:rsidRPr="00395F61" w:rsidRDefault="00C5732F" w:rsidP="00395F61">
      <w:pPr>
        <w:pStyle w:val="3-BodyText"/>
      </w:pPr>
      <w:proofErr w:type="spellStart"/>
      <w:r w:rsidRPr="00395F61">
        <w:t>Somapacitan</w:t>
      </w:r>
      <w:proofErr w:type="spellEnd"/>
      <w:r w:rsidRPr="00395F61">
        <w:t xml:space="preserve"> is proposed </w:t>
      </w:r>
      <w:r w:rsidR="00CD1FCD" w:rsidRPr="00395F61">
        <w:t xml:space="preserve">to be used as </w:t>
      </w:r>
      <w:r w:rsidR="00F8564F" w:rsidRPr="00395F61">
        <w:t xml:space="preserve">a </w:t>
      </w:r>
      <w:r w:rsidRPr="00395F61">
        <w:t>first-line therapy</w:t>
      </w:r>
      <w:r w:rsidR="00CD1FCD" w:rsidRPr="00395F61">
        <w:t xml:space="preserve"> for AGHD</w:t>
      </w:r>
      <w:r w:rsidRPr="00395F61">
        <w:t>.</w:t>
      </w:r>
    </w:p>
    <w:p w14:paraId="0290DE8E" w14:textId="77777777" w:rsidR="00C5732F" w:rsidRPr="00395F61" w:rsidRDefault="00C5732F" w:rsidP="00395F61">
      <w:pPr>
        <w:pStyle w:val="3-BodyText"/>
      </w:pPr>
      <w:proofErr w:type="spellStart"/>
      <w:r w:rsidRPr="00395F61">
        <w:t>Somapacitan</w:t>
      </w:r>
      <w:proofErr w:type="spellEnd"/>
      <w:r w:rsidRPr="00395F61">
        <w:t xml:space="preserve"> is a novel, long-acting, recombinant GH derivative that reversibly binds to serum albumin to prolong the in vivo half-life of the drug, making it suitable for once-weekly dosing. </w:t>
      </w:r>
      <w:proofErr w:type="spellStart"/>
      <w:r w:rsidRPr="00395F61">
        <w:t>Somapacitan</w:t>
      </w:r>
      <w:proofErr w:type="spellEnd"/>
      <w:r w:rsidRPr="00395F61">
        <w:t xml:space="preserve"> has over 99% structural similarity to the naturally occurring GH, somatropin, allowing for a small injection volume and administration of the weekly dose in a single injection.</w:t>
      </w:r>
    </w:p>
    <w:p w14:paraId="0AB6A26A" w14:textId="77777777" w:rsidR="00C5732F" w:rsidRPr="00CB6395" w:rsidRDefault="00C5732F" w:rsidP="00C5732F">
      <w:pPr>
        <w:pStyle w:val="2-SectionHeading"/>
      </w:pPr>
      <w:bookmarkStart w:id="12" w:name="_Toc22898850"/>
      <w:bookmarkStart w:id="13" w:name="_Toc93488109"/>
      <w:r w:rsidRPr="00CB6395">
        <w:t>Comparator</w:t>
      </w:r>
      <w:bookmarkEnd w:id="12"/>
      <w:bookmarkEnd w:id="13"/>
    </w:p>
    <w:p w14:paraId="49A669DC" w14:textId="4697A123" w:rsidR="00C5732F" w:rsidRPr="003214C3" w:rsidRDefault="00C5732F" w:rsidP="00E70F03">
      <w:pPr>
        <w:pStyle w:val="3-BodyText"/>
        <w:rPr>
          <w:rFonts w:eastAsiaTheme="minorEastAsia"/>
          <w:iCs/>
        </w:rPr>
      </w:pPr>
      <w:r w:rsidRPr="00CB6395">
        <w:rPr>
          <w:rFonts w:eastAsia="Calibri"/>
        </w:rPr>
        <w:t xml:space="preserve">The submission </w:t>
      </w:r>
      <w:r w:rsidR="00E70F03" w:rsidRPr="00CB6395">
        <w:rPr>
          <w:rFonts w:eastAsia="Calibri"/>
        </w:rPr>
        <w:t>proposed</w:t>
      </w:r>
      <w:r w:rsidRPr="00CB6395">
        <w:rPr>
          <w:rFonts w:eastAsia="Calibri"/>
        </w:rPr>
        <w:t xml:space="preserve"> somatropin as the main comparator. The main argument provided in support of this nomination was that somatropin is the formulation of recombinant human GH currently reimbursed via the Section 100 Growth Hormone Program of the PBS for a range of indications including AGHD. </w:t>
      </w:r>
      <w:r w:rsidRPr="003214C3">
        <w:rPr>
          <w:rFonts w:eastAsia="Calibri"/>
          <w:iCs/>
        </w:rPr>
        <w:t>As somatropin is the only recombinant GH currently available through the PBS Section 100 Growth Hormone Program, there are no relevant secondary or supplementary comparators.</w:t>
      </w:r>
      <w:r w:rsidR="00632923">
        <w:rPr>
          <w:rFonts w:eastAsia="Calibri"/>
          <w:iCs/>
        </w:rPr>
        <w:t xml:space="preserve"> The PBAC considered somatropin as an appropriate comparator.</w:t>
      </w:r>
    </w:p>
    <w:p w14:paraId="0E0515D7" w14:textId="77777777" w:rsidR="00B25E22" w:rsidRPr="006C5798" w:rsidRDefault="00B25E22" w:rsidP="00B25E22">
      <w:pPr>
        <w:pStyle w:val="3-BodyText"/>
        <w:numPr>
          <w:ilvl w:val="0"/>
          <w:numId w:val="0"/>
        </w:numPr>
        <w:ind w:left="720"/>
        <w:rPr>
          <w:color w:val="0066FF"/>
        </w:rPr>
      </w:pPr>
      <w:bookmarkStart w:id="14" w:name="_Toc93488110"/>
      <w:r w:rsidRPr="00C33D30">
        <w:rPr>
          <w:i/>
        </w:rPr>
        <w:t>For more detail on PBAC’s view, see section 7 PBAC outcome.</w:t>
      </w:r>
    </w:p>
    <w:p w14:paraId="7F9C27C8" w14:textId="77777777" w:rsidR="00223D5A" w:rsidRPr="00CB6395" w:rsidRDefault="00223D5A" w:rsidP="00EA6679">
      <w:pPr>
        <w:pStyle w:val="2-SectionHeading"/>
      </w:pPr>
      <w:r w:rsidRPr="00CB6395">
        <w:t>Consideration of the evidence</w:t>
      </w:r>
      <w:bookmarkEnd w:id="14"/>
    </w:p>
    <w:p w14:paraId="5EC9F7DE" w14:textId="77777777" w:rsidR="008A1FB6" w:rsidRDefault="008A1FB6" w:rsidP="008A1FB6">
      <w:pPr>
        <w:pStyle w:val="4-SubsectionHeading"/>
      </w:pPr>
      <w:bookmarkStart w:id="15" w:name="_Toc93488111"/>
      <w:r>
        <w:t>Sponsor hearing</w:t>
      </w:r>
    </w:p>
    <w:p w14:paraId="6BF1727D" w14:textId="3B9616E1" w:rsidR="008A1FB6" w:rsidRPr="0038201B" w:rsidRDefault="008A1FB6" w:rsidP="00D2062C">
      <w:pPr>
        <w:pStyle w:val="3-BodyText"/>
        <w:numPr>
          <w:ilvl w:val="1"/>
          <w:numId w:val="1"/>
        </w:numPr>
        <w:rPr>
          <w:lang w:eastAsia="en-US"/>
        </w:rPr>
      </w:pPr>
      <w:r w:rsidRPr="00323FB4">
        <w:rPr>
          <w:snapToGrid w:val="0"/>
        </w:rPr>
        <w:t>There was no hearing for this item</w:t>
      </w:r>
      <w:r w:rsidR="00323FB4" w:rsidRPr="00323FB4">
        <w:rPr>
          <w:snapToGrid w:val="0"/>
        </w:rPr>
        <w:t>.</w:t>
      </w:r>
    </w:p>
    <w:p w14:paraId="28C2053F" w14:textId="77777777" w:rsidR="008A1FB6" w:rsidRDefault="008A1FB6" w:rsidP="008A1FB6">
      <w:pPr>
        <w:pStyle w:val="4-SubsectionHeading"/>
      </w:pPr>
      <w:r>
        <w:t>Consumer comments</w:t>
      </w:r>
    </w:p>
    <w:p w14:paraId="365001A7" w14:textId="1D9DC2D8" w:rsidR="008A1FB6" w:rsidRPr="00836F75" w:rsidRDefault="008A1FB6" w:rsidP="008A1FB6">
      <w:pPr>
        <w:pStyle w:val="3-BodyText"/>
        <w:numPr>
          <w:ilvl w:val="1"/>
          <w:numId w:val="1"/>
        </w:numPr>
        <w:rPr>
          <w:snapToGrid w:val="0"/>
        </w:rPr>
      </w:pPr>
      <w:r w:rsidRPr="00836F75">
        <w:rPr>
          <w:snapToGrid w:val="0"/>
        </w:rPr>
        <w:t>The PBAC noted and welcomed the input from individuals (</w:t>
      </w:r>
      <w:r w:rsidR="00352A84">
        <w:rPr>
          <w:snapToGrid w:val="0"/>
        </w:rPr>
        <w:t>10</w:t>
      </w:r>
      <w:r w:rsidRPr="00836F75">
        <w:rPr>
          <w:snapToGrid w:val="0"/>
        </w:rPr>
        <w:t>), health care professionals (1) and organisations (1) via the Consumer Comments facility on the PBS website. The comments</w:t>
      </w:r>
      <w:r w:rsidR="001B10FD">
        <w:rPr>
          <w:snapToGrid w:val="0"/>
        </w:rPr>
        <w:t>, from both patients and carers</w:t>
      </w:r>
      <w:r w:rsidRPr="00836F75">
        <w:rPr>
          <w:snapToGrid w:val="0"/>
        </w:rPr>
        <w:t xml:space="preserve"> described </w:t>
      </w:r>
      <w:r w:rsidR="001B10FD">
        <w:rPr>
          <w:snapToGrid w:val="0"/>
        </w:rPr>
        <w:t>the</w:t>
      </w:r>
      <w:r w:rsidRPr="00836F75">
        <w:rPr>
          <w:snapToGrid w:val="0"/>
        </w:rPr>
        <w:t xml:space="preserve"> benefits of </w:t>
      </w:r>
      <w:r w:rsidR="001B10FD">
        <w:rPr>
          <w:snapToGrid w:val="0"/>
        </w:rPr>
        <w:t xml:space="preserve">having a once-weekly GHD </w:t>
      </w:r>
      <w:r w:rsidRPr="00836F75">
        <w:rPr>
          <w:snapToGrid w:val="0"/>
        </w:rPr>
        <w:t xml:space="preserve">treatment </w:t>
      </w:r>
      <w:r w:rsidR="001B10FD">
        <w:rPr>
          <w:snapToGrid w:val="0"/>
        </w:rPr>
        <w:t xml:space="preserve">available, </w:t>
      </w:r>
      <w:r w:rsidRPr="00836F75">
        <w:rPr>
          <w:snapToGrid w:val="0"/>
        </w:rPr>
        <w:t xml:space="preserve">including </w:t>
      </w:r>
      <w:r w:rsidR="001B10FD">
        <w:rPr>
          <w:snapToGrid w:val="0"/>
        </w:rPr>
        <w:t xml:space="preserve">improved compliance, </w:t>
      </w:r>
      <w:r w:rsidR="005B0AF4">
        <w:rPr>
          <w:snapToGrid w:val="0"/>
        </w:rPr>
        <w:t>an improved ability to manage shift work</w:t>
      </w:r>
      <w:r w:rsidRPr="00836F75">
        <w:rPr>
          <w:snapToGrid w:val="0"/>
        </w:rPr>
        <w:t xml:space="preserve">, fewer </w:t>
      </w:r>
      <w:r w:rsidR="005B0AF4">
        <w:rPr>
          <w:snapToGrid w:val="0"/>
        </w:rPr>
        <w:t>injection site effects</w:t>
      </w:r>
      <w:r w:rsidR="001B10FD">
        <w:rPr>
          <w:snapToGrid w:val="0"/>
        </w:rPr>
        <w:t xml:space="preserve"> </w:t>
      </w:r>
      <w:bookmarkStart w:id="16" w:name="_Hlk97141379"/>
      <w:r w:rsidR="005B0AF4">
        <w:rPr>
          <w:snapToGrid w:val="0"/>
        </w:rPr>
        <w:t>and reduced damage to skin</w:t>
      </w:r>
      <w:r w:rsidR="001B10FD">
        <w:rPr>
          <w:snapToGrid w:val="0"/>
        </w:rPr>
        <w:t xml:space="preserve">, and </w:t>
      </w:r>
      <w:r w:rsidR="005B0AF4">
        <w:rPr>
          <w:snapToGrid w:val="0"/>
        </w:rPr>
        <w:t xml:space="preserve">an </w:t>
      </w:r>
      <w:r w:rsidR="001B10FD">
        <w:rPr>
          <w:snapToGrid w:val="0"/>
        </w:rPr>
        <w:t>overall reduced disease burden and improved quality of life</w:t>
      </w:r>
      <w:r w:rsidRPr="00287959">
        <w:rPr>
          <w:snapToGrid w:val="0"/>
        </w:rPr>
        <w:t>.</w:t>
      </w:r>
      <w:bookmarkEnd w:id="16"/>
    </w:p>
    <w:p w14:paraId="11F80FAC" w14:textId="568F0441" w:rsidR="008A1FB6" w:rsidRPr="0038201B" w:rsidRDefault="008A1FB6" w:rsidP="00A1057D">
      <w:pPr>
        <w:pStyle w:val="3-BodyText"/>
        <w:numPr>
          <w:ilvl w:val="1"/>
          <w:numId w:val="1"/>
        </w:numPr>
        <w:rPr>
          <w:lang w:eastAsia="en-US"/>
        </w:rPr>
      </w:pPr>
      <w:r w:rsidRPr="00A55A77">
        <w:rPr>
          <w:snapToGrid w:val="0"/>
        </w:rPr>
        <w:t xml:space="preserve">The PBAC noted the advice received from </w:t>
      </w:r>
      <w:r w:rsidR="00352A84" w:rsidRPr="00A55A77">
        <w:rPr>
          <w:snapToGrid w:val="0"/>
        </w:rPr>
        <w:t>the Australian Pituitary Foundation</w:t>
      </w:r>
      <w:r w:rsidR="00A55A77" w:rsidRPr="00A55A77">
        <w:rPr>
          <w:snapToGrid w:val="0"/>
        </w:rPr>
        <w:t xml:space="preserve"> (APF)</w:t>
      </w:r>
      <w:r w:rsidRPr="00A55A77">
        <w:rPr>
          <w:snapToGrid w:val="0"/>
        </w:rPr>
        <w:t xml:space="preserve"> clarifying the likely use</w:t>
      </w:r>
      <w:r w:rsidR="00CC424F">
        <w:rPr>
          <w:snapToGrid w:val="0"/>
        </w:rPr>
        <w:t xml:space="preserve"> </w:t>
      </w:r>
      <w:r w:rsidRPr="00A55A77">
        <w:rPr>
          <w:snapToGrid w:val="0"/>
        </w:rPr>
        <w:t xml:space="preserve">of </w:t>
      </w:r>
      <w:proofErr w:type="spellStart"/>
      <w:r w:rsidR="00352A84" w:rsidRPr="00A55A77">
        <w:rPr>
          <w:snapToGrid w:val="0"/>
        </w:rPr>
        <w:t>somapacitan</w:t>
      </w:r>
      <w:proofErr w:type="spellEnd"/>
      <w:r w:rsidRPr="00A55A77">
        <w:rPr>
          <w:snapToGrid w:val="0"/>
        </w:rPr>
        <w:t xml:space="preserve"> in clinical practice. The PBAC specifically noted the advice that the use of </w:t>
      </w:r>
      <w:proofErr w:type="spellStart"/>
      <w:r w:rsidR="00352A84" w:rsidRPr="00A55A77">
        <w:rPr>
          <w:snapToGrid w:val="0"/>
        </w:rPr>
        <w:t>somapacitan</w:t>
      </w:r>
      <w:proofErr w:type="spellEnd"/>
      <w:r w:rsidRPr="00A55A77">
        <w:rPr>
          <w:snapToGrid w:val="0"/>
        </w:rPr>
        <w:t xml:space="preserve"> may </w:t>
      </w:r>
      <w:r w:rsidR="006763CA" w:rsidRPr="00A55A77">
        <w:rPr>
          <w:snapToGrid w:val="0"/>
        </w:rPr>
        <w:t xml:space="preserve">reduce physical irritation and damage at the injection site, reduce the impact of finding a suitable injection site as the treatment reduces subcutaneous fat, </w:t>
      </w:r>
      <w:r w:rsidR="00A55A77" w:rsidRPr="00A55A77">
        <w:rPr>
          <w:snapToGrid w:val="0"/>
        </w:rPr>
        <w:t xml:space="preserve">and </w:t>
      </w:r>
      <w:r w:rsidR="006763CA" w:rsidRPr="00A55A77">
        <w:rPr>
          <w:snapToGrid w:val="0"/>
        </w:rPr>
        <w:t>greater flexibility for those living in remote locations (transportation and storage challenges)</w:t>
      </w:r>
      <w:r w:rsidR="00A55A77" w:rsidRPr="00A55A77">
        <w:rPr>
          <w:snapToGrid w:val="0"/>
        </w:rPr>
        <w:t xml:space="preserve"> for shift workers</w:t>
      </w:r>
      <w:r w:rsidR="006763CA" w:rsidRPr="00A55A77">
        <w:rPr>
          <w:snapToGrid w:val="0"/>
        </w:rPr>
        <w:t>,</w:t>
      </w:r>
      <w:r w:rsidR="00A55A77" w:rsidRPr="00A55A77">
        <w:rPr>
          <w:snapToGrid w:val="0"/>
        </w:rPr>
        <w:t xml:space="preserve"> </w:t>
      </w:r>
      <w:r w:rsidR="006763CA" w:rsidRPr="00A55A77">
        <w:rPr>
          <w:snapToGrid w:val="0"/>
        </w:rPr>
        <w:t>social</w:t>
      </w:r>
      <w:r w:rsidR="00A55A77" w:rsidRPr="00A55A77">
        <w:rPr>
          <w:snapToGrid w:val="0"/>
        </w:rPr>
        <w:t xml:space="preserve"> </w:t>
      </w:r>
      <w:r w:rsidR="006763CA" w:rsidRPr="00A55A77">
        <w:rPr>
          <w:snapToGrid w:val="0"/>
        </w:rPr>
        <w:t xml:space="preserve">interactions, </w:t>
      </w:r>
      <w:r w:rsidR="00A55A77" w:rsidRPr="00A55A77">
        <w:rPr>
          <w:snapToGrid w:val="0"/>
        </w:rPr>
        <w:t xml:space="preserve">and </w:t>
      </w:r>
      <w:r w:rsidR="006763CA" w:rsidRPr="00A55A77">
        <w:rPr>
          <w:snapToGrid w:val="0"/>
        </w:rPr>
        <w:t>work trips and holidays.</w:t>
      </w:r>
      <w:r w:rsidR="00A55A77" w:rsidRPr="00A55A77">
        <w:rPr>
          <w:snapToGrid w:val="0"/>
        </w:rPr>
        <w:t xml:space="preserve"> The APF advised that a</w:t>
      </w:r>
      <w:r w:rsidR="006763CA" w:rsidRPr="00A55A77">
        <w:rPr>
          <w:snapToGrid w:val="0"/>
        </w:rPr>
        <w:t xml:space="preserve"> weekly injection </w:t>
      </w:r>
      <w:r w:rsidR="00A55A77" w:rsidRPr="00A55A77">
        <w:rPr>
          <w:snapToGrid w:val="0"/>
        </w:rPr>
        <w:t>would</w:t>
      </w:r>
      <w:r w:rsidR="006763CA" w:rsidRPr="00A55A77">
        <w:rPr>
          <w:snapToGrid w:val="0"/>
        </w:rPr>
        <w:t xml:space="preserve"> provide flexibility, increased independence, reduced stress and add </w:t>
      </w:r>
      <w:r w:rsidR="00A55A77" w:rsidRPr="00A55A77">
        <w:rPr>
          <w:snapToGrid w:val="0"/>
        </w:rPr>
        <w:t>a</w:t>
      </w:r>
      <w:r w:rsidR="006763CA" w:rsidRPr="00A55A77">
        <w:rPr>
          <w:snapToGrid w:val="0"/>
        </w:rPr>
        <w:t xml:space="preserve"> positive impact on quality of life which </w:t>
      </w:r>
      <w:r w:rsidR="00A55A77" w:rsidRPr="00A55A77">
        <w:rPr>
          <w:snapToGrid w:val="0"/>
        </w:rPr>
        <w:t>would</w:t>
      </w:r>
      <w:r w:rsidR="006763CA" w:rsidRPr="00A55A77">
        <w:rPr>
          <w:snapToGrid w:val="0"/>
        </w:rPr>
        <w:t xml:space="preserve"> flow on</w:t>
      </w:r>
      <w:r w:rsidR="00A55A77">
        <w:rPr>
          <w:snapToGrid w:val="0"/>
        </w:rPr>
        <w:t xml:space="preserve"> </w:t>
      </w:r>
      <w:r w:rsidR="006763CA" w:rsidRPr="00A55A77">
        <w:rPr>
          <w:snapToGrid w:val="0"/>
        </w:rPr>
        <w:t xml:space="preserve">to carers </w:t>
      </w:r>
      <w:r w:rsidR="00A55A77" w:rsidRPr="00A55A77">
        <w:rPr>
          <w:snapToGrid w:val="0"/>
        </w:rPr>
        <w:t>and</w:t>
      </w:r>
      <w:r w:rsidR="006763CA" w:rsidRPr="00A55A77">
        <w:rPr>
          <w:snapToGrid w:val="0"/>
        </w:rPr>
        <w:t xml:space="preserve"> the family of </w:t>
      </w:r>
      <w:r w:rsidR="00A55A77">
        <w:rPr>
          <w:snapToGrid w:val="0"/>
        </w:rPr>
        <w:t>patients</w:t>
      </w:r>
      <w:r w:rsidRPr="00A55A77">
        <w:rPr>
          <w:snapToGrid w:val="0"/>
        </w:rPr>
        <w:t xml:space="preserve">. </w:t>
      </w:r>
    </w:p>
    <w:p w14:paraId="609C0765" w14:textId="34627B86" w:rsidR="00B60939" w:rsidRPr="00CB6395" w:rsidRDefault="00B60939" w:rsidP="002E4F02">
      <w:pPr>
        <w:pStyle w:val="4-SubsectionHeading"/>
      </w:pPr>
      <w:r w:rsidRPr="00CB6395">
        <w:t>Clinical trials</w:t>
      </w:r>
      <w:bookmarkEnd w:id="2"/>
      <w:bookmarkEnd w:id="15"/>
    </w:p>
    <w:p w14:paraId="588BB0BD" w14:textId="3C7CC646" w:rsidR="000449CE" w:rsidRDefault="00982B13" w:rsidP="003C75EE">
      <w:pPr>
        <w:pStyle w:val="3-BodyText"/>
        <w:rPr>
          <w:shd w:val="clear" w:color="auto" w:fill="FFFFFF"/>
          <w:lang w:eastAsia="zh-CN"/>
        </w:rPr>
      </w:pPr>
      <w:r w:rsidRPr="00CB6395">
        <w:rPr>
          <w:shd w:val="clear" w:color="auto" w:fill="FFFFFF"/>
          <w:lang w:eastAsia="zh-CN"/>
        </w:rPr>
        <w:t>The submission was based on three head-to-head randomised trials comparing </w:t>
      </w:r>
      <w:proofErr w:type="spellStart"/>
      <w:r w:rsidRPr="00CB6395">
        <w:rPr>
          <w:shd w:val="clear" w:color="auto" w:fill="FFFFFF"/>
          <w:lang w:eastAsia="zh-CN"/>
        </w:rPr>
        <w:t>somapacitan</w:t>
      </w:r>
      <w:proofErr w:type="spellEnd"/>
      <w:r w:rsidRPr="00CB6395">
        <w:rPr>
          <w:shd w:val="clear" w:color="auto" w:fill="FFFFFF"/>
          <w:lang w:eastAsia="zh-CN"/>
        </w:rPr>
        <w:t> to somatropin: REAL-1</w:t>
      </w:r>
      <w:r w:rsidR="005F40AB" w:rsidRPr="00CB6395">
        <w:rPr>
          <w:shd w:val="clear" w:color="auto" w:fill="FFFFFF"/>
          <w:lang w:eastAsia="zh-CN"/>
        </w:rPr>
        <w:t xml:space="preserve"> a </w:t>
      </w:r>
      <w:r w:rsidR="007704C4" w:rsidRPr="00CB6395">
        <w:rPr>
          <w:shd w:val="clear" w:color="auto" w:fill="FFFFFF"/>
          <w:lang w:eastAsia="zh-CN"/>
        </w:rPr>
        <w:t>randomised trial (</w:t>
      </w:r>
      <w:r w:rsidR="007704C4" w:rsidRPr="00CB6395">
        <w:rPr>
          <w:lang w:eastAsia="zh-CN"/>
        </w:rPr>
        <w:t xml:space="preserve">double blinded with respect to </w:t>
      </w:r>
      <w:proofErr w:type="spellStart"/>
      <w:r w:rsidR="00755D80" w:rsidRPr="00CB6395">
        <w:rPr>
          <w:lang w:eastAsia="zh-CN"/>
        </w:rPr>
        <w:t>somapacitan</w:t>
      </w:r>
      <w:proofErr w:type="spellEnd"/>
      <w:r w:rsidR="007704C4" w:rsidRPr="00CB6395">
        <w:rPr>
          <w:lang w:eastAsia="zh-CN"/>
        </w:rPr>
        <w:t xml:space="preserve"> and placebo, but open-label with respect to somatropin, </w:t>
      </w:r>
      <w:r w:rsidR="00BA5649" w:rsidRPr="00CB6395">
        <w:rPr>
          <w:shd w:val="clear" w:color="auto" w:fill="FFFFFF"/>
          <w:lang w:eastAsia="zh-CN"/>
        </w:rPr>
        <w:t>N=239 data used in submission)</w:t>
      </w:r>
      <w:r w:rsidRPr="00CB6395">
        <w:rPr>
          <w:shd w:val="clear" w:color="auto" w:fill="FFFFFF"/>
          <w:lang w:eastAsia="zh-CN"/>
        </w:rPr>
        <w:t>, REAL-2</w:t>
      </w:r>
      <w:r w:rsidR="007704C4" w:rsidRPr="00CB6395">
        <w:rPr>
          <w:shd w:val="clear" w:color="auto" w:fill="FFFFFF"/>
          <w:lang w:eastAsia="zh-CN"/>
        </w:rPr>
        <w:t xml:space="preserve"> a randomised open label study</w:t>
      </w:r>
      <w:r w:rsidR="00BA5649" w:rsidRPr="00CB6395">
        <w:rPr>
          <w:shd w:val="clear" w:color="auto" w:fill="FFFFFF"/>
          <w:lang w:eastAsia="zh-CN"/>
        </w:rPr>
        <w:t xml:space="preserve"> (N=</w:t>
      </w:r>
      <w:r w:rsidR="005F40AB" w:rsidRPr="00CB6395">
        <w:rPr>
          <w:shd w:val="clear" w:color="auto" w:fill="FFFFFF"/>
          <w:lang w:eastAsia="zh-CN"/>
        </w:rPr>
        <w:t>310)</w:t>
      </w:r>
      <w:r w:rsidRPr="00CB6395">
        <w:rPr>
          <w:shd w:val="clear" w:color="auto" w:fill="FFFFFF"/>
          <w:lang w:eastAsia="zh-CN"/>
        </w:rPr>
        <w:t>, and REAL-Japan</w:t>
      </w:r>
      <w:r w:rsidR="007704C4" w:rsidRPr="00CB6395">
        <w:rPr>
          <w:shd w:val="clear" w:color="auto" w:fill="FFFFFF"/>
          <w:lang w:eastAsia="zh-CN"/>
        </w:rPr>
        <w:t xml:space="preserve"> a randomised open label study</w:t>
      </w:r>
      <w:r w:rsidR="005F40AB" w:rsidRPr="00CB6395">
        <w:rPr>
          <w:shd w:val="clear" w:color="auto" w:fill="FFFFFF"/>
          <w:lang w:eastAsia="zh-CN"/>
        </w:rPr>
        <w:t xml:space="preserve"> (N=75)</w:t>
      </w:r>
      <w:r w:rsidRPr="00CB6395">
        <w:rPr>
          <w:shd w:val="clear" w:color="auto" w:fill="FFFFFF"/>
          <w:lang w:eastAsia="zh-CN"/>
        </w:rPr>
        <w:t xml:space="preserve">. A claim of non-inferior </w:t>
      </w:r>
      <w:r w:rsidRPr="00CB6395">
        <w:rPr>
          <w:lang w:eastAsia="zh-CN"/>
        </w:rPr>
        <w:t>effectiveness was made on the outcome of changes in body fat and quality of life at 87 weeks (REAL-1), and non-inferior safety was made on the outcome of all adverse events at 87 weeks (REAL-2 and REAL-Japan).</w:t>
      </w:r>
    </w:p>
    <w:p w14:paraId="1008A055" w14:textId="77777777" w:rsidR="000449CE" w:rsidRDefault="00A73134" w:rsidP="002E4F02">
      <w:pPr>
        <w:pStyle w:val="3-BodyText"/>
      </w:pPr>
      <w:r w:rsidRPr="00CB6395">
        <w:t>Details of the trials presented in the submission are provided in the table below.</w:t>
      </w:r>
    </w:p>
    <w:p w14:paraId="7DE3A286" w14:textId="462325D9" w:rsidR="008E0D3C" w:rsidRPr="00EE0668" w:rsidRDefault="008E0D3C" w:rsidP="00EE0668">
      <w:pPr>
        <w:pStyle w:val="TableFigureHeading"/>
        <w:rPr>
          <w:rStyle w:val="CommentReference"/>
          <w:b/>
          <w:szCs w:val="24"/>
        </w:rPr>
      </w:pPr>
      <w:r w:rsidRPr="00EE0668">
        <w:rPr>
          <w:rStyle w:val="CommentReference"/>
          <w:b/>
          <w:szCs w:val="24"/>
        </w:rPr>
        <w:t xml:space="preserve">Table </w:t>
      </w:r>
      <w:r w:rsidR="00E70F03" w:rsidRPr="00EE0668">
        <w:rPr>
          <w:rStyle w:val="CommentReference"/>
          <w:b/>
          <w:szCs w:val="24"/>
        </w:rPr>
        <w:fldChar w:fldCharType="begin"/>
      </w:r>
      <w:r w:rsidR="00E70F03" w:rsidRPr="00EE0668">
        <w:rPr>
          <w:rStyle w:val="CommentReference"/>
          <w:b/>
          <w:szCs w:val="24"/>
        </w:rPr>
        <w:instrText xml:space="preserve"> SEQ Table \* ARABIC </w:instrText>
      </w:r>
      <w:r w:rsidR="00E70F03" w:rsidRPr="00EE0668">
        <w:rPr>
          <w:rStyle w:val="CommentReference"/>
          <w:b/>
          <w:szCs w:val="24"/>
        </w:rPr>
        <w:fldChar w:fldCharType="separate"/>
      </w:r>
      <w:r w:rsidR="00AB6385">
        <w:rPr>
          <w:rStyle w:val="CommentReference"/>
          <w:b/>
          <w:noProof/>
          <w:szCs w:val="24"/>
        </w:rPr>
        <w:t>2</w:t>
      </w:r>
      <w:r w:rsidR="00E70F03" w:rsidRPr="00EE0668">
        <w:rPr>
          <w:rStyle w:val="CommentReference"/>
          <w:b/>
          <w:szCs w:val="24"/>
        </w:rPr>
        <w:fldChar w:fldCharType="end"/>
      </w:r>
      <w:r w:rsidRPr="00EE0668">
        <w:rPr>
          <w:rStyle w:val="CommentReference"/>
          <w:b/>
          <w:szCs w:val="24"/>
        </w:rPr>
        <w:t>:</w:t>
      </w:r>
      <w:r w:rsidR="00BC591F" w:rsidRPr="00EE0668">
        <w:rPr>
          <w:rStyle w:val="CommentReference"/>
          <w:b/>
          <w:szCs w:val="24"/>
        </w:rPr>
        <w:t xml:space="preserve"> </w:t>
      </w:r>
      <w:r w:rsidRPr="00EE0668">
        <w:rPr>
          <w:rStyle w:val="CommentReference"/>
          <w:b/>
          <w:szCs w:val="24"/>
        </w:rPr>
        <w:t>Trials and associated reports presented in the submission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5445"/>
        <w:gridCol w:w="2115"/>
      </w:tblGrid>
      <w:tr w:rsidR="00D73C43" w:rsidRPr="00CB6395" w14:paraId="34F5D045" w14:textId="77777777" w:rsidTr="00D73C43">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42ED1" w14:textId="77777777" w:rsidR="00D73C43" w:rsidRPr="00CB6395" w:rsidRDefault="00D73C43" w:rsidP="00D73C43">
            <w:pPr>
              <w:pStyle w:val="In-tableHeading"/>
              <w:rPr>
                <w:rFonts w:ascii="Times New Roman" w:hAnsi="Times New Roman"/>
                <w:lang w:val="en-AU" w:eastAsia="zh-CN"/>
              </w:rPr>
            </w:pPr>
            <w:r w:rsidRPr="00CB6395">
              <w:rPr>
                <w:lang w:val="en-AU" w:eastAsia="zh-CN"/>
              </w:rPr>
              <w:t>Trial ID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5038E" w14:textId="77777777" w:rsidR="00D73C43" w:rsidRPr="00CB6395" w:rsidRDefault="00D73C43" w:rsidP="00D73C43">
            <w:pPr>
              <w:pStyle w:val="In-tableHeading"/>
              <w:rPr>
                <w:rFonts w:ascii="Times New Roman" w:hAnsi="Times New Roman"/>
                <w:bCs/>
                <w:lang w:val="en-AU" w:eastAsia="zh-CN"/>
              </w:rPr>
            </w:pPr>
            <w:r w:rsidRPr="00CB6395">
              <w:rPr>
                <w:bCs/>
                <w:szCs w:val="20"/>
                <w:lang w:val="en-AU" w:eastAsia="zh-CN"/>
              </w:rPr>
              <w:t>Protocol title/ Publication title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653B2" w14:textId="77777777" w:rsidR="00D73C43" w:rsidRPr="00CB6395" w:rsidRDefault="00D73C43" w:rsidP="00D73C43">
            <w:pPr>
              <w:pStyle w:val="In-tableHeading"/>
              <w:rPr>
                <w:rFonts w:ascii="Times New Roman" w:hAnsi="Times New Roman"/>
                <w:bCs/>
                <w:lang w:val="en-AU" w:eastAsia="zh-CN"/>
              </w:rPr>
            </w:pPr>
            <w:r w:rsidRPr="00CB6395">
              <w:rPr>
                <w:bCs/>
                <w:szCs w:val="20"/>
                <w:lang w:val="en-AU" w:eastAsia="zh-CN"/>
              </w:rPr>
              <w:t>Publication citation </w:t>
            </w:r>
          </w:p>
        </w:tc>
      </w:tr>
      <w:tr w:rsidR="00D73C43" w:rsidRPr="00CB6395" w14:paraId="4528876E" w14:textId="77777777" w:rsidTr="00D73C43">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3C39A"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REAL-1 </w:t>
            </w:r>
          </w:p>
        </w:tc>
        <w:tc>
          <w:tcPr>
            <w:tcW w:w="54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B3D14D"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 xml:space="preserve">Johannsson, G., Gordon, M. B., Rasmussen, M. H., et al. </w:t>
            </w:r>
            <w:proofErr w:type="gramStart"/>
            <w:r w:rsidRPr="00CB6395">
              <w:rPr>
                <w:rFonts w:cs="Times New Roman"/>
                <w:szCs w:val="20"/>
                <w:lang w:eastAsia="zh-CN"/>
              </w:rPr>
              <w:t>Once-weekly</w:t>
            </w:r>
            <w:proofErr w:type="gramEnd"/>
            <w:r w:rsidRPr="00CB6395">
              <w:rPr>
                <w:rFonts w:cs="Times New Roman"/>
                <w:szCs w:val="20"/>
                <w:lang w:eastAsia="zh-CN"/>
              </w:rPr>
              <w:t xml:space="preserve"> </w:t>
            </w:r>
            <w:proofErr w:type="spellStart"/>
            <w:r w:rsidRPr="00CB6395">
              <w:rPr>
                <w:rFonts w:cs="Times New Roman"/>
                <w:szCs w:val="20"/>
                <w:lang w:eastAsia="zh-CN"/>
              </w:rPr>
              <w:t>somapacitan</w:t>
            </w:r>
            <w:proofErr w:type="spellEnd"/>
            <w:r w:rsidRPr="00CB6395">
              <w:rPr>
                <w:rFonts w:cs="Times New Roman"/>
                <w:szCs w:val="20"/>
                <w:lang w:eastAsia="zh-CN"/>
              </w:rPr>
              <w:t xml:space="preserve"> is effective and well tolerated in adults with GH deficiency: A randomized phase 3 trial.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12F18"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Journal of Clinical Endocrinology and Metabolism 105(4): E1358-E1376. </w:t>
            </w:r>
          </w:p>
        </w:tc>
      </w:tr>
      <w:tr w:rsidR="00D73C43" w:rsidRPr="00CB6395" w14:paraId="6B3AE9AB" w14:textId="77777777" w:rsidTr="00D73C43">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06D63"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REAL-2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42D1546B" w14:textId="71C3C074"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 xml:space="preserve">Johannsson, G., Feldt-Rasmussen, U., </w:t>
            </w:r>
            <w:proofErr w:type="spellStart"/>
            <w:r w:rsidRPr="00CB6395">
              <w:rPr>
                <w:rFonts w:cs="Times New Roman"/>
                <w:szCs w:val="20"/>
                <w:lang w:eastAsia="zh-CN"/>
              </w:rPr>
              <w:t>Hakonsson</w:t>
            </w:r>
            <w:proofErr w:type="spellEnd"/>
            <w:r w:rsidRPr="00CB6395">
              <w:rPr>
                <w:rFonts w:cs="Times New Roman"/>
                <w:szCs w:val="20"/>
                <w:lang w:eastAsia="zh-CN"/>
              </w:rPr>
              <w:t xml:space="preserve">, I. H., et al. Safety and convenience of once-weekly </w:t>
            </w:r>
            <w:proofErr w:type="spellStart"/>
            <w:r w:rsidRPr="00CB6395">
              <w:rPr>
                <w:rFonts w:cs="Times New Roman"/>
                <w:szCs w:val="20"/>
                <w:lang w:eastAsia="zh-CN"/>
              </w:rPr>
              <w:t>somapacitan</w:t>
            </w:r>
            <w:proofErr w:type="spellEnd"/>
            <w:r w:rsidRPr="00CB6395">
              <w:rPr>
                <w:rFonts w:cs="Times New Roman"/>
                <w:szCs w:val="20"/>
                <w:lang w:eastAsia="zh-CN"/>
              </w:rPr>
              <w:t xml:space="preserve"> in adult GH deficiency: a 26-week randomized, controlled trial.</w:t>
            </w:r>
            <w:r w:rsidR="00EF02DA">
              <w:rPr>
                <w:rFonts w:cs="Times New Roman"/>
                <w:szCs w:val="20"/>
                <w:lang w:eastAsia="zh-CN"/>
              </w:rPr>
              <w:t xml:space="preserve">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06476"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Eur J Endocrinol 178(5): 491-499. </w:t>
            </w:r>
          </w:p>
        </w:tc>
      </w:tr>
      <w:tr w:rsidR="00D73C43" w:rsidRPr="00CB6395" w14:paraId="2C474632" w14:textId="77777777" w:rsidTr="00D73C43">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3270D"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REAL-Japan </w:t>
            </w:r>
          </w:p>
        </w:tc>
        <w:tc>
          <w:tcPr>
            <w:tcW w:w="5445" w:type="dxa"/>
            <w:tcBorders>
              <w:top w:val="single" w:sz="6" w:space="0" w:color="auto"/>
              <w:left w:val="single" w:sz="6" w:space="0" w:color="auto"/>
              <w:bottom w:val="single" w:sz="6" w:space="0" w:color="auto"/>
              <w:right w:val="single" w:sz="6" w:space="0" w:color="auto"/>
            </w:tcBorders>
            <w:shd w:val="clear" w:color="auto" w:fill="auto"/>
            <w:hideMark/>
          </w:tcPr>
          <w:p w14:paraId="359E0726" w14:textId="7DBB13E1"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 xml:space="preserve">Otsuka, F., Takahashi, Y., Tahara, S., et al. Similar safety and efficacy in previously treated adults with growth hormone deficiency randomized to </w:t>
            </w:r>
            <w:proofErr w:type="gramStart"/>
            <w:r w:rsidRPr="00CB6395">
              <w:rPr>
                <w:rFonts w:cs="Times New Roman"/>
                <w:szCs w:val="20"/>
                <w:lang w:eastAsia="zh-CN"/>
              </w:rPr>
              <w:t>once-weekly</w:t>
            </w:r>
            <w:proofErr w:type="gramEnd"/>
            <w:r w:rsidRPr="00CB6395">
              <w:rPr>
                <w:rFonts w:cs="Times New Roman"/>
                <w:szCs w:val="20"/>
                <w:lang w:eastAsia="zh-CN"/>
              </w:rPr>
              <w:t xml:space="preserve"> </w:t>
            </w:r>
            <w:proofErr w:type="spellStart"/>
            <w:r w:rsidRPr="00CB6395">
              <w:rPr>
                <w:rFonts w:cs="Times New Roman"/>
                <w:szCs w:val="20"/>
                <w:lang w:eastAsia="zh-CN"/>
              </w:rPr>
              <w:t>somapacitan</w:t>
            </w:r>
            <w:proofErr w:type="spellEnd"/>
            <w:r w:rsidRPr="00CB6395">
              <w:rPr>
                <w:rFonts w:cs="Times New Roman"/>
                <w:szCs w:val="20"/>
                <w:lang w:eastAsia="zh-CN"/>
              </w:rPr>
              <w:t xml:space="preserve"> or daily growth hormone.</w:t>
            </w:r>
            <w:r w:rsidR="00EF02DA">
              <w:rPr>
                <w:rFonts w:cs="Times New Roman"/>
                <w:szCs w:val="20"/>
                <w:lang w:eastAsia="zh-CN"/>
              </w:rPr>
              <w:t xml:space="preserve">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50617" w14:textId="77777777" w:rsidR="00D73C43" w:rsidRPr="00CB6395" w:rsidRDefault="00D73C43" w:rsidP="00D73C43">
            <w:pPr>
              <w:pStyle w:val="TableText0"/>
              <w:rPr>
                <w:rFonts w:ascii="Times New Roman" w:hAnsi="Times New Roman" w:cs="Times New Roman"/>
                <w:lang w:eastAsia="zh-CN"/>
              </w:rPr>
            </w:pPr>
            <w:r w:rsidRPr="00CB6395">
              <w:rPr>
                <w:rFonts w:cs="Times New Roman"/>
                <w:szCs w:val="20"/>
                <w:lang w:eastAsia="zh-CN"/>
              </w:rPr>
              <w:t>Clin Endocrinol (</w:t>
            </w:r>
            <w:proofErr w:type="spellStart"/>
            <w:r w:rsidRPr="00CB6395">
              <w:rPr>
                <w:rFonts w:cs="Times New Roman"/>
                <w:szCs w:val="20"/>
                <w:lang w:eastAsia="zh-CN"/>
              </w:rPr>
              <w:t>Oxf</w:t>
            </w:r>
            <w:proofErr w:type="spellEnd"/>
            <w:r w:rsidRPr="00CB6395">
              <w:rPr>
                <w:rFonts w:cs="Times New Roman"/>
                <w:szCs w:val="20"/>
                <w:lang w:eastAsia="zh-CN"/>
              </w:rPr>
              <w:t>) 93(5): 620-628. </w:t>
            </w:r>
          </w:p>
        </w:tc>
      </w:tr>
    </w:tbl>
    <w:p w14:paraId="122815D8" w14:textId="77777777" w:rsidR="000449CE" w:rsidRDefault="00D73C43" w:rsidP="00D73C43">
      <w:pPr>
        <w:textAlignment w:val="baseline"/>
        <w:rPr>
          <w:rFonts w:ascii="Arial Narrow" w:hAnsi="Arial Narrow" w:cs="Segoe UI"/>
          <w:sz w:val="18"/>
          <w:szCs w:val="18"/>
        </w:rPr>
      </w:pPr>
      <w:r w:rsidRPr="00CB6395">
        <w:rPr>
          <w:rFonts w:ascii="Arial Narrow" w:hAnsi="Arial Narrow" w:cs="Segoe UI"/>
          <w:sz w:val="18"/>
          <w:szCs w:val="18"/>
        </w:rPr>
        <w:t>Source: Table 2.2.2, pp33-34 of the submission.</w:t>
      </w:r>
    </w:p>
    <w:p w14:paraId="7A1CDA96" w14:textId="35FBA650" w:rsidR="00E70F03" w:rsidRPr="00CB6395" w:rsidRDefault="00E70F03" w:rsidP="00EE0668">
      <w:pPr>
        <w:pStyle w:val="TableFigureFooter"/>
      </w:pPr>
      <w:r w:rsidRPr="00CB6395">
        <w:t>GH= growth hormone</w:t>
      </w:r>
    </w:p>
    <w:p w14:paraId="30A7ED39" w14:textId="77777777" w:rsidR="000449CE" w:rsidRDefault="008F120A" w:rsidP="008C7497">
      <w:pPr>
        <w:pStyle w:val="3-BodyText"/>
      </w:pPr>
      <w:r w:rsidRPr="00CB6395">
        <w:t>The key features of the trials</w:t>
      </w:r>
      <w:r w:rsidR="002236D8" w:rsidRPr="00CB6395">
        <w:t xml:space="preserve"> </w:t>
      </w:r>
      <w:r w:rsidRPr="00CB6395">
        <w:t>are summarised in the table below.</w:t>
      </w:r>
    </w:p>
    <w:p w14:paraId="355E2F15" w14:textId="494BC728" w:rsidR="007F1017" w:rsidRPr="00EE0668" w:rsidRDefault="007F1017" w:rsidP="00EE0668">
      <w:pPr>
        <w:pStyle w:val="TableFigureHeading"/>
        <w:rPr>
          <w:rStyle w:val="CommentReference"/>
          <w:b/>
          <w:szCs w:val="24"/>
        </w:rPr>
      </w:pPr>
      <w:r w:rsidRPr="00EE0668">
        <w:t xml:space="preserve">Table </w:t>
      </w:r>
      <w:r w:rsidR="00AB6385">
        <w:fldChar w:fldCharType="begin"/>
      </w:r>
      <w:r w:rsidR="00AB6385">
        <w:instrText xml:space="preserve"> SEQ Table \* ARABIC </w:instrText>
      </w:r>
      <w:r w:rsidR="00AB6385">
        <w:fldChar w:fldCharType="separate"/>
      </w:r>
      <w:r w:rsidR="00AB6385">
        <w:rPr>
          <w:noProof/>
        </w:rPr>
        <w:t>3</w:t>
      </w:r>
      <w:r w:rsidR="00AB6385">
        <w:fldChar w:fldCharType="end"/>
      </w:r>
      <w:r w:rsidRPr="00EE0668">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B41614" w:rsidRPr="00CB6395" w14:paraId="53DD7CC6" w14:textId="77777777" w:rsidTr="001E34DF">
        <w:trPr>
          <w:cantSplit/>
          <w:tblHeader/>
        </w:trPr>
        <w:tc>
          <w:tcPr>
            <w:tcW w:w="713" w:type="pct"/>
            <w:shd w:val="clear" w:color="auto" w:fill="auto"/>
            <w:vAlign w:val="center"/>
          </w:tcPr>
          <w:p w14:paraId="794116BC" w14:textId="77777777" w:rsidR="007F1017" w:rsidRPr="00CB6395" w:rsidRDefault="007F1017" w:rsidP="001E34DF">
            <w:pPr>
              <w:pStyle w:val="In-tableHeading"/>
              <w:rPr>
                <w:lang w:val="en-AU"/>
              </w:rPr>
            </w:pPr>
            <w:r w:rsidRPr="00CB6395">
              <w:rPr>
                <w:lang w:val="en-AU"/>
              </w:rPr>
              <w:t>Trial</w:t>
            </w:r>
          </w:p>
        </w:tc>
        <w:tc>
          <w:tcPr>
            <w:tcW w:w="466" w:type="pct"/>
            <w:shd w:val="clear" w:color="auto" w:fill="auto"/>
            <w:vAlign w:val="center"/>
          </w:tcPr>
          <w:p w14:paraId="51122FE5" w14:textId="77777777" w:rsidR="007F1017" w:rsidRPr="00CB6395" w:rsidRDefault="007F1017" w:rsidP="00EC5836">
            <w:pPr>
              <w:pStyle w:val="In-tableHeading"/>
              <w:jc w:val="center"/>
              <w:rPr>
                <w:lang w:val="en-AU"/>
              </w:rPr>
            </w:pPr>
            <w:r w:rsidRPr="00CB6395">
              <w:rPr>
                <w:lang w:val="en-AU"/>
              </w:rPr>
              <w:t>N</w:t>
            </w:r>
          </w:p>
        </w:tc>
        <w:tc>
          <w:tcPr>
            <w:tcW w:w="782" w:type="pct"/>
            <w:shd w:val="clear" w:color="auto" w:fill="auto"/>
            <w:vAlign w:val="center"/>
          </w:tcPr>
          <w:p w14:paraId="41C438EF" w14:textId="77777777" w:rsidR="007F1017" w:rsidRPr="00CB6395" w:rsidRDefault="007F1017" w:rsidP="00EC5836">
            <w:pPr>
              <w:pStyle w:val="In-tableHeading"/>
              <w:jc w:val="center"/>
              <w:rPr>
                <w:lang w:val="en-AU"/>
              </w:rPr>
            </w:pPr>
            <w:r w:rsidRPr="00CB6395">
              <w:rPr>
                <w:lang w:val="en-AU"/>
              </w:rPr>
              <w:t>Design/ duration</w:t>
            </w:r>
          </w:p>
        </w:tc>
        <w:tc>
          <w:tcPr>
            <w:tcW w:w="621" w:type="pct"/>
            <w:shd w:val="clear" w:color="auto" w:fill="auto"/>
            <w:vAlign w:val="center"/>
          </w:tcPr>
          <w:p w14:paraId="1FC91360" w14:textId="77777777" w:rsidR="007F1017" w:rsidRPr="00CB6395" w:rsidRDefault="007F1017" w:rsidP="00EC5836">
            <w:pPr>
              <w:pStyle w:val="In-tableHeading"/>
              <w:jc w:val="center"/>
              <w:rPr>
                <w:lang w:val="en-AU"/>
              </w:rPr>
            </w:pPr>
            <w:r w:rsidRPr="00CB6395">
              <w:rPr>
                <w:lang w:val="en-AU"/>
              </w:rPr>
              <w:t>Risk of bias</w:t>
            </w:r>
          </w:p>
        </w:tc>
        <w:tc>
          <w:tcPr>
            <w:tcW w:w="857" w:type="pct"/>
            <w:shd w:val="clear" w:color="auto" w:fill="auto"/>
            <w:vAlign w:val="center"/>
          </w:tcPr>
          <w:p w14:paraId="7FF90896" w14:textId="77777777" w:rsidR="007F1017" w:rsidRPr="00CB6395" w:rsidRDefault="007F1017" w:rsidP="00EC5836">
            <w:pPr>
              <w:pStyle w:val="In-tableHeading"/>
              <w:jc w:val="center"/>
              <w:rPr>
                <w:lang w:val="en-AU"/>
              </w:rPr>
            </w:pPr>
            <w:r w:rsidRPr="00CB6395">
              <w:rPr>
                <w:lang w:val="en-AU"/>
              </w:rPr>
              <w:t>Patient population</w:t>
            </w:r>
          </w:p>
        </w:tc>
        <w:tc>
          <w:tcPr>
            <w:tcW w:w="622" w:type="pct"/>
            <w:shd w:val="clear" w:color="auto" w:fill="auto"/>
            <w:vAlign w:val="center"/>
          </w:tcPr>
          <w:p w14:paraId="0FCB63F9" w14:textId="77777777" w:rsidR="007F1017" w:rsidRPr="00CB6395" w:rsidRDefault="007F1017" w:rsidP="00EC5836">
            <w:pPr>
              <w:pStyle w:val="In-tableHeading"/>
              <w:jc w:val="center"/>
              <w:rPr>
                <w:lang w:val="en-AU"/>
              </w:rPr>
            </w:pPr>
            <w:r w:rsidRPr="00CB6395">
              <w:rPr>
                <w:lang w:val="en-AU"/>
              </w:rPr>
              <w:t>Outcome(s)</w:t>
            </w:r>
          </w:p>
        </w:tc>
        <w:tc>
          <w:tcPr>
            <w:tcW w:w="939" w:type="pct"/>
            <w:shd w:val="clear" w:color="auto" w:fill="auto"/>
            <w:vAlign w:val="center"/>
          </w:tcPr>
          <w:p w14:paraId="08C6F624" w14:textId="309754DD" w:rsidR="007F1017" w:rsidRPr="00CB6395" w:rsidRDefault="007F1017" w:rsidP="00EC5836">
            <w:pPr>
              <w:pStyle w:val="In-tableHeading"/>
              <w:jc w:val="center"/>
              <w:rPr>
                <w:lang w:val="en-AU"/>
              </w:rPr>
            </w:pPr>
            <w:r w:rsidRPr="00CB6395">
              <w:rPr>
                <w:lang w:val="en-AU"/>
              </w:rPr>
              <w:t>Use in modelled evaluation</w:t>
            </w:r>
          </w:p>
        </w:tc>
      </w:tr>
      <w:tr w:rsidR="007F1017" w:rsidRPr="00CB6395" w14:paraId="2A03CD4B" w14:textId="77777777" w:rsidTr="00682BA6">
        <w:trPr>
          <w:cantSplit/>
        </w:trPr>
        <w:tc>
          <w:tcPr>
            <w:tcW w:w="5000" w:type="pct"/>
            <w:gridSpan w:val="7"/>
            <w:shd w:val="clear" w:color="auto" w:fill="auto"/>
            <w:vAlign w:val="center"/>
          </w:tcPr>
          <w:p w14:paraId="73088C85" w14:textId="13276A7B" w:rsidR="007F1017" w:rsidRPr="00CB6395" w:rsidRDefault="006752BE" w:rsidP="00EC5836">
            <w:pPr>
              <w:pStyle w:val="In-tableHeading"/>
              <w:rPr>
                <w:lang w:val="en-AU"/>
              </w:rPr>
            </w:pPr>
            <w:proofErr w:type="spellStart"/>
            <w:r w:rsidRPr="00CB6395">
              <w:rPr>
                <w:lang w:val="en-AU"/>
              </w:rPr>
              <w:t>Somapacitan</w:t>
            </w:r>
            <w:proofErr w:type="spellEnd"/>
            <w:r w:rsidRPr="00CB6395">
              <w:rPr>
                <w:lang w:val="en-AU"/>
              </w:rPr>
              <w:t xml:space="preserve"> vs. somatropin</w:t>
            </w:r>
          </w:p>
        </w:tc>
      </w:tr>
      <w:tr w:rsidR="00B41614" w:rsidRPr="003214C3" w14:paraId="4EE88DCB" w14:textId="77777777" w:rsidTr="00682BA6">
        <w:trPr>
          <w:cantSplit/>
        </w:trPr>
        <w:tc>
          <w:tcPr>
            <w:tcW w:w="713" w:type="pct"/>
            <w:shd w:val="clear" w:color="auto" w:fill="auto"/>
            <w:vAlign w:val="center"/>
          </w:tcPr>
          <w:p w14:paraId="6EE77D33" w14:textId="0E75780E" w:rsidR="007F1017" w:rsidRPr="003214C3" w:rsidRDefault="006752BE" w:rsidP="00EC5836">
            <w:pPr>
              <w:pStyle w:val="TableText0"/>
            </w:pPr>
            <w:r w:rsidRPr="003214C3">
              <w:t>REAL-1</w:t>
            </w:r>
          </w:p>
        </w:tc>
        <w:tc>
          <w:tcPr>
            <w:tcW w:w="466" w:type="pct"/>
            <w:shd w:val="clear" w:color="auto" w:fill="auto"/>
            <w:vAlign w:val="center"/>
          </w:tcPr>
          <w:p w14:paraId="41BB0E41" w14:textId="1B950689" w:rsidR="007F1017" w:rsidRPr="003214C3" w:rsidRDefault="007F1017" w:rsidP="00EC5836">
            <w:pPr>
              <w:pStyle w:val="TableText0"/>
              <w:jc w:val="center"/>
            </w:pPr>
            <w:r w:rsidRPr="003214C3">
              <w:t>2</w:t>
            </w:r>
            <w:r w:rsidR="00ED7BC9" w:rsidRPr="003214C3">
              <w:t>39</w:t>
            </w:r>
            <w:r w:rsidR="00ED7BC9" w:rsidRPr="003214C3">
              <w:rPr>
                <w:vertAlign w:val="superscript"/>
              </w:rPr>
              <w:t>a</w:t>
            </w:r>
          </w:p>
        </w:tc>
        <w:tc>
          <w:tcPr>
            <w:tcW w:w="782" w:type="pct"/>
            <w:shd w:val="clear" w:color="auto" w:fill="auto"/>
            <w:vAlign w:val="center"/>
          </w:tcPr>
          <w:p w14:paraId="401EAFDA" w14:textId="1B02E01E" w:rsidR="007F1017" w:rsidRPr="003214C3" w:rsidRDefault="007F1017" w:rsidP="00EC5836">
            <w:pPr>
              <w:pStyle w:val="TableText0"/>
              <w:jc w:val="center"/>
            </w:pPr>
            <w:r w:rsidRPr="003214C3">
              <w:t xml:space="preserve">R, </w:t>
            </w:r>
            <w:r w:rsidR="00D04321" w:rsidRPr="003214C3">
              <w:t>DB</w:t>
            </w:r>
            <w:r w:rsidR="001E07F1" w:rsidRPr="003214C3">
              <w:t xml:space="preserve"> (</w:t>
            </w:r>
            <w:proofErr w:type="spellStart"/>
            <w:r w:rsidR="00755D80" w:rsidRPr="003214C3">
              <w:t>somapacitan</w:t>
            </w:r>
            <w:proofErr w:type="spellEnd"/>
            <w:r w:rsidR="001E07F1" w:rsidRPr="003214C3">
              <w:t xml:space="preserve"> vs placebo); </w:t>
            </w:r>
            <w:r w:rsidR="00D04321" w:rsidRPr="003214C3">
              <w:t>OL</w:t>
            </w:r>
            <w:r w:rsidR="001E07F1" w:rsidRPr="003214C3">
              <w:t xml:space="preserve"> (</w:t>
            </w:r>
            <w:proofErr w:type="spellStart"/>
            <w:r w:rsidR="00755D80" w:rsidRPr="003214C3">
              <w:t>somapacitan</w:t>
            </w:r>
            <w:proofErr w:type="spellEnd"/>
            <w:r w:rsidR="001E07F1" w:rsidRPr="003214C3">
              <w:t xml:space="preserve"> vs somatropin)</w:t>
            </w:r>
          </w:p>
          <w:p w14:paraId="744D08AC" w14:textId="13102A66" w:rsidR="007F1017" w:rsidRPr="003214C3" w:rsidRDefault="00400819" w:rsidP="00EC5836">
            <w:pPr>
              <w:pStyle w:val="TableText0"/>
              <w:jc w:val="center"/>
            </w:pPr>
            <w:r w:rsidRPr="003214C3">
              <w:t>34</w:t>
            </w:r>
            <w:r w:rsidR="00ED7BC9" w:rsidRPr="003214C3">
              <w:t xml:space="preserve"> weeks</w:t>
            </w:r>
          </w:p>
        </w:tc>
        <w:tc>
          <w:tcPr>
            <w:tcW w:w="621" w:type="pct"/>
            <w:shd w:val="clear" w:color="auto" w:fill="auto"/>
            <w:vAlign w:val="center"/>
          </w:tcPr>
          <w:p w14:paraId="4A529D74" w14:textId="25C3B756" w:rsidR="007F1017" w:rsidRPr="003214C3" w:rsidRDefault="00530999" w:rsidP="00EC5836">
            <w:pPr>
              <w:pStyle w:val="TableText0"/>
              <w:jc w:val="center"/>
            </w:pPr>
            <w:r w:rsidRPr="003214C3">
              <w:t>Moderate</w:t>
            </w:r>
          </w:p>
        </w:tc>
        <w:tc>
          <w:tcPr>
            <w:tcW w:w="857" w:type="pct"/>
            <w:shd w:val="clear" w:color="auto" w:fill="auto"/>
            <w:vAlign w:val="center"/>
          </w:tcPr>
          <w:p w14:paraId="5E6F456D" w14:textId="28EB4AC0" w:rsidR="007F1017" w:rsidRPr="003214C3" w:rsidRDefault="00480761" w:rsidP="00EC5836">
            <w:pPr>
              <w:pStyle w:val="TableText0"/>
              <w:jc w:val="center"/>
            </w:pPr>
            <w:r w:rsidRPr="003214C3">
              <w:t xml:space="preserve">Treatment naïve </w:t>
            </w:r>
          </w:p>
        </w:tc>
        <w:tc>
          <w:tcPr>
            <w:tcW w:w="622" w:type="pct"/>
            <w:shd w:val="clear" w:color="auto" w:fill="auto"/>
            <w:vAlign w:val="center"/>
          </w:tcPr>
          <w:p w14:paraId="6DC76214" w14:textId="4F12BC28" w:rsidR="007F1017" w:rsidRPr="003214C3" w:rsidRDefault="00C61FA1" w:rsidP="00EC5836">
            <w:pPr>
              <w:pStyle w:val="TableText0"/>
              <w:jc w:val="center"/>
            </w:pPr>
            <w:r w:rsidRPr="003214C3">
              <w:t>E</w:t>
            </w:r>
            <w:r w:rsidR="00012D65" w:rsidRPr="003214C3">
              <w:t>f</w:t>
            </w:r>
            <w:r w:rsidRPr="003214C3">
              <w:t>ficacy</w:t>
            </w:r>
          </w:p>
        </w:tc>
        <w:tc>
          <w:tcPr>
            <w:tcW w:w="939" w:type="pct"/>
            <w:shd w:val="clear" w:color="auto" w:fill="auto"/>
            <w:vAlign w:val="center"/>
          </w:tcPr>
          <w:p w14:paraId="150A804C" w14:textId="2CAF8F92" w:rsidR="007F1017" w:rsidRPr="003214C3" w:rsidRDefault="00012D65" w:rsidP="00EC5836">
            <w:pPr>
              <w:pStyle w:val="TableText0"/>
              <w:jc w:val="center"/>
            </w:pPr>
            <w:r w:rsidRPr="003214C3">
              <w:t>Used</w:t>
            </w:r>
          </w:p>
        </w:tc>
      </w:tr>
      <w:tr w:rsidR="00B41614" w:rsidRPr="003214C3" w14:paraId="13A6895C" w14:textId="77777777" w:rsidTr="00682BA6">
        <w:trPr>
          <w:cantSplit/>
        </w:trPr>
        <w:tc>
          <w:tcPr>
            <w:tcW w:w="713" w:type="pct"/>
            <w:shd w:val="clear" w:color="auto" w:fill="auto"/>
            <w:vAlign w:val="center"/>
          </w:tcPr>
          <w:p w14:paraId="4A9488B3" w14:textId="4EF5A526" w:rsidR="007F1017" w:rsidRPr="003214C3" w:rsidRDefault="006752BE" w:rsidP="00EC5836">
            <w:pPr>
              <w:pStyle w:val="TableText0"/>
            </w:pPr>
            <w:r w:rsidRPr="003214C3">
              <w:t>REAL-2</w:t>
            </w:r>
          </w:p>
        </w:tc>
        <w:tc>
          <w:tcPr>
            <w:tcW w:w="466" w:type="pct"/>
            <w:shd w:val="clear" w:color="auto" w:fill="auto"/>
            <w:vAlign w:val="center"/>
          </w:tcPr>
          <w:p w14:paraId="3F4D20B5" w14:textId="77777777" w:rsidR="007F1017" w:rsidRPr="003214C3" w:rsidRDefault="007F1017" w:rsidP="00EC5836">
            <w:pPr>
              <w:pStyle w:val="TableText0"/>
              <w:jc w:val="center"/>
            </w:pPr>
            <w:r w:rsidRPr="003214C3">
              <w:t>310</w:t>
            </w:r>
          </w:p>
        </w:tc>
        <w:tc>
          <w:tcPr>
            <w:tcW w:w="782" w:type="pct"/>
            <w:shd w:val="clear" w:color="auto" w:fill="auto"/>
            <w:vAlign w:val="center"/>
          </w:tcPr>
          <w:p w14:paraId="0CEC85E4" w14:textId="77777777" w:rsidR="007F1017" w:rsidRPr="003214C3" w:rsidRDefault="007F1017" w:rsidP="00EC5836">
            <w:pPr>
              <w:pStyle w:val="TableText0"/>
              <w:jc w:val="center"/>
            </w:pPr>
            <w:r w:rsidRPr="003214C3">
              <w:t>R, OL</w:t>
            </w:r>
          </w:p>
          <w:p w14:paraId="68D92FE7" w14:textId="4A48726A" w:rsidR="007F1017" w:rsidRPr="003214C3" w:rsidRDefault="005D54E1" w:rsidP="00EC5836">
            <w:pPr>
              <w:pStyle w:val="TableText0"/>
              <w:jc w:val="center"/>
            </w:pPr>
            <w:r w:rsidRPr="003214C3">
              <w:t>26 weeks</w:t>
            </w:r>
          </w:p>
        </w:tc>
        <w:tc>
          <w:tcPr>
            <w:tcW w:w="621" w:type="pct"/>
            <w:shd w:val="clear" w:color="auto" w:fill="auto"/>
            <w:vAlign w:val="center"/>
          </w:tcPr>
          <w:p w14:paraId="6F0F93F8" w14:textId="77777777" w:rsidR="007F1017" w:rsidRPr="003214C3" w:rsidRDefault="007F1017" w:rsidP="00EC5836">
            <w:pPr>
              <w:pStyle w:val="TableText0"/>
              <w:jc w:val="center"/>
            </w:pPr>
            <w:r w:rsidRPr="003214C3">
              <w:t>High</w:t>
            </w:r>
          </w:p>
        </w:tc>
        <w:tc>
          <w:tcPr>
            <w:tcW w:w="857" w:type="pct"/>
            <w:shd w:val="clear" w:color="auto" w:fill="auto"/>
            <w:vAlign w:val="center"/>
          </w:tcPr>
          <w:p w14:paraId="43AC963E" w14:textId="79946A70" w:rsidR="007F1017" w:rsidRPr="003214C3" w:rsidRDefault="0018067F" w:rsidP="00EC5836">
            <w:pPr>
              <w:pStyle w:val="TableText0"/>
              <w:jc w:val="center"/>
            </w:pPr>
            <w:r w:rsidRPr="003214C3">
              <w:t>Previously treated</w:t>
            </w:r>
          </w:p>
        </w:tc>
        <w:tc>
          <w:tcPr>
            <w:tcW w:w="622" w:type="pct"/>
            <w:shd w:val="clear" w:color="auto" w:fill="auto"/>
            <w:vAlign w:val="center"/>
          </w:tcPr>
          <w:p w14:paraId="4F0C99D2" w14:textId="049AF774" w:rsidR="007F1017" w:rsidRPr="003214C3" w:rsidRDefault="0018067F" w:rsidP="00EC5836">
            <w:pPr>
              <w:pStyle w:val="TableText0"/>
              <w:jc w:val="center"/>
            </w:pPr>
            <w:r w:rsidRPr="003214C3">
              <w:t>Safety</w:t>
            </w:r>
          </w:p>
        </w:tc>
        <w:tc>
          <w:tcPr>
            <w:tcW w:w="939" w:type="pct"/>
            <w:shd w:val="clear" w:color="auto" w:fill="auto"/>
            <w:vAlign w:val="center"/>
          </w:tcPr>
          <w:p w14:paraId="3175EA34" w14:textId="77777777" w:rsidR="007F1017" w:rsidRPr="003214C3" w:rsidRDefault="007F1017" w:rsidP="00EC5836">
            <w:pPr>
              <w:pStyle w:val="TableText0"/>
              <w:jc w:val="center"/>
            </w:pPr>
            <w:r w:rsidRPr="003214C3">
              <w:t>Not used</w:t>
            </w:r>
          </w:p>
        </w:tc>
      </w:tr>
      <w:tr w:rsidR="00B41614" w:rsidRPr="003214C3" w14:paraId="6DAFAEAF" w14:textId="77777777" w:rsidTr="00682BA6">
        <w:trPr>
          <w:cantSplit/>
        </w:trPr>
        <w:tc>
          <w:tcPr>
            <w:tcW w:w="713" w:type="pct"/>
            <w:shd w:val="clear" w:color="auto" w:fill="auto"/>
            <w:vAlign w:val="center"/>
          </w:tcPr>
          <w:p w14:paraId="76F0584C" w14:textId="530A196A" w:rsidR="007F1017" w:rsidRPr="003214C3" w:rsidRDefault="006752BE" w:rsidP="00EC5836">
            <w:pPr>
              <w:pStyle w:val="TableText0"/>
            </w:pPr>
            <w:r w:rsidRPr="003214C3">
              <w:t>REAL-Japan</w:t>
            </w:r>
          </w:p>
        </w:tc>
        <w:tc>
          <w:tcPr>
            <w:tcW w:w="466" w:type="pct"/>
            <w:shd w:val="clear" w:color="auto" w:fill="auto"/>
            <w:vAlign w:val="center"/>
          </w:tcPr>
          <w:p w14:paraId="7D785F8E" w14:textId="77777777" w:rsidR="007F1017" w:rsidRPr="003214C3" w:rsidRDefault="007F1017" w:rsidP="00EC5836">
            <w:pPr>
              <w:pStyle w:val="TableText0"/>
              <w:jc w:val="center"/>
            </w:pPr>
            <w:r w:rsidRPr="003214C3">
              <w:t>75</w:t>
            </w:r>
          </w:p>
        </w:tc>
        <w:tc>
          <w:tcPr>
            <w:tcW w:w="782" w:type="pct"/>
            <w:shd w:val="clear" w:color="auto" w:fill="auto"/>
            <w:vAlign w:val="center"/>
          </w:tcPr>
          <w:p w14:paraId="0DF6C5D9" w14:textId="295EBAFE" w:rsidR="007F1017" w:rsidRPr="003214C3" w:rsidRDefault="007F1017" w:rsidP="00EC5836">
            <w:pPr>
              <w:pStyle w:val="TableText0"/>
              <w:jc w:val="center"/>
            </w:pPr>
            <w:r w:rsidRPr="003214C3">
              <w:t xml:space="preserve">R, </w:t>
            </w:r>
            <w:r w:rsidR="00924B77" w:rsidRPr="003214C3">
              <w:t>OL</w:t>
            </w:r>
          </w:p>
          <w:p w14:paraId="4F10C1AA" w14:textId="3B831577" w:rsidR="007F1017" w:rsidRPr="003214C3" w:rsidRDefault="005D54E1" w:rsidP="00EC5836">
            <w:pPr>
              <w:pStyle w:val="TableText0"/>
              <w:jc w:val="center"/>
            </w:pPr>
            <w:r w:rsidRPr="003214C3">
              <w:t>52 weeks</w:t>
            </w:r>
          </w:p>
        </w:tc>
        <w:tc>
          <w:tcPr>
            <w:tcW w:w="621" w:type="pct"/>
            <w:shd w:val="clear" w:color="auto" w:fill="auto"/>
            <w:vAlign w:val="center"/>
          </w:tcPr>
          <w:p w14:paraId="50E27A90" w14:textId="3BA47428" w:rsidR="007F1017" w:rsidRPr="003214C3" w:rsidRDefault="00F37984" w:rsidP="00EC5836">
            <w:pPr>
              <w:pStyle w:val="TableText0"/>
              <w:jc w:val="center"/>
            </w:pPr>
            <w:r w:rsidRPr="003214C3">
              <w:t>High</w:t>
            </w:r>
          </w:p>
        </w:tc>
        <w:tc>
          <w:tcPr>
            <w:tcW w:w="857" w:type="pct"/>
            <w:shd w:val="clear" w:color="auto" w:fill="auto"/>
            <w:vAlign w:val="center"/>
          </w:tcPr>
          <w:p w14:paraId="1B84BE0E" w14:textId="50CB8E98" w:rsidR="007F1017" w:rsidRPr="003214C3" w:rsidRDefault="0018067F" w:rsidP="00EC5836">
            <w:pPr>
              <w:pStyle w:val="TableText0"/>
              <w:jc w:val="center"/>
            </w:pPr>
            <w:r w:rsidRPr="003214C3">
              <w:t>Previously treated</w:t>
            </w:r>
          </w:p>
        </w:tc>
        <w:tc>
          <w:tcPr>
            <w:tcW w:w="622" w:type="pct"/>
            <w:shd w:val="clear" w:color="auto" w:fill="auto"/>
            <w:vAlign w:val="center"/>
          </w:tcPr>
          <w:p w14:paraId="4E7BED76" w14:textId="499481DC" w:rsidR="007F1017" w:rsidRPr="003214C3" w:rsidRDefault="0018067F" w:rsidP="00EC5836">
            <w:pPr>
              <w:pStyle w:val="TableText0"/>
              <w:jc w:val="center"/>
            </w:pPr>
            <w:r w:rsidRPr="003214C3">
              <w:t>Safety</w:t>
            </w:r>
          </w:p>
        </w:tc>
        <w:tc>
          <w:tcPr>
            <w:tcW w:w="939" w:type="pct"/>
            <w:shd w:val="clear" w:color="auto" w:fill="auto"/>
            <w:vAlign w:val="center"/>
          </w:tcPr>
          <w:p w14:paraId="0351A18F" w14:textId="77777777" w:rsidR="007F1017" w:rsidRPr="003214C3" w:rsidRDefault="007F1017" w:rsidP="00EC5836">
            <w:pPr>
              <w:pStyle w:val="TableText0"/>
              <w:jc w:val="center"/>
            </w:pPr>
            <w:r w:rsidRPr="003214C3">
              <w:t>Not used</w:t>
            </w:r>
          </w:p>
        </w:tc>
      </w:tr>
    </w:tbl>
    <w:p w14:paraId="560080D2" w14:textId="689DD1DC" w:rsidR="00045017" w:rsidRPr="00CB6395" w:rsidRDefault="00045017" w:rsidP="00EC5836">
      <w:pPr>
        <w:pStyle w:val="TableFigureFooter"/>
      </w:pPr>
      <w:r w:rsidRPr="00CB6395">
        <w:t xml:space="preserve">Source: </w:t>
      </w:r>
      <w:r w:rsidR="006752BE" w:rsidRPr="003214C3">
        <w:t>Compiled during the evaluation</w:t>
      </w:r>
    </w:p>
    <w:p w14:paraId="1095487C" w14:textId="237BE5D8" w:rsidR="00620C25" w:rsidRPr="00CB6395" w:rsidRDefault="00620C25" w:rsidP="00EC5836">
      <w:pPr>
        <w:pStyle w:val="TableFigureFooter"/>
      </w:pPr>
      <w:r w:rsidRPr="00CB6395">
        <w:t>DB = double blind; OL = open label; R = randomised</w:t>
      </w:r>
      <w:r w:rsidR="007C3CEB" w:rsidRPr="00CB6395">
        <w:t>, N= number of participants</w:t>
      </w:r>
    </w:p>
    <w:p w14:paraId="0D2284CA" w14:textId="1D60B497" w:rsidR="00ED7BC9" w:rsidRPr="00CB6395" w:rsidRDefault="00E95FD5" w:rsidP="00EC5836">
      <w:pPr>
        <w:pStyle w:val="TableFigureFooter"/>
        <w:rPr>
          <w:sz w:val="20"/>
          <w:szCs w:val="20"/>
        </w:rPr>
      </w:pPr>
      <w:proofErr w:type="spellStart"/>
      <w:r w:rsidRPr="00CB6395">
        <w:rPr>
          <w:vertAlign w:val="superscript"/>
        </w:rPr>
        <w:t>a</w:t>
      </w:r>
      <w:proofErr w:type="spellEnd"/>
      <w:r w:rsidR="00ED7BC9" w:rsidRPr="00CB6395">
        <w:t xml:space="preserve"> </w:t>
      </w:r>
      <w:proofErr w:type="gramStart"/>
      <w:r w:rsidR="00400819" w:rsidRPr="00CB6395">
        <w:t>The</w:t>
      </w:r>
      <w:proofErr w:type="gramEnd"/>
      <w:r w:rsidR="00400819" w:rsidRPr="00CB6395">
        <w:t xml:space="preserve"> </w:t>
      </w:r>
      <w:r w:rsidR="008C4D5C" w:rsidRPr="00CB6395">
        <w:t xml:space="preserve">sponsor presents </w:t>
      </w:r>
      <w:r w:rsidR="00713FE5" w:rsidRPr="00CB6395">
        <w:t>da</w:t>
      </w:r>
      <w:r w:rsidR="00881E64" w:rsidRPr="00CB6395">
        <w:t xml:space="preserve">ta comparing </w:t>
      </w:r>
      <w:proofErr w:type="spellStart"/>
      <w:r w:rsidR="0043796F" w:rsidRPr="00CB6395">
        <w:t>somapacitan</w:t>
      </w:r>
      <w:proofErr w:type="spellEnd"/>
      <w:r w:rsidR="0043796F" w:rsidRPr="00CB6395">
        <w:t xml:space="preserve"> (N=120) and somatropin (N=119) at 34 weeks. There is data up to 87 weeks but there was no direct comparison between </w:t>
      </w:r>
      <w:proofErr w:type="spellStart"/>
      <w:r w:rsidR="0043796F" w:rsidRPr="00CB6395">
        <w:t>somapacitan</w:t>
      </w:r>
      <w:proofErr w:type="spellEnd"/>
      <w:r w:rsidR="0043796F" w:rsidRPr="00CB6395">
        <w:t xml:space="preserve"> and somatropin reported</w:t>
      </w:r>
      <w:r w:rsidRPr="00CB6395">
        <w:t>.</w:t>
      </w:r>
    </w:p>
    <w:p w14:paraId="1E0A471F" w14:textId="75B50DB1" w:rsidR="000449CE" w:rsidRPr="00A1057D" w:rsidRDefault="007073B5" w:rsidP="008C7497">
      <w:pPr>
        <w:pStyle w:val="3-BodyText"/>
        <w:rPr>
          <w:snapToGrid w:val="0"/>
        </w:rPr>
      </w:pPr>
      <w:r w:rsidRPr="003214C3">
        <w:rPr>
          <w:iCs/>
        </w:rPr>
        <w:t>There</w:t>
      </w:r>
      <w:r w:rsidRPr="003214C3">
        <w:rPr>
          <w:iCs/>
          <w:shd w:val="clear" w:color="auto" w:fill="FFFFFF"/>
          <w:lang w:eastAsia="zh-CN"/>
        </w:rPr>
        <w:t xml:space="preserve"> </w:t>
      </w:r>
      <w:r w:rsidR="00712FF1">
        <w:rPr>
          <w:iCs/>
          <w:shd w:val="clear" w:color="auto" w:fill="FFFFFF"/>
          <w:lang w:eastAsia="zh-CN"/>
        </w:rPr>
        <w:t>wa</w:t>
      </w:r>
      <w:r w:rsidRPr="003214C3">
        <w:rPr>
          <w:iCs/>
          <w:shd w:val="clear" w:color="auto" w:fill="FFFFFF"/>
          <w:lang w:eastAsia="zh-CN"/>
        </w:rPr>
        <w:t xml:space="preserve">s a high risk of performance and detection bias for </w:t>
      </w:r>
      <w:r w:rsidR="00E562F9" w:rsidRPr="003214C3">
        <w:rPr>
          <w:iCs/>
          <w:shd w:val="clear" w:color="auto" w:fill="FFFFFF"/>
          <w:lang w:eastAsia="zh-CN"/>
        </w:rPr>
        <w:t xml:space="preserve">REAL-2 and REAL-Japan because they </w:t>
      </w:r>
      <w:r w:rsidRPr="003214C3">
        <w:rPr>
          <w:iCs/>
          <w:shd w:val="clear" w:color="auto" w:fill="FFFFFF"/>
          <w:lang w:eastAsia="zh-CN"/>
        </w:rPr>
        <w:t>were open-label.</w:t>
      </w:r>
      <w:r w:rsidR="00871DC3">
        <w:rPr>
          <w:iCs/>
          <w:shd w:val="clear" w:color="auto" w:fill="FFFFFF"/>
          <w:lang w:eastAsia="zh-CN"/>
        </w:rPr>
        <w:t xml:space="preserve"> </w:t>
      </w:r>
      <w:r w:rsidRPr="003214C3">
        <w:rPr>
          <w:iCs/>
          <w:shd w:val="clear" w:color="auto" w:fill="FFFFFF"/>
          <w:lang w:eastAsia="zh-CN"/>
        </w:rPr>
        <w:t xml:space="preserve">This would </w:t>
      </w:r>
      <w:r w:rsidR="00712FF1">
        <w:rPr>
          <w:iCs/>
          <w:shd w:val="clear" w:color="auto" w:fill="FFFFFF"/>
          <w:lang w:eastAsia="zh-CN"/>
        </w:rPr>
        <w:t xml:space="preserve">have </w:t>
      </w:r>
      <w:r w:rsidRPr="003214C3">
        <w:rPr>
          <w:iCs/>
          <w:shd w:val="clear" w:color="auto" w:fill="FFFFFF"/>
          <w:lang w:eastAsia="zh-CN"/>
        </w:rPr>
        <w:t>affect</w:t>
      </w:r>
      <w:r w:rsidR="00712FF1">
        <w:rPr>
          <w:iCs/>
          <w:shd w:val="clear" w:color="auto" w:fill="FFFFFF"/>
          <w:lang w:eastAsia="zh-CN"/>
        </w:rPr>
        <w:t>ed</w:t>
      </w:r>
      <w:r w:rsidRPr="003214C3">
        <w:rPr>
          <w:iCs/>
          <w:shd w:val="clear" w:color="auto" w:fill="FFFFFF"/>
          <w:lang w:eastAsia="zh-CN"/>
        </w:rPr>
        <w:t xml:space="preserve"> subjective assessments such as </w:t>
      </w:r>
      <w:r w:rsidR="006E535F" w:rsidRPr="003214C3">
        <w:rPr>
          <w:iCs/>
          <w:shd w:val="clear" w:color="auto" w:fill="FFFFFF"/>
          <w:lang w:eastAsia="zh-CN"/>
        </w:rPr>
        <w:t xml:space="preserve">the </w:t>
      </w:r>
      <w:r w:rsidRPr="003214C3">
        <w:rPr>
          <w:iCs/>
          <w:shd w:val="clear" w:color="auto" w:fill="FFFFFF"/>
          <w:lang w:eastAsia="zh-CN"/>
        </w:rPr>
        <w:t>reporting</w:t>
      </w:r>
      <w:r w:rsidR="006E535F" w:rsidRPr="003214C3">
        <w:rPr>
          <w:iCs/>
          <w:shd w:val="clear" w:color="auto" w:fill="FFFFFF"/>
          <w:lang w:eastAsia="zh-CN"/>
        </w:rPr>
        <w:t xml:space="preserve"> of</w:t>
      </w:r>
      <w:r w:rsidRPr="003214C3">
        <w:rPr>
          <w:iCs/>
          <w:shd w:val="clear" w:color="auto" w:fill="FFFFFF"/>
          <w:lang w:eastAsia="zh-CN"/>
        </w:rPr>
        <w:t xml:space="preserve"> adverse events or patient-reported outcome measures</w:t>
      </w:r>
      <w:r w:rsidR="00382CDA" w:rsidRPr="003214C3">
        <w:rPr>
          <w:lang w:eastAsia="zh-CN"/>
        </w:rPr>
        <w:t xml:space="preserve"> and could favour </w:t>
      </w:r>
      <w:proofErr w:type="spellStart"/>
      <w:r w:rsidR="00382CDA" w:rsidRPr="003214C3">
        <w:rPr>
          <w:lang w:eastAsia="zh-CN"/>
        </w:rPr>
        <w:t>somapacitan</w:t>
      </w:r>
      <w:proofErr w:type="spellEnd"/>
      <w:r w:rsidRPr="003214C3">
        <w:rPr>
          <w:iCs/>
          <w:shd w:val="clear" w:color="auto" w:fill="FFFFFF"/>
          <w:lang w:eastAsia="zh-CN"/>
        </w:rPr>
        <w:t xml:space="preserve">. Objective measurements such as changes in body composition assessed by dual energy x-ray absorptiometry (DXA) </w:t>
      </w:r>
      <w:r w:rsidR="004954F6" w:rsidRPr="003214C3">
        <w:rPr>
          <w:lang w:eastAsia="zh-CN"/>
        </w:rPr>
        <w:t xml:space="preserve">would </w:t>
      </w:r>
      <w:r w:rsidRPr="003214C3">
        <w:rPr>
          <w:iCs/>
          <w:shd w:val="clear" w:color="auto" w:fill="FFFFFF"/>
          <w:lang w:eastAsia="zh-CN"/>
        </w:rPr>
        <w:t xml:space="preserve">not </w:t>
      </w:r>
      <w:r w:rsidR="004954F6" w:rsidRPr="003214C3">
        <w:rPr>
          <w:lang w:eastAsia="zh-CN"/>
        </w:rPr>
        <w:t xml:space="preserve">have </w:t>
      </w:r>
      <w:r w:rsidRPr="003214C3">
        <w:rPr>
          <w:iCs/>
          <w:shd w:val="clear" w:color="auto" w:fill="FFFFFF"/>
          <w:lang w:eastAsia="zh-CN"/>
        </w:rPr>
        <w:t>be</w:t>
      </w:r>
      <w:r w:rsidR="004954F6" w:rsidRPr="003214C3">
        <w:rPr>
          <w:lang w:eastAsia="zh-CN"/>
        </w:rPr>
        <w:t>en</w:t>
      </w:r>
      <w:r w:rsidRPr="003214C3">
        <w:rPr>
          <w:iCs/>
          <w:shd w:val="clear" w:color="auto" w:fill="FFFFFF"/>
          <w:lang w:eastAsia="zh-CN"/>
        </w:rPr>
        <w:t xml:space="preserve"> affected</w:t>
      </w:r>
      <w:r w:rsidR="00E562F9" w:rsidRPr="003214C3">
        <w:rPr>
          <w:iCs/>
          <w:shd w:val="clear" w:color="auto" w:fill="FFFFFF"/>
          <w:lang w:eastAsia="zh-CN"/>
        </w:rPr>
        <w:t xml:space="preserve">. It is reasonable that the trials were unblinded </w:t>
      </w:r>
      <w:r w:rsidRPr="003214C3">
        <w:rPr>
          <w:iCs/>
          <w:shd w:val="clear" w:color="auto" w:fill="FFFFFF"/>
          <w:lang w:eastAsia="zh-CN"/>
        </w:rPr>
        <w:t>as it was not possible to evaluate the benefits of a weekly regimen if patients had to receive </w:t>
      </w:r>
      <w:r w:rsidR="007704C4" w:rsidRPr="003214C3">
        <w:rPr>
          <w:iCs/>
          <w:shd w:val="clear" w:color="auto" w:fill="FFFFFF"/>
          <w:lang w:eastAsia="zh-CN"/>
        </w:rPr>
        <w:t>many</w:t>
      </w:r>
      <w:r w:rsidRPr="003214C3">
        <w:rPr>
          <w:iCs/>
          <w:shd w:val="clear" w:color="auto" w:fill="FFFFFF"/>
          <w:lang w:eastAsia="zh-CN"/>
        </w:rPr>
        <w:t> placebo injections.</w:t>
      </w:r>
      <w:r w:rsidR="00E562F9" w:rsidRPr="003214C3">
        <w:rPr>
          <w:iCs/>
          <w:shd w:val="clear" w:color="auto" w:fill="FFFFFF"/>
          <w:lang w:eastAsia="zh-CN"/>
        </w:rPr>
        <w:t xml:space="preserve"> </w:t>
      </w:r>
      <w:r w:rsidR="00C15DD7" w:rsidRPr="00A1057D">
        <w:rPr>
          <w:snapToGrid w:val="0"/>
        </w:rPr>
        <w:t>However, t</w:t>
      </w:r>
      <w:r w:rsidR="00E562F9" w:rsidRPr="00A1057D">
        <w:rPr>
          <w:snapToGrid w:val="0"/>
        </w:rPr>
        <w:t>he potential for bias remains.</w:t>
      </w:r>
    </w:p>
    <w:p w14:paraId="180890A0" w14:textId="3DDB34F0" w:rsidR="00530999" w:rsidRPr="00CB6395" w:rsidRDefault="00FF6B8E" w:rsidP="00FF6B8E">
      <w:pPr>
        <w:pStyle w:val="3-BodyText"/>
        <w:rPr>
          <w:rFonts w:ascii="Times New Roman" w:hAnsi="Times New Roman" w:cs="Times New Roman"/>
          <w:lang w:eastAsia="zh-CN"/>
        </w:rPr>
      </w:pPr>
      <w:bookmarkStart w:id="17" w:name="_Toc22897641"/>
      <w:r w:rsidRPr="003214C3">
        <w:rPr>
          <w:iCs/>
          <w:shd w:val="clear" w:color="auto" w:fill="FFFFFF"/>
          <w:lang w:eastAsia="zh-CN"/>
        </w:rPr>
        <w:t xml:space="preserve">There </w:t>
      </w:r>
      <w:r w:rsidR="00712FF1">
        <w:rPr>
          <w:iCs/>
          <w:shd w:val="clear" w:color="auto" w:fill="FFFFFF"/>
          <w:lang w:eastAsia="zh-CN"/>
        </w:rPr>
        <w:t>wa</w:t>
      </w:r>
      <w:r w:rsidRPr="003214C3">
        <w:rPr>
          <w:iCs/>
          <w:shd w:val="clear" w:color="auto" w:fill="FFFFFF"/>
          <w:lang w:eastAsia="zh-CN"/>
        </w:rPr>
        <w:t>s a moderate risk of attrition bias for REAL-1 and REAL2</w:t>
      </w:r>
      <w:r w:rsidRPr="00CB6395">
        <w:rPr>
          <w:shd w:val="clear" w:color="auto" w:fill="FFFFFF"/>
          <w:lang w:eastAsia="zh-CN"/>
        </w:rPr>
        <w:t xml:space="preserve">. In REAL-1, 15% </w:t>
      </w:r>
      <w:r w:rsidR="00712FF1">
        <w:rPr>
          <w:shd w:val="clear" w:color="auto" w:fill="FFFFFF"/>
          <w:lang w:eastAsia="zh-CN"/>
        </w:rPr>
        <w:t xml:space="preserve">of patients </w:t>
      </w:r>
      <w:r w:rsidRPr="00CB6395">
        <w:rPr>
          <w:shd w:val="clear" w:color="auto" w:fill="FFFFFF"/>
          <w:lang w:eastAsia="zh-CN"/>
        </w:rPr>
        <w:t xml:space="preserve">did not complete the trial and 16% did not complete the treatment. In REAL-2, 7% </w:t>
      </w:r>
      <w:r w:rsidR="00712FF1">
        <w:rPr>
          <w:shd w:val="clear" w:color="auto" w:fill="FFFFFF"/>
          <w:lang w:eastAsia="zh-CN"/>
        </w:rPr>
        <w:t xml:space="preserve">of patients </w:t>
      </w:r>
      <w:r w:rsidRPr="00CB6395">
        <w:rPr>
          <w:shd w:val="clear" w:color="auto" w:fill="FFFFFF"/>
          <w:lang w:eastAsia="zh-CN"/>
        </w:rPr>
        <w:t>did not complete the trial and 8% did not complete the treatment.</w:t>
      </w:r>
      <w:r w:rsidR="00871DC3">
        <w:rPr>
          <w:shd w:val="clear" w:color="auto" w:fill="FFFFFF"/>
          <w:lang w:eastAsia="zh-CN"/>
        </w:rPr>
        <w:t xml:space="preserve"> </w:t>
      </w:r>
      <w:r w:rsidRPr="003214C3">
        <w:rPr>
          <w:shd w:val="clear" w:color="auto" w:fill="FFFFFF"/>
          <w:lang w:eastAsia="zh-CN"/>
        </w:rPr>
        <w:t xml:space="preserve">The submission did not state the reasons </w:t>
      </w:r>
      <w:r w:rsidR="00690294" w:rsidRPr="003214C3">
        <w:rPr>
          <w:lang w:eastAsia="zh-CN"/>
        </w:rPr>
        <w:t xml:space="preserve">for </w:t>
      </w:r>
      <w:r w:rsidRPr="003214C3">
        <w:rPr>
          <w:shd w:val="clear" w:color="auto" w:fill="FFFFFF"/>
          <w:lang w:eastAsia="zh-CN"/>
        </w:rPr>
        <w:t>patients not completing the trials.</w:t>
      </w:r>
      <w:r w:rsidR="00176BBC" w:rsidRPr="003214C3">
        <w:rPr>
          <w:lang w:eastAsia="zh-CN"/>
        </w:rPr>
        <w:t xml:space="preserve"> </w:t>
      </w:r>
      <w:r w:rsidR="00C15DD7" w:rsidRPr="003214C3">
        <w:rPr>
          <w:lang w:eastAsia="zh-CN"/>
        </w:rPr>
        <w:t>The direction of this bias</w:t>
      </w:r>
      <w:r w:rsidR="00176BBC" w:rsidRPr="003214C3">
        <w:rPr>
          <w:lang w:eastAsia="zh-CN"/>
        </w:rPr>
        <w:t xml:space="preserve"> </w:t>
      </w:r>
      <w:r w:rsidR="00712FF1">
        <w:rPr>
          <w:lang w:eastAsia="zh-CN"/>
        </w:rPr>
        <w:t>wa</w:t>
      </w:r>
      <w:r w:rsidR="00176BBC" w:rsidRPr="003214C3">
        <w:rPr>
          <w:lang w:eastAsia="zh-CN"/>
        </w:rPr>
        <w:t>s uncertain.</w:t>
      </w:r>
    </w:p>
    <w:p w14:paraId="63AD1F53" w14:textId="6E581350" w:rsidR="00FF6B8E" w:rsidRPr="00CB6395" w:rsidRDefault="00530999" w:rsidP="006E535F">
      <w:pPr>
        <w:pStyle w:val="3-BodyText"/>
        <w:rPr>
          <w:rFonts w:ascii="Times New Roman" w:hAnsi="Times New Roman" w:cs="Times New Roman"/>
          <w:lang w:eastAsia="zh-CN"/>
        </w:rPr>
      </w:pPr>
      <w:r w:rsidRPr="003214C3">
        <w:rPr>
          <w:iCs/>
          <w:lang w:eastAsia="zh-CN"/>
        </w:rPr>
        <w:t xml:space="preserve">The submission did not provide </w:t>
      </w:r>
      <w:r w:rsidR="00712FF1">
        <w:rPr>
          <w:iCs/>
          <w:lang w:eastAsia="zh-CN"/>
        </w:rPr>
        <w:t xml:space="preserve">the </w:t>
      </w:r>
      <w:r w:rsidRPr="003214C3">
        <w:rPr>
          <w:iCs/>
          <w:lang w:eastAsia="zh-CN"/>
        </w:rPr>
        <w:t xml:space="preserve">characteristics of patients who were lost to follow-up or patients who withdrew from </w:t>
      </w:r>
      <w:r w:rsidR="00871DC3" w:rsidRPr="003214C3">
        <w:rPr>
          <w:iCs/>
          <w:lang w:eastAsia="zh-CN"/>
        </w:rPr>
        <w:t>the</w:t>
      </w:r>
      <w:r w:rsidR="00871DC3">
        <w:rPr>
          <w:iCs/>
          <w:lang w:eastAsia="zh-CN"/>
        </w:rPr>
        <w:t xml:space="preserve"> </w:t>
      </w:r>
      <w:r w:rsidR="00871DC3" w:rsidRPr="003214C3">
        <w:rPr>
          <w:iCs/>
          <w:lang w:eastAsia="zh-CN"/>
        </w:rPr>
        <w:t>trial</w:t>
      </w:r>
      <w:r w:rsidR="00871DC3">
        <w:rPr>
          <w:iCs/>
          <w:lang w:eastAsia="zh-CN"/>
        </w:rPr>
        <w:t xml:space="preserve"> </w:t>
      </w:r>
      <w:r w:rsidRPr="003214C3">
        <w:rPr>
          <w:iCs/>
          <w:lang w:eastAsia="zh-CN"/>
        </w:rPr>
        <w:t xml:space="preserve">to enable an understanding of whether patients were likely lost at random. There </w:t>
      </w:r>
      <w:r w:rsidR="00712FF1">
        <w:rPr>
          <w:iCs/>
          <w:lang w:eastAsia="zh-CN"/>
        </w:rPr>
        <w:t>wa</w:t>
      </w:r>
      <w:r w:rsidR="00712FF1" w:rsidRPr="003214C3">
        <w:rPr>
          <w:iCs/>
          <w:lang w:eastAsia="zh-CN"/>
        </w:rPr>
        <w:t xml:space="preserve">s </w:t>
      </w:r>
      <w:r w:rsidRPr="003214C3">
        <w:rPr>
          <w:iCs/>
          <w:lang w:eastAsia="zh-CN"/>
        </w:rPr>
        <w:t>potential for bias associated with the loss to follow up and the potential that results would differ for those who were lost.</w:t>
      </w:r>
      <w:r w:rsidR="00FF5369" w:rsidRPr="00CB6395">
        <w:rPr>
          <w:lang w:eastAsia="zh-CN"/>
        </w:rPr>
        <w:t xml:space="preserve"> </w:t>
      </w:r>
      <w:r w:rsidR="00C15DD7" w:rsidRPr="003214C3">
        <w:rPr>
          <w:lang w:eastAsia="zh-CN"/>
        </w:rPr>
        <w:t>The direction of this bias</w:t>
      </w:r>
      <w:r w:rsidR="00FF5369" w:rsidRPr="003214C3">
        <w:rPr>
          <w:lang w:eastAsia="zh-CN"/>
        </w:rPr>
        <w:t xml:space="preserve"> </w:t>
      </w:r>
      <w:r w:rsidR="005C2493">
        <w:rPr>
          <w:lang w:eastAsia="zh-CN"/>
        </w:rPr>
        <w:t>wa</w:t>
      </w:r>
      <w:r w:rsidR="005C2493" w:rsidRPr="003214C3">
        <w:rPr>
          <w:lang w:eastAsia="zh-CN"/>
        </w:rPr>
        <w:t xml:space="preserve">s </w:t>
      </w:r>
      <w:r w:rsidR="00FF5369" w:rsidRPr="003214C3">
        <w:rPr>
          <w:lang w:eastAsia="zh-CN"/>
        </w:rPr>
        <w:t>uncertain.</w:t>
      </w:r>
    </w:p>
    <w:p w14:paraId="4A4FE085" w14:textId="1B1AABB9" w:rsidR="00B60939" w:rsidRPr="00CB6395" w:rsidRDefault="00B60939" w:rsidP="00EC5836">
      <w:pPr>
        <w:pStyle w:val="4-SubsectionHeading"/>
      </w:pPr>
      <w:bookmarkStart w:id="18" w:name="_Toc93488112"/>
      <w:r w:rsidRPr="00CB6395">
        <w:t>Comparative effectiveness</w:t>
      </w:r>
      <w:bookmarkEnd w:id="17"/>
      <w:bookmarkEnd w:id="18"/>
    </w:p>
    <w:p w14:paraId="6EAD0B8F" w14:textId="36F12C47" w:rsidR="0015702F" w:rsidRPr="00CB6395" w:rsidRDefault="00DA1465" w:rsidP="0015702F">
      <w:pPr>
        <w:pStyle w:val="3-BodyText"/>
        <w:rPr>
          <w:rFonts w:ascii="Times New Roman" w:hAnsi="Times New Roman" w:cs="Times New Roman"/>
          <w:lang w:eastAsia="zh-CN"/>
        </w:rPr>
      </w:pPr>
      <w:r>
        <w:rPr>
          <w:lang w:eastAsia="zh-CN"/>
        </w:rPr>
        <w:t xml:space="preserve">The </w:t>
      </w:r>
      <w:r w:rsidR="00955C8D" w:rsidRPr="00CB6395">
        <w:rPr>
          <w:lang w:eastAsia="zh-CN"/>
        </w:rPr>
        <w:t xml:space="preserve">REAL-1 </w:t>
      </w:r>
      <w:r>
        <w:rPr>
          <w:lang w:eastAsia="zh-CN"/>
        </w:rPr>
        <w:t xml:space="preserve">study </w:t>
      </w:r>
      <w:r w:rsidR="00955C8D" w:rsidRPr="00CB6395">
        <w:rPr>
          <w:lang w:eastAsia="zh-CN"/>
        </w:rPr>
        <w:t xml:space="preserve">provided data on the change in </w:t>
      </w:r>
      <w:r w:rsidR="00337687" w:rsidRPr="00CB6395">
        <w:rPr>
          <w:lang w:eastAsia="zh-CN"/>
        </w:rPr>
        <w:t xml:space="preserve">the pre-specified primary outcome of </w:t>
      </w:r>
      <w:r w:rsidR="00955C8D" w:rsidRPr="00CB6395">
        <w:rPr>
          <w:lang w:eastAsia="zh-CN"/>
        </w:rPr>
        <w:t>truncal fat percentage (baseline compared with 34 weeks</w:t>
      </w:r>
      <w:r w:rsidR="00871DC3" w:rsidRPr="00CB6395">
        <w:rPr>
          <w:lang w:eastAsia="zh-CN"/>
        </w:rPr>
        <w:t>).</w:t>
      </w:r>
      <w:r w:rsidR="00871DC3">
        <w:rPr>
          <w:lang w:eastAsia="zh-CN"/>
        </w:rPr>
        <w:t xml:space="preserve"> </w:t>
      </w:r>
      <w:r w:rsidR="00955C8D" w:rsidRPr="00CB6395">
        <w:rPr>
          <w:lang w:eastAsia="zh-CN"/>
        </w:rPr>
        <w:t xml:space="preserve">This is an objective measure (using </w:t>
      </w:r>
      <w:r w:rsidR="00CF3967">
        <w:rPr>
          <w:lang w:eastAsia="zh-CN"/>
        </w:rPr>
        <w:t>DXA</w:t>
      </w:r>
      <w:r w:rsidR="00955C8D" w:rsidRPr="00CB6395">
        <w:rPr>
          <w:lang w:eastAsia="zh-CN"/>
        </w:rPr>
        <w:t xml:space="preserve">) which is a commonly used outcome in growth hormone deficiency trials. </w:t>
      </w:r>
      <w:r w:rsidR="00955C8D" w:rsidRPr="003214C3">
        <w:rPr>
          <w:iCs/>
          <w:lang w:eastAsia="zh-CN"/>
        </w:rPr>
        <w:t xml:space="preserve">This </w:t>
      </w:r>
      <w:r w:rsidR="00690294" w:rsidRPr="003214C3">
        <w:rPr>
          <w:iCs/>
          <w:lang w:eastAsia="zh-CN"/>
        </w:rPr>
        <w:t xml:space="preserve">was </w:t>
      </w:r>
      <w:r w:rsidR="00955C8D" w:rsidRPr="003214C3">
        <w:rPr>
          <w:iCs/>
          <w:lang w:eastAsia="zh-CN"/>
        </w:rPr>
        <w:t>appropriate.</w:t>
      </w:r>
    </w:p>
    <w:p w14:paraId="5D4511B8" w14:textId="05813181" w:rsidR="00BE16F5" w:rsidRPr="003214C3" w:rsidRDefault="00F81D0F" w:rsidP="00DA1465">
      <w:pPr>
        <w:pStyle w:val="3-BodyText"/>
        <w:rPr>
          <w:rFonts w:ascii="Times New Roman" w:hAnsi="Times New Roman" w:cs="Times New Roman"/>
          <w:iCs/>
          <w:lang w:eastAsia="zh-CN"/>
        </w:rPr>
      </w:pPr>
      <w:r w:rsidRPr="005C2493">
        <w:rPr>
          <w:rStyle w:val="normaltextrun"/>
          <w:rFonts w:ascii="Calibri" w:hAnsi="Calibri" w:cs="Calibri"/>
          <w:color w:val="000000" w:themeColor="text1"/>
        </w:rPr>
        <w:t xml:space="preserve">The submission noted </w:t>
      </w:r>
      <w:r w:rsidR="0015702F" w:rsidRPr="00CB6395">
        <w:rPr>
          <w:rStyle w:val="normaltextrun"/>
          <w:rFonts w:ascii="Calibri" w:hAnsi="Calibri" w:cs="Calibri"/>
          <w:color w:val="000000" w:themeColor="text1"/>
        </w:rPr>
        <w:t xml:space="preserve">REAL-1 </w:t>
      </w:r>
      <w:r w:rsidR="00871DC3" w:rsidRPr="00CB6395">
        <w:rPr>
          <w:rStyle w:val="normaltextrun"/>
          <w:rFonts w:ascii="Calibri" w:hAnsi="Calibri" w:cs="Calibri"/>
          <w:color w:val="000000" w:themeColor="text1"/>
        </w:rPr>
        <w:t>was</w:t>
      </w:r>
      <w:r w:rsidR="00871DC3">
        <w:rPr>
          <w:rStyle w:val="normaltextrun"/>
          <w:rFonts w:ascii="Calibri" w:hAnsi="Calibri" w:cs="Calibri"/>
          <w:color w:val="000000" w:themeColor="text1"/>
        </w:rPr>
        <w:t xml:space="preserve"> </w:t>
      </w:r>
      <w:r w:rsidR="0015702F" w:rsidRPr="00CB6395">
        <w:rPr>
          <w:rStyle w:val="findhit"/>
          <w:rFonts w:ascii="Calibri" w:hAnsi="Calibri" w:cs="Calibri"/>
        </w:rPr>
        <w:t>power</w:t>
      </w:r>
      <w:r w:rsidR="0015702F" w:rsidRPr="00CB6395">
        <w:rPr>
          <w:rStyle w:val="normaltextrun"/>
          <w:rFonts w:ascii="Calibri" w:hAnsi="Calibri" w:cs="Calibri"/>
          <w:color w:val="000000" w:themeColor="text1"/>
        </w:rPr>
        <w:t xml:space="preserve">ed to test </w:t>
      </w:r>
      <w:r w:rsidR="007115E7" w:rsidRPr="00CB6395">
        <w:rPr>
          <w:rStyle w:val="normaltextrun"/>
          <w:rFonts w:ascii="Calibri" w:hAnsi="Calibri" w:cs="Calibri"/>
          <w:color w:val="000000" w:themeColor="text1"/>
        </w:rPr>
        <w:t xml:space="preserve">the </w:t>
      </w:r>
      <w:r w:rsidR="0015702F" w:rsidRPr="00CB6395">
        <w:rPr>
          <w:rStyle w:val="normaltextrun"/>
          <w:rFonts w:ascii="Calibri" w:hAnsi="Calibri" w:cs="Calibri"/>
          <w:color w:val="000000" w:themeColor="text1"/>
        </w:rPr>
        <w:t xml:space="preserve">superiority of </w:t>
      </w:r>
      <w:proofErr w:type="spellStart"/>
      <w:r w:rsidR="0015702F" w:rsidRPr="00CB6395">
        <w:rPr>
          <w:rStyle w:val="normaltextrun"/>
          <w:rFonts w:ascii="Calibri" w:hAnsi="Calibri" w:cs="Calibri"/>
          <w:color w:val="000000" w:themeColor="text1"/>
        </w:rPr>
        <w:t>somapacitan</w:t>
      </w:r>
      <w:proofErr w:type="spellEnd"/>
      <w:r w:rsidR="0015702F" w:rsidRPr="00CB6395">
        <w:rPr>
          <w:rStyle w:val="normaltextrun"/>
          <w:rFonts w:ascii="Calibri" w:hAnsi="Calibri" w:cs="Calibri"/>
          <w:color w:val="000000" w:themeColor="text1"/>
        </w:rPr>
        <w:t xml:space="preserve"> vs placebo; it was </w:t>
      </w:r>
      <w:r w:rsidR="00871DC3" w:rsidRPr="00CB6395">
        <w:rPr>
          <w:rStyle w:val="normaltextrun"/>
          <w:rFonts w:ascii="Calibri" w:hAnsi="Calibri" w:cs="Calibri"/>
          <w:color w:val="000000" w:themeColor="text1"/>
        </w:rPr>
        <w:t>not</w:t>
      </w:r>
      <w:r w:rsidR="00871DC3">
        <w:rPr>
          <w:rStyle w:val="normaltextrun"/>
          <w:rFonts w:ascii="Calibri" w:hAnsi="Calibri" w:cs="Calibri"/>
          <w:color w:val="000000" w:themeColor="text1"/>
        </w:rPr>
        <w:t xml:space="preserve"> </w:t>
      </w:r>
      <w:r w:rsidR="0015702F" w:rsidRPr="00CB6395">
        <w:rPr>
          <w:rStyle w:val="findhit"/>
          <w:rFonts w:ascii="Calibri" w:hAnsi="Calibri" w:cs="Calibri"/>
        </w:rPr>
        <w:t>power</w:t>
      </w:r>
      <w:r w:rsidR="0015702F" w:rsidRPr="00CB6395">
        <w:rPr>
          <w:rStyle w:val="normaltextrun"/>
          <w:rFonts w:ascii="Calibri" w:hAnsi="Calibri" w:cs="Calibri"/>
          <w:color w:val="000000" w:themeColor="text1"/>
        </w:rPr>
        <w:t xml:space="preserve">ed to test </w:t>
      </w:r>
      <w:r w:rsidR="007115E7" w:rsidRPr="00CB6395">
        <w:rPr>
          <w:rStyle w:val="normaltextrun"/>
          <w:rFonts w:ascii="Calibri" w:hAnsi="Calibri" w:cs="Calibri"/>
          <w:color w:val="000000" w:themeColor="text1"/>
        </w:rPr>
        <w:t xml:space="preserve">the </w:t>
      </w:r>
      <w:r w:rsidR="0015702F" w:rsidRPr="00CB6395">
        <w:rPr>
          <w:rStyle w:val="normaltextrun"/>
          <w:rFonts w:ascii="Calibri" w:hAnsi="Calibri" w:cs="Calibri"/>
          <w:color w:val="000000" w:themeColor="text1"/>
        </w:rPr>
        <w:t xml:space="preserve">non-inferiority of </w:t>
      </w:r>
      <w:proofErr w:type="spellStart"/>
      <w:r w:rsidR="0015702F" w:rsidRPr="00CB6395">
        <w:rPr>
          <w:rStyle w:val="normaltextrun"/>
          <w:rFonts w:ascii="Calibri" w:hAnsi="Calibri" w:cs="Calibri"/>
          <w:color w:val="000000" w:themeColor="text1"/>
        </w:rPr>
        <w:t>somapacitan</w:t>
      </w:r>
      <w:proofErr w:type="spellEnd"/>
      <w:r w:rsidR="0015702F" w:rsidRPr="00CB6395">
        <w:rPr>
          <w:rStyle w:val="normaltextrun"/>
          <w:rFonts w:ascii="Calibri" w:hAnsi="Calibri" w:cs="Calibri"/>
          <w:color w:val="000000" w:themeColor="text1"/>
        </w:rPr>
        <w:t xml:space="preserve"> vs somatropin</w:t>
      </w:r>
      <w:r w:rsidR="00871DC3" w:rsidRPr="00CB6395">
        <w:rPr>
          <w:rStyle w:val="normaltextrun"/>
          <w:rFonts w:ascii="Calibri" w:hAnsi="Calibri" w:cs="Calibri"/>
          <w:color w:val="000000" w:themeColor="text1"/>
        </w:rPr>
        <w:t>.</w:t>
      </w:r>
      <w:r w:rsidR="00871DC3">
        <w:rPr>
          <w:rStyle w:val="eop"/>
          <w:rFonts w:ascii="Calibri" w:hAnsi="Calibri" w:cs="Calibri"/>
          <w:color w:val="000000" w:themeColor="text1"/>
        </w:rPr>
        <w:t xml:space="preserve"> </w:t>
      </w:r>
      <w:r w:rsidRPr="005C2493">
        <w:rPr>
          <w:rStyle w:val="eop"/>
          <w:rFonts w:ascii="Calibri" w:hAnsi="Calibri" w:cs="Calibri"/>
          <w:color w:val="000000" w:themeColor="text1"/>
        </w:rPr>
        <w:t xml:space="preserve">The evaluation noted that </w:t>
      </w:r>
      <w:r>
        <w:rPr>
          <w:rStyle w:val="normaltextrun"/>
          <w:color w:val="000000" w:themeColor="text1"/>
        </w:rPr>
        <w:t>r</w:t>
      </w:r>
      <w:r w:rsidR="0015702F" w:rsidRPr="003214C3">
        <w:rPr>
          <w:rStyle w:val="normaltextrun"/>
          <w:color w:val="000000" w:themeColor="text1"/>
        </w:rPr>
        <w:t xml:space="preserve">elying on statistical difference when the trial was not powered to determine non-inferiority </w:t>
      </w:r>
      <w:r w:rsidR="00946E21" w:rsidRPr="003214C3">
        <w:rPr>
          <w:rStyle w:val="normaltextrun"/>
          <w:color w:val="000000" w:themeColor="text1"/>
        </w:rPr>
        <w:t>may</w:t>
      </w:r>
      <w:r w:rsidR="0015702F" w:rsidRPr="003214C3">
        <w:rPr>
          <w:rStyle w:val="normaltextrun"/>
          <w:color w:val="000000" w:themeColor="text1"/>
        </w:rPr>
        <w:t xml:space="preserve"> not </w:t>
      </w:r>
      <w:r w:rsidR="00946E21" w:rsidRPr="003214C3">
        <w:rPr>
          <w:rStyle w:val="normaltextrun"/>
          <w:color w:val="000000" w:themeColor="text1"/>
        </w:rPr>
        <w:t xml:space="preserve">be </w:t>
      </w:r>
      <w:r w:rsidR="0015702F" w:rsidRPr="003214C3">
        <w:rPr>
          <w:rStyle w:val="normaltextrun"/>
          <w:color w:val="000000" w:themeColor="text1"/>
        </w:rPr>
        <w:t>appropriate.</w:t>
      </w:r>
    </w:p>
    <w:p w14:paraId="2C7273C3" w14:textId="326168F3" w:rsidR="000449CE" w:rsidRDefault="00252793" w:rsidP="00B85B34">
      <w:pPr>
        <w:pStyle w:val="3-BodyText"/>
        <w:rPr>
          <w:rStyle w:val="eop"/>
        </w:rPr>
      </w:pPr>
      <w:r>
        <w:rPr>
          <w:rStyle w:val="normaltextrun"/>
        </w:rPr>
        <w:t xml:space="preserve">The </w:t>
      </w:r>
      <w:r w:rsidR="00B715DA" w:rsidRPr="00CB6395">
        <w:rPr>
          <w:rStyle w:val="normaltextrun"/>
        </w:rPr>
        <w:t xml:space="preserve">REAL-1 </w:t>
      </w:r>
      <w:r>
        <w:rPr>
          <w:rStyle w:val="normaltextrun"/>
        </w:rPr>
        <w:t xml:space="preserve">study </w:t>
      </w:r>
      <w:r w:rsidR="00B715DA" w:rsidRPr="00CB6395">
        <w:rPr>
          <w:rStyle w:val="normaltextrun"/>
        </w:rPr>
        <w:t>present</w:t>
      </w:r>
      <w:r>
        <w:rPr>
          <w:rStyle w:val="normaltextrun"/>
        </w:rPr>
        <w:t>ed</w:t>
      </w:r>
      <w:r w:rsidR="00B715DA" w:rsidRPr="00CB6395">
        <w:rPr>
          <w:rStyle w:val="normaltextrun"/>
        </w:rPr>
        <w:t xml:space="preserve"> a comparison at </w:t>
      </w:r>
      <w:r w:rsidR="006E2B32" w:rsidRPr="00CB6395">
        <w:rPr>
          <w:rStyle w:val="normaltextrun"/>
        </w:rPr>
        <w:t xml:space="preserve">Week </w:t>
      </w:r>
      <w:r w:rsidR="00B715DA" w:rsidRPr="00CB6395">
        <w:rPr>
          <w:rStyle w:val="normaltextrun"/>
        </w:rPr>
        <w:t>87</w:t>
      </w:r>
      <w:r w:rsidR="00CD3BBC">
        <w:rPr>
          <w:rStyle w:val="normaltextrun"/>
        </w:rPr>
        <w:t xml:space="preserve"> (extension phase)</w:t>
      </w:r>
      <w:r w:rsidR="00B715DA" w:rsidRPr="00CB6395">
        <w:rPr>
          <w:rStyle w:val="normaltextrun"/>
        </w:rPr>
        <w:t xml:space="preserve"> </w:t>
      </w:r>
      <w:r w:rsidR="00975BA4" w:rsidRPr="00CB6395">
        <w:rPr>
          <w:rStyle w:val="normaltextrun"/>
        </w:rPr>
        <w:t>that</w:t>
      </w:r>
      <w:r w:rsidR="00B715DA" w:rsidRPr="00CB6395">
        <w:rPr>
          <w:rStyle w:val="normaltextrun"/>
        </w:rPr>
        <w:t xml:space="preserve"> include</w:t>
      </w:r>
      <w:r w:rsidR="00F010EB">
        <w:rPr>
          <w:rStyle w:val="normaltextrun"/>
        </w:rPr>
        <w:t>d</w:t>
      </w:r>
      <w:r w:rsidR="00B715DA" w:rsidRPr="00CB6395">
        <w:rPr>
          <w:rStyle w:val="normaltextrun"/>
        </w:rPr>
        <w:t xml:space="preserve"> placebo and patients switching from placebo to</w:t>
      </w:r>
      <w:r w:rsidR="00871DC3">
        <w:rPr>
          <w:rStyle w:val="normaltextrun"/>
        </w:rPr>
        <w:t xml:space="preserve"> </w:t>
      </w:r>
      <w:proofErr w:type="spellStart"/>
      <w:r w:rsidR="00871DC3" w:rsidRPr="00CB6395">
        <w:rPr>
          <w:rStyle w:val="normaltextrun"/>
        </w:rPr>
        <w:t>somapacitan</w:t>
      </w:r>
      <w:proofErr w:type="spellEnd"/>
      <w:r w:rsidR="00871DC3">
        <w:rPr>
          <w:rStyle w:val="normaltextrun"/>
        </w:rPr>
        <w:t xml:space="preserve"> </w:t>
      </w:r>
      <w:r w:rsidR="00B715DA" w:rsidRPr="00CB6395">
        <w:rPr>
          <w:rStyle w:val="normaltextrun"/>
        </w:rPr>
        <w:t xml:space="preserve">and somatropin </w:t>
      </w:r>
      <w:r w:rsidR="00871DC3" w:rsidRPr="00CB6395">
        <w:rPr>
          <w:rStyle w:val="normaltextrun"/>
        </w:rPr>
        <w:t>to</w:t>
      </w:r>
      <w:r w:rsidR="00871DC3">
        <w:rPr>
          <w:rStyle w:val="normaltextrun"/>
        </w:rPr>
        <w:t xml:space="preserve"> </w:t>
      </w:r>
      <w:proofErr w:type="spellStart"/>
      <w:r w:rsidR="00B715DA" w:rsidRPr="00CB6395">
        <w:rPr>
          <w:rStyle w:val="normaltextrun"/>
        </w:rPr>
        <w:t>somapacitan</w:t>
      </w:r>
      <w:proofErr w:type="spellEnd"/>
      <w:r w:rsidR="00871DC3" w:rsidRPr="00CB6395">
        <w:rPr>
          <w:rStyle w:val="normaltextrun"/>
        </w:rPr>
        <w:t>.</w:t>
      </w:r>
      <w:r w:rsidR="00871DC3">
        <w:rPr>
          <w:rStyle w:val="normaltextrun"/>
        </w:rPr>
        <w:t xml:space="preserve"> </w:t>
      </w:r>
      <w:r w:rsidR="00B715DA" w:rsidRPr="003214C3">
        <w:rPr>
          <w:rStyle w:val="normaltextrun"/>
          <w:iCs/>
        </w:rPr>
        <w:t xml:space="preserve">The direct comparison </w:t>
      </w:r>
      <w:r w:rsidR="00871DC3" w:rsidRPr="003214C3">
        <w:rPr>
          <w:rStyle w:val="normaltextrun"/>
          <w:iCs/>
        </w:rPr>
        <w:t>of</w:t>
      </w:r>
      <w:r w:rsidR="00871DC3">
        <w:rPr>
          <w:rStyle w:val="normaltextrun"/>
          <w:iCs/>
        </w:rPr>
        <w:t xml:space="preserve"> </w:t>
      </w:r>
      <w:proofErr w:type="spellStart"/>
      <w:r w:rsidR="00871DC3" w:rsidRPr="003214C3">
        <w:rPr>
          <w:rStyle w:val="normaltextrun"/>
          <w:iCs/>
        </w:rPr>
        <w:t>somapacitan</w:t>
      </w:r>
      <w:proofErr w:type="spellEnd"/>
      <w:r w:rsidR="00871DC3">
        <w:rPr>
          <w:rStyle w:val="normaltextrun"/>
          <w:iCs/>
        </w:rPr>
        <w:t xml:space="preserve"> </w:t>
      </w:r>
      <w:r w:rsidR="00B715DA" w:rsidRPr="003214C3">
        <w:rPr>
          <w:rStyle w:val="normaltextrun"/>
          <w:iCs/>
        </w:rPr>
        <w:t xml:space="preserve">and somatropin is most relevant to the clinical claim of non-inferiority and </w:t>
      </w:r>
      <w:r w:rsidR="00871DC3" w:rsidRPr="003214C3">
        <w:rPr>
          <w:rStyle w:val="normaltextrun"/>
          <w:iCs/>
        </w:rPr>
        <w:t>the</w:t>
      </w:r>
      <w:r w:rsidR="00871DC3">
        <w:rPr>
          <w:rStyle w:val="normaltextrun"/>
          <w:iCs/>
        </w:rPr>
        <w:t xml:space="preserve"> </w:t>
      </w:r>
      <w:r w:rsidR="006E2B32" w:rsidRPr="003214C3">
        <w:rPr>
          <w:rStyle w:val="normaltextrun"/>
          <w:iCs/>
        </w:rPr>
        <w:t xml:space="preserve">Week </w:t>
      </w:r>
      <w:r w:rsidR="00B715DA" w:rsidRPr="003214C3">
        <w:rPr>
          <w:rStyle w:val="normaltextrun"/>
          <w:iCs/>
        </w:rPr>
        <w:t>34</w:t>
      </w:r>
      <w:r w:rsidR="00CD3BBC">
        <w:rPr>
          <w:rStyle w:val="normaltextrun"/>
          <w:iCs/>
        </w:rPr>
        <w:t xml:space="preserve"> (main phase</w:t>
      </w:r>
      <w:r w:rsidR="00871DC3">
        <w:rPr>
          <w:rStyle w:val="normaltextrun"/>
          <w:iCs/>
        </w:rPr>
        <w:t xml:space="preserve">) </w:t>
      </w:r>
      <w:r w:rsidR="00B715DA" w:rsidRPr="003214C3">
        <w:rPr>
          <w:rStyle w:val="normaltextrun"/>
          <w:iCs/>
        </w:rPr>
        <w:t xml:space="preserve">data </w:t>
      </w:r>
      <w:r w:rsidR="00B15247" w:rsidRPr="003214C3">
        <w:rPr>
          <w:rStyle w:val="normaltextrun"/>
          <w:iCs/>
        </w:rPr>
        <w:t>are</w:t>
      </w:r>
      <w:r w:rsidR="00B715DA" w:rsidRPr="003214C3">
        <w:rPr>
          <w:rStyle w:val="normaltextrun"/>
          <w:iCs/>
        </w:rPr>
        <w:t xml:space="preserve"> most complete for this purpose</w:t>
      </w:r>
      <w:r w:rsidR="00871DC3" w:rsidRPr="00CB6395">
        <w:rPr>
          <w:rStyle w:val="normaltextrun"/>
        </w:rPr>
        <w:t>.</w:t>
      </w:r>
      <w:r w:rsidR="00871DC3">
        <w:rPr>
          <w:rStyle w:val="normaltextrun"/>
        </w:rPr>
        <w:t xml:space="preserve"> </w:t>
      </w:r>
      <w:r w:rsidR="00B715DA" w:rsidRPr="003214C3">
        <w:rPr>
          <w:rStyle w:val="normaltextrun"/>
          <w:iCs/>
        </w:rPr>
        <w:t>Statistical significance was not reported for</w:t>
      </w:r>
      <w:r w:rsidR="00CD3BBC">
        <w:rPr>
          <w:rStyle w:val="normaltextrun"/>
          <w:iCs/>
        </w:rPr>
        <w:t xml:space="preserve"> the</w:t>
      </w:r>
      <w:r w:rsidR="00B715DA" w:rsidRPr="003214C3">
        <w:rPr>
          <w:rStyle w:val="normaltextrun"/>
          <w:iCs/>
        </w:rPr>
        <w:t xml:space="preserve"> mean difference at </w:t>
      </w:r>
      <w:r w:rsidR="00B15247" w:rsidRPr="003214C3">
        <w:rPr>
          <w:rStyle w:val="normaltextrun"/>
          <w:iCs/>
        </w:rPr>
        <w:t xml:space="preserve">Week </w:t>
      </w:r>
      <w:r w:rsidR="00B715DA" w:rsidRPr="003214C3">
        <w:rPr>
          <w:rStyle w:val="normaltextrun"/>
          <w:iCs/>
        </w:rPr>
        <w:t xml:space="preserve">34 (no reason was </w:t>
      </w:r>
      <w:r w:rsidR="00CD3BBC">
        <w:rPr>
          <w:rStyle w:val="normaltextrun"/>
          <w:iCs/>
        </w:rPr>
        <w:t>provided</w:t>
      </w:r>
      <w:r w:rsidR="00CD3BBC" w:rsidRPr="003214C3">
        <w:rPr>
          <w:rStyle w:val="normaltextrun"/>
          <w:iCs/>
        </w:rPr>
        <w:t xml:space="preserve"> </w:t>
      </w:r>
      <w:r w:rsidR="00CD3BBC">
        <w:rPr>
          <w:rStyle w:val="normaltextrun"/>
          <w:iCs/>
        </w:rPr>
        <w:t>in</w:t>
      </w:r>
      <w:r w:rsidR="00CD3BBC" w:rsidRPr="003214C3">
        <w:rPr>
          <w:rStyle w:val="normaltextrun"/>
          <w:iCs/>
        </w:rPr>
        <w:t xml:space="preserve"> </w:t>
      </w:r>
      <w:r w:rsidR="00B715DA" w:rsidRPr="003214C3">
        <w:rPr>
          <w:rStyle w:val="normaltextrun"/>
          <w:iCs/>
        </w:rPr>
        <w:t>the submission</w:t>
      </w:r>
      <w:r w:rsidR="00CD3BBC">
        <w:rPr>
          <w:rStyle w:val="normaltextrun"/>
          <w:iCs/>
        </w:rPr>
        <w:t xml:space="preserve"> for why this was not reported</w:t>
      </w:r>
      <w:r w:rsidR="00871DC3" w:rsidRPr="003214C3">
        <w:rPr>
          <w:rStyle w:val="normaltextrun"/>
          <w:iCs/>
        </w:rPr>
        <w:t>).</w:t>
      </w:r>
      <w:r w:rsidR="00871DC3">
        <w:rPr>
          <w:rStyle w:val="normaltextrun"/>
          <w:iCs/>
        </w:rPr>
        <w:t xml:space="preserve"> </w:t>
      </w:r>
      <w:r w:rsidR="00B715DA" w:rsidRPr="003214C3">
        <w:rPr>
          <w:rStyle w:val="normaltextrun"/>
          <w:iCs/>
        </w:rPr>
        <w:t xml:space="preserve">At </w:t>
      </w:r>
      <w:r w:rsidR="00B15247" w:rsidRPr="003214C3">
        <w:rPr>
          <w:rStyle w:val="normaltextrun"/>
          <w:iCs/>
        </w:rPr>
        <w:t>Week 87</w:t>
      </w:r>
      <w:r w:rsidR="00F010EB">
        <w:rPr>
          <w:rStyle w:val="normaltextrun"/>
          <w:iCs/>
        </w:rPr>
        <w:t>,</w:t>
      </w:r>
      <w:r w:rsidR="00B715DA" w:rsidRPr="003214C3">
        <w:rPr>
          <w:rStyle w:val="normaltextrun"/>
          <w:iCs/>
        </w:rPr>
        <w:t xml:space="preserve"> the differences between variables </w:t>
      </w:r>
      <w:r w:rsidR="00871DC3" w:rsidRPr="003214C3">
        <w:rPr>
          <w:rStyle w:val="normaltextrun"/>
          <w:iCs/>
        </w:rPr>
        <w:t>for</w:t>
      </w:r>
      <w:r w:rsidR="00871DC3">
        <w:rPr>
          <w:rStyle w:val="normaltextrun"/>
          <w:iCs/>
        </w:rPr>
        <w:t xml:space="preserve"> </w:t>
      </w:r>
      <w:proofErr w:type="spellStart"/>
      <w:r w:rsidR="00871DC3" w:rsidRPr="003214C3">
        <w:rPr>
          <w:rStyle w:val="normaltextrun"/>
          <w:iCs/>
        </w:rPr>
        <w:t>somapacitan</w:t>
      </w:r>
      <w:proofErr w:type="spellEnd"/>
      <w:r w:rsidR="00871DC3">
        <w:rPr>
          <w:rStyle w:val="normaltextrun"/>
          <w:iCs/>
        </w:rPr>
        <w:t xml:space="preserve"> </w:t>
      </w:r>
      <w:r w:rsidR="00B715DA" w:rsidRPr="003214C3">
        <w:rPr>
          <w:rStyle w:val="normaltextrun"/>
          <w:iCs/>
        </w:rPr>
        <w:t>compared to somatropin were only calculated with a 4-group comparison that also included patient s</w:t>
      </w:r>
      <w:r w:rsidR="007F3407" w:rsidRPr="003214C3">
        <w:rPr>
          <w:rStyle w:val="normaltextrun"/>
          <w:iCs/>
        </w:rPr>
        <w:t>witche</w:t>
      </w:r>
      <w:r w:rsidR="00B715DA" w:rsidRPr="003214C3">
        <w:rPr>
          <w:rStyle w:val="normaltextrun"/>
          <w:iCs/>
        </w:rPr>
        <w:t>s</w:t>
      </w:r>
      <w:r w:rsidR="00F010EB">
        <w:rPr>
          <w:rStyle w:val="normaltextrun"/>
          <w:iCs/>
        </w:rPr>
        <w:t>, therefore</w:t>
      </w:r>
      <w:r w:rsidR="00B715DA" w:rsidRPr="003214C3">
        <w:rPr>
          <w:rStyle w:val="normaltextrun"/>
          <w:iCs/>
        </w:rPr>
        <w:t xml:space="preserve"> </w:t>
      </w:r>
      <w:r w:rsidR="00F010EB">
        <w:rPr>
          <w:rStyle w:val="normaltextrun"/>
          <w:iCs/>
        </w:rPr>
        <w:t xml:space="preserve">the </w:t>
      </w:r>
      <w:r w:rsidR="00B715DA" w:rsidRPr="003214C3">
        <w:rPr>
          <w:rStyle w:val="normaltextrun"/>
          <w:iCs/>
        </w:rPr>
        <w:t xml:space="preserve">treatment differences for the direct comparison </w:t>
      </w:r>
      <w:r w:rsidR="00871DC3" w:rsidRPr="003214C3">
        <w:rPr>
          <w:rStyle w:val="normaltextrun"/>
          <w:iCs/>
        </w:rPr>
        <w:t>between</w:t>
      </w:r>
      <w:r w:rsidR="00871DC3">
        <w:rPr>
          <w:rStyle w:val="normaltextrun"/>
          <w:iCs/>
        </w:rPr>
        <w:t xml:space="preserve"> </w:t>
      </w:r>
      <w:proofErr w:type="spellStart"/>
      <w:r w:rsidR="00871DC3" w:rsidRPr="003214C3">
        <w:rPr>
          <w:rStyle w:val="normaltextrun"/>
          <w:iCs/>
        </w:rPr>
        <w:t>somapacitan</w:t>
      </w:r>
      <w:proofErr w:type="spellEnd"/>
      <w:r w:rsidR="00871DC3">
        <w:rPr>
          <w:rStyle w:val="normaltextrun"/>
          <w:iCs/>
        </w:rPr>
        <w:t xml:space="preserve"> </w:t>
      </w:r>
      <w:r w:rsidR="00B715DA" w:rsidRPr="003214C3">
        <w:rPr>
          <w:rStyle w:val="normaltextrun"/>
          <w:iCs/>
        </w:rPr>
        <w:t xml:space="preserve">and somatropin </w:t>
      </w:r>
      <w:r w:rsidR="00F010EB">
        <w:rPr>
          <w:rStyle w:val="normaltextrun"/>
          <w:iCs/>
        </w:rPr>
        <w:t>we</w:t>
      </w:r>
      <w:r w:rsidR="00B715DA" w:rsidRPr="003214C3">
        <w:rPr>
          <w:rStyle w:val="normaltextrun"/>
          <w:iCs/>
        </w:rPr>
        <w:t xml:space="preserve">re not able to be reported. </w:t>
      </w:r>
      <w:r w:rsidR="00F010EB">
        <w:rPr>
          <w:rStyle w:val="normaltextrun"/>
          <w:iCs/>
        </w:rPr>
        <w:t>The r</w:t>
      </w:r>
      <w:r w:rsidR="00B715DA" w:rsidRPr="003214C3">
        <w:rPr>
          <w:rStyle w:val="normaltextrun"/>
          <w:iCs/>
        </w:rPr>
        <w:t>esults</w:t>
      </w:r>
      <w:r w:rsidR="007F3407" w:rsidRPr="003214C3">
        <w:rPr>
          <w:rStyle w:val="normaltextrun"/>
          <w:iCs/>
        </w:rPr>
        <w:t xml:space="preserve"> </w:t>
      </w:r>
      <w:r w:rsidR="00F010EB">
        <w:rPr>
          <w:rStyle w:val="normaltextrun"/>
          <w:iCs/>
        </w:rPr>
        <w:t>we</w:t>
      </w:r>
      <w:r w:rsidR="00B715DA" w:rsidRPr="003214C3">
        <w:rPr>
          <w:rStyle w:val="normaltextrun"/>
          <w:iCs/>
        </w:rPr>
        <w:t>re unlikely to provide</w:t>
      </w:r>
      <w:r w:rsidR="00F010EB">
        <w:rPr>
          <w:rStyle w:val="normaltextrun"/>
          <w:iCs/>
        </w:rPr>
        <w:t xml:space="preserve"> a</w:t>
      </w:r>
      <w:r w:rsidR="00B715DA" w:rsidRPr="003214C3">
        <w:rPr>
          <w:rStyle w:val="normaltextrun"/>
          <w:iCs/>
        </w:rPr>
        <w:t xml:space="preserve"> conclusive understanding of non-inferiority </w:t>
      </w:r>
      <w:r w:rsidR="00871DC3" w:rsidRPr="003214C3">
        <w:rPr>
          <w:rStyle w:val="normaltextrun"/>
          <w:iCs/>
        </w:rPr>
        <w:t>for</w:t>
      </w:r>
      <w:r w:rsidR="00871DC3">
        <w:rPr>
          <w:rStyle w:val="normaltextrun"/>
          <w:iCs/>
        </w:rPr>
        <w:t xml:space="preserve"> </w:t>
      </w:r>
      <w:proofErr w:type="spellStart"/>
      <w:r w:rsidR="00871DC3" w:rsidRPr="003214C3">
        <w:rPr>
          <w:rStyle w:val="normaltextrun"/>
          <w:iCs/>
        </w:rPr>
        <w:t>somapacitan</w:t>
      </w:r>
      <w:proofErr w:type="spellEnd"/>
      <w:r w:rsidR="00871DC3">
        <w:rPr>
          <w:rStyle w:val="normaltextrun"/>
          <w:iCs/>
        </w:rPr>
        <w:t xml:space="preserve"> </w:t>
      </w:r>
      <w:r w:rsidR="00B715DA" w:rsidRPr="003214C3">
        <w:rPr>
          <w:rStyle w:val="normaltextrun"/>
          <w:iCs/>
        </w:rPr>
        <w:t>compared to somatropin.</w:t>
      </w:r>
    </w:p>
    <w:p w14:paraId="7959D48C" w14:textId="4BFAAD26" w:rsidR="006F4677" w:rsidRPr="00CB6395" w:rsidRDefault="00390FEB" w:rsidP="0074599E">
      <w:pPr>
        <w:pStyle w:val="3-BodyText"/>
        <w:rPr>
          <w:rStyle w:val="normaltextrun"/>
          <w:rFonts w:ascii="Segoe UI" w:hAnsi="Segoe UI" w:cs="Segoe UI"/>
          <w:sz w:val="18"/>
          <w:szCs w:val="18"/>
        </w:rPr>
      </w:pPr>
      <w:r w:rsidRPr="00CB6395">
        <w:rPr>
          <w:rStyle w:val="normaltextrun"/>
        </w:rPr>
        <w:t>The submission present</w:t>
      </w:r>
      <w:r w:rsidR="00F010EB">
        <w:rPr>
          <w:rStyle w:val="normaltextrun"/>
        </w:rPr>
        <w:t>ed</w:t>
      </w:r>
      <w:r w:rsidRPr="00CB6395">
        <w:rPr>
          <w:rStyle w:val="normaltextrun"/>
        </w:rPr>
        <w:t xml:space="preserve"> secondary outcomes related to </w:t>
      </w:r>
      <w:r w:rsidR="009C22BF" w:rsidRPr="00CB6395">
        <w:rPr>
          <w:rStyle w:val="normaltextrun"/>
        </w:rPr>
        <w:t xml:space="preserve">truncal body fat mass, </w:t>
      </w:r>
      <w:r w:rsidR="00A91F56" w:rsidRPr="00CB6395">
        <w:rPr>
          <w:rStyle w:val="normaltextrun"/>
        </w:rPr>
        <w:t xml:space="preserve">body fat mass, </w:t>
      </w:r>
      <w:r w:rsidR="009C22BF" w:rsidRPr="00CB6395">
        <w:rPr>
          <w:rStyle w:val="normaltextrun"/>
        </w:rPr>
        <w:t xml:space="preserve">visceral adipose tissue (VAT), </w:t>
      </w:r>
      <w:r w:rsidR="00A91F56" w:rsidRPr="00CB6395">
        <w:rPr>
          <w:rStyle w:val="normaltextrun"/>
        </w:rPr>
        <w:t xml:space="preserve">android body fat mass, gynoid body fat mass, truncal lean body mass, </w:t>
      </w:r>
      <w:r w:rsidR="00C7638B" w:rsidRPr="00CB6395">
        <w:rPr>
          <w:rStyle w:val="normaltextrun"/>
        </w:rPr>
        <w:t>appendicular skeletal muscle mass, and body lean mass.</w:t>
      </w:r>
      <w:r w:rsidR="00467137" w:rsidRPr="00CB6395">
        <w:rPr>
          <w:rStyle w:val="normaltextrun"/>
          <w:rFonts w:ascii="Segoe UI" w:hAnsi="Segoe UI" w:cs="Segoe UI"/>
          <w:sz w:val="18"/>
          <w:szCs w:val="18"/>
        </w:rPr>
        <w:t xml:space="preserve"> </w:t>
      </w:r>
      <w:r w:rsidR="00292096" w:rsidRPr="005C2493">
        <w:rPr>
          <w:rStyle w:val="normaltextrun"/>
          <w:rFonts w:cstheme="minorHAnsi"/>
          <w:szCs w:val="24"/>
        </w:rPr>
        <w:t xml:space="preserve">The evaluation </w:t>
      </w:r>
      <w:r w:rsidR="00292096" w:rsidRPr="00292096">
        <w:rPr>
          <w:rStyle w:val="normaltextrun"/>
          <w:rFonts w:cstheme="minorHAnsi"/>
          <w:iCs/>
          <w:color w:val="000000"/>
          <w:szCs w:val="24"/>
          <w:shd w:val="clear" w:color="auto" w:fill="FFFFFF"/>
        </w:rPr>
        <w:t>n</w:t>
      </w:r>
      <w:r w:rsidR="00467137" w:rsidRPr="00292096">
        <w:rPr>
          <w:rStyle w:val="normaltextrun"/>
          <w:rFonts w:cstheme="minorHAnsi"/>
          <w:iCs/>
          <w:color w:val="000000"/>
          <w:szCs w:val="24"/>
          <w:shd w:val="clear" w:color="auto" w:fill="FFFFFF"/>
        </w:rPr>
        <w:t>ote</w:t>
      </w:r>
      <w:r w:rsidR="00292096" w:rsidRPr="00292096">
        <w:rPr>
          <w:rStyle w:val="normaltextrun"/>
          <w:rFonts w:cstheme="minorHAnsi"/>
          <w:iCs/>
          <w:color w:val="000000"/>
          <w:szCs w:val="24"/>
          <w:shd w:val="clear" w:color="auto" w:fill="FFFFFF"/>
        </w:rPr>
        <w:t>d</w:t>
      </w:r>
      <w:r w:rsidR="00467137" w:rsidRPr="003214C3">
        <w:rPr>
          <w:rStyle w:val="normaltextrun"/>
          <w:iCs/>
          <w:color w:val="000000"/>
          <w:shd w:val="clear" w:color="auto" w:fill="FFFFFF"/>
        </w:rPr>
        <w:t xml:space="preserve"> that comparisons with placebo at </w:t>
      </w:r>
      <w:r w:rsidR="00DB3960" w:rsidRPr="003214C3">
        <w:rPr>
          <w:rStyle w:val="normaltextrun"/>
          <w:iCs/>
          <w:color w:val="000000"/>
          <w:shd w:val="clear" w:color="auto" w:fill="FFFFFF"/>
        </w:rPr>
        <w:t xml:space="preserve">Week </w:t>
      </w:r>
      <w:r w:rsidR="00467137" w:rsidRPr="003214C3">
        <w:rPr>
          <w:rStyle w:val="normaltextrun"/>
          <w:iCs/>
          <w:color w:val="000000"/>
          <w:shd w:val="clear" w:color="auto" w:fill="FFFFFF"/>
        </w:rPr>
        <w:t xml:space="preserve">34 and comparisons with treatment switches (placebo </w:t>
      </w:r>
      <w:r w:rsidR="0026009B" w:rsidRPr="003214C3">
        <w:rPr>
          <w:rStyle w:val="normaltextrun"/>
          <w:iCs/>
          <w:color w:val="000000"/>
          <w:shd w:val="clear" w:color="auto" w:fill="FFFFFF"/>
        </w:rPr>
        <w:t>to</w:t>
      </w:r>
      <w:r w:rsidR="0026009B">
        <w:rPr>
          <w:rStyle w:val="normaltextrun"/>
          <w:iCs/>
          <w:color w:val="000000"/>
          <w:shd w:val="clear" w:color="auto" w:fill="FFFFFF"/>
        </w:rPr>
        <w:t xml:space="preserve"> </w:t>
      </w:r>
      <w:proofErr w:type="spellStart"/>
      <w:r w:rsidR="0026009B" w:rsidRPr="003214C3">
        <w:rPr>
          <w:rStyle w:val="normaltextrun"/>
          <w:iCs/>
          <w:color w:val="000000"/>
          <w:shd w:val="clear" w:color="auto" w:fill="FFFFFF"/>
        </w:rPr>
        <w:t>somapacitan</w:t>
      </w:r>
      <w:proofErr w:type="spellEnd"/>
      <w:r w:rsidR="0026009B">
        <w:rPr>
          <w:rStyle w:val="normaltextrun"/>
          <w:iCs/>
          <w:color w:val="000000"/>
          <w:shd w:val="clear" w:color="auto" w:fill="FFFFFF"/>
        </w:rPr>
        <w:t xml:space="preserve"> </w:t>
      </w:r>
      <w:r w:rsidR="00467137" w:rsidRPr="003214C3">
        <w:rPr>
          <w:rStyle w:val="normaltextrun"/>
          <w:iCs/>
          <w:color w:val="000000"/>
          <w:shd w:val="clear" w:color="auto" w:fill="FFFFFF"/>
        </w:rPr>
        <w:t xml:space="preserve">and somatropin </w:t>
      </w:r>
      <w:r w:rsidR="0026009B" w:rsidRPr="003214C3">
        <w:rPr>
          <w:rStyle w:val="normaltextrun"/>
          <w:iCs/>
          <w:color w:val="000000"/>
          <w:shd w:val="clear" w:color="auto" w:fill="FFFFFF"/>
        </w:rPr>
        <w:t>to</w:t>
      </w:r>
      <w:r w:rsidR="0026009B">
        <w:rPr>
          <w:rStyle w:val="normaltextrun"/>
          <w:iCs/>
          <w:color w:val="000000"/>
          <w:shd w:val="clear" w:color="auto" w:fill="FFFFFF"/>
        </w:rPr>
        <w:t xml:space="preserve"> </w:t>
      </w:r>
      <w:proofErr w:type="spellStart"/>
      <w:r w:rsidR="00467137" w:rsidRPr="003214C3">
        <w:rPr>
          <w:rStyle w:val="normaltextrun"/>
          <w:iCs/>
          <w:color w:val="000000"/>
          <w:shd w:val="clear" w:color="auto" w:fill="FFFFFF"/>
        </w:rPr>
        <w:t>somapacitan</w:t>
      </w:r>
      <w:proofErr w:type="spellEnd"/>
      <w:r w:rsidR="00467137" w:rsidRPr="003214C3">
        <w:rPr>
          <w:rStyle w:val="normaltextrun"/>
          <w:iCs/>
          <w:color w:val="000000"/>
          <w:shd w:val="clear" w:color="auto" w:fill="FFFFFF"/>
        </w:rPr>
        <w:t xml:space="preserve">) at </w:t>
      </w:r>
      <w:r w:rsidR="00DB3960" w:rsidRPr="003214C3">
        <w:rPr>
          <w:rStyle w:val="normaltextrun"/>
          <w:iCs/>
          <w:color w:val="000000"/>
          <w:shd w:val="clear" w:color="auto" w:fill="FFFFFF"/>
        </w:rPr>
        <w:t>Week 87</w:t>
      </w:r>
      <w:r w:rsidR="00467137" w:rsidRPr="003214C3">
        <w:rPr>
          <w:rStyle w:val="normaltextrun"/>
          <w:iCs/>
          <w:color w:val="000000"/>
          <w:shd w:val="clear" w:color="auto" w:fill="FFFFFF"/>
        </w:rPr>
        <w:t xml:space="preserve"> </w:t>
      </w:r>
      <w:r w:rsidR="00292096" w:rsidRPr="005C2493">
        <w:rPr>
          <w:rStyle w:val="normaltextrun"/>
          <w:iCs/>
          <w:color w:val="000000"/>
          <w:shd w:val="clear" w:color="auto" w:fill="FFFFFF"/>
        </w:rPr>
        <w:t>were</w:t>
      </w:r>
      <w:r w:rsidR="00292096" w:rsidRPr="003214C3">
        <w:rPr>
          <w:rStyle w:val="normaltextrun"/>
          <w:iCs/>
          <w:color w:val="000000"/>
          <w:shd w:val="clear" w:color="auto" w:fill="FFFFFF"/>
        </w:rPr>
        <w:t xml:space="preserve"> </w:t>
      </w:r>
      <w:r w:rsidR="00467137" w:rsidRPr="003214C3">
        <w:rPr>
          <w:rStyle w:val="normaltextrun"/>
          <w:iCs/>
          <w:color w:val="000000"/>
          <w:shd w:val="clear" w:color="auto" w:fill="FFFFFF"/>
        </w:rPr>
        <w:t xml:space="preserve">also presented but </w:t>
      </w:r>
      <w:r w:rsidR="00292096" w:rsidRPr="005C2493">
        <w:rPr>
          <w:rStyle w:val="normaltextrun"/>
          <w:iCs/>
          <w:color w:val="000000"/>
          <w:shd w:val="clear" w:color="auto" w:fill="FFFFFF"/>
        </w:rPr>
        <w:t>were</w:t>
      </w:r>
      <w:r w:rsidR="00292096">
        <w:rPr>
          <w:rStyle w:val="normaltextrun"/>
          <w:iCs/>
          <w:color w:val="000000"/>
          <w:shd w:val="clear" w:color="auto" w:fill="FFFFFF"/>
        </w:rPr>
        <w:t xml:space="preserve"> </w:t>
      </w:r>
      <w:r w:rsidR="00467137" w:rsidRPr="003214C3">
        <w:rPr>
          <w:rStyle w:val="normaltextrun"/>
          <w:iCs/>
          <w:color w:val="000000"/>
          <w:shd w:val="clear" w:color="auto" w:fill="FFFFFF"/>
        </w:rPr>
        <w:t xml:space="preserve">less relevant as support for the clinical claim of non-inferiority </w:t>
      </w:r>
      <w:r w:rsidR="0026009B" w:rsidRPr="003214C3">
        <w:rPr>
          <w:rStyle w:val="normaltextrun"/>
          <w:iCs/>
          <w:color w:val="000000"/>
          <w:shd w:val="clear" w:color="auto" w:fill="FFFFFF"/>
        </w:rPr>
        <w:t>between</w:t>
      </w:r>
      <w:r w:rsidR="0026009B">
        <w:rPr>
          <w:rStyle w:val="normaltextrun"/>
          <w:iCs/>
          <w:color w:val="000000"/>
          <w:shd w:val="clear" w:color="auto" w:fill="FFFFFF"/>
        </w:rPr>
        <w:t xml:space="preserve"> </w:t>
      </w:r>
      <w:proofErr w:type="spellStart"/>
      <w:r w:rsidR="0026009B" w:rsidRPr="003214C3">
        <w:rPr>
          <w:rStyle w:val="normaltextrun"/>
          <w:iCs/>
          <w:color w:val="000000"/>
          <w:shd w:val="clear" w:color="auto" w:fill="FFFFFF"/>
        </w:rPr>
        <w:t>somapacitan</w:t>
      </w:r>
      <w:proofErr w:type="spellEnd"/>
      <w:r w:rsidR="0026009B">
        <w:rPr>
          <w:rStyle w:val="normaltextrun"/>
          <w:iCs/>
          <w:color w:val="000000"/>
          <w:shd w:val="clear" w:color="auto" w:fill="FFFFFF"/>
        </w:rPr>
        <w:t xml:space="preserve"> </w:t>
      </w:r>
      <w:r w:rsidR="00467137" w:rsidRPr="003214C3">
        <w:rPr>
          <w:rStyle w:val="normaltextrun"/>
          <w:iCs/>
          <w:color w:val="000000"/>
          <w:shd w:val="clear" w:color="auto" w:fill="FFFFFF"/>
        </w:rPr>
        <w:t>and somatropin. Information on treatment switching could be relevant as supporting evidence</w:t>
      </w:r>
      <w:r w:rsidR="0026009B" w:rsidRPr="003214C3">
        <w:rPr>
          <w:rStyle w:val="normaltextrun"/>
          <w:iCs/>
          <w:color w:val="000000"/>
          <w:shd w:val="clear" w:color="auto" w:fill="FFFFFF"/>
        </w:rPr>
        <w:t>.</w:t>
      </w:r>
      <w:r w:rsidR="0026009B">
        <w:rPr>
          <w:rStyle w:val="normaltextrun"/>
          <w:color w:val="000000"/>
          <w:shd w:val="clear" w:color="auto" w:fill="FFFFFF"/>
        </w:rPr>
        <w:t xml:space="preserve"> </w:t>
      </w:r>
      <w:r w:rsidR="00467137" w:rsidRPr="00CB6395">
        <w:rPr>
          <w:rStyle w:val="normaltextrun"/>
          <w:color w:val="000000"/>
          <w:shd w:val="clear" w:color="auto" w:fill="FFFFFF"/>
        </w:rPr>
        <w:t xml:space="preserve">There was a statistically significant difference </w:t>
      </w:r>
      <w:r w:rsidR="0026009B" w:rsidRPr="00CB6395">
        <w:rPr>
          <w:rStyle w:val="normaltextrun"/>
          <w:color w:val="000000"/>
          <w:shd w:val="clear" w:color="auto" w:fill="FFFFFF"/>
        </w:rPr>
        <w:t>between</w:t>
      </w:r>
      <w:r w:rsidR="0026009B">
        <w:rPr>
          <w:rStyle w:val="normaltextrun"/>
          <w:color w:val="000000"/>
          <w:shd w:val="clear" w:color="auto" w:fill="FFFFFF"/>
        </w:rPr>
        <w:t xml:space="preserve"> </w:t>
      </w:r>
      <w:proofErr w:type="spellStart"/>
      <w:r w:rsidR="0026009B" w:rsidRPr="00CB6395">
        <w:rPr>
          <w:rStyle w:val="normaltextrun"/>
          <w:color w:val="000000"/>
          <w:shd w:val="clear" w:color="auto" w:fill="FFFFFF"/>
        </w:rPr>
        <w:t>somapacitan</w:t>
      </w:r>
      <w:proofErr w:type="spellEnd"/>
      <w:r w:rsidR="0026009B">
        <w:rPr>
          <w:rStyle w:val="normaltextrun"/>
          <w:color w:val="000000"/>
          <w:shd w:val="clear" w:color="auto" w:fill="FFFFFF"/>
        </w:rPr>
        <w:t xml:space="preserve"> </w:t>
      </w:r>
      <w:r w:rsidR="00467137" w:rsidRPr="00CB6395">
        <w:rPr>
          <w:rStyle w:val="normaltextrun"/>
          <w:color w:val="000000"/>
          <w:shd w:val="clear" w:color="auto" w:fill="FFFFFF"/>
        </w:rPr>
        <w:t xml:space="preserve">and somatropin at </w:t>
      </w:r>
      <w:r w:rsidR="00DB3960" w:rsidRPr="00CB6395">
        <w:rPr>
          <w:rStyle w:val="normaltextrun"/>
          <w:color w:val="000000"/>
          <w:shd w:val="clear" w:color="auto" w:fill="FFFFFF"/>
        </w:rPr>
        <w:t xml:space="preserve">Week </w:t>
      </w:r>
      <w:r w:rsidR="00467137" w:rsidRPr="00CB6395">
        <w:rPr>
          <w:rStyle w:val="normaltextrun"/>
          <w:color w:val="000000"/>
          <w:shd w:val="clear" w:color="auto" w:fill="FFFFFF"/>
        </w:rPr>
        <w:t>34 for the outcome gynoid body fat mass</w:t>
      </w:r>
      <w:r w:rsidR="0026009B" w:rsidRPr="00CB6395">
        <w:rPr>
          <w:rStyle w:val="normaltextrun"/>
          <w:color w:val="000000"/>
          <w:shd w:val="clear" w:color="auto" w:fill="FFFFFF"/>
        </w:rPr>
        <w:t>.</w:t>
      </w:r>
      <w:r w:rsidR="0026009B">
        <w:rPr>
          <w:rStyle w:val="normaltextrun"/>
          <w:color w:val="000000"/>
          <w:shd w:val="clear" w:color="auto" w:fill="FFFFFF"/>
        </w:rPr>
        <w:t xml:space="preserve"> </w:t>
      </w:r>
      <w:r w:rsidR="00467137" w:rsidRPr="003214C3">
        <w:rPr>
          <w:rStyle w:val="normaltextrun"/>
          <w:iCs/>
          <w:color w:val="000000"/>
          <w:shd w:val="clear" w:color="auto" w:fill="FFFFFF"/>
        </w:rPr>
        <w:t xml:space="preserve">Given the lack of understanding of what would constitute non-inferiority for </w:t>
      </w:r>
      <w:r w:rsidR="0074599E" w:rsidRPr="003214C3">
        <w:rPr>
          <w:rStyle w:val="normaltextrun"/>
          <w:iCs/>
          <w:color w:val="000000"/>
          <w:shd w:val="clear" w:color="auto" w:fill="FFFFFF"/>
        </w:rPr>
        <w:t xml:space="preserve">the </w:t>
      </w:r>
      <w:r w:rsidR="00467137" w:rsidRPr="003214C3">
        <w:rPr>
          <w:rStyle w:val="normaltextrun"/>
          <w:iCs/>
          <w:color w:val="000000"/>
          <w:shd w:val="clear" w:color="auto" w:fill="FFFFFF"/>
        </w:rPr>
        <w:t xml:space="preserve">other </w:t>
      </w:r>
      <w:r w:rsidR="0074599E" w:rsidRPr="003214C3">
        <w:rPr>
          <w:rStyle w:val="normaltextrun"/>
          <w:iCs/>
          <w:color w:val="000000"/>
          <w:shd w:val="clear" w:color="auto" w:fill="FFFFFF"/>
        </w:rPr>
        <w:t>key body composition parameters,</w:t>
      </w:r>
      <w:r w:rsidR="00467137" w:rsidRPr="003214C3">
        <w:rPr>
          <w:rStyle w:val="normaltextrun"/>
          <w:iCs/>
          <w:color w:val="000000"/>
          <w:shd w:val="clear" w:color="auto" w:fill="FFFFFF"/>
        </w:rPr>
        <w:t xml:space="preserve"> the interpretations </w:t>
      </w:r>
      <w:r w:rsidR="00292096" w:rsidRPr="005C2493">
        <w:rPr>
          <w:rStyle w:val="normaltextrun"/>
          <w:iCs/>
          <w:color w:val="000000"/>
          <w:shd w:val="clear" w:color="auto" w:fill="FFFFFF"/>
        </w:rPr>
        <w:t>were</w:t>
      </w:r>
      <w:r w:rsidR="0004679A" w:rsidRPr="005C2493">
        <w:rPr>
          <w:rStyle w:val="normaltextrun"/>
          <w:iCs/>
          <w:color w:val="000000"/>
          <w:shd w:val="clear" w:color="auto" w:fill="FFFFFF"/>
        </w:rPr>
        <w:t xml:space="preserve"> </w:t>
      </w:r>
      <w:r w:rsidR="00467137" w:rsidRPr="003214C3">
        <w:rPr>
          <w:rStyle w:val="normaltextrun"/>
          <w:iCs/>
          <w:color w:val="000000"/>
          <w:shd w:val="clear" w:color="auto" w:fill="FFFFFF"/>
        </w:rPr>
        <w:t>unclear.</w:t>
      </w:r>
    </w:p>
    <w:p w14:paraId="0CAD045C" w14:textId="004E5781" w:rsidR="00014A5F" w:rsidRPr="00946E21" w:rsidRDefault="00733EDC" w:rsidP="00EE0668">
      <w:pPr>
        <w:pStyle w:val="3-BodyText"/>
        <w:rPr>
          <w:rStyle w:val="normaltextrun"/>
          <w:rFonts w:ascii="Times New Roman" w:hAnsi="Times New Roman"/>
          <w:sz w:val="32"/>
          <w:szCs w:val="32"/>
        </w:rPr>
      </w:pPr>
      <w:r w:rsidRPr="00CB6395">
        <w:t xml:space="preserve">The submission stated </w:t>
      </w:r>
      <w:r w:rsidR="007B34BC" w:rsidRPr="00CB6395">
        <w:t xml:space="preserve">the weekly dosing </w:t>
      </w:r>
      <w:r w:rsidR="002959D4">
        <w:t xml:space="preserve">of </w:t>
      </w:r>
      <w:proofErr w:type="spellStart"/>
      <w:r w:rsidR="002959D4">
        <w:t>somapacitan</w:t>
      </w:r>
      <w:proofErr w:type="spellEnd"/>
      <w:r w:rsidR="002959D4">
        <w:t xml:space="preserve"> was a benefit </w:t>
      </w:r>
      <w:r w:rsidR="007B34BC" w:rsidRPr="00CB6395">
        <w:t>compared with daily dosing with somatropin</w:t>
      </w:r>
      <w:r w:rsidRPr="00CB6395">
        <w:t xml:space="preserve">. </w:t>
      </w:r>
      <w:r w:rsidR="00372422" w:rsidRPr="00CB6395">
        <w:t xml:space="preserve">Patient reported outcomes from REAL-1 were presented in the submission. </w:t>
      </w:r>
      <w:r w:rsidRPr="00CB6395">
        <w:rPr>
          <w:rStyle w:val="normaltextrun"/>
          <w:color w:val="000000" w:themeColor="text1"/>
        </w:rPr>
        <w:t xml:space="preserve">In general, patient satisfaction and treatment convenience favoured </w:t>
      </w:r>
      <w:proofErr w:type="spellStart"/>
      <w:r w:rsidRPr="00CB6395">
        <w:rPr>
          <w:rStyle w:val="normaltextrun"/>
          <w:color w:val="000000" w:themeColor="text1"/>
        </w:rPr>
        <w:t>somapacitan</w:t>
      </w:r>
      <w:proofErr w:type="spellEnd"/>
      <w:r w:rsidRPr="00CB6395">
        <w:rPr>
          <w:rStyle w:val="normaltextrun"/>
          <w:color w:val="000000" w:themeColor="text1"/>
        </w:rPr>
        <w:t>.</w:t>
      </w:r>
      <w:r w:rsidR="006F4677" w:rsidRPr="00CB6395">
        <w:t xml:space="preserve"> In summary, data from TRIM-AGHD showed that the differences in scores </w:t>
      </w:r>
      <w:r w:rsidR="0026009B" w:rsidRPr="00CB6395">
        <w:t>between</w:t>
      </w:r>
      <w:r w:rsidR="0026009B">
        <w:t xml:space="preserve"> </w:t>
      </w:r>
      <w:proofErr w:type="spellStart"/>
      <w:r w:rsidR="0026009B" w:rsidRPr="00CB6395">
        <w:t>somapacitan</w:t>
      </w:r>
      <w:proofErr w:type="spellEnd"/>
      <w:r w:rsidR="0026009B">
        <w:t xml:space="preserve"> </w:t>
      </w:r>
      <w:r w:rsidR="006F4677" w:rsidRPr="00CB6395">
        <w:t xml:space="preserve">and somatropin were generally in favour </w:t>
      </w:r>
      <w:r w:rsidR="0026009B" w:rsidRPr="00CB6395">
        <w:t>of</w:t>
      </w:r>
      <w:r w:rsidR="0026009B">
        <w:t xml:space="preserve"> </w:t>
      </w:r>
      <w:proofErr w:type="spellStart"/>
      <w:r w:rsidR="006F4677" w:rsidRPr="00CB6395">
        <w:t>somapacitan</w:t>
      </w:r>
      <w:proofErr w:type="spellEnd"/>
      <w:r w:rsidR="006F4677" w:rsidRPr="00CB6395">
        <w:t xml:space="preserve">, but none met the </w:t>
      </w:r>
      <w:r w:rsidR="005C3A45" w:rsidRPr="005C3A45">
        <w:t>minimally important difference</w:t>
      </w:r>
      <w:r w:rsidR="005C3A45">
        <w:t xml:space="preserve"> (</w:t>
      </w:r>
      <w:r w:rsidR="006F4677" w:rsidRPr="00CB6395">
        <w:t>MID</w:t>
      </w:r>
      <w:r w:rsidR="005C3A45">
        <w:t>)</w:t>
      </w:r>
      <w:r w:rsidR="006F4677" w:rsidRPr="00CB6395">
        <w:t xml:space="preserve"> criteria</w:t>
      </w:r>
      <w:r w:rsidR="0026009B" w:rsidRPr="00CB6395">
        <w:t>.</w:t>
      </w:r>
      <w:r w:rsidR="0026009B">
        <w:t xml:space="preserve"> </w:t>
      </w:r>
      <w:r w:rsidR="006F4677" w:rsidRPr="00CB6395">
        <w:t xml:space="preserve">Similarly, data from </w:t>
      </w:r>
      <w:r w:rsidR="007115E7" w:rsidRPr="00CB6395">
        <w:t xml:space="preserve">the </w:t>
      </w:r>
      <w:r w:rsidR="006F4677" w:rsidRPr="00CB6395">
        <w:t>SF-36v2</w:t>
      </w:r>
      <w:r w:rsidR="007115E7" w:rsidRPr="00CB6395">
        <w:t xml:space="preserve"> survey</w:t>
      </w:r>
      <w:r w:rsidR="006F4677" w:rsidRPr="00CB6395">
        <w:t xml:space="preserve"> also did not show differences that met the MID criteria. </w:t>
      </w:r>
      <w:r w:rsidR="007115E7" w:rsidRPr="00CB6395">
        <w:t>The</w:t>
      </w:r>
      <w:r w:rsidR="006F4677" w:rsidRPr="00CB6395">
        <w:t xml:space="preserve"> TSQM-9</w:t>
      </w:r>
      <w:r w:rsidR="007115E7" w:rsidRPr="00CB6395">
        <w:t xml:space="preserve"> results showed</w:t>
      </w:r>
      <w:r w:rsidR="006F4677" w:rsidRPr="00CB6395">
        <w:t xml:space="preserve"> a statistically significant difference for treatment convenience in favour </w:t>
      </w:r>
      <w:r w:rsidR="0026009B" w:rsidRPr="00CB6395">
        <w:t>of</w:t>
      </w:r>
      <w:r w:rsidR="0026009B">
        <w:t xml:space="preserve"> </w:t>
      </w:r>
      <w:proofErr w:type="spellStart"/>
      <w:r w:rsidR="006F4677" w:rsidRPr="00CB6395">
        <w:t>somapacitan</w:t>
      </w:r>
      <w:proofErr w:type="spellEnd"/>
      <w:r w:rsidR="0026009B" w:rsidRPr="00CB6395">
        <w:t>.</w:t>
      </w:r>
      <w:r w:rsidR="0026009B">
        <w:t xml:space="preserve"> </w:t>
      </w:r>
      <w:r w:rsidR="00937DEB">
        <w:t xml:space="preserve">Similarly, </w:t>
      </w:r>
      <w:r w:rsidR="00937DEB" w:rsidRPr="00CB6395">
        <w:t xml:space="preserve">REAL-2 reported a statistically significant difference in convenience scores in favour </w:t>
      </w:r>
      <w:r w:rsidR="0026009B" w:rsidRPr="00CB6395">
        <w:t>of</w:t>
      </w:r>
      <w:r w:rsidR="0026009B">
        <w:t xml:space="preserve"> </w:t>
      </w:r>
      <w:proofErr w:type="spellStart"/>
      <w:r w:rsidR="00937DEB" w:rsidRPr="00CB6395">
        <w:t>somapacitan</w:t>
      </w:r>
      <w:proofErr w:type="spellEnd"/>
      <w:r w:rsidR="0026009B" w:rsidRPr="00CB6395">
        <w:t>.</w:t>
      </w:r>
      <w:r w:rsidR="0026009B">
        <w:t xml:space="preserve"> </w:t>
      </w:r>
      <w:r w:rsidR="00937DEB" w:rsidRPr="00CB6395">
        <w:t xml:space="preserve">In contrast, </w:t>
      </w:r>
      <w:r w:rsidR="006F4677" w:rsidRPr="00CB6395">
        <w:t xml:space="preserve">REAL-Japan </w:t>
      </w:r>
      <w:r w:rsidR="00937DEB">
        <w:t xml:space="preserve">reported </w:t>
      </w:r>
      <w:r w:rsidR="006F4677" w:rsidRPr="00CB6395">
        <w:t>no statistically significant difference in convenience or global satisfaction</w:t>
      </w:r>
      <w:r w:rsidR="00937DEB">
        <w:t xml:space="preserve"> based on TSQM-9</w:t>
      </w:r>
      <w:r w:rsidR="006F4677" w:rsidRPr="00CB6395">
        <w:t xml:space="preserve">. </w:t>
      </w:r>
      <w:r w:rsidRPr="003214C3">
        <w:rPr>
          <w:rStyle w:val="normaltextrun"/>
          <w:color w:val="000000" w:themeColor="text1"/>
        </w:rPr>
        <w:t>The three patient reported outcome measures used in the trials (TRIM-AGHD, SF36v2, TSQM-9) did not meet the minimum clinically important difference</w:t>
      </w:r>
      <w:r w:rsidR="008D66A9">
        <w:rPr>
          <w:rStyle w:val="normaltextrun"/>
          <w:color w:val="000000" w:themeColor="text1"/>
        </w:rPr>
        <w:t xml:space="preserve"> (MCID)</w:t>
      </w:r>
      <w:r w:rsidRPr="003214C3">
        <w:rPr>
          <w:rStyle w:val="normaltextrun"/>
          <w:color w:val="000000" w:themeColor="text1"/>
        </w:rPr>
        <w:t xml:space="preserve"> between </w:t>
      </w:r>
      <w:proofErr w:type="spellStart"/>
      <w:r w:rsidRPr="003214C3">
        <w:rPr>
          <w:rStyle w:val="normaltextrun"/>
          <w:color w:val="000000" w:themeColor="text1"/>
        </w:rPr>
        <w:t>somapacitan</w:t>
      </w:r>
      <w:proofErr w:type="spellEnd"/>
      <w:r w:rsidRPr="003214C3">
        <w:rPr>
          <w:rStyle w:val="normaltextrun"/>
          <w:color w:val="000000" w:themeColor="text1"/>
        </w:rPr>
        <w:t xml:space="preserve"> and somatropin.</w:t>
      </w:r>
      <w:r w:rsidR="00372422" w:rsidRPr="00CB6395">
        <w:t xml:space="preserve"> </w:t>
      </w:r>
    </w:p>
    <w:p w14:paraId="2E19A8C1" w14:textId="50094F2F" w:rsidR="00EA1CC5" w:rsidRPr="00CB6395" w:rsidRDefault="0076239C" w:rsidP="00EE0668">
      <w:pPr>
        <w:pStyle w:val="TableFigureHeading"/>
        <w:rPr>
          <w:rStyle w:val="CommentReference"/>
          <w:b/>
          <w:szCs w:val="24"/>
        </w:rPr>
      </w:pPr>
      <w:r w:rsidRPr="00CB6395">
        <w:rPr>
          <w:szCs w:val="20"/>
        </w:rPr>
        <w:t xml:space="preserve">Table </w:t>
      </w:r>
      <w:r w:rsidR="00DB3960" w:rsidRPr="00CB6395">
        <w:rPr>
          <w:szCs w:val="20"/>
          <w:shd w:val="clear" w:color="auto" w:fill="E6E6E6"/>
        </w:rPr>
        <w:fldChar w:fldCharType="begin"/>
      </w:r>
      <w:r w:rsidR="00DB3960" w:rsidRPr="00CB6395">
        <w:rPr>
          <w:szCs w:val="20"/>
        </w:rPr>
        <w:instrText xml:space="preserve"> SEQ Table \* ARABIC </w:instrText>
      </w:r>
      <w:r w:rsidR="00DB3960" w:rsidRPr="00CB6395">
        <w:rPr>
          <w:szCs w:val="20"/>
          <w:shd w:val="clear" w:color="auto" w:fill="E6E6E6"/>
        </w:rPr>
        <w:fldChar w:fldCharType="separate"/>
      </w:r>
      <w:r w:rsidR="00AB6385">
        <w:rPr>
          <w:noProof/>
          <w:szCs w:val="20"/>
        </w:rPr>
        <w:t>4</w:t>
      </w:r>
      <w:r w:rsidR="00DB3960" w:rsidRPr="00CB6395">
        <w:rPr>
          <w:szCs w:val="20"/>
          <w:shd w:val="clear" w:color="auto" w:fill="E6E6E6"/>
        </w:rPr>
        <w:fldChar w:fldCharType="end"/>
      </w:r>
      <w:r w:rsidRPr="00CB6395">
        <w:rPr>
          <w:rStyle w:val="CommentReference"/>
          <w:szCs w:val="20"/>
        </w:rPr>
        <w:t>:</w:t>
      </w:r>
      <w:r w:rsidRPr="00CB6395">
        <w:rPr>
          <w:rStyle w:val="CommentReference"/>
          <w:b/>
          <w:szCs w:val="24"/>
        </w:rPr>
        <w:t xml:space="preserve"> Results of change from baseline </w:t>
      </w:r>
      <w:r w:rsidR="00466C61" w:rsidRPr="00CB6395">
        <w:rPr>
          <w:rStyle w:val="CommentReference"/>
          <w:b/>
          <w:szCs w:val="24"/>
        </w:rPr>
        <w:t>in truncal fat percentage from REAL-1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1170"/>
        <w:gridCol w:w="1005"/>
        <w:gridCol w:w="1095"/>
        <w:gridCol w:w="1095"/>
        <w:gridCol w:w="1080"/>
        <w:gridCol w:w="930"/>
        <w:gridCol w:w="1950"/>
      </w:tblGrid>
      <w:tr w:rsidR="00B27E80" w:rsidRPr="00CB6395" w14:paraId="41F89046" w14:textId="77777777" w:rsidTr="00B27E80">
        <w:tc>
          <w:tcPr>
            <w:tcW w:w="67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C498B8" w14:textId="77777777" w:rsidR="00B27E80" w:rsidRPr="00CB6395" w:rsidRDefault="00B27E80" w:rsidP="00B27E80">
            <w:pPr>
              <w:pStyle w:val="paragraph"/>
              <w:spacing w:before="0" w:beforeAutospacing="0" w:after="0" w:afterAutospacing="0"/>
              <w:textAlignment w:val="baseline"/>
              <w:rPr>
                <w:rFonts w:ascii="Segoe UI" w:hAnsi="Segoe UI" w:cs="Segoe UI"/>
                <w:b/>
                <w:bCs/>
                <w:sz w:val="18"/>
                <w:szCs w:val="18"/>
              </w:rPr>
            </w:pPr>
            <w:r w:rsidRPr="00CB6395">
              <w:rPr>
                <w:rStyle w:val="normaltextrun"/>
                <w:rFonts w:ascii="Arial Narrow" w:hAnsi="Arial Narrow" w:cs="Segoe UI"/>
                <w:b/>
                <w:bCs/>
                <w:sz w:val="20"/>
                <w:szCs w:val="20"/>
              </w:rPr>
              <w:t>REAL-1</w:t>
            </w:r>
            <w:r w:rsidRPr="00CB6395">
              <w:rPr>
                <w:rStyle w:val="eop"/>
                <w:rFonts w:ascii="Arial Narrow" w:hAnsi="Arial Narrow" w:cs="Segoe UI"/>
                <w:b/>
                <w:bCs/>
                <w:sz w:val="20"/>
                <w:szCs w:val="20"/>
              </w:rPr>
              <w:t> </w:t>
            </w:r>
          </w:p>
        </w:tc>
        <w:tc>
          <w:tcPr>
            <w:tcW w:w="327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D23A0B6" w14:textId="77777777" w:rsidR="00B27E80" w:rsidRPr="00CB6395" w:rsidRDefault="00B27E80" w:rsidP="00B27E80">
            <w:pPr>
              <w:pStyle w:val="paragraph"/>
              <w:spacing w:before="0" w:beforeAutospacing="0" w:after="0" w:afterAutospacing="0"/>
              <w:jc w:val="center"/>
              <w:textAlignment w:val="baseline"/>
              <w:rPr>
                <w:rFonts w:ascii="Segoe UI" w:hAnsi="Segoe UI" w:cs="Segoe UI"/>
                <w:b/>
                <w:bCs/>
                <w:sz w:val="18"/>
                <w:szCs w:val="18"/>
              </w:rPr>
            </w:pPr>
            <w:proofErr w:type="spellStart"/>
            <w:r w:rsidRPr="00CB6395">
              <w:rPr>
                <w:rStyle w:val="normaltextrun"/>
                <w:rFonts w:ascii="Arial Narrow" w:hAnsi="Arial Narrow" w:cs="Segoe UI"/>
                <w:b/>
                <w:bCs/>
                <w:sz w:val="20"/>
                <w:szCs w:val="20"/>
              </w:rPr>
              <w:t>Somapacitan</w:t>
            </w:r>
            <w:proofErr w:type="spellEnd"/>
            <w:r w:rsidRPr="00CB6395">
              <w:rPr>
                <w:rStyle w:val="eop"/>
                <w:rFonts w:ascii="Arial Narrow" w:hAnsi="Arial Narrow" w:cs="Segoe UI"/>
                <w:b/>
                <w:bCs/>
                <w:sz w:val="20"/>
                <w:szCs w:val="20"/>
              </w:rPr>
              <w:t> </w:t>
            </w:r>
          </w:p>
        </w:tc>
        <w:tc>
          <w:tcPr>
            <w:tcW w:w="31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AD9461A" w14:textId="77777777" w:rsidR="00B27E80" w:rsidRPr="00CB6395" w:rsidRDefault="00B27E80" w:rsidP="00B27E80">
            <w:pPr>
              <w:pStyle w:val="paragraph"/>
              <w:spacing w:before="0" w:beforeAutospacing="0" w:after="0" w:afterAutospacing="0"/>
              <w:jc w:val="center"/>
              <w:textAlignment w:val="baseline"/>
              <w:rPr>
                <w:rFonts w:ascii="Segoe UI" w:hAnsi="Segoe UI" w:cs="Segoe UI"/>
                <w:b/>
                <w:bCs/>
                <w:sz w:val="18"/>
                <w:szCs w:val="18"/>
              </w:rPr>
            </w:pPr>
            <w:r w:rsidRPr="00CB6395">
              <w:rPr>
                <w:rStyle w:val="normaltextrun"/>
                <w:rFonts w:ascii="Arial Narrow" w:hAnsi="Arial Narrow" w:cs="Segoe UI"/>
                <w:b/>
                <w:bCs/>
                <w:sz w:val="20"/>
                <w:szCs w:val="20"/>
              </w:rPr>
              <w:t>Somatropin</w:t>
            </w:r>
            <w:r w:rsidRPr="00CB6395">
              <w:rPr>
                <w:rStyle w:val="eop"/>
                <w:rFonts w:ascii="Arial Narrow" w:hAnsi="Arial Narrow" w:cs="Segoe UI"/>
                <w:b/>
                <w:bCs/>
                <w:sz w:val="20"/>
                <w:szCs w:val="20"/>
              </w:rPr>
              <w:t> </w:t>
            </w:r>
          </w:p>
        </w:tc>
        <w:tc>
          <w:tcPr>
            <w:tcW w:w="19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C632112" w14:textId="77777777" w:rsidR="00B27E80" w:rsidRPr="00CB6395" w:rsidRDefault="00B27E80" w:rsidP="00B27E80">
            <w:pPr>
              <w:pStyle w:val="paragraph"/>
              <w:spacing w:before="0" w:beforeAutospacing="0" w:after="0" w:afterAutospacing="0"/>
              <w:jc w:val="center"/>
              <w:textAlignment w:val="baseline"/>
              <w:rPr>
                <w:rFonts w:ascii="Segoe UI" w:hAnsi="Segoe UI" w:cs="Segoe UI"/>
                <w:b/>
                <w:bCs/>
                <w:sz w:val="18"/>
                <w:szCs w:val="18"/>
              </w:rPr>
            </w:pPr>
            <w:r w:rsidRPr="00CB6395">
              <w:rPr>
                <w:rStyle w:val="normaltextrun"/>
                <w:rFonts w:ascii="Arial Narrow" w:hAnsi="Arial Narrow" w:cs="Segoe UI"/>
                <w:b/>
                <w:bCs/>
                <w:sz w:val="20"/>
                <w:szCs w:val="20"/>
              </w:rPr>
              <w:t>Mean difference (95% CI)</w:t>
            </w:r>
            <w:r w:rsidRPr="00CB6395">
              <w:rPr>
                <w:rStyle w:val="eop"/>
                <w:rFonts w:ascii="Arial Narrow" w:hAnsi="Arial Narrow" w:cs="Segoe UI"/>
                <w:b/>
                <w:bCs/>
                <w:sz w:val="20"/>
                <w:szCs w:val="20"/>
              </w:rPr>
              <w:t> </w:t>
            </w:r>
          </w:p>
        </w:tc>
      </w:tr>
      <w:tr w:rsidR="00B27E80" w:rsidRPr="00CB6395" w14:paraId="5D0B1CCD" w14:textId="77777777" w:rsidTr="00B27E8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C39402" w14:textId="77777777" w:rsidR="00B27E80" w:rsidRPr="00CB6395" w:rsidRDefault="00B27E80">
            <w:pPr>
              <w:rPr>
                <w:rFonts w:ascii="Segoe UI" w:hAnsi="Segoe UI" w:cs="Segoe UI"/>
                <w:b/>
                <w:bCs/>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214FA"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Mean baseline</w:t>
            </w:r>
            <w:r w:rsidRPr="00CB6395">
              <w:rPr>
                <w:rStyle w:val="eop"/>
                <w:rFonts w:ascii="Arial Narrow" w:hAnsi="Arial Narrow" w:cs="Segoe UI"/>
                <w:sz w:val="20"/>
                <w:szCs w:val="20"/>
              </w:rPr>
              <w:t>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B8539"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Mean follow up</w:t>
            </w:r>
            <w:r w:rsidRPr="00CB6395">
              <w:rPr>
                <w:rStyle w:val="normaltextrun"/>
                <w:rFonts w:ascii="Arial Narrow" w:hAnsi="Arial Narrow" w:cs="Segoe UI"/>
                <w:sz w:val="16"/>
                <w:szCs w:val="16"/>
                <w:vertAlign w:val="superscript"/>
              </w:rPr>
              <w:t>&amp;</w:t>
            </w:r>
            <w:r w:rsidRPr="00CB6395">
              <w:rPr>
                <w:rStyle w:val="eop"/>
                <w:rFonts w:ascii="Arial Narrow" w:hAnsi="Arial Narrow" w:cs="Segoe UI"/>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2C3B5" w14:textId="2604A622"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Mean change*</w:t>
            </w:r>
            <w:r w:rsidR="00EF02DA">
              <w:rPr>
                <w:rStyle w:val="normaltextrun"/>
                <w:rFonts w:ascii="Arial Narrow" w:hAnsi="Arial Narrow" w:cs="Segoe UI"/>
                <w:sz w:val="20"/>
                <w:szCs w:val="20"/>
              </w:rPr>
              <w:t xml:space="preserve">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AD516"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Mean baseline</w:t>
            </w:r>
            <w:r w:rsidRPr="00CB6395">
              <w:rPr>
                <w:rStyle w:val="eop"/>
                <w:rFonts w:ascii="Arial Narrow" w:hAnsi="Arial Narrow" w:cs="Segoe UI"/>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DA121"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Mean follow up</w:t>
            </w:r>
            <w:r w:rsidRPr="00CB6395">
              <w:rPr>
                <w:rStyle w:val="normaltextrun"/>
                <w:rFonts w:ascii="Arial Narrow" w:hAnsi="Arial Narrow" w:cs="Segoe UI"/>
                <w:sz w:val="16"/>
                <w:szCs w:val="16"/>
                <w:vertAlign w:val="superscript"/>
              </w:rPr>
              <w:t>&amp;</w:t>
            </w:r>
            <w:r w:rsidRPr="00CB6395">
              <w:rPr>
                <w:rStyle w:val="eop"/>
                <w:rFonts w:ascii="Arial Narrow" w:hAnsi="Arial Narrow" w:cs="Segoe UI"/>
                <w:sz w:val="16"/>
                <w:szCs w:val="16"/>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B5DA9" w14:textId="3A0D4841"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Mean change*</w:t>
            </w:r>
            <w:r w:rsidR="00EF02DA">
              <w:rPr>
                <w:rStyle w:val="normaltextrun"/>
                <w:rFonts w:ascii="Arial Narrow" w:hAnsi="Arial Narrow" w:cs="Segoe UI"/>
                <w:sz w:val="20"/>
                <w:szCs w:val="20"/>
              </w:rPr>
              <w:t xml:space="preserve">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C4DAD0" w14:textId="77777777" w:rsidR="00B27E80" w:rsidRPr="00CB6395" w:rsidRDefault="00B27E80">
            <w:pPr>
              <w:rPr>
                <w:rFonts w:ascii="Segoe UI" w:hAnsi="Segoe UI" w:cs="Segoe UI"/>
                <w:b/>
                <w:bCs/>
                <w:sz w:val="18"/>
                <w:szCs w:val="18"/>
              </w:rPr>
            </w:pPr>
          </w:p>
        </w:tc>
      </w:tr>
      <w:tr w:rsidR="00B27E80" w:rsidRPr="00CB6395" w14:paraId="26A11B93" w14:textId="77777777" w:rsidTr="00B27E8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5CCA01" w14:textId="77777777" w:rsidR="00B27E80" w:rsidRPr="00CB6395" w:rsidRDefault="00B27E80">
            <w:pPr>
              <w:rPr>
                <w:rFonts w:ascii="Segoe UI" w:hAnsi="Segoe UI" w:cs="Segoe UI"/>
                <w:b/>
                <w:bCs/>
                <w:sz w:val="18"/>
                <w:szCs w:val="18"/>
              </w:rPr>
            </w:pPr>
          </w:p>
        </w:tc>
        <w:tc>
          <w:tcPr>
            <w:tcW w:w="327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8BE4090"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N=120</w:t>
            </w:r>
            <w:r w:rsidRPr="00CB6395">
              <w:rPr>
                <w:rStyle w:val="eop"/>
                <w:rFonts w:ascii="Arial Narrow" w:hAnsi="Arial Narrow" w:cs="Segoe UI"/>
                <w:sz w:val="20"/>
                <w:szCs w:val="20"/>
              </w:rPr>
              <w:t> </w:t>
            </w:r>
          </w:p>
        </w:tc>
        <w:tc>
          <w:tcPr>
            <w:tcW w:w="31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5BF90A1"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N=119</w:t>
            </w:r>
            <w:r w:rsidRPr="00CB6395">
              <w:rPr>
                <w:rStyle w:val="eop"/>
                <w:rFonts w:ascii="Arial Narrow" w:hAnsi="Arial Narrow" w:cs="Segoe UI"/>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1C52CC" w14:textId="77777777" w:rsidR="00B27E80" w:rsidRPr="00CB6395" w:rsidRDefault="00B27E80">
            <w:pPr>
              <w:rPr>
                <w:rFonts w:ascii="Segoe UI" w:hAnsi="Segoe UI" w:cs="Segoe UI"/>
                <w:b/>
                <w:bCs/>
                <w:sz w:val="18"/>
                <w:szCs w:val="18"/>
              </w:rPr>
            </w:pPr>
          </w:p>
        </w:tc>
      </w:tr>
      <w:tr w:rsidR="00B27E80" w:rsidRPr="00CB6395" w14:paraId="5755CD0F" w14:textId="77777777" w:rsidTr="00B27E80">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ABAA7A" w14:textId="340A3AB2" w:rsidR="00B27E80" w:rsidRPr="00CB6395" w:rsidRDefault="00484A42" w:rsidP="00B27E80">
            <w:pPr>
              <w:pStyle w:val="paragraph"/>
              <w:spacing w:before="0" w:beforeAutospacing="0" w:after="0" w:afterAutospacing="0"/>
              <w:textAlignment w:val="baseline"/>
              <w:rPr>
                <w:rFonts w:ascii="Segoe UI" w:hAnsi="Segoe UI" w:cs="Segoe UI"/>
                <w:sz w:val="18"/>
                <w:szCs w:val="18"/>
              </w:rPr>
            </w:pPr>
            <w:r w:rsidRPr="00CB6395">
              <w:rPr>
                <w:rStyle w:val="normaltextrun"/>
                <w:rFonts w:ascii="Arial Narrow" w:hAnsi="Arial Narrow" w:cs="Segoe UI"/>
                <w:sz w:val="20"/>
                <w:szCs w:val="20"/>
              </w:rPr>
              <w:t xml:space="preserve">Week </w:t>
            </w:r>
            <w:r w:rsidR="00B27E80" w:rsidRPr="00CB6395">
              <w:rPr>
                <w:rStyle w:val="normaltextrun"/>
                <w:rFonts w:ascii="Arial Narrow" w:hAnsi="Arial Narrow" w:cs="Segoe UI"/>
                <w:sz w:val="20"/>
                <w:szCs w:val="20"/>
              </w:rPr>
              <w:t>34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7B628"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w:t>
            </w:r>
            <w:r w:rsidRPr="00CB6395">
              <w:rPr>
                <w:rStyle w:val="eop"/>
                <w:rFonts w:ascii="Arial Narrow" w:hAnsi="Arial Narrow" w:cs="Segoe UI"/>
                <w:sz w:val="20"/>
                <w:szCs w:val="20"/>
              </w:rPr>
              <w:t>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D3D9F9"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232 days</w:t>
            </w:r>
            <w:r w:rsidRPr="00CB6395">
              <w:rPr>
                <w:rStyle w:val="eop"/>
                <w:rFonts w:ascii="Arial Narrow" w:hAnsi="Arial Narrow" w:cs="Segoe UI"/>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DFD32" w14:textId="64C3344C"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-1.06</w:t>
            </w:r>
            <w:r w:rsidR="00EF02DA">
              <w:rPr>
                <w:rStyle w:val="normaltextrun"/>
                <w:rFonts w:ascii="Arial Narrow" w:hAnsi="Arial Narrow" w:cs="Segoe UI"/>
                <w:sz w:val="20"/>
                <w:szCs w:val="20"/>
              </w:rPr>
              <w:t xml:space="preserve">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C75BE7"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w:t>
            </w:r>
            <w:r w:rsidRPr="00CB6395">
              <w:rPr>
                <w:rStyle w:val="eop"/>
                <w:rFonts w:ascii="Arial Narrow" w:hAnsi="Arial Narrow" w:cs="Segoe UI"/>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D869B"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226 days</w:t>
            </w:r>
            <w:r w:rsidRPr="00CB6395">
              <w:rPr>
                <w:rStyle w:val="eop"/>
                <w:rFonts w:ascii="Arial Narrow" w:hAnsi="Arial Narrow" w:cs="Segoe UI"/>
                <w:sz w:val="20"/>
                <w:szCs w:val="20"/>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1D267"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-2.23</w:t>
            </w:r>
            <w:r w:rsidRPr="00CB6395">
              <w:rPr>
                <w:rStyle w:val="eop"/>
                <w:rFonts w:ascii="Arial Narrow" w:hAnsi="Arial Narrow" w:cs="Segoe UI"/>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1C169"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1.17 (0.23, 2.11)</w:t>
            </w:r>
            <w:r w:rsidRPr="00CB6395">
              <w:rPr>
                <w:rStyle w:val="eop"/>
                <w:rFonts w:ascii="Arial Narrow" w:hAnsi="Arial Narrow" w:cs="Segoe UI"/>
                <w:sz w:val="20"/>
                <w:szCs w:val="20"/>
              </w:rPr>
              <w:t> </w:t>
            </w:r>
          </w:p>
        </w:tc>
      </w:tr>
      <w:tr w:rsidR="00B27E80" w:rsidRPr="00CB6395" w14:paraId="3C0F831D" w14:textId="77777777" w:rsidTr="00B27E80">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8924B" w14:textId="77777777" w:rsidR="00B27E80" w:rsidRPr="00CB6395" w:rsidRDefault="00B27E80" w:rsidP="00B27E80">
            <w:pPr>
              <w:pStyle w:val="paragraph"/>
              <w:spacing w:before="0" w:beforeAutospacing="0" w:after="0" w:afterAutospacing="0"/>
              <w:textAlignment w:val="baseline"/>
              <w:rPr>
                <w:rFonts w:ascii="Segoe UI" w:hAnsi="Segoe UI" w:cs="Segoe UI"/>
                <w:sz w:val="18"/>
                <w:szCs w:val="18"/>
              </w:rPr>
            </w:pPr>
            <w:r w:rsidRPr="00CB6395">
              <w:rPr>
                <w:rStyle w:val="eop"/>
                <w:rFonts w:ascii="Arial Narrow" w:hAnsi="Arial Narrow" w:cs="Segoe UI"/>
                <w:sz w:val="20"/>
                <w:szCs w:val="20"/>
              </w:rPr>
              <w:t> </w:t>
            </w:r>
          </w:p>
        </w:tc>
        <w:tc>
          <w:tcPr>
            <w:tcW w:w="327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B00F28F"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N=114</w:t>
            </w:r>
            <w:r w:rsidRPr="00CB6395">
              <w:rPr>
                <w:rStyle w:val="eop"/>
                <w:rFonts w:ascii="Arial Narrow" w:hAnsi="Arial Narrow" w:cs="Segoe UI"/>
                <w:sz w:val="20"/>
                <w:szCs w:val="20"/>
              </w:rPr>
              <w:t> </w:t>
            </w:r>
          </w:p>
        </w:tc>
        <w:tc>
          <w:tcPr>
            <w:tcW w:w="310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E660AFA"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N=52</w:t>
            </w:r>
            <w:r w:rsidRPr="00CB6395">
              <w:rPr>
                <w:rStyle w:val="eop"/>
                <w:rFonts w:ascii="Arial Narrow" w:hAnsi="Arial Narrow" w:cs="Segoe UI"/>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FE70B"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eop"/>
                <w:rFonts w:ascii="Arial Narrow" w:hAnsi="Arial Narrow" w:cs="Segoe UI"/>
                <w:sz w:val="20"/>
                <w:szCs w:val="20"/>
              </w:rPr>
              <w:t> </w:t>
            </w:r>
          </w:p>
        </w:tc>
      </w:tr>
      <w:tr w:rsidR="00B27E80" w:rsidRPr="00CB6395" w14:paraId="01523F01" w14:textId="77777777" w:rsidTr="00B27E80">
        <w:tc>
          <w:tcPr>
            <w:tcW w:w="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5BB97" w14:textId="0A30AFC6" w:rsidR="00B27E80" w:rsidRPr="00CB6395" w:rsidRDefault="00484A42" w:rsidP="00B27E80">
            <w:pPr>
              <w:pStyle w:val="paragraph"/>
              <w:spacing w:before="0" w:beforeAutospacing="0" w:after="0" w:afterAutospacing="0"/>
              <w:textAlignment w:val="baseline"/>
              <w:rPr>
                <w:rFonts w:ascii="Segoe UI" w:hAnsi="Segoe UI" w:cs="Segoe UI"/>
                <w:sz w:val="18"/>
                <w:szCs w:val="18"/>
              </w:rPr>
            </w:pPr>
            <w:r w:rsidRPr="00CB6395">
              <w:rPr>
                <w:rStyle w:val="normaltextrun"/>
                <w:rFonts w:ascii="Arial Narrow" w:hAnsi="Arial Narrow" w:cs="Segoe UI"/>
                <w:sz w:val="20"/>
                <w:szCs w:val="20"/>
              </w:rPr>
              <w:t xml:space="preserve">Week </w:t>
            </w:r>
            <w:r w:rsidR="00B27E80" w:rsidRPr="00CB6395">
              <w:rPr>
                <w:rStyle w:val="normaltextrun"/>
                <w:rFonts w:ascii="Arial Narrow" w:hAnsi="Arial Narrow" w:cs="Segoe UI"/>
                <w:sz w:val="20"/>
                <w:szCs w:val="20"/>
              </w:rPr>
              <w:t>87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A5158"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w:t>
            </w:r>
            <w:r w:rsidRPr="00CB6395">
              <w:rPr>
                <w:rStyle w:val="eop"/>
                <w:rFonts w:ascii="Arial Narrow" w:hAnsi="Arial Narrow" w:cs="Segoe UI"/>
                <w:sz w:val="20"/>
                <w:szCs w:val="20"/>
              </w:rPr>
              <w:t> </w:t>
            </w:r>
          </w:p>
        </w:tc>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F6D5E"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355 days</w:t>
            </w:r>
            <w:r w:rsidRPr="00CB6395">
              <w:rPr>
                <w:rStyle w:val="eop"/>
                <w:rFonts w:ascii="Arial Narrow" w:hAnsi="Arial Narrow" w:cs="Segoe UI"/>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3852B" w14:textId="15652AA3"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-1.52</w:t>
            </w:r>
            <w:r w:rsidR="00EF02DA">
              <w:rPr>
                <w:rStyle w:val="normaltextrun"/>
                <w:rFonts w:ascii="Arial Narrow" w:hAnsi="Arial Narrow" w:cs="Segoe UI"/>
                <w:sz w:val="20"/>
                <w:szCs w:val="20"/>
              </w:rPr>
              <w:t xml:space="preserve"> </w:t>
            </w:r>
          </w:p>
        </w:tc>
        <w:tc>
          <w:tcPr>
            <w:tcW w:w="1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88A2D"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w:t>
            </w:r>
            <w:r w:rsidRPr="00CB6395">
              <w:rPr>
                <w:rStyle w:val="eop"/>
                <w:rFonts w:ascii="Arial Narrow" w:hAnsi="Arial Narrow" w:cs="Segoe UI"/>
                <w:sz w:val="20"/>
                <w:szCs w:val="2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9CC19"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349 days</w:t>
            </w:r>
            <w:r w:rsidRPr="00CB6395">
              <w:rPr>
                <w:rStyle w:val="eop"/>
                <w:rFonts w:ascii="Arial Narrow" w:hAnsi="Arial Narrow" w:cs="Segoe UI"/>
                <w:sz w:val="20"/>
                <w:szCs w:val="20"/>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179634"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-2.67</w:t>
            </w:r>
            <w:r w:rsidRPr="00CB6395">
              <w:rPr>
                <w:rStyle w:val="eop"/>
                <w:rFonts w:ascii="Arial Narrow" w:hAnsi="Arial Narrow" w:cs="Segoe UI"/>
                <w:sz w:val="20"/>
                <w:szCs w:val="20"/>
              </w:rPr>
              <w:t> </w:t>
            </w:r>
          </w:p>
        </w:tc>
        <w:tc>
          <w:tcPr>
            <w:tcW w:w="1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EA086E" w14:textId="77777777" w:rsidR="00B27E80" w:rsidRPr="00CB6395" w:rsidRDefault="00B27E80" w:rsidP="00B27E80">
            <w:pPr>
              <w:pStyle w:val="paragraph"/>
              <w:spacing w:before="0" w:beforeAutospacing="0" w:after="0" w:afterAutospacing="0"/>
              <w:jc w:val="center"/>
              <w:textAlignment w:val="baseline"/>
              <w:rPr>
                <w:rFonts w:ascii="Segoe UI" w:hAnsi="Segoe UI" w:cs="Segoe UI"/>
                <w:sz w:val="18"/>
                <w:szCs w:val="18"/>
              </w:rPr>
            </w:pPr>
            <w:r w:rsidRPr="00CB6395">
              <w:rPr>
                <w:rStyle w:val="normaltextrun"/>
                <w:rFonts w:ascii="Arial Narrow" w:hAnsi="Arial Narrow" w:cs="Segoe UI"/>
                <w:sz w:val="20"/>
                <w:szCs w:val="20"/>
              </w:rPr>
              <w:t>Not reported</w:t>
            </w:r>
            <w:r w:rsidRPr="00CB6395">
              <w:rPr>
                <w:rStyle w:val="eop"/>
                <w:rFonts w:ascii="Arial Narrow" w:hAnsi="Arial Narrow" w:cs="Segoe UI"/>
                <w:sz w:val="20"/>
                <w:szCs w:val="20"/>
              </w:rPr>
              <w:t> </w:t>
            </w:r>
          </w:p>
        </w:tc>
      </w:tr>
    </w:tbl>
    <w:p w14:paraId="2CF8D05A" w14:textId="77777777" w:rsidR="000449CE" w:rsidRDefault="00EA1CC5" w:rsidP="00EE0668">
      <w:pPr>
        <w:pStyle w:val="TableFigureFooter"/>
      </w:pPr>
      <w:r w:rsidRPr="00CB6395">
        <w:t>Source: Table 2.5.1, p74-76 of the submission</w:t>
      </w:r>
    </w:p>
    <w:p w14:paraId="085A2162" w14:textId="77777777" w:rsidR="000449CE" w:rsidRDefault="00EA1CC5" w:rsidP="00EE0668">
      <w:pPr>
        <w:pStyle w:val="TableFigureFooter"/>
      </w:pPr>
      <w:r w:rsidRPr="00CB6395">
        <w:t>Abbreviations: CI, confidence interval</w:t>
      </w:r>
    </w:p>
    <w:p w14:paraId="3D7C6970" w14:textId="77777777" w:rsidR="000449CE" w:rsidRDefault="00EA1CC5" w:rsidP="00EE0668">
      <w:pPr>
        <w:pStyle w:val="TableFigureFooter"/>
      </w:pPr>
      <w:r w:rsidRPr="00CB6395">
        <w:t># Mean baseline was not provided in the submission and unable to be sourced from the original publication</w:t>
      </w:r>
    </w:p>
    <w:p w14:paraId="50BFE7C0" w14:textId="77777777" w:rsidR="000449CE" w:rsidRDefault="00EA1CC5" w:rsidP="00EE0668">
      <w:pPr>
        <w:pStyle w:val="TableFigureFooter"/>
      </w:pPr>
      <w:r w:rsidRPr="00CB6395">
        <w:t>&amp; Mean follow-up was not provided in the submission, but data was sourced from the original publication</w:t>
      </w:r>
    </w:p>
    <w:p w14:paraId="15D9C019" w14:textId="77777777" w:rsidR="000449CE" w:rsidRDefault="00EA1CC5" w:rsidP="00EE0668">
      <w:pPr>
        <w:pStyle w:val="TableFigureFooter"/>
      </w:pPr>
      <w:r w:rsidRPr="00CB6395">
        <w:t>*</w:t>
      </w:r>
      <w:r w:rsidRPr="00CB6395">
        <w:rPr>
          <w:color w:val="3366FF"/>
        </w:rPr>
        <w:t> </w:t>
      </w:r>
      <w:r w:rsidRPr="00CB6395">
        <w:t>Measures of variance around mean percentage changes were not provided and unable to be sourced from the original publication</w:t>
      </w:r>
    </w:p>
    <w:p w14:paraId="1452C351" w14:textId="6D2A966D" w:rsidR="00B60939" w:rsidRPr="00CB6395" w:rsidRDefault="00B60939" w:rsidP="00D86231">
      <w:pPr>
        <w:pStyle w:val="4-SubsectionHeading"/>
      </w:pPr>
      <w:bookmarkStart w:id="19" w:name="_Toc22897642"/>
      <w:bookmarkStart w:id="20" w:name="_Toc93488113"/>
      <w:r w:rsidRPr="00CB6395">
        <w:t>Comparative harms</w:t>
      </w:r>
      <w:bookmarkEnd w:id="19"/>
      <w:bookmarkEnd w:id="20"/>
    </w:p>
    <w:p w14:paraId="5DF3D4D2" w14:textId="29E4308D" w:rsidR="001727E9" w:rsidRPr="00CB6395" w:rsidRDefault="0079761E" w:rsidP="001727E9">
      <w:pPr>
        <w:pStyle w:val="3-BodyText"/>
        <w:rPr>
          <w:color w:val="000000" w:themeColor="text1"/>
        </w:rPr>
      </w:pPr>
      <w:r w:rsidRPr="00CB6395">
        <w:rPr>
          <w:color w:val="000000" w:themeColor="text1"/>
        </w:rPr>
        <w:t xml:space="preserve">Safety data </w:t>
      </w:r>
      <w:r w:rsidR="00702C93">
        <w:rPr>
          <w:color w:val="000000" w:themeColor="text1"/>
        </w:rPr>
        <w:t>wa</w:t>
      </w:r>
      <w:r w:rsidRPr="00CB6395">
        <w:rPr>
          <w:color w:val="000000" w:themeColor="text1"/>
        </w:rPr>
        <w:t xml:space="preserve">s presented from </w:t>
      </w:r>
      <w:r w:rsidR="004E5EF7" w:rsidRPr="00CB6395">
        <w:rPr>
          <w:color w:val="000000" w:themeColor="text1"/>
        </w:rPr>
        <w:t>the three trials (REAL-1, REAL-</w:t>
      </w:r>
      <w:r w:rsidR="00B02C99" w:rsidRPr="00CB6395">
        <w:rPr>
          <w:color w:val="000000" w:themeColor="text1"/>
        </w:rPr>
        <w:t>2,</w:t>
      </w:r>
      <w:r w:rsidR="004E5EF7" w:rsidRPr="00CB6395">
        <w:rPr>
          <w:color w:val="000000" w:themeColor="text1"/>
        </w:rPr>
        <w:t xml:space="preserve"> and REAL-Japan) and</w:t>
      </w:r>
      <w:r w:rsidR="00B02C99">
        <w:rPr>
          <w:color w:val="000000" w:themeColor="text1"/>
        </w:rPr>
        <w:t xml:space="preserve"> is</w:t>
      </w:r>
      <w:r w:rsidR="004E5EF7" w:rsidRPr="00CB6395">
        <w:rPr>
          <w:color w:val="000000" w:themeColor="text1"/>
        </w:rPr>
        <w:t xml:space="preserve"> summari</w:t>
      </w:r>
      <w:r w:rsidR="00652022" w:rsidRPr="00CB6395">
        <w:rPr>
          <w:color w:val="000000" w:themeColor="text1"/>
        </w:rPr>
        <w:t>s</w:t>
      </w:r>
      <w:r w:rsidR="004E5EF7" w:rsidRPr="00CB6395">
        <w:rPr>
          <w:color w:val="000000" w:themeColor="text1"/>
        </w:rPr>
        <w:t xml:space="preserve">ed in </w:t>
      </w:r>
      <w:r w:rsidR="00B02C99">
        <w:rPr>
          <w:color w:val="000000" w:themeColor="text1"/>
        </w:rPr>
        <w:t xml:space="preserve">the </w:t>
      </w:r>
      <w:r w:rsidR="00652022" w:rsidRPr="00CB6395">
        <w:rPr>
          <w:color w:val="000000" w:themeColor="text1"/>
        </w:rPr>
        <w:t>table below</w:t>
      </w:r>
      <w:r w:rsidR="004E5EF7" w:rsidRPr="00CB6395">
        <w:rPr>
          <w:color w:val="000000" w:themeColor="text1"/>
        </w:rPr>
        <w:t>.</w:t>
      </w:r>
    </w:p>
    <w:p w14:paraId="60DB51F3" w14:textId="55B3EE44" w:rsidR="00DC61D6" w:rsidRPr="00CB6395" w:rsidRDefault="001727E9" w:rsidP="00DC61D6">
      <w:pPr>
        <w:pStyle w:val="3-BodyText"/>
        <w:rPr>
          <w:rStyle w:val="normaltextrun"/>
          <w:color w:val="000000" w:themeColor="text1"/>
        </w:rPr>
      </w:pPr>
      <w:r w:rsidRPr="003214C3">
        <w:rPr>
          <w:rStyle w:val="normaltextrun"/>
          <w:color w:val="000000"/>
          <w:shd w:val="clear" w:color="auto" w:fill="FFFFFF"/>
        </w:rPr>
        <w:t>Most of the safety data from all three trials show</w:t>
      </w:r>
      <w:r w:rsidR="00702C93">
        <w:rPr>
          <w:rStyle w:val="normaltextrun"/>
          <w:color w:val="000000"/>
          <w:shd w:val="clear" w:color="auto" w:fill="FFFFFF"/>
        </w:rPr>
        <w:t>ed</w:t>
      </w:r>
      <w:r w:rsidRPr="003214C3">
        <w:rPr>
          <w:rStyle w:val="normaltextrun"/>
          <w:color w:val="000000"/>
          <w:shd w:val="clear" w:color="auto" w:fill="FFFFFF"/>
        </w:rPr>
        <w:t xml:space="preserve"> low </w:t>
      </w:r>
      <w:r w:rsidR="003D261F" w:rsidRPr="003214C3">
        <w:rPr>
          <w:rStyle w:val="normaltextrun"/>
          <w:color w:val="000000"/>
          <w:shd w:val="clear" w:color="auto" w:fill="FFFFFF"/>
        </w:rPr>
        <w:t>rates of adverse events</w:t>
      </w:r>
      <w:r w:rsidR="00702C93">
        <w:rPr>
          <w:rStyle w:val="normaltextrun"/>
          <w:color w:val="000000"/>
          <w:shd w:val="clear" w:color="auto" w:fill="FFFFFF"/>
        </w:rPr>
        <w:t xml:space="preserve"> (AEs)</w:t>
      </w:r>
      <w:r w:rsidR="003D261F" w:rsidRPr="003214C3">
        <w:rPr>
          <w:rStyle w:val="normaltextrun"/>
          <w:color w:val="000000"/>
          <w:shd w:val="clear" w:color="auto" w:fill="FFFFFF"/>
        </w:rPr>
        <w:t xml:space="preserve"> </w:t>
      </w:r>
      <w:r w:rsidRPr="003214C3">
        <w:rPr>
          <w:rStyle w:val="normaltextrun"/>
          <w:color w:val="000000"/>
          <w:shd w:val="clear" w:color="auto" w:fill="FFFFFF"/>
        </w:rPr>
        <w:t xml:space="preserve">and </w:t>
      </w:r>
      <w:r w:rsidR="00702C93">
        <w:rPr>
          <w:rStyle w:val="normaltextrun"/>
          <w:color w:val="000000"/>
          <w:shd w:val="clear" w:color="auto" w:fill="FFFFFF"/>
        </w:rPr>
        <w:t xml:space="preserve">a </w:t>
      </w:r>
      <w:r w:rsidRPr="003214C3">
        <w:rPr>
          <w:rStyle w:val="normaltextrun"/>
          <w:color w:val="000000"/>
          <w:shd w:val="clear" w:color="auto" w:fill="FFFFFF"/>
        </w:rPr>
        <w:t>relatively little difference between</w:t>
      </w:r>
      <w:r w:rsidR="0026009B">
        <w:rPr>
          <w:rStyle w:val="normaltextrun"/>
          <w:color w:val="000000"/>
          <w:shd w:val="clear" w:color="auto" w:fill="FFFFFF"/>
        </w:rPr>
        <w:t xml:space="preserve"> </w:t>
      </w:r>
      <w:r w:rsidR="00702C93">
        <w:rPr>
          <w:rStyle w:val="normaltextrun"/>
          <w:color w:val="000000"/>
          <w:shd w:val="clear" w:color="auto" w:fill="FFFFFF"/>
        </w:rPr>
        <w:t xml:space="preserve">the </w:t>
      </w:r>
      <w:proofErr w:type="spellStart"/>
      <w:r w:rsidRPr="003214C3">
        <w:rPr>
          <w:rStyle w:val="normaltextrun"/>
          <w:color w:val="000000"/>
          <w:shd w:val="clear" w:color="auto" w:fill="FFFFFF"/>
        </w:rPr>
        <w:t>somapacitan</w:t>
      </w:r>
      <w:proofErr w:type="spellEnd"/>
      <w:r w:rsidR="0026009B">
        <w:rPr>
          <w:rStyle w:val="normaltextrun"/>
          <w:color w:val="000000"/>
          <w:shd w:val="clear" w:color="auto" w:fill="FFFFFF"/>
        </w:rPr>
        <w:t xml:space="preserve"> </w:t>
      </w:r>
      <w:r w:rsidRPr="003214C3">
        <w:rPr>
          <w:rStyle w:val="normaltextrun"/>
          <w:color w:val="000000"/>
          <w:shd w:val="clear" w:color="auto" w:fill="FFFFFF"/>
        </w:rPr>
        <w:t>and somatropin study arms.</w:t>
      </w:r>
      <w:r w:rsidR="0026009B">
        <w:rPr>
          <w:rStyle w:val="normaltextrun"/>
          <w:color w:val="000000"/>
          <w:shd w:val="clear" w:color="auto" w:fill="FFFFFF"/>
        </w:rPr>
        <w:t xml:space="preserve"> </w:t>
      </w:r>
      <w:r w:rsidRPr="003214C3">
        <w:rPr>
          <w:rStyle w:val="normaltextrun"/>
          <w:iCs/>
          <w:color w:val="000000"/>
          <w:shd w:val="clear" w:color="auto" w:fill="FFFFFF"/>
        </w:rPr>
        <w:t xml:space="preserve">The exception </w:t>
      </w:r>
      <w:r w:rsidR="00702C93">
        <w:rPr>
          <w:rStyle w:val="normaltextrun"/>
          <w:iCs/>
          <w:color w:val="000000"/>
          <w:shd w:val="clear" w:color="auto" w:fill="FFFFFF"/>
        </w:rPr>
        <w:t>wa</w:t>
      </w:r>
      <w:r w:rsidRPr="003214C3">
        <w:rPr>
          <w:rStyle w:val="normaltextrun"/>
          <w:iCs/>
          <w:color w:val="000000"/>
          <w:shd w:val="clear" w:color="auto" w:fill="FFFFFF"/>
        </w:rPr>
        <w:t>s the REAL-Japan trial where four serious AEs were reported for the</w:t>
      </w:r>
      <w:r w:rsidR="0026009B">
        <w:rPr>
          <w:rStyle w:val="normaltextrun"/>
          <w:iCs/>
          <w:color w:val="000000"/>
          <w:shd w:val="clear" w:color="auto" w:fill="FFFFFF"/>
        </w:rPr>
        <w:t xml:space="preserve"> </w:t>
      </w:r>
      <w:proofErr w:type="spellStart"/>
      <w:r w:rsidRPr="003214C3">
        <w:rPr>
          <w:rStyle w:val="normaltextrun"/>
          <w:iCs/>
          <w:color w:val="000000"/>
          <w:shd w:val="clear" w:color="auto" w:fill="FFFFFF"/>
        </w:rPr>
        <w:t>somapacitan</w:t>
      </w:r>
      <w:proofErr w:type="spellEnd"/>
      <w:r w:rsidR="0026009B">
        <w:rPr>
          <w:rStyle w:val="normaltextrun"/>
          <w:iCs/>
          <w:color w:val="000000"/>
          <w:shd w:val="clear" w:color="auto" w:fill="FFFFFF"/>
        </w:rPr>
        <w:t xml:space="preserve"> </w:t>
      </w:r>
      <w:r w:rsidRPr="003214C3">
        <w:rPr>
          <w:rStyle w:val="normaltextrun"/>
          <w:iCs/>
          <w:color w:val="000000"/>
          <w:shd w:val="clear" w:color="auto" w:fill="FFFFFF"/>
        </w:rPr>
        <w:t>arm compared to none in the somatropin arm</w:t>
      </w:r>
      <w:r w:rsidR="003651F5" w:rsidRPr="003214C3">
        <w:rPr>
          <w:rStyle w:val="normaltextrun"/>
          <w:iCs/>
          <w:color w:val="000000"/>
          <w:shd w:val="clear" w:color="auto" w:fill="FFFFFF"/>
        </w:rPr>
        <w:t>,</w:t>
      </w:r>
      <w:r w:rsidRPr="003214C3">
        <w:rPr>
          <w:rStyle w:val="normaltextrun"/>
          <w:iCs/>
          <w:color w:val="000000"/>
          <w:shd w:val="clear" w:color="auto" w:fill="FFFFFF"/>
        </w:rPr>
        <w:t xml:space="preserve"> which was statistically significant.</w:t>
      </w:r>
      <w:r w:rsidR="0026009B">
        <w:rPr>
          <w:rStyle w:val="normaltextrun"/>
          <w:iCs/>
          <w:color w:val="000000"/>
          <w:shd w:val="clear" w:color="auto" w:fill="FFFFFF"/>
        </w:rPr>
        <w:t xml:space="preserve"> </w:t>
      </w:r>
      <w:r w:rsidRPr="003214C3">
        <w:rPr>
          <w:rStyle w:val="normaltextrun"/>
          <w:iCs/>
          <w:color w:val="000000"/>
          <w:shd w:val="clear" w:color="auto" w:fill="FFFFFF"/>
        </w:rPr>
        <w:t>No further information was given in the</w:t>
      </w:r>
      <w:r w:rsidR="0026009B">
        <w:rPr>
          <w:rStyle w:val="normaltextrun"/>
          <w:iCs/>
          <w:color w:val="000000"/>
          <w:shd w:val="clear" w:color="auto" w:fill="FFFFFF"/>
        </w:rPr>
        <w:t xml:space="preserve"> </w:t>
      </w:r>
      <w:r w:rsidRPr="003214C3">
        <w:rPr>
          <w:rStyle w:val="normaltextrun"/>
          <w:iCs/>
          <w:color w:val="000000"/>
          <w:shd w:val="clear" w:color="auto" w:fill="FFFFFF"/>
        </w:rPr>
        <w:t>submission</w:t>
      </w:r>
      <w:r w:rsidR="0026009B">
        <w:rPr>
          <w:rStyle w:val="normaltextrun"/>
          <w:iCs/>
          <w:color w:val="000000"/>
          <w:shd w:val="clear" w:color="auto" w:fill="FFFFFF"/>
        </w:rPr>
        <w:t xml:space="preserve"> </w:t>
      </w:r>
      <w:r w:rsidRPr="003214C3">
        <w:rPr>
          <w:rStyle w:val="normaltextrun"/>
          <w:iCs/>
          <w:color w:val="000000"/>
          <w:shd w:val="clear" w:color="auto" w:fill="FFFFFF"/>
        </w:rPr>
        <w:t xml:space="preserve">nor the references supplied regarding the nature of these serious </w:t>
      </w:r>
      <w:r w:rsidR="00702C93">
        <w:rPr>
          <w:rStyle w:val="normaltextrun"/>
          <w:iCs/>
          <w:color w:val="000000"/>
          <w:shd w:val="clear" w:color="auto" w:fill="FFFFFF"/>
        </w:rPr>
        <w:t>AEs</w:t>
      </w:r>
      <w:r w:rsidRPr="003214C3">
        <w:rPr>
          <w:rStyle w:val="normaltextrun"/>
          <w:iCs/>
          <w:color w:val="000000"/>
          <w:shd w:val="clear" w:color="auto" w:fill="FFFFFF"/>
        </w:rPr>
        <w:t>.</w:t>
      </w:r>
    </w:p>
    <w:p w14:paraId="18B86952" w14:textId="1E719DB8" w:rsidR="00DC61D6" w:rsidRPr="00CB6395" w:rsidRDefault="00DC61D6" w:rsidP="00CF60EB">
      <w:pPr>
        <w:pStyle w:val="3-BodyText"/>
        <w:rPr>
          <w:color w:val="000000" w:themeColor="text1"/>
        </w:rPr>
      </w:pPr>
      <w:r w:rsidRPr="00CB6395">
        <w:rPr>
          <w:rStyle w:val="normaltextrun"/>
        </w:rPr>
        <w:t>The submission include</w:t>
      </w:r>
      <w:r w:rsidR="00702C93">
        <w:rPr>
          <w:rStyle w:val="normaltextrun"/>
        </w:rPr>
        <w:t>d</w:t>
      </w:r>
      <w:r w:rsidRPr="00CB6395">
        <w:rPr>
          <w:rStyle w:val="normaltextrun"/>
        </w:rPr>
        <w:t xml:space="preserve"> a development safety update report (DSUR) for the period 1 December 2019 to 30 November </w:t>
      </w:r>
      <w:r w:rsidRPr="00292096">
        <w:rPr>
          <w:rStyle w:val="normaltextrun"/>
        </w:rPr>
        <w:t>2020.</w:t>
      </w:r>
      <w:r w:rsidRPr="00CB6395">
        <w:rPr>
          <w:rStyle w:val="normaltextrun"/>
        </w:rPr>
        <w:t xml:space="preserve"> In summary, 580 individuals were exposed to</w:t>
      </w:r>
      <w:r w:rsidR="007F6DBB" w:rsidRPr="00CB6395">
        <w:rPr>
          <w:rStyle w:val="normaltextrun"/>
        </w:rPr>
        <w:t xml:space="preserve"> </w:t>
      </w:r>
      <w:proofErr w:type="spellStart"/>
      <w:r w:rsidRPr="00CB6395">
        <w:rPr>
          <w:rStyle w:val="normaltextrun"/>
        </w:rPr>
        <w:t>som</w:t>
      </w:r>
      <w:r w:rsidR="00652022" w:rsidRPr="00CB6395">
        <w:rPr>
          <w:rStyle w:val="normaltextrun"/>
        </w:rPr>
        <w:t>a</w:t>
      </w:r>
      <w:r w:rsidRPr="00CB6395">
        <w:rPr>
          <w:rStyle w:val="normaltextrun"/>
        </w:rPr>
        <w:t>pacitan</w:t>
      </w:r>
      <w:proofErr w:type="spellEnd"/>
      <w:r w:rsidRPr="00CB6395">
        <w:rPr>
          <w:rStyle w:val="normaltextrun"/>
        </w:rPr>
        <w:t>.</w:t>
      </w:r>
      <w:r w:rsidR="007F6DBB" w:rsidRPr="00CB6395">
        <w:rPr>
          <w:rStyle w:val="normaltextrun"/>
        </w:rPr>
        <w:t xml:space="preserve"> </w:t>
      </w:r>
      <w:r w:rsidRPr="00CB6395">
        <w:rPr>
          <w:rStyle w:val="normaltextrun"/>
        </w:rPr>
        <w:t>There</w:t>
      </w:r>
      <w:r w:rsidR="007F6DBB" w:rsidRPr="00CB6395">
        <w:rPr>
          <w:rStyle w:val="normaltextrun"/>
        </w:rPr>
        <w:t xml:space="preserve"> </w:t>
      </w:r>
      <w:r w:rsidR="00652022" w:rsidRPr="00CB6395">
        <w:rPr>
          <w:rStyle w:val="normaltextrun"/>
        </w:rPr>
        <w:t>was</w:t>
      </w:r>
      <w:r w:rsidR="007F6DBB" w:rsidRPr="00CB6395">
        <w:rPr>
          <w:rStyle w:val="normaltextrun"/>
        </w:rPr>
        <w:t xml:space="preserve"> </w:t>
      </w:r>
      <w:r w:rsidRPr="00CB6395">
        <w:rPr>
          <w:rStyle w:val="normaltextrun"/>
        </w:rPr>
        <w:t>no new significant information that would impact the potential benefit-risk balance of</w:t>
      </w:r>
      <w:r w:rsidR="007F6DBB" w:rsidRPr="00CB6395">
        <w:rPr>
          <w:rStyle w:val="normaltextrun"/>
        </w:rPr>
        <w:t xml:space="preserve"> </w:t>
      </w:r>
      <w:proofErr w:type="spellStart"/>
      <w:r w:rsidRPr="00CB6395">
        <w:rPr>
          <w:rStyle w:val="normaltextrun"/>
        </w:rPr>
        <w:t>somapacitan</w:t>
      </w:r>
      <w:proofErr w:type="spellEnd"/>
      <w:r w:rsidR="007F6DBB" w:rsidRPr="00CB6395">
        <w:rPr>
          <w:rStyle w:val="normaltextrun"/>
        </w:rPr>
        <w:t xml:space="preserve"> </w:t>
      </w:r>
      <w:r w:rsidRPr="00CB6395">
        <w:rPr>
          <w:rStyle w:val="normaltextrun"/>
        </w:rPr>
        <w:t>during the reporting period.</w:t>
      </w:r>
      <w:r w:rsidR="007F6DBB" w:rsidRPr="00CB6395">
        <w:rPr>
          <w:rStyle w:val="normaltextrun"/>
        </w:rPr>
        <w:t xml:space="preserve"> </w:t>
      </w:r>
    </w:p>
    <w:p w14:paraId="6469FE19" w14:textId="3B191EB6" w:rsidR="00AF6A93" w:rsidRPr="00CB6395" w:rsidRDefault="00173565" w:rsidP="00EE0668">
      <w:pPr>
        <w:pStyle w:val="TableFigureHeading"/>
      </w:pPr>
      <w:r w:rsidRPr="00CB6395">
        <w:t xml:space="preserve">Table </w:t>
      </w:r>
      <w:r w:rsidR="00AB6385">
        <w:fldChar w:fldCharType="begin"/>
      </w:r>
      <w:r w:rsidR="00AB6385">
        <w:instrText xml:space="preserve"> SEQ Table \* ARABIC </w:instrText>
      </w:r>
      <w:r w:rsidR="00AB6385">
        <w:fldChar w:fldCharType="separate"/>
      </w:r>
      <w:r w:rsidR="00AB6385">
        <w:rPr>
          <w:noProof/>
        </w:rPr>
        <w:t>5</w:t>
      </w:r>
      <w:r w:rsidR="00AB6385">
        <w:fldChar w:fldCharType="end"/>
      </w:r>
      <w:r w:rsidR="005D26B4" w:rsidRPr="00CB6395">
        <w:rPr>
          <w:rStyle w:val="CommentReference"/>
          <w:b/>
          <w:szCs w:val="20"/>
        </w:rPr>
        <w:t>:</w:t>
      </w:r>
      <w:r w:rsidR="00BC591F" w:rsidRPr="00CB6395">
        <w:rPr>
          <w:rStyle w:val="CommentReference"/>
          <w:b/>
          <w:szCs w:val="20"/>
        </w:rPr>
        <w:t xml:space="preserve"> </w:t>
      </w:r>
      <w:r w:rsidR="005D26B4" w:rsidRPr="00CB6395">
        <w:rPr>
          <w:rStyle w:val="CommentReference"/>
          <w:b/>
          <w:szCs w:val="20"/>
        </w:rPr>
        <w:t xml:space="preserve">Summary </w:t>
      </w:r>
      <w:r w:rsidR="005D26B4" w:rsidRPr="00CB6395">
        <w:rPr>
          <w:rStyle w:val="CommentReference"/>
          <w:b/>
          <w:szCs w:val="24"/>
        </w:rPr>
        <w:t xml:space="preserve">of key </w:t>
      </w:r>
      <w:r w:rsidR="00702C93">
        <w:rPr>
          <w:rStyle w:val="CommentReference"/>
          <w:b/>
          <w:szCs w:val="24"/>
        </w:rPr>
        <w:t>AE</w:t>
      </w:r>
      <w:r w:rsidR="005D26B4" w:rsidRPr="00CB6395">
        <w:rPr>
          <w:rStyle w:val="CommentReference"/>
          <w:b/>
          <w:szCs w:val="24"/>
        </w:rPr>
        <w:t>s in the trials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8"/>
        <w:gridCol w:w="2295"/>
        <w:gridCol w:w="2220"/>
        <w:gridCol w:w="2188"/>
      </w:tblGrid>
      <w:tr w:rsidR="00AF6A93" w:rsidRPr="00CB6395" w14:paraId="644D1722"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45F925" w14:textId="77777777" w:rsidR="00AF6A93" w:rsidRPr="00CB6395" w:rsidRDefault="00AF6A93" w:rsidP="00AB2411">
            <w:pPr>
              <w:pStyle w:val="paragraph"/>
              <w:keepNext/>
              <w:widowControl w:val="0"/>
              <w:spacing w:before="0" w:beforeAutospacing="0" w:after="0" w:afterAutospacing="0"/>
              <w:textAlignment w:val="baseline"/>
              <w:rPr>
                <w:b/>
                <w:bCs/>
              </w:rPr>
            </w:pPr>
            <w:r w:rsidRPr="00CB6395">
              <w:rPr>
                <w:rStyle w:val="normaltextrun"/>
                <w:rFonts w:ascii="Arial Narrow" w:hAnsi="Arial Narrow"/>
                <w:b/>
                <w:bCs/>
                <w:sz w:val="20"/>
                <w:szCs w:val="20"/>
              </w:rPr>
              <w:t>Trial ID</w:t>
            </w:r>
            <w:r w:rsidRPr="00CB6395">
              <w:rPr>
                <w:rStyle w:val="eop"/>
                <w:rFonts w:ascii="Arial Narrow" w:hAnsi="Arial Narrow"/>
                <w:b/>
                <w:bCs/>
                <w:sz w:val="20"/>
                <w:szCs w:val="20"/>
              </w:rPr>
              <w:t> </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66897"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b/>
                <w:bCs/>
                <w:sz w:val="20"/>
                <w:szCs w:val="20"/>
              </w:rPr>
            </w:pPr>
            <w:proofErr w:type="spellStart"/>
            <w:r w:rsidRPr="00CB6395">
              <w:rPr>
                <w:rStyle w:val="normaltextrun"/>
                <w:rFonts w:ascii="Arial Narrow" w:hAnsi="Arial Narrow"/>
                <w:b/>
                <w:bCs/>
                <w:sz w:val="20"/>
                <w:szCs w:val="20"/>
              </w:rPr>
              <w:t>Somapacitan</w:t>
            </w:r>
            <w:proofErr w:type="spellEnd"/>
          </w:p>
          <w:p w14:paraId="6D9D95E6" w14:textId="5DAB3328" w:rsidR="00AF6A93" w:rsidRPr="00CB6395" w:rsidRDefault="00AF6A93" w:rsidP="00AB2411">
            <w:pPr>
              <w:pStyle w:val="paragraph"/>
              <w:keepNext/>
              <w:widowControl w:val="0"/>
              <w:spacing w:before="0" w:beforeAutospacing="0" w:after="0" w:afterAutospacing="0"/>
              <w:jc w:val="center"/>
              <w:textAlignment w:val="baseline"/>
              <w:rPr>
                <w:b/>
                <w:bCs/>
              </w:rPr>
            </w:pPr>
            <w:r w:rsidRPr="00CB6395">
              <w:rPr>
                <w:rStyle w:val="normaltextrun"/>
                <w:rFonts w:ascii="Arial Narrow" w:hAnsi="Arial Narrow"/>
                <w:b/>
                <w:bCs/>
                <w:sz w:val="20"/>
                <w:szCs w:val="20"/>
              </w:rPr>
              <w:t>n with event/N (%)</w:t>
            </w:r>
            <w:r w:rsidRPr="00CB6395">
              <w:rPr>
                <w:rStyle w:val="eop"/>
                <w:rFonts w:ascii="Arial Narrow" w:hAnsi="Arial Narrow"/>
                <w:b/>
                <w:bCs/>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47203"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b/>
                <w:bCs/>
                <w:sz w:val="20"/>
                <w:szCs w:val="20"/>
              </w:rPr>
            </w:pPr>
            <w:r w:rsidRPr="00CB6395">
              <w:rPr>
                <w:rStyle w:val="normaltextrun"/>
                <w:rFonts w:ascii="Arial Narrow" w:hAnsi="Arial Narrow"/>
                <w:b/>
                <w:bCs/>
                <w:sz w:val="20"/>
                <w:szCs w:val="20"/>
              </w:rPr>
              <w:t>Somatropin</w:t>
            </w:r>
          </w:p>
          <w:p w14:paraId="1A76B4AC" w14:textId="3B772147" w:rsidR="00AF6A93" w:rsidRPr="00CB6395" w:rsidRDefault="00AF6A93" w:rsidP="00AB2411">
            <w:pPr>
              <w:pStyle w:val="paragraph"/>
              <w:keepNext/>
              <w:widowControl w:val="0"/>
              <w:spacing w:before="0" w:beforeAutospacing="0" w:after="0" w:afterAutospacing="0"/>
              <w:jc w:val="center"/>
              <w:textAlignment w:val="baseline"/>
              <w:rPr>
                <w:b/>
                <w:bCs/>
              </w:rPr>
            </w:pPr>
            <w:r w:rsidRPr="00CB6395">
              <w:rPr>
                <w:rStyle w:val="normaltextrun"/>
                <w:rFonts w:ascii="Arial Narrow" w:hAnsi="Arial Narrow"/>
                <w:b/>
                <w:bCs/>
                <w:sz w:val="20"/>
                <w:szCs w:val="20"/>
              </w:rPr>
              <w:t>n with event/N (%)</w:t>
            </w:r>
            <w:r w:rsidRPr="00CB6395">
              <w:rPr>
                <w:rStyle w:val="eop"/>
                <w:rFonts w:ascii="Arial Narrow" w:hAnsi="Arial Narrow"/>
                <w:b/>
                <w:bCs/>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DDE7C" w14:textId="77777777" w:rsidR="00AF6A93" w:rsidRPr="00CB6395" w:rsidRDefault="00AF6A93" w:rsidP="00AB2411">
            <w:pPr>
              <w:pStyle w:val="paragraph"/>
              <w:keepNext/>
              <w:widowControl w:val="0"/>
              <w:spacing w:before="0" w:beforeAutospacing="0" w:after="0" w:afterAutospacing="0"/>
              <w:jc w:val="center"/>
              <w:textAlignment w:val="baseline"/>
              <w:rPr>
                <w:b/>
                <w:bCs/>
              </w:rPr>
            </w:pPr>
            <w:r w:rsidRPr="00CB6395">
              <w:rPr>
                <w:rStyle w:val="normaltextrun"/>
                <w:rFonts w:ascii="Arial Narrow" w:hAnsi="Arial Narrow"/>
                <w:b/>
                <w:bCs/>
                <w:sz w:val="20"/>
                <w:szCs w:val="20"/>
              </w:rPr>
              <w:t>RD (95% CI)</w:t>
            </w:r>
            <w:r w:rsidRPr="00CB6395">
              <w:rPr>
                <w:rStyle w:val="eop"/>
                <w:rFonts w:ascii="Arial Narrow" w:hAnsi="Arial Narrow"/>
                <w:b/>
                <w:bCs/>
                <w:sz w:val="20"/>
                <w:szCs w:val="20"/>
              </w:rPr>
              <w:t> </w:t>
            </w:r>
          </w:p>
        </w:tc>
      </w:tr>
      <w:tr w:rsidR="00AF6A93" w:rsidRPr="00CB6395" w14:paraId="6F62F2D2" w14:textId="77777777" w:rsidTr="00AF6A93">
        <w:tc>
          <w:tcPr>
            <w:tcW w:w="901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C7D5641" w14:textId="77777777"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b/>
                <w:bCs/>
                <w:sz w:val="20"/>
                <w:szCs w:val="20"/>
              </w:rPr>
              <w:t>REAL-1 (main)</w:t>
            </w:r>
            <w:r w:rsidRPr="00CB6395">
              <w:rPr>
                <w:rStyle w:val="eop"/>
                <w:rFonts w:ascii="Arial Narrow" w:hAnsi="Arial Narrow"/>
                <w:sz w:val="20"/>
                <w:szCs w:val="20"/>
              </w:rPr>
              <w:t> </w:t>
            </w:r>
          </w:p>
        </w:tc>
      </w:tr>
      <w:tr w:rsidR="00AF6A93" w:rsidRPr="00CB6395" w14:paraId="75F97765"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0A6231" w14:textId="15666589"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serious AE</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65CE0A"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7/120 (6)</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E201D"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11/119 (9)</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EDEA5"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-3 (-10, 3)</w:t>
            </w:r>
          </w:p>
          <w:p w14:paraId="7FF85C4A" w14:textId="30D6D966"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0.63 (0.25, 1.57)</w:t>
            </w:r>
            <w:r w:rsidRPr="00CB6395">
              <w:rPr>
                <w:rStyle w:val="eop"/>
                <w:rFonts w:ascii="Arial Narrow" w:hAnsi="Arial Narrow"/>
                <w:sz w:val="20"/>
                <w:szCs w:val="20"/>
              </w:rPr>
              <w:t> </w:t>
            </w:r>
          </w:p>
        </w:tc>
      </w:tr>
      <w:tr w:rsidR="00AF6A93" w:rsidRPr="00CB6395" w14:paraId="5FCF07C6"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648E9" w14:textId="1451F2B1"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of severe severity</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081027"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7/120 (6)</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0653D"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9/119 (8)</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92DB85"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-2 (-8, 5)</w:t>
            </w:r>
          </w:p>
          <w:p w14:paraId="5A75446E" w14:textId="7B902971"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0.77 (0.30, 2.00)</w:t>
            </w:r>
            <w:r w:rsidRPr="00CB6395">
              <w:rPr>
                <w:rStyle w:val="eop"/>
                <w:rFonts w:ascii="Arial Narrow" w:hAnsi="Arial Narrow"/>
                <w:sz w:val="20"/>
                <w:szCs w:val="20"/>
              </w:rPr>
              <w:t> </w:t>
            </w:r>
          </w:p>
        </w:tc>
      </w:tr>
      <w:tr w:rsidR="00AF6A93" w:rsidRPr="00CB6395" w14:paraId="2EC78551"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A32A3" w14:textId="26D83370"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AE resulting in death</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56CC9"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B1F21"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61319"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w:t>
            </w:r>
            <w:r w:rsidRPr="00CB6395">
              <w:rPr>
                <w:rStyle w:val="eop"/>
                <w:rFonts w:ascii="Arial Narrow" w:hAnsi="Arial Narrow"/>
                <w:sz w:val="20"/>
                <w:szCs w:val="20"/>
              </w:rPr>
              <w:t> </w:t>
            </w:r>
          </w:p>
        </w:tc>
      </w:tr>
      <w:tr w:rsidR="00AF6A93" w:rsidRPr="00CB6395" w14:paraId="692983C0"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524918" w14:textId="4F3A1FEF"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leading to discontinuation of study medication</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B014C"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FDA9D0"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4/119 (3)</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844F1"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RD: -3 (-7, 0)</w:t>
            </w:r>
            <w:r w:rsidRPr="00CB6395">
              <w:rPr>
                <w:rStyle w:val="eop"/>
                <w:rFonts w:ascii="Arial Narrow" w:hAnsi="Arial Narrow"/>
                <w:sz w:val="20"/>
                <w:szCs w:val="20"/>
              </w:rPr>
              <w:t> </w:t>
            </w:r>
          </w:p>
        </w:tc>
      </w:tr>
      <w:tr w:rsidR="00AF6A93" w:rsidRPr="00CB6395" w14:paraId="13A91344"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0223B" w14:textId="03E80246"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b/>
                <w:bCs/>
                <w:sz w:val="20"/>
                <w:szCs w:val="20"/>
              </w:rPr>
              <w:t>REAL-1 (extension)</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16D25" w14:textId="2A2CAEE1"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r w:rsidRPr="00CB6395">
              <w:rPr>
                <w:rStyle w:val="normaltextrun"/>
                <w:rFonts w:ascii="Arial Narrow" w:hAnsi="Arial Narrow"/>
                <w:b/>
                <w:bCs/>
                <w:sz w:val="20"/>
                <w:szCs w:val="20"/>
              </w:rPr>
              <w:t>(</w:t>
            </w:r>
            <w:proofErr w:type="spellStart"/>
            <w:r w:rsidRPr="00CB6395">
              <w:rPr>
                <w:rStyle w:val="normaltextrun"/>
                <w:rFonts w:ascii="Arial Narrow" w:hAnsi="Arial Narrow"/>
                <w:b/>
                <w:bCs/>
                <w:sz w:val="20"/>
                <w:szCs w:val="20"/>
              </w:rPr>
              <w:t>Somapacitan</w:t>
            </w:r>
            <w:proofErr w:type="spellEnd"/>
            <w:r w:rsidRPr="00CB6395">
              <w:rPr>
                <w:rStyle w:val="normaltextrun"/>
                <w:rFonts w:ascii="Arial Narrow" w:hAnsi="Arial Narrow"/>
                <w:b/>
                <w:bCs/>
                <w:sz w:val="20"/>
                <w:szCs w:val="20"/>
              </w:rPr>
              <w:t>/</w:t>
            </w:r>
            <w:proofErr w:type="spellStart"/>
            <w:r w:rsidRPr="00CB6395">
              <w:rPr>
                <w:rStyle w:val="normaltextrun"/>
                <w:rFonts w:ascii="Arial Narrow" w:hAnsi="Arial Narrow"/>
                <w:b/>
                <w:bCs/>
                <w:sz w:val="20"/>
                <w:szCs w:val="20"/>
              </w:rPr>
              <w:t>som</w:t>
            </w:r>
            <w:r w:rsidR="00912EC0" w:rsidRPr="00CB6395">
              <w:rPr>
                <w:rStyle w:val="normaltextrun"/>
                <w:rFonts w:ascii="Arial Narrow" w:hAnsi="Arial Narrow"/>
                <w:b/>
                <w:bCs/>
                <w:sz w:val="20"/>
                <w:szCs w:val="20"/>
              </w:rPr>
              <w:t>a</w:t>
            </w:r>
            <w:r w:rsidRPr="00CB6395">
              <w:rPr>
                <w:rStyle w:val="normaltextrun"/>
                <w:rFonts w:ascii="Arial Narrow" w:hAnsi="Arial Narrow"/>
                <w:b/>
                <w:bCs/>
                <w:sz w:val="20"/>
                <w:szCs w:val="20"/>
              </w:rPr>
              <w:t>pacitan</w:t>
            </w:r>
            <w:proofErr w:type="spellEnd"/>
            <w:r w:rsidRPr="00CB6395">
              <w:rPr>
                <w:rStyle w:val="normaltextrun"/>
                <w:rFonts w:ascii="Arial Narrow" w:hAnsi="Arial Narrow"/>
                <w:b/>
                <w:bCs/>
                <w:sz w:val="20"/>
                <w:szCs w:val="20"/>
              </w:rPr>
              <w:t>)</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8F34E" w14:textId="3A07615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r w:rsidRPr="00CB6395">
              <w:rPr>
                <w:rStyle w:val="normaltextrun"/>
                <w:rFonts w:ascii="Arial Narrow" w:hAnsi="Arial Narrow"/>
                <w:b/>
                <w:bCs/>
                <w:sz w:val="20"/>
                <w:szCs w:val="20"/>
              </w:rPr>
              <w:t>(Somatropin/Somatropin)</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AC449"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r>
      <w:tr w:rsidR="00AF6A93" w:rsidRPr="00CB6395" w14:paraId="10349024"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4DD29" w14:textId="76ABE0DD"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serious AE</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55658"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13/120 (11)</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E4FC0"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5/52 (10)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FE504E"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1(-9, 11)</w:t>
            </w:r>
          </w:p>
          <w:p w14:paraId="5ED799CF" w14:textId="70FC66BD"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1.13 (0.42, 3.00)</w:t>
            </w:r>
            <w:r w:rsidRPr="00CB6395">
              <w:rPr>
                <w:rStyle w:val="eop"/>
                <w:rFonts w:ascii="Arial Narrow" w:hAnsi="Arial Narrow"/>
                <w:sz w:val="20"/>
                <w:szCs w:val="20"/>
              </w:rPr>
              <w:t> </w:t>
            </w:r>
          </w:p>
        </w:tc>
      </w:tr>
      <w:tr w:rsidR="00AF6A93" w:rsidRPr="00CB6395" w14:paraId="6BD1F724"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A64CF" w14:textId="3ADE6949"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of severe severity</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A27BA"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11/120 (9)</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E2CBD6"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5/52 (10)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31194D"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0 (-10, 9)</w:t>
            </w:r>
          </w:p>
          <w:p w14:paraId="59BABC2D" w14:textId="405B8CB0"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0.95 (0.35, 2.61)</w:t>
            </w:r>
            <w:r w:rsidRPr="00CB6395">
              <w:rPr>
                <w:rStyle w:val="eop"/>
                <w:rFonts w:ascii="Arial Narrow" w:hAnsi="Arial Narrow"/>
                <w:sz w:val="20"/>
                <w:szCs w:val="20"/>
              </w:rPr>
              <w:t> </w:t>
            </w:r>
          </w:p>
        </w:tc>
      </w:tr>
      <w:tr w:rsidR="00AF6A93" w:rsidRPr="00CB6395" w14:paraId="19824EDE"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31663" w14:textId="0179D7AF"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AE resulting in death</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ECCFA"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A53CA"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 (2)</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D0C01"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RD: -2 (-6, 2)</w:t>
            </w:r>
            <w:r w:rsidRPr="00CB6395">
              <w:rPr>
                <w:rStyle w:val="eop"/>
                <w:rFonts w:ascii="Arial Narrow" w:hAnsi="Arial Narrow"/>
                <w:sz w:val="20"/>
                <w:szCs w:val="20"/>
              </w:rPr>
              <w:t> </w:t>
            </w:r>
          </w:p>
        </w:tc>
      </w:tr>
      <w:tr w:rsidR="00AF6A93" w:rsidRPr="00CB6395" w14:paraId="6F9353F5"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186B16" w14:textId="3A5416F6"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leading to discontinuation of study medication</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0F150"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2/120 (2)</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662C6"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84889"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RD: 2 (-1, 4)</w:t>
            </w:r>
            <w:r w:rsidRPr="00CB6395">
              <w:rPr>
                <w:rStyle w:val="eop"/>
                <w:rFonts w:ascii="Arial Narrow" w:hAnsi="Arial Narrow"/>
                <w:sz w:val="20"/>
                <w:szCs w:val="20"/>
              </w:rPr>
              <w:t> </w:t>
            </w:r>
          </w:p>
        </w:tc>
      </w:tr>
      <w:tr w:rsidR="00AF6A93" w:rsidRPr="00CB6395" w14:paraId="3210E21E"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8D3F2" w14:textId="4701B2A9"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b/>
                <w:bCs/>
                <w:sz w:val="20"/>
                <w:szCs w:val="20"/>
              </w:rPr>
              <w:t>REAL-2</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B79ACC"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BA3A36"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7F9A5"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r>
      <w:tr w:rsidR="00AF6A93" w:rsidRPr="00CB6395" w14:paraId="40B41414"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BF750F" w14:textId="272FD3CA"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serious AE</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AAA52"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4/61 (7)</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4FEE2"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2/31 (7)</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901FC"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0 (-11, 11)</w:t>
            </w:r>
          </w:p>
          <w:p w14:paraId="0B651A71" w14:textId="5DA45EE3"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1.02 (0.20, 5.25)</w:t>
            </w:r>
            <w:r w:rsidRPr="00CB6395">
              <w:rPr>
                <w:rStyle w:val="eop"/>
                <w:rFonts w:ascii="Arial Narrow" w:hAnsi="Arial Narrow"/>
                <w:sz w:val="20"/>
                <w:szCs w:val="20"/>
              </w:rPr>
              <w:t> </w:t>
            </w:r>
          </w:p>
        </w:tc>
      </w:tr>
      <w:tr w:rsidR="00AF6A93" w:rsidRPr="00CB6395" w14:paraId="064CEC29"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3117D" w14:textId="70DCB06A"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of severe severity</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72DA86"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5/61 (8)</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63904"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2/31 (7)</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1B182"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2 (-9, 13)</w:t>
            </w:r>
          </w:p>
          <w:p w14:paraId="0B88485E" w14:textId="712DDA04"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1.27 (0.26, 6.18)</w:t>
            </w:r>
            <w:r w:rsidRPr="00CB6395">
              <w:rPr>
                <w:rStyle w:val="eop"/>
                <w:rFonts w:ascii="Arial Narrow" w:hAnsi="Arial Narrow"/>
                <w:sz w:val="20"/>
                <w:szCs w:val="20"/>
              </w:rPr>
              <w:t> </w:t>
            </w:r>
          </w:p>
        </w:tc>
      </w:tr>
      <w:tr w:rsidR="00AF6A93" w:rsidRPr="00CB6395" w14:paraId="69A011F5"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0C823D" w14:textId="5D68D003"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AE resulting in death</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D317C"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014EC"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F8863"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w:t>
            </w:r>
            <w:r w:rsidRPr="00CB6395">
              <w:rPr>
                <w:rStyle w:val="eop"/>
                <w:rFonts w:ascii="Arial Narrow" w:hAnsi="Arial Narrow"/>
                <w:sz w:val="20"/>
                <w:szCs w:val="20"/>
              </w:rPr>
              <w:t> </w:t>
            </w:r>
          </w:p>
        </w:tc>
      </w:tr>
      <w:tr w:rsidR="00AF6A93" w:rsidRPr="00CB6395" w14:paraId="15802F51"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DD599" w14:textId="1900E686"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leading to discontinuation of study medication</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581025"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1/61 (2)</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032CF"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1/52 (3)</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87DFAD" w14:textId="77777777" w:rsidR="000449CE" w:rsidRDefault="00AF6A93" w:rsidP="00AB2411">
            <w:pPr>
              <w:pStyle w:val="paragraph"/>
              <w:keepNext/>
              <w:widowControl w:val="0"/>
              <w:spacing w:before="0" w:beforeAutospacing="0" w:after="0" w:afterAutospacing="0"/>
              <w:jc w:val="center"/>
              <w:textAlignment w:val="baseline"/>
              <w:rPr>
                <w:rStyle w:val="eop"/>
                <w:rFonts w:ascii="Arial Narrow" w:hAnsi="Arial Narrow"/>
                <w:sz w:val="20"/>
                <w:szCs w:val="20"/>
              </w:rPr>
            </w:pPr>
            <w:r w:rsidRPr="00CB6395">
              <w:rPr>
                <w:rStyle w:val="normaltextrun"/>
                <w:rFonts w:ascii="Arial Narrow" w:hAnsi="Arial Narrow"/>
                <w:sz w:val="20"/>
                <w:szCs w:val="20"/>
              </w:rPr>
              <w:t>RD: -2 (-9, 5)</w:t>
            </w:r>
          </w:p>
          <w:p w14:paraId="24E8E404" w14:textId="4CD38AFD"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RR: 0.51 (0.03, 7.85)</w:t>
            </w:r>
            <w:r w:rsidRPr="00CB6395">
              <w:rPr>
                <w:rStyle w:val="eop"/>
                <w:rFonts w:ascii="Arial Narrow" w:hAnsi="Arial Narrow"/>
                <w:sz w:val="20"/>
                <w:szCs w:val="20"/>
              </w:rPr>
              <w:t> </w:t>
            </w:r>
          </w:p>
        </w:tc>
      </w:tr>
      <w:tr w:rsidR="00AF6A93" w:rsidRPr="00CB6395" w14:paraId="67E5D144"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4034D" w14:textId="52985794"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b/>
                <w:bCs/>
                <w:sz w:val="20"/>
                <w:szCs w:val="20"/>
              </w:rPr>
              <w:t>REAL-Japan</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F88C0"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DF742"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359B9"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eop"/>
                <w:rFonts w:ascii="Arial Narrow" w:hAnsi="Arial Narrow"/>
                <w:sz w:val="20"/>
                <w:szCs w:val="20"/>
              </w:rPr>
              <w:t> </w:t>
            </w:r>
          </w:p>
        </w:tc>
      </w:tr>
      <w:tr w:rsidR="00AF6A93" w:rsidRPr="00CB6395" w14:paraId="1C9B8E73"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9A0D58" w14:textId="3964ABBF"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serious AE</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FEDB8A"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4/46 (9)</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38E644"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6B431"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b/>
                <w:bCs/>
                <w:sz w:val="20"/>
                <w:szCs w:val="20"/>
              </w:rPr>
              <w:t>RD: 9 (1, 17)</w:t>
            </w:r>
            <w:r w:rsidRPr="00CB6395">
              <w:rPr>
                <w:rStyle w:val="eop"/>
                <w:rFonts w:ascii="Arial Narrow" w:hAnsi="Arial Narrow"/>
                <w:sz w:val="20"/>
                <w:szCs w:val="20"/>
              </w:rPr>
              <w:t> </w:t>
            </w:r>
          </w:p>
        </w:tc>
      </w:tr>
      <w:tr w:rsidR="00AF6A93" w:rsidRPr="00CB6395" w14:paraId="4E68D6D0"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492AB" w14:textId="661D9633"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of severe severity</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6B6923"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D3457"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DB229"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w:t>
            </w:r>
            <w:r w:rsidRPr="00CB6395">
              <w:rPr>
                <w:rStyle w:val="eop"/>
                <w:rFonts w:ascii="Arial Narrow" w:hAnsi="Arial Narrow"/>
                <w:sz w:val="20"/>
                <w:szCs w:val="20"/>
              </w:rPr>
              <w:t> </w:t>
            </w:r>
          </w:p>
        </w:tc>
      </w:tr>
      <w:tr w:rsidR="00AF6A93" w:rsidRPr="00CB6395" w14:paraId="36DEA540"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5D696" w14:textId="18181E3D"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Any AE resulting in death</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5F6FC"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0E7C1"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27B885"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w:t>
            </w:r>
            <w:r w:rsidRPr="00CB6395">
              <w:rPr>
                <w:rStyle w:val="eop"/>
                <w:rFonts w:ascii="Arial Narrow" w:hAnsi="Arial Narrow"/>
                <w:sz w:val="20"/>
                <w:szCs w:val="20"/>
              </w:rPr>
              <w:t> </w:t>
            </w:r>
          </w:p>
        </w:tc>
      </w:tr>
      <w:tr w:rsidR="00AF6A93" w:rsidRPr="00CB6395" w14:paraId="656D5FAC" w14:textId="77777777" w:rsidTr="00AF6A93">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766769" w14:textId="704CB95D" w:rsidR="00AF6A93" w:rsidRPr="00CB6395" w:rsidRDefault="00AF6A93" w:rsidP="00AB2411">
            <w:pPr>
              <w:pStyle w:val="paragraph"/>
              <w:keepNext/>
              <w:widowControl w:val="0"/>
              <w:spacing w:before="0" w:beforeAutospacing="0" w:after="0" w:afterAutospacing="0"/>
              <w:textAlignment w:val="baseline"/>
            </w:pPr>
            <w:r w:rsidRPr="00CB6395">
              <w:rPr>
                <w:rStyle w:val="normaltextrun"/>
                <w:rFonts w:ascii="Arial Narrow" w:hAnsi="Arial Narrow"/>
                <w:sz w:val="20"/>
                <w:szCs w:val="20"/>
              </w:rPr>
              <w:t>AE leading to discontinuation of study medication</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69F4D8"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0</w:t>
            </w:r>
            <w:r w:rsidRPr="00CB6395">
              <w:rPr>
                <w:rStyle w:val="eop"/>
                <w:rFonts w:ascii="Arial Narrow" w:hAnsi="Arial Narrow"/>
                <w:sz w:val="20"/>
                <w:szCs w:val="20"/>
              </w:rPr>
              <w:t> </w:t>
            </w:r>
          </w:p>
        </w:tc>
        <w:tc>
          <w:tcPr>
            <w:tcW w:w="2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E2EA2C"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1/16 (6)</w:t>
            </w:r>
            <w:r w:rsidRPr="00CB6395">
              <w:rPr>
                <w:rStyle w:val="eop"/>
                <w:rFonts w:ascii="Arial Narrow" w:hAnsi="Arial Narrow"/>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3E5C73" w14:textId="77777777" w:rsidR="00AF6A93" w:rsidRPr="00CB6395" w:rsidRDefault="00AF6A93" w:rsidP="00AB2411">
            <w:pPr>
              <w:pStyle w:val="paragraph"/>
              <w:keepNext/>
              <w:widowControl w:val="0"/>
              <w:spacing w:before="0" w:beforeAutospacing="0" w:after="0" w:afterAutospacing="0"/>
              <w:jc w:val="center"/>
              <w:textAlignment w:val="baseline"/>
            </w:pPr>
            <w:r w:rsidRPr="00CB6395">
              <w:rPr>
                <w:rStyle w:val="normaltextrun"/>
                <w:rFonts w:ascii="Arial Narrow" w:hAnsi="Arial Narrow"/>
                <w:sz w:val="20"/>
                <w:szCs w:val="20"/>
              </w:rPr>
              <w:t>RD: -6 (-18, 6)</w:t>
            </w:r>
            <w:r w:rsidRPr="00CB6395">
              <w:rPr>
                <w:rStyle w:val="eop"/>
                <w:rFonts w:ascii="Arial Narrow" w:hAnsi="Arial Narrow"/>
                <w:sz w:val="20"/>
                <w:szCs w:val="20"/>
              </w:rPr>
              <w:t> </w:t>
            </w:r>
          </w:p>
        </w:tc>
      </w:tr>
    </w:tbl>
    <w:p w14:paraId="151F2F7C" w14:textId="77777777" w:rsidR="000449CE" w:rsidRDefault="00AF6A93" w:rsidP="00EE0668">
      <w:pPr>
        <w:pStyle w:val="TableFigureFooter"/>
        <w:rPr>
          <w:rStyle w:val="eop"/>
          <w:rFonts w:cs="Segoe UI"/>
          <w:szCs w:val="18"/>
        </w:rPr>
      </w:pPr>
      <w:r w:rsidRPr="00CB6395">
        <w:rPr>
          <w:rStyle w:val="normaltextrun"/>
          <w:rFonts w:cs="Segoe UI"/>
          <w:szCs w:val="18"/>
        </w:rPr>
        <w:t>Source: Table 2.5.9, 2.5.11, pp94-95, 97 of the submission.</w:t>
      </w:r>
    </w:p>
    <w:p w14:paraId="45D2FB8F" w14:textId="77777777" w:rsidR="000449CE" w:rsidRDefault="00AF6A93" w:rsidP="00EE0668">
      <w:pPr>
        <w:pStyle w:val="TableFigureFooter"/>
        <w:rPr>
          <w:rStyle w:val="eop"/>
          <w:rFonts w:cs="Segoe UI"/>
          <w:szCs w:val="18"/>
        </w:rPr>
      </w:pPr>
      <w:r w:rsidRPr="00CB6395">
        <w:rPr>
          <w:rStyle w:val="normaltextrun"/>
          <w:rFonts w:cs="Segoe UI"/>
          <w:b/>
          <w:szCs w:val="18"/>
        </w:rPr>
        <w:t>Bold</w:t>
      </w:r>
      <w:r w:rsidRPr="00CB6395">
        <w:rPr>
          <w:rStyle w:val="normaltextrun"/>
          <w:rFonts w:cs="Segoe UI"/>
          <w:szCs w:val="18"/>
        </w:rPr>
        <w:t xml:space="preserve"> text is statistically significant.</w:t>
      </w:r>
    </w:p>
    <w:p w14:paraId="7E43A741" w14:textId="0BA44DC6" w:rsidR="005D26B4" w:rsidRPr="00CB6395" w:rsidRDefault="00702C93" w:rsidP="00EE0668">
      <w:pPr>
        <w:pStyle w:val="TableFigureFooter"/>
      </w:pPr>
      <w:r>
        <w:rPr>
          <w:rStyle w:val="normaltextrun"/>
          <w:rFonts w:cs="Segoe UI"/>
          <w:szCs w:val="18"/>
        </w:rPr>
        <w:t xml:space="preserve">AE = adverse event; </w:t>
      </w:r>
      <w:r w:rsidR="00AF6A93" w:rsidRPr="00CB6395">
        <w:rPr>
          <w:rStyle w:val="normaltextrun"/>
          <w:rFonts w:cs="Segoe UI"/>
          <w:szCs w:val="18"/>
        </w:rPr>
        <w:t>CI = confidence interval; n = number of participants reporting data; N = total participants in group; RD = risk difference; RR = relative risk</w:t>
      </w:r>
    </w:p>
    <w:p w14:paraId="04908C7F" w14:textId="415B9B7D" w:rsidR="007F1017" w:rsidRPr="00CB6395" w:rsidRDefault="007F1017" w:rsidP="00D86231">
      <w:pPr>
        <w:pStyle w:val="4-SubsectionHeading"/>
      </w:pPr>
      <w:bookmarkStart w:id="21" w:name="_Toc22897643"/>
      <w:bookmarkStart w:id="22" w:name="_Toc93488114"/>
      <w:r w:rsidRPr="00CB6395">
        <w:t>Benefits/harms</w:t>
      </w:r>
      <w:bookmarkEnd w:id="21"/>
      <w:bookmarkEnd w:id="22"/>
    </w:p>
    <w:p w14:paraId="68F3AB7B" w14:textId="77777777" w:rsidR="000449CE" w:rsidRDefault="009C5D48" w:rsidP="00D2155B">
      <w:pPr>
        <w:pStyle w:val="3-BodyText"/>
      </w:pPr>
      <w:r w:rsidRPr="003214C3">
        <w:t>As the submission claimed non-inferior comparative effective</w:t>
      </w:r>
      <w:r w:rsidR="009B3F0F" w:rsidRPr="003214C3">
        <w:t>ness</w:t>
      </w:r>
      <w:r w:rsidRPr="003214C3">
        <w:t xml:space="preserve"> and safety, a benefit and harms table has not been presented.</w:t>
      </w:r>
    </w:p>
    <w:p w14:paraId="56A22B9E" w14:textId="418318F5" w:rsidR="002441D2" w:rsidRPr="00CB6395" w:rsidRDefault="00B02C99" w:rsidP="00E9094A">
      <w:pPr>
        <w:pStyle w:val="3-BodyText"/>
      </w:pPr>
      <w:r w:rsidRPr="00CB6395">
        <w:t>Based on</w:t>
      </w:r>
      <w:r w:rsidR="002441D2" w:rsidRPr="00CB6395">
        <w:t xml:space="preserve"> direct</w:t>
      </w:r>
      <w:r w:rsidR="00B11138" w:rsidRPr="00CB6395">
        <w:t xml:space="preserve"> </w:t>
      </w:r>
      <w:r w:rsidR="002441D2" w:rsidRPr="00CB6395">
        <w:t xml:space="preserve">evidence presented by the submission, for every 100 patients treated with </w:t>
      </w:r>
      <w:proofErr w:type="spellStart"/>
      <w:r w:rsidR="00A5581D" w:rsidRPr="00CB6395">
        <w:t>soma</w:t>
      </w:r>
      <w:r w:rsidR="00FF2016" w:rsidRPr="00CB6395">
        <w:t>pacitan</w:t>
      </w:r>
      <w:proofErr w:type="spellEnd"/>
      <w:r w:rsidR="002441D2" w:rsidRPr="00CB6395">
        <w:t xml:space="preserve"> in comparison </w:t>
      </w:r>
      <w:r w:rsidR="006D68FB" w:rsidRPr="00CB6395">
        <w:t>with</w:t>
      </w:r>
      <w:r w:rsidR="002441D2" w:rsidRPr="00CB6395">
        <w:t xml:space="preserve"> </w:t>
      </w:r>
      <w:r w:rsidR="00D705FD" w:rsidRPr="00CB6395">
        <w:t>somatropin</w:t>
      </w:r>
      <w:r w:rsidR="002441D2" w:rsidRPr="00CB6395">
        <w:t>:</w:t>
      </w:r>
    </w:p>
    <w:p w14:paraId="1D93E2C6" w14:textId="7A3DD397" w:rsidR="00FC1884" w:rsidRPr="00CB6395" w:rsidRDefault="00FC1884" w:rsidP="00375571">
      <w:pPr>
        <w:pStyle w:val="ListParagraph"/>
      </w:pPr>
      <w:r w:rsidRPr="00CB6395">
        <w:t xml:space="preserve">Approximately </w:t>
      </w:r>
      <w:r w:rsidR="00853AA5" w:rsidRPr="00CB6395">
        <w:t>9</w:t>
      </w:r>
      <w:r w:rsidRPr="00CB6395">
        <w:t xml:space="preserve"> additional patients would have </w:t>
      </w:r>
      <w:r w:rsidR="00853AA5" w:rsidRPr="00CB6395">
        <w:t>a serious adverse event (REAL-Japan)</w:t>
      </w:r>
      <w:r w:rsidR="009B3F0F" w:rsidRPr="00CB6395">
        <w:t>.</w:t>
      </w:r>
    </w:p>
    <w:p w14:paraId="7A1772B6" w14:textId="23BB3145" w:rsidR="00B60939" w:rsidRPr="00CB6395" w:rsidRDefault="00B60939" w:rsidP="00E9094A">
      <w:pPr>
        <w:pStyle w:val="4-SubsectionHeading"/>
      </w:pPr>
      <w:bookmarkStart w:id="23" w:name="_Toc22897644"/>
      <w:bookmarkStart w:id="24" w:name="_Toc93488115"/>
      <w:r w:rsidRPr="00CB6395">
        <w:t>Clinical claim</w:t>
      </w:r>
      <w:bookmarkEnd w:id="23"/>
      <w:bookmarkEnd w:id="24"/>
    </w:p>
    <w:p w14:paraId="6D02C21B" w14:textId="27953E9D" w:rsidR="000C1467" w:rsidRPr="003214C3" w:rsidRDefault="000C1467" w:rsidP="000C1467">
      <w:pPr>
        <w:pStyle w:val="3-BodyText"/>
        <w:rPr>
          <w:rStyle w:val="normaltextrun"/>
        </w:rPr>
      </w:pPr>
      <w:r w:rsidRPr="00CB6395">
        <w:t>The submission described</w:t>
      </w:r>
      <w:r w:rsidR="006D166B" w:rsidRPr="00CB6395">
        <w:t xml:space="preserve"> </w:t>
      </w:r>
      <w:proofErr w:type="spellStart"/>
      <w:r w:rsidRPr="00CB6395">
        <w:t>som</w:t>
      </w:r>
      <w:r w:rsidR="00B54554" w:rsidRPr="00CB6395">
        <w:t>a</w:t>
      </w:r>
      <w:r w:rsidRPr="00CB6395">
        <w:t>pacitan</w:t>
      </w:r>
      <w:proofErr w:type="spellEnd"/>
      <w:r w:rsidR="006D166B" w:rsidRPr="00CB6395">
        <w:t xml:space="preserve"> </w:t>
      </w:r>
      <w:r w:rsidRPr="00CB6395">
        <w:t>as</w:t>
      </w:r>
      <w:r w:rsidR="006D166B" w:rsidRPr="00CB6395">
        <w:t xml:space="preserve"> </w:t>
      </w:r>
      <w:r w:rsidRPr="00CB6395">
        <w:t>non-inferior</w:t>
      </w:r>
      <w:r w:rsidR="006D166B" w:rsidRPr="00CB6395">
        <w:t xml:space="preserve"> </w:t>
      </w:r>
      <w:r w:rsidRPr="00CB6395">
        <w:t>in terms of effectiveness</w:t>
      </w:r>
      <w:r w:rsidR="006D166B" w:rsidRPr="00CB6395">
        <w:t xml:space="preserve"> </w:t>
      </w:r>
      <w:r w:rsidRPr="00CB6395">
        <w:t>compared with somatropin and</w:t>
      </w:r>
      <w:r w:rsidR="006D166B" w:rsidRPr="00CB6395">
        <w:t xml:space="preserve"> </w:t>
      </w:r>
      <w:r w:rsidRPr="00CB6395">
        <w:t>non-inferior in terms of safety</w:t>
      </w:r>
      <w:r w:rsidR="006D166B" w:rsidRPr="00CB6395">
        <w:t xml:space="preserve"> </w:t>
      </w:r>
      <w:r w:rsidRPr="00CB6395">
        <w:t>compared to somatropin.</w:t>
      </w:r>
      <w:r w:rsidR="004E1ACE" w:rsidRPr="00CB6395">
        <w:t xml:space="preserve"> </w:t>
      </w:r>
      <w:r w:rsidR="004E1ACE" w:rsidRPr="003214C3">
        <w:t xml:space="preserve">The </w:t>
      </w:r>
      <w:r w:rsidR="004C4825" w:rsidRPr="003214C3">
        <w:t xml:space="preserve">key issues regarding accepting the </w:t>
      </w:r>
      <w:r w:rsidR="00EF3744" w:rsidRPr="003214C3">
        <w:t xml:space="preserve">clinical claim </w:t>
      </w:r>
      <w:r w:rsidR="004C4825" w:rsidRPr="003214C3">
        <w:t>include</w:t>
      </w:r>
      <w:r w:rsidR="00FA7D46" w:rsidRPr="003214C3">
        <w:t>:</w:t>
      </w:r>
    </w:p>
    <w:p w14:paraId="6247908B" w14:textId="471E9CD6" w:rsidR="00B84736" w:rsidRPr="003214C3" w:rsidRDefault="00EF3744" w:rsidP="008D66A9">
      <w:pPr>
        <w:pStyle w:val="ListParagraph"/>
      </w:pPr>
      <w:r w:rsidRPr="003214C3">
        <w:t xml:space="preserve">The submission’s clinical claim of </w:t>
      </w:r>
      <w:r w:rsidR="0028081F" w:rsidRPr="003214C3">
        <w:t xml:space="preserve">non-inferiority </w:t>
      </w:r>
      <w:r w:rsidRPr="003214C3">
        <w:t xml:space="preserve">was based on </w:t>
      </w:r>
      <w:r w:rsidR="00B84736" w:rsidRPr="003214C3">
        <w:t>REAL-1</w:t>
      </w:r>
      <w:r w:rsidR="00946E21" w:rsidRPr="003214C3">
        <w:t>, a study</w:t>
      </w:r>
      <w:r w:rsidR="00B84736" w:rsidRPr="003214C3">
        <w:t xml:space="preserve"> </w:t>
      </w:r>
      <w:r w:rsidRPr="003214C3">
        <w:t xml:space="preserve">which </w:t>
      </w:r>
      <w:r w:rsidR="00B84736" w:rsidRPr="003214C3">
        <w:t>was not powered to detect non-inferiority</w:t>
      </w:r>
      <w:r w:rsidR="00E0516D" w:rsidRPr="003214C3">
        <w:t xml:space="preserve"> of </w:t>
      </w:r>
      <w:proofErr w:type="spellStart"/>
      <w:r w:rsidR="00E0516D" w:rsidRPr="003214C3">
        <w:t>somapacitan</w:t>
      </w:r>
      <w:proofErr w:type="spellEnd"/>
      <w:r w:rsidR="00E0516D" w:rsidRPr="003214C3">
        <w:t xml:space="preserve"> and somatropin.</w:t>
      </w:r>
    </w:p>
    <w:p w14:paraId="485F3436" w14:textId="6AB4A534" w:rsidR="003D261F" w:rsidRPr="003214C3" w:rsidRDefault="00372422" w:rsidP="008D66A9">
      <w:pPr>
        <w:pStyle w:val="ListParagraph"/>
      </w:pPr>
      <w:r w:rsidRPr="003214C3">
        <w:t xml:space="preserve">In general, patient satisfaction and treatment convenience favoured </w:t>
      </w:r>
      <w:proofErr w:type="spellStart"/>
      <w:r w:rsidRPr="003214C3">
        <w:t>somapacitan</w:t>
      </w:r>
      <w:proofErr w:type="spellEnd"/>
      <w:r w:rsidRPr="003214C3">
        <w:t xml:space="preserve">. However, the three patient reported outcome measures used in the trials (TRIM-AGHD, SF36v2, TSQM) did not meet the MCID between </w:t>
      </w:r>
      <w:proofErr w:type="spellStart"/>
      <w:r w:rsidRPr="003214C3">
        <w:t>somapacitan</w:t>
      </w:r>
      <w:proofErr w:type="spellEnd"/>
      <w:r w:rsidRPr="003214C3">
        <w:t xml:space="preserve"> and somatropin.</w:t>
      </w:r>
    </w:p>
    <w:p w14:paraId="2D6175C4" w14:textId="58D57FD5" w:rsidR="00372422" w:rsidRPr="003214C3" w:rsidRDefault="003D261F" w:rsidP="008D66A9">
      <w:pPr>
        <w:pStyle w:val="ListParagraph"/>
      </w:pPr>
      <w:r w:rsidRPr="003214C3">
        <w:t>D</w:t>
      </w:r>
      <w:r w:rsidR="00372422" w:rsidRPr="003214C3">
        <w:t>ue to the open-label study designs of the included trials, there is risk of performance and detection biases.</w:t>
      </w:r>
    </w:p>
    <w:p w14:paraId="4369EEBD" w14:textId="2F32A83D" w:rsidR="008568D2" w:rsidRDefault="000C6515" w:rsidP="008D66A9">
      <w:pPr>
        <w:pStyle w:val="ListParagraph"/>
      </w:pPr>
      <w:r w:rsidRPr="003214C3">
        <w:t xml:space="preserve">Incomplete data for serious </w:t>
      </w:r>
      <w:r w:rsidR="00D2062C">
        <w:t>AEs</w:t>
      </w:r>
      <w:r w:rsidRPr="003214C3">
        <w:t xml:space="preserve"> reported in REAL-Japan.</w:t>
      </w:r>
    </w:p>
    <w:p w14:paraId="671D13E7" w14:textId="192AEFD0" w:rsidR="00C12C82" w:rsidRPr="00CE42B4" w:rsidRDefault="00C12C82" w:rsidP="008D66A9">
      <w:pPr>
        <w:widowControl w:val="0"/>
        <w:numPr>
          <w:ilvl w:val="1"/>
          <w:numId w:val="1"/>
        </w:numPr>
        <w:spacing w:after="120"/>
        <w:rPr>
          <w:rFonts w:asciiTheme="minorHAnsi" w:hAnsiTheme="minorHAnsi" w:cs="Arial"/>
          <w:snapToGrid w:val="0"/>
          <w:szCs w:val="20"/>
        </w:rPr>
      </w:pPr>
      <w:bookmarkStart w:id="25"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t>
      </w:r>
      <w:r w:rsidR="008D66A9">
        <w:rPr>
          <w:rFonts w:asciiTheme="minorHAnsi" w:hAnsiTheme="minorHAnsi" w:cs="Arial"/>
          <w:snapToGrid w:val="0"/>
          <w:szCs w:val="20"/>
        </w:rPr>
        <w:t xml:space="preserve">and safety </w:t>
      </w:r>
      <w:r w:rsidRPr="00CE42B4">
        <w:rPr>
          <w:rFonts w:asciiTheme="minorHAnsi" w:hAnsiTheme="minorHAnsi" w:cs="Arial"/>
          <w:snapToGrid w:val="0"/>
          <w:szCs w:val="20"/>
        </w:rPr>
        <w:t>was reasonable.</w:t>
      </w:r>
    </w:p>
    <w:p w14:paraId="6B1160D1" w14:textId="7517CF23" w:rsidR="00D95A9E" w:rsidRPr="00CB6395" w:rsidRDefault="00D95A9E" w:rsidP="00D95A9E">
      <w:pPr>
        <w:pStyle w:val="4-SubsectionHeading"/>
      </w:pPr>
      <w:bookmarkStart w:id="26" w:name="_Toc22897645"/>
      <w:bookmarkStart w:id="27" w:name="_Toc22898857"/>
      <w:bookmarkStart w:id="28" w:name="_Toc93488116"/>
      <w:bookmarkEnd w:id="25"/>
      <w:r w:rsidRPr="00CB6395">
        <w:t>Economic analysis</w:t>
      </w:r>
      <w:bookmarkEnd w:id="26"/>
      <w:bookmarkEnd w:id="27"/>
      <w:bookmarkEnd w:id="28"/>
    </w:p>
    <w:p w14:paraId="14BC2FCF" w14:textId="19D8C881" w:rsidR="00D95A9E" w:rsidRPr="00CB6395" w:rsidRDefault="00D95A9E" w:rsidP="00D95A9E">
      <w:pPr>
        <w:pStyle w:val="3-BodyText"/>
        <w:rPr>
          <w:rFonts w:eastAsiaTheme="minorEastAsia"/>
        </w:rPr>
      </w:pPr>
      <w:r w:rsidRPr="00CB6395">
        <w:rPr>
          <w:rFonts w:eastAsia="Calibri"/>
        </w:rPr>
        <w:t xml:space="preserve">The submission presented a cost-minimisation analysis comparing </w:t>
      </w:r>
      <w:proofErr w:type="spellStart"/>
      <w:r w:rsidRPr="00CB6395">
        <w:rPr>
          <w:rFonts w:eastAsia="Calibri"/>
        </w:rPr>
        <w:t>somapacitan</w:t>
      </w:r>
      <w:proofErr w:type="spellEnd"/>
      <w:r w:rsidRPr="00CB6395">
        <w:rPr>
          <w:rFonts w:eastAsia="Calibri"/>
        </w:rPr>
        <w:t xml:space="preserve"> once-weekly versus somatropin once-daily for the treatment of AGHD.</w:t>
      </w:r>
      <w:r w:rsidR="00D31F6F">
        <w:rPr>
          <w:rFonts w:eastAsia="Calibri"/>
        </w:rPr>
        <w:t xml:space="preserve"> </w:t>
      </w:r>
    </w:p>
    <w:p w14:paraId="3C247BFA" w14:textId="77777777" w:rsidR="000449CE" w:rsidRDefault="00D95A9E" w:rsidP="00D95A9E">
      <w:pPr>
        <w:pStyle w:val="3-BodyText"/>
        <w:rPr>
          <w:rFonts w:eastAsia="Calibri"/>
        </w:rPr>
      </w:pPr>
      <w:r w:rsidRPr="00CB6395">
        <w:rPr>
          <w:rFonts w:eastAsia="Calibri"/>
        </w:rPr>
        <w:t xml:space="preserve">The key components and assumptions of the cost-minimisation analysis are described in </w:t>
      </w:r>
      <w:r w:rsidR="001E30BE" w:rsidRPr="00CB6395">
        <w:rPr>
          <w:rFonts w:eastAsia="Calibri"/>
        </w:rPr>
        <w:t>the table below.</w:t>
      </w:r>
    </w:p>
    <w:p w14:paraId="3FB2732C" w14:textId="595FFD4B" w:rsidR="00D95A9E" w:rsidRPr="00CB6395" w:rsidRDefault="00D95A9E" w:rsidP="00EE0668">
      <w:pPr>
        <w:pStyle w:val="TableFigureHeading"/>
        <w:rPr>
          <w:rStyle w:val="CommentReference"/>
          <w:rFonts w:eastAsia="MS Gothic"/>
          <w:b/>
        </w:rPr>
      </w:pPr>
      <w:r w:rsidRPr="00CB6395">
        <w:rPr>
          <w:szCs w:val="20"/>
        </w:rPr>
        <w:t xml:space="preserve">Table </w:t>
      </w:r>
      <w:r w:rsidR="001E30BE" w:rsidRPr="00CB6395">
        <w:rPr>
          <w:szCs w:val="20"/>
          <w:shd w:val="clear" w:color="auto" w:fill="E6E6E6"/>
        </w:rPr>
        <w:fldChar w:fldCharType="begin"/>
      </w:r>
      <w:r w:rsidR="001E30BE" w:rsidRPr="00CB6395">
        <w:rPr>
          <w:szCs w:val="20"/>
        </w:rPr>
        <w:instrText xml:space="preserve"> SEQ Table \* ARABIC </w:instrText>
      </w:r>
      <w:r w:rsidR="001E30BE" w:rsidRPr="00CB6395">
        <w:rPr>
          <w:szCs w:val="20"/>
          <w:shd w:val="clear" w:color="auto" w:fill="E6E6E6"/>
        </w:rPr>
        <w:fldChar w:fldCharType="separate"/>
      </w:r>
      <w:r w:rsidR="00AB6385">
        <w:rPr>
          <w:noProof/>
          <w:szCs w:val="20"/>
        </w:rPr>
        <w:t>6</w:t>
      </w:r>
      <w:r w:rsidR="001E30BE" w:rsidRPr="00CB6395">
        <w:rPr>
          <w:szCs w:val="20"/>
          <w:shd w:val="clear" w:color="auto" w:fill="E6E6E6"/>
        </w:rPr>
        <w:fldChar w:fldCharType="end"/>
      </w:r>
      <w:r w:rsidRPr="00CB6395">
        <w:rPr>
          <w:rStyle w:val="CommentReference"/>
          <w:b/>
          <w:szCs w:val="20"/>
        </w:rPr>
        <w:t>:</w:t>
      </w:r>
      <w:r w:rsidRPr="00CB6395">
        <w:rPr>
          <w:rStyle w:val="CommentReference"/>
          <w:b/>
        </w:rPr>
        <w:t xml:space="preserve"> Key components and assumptions of the cost-minimisation analysis</w:t>
      </w:r>
    </w:p>
    <w:tbl>
      <w:tblPr>
        <w:tblW w:w="0" w:type="auto"/>
        <w:tblLayout w:type="fixed"/>
        <w:tblLook w:val="06A0" w:firstRow="1" w:lastRow="0" w:firstColumn="1" w:lastColumn="0" w:noHBand="1" w:noVBand="1"/>
      </w:tblPr>
      <w:tblGrid>
        <w:gridCol w:w="2607"/>
        <w:gridCol w:w="6408"/>
      </w:tblGrid>
      <w:tr w:rsidR="00D95A9E" w:rsidRPr="00CB6395" w14:paraId="73727F74"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3BF947F6" w14:textId="77777777" w:rsidR="00D95A9E" w:rsidRPr="00CB6395" w:rsidRDefault="00D95A9E" w:rsidP="00CC4D05">
            <w:pPr>
              <w:pStyle w:val="In-tableHeading"/>
            </w:pPr>
            <w:r w:rsidRPr="00CB6395">
              <w:t>Component</w:t>
            </w:r>
          </w:p>
        </w:tc>
        <w:tc>
          <w:tcPr>
            <w:tcW w:w="6408" w:type="dxa"/>
            <w:tcBorders>
              <w:top w:val="single" w:sz="8" w:space="0" w:color="auto"/>
              <w:left w:val="single" w:sz="8" w:space="0" w:color="auto"/>
              <w:bottom w:val="single" w:sz="8" w:space="0" w:color="auto"/>
              <w:right w:val="single" w:sz="8" w:space="0" w:color="auto"/>
            </w:tcBorders>
            <w:vAlign w:val="center"/>
          </w:tcPr>
          <w:p w14:paraId="654A6E33" w14:textId="77777777" w:rsidR="00D95A9E" w:rsidRPr="00CB6395" w:rsidRDefault="00D95A9E" w:rsidP="00CC4D05">
            <w:pPr>
              <w:pStyle w:val="In-tableHeading"/>
            </w:pPr>
            <w:r w:rsidRPr="00CB6395">
              <w:t>Claim or assumption</w:t>
            </w:r>
          </w:p>
        </w:tc>
      </w:tr>
      <w:tr w:rsidR="00D95A9E" w:rsidRPr="00CB6395" w14:paraId="23620697"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0A9078AF" w14:textId="77777777" w:rsidR="00D95A9E" w:rsidRPr="00CB6395" w:rsidRDefault="00D95A9E" w:rsidP="001E30BE">
            <w:pPr>
              <w:pStyle w:val="Tabletext"/>
            </w:pPr>
            <w:r w:rsidRPr="00CB6395">
              <w:rPr>
                <w:rFonts w:eastAsia="Arial Narrow"/>
              </w:rPr>
              <w:t>Therapeutic claim: effectiveness</w:t>
            </w:r>
          </w:p>
        </w:tc>
        <w:tc>
          <w:tcPr>
            <w:tcW w:w="6408" w:type="dxa"/>
            <w:tcBorders>
              <w:top w:val="single" w:sz="8" w:space="0" w:color="auto"/>
              <w:left w:val="single" w:sz="8" w:space="0" w:color="auto"/>
              <w:bottom w:val="single" w:sz="8" w:space="0" w:color="auto"/>
              <w:right w:val="single" w:sz="8" w:space="0" w:color="auto"/>
            </w:tcBorders>
            <w:vAlign w:val="center"/>
          </w:tcPr>
          <w:p w14:paraId="29E077D6" w14:textId="1493C8F0" w:rsidR="00D95A9E" w:rsidRPr="00CB6395" w:rsidRDefault="00292096" w:rsidP="001E30BE">
            <w:pPr>
              <w:pStyle w:val="Tabletext"/>
            </w:pPr>
            <w:proofErr w:type="spellStart"/>
            <w:r>
              <w:rPr>
                <w:rFonts w:eastAsia="Arial Narrow"/>
              </w:rPr>
              <w:t>S</w:t>
            </w:r>
            <w:r w:rsidR="00D95A9E" w:rsidRPr="00CB6395">
              <w:rPr>
                <w:rFonts w:eastAsia="Arial Narrow"/>
              </w:rPr>
              <w:t>omapacitan</w:t>
            </w:r>
            <w:proofErr w:type="spellEnd"/>
            <w:r w:rsidR="00D95A9E" w:rsidRPr="00CB6395">
              <w:rPr>
                <w:rFonts w:eastAsia="Arial Narrow"/>
              </w:rPr>
              <w:t xml:space="preserve"> once-weekly is assumed to </w:t>
            </w:r>
            <w:r w:rsidR="00D95A9E" w:rsidRPr="00CB6395">
              <w:rPr>
                <w:rFonts w:eastAsia="Arial Narrow" w:cs="Arial Narrow"/>
                <w:szCs w:val="20"/>
              </w:rPr>
              <w:t>be non-inferior to somatropin once-daily with respect to changes in body fat and quality of life at 87 weeks when used to treat AGHD.</w:t>
            </w:r>
          </w:p>
        </w:tc>
      </w:tr>
      <w:tr w:rsidR="00D95A9E" w:rsidRPr="00CB6395" w14:paraId="02B5F846"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02A38B07" w14:textId="77777777" w:rsidR="00D95A9E" w:rsidRPr="00CB6395" w:rsidRDefault="00D95A9E" w:rsidP="001E30BE">
            <w:pPr>
              <w:pStyle w:val="Tabletext"/>
            </w:pPr>
            <w:r w:rsidRPr="00CB6395">
              <w:rPr>
                <w:rFonts w:eastAsia="Arial Narrow"/>
              </w:rPr>
              <w:t>Therapeutic claim: safety</w:t>
            </w:r>
          </w:p>
        </w:tc>
        <w:tc>
          <w:tcPr>
            <w:tcW w:w="6408" w:type="dxa"/>
            <w:tcBorders>
              <w:top w:val="single" w:sz="8" w:space="0" w:color="auto"/>
              <w:left w:val="single" w:sz="8" w:space="0" w:color="auto"/>
              <w:bottom w:val="single" w:sz="8" w:space="0" w:color="auto"/>
              <w:right w:val="single" w:sz="8" w:space="0" w:color="auto"/>
            </w:tcBorders>
            <w:vAlign w:val="center"/>
          </w:tcPr>
          <w:p w14:paraId="07D49DCA" w14:textId="1D960BB6" w:rsidR="00D95A9E" w:rsidRPr="00CB6395" w:rsidRDefault="00292096" w:rsidP="000F4077">
            <w:pPr>
              <w:pStyle w:val="Tabletext"/>
            </w:pPr>
            <w:proofErr w:type="spellStart"/>
            <w:r>
              <w:rPr>
                <w:rFonts w:eastAsia="Arial Narrow"/>
              </w:rPr>
              <w:t>S</w:t>
            </w:r>
            <w:r w:rsidR="00D95A9E" w:rsidRPr="00CB6395">
              <w:rPr>
                <w:rFonts w:eastAsia="Arial Narrow"/>
              </w:rPr>
              <w:t>omapacitan</w:t>
            </w:r>
            <w:proofErr w:type="spellEnd"/>
            <w:r w:rsidR="00D95A9E" w:rsidRPr="00CB6395">
              <w:rPr>
                <w:rFonts w:eastAsia="Arial Narrow"/>
              </w:rPr>
              <w:t xml:space="preserve"> once-weekly is assumed to be non-inferior to somatropin once-daily wit</w:t>
            </w:r>
            <w:r w:rsidR="00D95A9E" w:rsidRPr="00CB6395">
              <w:rPr>
                <w:rFonts w:eastAsia="Arial Narrow" w:cs="Arial Narrow"/>
                <w:szCs w:val="20"/>
              </w:rPr>
              <w:t>h respect to all AEs at 87 weeks when used to treat AGHD.</w:t>
            </w:r>
          </w:p>
        </w:tc>
      </w:tr>
      <w:tr w:rsidR="00D95A9E" w:rsidRPr="00CB6395" w14:paraId="475B21F2"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1A023726" w14:textId="77777777" w:rsidR="00D95A9E" w:rsidRPr="00CB6395" w:rsidRDefault="00D95A9E" w:rsidP="001E30BE">
            <w:pPr>
              <w:pStyle w:val="Tabletext"/>
            </w:pPr>
            <w:r w:rsidRPr="00CB6395">
              <w:rPr>
                <w:rFonts w:eastAsia="Arial Narrow"/>
              </w:rPr>
              <w:t>Evidence base</w:t>
            </w:r>
          </w:p>
        </w:tc>
        <w:tc>
          <w:tcPr>
            <w:tcW w:w="6408" w:type="dxa"/>
            <w:tcBorders>
              <w:top w:val="single" w:sz="8" w:space="0" w:color="auto"/>
              <w:left w:val="single" w:sz="8" w:space="0" w:color="auto"/>
              <w:bottom w:val="single" w:sz="8" w:space="0" w:color="auto"/>
              <w:right w:val="single" w:sz="8" w:space="0" w:color="auto"/>
            </w:tcBorders>
            <w:vAlign w:val="center"/>
          </w:tcPr>
          <w:p w14:paraId="620A7C9B" w14:textId="67488262" w:rsidR="00D95A9E" w:rsidRPr="00CB6395" w:rsidRDefault="00D95A9E" w:rsidP="001E30BE">
            <w:pPr>
              <w:pStyle w:val="Tabletext"/>
            </w:pPr>
            <w:r w:rsidRPr="00CB6395">
              <w:rPr>
                <w:rFonts w:eastAsia="Arial Narrow"/>
              </w:rPr>
              <w:t xml:space="preserve">Direct comparison of </w:t>
            </w:r>
            <w:proofErr w:type="spellStart"/>
            <w:r w:rsidRPr="00CB6395">
              <w:rPr>
                <w:rFonts w:eastAsia="Arial Narrow"/>
              </w:rPr>
              <w:t>somapacitan</w:t>
            </w:r>
            <w:proofErr w:type="spellEnd"/>
            <w:r w:rsidRPr="00CB6395">
              <w:rPr>
                <w:rFonts w:eastAsia="Arial Narrow"/>
              </w:rPr>
              <w:t xml:space="preserve"> and somatropin based on the Phase 3 randomised trial (</w:t>
            </w:r>
            <w:r w:rsidR="0067183F">
              <w:rPr>
                <w:rFonts w:eastAsia="Arial Narrow"/>
              </w:rPr>
              <w:t xml:space="preserve">extension phase of the </w:t>
            </w:r>
            <w:r w:rsidRPr="00CB6395">
              <w:rPr>
                <w:rFonts w:eastAsia="Arial Narrow"/>
              </w:rPr>
              <w:t>REAL-1 study)</w:t>
            </w:r>
          </w:p>
        </w:tc>
      </w:tr>
      <w:tr w:rsidR="00D95A9E" w:rsidRPr="00CB6395" w14:paraId="527D0894"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0E322060" w14:textId="77777777" w:rsidR="00D95A9E" w:rsidRPr="00CB6395" w:rsidRDefault="00D95A9E" w:rsidP="001E30BE">
            <w:pPr>
              <w:pStyle w:val="Tabletext"/>
            </w:pPr>
            <w:proofErr w:type="spellStart"/>
            <w:r w:rsidRPr="00CB6395">
              <w:rPr>
                <w:rFonts w:eastAsia="Arial Narrow"/>
              </w:rPr>
              <w:t>Equi</w:t>
            </w:r>
            <w:proofErr w:type="spellEnd"/>
            <w:r w:rsidRPr="00CB6395">
              <w:rPr>
                <w:rFonts w:eastAsia="Arial Narrow"/>
              </w:rPr>
              <w:t>-effective doses</w:t>
            </w:r>
          </w:p>
        </w:tc>
        <w:tc>
          <w:tcPr>
            <w:tcW w:w="6408" w:type="dxa"/>
            <w:tcBorders>
              <w:top w:val="single" w:sz="8" w:space="0" w:color="auto"/>
              <w:left w:val="single" w:sz="8" w:space="0" w:color="auto"/>
              <w:bottom w:val="single" w:sz="8" w:space="0" w:color="auto"/>
              <w:right w:val="single" w:sz="8" w:space="0" w:color="auto"/>
            </w:tcBorders>
            <w:vAlign w:val="center"/>
          </w:tcPr>
          <w:p w14:paraId="3410C616" w14:textId="7CE05EEB" w:rsidR="00D95A9E" w:rsidRPr="00CB6395" w:rsidRDefault="00D95A9E" w:rsidP="001E30BE">
            <w:pPr>
              <w:pStyle w:val="Tabletext"/>
            </w:pPr>
            <w:r w:rsidRPr="00CB6395">
              <w:rPr>
                <w:rFonts w:eastAsia="Arial Narrow"/>
              </w:rPr>
              <w:t>2.</w:t>
            </w:r>
            <w:r w:rsidR="00CE6108" w:rsidRPr="00CB6395">
              <w:rPr>
                <w:rFonts w:eastAsia="Arial Narrow"/>
              </w:rPr>
              <w:t>33</w:t>
            </w:r>
            <w:r w:rsidR="00CE6108">
              <w:rPr>
                <w:rFonts w:eastAsia="Arial Narrow"/>
              </w:rPr>
              <w:t> </w:t>
            </w:r>
            <w:r w:rsidRPr="00CB6395">
              <w:rPr>
                <w:rFonts w:eastAsia="Arial Narrow"/>
              </w:rPr>
              <w:t xml:space="preserve">mg per week of </w:t>
            </w:r>
            <w:proofErr w:type="spellStart"/>
            <w:r w:rsidRPr="00CB6395">
              <w:rPr>
                <w:rFonts w:eastAsia="Arial Narrow"/>
              </w:rPr>
              <w:t>somapacitan</w:t>
            </w:r>
            <w:proofErr w:type="spellEnd"/>
            <w:r w:rsidRPr="00CB6395">
              <w:rPr>
                <w:rFonts w:eastAsia="Arial Narrow"/>
              </w:rPr>
              <w:t xml:space="preserve"> = </w:t>
            </w:r>
            <w:r w:rsidR="00875A45">
              <w:rPr>
                <w:rFonts w:eastAsia="Arial Narrow"/>
              </w:rPr>
              <w:t>1.</w:t>
            </w:r>
            <w:r w:rsidR="00CE6108">
              <w:rPr>
                <w:rFonts w:eastAsia="Arial Narrow"/>
              </w:rPr>
              <w:t>89 </w:t>
            </w:r>
            <w:r w:rsidR="00875A45">
              <w:rPr>
                <w:rFonts w:eastAsia="Arial Narrow"/>
              </w:rPr>
              <w:t>mg per week of somatropin (</w:t>
            </w:r>
            <w:r w:rsidRPr="00CB6395">
              <w:rPr>
                <w:rFonts w:eastAsia="Arial Narrow"/>
              </w:rPr>
              <w:t>0.</w:t>
            </w:r>
            <w:r w:rsidR="00CE6108" w:rsidRPr="00CB6395">
              <w:rPr>
                <w:rFonts w:eastAsia="Arial Narrow"/>
              </w:rPr>
              <w:t>27</w:t>
            </w:r>
            <w:r w:rsidR="00CE6108">
              <w:rPr>
                <w:rFonts w:eastAsia="Arial Narrow"/>
              </w:rPr>
              <w:t> </w:t>
            </w:r>
            <w:r w:rsidRPr="00CB6395">
              <w:rPr>
                <w:rFonts w:eastAsia="Arial Narrow"/>
              </w:rPr>
              <w:t>mg per day</w:t>
            </w:r>
            <w:r w:rsidR="00875A45">
              <w:rPr>
                <w:rFonts w:eastAsia="Arial Narrow"/>
              </w:rPr>
              <w:t>)</w:t>
            </w:r>
          </w:p>
          <w:p w14:paraId="2F28A73A" w14:textId="77777777" w:rsidR="00372422" w:rsidRDefault="00372422" w:rsidP="001E30BE">
            <w:pPr>
              <w:pStyle w:val="Tabletext"/>
              <w:rPr>
                <w:rFonts w:eastAsia="Arial Narrow"/>
              </w:rPr>
            </w:pPr>
          </w:p>
          <w:p w14:paraId="0C584BD9" w14:textId="2210F3F2" w:rsidR="00875A45" w:rsidRDefault="007C58F9" w:rsidP="001E30BE">
            <w:pPr>
              <w:pStyle w:val="Tabletext"/>
              <w:rPr>
                <w:rFonts w:eastAsia="Arial Narrow"/>
              </w:rPr>
            </w:pPr>
            <w:r>
              <w:rPr>
                <w:rFonts w:eastAsia="Arial Narrow"/>
              </w:rPr>
              <w:t>Therefore, w</w:t>
            </w:r>
            <w:r w:rsidR="00875A45">
              <w:rPr>
                <w:rFonts w:eastAsia="Arial Narrow"/>
              </w:rPr>
              <w:t xml:space="preserve">eekly dose relativity: </w:t>
            </w:r>
          </w:p>
          <w:p w14:paraId="028C1136" w14:textId="6F582361" w:rsidR="00D95A9E" w:rsidRPr="00CB6395" w:rsidRDefault="00D95A9E" w:rsidP="001E30BE">
            <w:pPr>
              <w:pStyle w:val="Tabletext"/>
            </w:pPr>
            <w:r w:rsidRPr="00CB6395">
              <w:rPr>
                <w:rFonts w:eastAsia="Arial Narrow"/>
              </w:rPr>
              <w:t>1</w:t>
            </w:r>
            <w:r w:rsidR="00875A45">
              <w:rPr>
                <w:rFonts w:eastAsia="Arial Narrow"/>
              </w:rPr>
              <w:t>.</w:t>
            </w:r>
            <w:r w:rsidR="00CE6108">
              <w:rPr>
                <w:rFonts w:eastAsia="Arial Narrow"/>
              </w:rPr>
              <w:t>23 </w:t>
            </w:r>
            <w:r w:rsidRPr="00CB6395">
              <w:rPr>
                <w:rFonts w:eastAsia="Arial Narrow"/>
              </w:rPr>
              <w:t xml:space="preserve">mg per week of </w:t>
            </w:r>
            <w:proofErr w:type="spellStart"/>
            <w:r w:rsidRPr="00CB6395">
              <w:rPr>
                <w:rFonts w:eastAsia="Arial Narrow"/>
              </w:rPr>
              <w:t>somapacitan</w:t>
            </w:r>
            <w:proofErr w:type="spellEnd"/>
            <w:r w:rsidRPr="00CB6395">
              <w:rPr>
                <w:rFonts w:eastAsia="Arial Narrow"/>
              </w:rPr>
              <w:t xml:space="preserve"> = </w:t>
            </w:r>
            <w:r w:rsidR="00CE6108" w:rsidRPr="00CB6395">
              <w:rPr>
                <w:rFonts w:eastAsia="Arial Narrow"/>
              </w:rPr>
              <w:t>1</w:t>
            </w:r>
            <w:r w:rsidR="00CE6108">
              <w:rPr>
                <w:rFonts w:eastAsia="Arial Narrow"/>
              </w:rPr>
              <w:t> </w:t>
            </w:r>
            <w:r w:rsidRPr="00CB6395">
              <w:rPr>
                <w:rFonts w:eastAsia="Arial Narrow"/>
              </w:rPr>
              <w:t xml:space="preserve">mg per </w:t>
            </w:r>
            <w:r w:rsidR="007C58F9">
              <w:rPr>
                <w:rFonts w:eastAsia="Arial Narrow"/>
              </w:rPr>
              <w:t>week of somatropin</w:t>
            </w:r>
          </w:p>
        </w:tc>
      </w:tr>
      <w:tr w:rsidR="00D95A9E" w:rsidRPr="00CB6395" w14:paraId="66DDA69A"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21BEE5F2" w14:textId="77777777" w:rsidR="00D95A9E" w:rsidRPr="00CB6395" w:rsidRDefault="00D95A9E" w:rsidP="001E30BE">
            <w:pPr>
              <w:pStyle w:val="Tabletext"/>
            </w:pPr>
            <w:r w:rsidRPr="00CB6395">
              <w:rPr>
                <w:rFonts w:eastAsia="Arial Narrow"/>
              </w:rPr>
              <w:t>Direct medicine costs</w:t>
            </w:r>
          </w:p>
        </w:tc>
        <w:tc>
          <w:tcPr>
            <w:tcW w:w="6408" w:type="dxa"/>
            <w:tcBorders>
              <w:top w:val="single" w:sz="8" w:space="0" w:color="auto"/>
              <w:left w:val="single" w:sz="8" w:space="0" w:color="auto"/>
              <w:bottom w:val="single" w:sz="8" w:space="0" w:color="auto"/>
              <w:right w:val="single" w:sz="8" w:space="0" w:color="auto"/>
            </w:tcBorders>
            <w:vAlign w:val="center"/>
          </w:tcPr>
          <w:p w14:paraId="338826AB" w14:textId="516D8DFC" w:rsidR="00D95A9E" w:rsidRPr="00CB6395" w:rsidRDefault="00D95A9E" w:rsidP="001E30BE">
            <w:pPr>
              <w:pStyle w:val="Tabletext"/>
            </w:pPr>
            <w:r w:rsidRPr="00CB6395">
              <w:rPr>
                <w:rFonts w:eastAsia="Arial Narrow"/>
              </w:rPr>
              <w:t xml:space="preserve">Based on the proposed effective AEMP for </w:t>
            </w:r>
            <w:proofErr w:type="spellStart"/>
            <w:r w:rsidRPr="00CB6395">
              <w:rPr>
                <w:rFonts w:eastAsia="Arial Narrow"/>
              </w:rPr>
              <w:t>somapacitan</w:t>
            </w:r>
            <w:proofErr w:type="spellEnd"/>
            <w:r w:rsidRPr="00CB6395">
              <w:rPr>
                <w:rFonts w:eastAsia="Arial Narrow"/>
              </w:rPr>
              <w:t xml:space="preserve"> ($</w:t>
            </w:r>
            <w:r w:rsidR="00440ADF" w:rsidRPr="00440ADF">
              <w:rPr>
                <w:rFonts w:eastAsia="Arial Narrow"/>
                <w:color w:val="000000"/>
                <w:spacing w:val="9"/>
                <w:shd w:val="solid" w:color="000000" w:fill="000000"/>
                <w:fitText w:val="310" w:id="-1500863998"/>
                <w14:textFill>
                  <w14:solidFill>
                    <w14:srgbClr w14:val="000000">
                      <w14:alpha w14:val="100000"/>
                    </w14:srgbClr>
                  </w14:solidFill>
                </w14:textFill>
              </w:rPr>
              <w:t>|</w:t>
            </w:r>
            <w:proofErr w:type="gramStart"/>
            <w:r w:rsidR="00440ADF" w:rsidRPr="00440ADF">
              <w:rPr>
                <w:rFonts w:eastAsia="Arial Narrow"/>
                <w:color w:val="000000"/>
                <w:spacing w:val="9"/>
                <w:shd w:val="solid" w:color="000000" w:fill="000000"/>
                <w:fitText w:val="310" w:id="-1500863998"/>
                <w14:textFill>
                  <w14:solidFill>
                    <w14:srgbClr w14:val="000000">
                      <w14:alpha w14:val="100000"/>
                    </w14:srgbClr>
                  </w14:solidFill>
                </w14:textFill>
              </w:rPr>
              <w:t>|  |</w:t>
            </w:r>
            <w:proofErr w:type="gramEnd"/>
            <w:r w:rsidR="00440ADF" w:rsidRPr="00440ADF">
              <w:rPr>
                <w:rFonts w:eastAsia="Arial Narrow"/>
                <w:color w:val="000000"/>
                <w:spacing w:val="4"/>
                <w:shd w:val="solid" w:color="000000" w:fill="000000"/>
                <w:fitText w:val="310" w:id="-1500863998"/>
                <w14:textFill>
                  <w14:solidFill>
                    <w14:srgbClr w14:val="000000">
                      <w14:alpha w14:val="100000"/>
                    </w14:srgbClr>
                  </w14:solidFill>
                </w14:textFill>
              </w:rPr>
              <w:t>|</w:t>
            </w:r>
            <w:r w:rsidRPr="00CB6395">
              <w:rPr>
                <w:rFonts w:eastAsia="Arial Narrow" w:cs="Arial Narrow"/>
                <w:szCs w:val="20"/>
              </w:rPr>
              <w:t xml:space="preserve"> per mg), the weekly drug cost of </w:t>
            </w:r>
            <w:proofErr w:type="spellStart"/>
            <w:r w:rsidRPr="00CB6395">
              <w:rPr>
                <w:rFonts w:eastAsia="Arial Narrow" w:cs="Arial Narrow"/>
                <w:szCs w:val="20"/>
              </w:rPr>
              <w:t>somapacitan</w:t>
            </w:r>
            <w:proofErr w:type="spellEnd"/>
            <w:r w:rsidRPr="00CB6395">
              <w:rPr>
                <w:rFonts w:eastAsia="Arial Narrow" w:cs="Arial Narrow"/>
                <w:szCs w:val="20"/>
              </w:rPr>
              <w:t xml:space="preserve"> ($</w:t>
            </w:r>
            <w:r w:rsidR="00440ADF" w:rsidRPr="00440ADF">
              <w:rPr>
                <w:rFonts w:eastAsia="Arial Narrow" w:cs="Arial Narrow"/>
                <w:color w:val="000000"/>
                <w:spacing w:val="9"/>
                <w:szCs w:val="20"/>
                <w:shd w:val="solid" w:color="000000" w:fill="000000"/>
                <w:fitText w:val="310" w:id="-1500863997"/>
                <w14:textFill>
                  <w14:solidFill>
                    <w14:srgbClr w14:val="000000">
                      <w14:alpha w14:val="100000"/>
                    </w14:srgbClr>
                  </w14:solidFill>
                </w14:textFill>
              </w:rPr>
              <w:t>||  |</w:t>
            </w:r>
            <w:r w:rsidR="00440ADF" w:rsidRPr="00440ADF">
              <w:rPr>
                <w:rFonts w:eastAsia="Arial Narrow" w:cs="Arial Narrow"/>
                <w:color w:val="000000"/>
                <w:spacing w:val="4"/>
                <w:szCs w:val="20"/>
                <w:shd w:val="solid" w:color="000000" w:fill="000000"/>
                <w:fitText w:val="310" w:id="-1500863997"/>
                <w14:textFill>
                  <w14:solidFill>
                    <w14:srgbClr w14:val="000000">
                      <w14:alpha w14:val="100000"/>
                    </w14:srgbClr>
                  </w14:solidFill>
                </w14:textFill>
              </w:rPr>
              <w:t>|</w:t>
            </w:r>
            <w:r w:rsidRPr="00CB6395">
              <w:rPr>
                <w:rFonts w:eastAsia="Arial Narrow" w:cs="Arial Narrow"/>
                <w:szCs w:val="20"/>
              </w:rPr>
              <w:t>) is equivalent to the weekly drug cost of somatropin ($</w:t>
            </w:r>
            <w:r w:rsidR="00440ADF" w:rsidRPr="00440ADF">
              <w:rPr>
                <w:rFonts w:eastAsia="Arial Narrow" w:cs="Arial Narrow"/>
                <w:color w:val="000000"/>
                <w:spacing w:val="7"/>
                <w:szCs w:val="20"/>
                <w:shd w:val="solid" w:color="000000" w:fill="000000"/>
                <w:fitText w:val="300" w:id="-1500863996"/>
                <w14:textFill>
                  <w14:solidFill>
                    <w14:srgbClr w14:val="000000">
                      <w14:alpha w14:val="100000"/>
                    </w14:srgbClr>
                  </w14:solidFill>
                </w14:textFill>
              </w:rPr>
              <w:t>||  |</w:t>
            </w:r>
            <w:r w:rsidR="00440ADF" w:rsidRPr="00440ADF">
              <w:rPr>
                <w:rFonts w:eastAsia="Arial Narrow" w:cs="Arial Narrow"/>
                <w:color w:val="000000"/>
                <w:spacing w:val="4"/>
                <w:szCs w:val="20"/>
                <w:shd w:val="solid" w:color="000000" w:fill="000000"/>
                <w:fitText w:val="300" w:id="-1500863996"/>
                <w14:textFill>
                  <w14:solidFill>
                    <w14:srgbClr w14:val="000000">
                      <w14:alpha w14:val="100000"/>
                    </w14:srgbClr>
                  </w14:solidFill>
                </w14:textFill>
              </w:rPr>
              <w:t>|</w:t>
            </w:r>
            <w:r w:rsidRPr="00CB6395">
              <w:rPr>
                <w:rFonts w:eastAsia="Arial Narrow" w:cs="Arial Narrow"/>
                <w:szCs w:val="20"/>
              </w:rPr>
              <w:t>).</w:t>
            </w:r>
          </w:p>
          <w:p w14:paraId="729199CA" w14:textId="77777777" w:rsidR="000449CE" w:rsidRDefault="000449CE" w:rsidP="001E30BE">
            <w:pPr>
              <w:pStyle w:val="Tabletext"/>
              <w:rPr>
                <w:rFonts w:eastAsia="Arial Narrow"/>
              </w:rPr>
            </w:pPr>
          </w:p>
          <w:p w14:paraId="7FD693E7" w14:textId="0AD18809" w:rsidR="00D95A9E" w:rsidRPr="00CB6395" w:rsidRDefault="00D95A9E" w:rsidP="001E30BE">
            <w:pPr>
              <w:pStyle w:val="Tabletext"/>
            </w:pPr>
            <w:r w:rsidRPr="00CB6395">
              <w:rPr>
                <w:rFonts w:eastAsia="Arial Narrow"/>
              </w:rPr>
              <w:t xml:space="preserve">The submission also presented an additional cost-minimisation analysis if the </w:t>
            </w:r>
            <w:proofErr w:type="spellStart"/>
            <w:r w:rsidRPr="00CB6395">
              <w:rPr>
                <w:rFonts w:eastAsia="Arial Narrow"/>
              </w:rPr>
              <w:t>equi</w:t>
            </w:r>
            <w:proofErr w:type="spellEnd"/>
            <w:r w:rsidRPr="00CB6395">
              <w:rPr>
                <w:rFonts w:eastAsia="Arial Narrow"/>
              </w:rPr>
              <w:t xml:space="preserve">-effective doses were derived from the main phase of </w:t>
            </w:r>
            <w:r w:rsidRPr="00CB6395">
              <w:rPr>
                <w:rFonts w:eastAsia="Arial Narrow" w:cs="Arial Narrow"/>
                <w:szCs w:val="20"/>
              </w:rPr>
              <w:t>the REAL-1 study (2.</w:t>
            </w:r>
            <w:r w:rsidR="00CE6108" w:rsidRPr="00CB6395">
              <w:rPr>
                <w:rFonts w:eastAsia="Arial Narrow" w:cs="Arial Narrow"/>
                <w:szCs w:val="20"/>
              </w:rPr>
              <w:t>52</w:t>
            </w:r>
            <w:r w:rsidR="00CE6108">
              <w:rPr>
                <w:rFonts w:eastAsia="Arial Narrow" w:cs="Arial Narrow"/>
                <w:szCs w:val="20"/>
              </w:rPr>
              <w:t> </w:t>
            </w:r>
            <w:r w:rsidRPr="00CB6395">
              <w:rPr>
                <w:rFonts w:eastAsia="Arial Narrow" w:cs="Arial Narrow"/>
                <w:szCs w:val="20"/>
              </w:rPr>
              <w:t xml:space="preserve">mg per week of </w:t>
            </w:r>
            <w:proofErr w:type="spellStart"/>
            <w:r w:rsidRPr="00CB6395">
              <w:rPr>
                <w:rFonts w:eastAsia="Arial Narrow" w:cs="Arial Narrow"/>
                <w:szCs w:val="20"/>
              </w:rPr>
              <w:t>somapacitan</w:t>
            </w:r>
            <w:proofErr w:type="spellEnd"/>
            <w:r w:rsidRPr="00CB6395">
              <w:rPr>
                <w:rFonts w:eastAsia="Arial Narrow" w:cs="Arial Narrow"/>
                <w:szCs w:val="20"/>
              </w:rPr>
              <w:t xml:space="preserve"> = 0.</w:t>
            </w:r>
            <w:r w:rsidR="00CE6108" w:rsidRPr="00CB6395">
              <w:rPr>
                <w:rFonts w:eastAsia="Arial Narrow" w:cs="Arial Narrow"/>
                <w:szCs w:val="20"/>
              </w:rPr>
              <w:t>33</w:t>
            </w:r>
            <w:r w:rsidR="00CE6108">
              <w:rPr>
                <w:rFonts w:eastAsia="Arial Narrow" w:cs="Arial Narrow"/>
                <w:szCs w:val="20"/>
              </w:rPr>
              <w:t> </w:t>
            </w:r>
            <w:r w:rsidRPr="00CB6395">
              <w:rPr>
                <w:rFonts w:eastAsia="Arial Narrow" w:cs="Arial Narrow"/>
                <w:szCs w:val="20"/>
              </w:rPr>
              <w:t xml:space="preserve">mg per day of somatropin), which suggested the weekly drug cost of </w:t>
            </w:r>
            <w:proofErr w:type="spellStart"/>
            <w:r w:rsidRPr="00CB6395">
              <w:rPr>
                <w:rFonts w:eastAsia="Arial Narrow" w:cs="Arial Narrow"/>
                <w:szCs w:val="20"/>
              </w:rPr>
              <w:t>somapacitan</w:t>
            </w:r>
            <w:proofErr w:type="spellEnd"/>
            <w:r w:rsidRPr="00CB6395">
              <w:rPr>
                <w:rFonts w:eastAsia="Arial Narrow" w:cs="Arial Narrow"/>
                <w:szCs w:val="20"/>
              </w:rPr>
              <w:t xml:space="preserve"> ($</w:t>
            </w:r>
            <w:r w:rsidR="00440ADF" w:rsidRPr="00440ADF">
              <w:rPr>
                <w:rFonts w:eastAsia="Arial Narrow" w:cs="Arial Narrow"/>
                <w:color w:val="000000"/>
                <w:spacing w:val="9"/>
                <w:szCs w:val="20"/>
                <w:shd w:val="solid" w:color="000000" w:fill="000000"/>
                <w:fitText w:val="310" w:id="-1500863995"/>
                <w14:textFill>
                  <w14:solidFill>
                    <w14:srgbClr w14:val="000000">
                      <w14:alpha w14:val="100000"/>
                    </w14:srgbClr>
                  </w14:solidFill>
                </w14:textFill>
              </w:rPr>
              <w:t>|</w:t>
            </w:r>
            <w:proofErr w:type="gramStart"/>
            <w:r w:rsidR="00440ADF" w:rsidRPr="00440ADF">
              <w:rPr>
                <w:rFonts w:eastAsia="Arial Narrow" w:cs="Arial Narrow"/>
                <w:color w:val="000000"/>
                <w:spacing w:val="9"/>
                <w:szCs w:val="20"/>
                <w:shd w:val="solid" w:color="000000" w:fill="000000"/>
                <w:fitText w:val="310" w:id="-1500863995"/>
                <w14:textFill>
                  <w14:solidFill>
                    <w14:srgbClr w14:val="000000">
                      <w14:alpha w14:val="100000"/>
                    </w14:srgbClr>
                  </w14:solidFill>
                </w14:textFill>
              </w:rPr>
              <w:t>|  |</w:t>
            </w:r>
            <w:proofErr w:type="gramEnd"/>
            <w:r w:rsidR="00440ADF" w:rsidRPr="00440ADF">
              <w:rPr>
                <w:rFonts w:eastAsia="Arial Narrow" w:cs="Arial Narrow"/>
                <w:color w:val="000000"/>
                <w:spacing w:val="4"/>
                <w:szCs w:val="20"/>
                <w:shd w:val="solid" w:color="000000" w:fill="000000"/>
                <w:fitText w:val="310" w:id="-1500863995"/>
                <w14:textFill>
                  <w14:solidFill>
                    <w14:srgbClr w14:val="000000">
                      <w14:alpha w14:val="100000"/>
                    </w14:srgbClr>
                  </w14:solidFill>
                </w14:textFill>
              </w:rPr>
              <w:t>|</w:t>
            </w:r>
            <w:r w:rsidRPr="00CB6395">
              <w:rPr>
                <w:rFonts w:eastAsia="Arial Narrow" w:cs="Arial Narrow"/>
                <w:szCs w:val="20"/>
              </w:rPr>
              <w:t>) could be lower than somatropin ($</w:t>
            </w:r>
            <w:r w:rsidR="00440ADF" w:rsidRPr="00440ADF">
              <w:rPr>
                <w:rFonts w:eastAsia="Arial Narrow" w:cs="Arial Narrow"/>
                <w:color w:val="000000"/>
                <w:spacing w:val="9"/>
                <w:szCs w:val="20"/>
                <w:shd w:val="solid" w:color="000000" w:fill="000000"/>
                <w:fitText w:val="310" w:id="-1500863994"/>
                <w14:textFill>
                  <w14:solidFill>
                    <w14:srgbClr w14:val="000000">
                      <w14:alpha w14:val="100000"/>
                    </w14:srgbClr>
                  </w14:solidFill>
                </w14:textFill>
              </w:rPr>
              <w:t>||  |</w:t>
            </w:r>
            <w:r w:rsidR="00440ADF" w:rsidRPr="00440ADF">
              <w:rPr>
                <w:rFonts w:eastAsia="Arial Narrow" w:cs="Arial Narrow"/>
                <w:color w:val="000000"/>
                <w:spacing w:val="4"/>
                <w:szCs w:val="20"/>
                <w:shd w:val="solid" w:color="000000" w:fill="000000"/>
                <w:fitText w:val="310" w:id="-1500863994"/>
                <w14:textFill>
                  <w14:solidFill>
                    <w14:srgbClr w14:val="000000">
                      <w14:alpha w14:val="100000"/>
                    </w14:srgbClr>
                  </w14:solidFill>
                </w14:textFill>
              </w:rPr>
              <w:t>|</w:t>
            </w:r>
            <w:r w:rsidRPr="00CB6395">
              <w:rPr>
                <w:rFonts w:eastAsia="Arial Narrow" w:cs="Arial Narrow"/>
                <w:szCs w:val="20"/>
              </w:rPr>
              <w:t>).</w:t>
            </w:r>
          </w:p>
          <w:p w14:paraId="56C5DD48" w14:textId="77777777" w:rsidR="000449CE" w:rsidRDefault="000449CE" w:rsidP="001E30BE">
            <w:pPr>
              <w:pStyle w:val="Tabletext"/>
              <w:rPr>
                <w:rFonts w:eastAsia="Arial Narrow"/>
              </w:rPr>
            </w:pPr>
          </w:p>
          <w:p w14:paraId="00CA2AEE" w14:textId="77777777" w:rsidR="00D95A9E" w:rsidRPr="00CB6395" w:rsidRDefault="00D95A9E" w:rsidP="001E30BE">
            <w:pPr>
              <w:pStyle w:val="Tabletext"/>
            </w:pPr>
            <w:r w:rsidRPr="003214C3">
              <w:rPr>
                <w:rFonts w:eastAsia="Arial Narrow"/>
              </w:rPr>
              <w:t xml:space="preserve">The additional analysis using the </w:t>
            </w:r>
            <w:proofErr w:type="spellStart"/>
            <w:r w:rsidRPr="003214C3">
              <w:rPr>
                <w:rFonts w:eastAsia="Arial Narrow"/>
              </w:rPr>
              <w:t>equi</w:t>
            </w:r>
            <w:proofErr w:type="spellEnd"/>
            <w:r w:rsidRPr="003214C3">
              <w:rPr>
                <w:rFonts w:eastAsia="Arial Narrow"/>
              </w:rPr>
              <w:t>-effective doses derived from the main phase of the REAL-1 study was not justified.</w:t>
            </w:r>
          </w:p>
        </w:tc>
      </w:tr>
      <w:tr w:rsidR="00D95A9E" w:rsidRPr="00CB6395" w14:paraId="3784898C" w14:textId="77777777" w:rsidTr="008C7497">
        <w:tc>
          <w:tcPr>
            <w:tcW w:w="2607" w:type="dxa"/>
            <w:tcBorders>
              <w:top w:val="single" w:sz="8" w:space="0" w:color="auto"/>
              <w:left w:val="single" w:sz="8" w:space="0" w:color="auto"/>
              <w:bottom w:val="single" w:sz="8" w:space="0" w:color="auto"/>
              <w:right w:val="single" w:sz="8" w:space="0" w:color="auto"/>
            </w:tcBorders>
            <w:vAlign w:val="center"/>
          </w:tcPr>
          <w:p w14:paraId="604D6059" w14:textId="77777777" w:rsidR="00D95A9E" w:rsidRPr="00CB6395" w:rsidRDefault="00D95A9E" w:rsidP="008C7497">
            <w:r w:rsidRPr="00CB6395">
              <w:rPr>
                <w:rFonts w:ascii="Arial Narrow" w:eastAsia="Arial Narrow" w:hAnsi="Arial Narrow" w:cs="Arial Narrow"/>
                <w:sz w:val="20"/>
                <w:szCs w:val="20"/>
              </w:rPr>
              <w:t>Other costs or cost offsets</w:t>
            </w:r>
          </w:p>
        </w:tc>
        <w:tc>
          <w:tcPr>
            <w:tcW w:w="6408" w:type="dxa"/>
            <w:tcBorders>
              <w:top w:val="single" w:sz="8" w:space="0" w:color="auto"/>
              <w:left w:val="single" w:sz="8" w:space="0" w:color="auto"/>
              <w:bottom w:val="single" w:sz="8" w:space="0" w:color="auto"/>
              <w:right w:val="single" w:sz="8" w:space="0" w:color="auto"/>
            </w:tcBorders>
            <w:vAlign w:val="center"/>
          </w:tcPr>
          <w:p w14:paraId="13762C0C" w14:textId="77777777" w:rsidR="00D95A9E" w:rsidRPr="00CB6395" w:rsidRDefault="00D95A9E" w:rsidP="008C7497">
            <w:pPr>
              <w:spacing w:line="240" w:lineRule="exact"/>
            </w:pPr>
            <w:r w:rsidRPr="00CB6395">
              <w:rPr>
                <w:rFonts w:ascii="Arial Narrow" w:eastAsia="Arial Narrow" w:hAnsi="Arial Narrow" w:cs="Arial Narrow"/>
                <w:sz w:val="20"/>
                <w:szCs w:val="20"/>
              </w:rPr>
              <w:t>None</w:t>
            </w:r>
          </w:p>
        </w:tc>
      </w:tr>
    </w:tbl>
    <w:p w14:paraId="729D9ABF" w14:textId="77777777" w:rsidR="00D95A9E" w:rsidRPr="00CB6395" w:rsidRDefault="00D95A9E" w:rsidP="00D95A9E">
      <w:pPr>
        <w:pStyle w:val="TableFigureFooter"/>
        <w:rPr>
          <w:rStyle w:val="CommentReference"/>
          <w:rFonts w:eastAsia="MS Gothic"/>
        </w:rPr>
      </w:pPr>
      <w:r w:rsidRPr="00CB6395">
        <w:rPr>
          <w:szCs w:val="18"/>
        </w:rPr>
        <w:t>Source: Table 3.1.1, p 109 of the submission.</w:t>
      </w:r>
    </w:p>
    <w:p w14:paraId="61722BE2" w14:textId="5BFCA371" w:rsidR="00D95A9E" w:rsidRPr="00CB6395" w:rsidRDefault="00D95A9E" w:rsidP="00D95A9E">
      <w:pPr>
        <w:pStyle w:val="TableFigureFooter"/>
        <w:rPr>
          <w:szCs w:val="18"/>
        </w:rPr>
      </w:pPr>
      <w:r w:rsidRPr="00CB6395">
        <w:rPr>
          <w:szCs w:val="18"/>
        </w:rPr>
        <w:t>AE = adverse event; AEMP = approved ex-manufacturer price; AGHD = adult growth hormone deficiency</w:t>
      </w:r>
    </w:p>
    <w:p w14:paraId="0F61AE96" w14:textId="5F713F3D" w:rsidR="000449CE" w:rsidRDefault="00D95A9E" w:rsidP="00D95A9E">
      <w:pPr>
        <w:pStyle w:val="3-BodyText"/>
        <w:rPr>
          <w:rFonts w:ascii="Calibri" w:eastAsia="Calibri" w:hAnsi="Calibri" w:cs="Calibri"/>
        </w:rPr>
      </w:pPr>
      <w:r w:rsidRPr="00CB6395">
        <w:rPr>
          <w:rFonts w:ascii="Calibri" w:eastAsia="Calibri" w:hAnsi="Calibri" w:cs="Calibri"/>
        </w:rPr>
        <w:t xml:space="preserve">The submission determined the </w:t>
      </w:r>
      <w:proofErr w:type="spellStart"/>
      <w:r w:rsidRPr="00CB6395">
        <w:rPr>
          <w:rFonts w:ascii="Calibri" w:eastAsia="Calibri" w:hAnsi="Calibri" w:cs="Calibri"/>
        </w:rPr>
        <w:t>equi</w:t>
      </w:r>
      <w:proofErr w:type="spellEnd"/>
      <w:r w:rsidRPr="00CB6395">
        <w:rPr>
          <w:rFonts w:ascii="Calibri" w:eastAsia="Calibri" w:hAnsi="Calibri" w:cs="Calibri"/>
        </w:rPr>
        <w:t xml:space="preserve">-effective doses of </w:t>
      </w:r>
      <w:proofErr w:type="spellStart"/>
      <w:r w:rsidRPr="00CB6395">
        <w:rPr>
          <w:rFonts w:ascii="Calibri" w:eastAsia="Calibri" w:hAnsi="Calibri" w:cs="Calibri"/>
        </w:rPr>
        <w:t>somapacitan</w:t>
      </w:r>
      <w:proofErr w:type="spellEnd"/>
      <w:r w:rsidRPr="00CB6395">
        <w:rPr>
          <w:rFonts w:ascii="Calibri" w:eastAsia="Calibri" w:hAnsi="Calibri" w:cs="Calibri"/>
        </w:rPr>
        <w:t xml:space="preserve"> and somatropin using the mean treatment doses from participants in the</w:t>
      </w:r>
      <w:r w:rsidR="0067183F">
        <w:rPr>
          <w:rFonts w:ascii="Calibri" w:eastAsia="Calibri" w:hAnsi="Calibri" w:cs="Calibri"/>
        </w:rPr>
        <w:t xml:space="preserve"> extension phase of the</w:t>
      </w:r>
      <w:r w:rsidRPr="00CB6395">
        <w:rPr>
          <w:rFonts w:ascii="Calibri" w:eastAsia="Calibri" w:hAnsi="Calibri" w:cs="Calibri"/>
        </w:rPr>
        <w:t xml:space="preserve"> REAL-1 study. These doses corresponded to the stable doses at the last titration visit 23 (week 43) of the REAL-1 </w:t>
      </w:r>
      <w:proofErr w:type="gramStart"/>
      <w:r w:rsidRPr="00CB6395">
        <w:rPr>
          <w:rFonts w:ascii="Calibri" w:eastAsia="Calibri" w:hAnsi="Calibri" w:cs="Calibri"/>
        </w:rPr>
        <w:t>study</w:t>
      </w:r>
      <w:proofErr w:type="gramEnd"/>
      <w:r w:rsidRPr="00CB6395">
        <w:rPr>
          <w:rFonts w:ascii="Calibri" w:eastAsia="Calibri" w:hAnsi="Calibri" w:cs="Calibri"/>
        </w:rPr>
        <w:t xml:space="preserve"> and represented steady-state doses.</w:t>
      </w:r>
    </w:p>
    <w:p w14:paraId="327E7663" w14:textId="3FF4CE0F" w:rsidR="000449CE" w:rsidRPr="003214C3" w:rsidRDefault="00D95A9E" w:rsidP="00D95A9E">
      <w:pPr>
        <w:pStyle w:val="3-BodyText"/>
        <w:rPr>
          <w:rFonts w:ascii="Calibri" w:eastAsia="Calibri" w:hAnsi="Calibri" w:cs="Calibri"/>
          <w:iCs/>
        </w:rPr>
      </w:pPr>
      <w:r w:rsidRPr="00CB6395">
        <w:rPr>
          <w:rFonts w:ascii="Calibri" w:eastAsia="Calibri" w:hAnsi="Calibri" w:cs="Calibri"/>
        </w:rPr>
        <w:t xml:space="preserve">The </w:t>
      </w:r>
      <w:proofErr w:type="spellStart"/>
      <w:r w:rsidRPr="00CB6395">
        <w:rPr>
          <w:rFonts w:ascii="Calibri" w:eastAsia="Calibri" w:hAnsi="Calibri" w:cs="Calibri"/>
        </w:rPr>
        <w:t>equi</w:t>
      </w:r>
      <w:proofErr w:type="spellEnd"/>
      <w:r w:rsidRPr="00CB6395">
        <w:rPr>
          <w:rFonts w:ascii="Calibri" w:eastAsia="Calibri" w:hAnsi="Calibri" w:cs="Calibri"/>
        </w:rPr>
        <w:t>-effective doses were somatropin 0.27</w:t>
      </w:r>
      <w:r w:rsidR="00306B6F" w:rsidRPr="00CB6395">
        <w:rPr>
          <w:rFonts w:ascii="Calibri" w:eastAsia="Calibri" w:hAnsi="Calibri" w:cs="Calibri"/>
        </w:rPr>
        <w:t> </w:t>
      </w:r>
      <w:r w:rsidRPr="00CB6395">
        <w:rPr>
          <w:rFonts w:ascii="Calibri" w:eastAsia="Calibri" w:hAnsi="Calibri" w:cs="Calibri"/>
        </w:rPr>
        <w:t>mg daily (1.89</w:t>
      </w:r>
      <w:r w:rsidR="00306B6F" w:rsidRPr="00CB6395">
        <w:rPr>
          <w:rFonts w:ascii="Calibri" w:eastAsia="Calibri" w:hAnsi="Calibri" w:cs="Calibri"/>
        </w:rPr>
        <w:t> </w:t>
      </w:r>
      <w:r w:rsidRPr="00CB6395">
        <w:rPr>
          <w:rFonts w:ascii="Calibri" w:eastAsia="Calibri" w:hAnsi="Calibri" w:cs="Calibri"/>
        </w:rPr>
        <w:t xml:space="preserve">mg weekly) and </w:t>
      </w:r>
      <w:proofErr w:type="spellStart"/>
      <w:r w:rsidRPr="00CB6395">
        <w:rPr>
          <w:rFonts w:ascii="Calibri" w:eastAsia="Calibri" w:hAnsi="Calibri" w:cs="Calibri"/>
        </w:rPr>
        <w:t>somapacitan</w:t>
      </w:r>
      <w:proofErr w:type="spellEnd"/>
      <w:r w:rsidRPr="00CB6395">
        <w:rPr>
          <w:rFonts w:ascii="Calibri" w:eastAsia="Calibri" w:hAnsi="Calibri" w:cs="Calibri"/>
        </w:rPr>
        <w:t xml:space="preserve"> 2.33</w:t>
      </w:r>
      <w:r w:rsidR="00306B6F" w:rsidRPr="00CB6395">
        <w:rPr>
          <w:rFonts w:ascii="Calibri" w:eastAsia="Calibri" w:hAnsi="Calibri" w:cs="Calibri"/>
        </w:rPr>
        <w:t> </w:t>
      </w:r>
      <w:r w:rsidRPr="00CB6395">
        <w:rPr>
          <w:rFonts w:ascii="Calibri" w:eastAsia="Calibri" w:hAnsi="Calibri" w:cs="Calibri"/>
        </w:rPr>
        <w:t>mg weekly, at the weekly dose relativity of 1</w:t>
      </w:r>
      <w:r w:rsidR="00306B6F" w:rsidRPr="00CB6395">
        <w:rPr>
          <w:rFonts w:ascii="Calibri" w:eastAsia="Calibri" w:hAnsi="Calibri" w:cs="Calibri"/>
        </w:rPr>
        <w:t> </w:t>
      </w:r>
      <w:r w:rsidRPr="00CB6395">
        <w:rPr>
          <w:rFonts w:ascii="Calibri" w:eastAsia="Calibri" w:hAnsi="Calibri" w:cs="Calibri"/>
        </w:rPr>
        <w:t>mg somatropin = 1.23</w:t>
      </w:r>
      <w:r w:rsidR="00306B6F" w:rsidRPr="00CB6395">
        <w:rPr>
          <w:rFonts w:ascii="Calibri" w:eastAsia="Calibri" w:hAnsi="Calibri" w:cs="Calibri"/>
        </w:rPr>
        <w:t> </w:t>
      </w:r>
      <w:r w:rsidRPr="00CB6395">
        <w:rPr>
          <w:rFonts w:ascii="Calibri" w:eastAsia="Calibri" w:hAnsi="Calibri" w:cs="Calibri"/>
        </w:rPr>
        <w:t xml:space="preserve">mg </w:t>
      </w:r>
      <w:proofErr w:type="spellStart"/>
      <w:r w:rsidRPr="00CB6395">
        <w:rPr>
          <w:rFonts w:ascii="Calibri" w:eastAsia="Calibri" w:hAnsi="Calibri" w:cs="Calibri"/>
        </w:rPr>
        <w:t>somapacitan</w:t>
      </w:r>
      <w:proofErr w:type="spellEnd"/>
      <w:r w:rsidRPr="00CB6395">
        <w:rPr>
          <w:rFonts w:ascii="Calibri" w:eastAsia="Calibri" w:hAnsi="Calibri" w:cs="Calibri"/>
        </w:rPr>
        <w:t xml:space="preserve">. </w:t>
      </w:r>
      <w:r w:rsidRPr="003214C3">
        <w:rPr>
          <w:rFonts w:ascii="Calibri" w:eastAsia="Calibri" w:hAnsi="Calibri" w:cs="Calibri"/>
          <w:iCs/>
        </w:rPr>
        <w:t xml:space="preserve">This </w:t>
      </w:r>
      <w:r w:rsidR="000F4077" w:rsidRPr="003214C3">
        <w:rPr>
          <w:rFonts w:ascii="Calibri" w:eastAsia="Calibri" w:hAnsi="Calibri" w:cs="Calibri"/>
          <w:iCs/>
        </w:rPr>
        <w:t>wa</w:t>
      </w:r>
      <w:r w:rsidR="755AAFB4" w:rsidRPr="003214C3">
        <w:rPr>
          <w:rFonts w:ascii="Calibri" w:eastAsia="Calibri" w:hAnsi="Calibri" w:cs="Calibri"/>
          <w:iCs/>
        </w:rPr>
        <w:t>s</w:t>
      </w:r>
      <w:r w:rsidRPr="003214C3">
        <w:rPr>
          <w:rFonts w:ascii="Calibri" w:eastAsia="Calibri" w:hAnsi="Calibri" w:cs="Calibri"/>
          <w:iCs/>
        </w:rPr>
        <w:t xml:space="preserve"> appropriate.</w:t>
      </w:r>
    </w:p>
    <w:p w14:paraId="2C0E2D65" w14:textId="078B7A67" w:rsidR="00D95A9E" w:rsidRPr="00CB6395" w:rsidRDefault="00D95A9E" w:rsidP="00D95A9E">
      <w:pPr>
        <w:pStyle w:val="3-BodyText"/>
        <w:rPr>
          <w:color w:val="0066FF"/>
        </w:rPr>
      </w:pPr>
      <w:r w:rsidRPr="00CB6395">
        <w:rPr>
          <w:rFonts w:ascii="Calibri" w:eastAsia="Calibri" w:hAnsi="Calibri" w:cs="Calibri"/>
        </w:rPr>
        <w:t xml:space="preserve">The submission did not include additional costs or cost-offsets in the cost-minimisation analysis since there were no significant differences associated with the administration </w:t>
      </w:r>
      <w:r w:rsidR="004833EA" w:rsidRPr="00CB6395">
        <w:t xml:space="preserve">between </w:t>
      </w:r>
      <w:proofErr w:type="spellStart"/>
      <w:r w:rsidR="004833EA" w:rsidRPr="00CB6395">
        <w:t>somapacitan</w:t>
      </w:r>
      <w:proofErr w:type="spellEnd"/>
      <w:r w:rsidR="004833EA" w:rsidRPr="00CB6395">
        <w:t xml:space="preserve"> and somatropin</w:t>
      </w:r>
      <w:r w:rsidR="004833EA" w:rsidRPr="00CB6395">
        <w:rPr>
          <w:rFonts w:ascii="Calibri" w:eastAsia="Calibri" w:hAnsi="Calibri" w:cs="Calibri"/>
        </w:rPr>
        <w:t xml:space="preserve"> </w:t>
      </w:r>
      <w:r w:rsidRPr="00CB6395">
        <w:rPr>
          <w:rFonts w:ascii="Calibri" w:eastAsia="Calibri" w:hAnsi="Calibri" w:cs="Calibri"/>
        </w:rPr>
        <w:t xml:space="preserve">and </w:t>
      </w:r>
      <w:r w:rsidR="003D261F">
        <w:t>no significant difference in the cost of managing AEs</w:t>
      </w:r>
      <w:r w:rsidR="003D261F" w:rsidRPr="00CB6395">
        <w:rPr>
          <w:rFonts w:ascii="Calibri" w:eastAsia="Calibri" w:hAnsi="Calibri" w:cs="Calibri"/>
        </w:rPr>
        <w:t xml:space="preserve"> </w:t>
      </w:r>
      <w:r w:rsidRPr="00CB6395">
        <w:rPr>
          <w:rFonts w:ascii="Calibri" w:eastAsia="Calibri" w:hAnsi="Calibri" w:cs="Calibri"/>
        </w:rPr>
        <w:t xml:space="preserve">between </w:t>
      </w:r>
      <w:proofErr w:type="spellStart"/>
      <w:r w:rsidRPr="00CB6395">
        <w:rPr>
          <w:rFonts w:ascii="Calibri" w:eastAsia="Calibri" w:hAnsi="Calibri" w:cs="Calibri"/>
        </w:rPr>
        <w:t>somapacitan</w:t>
      </w:r>
      <w:proofErr w:type="spellEnd"/>
      <w:r w:rsidRPr="00CB6395">
        <w:rPr>
          <w:rFonts w:ascii="Calibri" w:eastAsia="Calibri" w:hAnsi="Calibri" w:cs="Calibri"/>
        </w:rPr>
        <w:t xml:space="preserve"> and somatropin. </w:t>
      </w:r>
      <w:r w:rsidR="755AAFB4" w:rsidRPr="003214C3">
        <w:rPr>
          <w:rFonts w:ascii="Calibri" w:eastAsia="Calibri" w:hAnsi="Calibri" w:cs="Calibri"/>
          <w:iCs/>
        </w:rPr>
        <w:t xml:space="preserve">This </w:t>
      </w:r>
      <w:r w:rsidR="000F4077" w:rsidRPr="003214C3">
        <w:rPr>
          <w:rFonts w:ascii="Calibri" w:eastAsia="Calibri" w:hAnsi="Calibri" w:cs="Calibri"/>
          <w:iCs/>
        </w:rPr>
        <w:t>wa</w:t>
      </w:r>
      <w:r w:rsidR="755AAFB4" w:rsidRPr="003214C3">
        <w:rPr>
          <w:rFonts w:ascii="Calibri" w:eastAsia="Calibri" w:hAnsi="Calibri" w:cs="Calibri"/>
          <w:iCs/>
        </w:rPr>
        <w:t>s</w:t>
      </w:r>
      <w:r w:rsidRPr="003214C3">
        <w:rPr>
          <w:rFonts w:ascii="Calibri" w:eastAsia="Calibri" w:hAnsi="Calibri" w:cs="Calibri"/>
          <w:iCs/>
        </w:rPr>
        <w:t xml:space="preserve"> appropriate.</w:t>
      </w:r>
    </w:p>
    <w:p w14:paraId="6BC7DD01" w14:textId="08502CEE" w:rsidR="00A85D1B" w:rsidRPr="00A743EF" w:rsidRDefault="00CA17F4" w:rsidP="00A85D1B">
      <w:pPr>
        <w:pStyle w:val="3-BodyText"/>
        <w:rPr>
          <w:rFonts w:eastAsiaTheme="minorEastAsia"/>
          <w:color w:val="0066FF"/>
        </w:rPr>
      </w:pPr>
      <w:r>
        <w:rPr>
          <w:rFonts w:eastAsia="Calibri"/>
        </w:rPr>
        <w:t>The submission requested a</w:t>
      </w:r>
      <w:r w:rsidR="00A85D1B" w:rsidRPr="00A743EF">
        <w:rPr>
          <w:rFonts w:eastAsia="Calibri"/>
        </w:rPr>
        <w:t xml:space="preserve"> Special Pricing Arrangement (SPA) </w:t>
      </w:r>
      <w:r>
        <w:rPr>
          <w:rFonts w:eastAsia="Calibri"/>
        </w:rPr>
        <w:t xml:space="preserve">for </w:t>
      </w:r>
      <w:proofErr w:type="spellStart"/>
      <w:r>
        <w:rPr>
          <w:rFonts w:eastAsia="Calibri"/>
        </w:rPr>
        <w:t>somapacitan</w:t>
      </w:r>
      <w:proofErr w:type="spellEnd"/>
      <w:r>
        <w:rPr>
          <w:rFonts w:eastAsia="Calibri"/>
        </w:rPr>
        <w:t xml:space="preserve"> with a</w:t>
      </w:r>
      <w:r w:rsidR="00A85D1B" w:rsidRPr="00A743EF">
        <w:rPr>
          <w:rFonts w:eastAsia="Calibri"/>
        </w:rPr>
        <w:t xml:space="preserve"> proposed published approved ex-manufacturer price (AEMP) </w:t>
      </w:r>
      <w:r>
        <w:rPr>
          <w:rFonts w:eastAsia="Calibri"/>
        </w:rPr>
        <w:t>of</w:t>
      </w:r>
      <w:r w:rsidR="00A85D1B" w:rsidRPr="00A743EF">
        <w:rPr>
          <w:rFonts w:eastAsia="Calibri"/>
        </w:rPr>
        <w:t xml:space="preserve"> $547.83 ($54.78 per mg) and </w:t>
      </w:r>
      <w:r>
        <w:rPr>
          <w:rFonts w:eastAsia="Calibri"/>
        </w:rPr>
        <w:t>an</w:t>
      </w:r>
      <w:r w:rsidR="00A85D1B">
        <w:rPr>
          <w:rFonts w:eastAsia="Calibri"/>
        </w:rPr>
        <w:t xml:space="preserve"> </w:t>
      </w:r>
      <w:r w:rsidR="00A85D1B" w:rsidRPr="00A743EF">
        <w:rPr>
          <w:rFonts w:eastAsia="Calibri"/>
        </w:rPr>
        <w:t xml:space="preserve">effective AEMP </w:t>
      </w:r>
      <w:r>
        <w:rPr>
          <w:rFonts w:eastAsia="Calibri"/>
        </w:rPr>
        <w:t>of</w:t>
      </w:r>
      <w:r w:rsidR="00A85D1B" w:rsidRPr="00A743EF">
        <w:rPr>
          <w:rFonts w:eastAsia="Calibri"/>
        </w:rPr>
        <w:t xml:space="preserve"> $</w:t>
      </w:r>
      <w:proofErr w:type="gramStart"/>
      <w:r w:rsidR="00440ADF" w:rsidRPr="00AB6385">
        <w:rPr>
          <w:rFonts w:eastAsia="Calibri"/>
          <w:color w:val="000000"/>
          <w:w w:val="15"/>
          <w:shd w:val="solid" w:color="000000" w:fill="000000"/>
          <w:fitText w:val="-20" w:id="-1500863993"/>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93"/>
          <w14:textFill>
            <w14:solidFill>
              <w14:srgbClr w14:val="000000">
                <w14:alpha w14:val="100000"/>
              </w14:srgbClr>
            </w14:solidFill>
          </w14:textFill>
        </w:rPr>
        <w:t>|</w:t>
      </w:r>
      <w:proofErr w:type="gramEnd"/>
      <w:r w:rsidR="00A85D1B" w:rsidRPr="00A743EF">
        <w:rPr>
          <w:rFonts w:eastAsia="Calibri"/>
        </w:rPr>
        <w:t xml:space="preserve"> ($</w:t>
      </w:r>
      <w:r w:rsidR="00440ADF" w:rsidRPr="00AB6385">
        <w:rPr>
          <w:rFonts w:eastAsia="Calibri"/>
          <w:color w:val="000000"/>
          <w:w w:val="15"/>
          <w:shd w:val="solid" w:color="000000" w:fill="000000"/>
          <w:fitText w:val="-20" w:id="-1500863992"/>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92"/>
          <w14:textFill>
            <w14:solidFill>
              <w14:srgbClr w14:val="000000">
                <w14:alpha w14:val="100000"/>
              </w14:srgbClr>
            </w14:solidFill>
          </w14:textFill>
        </w:rPr>
        <w:t>|</w:t>
      </w:r>
      <w:r w:rsidR="00A85D1B" w:rsidRPr="00A743EF">
        <w:rPr>
          <w:rFonts w:eastAsia="Calibri"/>
        </w:rPr>
        <w:t xml:space="preserve"> per mg)</w:t>
      </w:r>
      <w:r w:rsidR="00A85D1B">
        <w:rPr>
          <w:rFonts w:eastAsia="Calibri"/>
        </w:rPr>
        <w:t xml:space="preserve"> </w:t>
      </w:r>
      <w:r w:rsidR="00A85D1B" w:rsidRPr="00A743EF">
        <w:rPr>
          <w:rFonts w:eastAsia="Calibri"/>
        </w:rPr>
        <w:t>based on a cost</w:t>
      </w:r>
      <w:r w:rsidR="00A85D1B">
        <w:rPr>
          <w:rFonts w:eastAsia="Calibri"/>
        </w:rPr>
        <w:t>-</w:t>
      </w:r>
      <w:r w:rsidR="00A85D1B" w:rsidRPr="00A743EF">
        <w:rPr>
          <w:rFonts w:eastAsia="Calibri"/>
        </w:rPr>
        <w:t>minimisation to somatropin.</w:t>
      </w:r>
      <w:r w:rsidR="00A85D1B">
        <w:rPr>
          <w:rFonts w:eastAsia="Calibri"/>
        </w:rPr>
        <w:t xml:space="preserve"> S</w:t>
      </w:r>
      <w:r w:rsidR="00A85D1B" w:rsidRPr="003214C3">
        <w:rPr>
          <w:rFonts w:eastAsia="Calibri"/>
        </w:rPr>
        <w:t>omatropin does not currently have a SPA.</w:t>
      </w:r>
    </w:p>
    <w:p w14:paraId="032F2C84" w14:textId="0BA1CF6F" w:rsidR="4B98720A" w:rsidRPr="009A067A" w:rsidRDefault="00D95A9E" w:rsidP="00D31F6F">
      <w:pPr>
        <w:pStyle w:val="3-BodyText"/>
      </w:pPr>
      <w:r w:rsidRPr="00CB6395">
        <w:rPr>
          <w:rFonts w:eastAsia="Calibri"/>
        </w:rPr>
        <w:t xml:space="preserve">The AEMP per mg of somatropin </w:t>
      </w:r>
      <w:r w:rsidR="00CA17F4">
        <w:rPr>
          <w:rFonts w:eastAsia="Calibri"/>
        </w:rPr>
        <w:t>is</w:t>
      </w:r>
      <w:r w:rsidR="00CA17F4" w:rsidRPr="00CB6395">
        <w:rPr>
          <w:rFonts w:eastAsia="Calibri"/>
        </w:rPr>
        <w:t xml:space="preserve"> </w:t>
      </w:r>
      <w:r w:rsidRPr="00CB6395">
        <w:rPr>
          <w:rFonts w:eastAsia="Calibri"/>
        </w:rPr>
        <w:t xml:space="preserve">identical </w:t>
      </w:r>
      <w:r w:rsidR="00CA17F4">
        <w:rPr>
          <w:rFonts w:eastAsia="Calibri"/>
        </w:rPr>
        <w:t>across</w:t>
      </w:r>
      <w:r w:rsidR="00CA17F4" w:rsidRPr="00CB6395">
        <w:rPr>
          <w:rFonts w:eastAsia="Calibri"/>
        </w:rPr>
        <w:t xml:space="preserve"> </w:t>
      </w:r>
      <w:r w:rsidRPr="00CB6395">
        <w:rPr>
          <w:rFonts w:eastAsia="Calibri"/>
        </w:rPr>
        <w:t xml:space="preserve">all somatropin PBS items with restrictions for AGHD ($40.29 per mg). The results of the cost-minimisation analysis </w:t>
      </w:r>
      <w:r w:rsidR="00130C4A">
        <w:rPr>
          <w:rFonts w:eastAsia="Calibri"/>
        </w:rPr>
        <w:t xml:space="preserve">based </w:t>
      </w:r>
      <w:r w:rsidR="00130C4A" w:rsidRPr="00130C4A">
        <w:rPr>
          <w:rFonts w:ascii="Calibri" w:eastAsia="Calibri" w:hAnsi="Calibri" w:cs="Calibri"/>
        </w:rPr>
        <w:t>on the effective price proposed in the submission</w:t>
      </w:r>
      <w:r w:rsidR="00130C4A" w:rsidRPr="00CB6395">
        <w:rPr>
          <w:rFonts w:eastAsia="Calibri"/>
        </w:rPr>
        <w:t xml:space="preserve"> </w:t>
      </w:r>
      <w:r w:rsidRPr="00CB6395">
        <w:rPr>
          <w:rFonts w:eastAsia="Calibri"/>
        </w:rPr>
        <w:t xml:space="preserve">are presented in Table </w:t>
      </w:r>
      <w:r w:rsidR="009604E7" w:rsidRPr="00CB6395">
        <w:rPr>
          <w:rFonts w:eastAsia="Calibri"/>
        </w:rPr>
        <w:t>7</w:t>
      </w:r>
      <w:r w:rsidRPr="00CB6395">
        <w:rPr>
          <w:rFonts w:eastAsia="Calibri"/>
        </w:rPr>
        <w:t>.</w:t>
      </w:r>
    </w:p>
    <w:p w14:paraId="70EDE4E7" w14:textId="46CD0931" w:rsidR="00D95A9E" w:rsidRPr="00CB6395" w:rsidRDefault="00D95A9E" w:rsidP="00EE0668">
      <w:pPr>
        <w:pStyle w:val="TableFigureHeading"/>
        <w:rPr>
          <w:rStyle w:val="CommentReference"/>
          <w:rFonts w:eastAsia="MS Gothic"/>
          <w:b/>
        </w:rPr>
      </w:pPr>
      <w:r w:rsidRPr="00CB6395">
        <w:rPr>
          <w:rStyle w:val="CommentReference"/>
          <w:b/>
        </w:rPr>
        <w:t xml:space="preserve">Table </w:t>
      </w:r>
      <w:r w:rsidR="001E30BE" w:rsidRPr="00CB6395">
        <w:rPr>
          <w:rStyle w:val="CommentReference"/>
          <w:b/>
          <w:bCs w:val="0"/>
        </w:rPr>
        <w:fldChar w:fldCharType="begin"/>
      </w:r>
      <w:r w:rsidR="001E30BE" w:rsidRPr="00CB6395">
        <w:rPr>
          <w:rStyle w:val="CommentReference"/>
          <w:b/>
          <w:bCs w:val="0"/>
        </w:rPr>
        <w:instrText xml:space="preserve"> SEQ Table \* ARABIC </w:instrText>
      </w:r>
      <w:r w:rsidR="001E30BE" w:rsidRPr="00CB6395">
        <w:rPr>
          <w:rStyle w:val="CommentReference"/>
          <w:b/>
          <w:bCs w:val="0"/>
        </w:rPr>
        <w:fldChar w:fldCharType="separate"/>
      </w:r>
      <w:r w:rsidR="00AB6385">
        <w:rPr>
          <w:rStyle w:val="CommentReference"/>
          <w:b/>
          <w:bCs w:val="0"/>
          <w:noProof/>
        </w:rPr>
        <w:t>7</w:t>
      </w:r>
      <w:r w:rsidR="001E30BE" w:rsidRPr="00CB6395">
        <w:rPr>
          <w:rStyle w:val="CommentReference"/>
          <w:b/>
          <w:bCs w:val="0"/>
        </w:rPr>
        <w:fldChar w:fldCharType="end"/>
      </w:r>
      <w:r w:rsidRPr="00CB6395">
        <w:rPr>
          <w:rStyle w:val="CommentReference"/>
          <w:b/>
          <w:bCs w:val="0"/>
        </w:rPr>
        <w:t>:</w:t>
      </w:r>
      <w:r w:rsidRPr="00CB6395">
        <w:rPr>
          <w:rStyle w:val="CommentReference"/>
          <w:b/>
        </w:rPr>
        <w:t xml:space="preserve"> Results of the cost-minimisation analysis</w:t>
      </w:r>
    </w:p>
    <w:tbl>
      <w:tblPr>
        <w:tblW w:w="9015" w:type="dxa"/>
        <w:tblLayout w:type="fixed"/>
        <w:tblLook w:val="06A0" w:firstRow="1" w:lastRow="0" w:firstColumn="1" w:lastColumn="0" w:noHBand="1" w:noVBand="1"/>
      </w:tblPr>
      <w:tblGrid>
        <w:gridCol w:w="3015"/>
        <w:gridCol w:w="3000"/>
        <w:gridCol w:w="3000"/>
      </w:tblGrid>
      <w:tr w:rsidR="00D95A9E" w:rsidRPr="00CB6395" w14:paraId="0547898D" w14:textId="77777777" w:rsidTr="0067400F">
        <w:tc>
          <w:tcPr>
            <w:tcW w:w="3015" w:type="dxa"/>
            <w:tcBorders>
              <w:top w:val="single" w:sz="8" w:space="0" w:color="auto"/>
              <w:left w:val="single" w:sz="8" w:space="0" w:color="auto"/>
              <w:bottom w:val="single" w:sz="8" w:space="0" w:color="auto"/>
              <w:right w:val="single" w:sz="8" w:space="0" w:color="auto"/>
            </w:tcBorders>
          </w:tcPr>
          <w:p w14:paraId="7173575E" w14:textId="77777777" w:rsidR="00D95A9E" w:rsidRPr="00CB6395" w:rsidRDefault="00D95A9E" w:rsidP="008C7497">
            <w:r w:rsidRPr="00CB6395">
              <w:rPr>
                <w:rFonts w:ascii="Arial Narrow" w:eastAsia="Arial Narrow" w:hAnsi="Arial Narrow" w:cs="Arial Narrow"/>
                <w:b/>
                <w:bCs/>
                <w:sz w:val="20"/>
                <w:szCs w:val="20"/>
              </w:rPr>
              <w:t>Component</w:t>
            </w:r>
          </w:p>
        </w:tc>
        <w:tc>
          <w:tcPr>
            <w:tcW w:w="3000" w:type="dxa"/>
            <w:tcBorders>
              <w:top w:val="single" w:sz="8" w:space="0" w:color="auto"/>
              <w:left w:val="single" w:sz="8" w:space="0" w:color="auto"/>
              <w:bottom w:val="single" w:sz="8" w:space="0" w:color="auto"/>
              <w:right w:val="single" w:sz="8" w:space="0" w:color="auto"/>
            </w:tcBorders>
          </w:tcPr>
          <w:p w14:paraId="70EBAF40" w14:textId="77777777" w:rsidR="00D95A9E" w:rsidRPr="00CB6395" w:rsidRDefault="00D95A9E" w:rsidP="008C7497">
            <w:pPr>
              <w:jc w:val="center"/>
            </w:pPr>
            <w:proofErr w:type="spellStart"/>
            <w:r w:rsidRPr="00CB6395">
              <w:rPr>
                <w:rFonts w:ascii="Arial Narrow" w:eastAsia="Arial Narrow" w:hAnsi="Arial Narrow" w:cs="Arial Narrow"/>
                <w:b/>
                <w:bCs/>
                <w:sz w:val="20"/>
                <w:szCs w:val="20"/>
              </w:rPr>
              <w:t>Somapacitan</w:t>
            </w:r>
            <w:proofErr w:type="spellEnd"/>
          </w:p>
        </w:tc>
        <w:tc>
          <w:tcPr>
            <w:tcW w:w="3000" w:type="dxa"/>
            <w:tcBorders>
              <w:top w:val="single" w:sz="8" w:space="0" w:color="auto"/>
              <w:left w:val="single" w:sz="8" w:space="0" w:color="auto"/>
              <w:bottom w:val="single" w:sz="8" w:space="0" w:color="auto"/>
              <w:right w:val="single" w:sz="8" w:space="0" w:color="auto"/>
            </w:tcBorders>
          </w:tcPr>
          <w:p w14:paraId="1CAF1F11" w14:textId="77777777" w:rsidR="00D95A9E" w:rsidRPr="00CB6395" w:rsidRDefault="00D95A9E" w:rsidP="008C7497">
            <w:pPr>
              <w:jc w:val="center"/>
            </w:pPr>
            <w:r w:rsidRPr="00CB6395">
              <w:rPr>
                <w:rFonts w:ascii="Arial Narrow" w:eastAsia="Arial Narrow" w:hAnsi="Arial Narrow" w:cs="Arial Narrow"/>
                <w:b/>
                <w:bCs/>
                <w:sz w:val="20"/>
                <w:szCs w:val="20"/>
              </w:rPr>
              <w:t>Somatropin</w:t>
            </w:r>
          </w:p>
        </w:tc>
      </w:tr>
      <w:tr w:rsidR="00D95A9E" w:rsidRPr="00CB6395" w14:paraId="67748FFC" w14:textId="77777777" w:rsidTr="0067400F">
        <w:tc>
          <w:tcPr>
            <w:tcW w:w="3015" w:type="dxa"/>
            <w:tcBorders>
              <w:top w:val="single" w:sz="8" w:space="0" w:color="auto"/>
              <w:left w:val="single" w:sz="8" w:space="0" w:color="auto"/>
              <w:bottom w:val="single" w:sz="8" w:space="0" w:color="auto"/>
              <w:right w:val="single" w:sz="8" w:space="0" w:color="auto"/>
            </w:tcBorders>
          </w:tcPr>
          <w:p w14:paraId="24748672" w14:textId="77777777" w:rsidR="00D95A9E" w:rsidRPr="00CB6395" w:rsidRDefault="00D95A9E" w:rsidP="008C7497">
            <w:r w:rsidRPr="00CB6395">
              <w:rPr>
                <w:rFonts w:ascii="Arial Narrow" w:eastAsia="Arial Narrow" w:hAnsi="Arial Narrow" w:cs="Arial Narrow"/>
                <w:sz w:val="20"/>
                <w:szCs w:val="20"/>
              </w:rPr>
              <w:t>Mean treatment dose per week</w:t>
            </w:r>
          </w:p>
        </w:tc>
        <w:tc>
          <w:tcPr>
            <w:tcW w:w="3000" w:type="dxa"/>
            <w:tcBorders>
              <w:top w:val="single" w:sz="8" w:space="0" w:color="auto"/>
              <w:left w:val="single" w:sz="8" w:space="0" w:color="auto"/>
              <w:bottom w:val="single" w:sz="8" w:space="0" w:color="auto"/>
              <w:right w:val="single" w:sz="8" w:space="0" w:color="auto"/>
            </w:tcBorders>
          </w:tcPr>
          <w:p w14:paraId="25567AF0" w14:textId="77777777" w:rsidR="00D95A9E" w:rsidRPr="00CB6395" w:rsidRDefault="00D95A9E" w:rsidP="008C7497">
            <w:r w:rsidRPr="00CB6395">
              <w:rPr>
                <w:rFonts w:ascii="Arial Narrow" w:eastAsia="Arial Narrow" w:hAnsi="Arial Narrow" w:cs="Arial Narrow"/>
                <w:sz w:val="20"/>
                <w:szCs w:val="20"/>
              </w:rPr>
              <w:t>2.33 mg</w:t>
            </w:r>
          </w:p>
        </w:tc>
        <w:tc>
          <w:tcPr>
            <w:tcW w:w="3000" w:type="dxa"/>
            <w:tcBorders>
              <w:top w:val="single" w:sz="8" w:space="0" w:color="auto"/>
              <w:left w:val="single" w:sz="8" w:space="0" w:color="auto"/>
              <w:bottom w:val="single" w:sz="8" w:space="0" w:color="auto"/>
              <w:right w:val="single" w:sz="8" w:space="0" w:color="auto"/>
            </w:tcBorders>
          </w:tcPr>
          <w:p w14:paraId="01B71385" w14:textId="77777777" w:rsidR="00D95A9E" w:rsidRPr="00CB6395" w:rsidRDefault="00D95A9E" w:rsidP="008C7497">
            <w:r w:rsidRPr="00CB6395">
              <w:rPr>
                <w:rFonts w:ascii="Arial Narrow" w:eastAsia="Arial Narrow" w:hAnsi="Arial Narrow" w:cs="Arial Narrow"/>
                <w:sz w:val="20"/>
                <w:szCs w:val="20"/>
              </w:rPr>
              <w:t>1.89 mg</w:t>
            </w:r>
          </w:p>
        </w:tc>
      </w:tr>
      <w:tr w:rsidR="00D95A9E" w:rsidRPr="00CB6395" w14:paraId="3B23695C" w14:textId="77777777" w:rsidTr="0067400F">
        <w:tc>
          <w:tcPr>
            <w:tcW w:w="3015" w:type="dxa"/>
            <w:tcBorders>
              <w:top w:val="single" w:sz="8" w:space="0" w:color="auto"/>
              <w:left w:val="single" w:sz="8" w:space="0" w:color="auto"/>
              <w:bottom w:val="single" w:sz="8" w:space="0" w:color="auto"/>
              <w:right w:val="single" w:sz="8" w:space="0" w:color="auto"/>
            </w:tcBorders>
          </w:tcPr>
          <w:p w14:paraId="7DC49900" w14:textId="77777777" w:rsidR="00D95A9E" w:rsidRPr="00CB6395" w:rsidRDefault="00D95A9E" w:rsidP="008C7497">
            <w:r w:rsidRPr="00CB6395">
              <w:rPr>
                <w:rFonts w:ascii="Arial Narrow" w:eastAsia="Arial Narrow" w:hAnsi="Arial Narrow" w:cs="Arial Narrow"/>
                <w:sz w:val="20"/>
                <w:szCs w:val="20"/>
              </w:rPr>
              <w:t>Cost per mg (AEMP)</w:t>
            </w:r>
          </w:p>
        </w:tc>
        <w:tc>
          <w:tcPr>
            <w:tcW w:w="3000" w:type="dxa"/>
            <w:tcBorders>
              <w:top w:val="single" w:sz="8" w:space="0" w:color="auto"/>
              <w:left w:val="single" w:sz="8" w:space="0" w:color="auto"/>
              <w:bottom w:val="single" w:sz="8" w:space="0" w:color="auto"/>
              <w:right w:val="single" w:sz="8" w:space="0" w:color="auto"/>
            </w:tcBorders>
          </w:tcPr>
          <w:p w14:paraId="7A2E9FC4" w14:textId="5B24EF10" w:rsidR="00D95A9E" w:rsidRPr="00CB6395" w:rsidRDefault="00D95A9E" w:rsidP="008C7497">
            <w:r w:rsidRPr="00CB6395">
              <w:rPr>
                <w:rFonts w:ascii="Arial Narrow" w:eastAsia="Arial Narrow" w:hAnsi="Arial Narrow" w:cs="Arial Narrow"/>
                <w:sz w:val="20"/>
                <w:szCs w:val="20"/>
              </w:rPr>
              <w:t>$</w:t>
            </w:r>
            <w:r w:rsidR="00440ADF" w:rsidRPr="00285974">
              <w:rPr>
                <w:rFonts w:ascii="Arial Narrow" w:eastAsia="Arial Narrow" w:hAnsi="Arial Narrow" w:cs="Arial Narrow"/>
                <w:color w:val="000000"/>
                <w:spacing w:val="9"/>
                <w:sz w:val="20"/>
                <w:szCs w:val="20"/>
                <w:shd w:val="solid" w:color="000000" w:fill="000000"/>
                <w:fitText w:val="310" w:id="-1500863991"/>
                <w14:textFill>
                  <w14:solidFill>
                    <w14:srgbClr w14:val="000000">
                      <w14:alpha w14:val="100000"/>
                    </w14:srgbClr>
                  </w14:solidFill>
                </w14:textFill>
              </w:rPr>
              <w:t>||  |</w:t>
            </w:r>
            <w:r w:rsidR="00440ADF" w:rsidRPr="00285974">
              <w:rPr>
                <w:rFonts w:ascii="Arial Narrow" w:eastAsia="Arial Narrow" w:hAnsi="Arial Narrow" w:cs="Arial Narrow"/>
                <w:color w:val="000000"/>
                <w:spacing w:val="4"/>
                <w:sz w:val="20"/>
                <w:szCs w:val="20"/>
                <w:shd w:val="solid" w:color="000000" w:fill="000000"/>
                <w:fitText w:val="310" w:id="-1500863991"/>
                <w14:textFill>
                  <w14:solidFill>
                    <w14:srgbClr w14:val="000000">
                      <w14:alpha w14:val="100000"/>
                    </w14:srgbClr>
                  </w14:solidFill>
                </w14:textFill>
              </w:rPr>
              <w:t>|</w:t>
            </w:r>
          </w:p>
        </w:tc>
        <w:tc>
          <w:tcPr>
            <w:tcW w:w="3000" w:type="dxa"/>
            <w:tcBorders>
              <w:top w:val="single" w:sz="8" w:space="0" w:color="auto"/>
              <w:left w:val="single" w:sz="8" w:space="0" w:color="auto"/>
              <w:bottom w:val="single" w:sz="8" w:space="0" w:color="auto"/>
              <w:right w:val="single" w:sz="8" w:space="0" w:color="auto"/>
            </w:tcBorders>
          </w:tcPr>
          <w:p w14:paraId="69B40B53" w14:textId="756139D0" w:rsidR="00D95A9E" w:rsidRPr="00CB6395" w:rsidRDefault="00D95A9E" w:rsidP="008C7497">
            <w:r w:rsidRPr="00CB6395">
              <w:rPr>
                <w:rFonts w:ascii="Arial Narrow" w:eastAsia="Arial Narrow" w:hAnsi="Arial Narrow" w:cs="Arial Narrow"/>
                <w:sz w:val="20"/>
                <w:szCs w:val="20"/>
              </w:rPr>
              <w:t>$</w:t>
            </w:r>
            <w:r w:rsidR="00440ADF" w:rsidRPr="00285974">
              <w:rPr>
                <w:rFonts w:ascii="Arial Narrow" w:eastAsia="Arial Narrow" w:hAnsi="Arial Narrow" w:cs="Arial Narrow"/>
                <w:color w:val="000000"/>
                <w:spacing w:val="9"/>
                <w:sz w:val="20"/>
                <w:szCs w:val="20"/>
                <w:shd w:val="solid" w:color="000000" w:fill="000000"/>
                <w:fitText w:val="310" w:id="-1500863990"/>
                <w14:textFill>
                  <w14:solidFill>
                    <w14:srgbClr w14:val="000000">
                      <w14:alpha w14:val="100000"/>
                    </w14:srgbClr>
                  </w14:solidFill>
                </w14:textFill>
              </w:rPr>
              <w:t>||  |</w:t>
            </w:r>
            <w:r w:rsidR="00440ADF" w:rsidRPr="00285974">
              <w:rPr>
                <w:rFonts w:ascii="Arial Narrow" w:eastAsia="Arial Narrow" w:hAnsi="Arial Narrow" w:cs="Arial Narrow"/>
                <w:color w:val="000000"/>
                <w:spacing w:val="4"/>
                <w:sz w:val="20"/>
                <w:szCs w:val="20"/>
                <w:shd w:val="solid" w:color="000000" w:fill="000000"/>
                <w:fitText w:val="310" w:id="-1500863990"/>
                <w14:textFill>
                  <w14:solidFill>
                    <w14:srgbClr w14:val="000000">
                      <w14:alpha w14:val="100000"/>
                    </w14:srgbClr>
                  </w14:solidFill>
                </w14:textFill>
              </w:rPr>
              <w:t>|</w:t>
            </w:r>
          </w:p>
        </w:tc>
      </w:tr>
      <w:tr w:rsidR="00D95A9E" w:rsidRPr="00CB6395" w14:paraId="38AC8779" w14:textId="77777777" w:rsidTr="0067400F">
        <w:tc>
          <w:tcPr>
            <w:tcW w:w="3015" w:type="dxa"/>
            <w:tcBorders>
              <w:top w:val="single" w:sz="8" w:space="0" w:color="auto"/>
              <w:left w:val="single" w:sz="8" w:space="0" w:color="auto"/>
              <w:bottom w:val="single" w:sz="8" w:space="0" w:color="auto"/>
              <w:right w:val="single" w:sz="8" w:space="0" w:color="auto"/>
            </w:tcBorders>
          </w:tcPr>
          <w:p w14:paraId="588DD213" w14:textId="77777777" w:rsidR="00D95A9E" w:rsidRPr="00CB6395" w:rsidRDefault="00D95A9E" w:rsidP="008C7497">
            <w:r w:rsidRPr="00CB6395">
              <w:rPr>
                <w:rFonts w:ascii="Arial Narrow" w:eastAsia="Arial Narrow" w:hAnsi="Arial Narrow" w:cs="Arial Narrow"/>
                <w:sz w:val="20"/>
                <w:szCs w:val="20"/>
              </w:rPr>
              <w:t>Total medicine cost per week</w:t>
            </w:r>
          </w:p>
        </w:tc>
        <w:tc>
          <w:tcPr>
            <w:tcW w:w="3000" w:type="dxa"/>
            <w:tcBorders>
              <w:top w:val="single" w:sz="8" w:space="0" w:color="auto"/>
              <w:left w:val="single" w:sz="8" w:space="0" w:color="auto"/>
              <w:bottom w:val="single" w:sz="8" w:space="0" w:color="auto"/>
              <w:right w:val="single" w:sz="8" w:space="0" w:color="auto"/>
            </w:tcBorders>
          </w:tcPr>
          <w:p w14:paraId="53C11312" w14:textId="4BFF99FB" w:rsidR="00D95A9E" w:rsidRPr="00CB6395" w:rsidRDefault="00D95A9E" w:rsidP="008C7497">
            <w:r w:rsidRPr="00CB6395">
              <w:rPr>
                <w:rFonts w:ascii="Arial Narrow" w:eastAsia="Arial Narrow" w:hAnsi="Arial Narrow" w:cs="Arial Narrow"/>
                <w:sz w:val="20"/>
                <w:szCs w:val="20"/>
              </w:rPr>
              <w:t>$</w:t>
            </w:r>
            <w:r w:rsidR="00440ADF" w:rsidRPr="00285974">
              <w:rPr>
                <w:rFonts w:ascii="Arial Narrow" w:eastAsia="Arial Narrow" w:hAnsi="Arial Narrow" w:cs="Arial Narrow"/>
                <w:color w:val="000000"/>
                <w:spacing w:val="9"/>
                <w:sz w:val="20"/>
                <w:szCs w:val="20"/>
                <w:shd w:val="solid" w:color="000000" w:fill="000000"/>
                <w:fitText w:val="310" w:id="-1500863989"/>
                <w14:textFill>
                  <w14:solidFill>
                    <w14:srgbClr w14:val="000000">
                      <w14:alpha w14:val="100000"/>
                    </w14:srgbClr>
                  </w14:solidFill>
                </w14:textFill>
              </w:rPr>
              <w:t>||  |</w:t>
            </w:r>
            <w:r w:rsidR="00440ADF" w:rsidRPr="00285974">
              <w:rPr>
                <w:rFonts w:ascii="Arial Narrow" w:eastAsia="Arial Narrow" w:hAnsi="Arial Narrow" w:cs="Arial Narrow"/>
                <w:color w:val="000000"/>
                <w:spacing w:val="4"/>
                <w:sz w:val="20"/>
                <w:szCs w:val="20"/>
                <w:shd w:val="solid" w:color="000000" w:fill="000000"/>
                <w:fitText w:val="310" w:id="-1500863989"/>
                <w14:textFill>
                  <w14:solidFill>
                    <w14:srgbClr w14:val="000000">
                      <w14:alpha w14:val="100000"/>
                    </w14:srgbClr>
                  </w14:solidFill>
                </w14:textFill>
              </w:rPr>
              <w:t>|</w:t>
            </w:r>
          </w:p>
        </w:tc>
        <w:tc>
          <w:tcPr>
            <w:tcW w:w="3000" w:type="dxa"/>
            <w:tcBorders>
              <w:top w:val="single" w:sz="8" w:space="0" w:color="auto"/>
              <w:left w:val="single" w:sz="8" w:space="0" w:color="auto"/>
              <w:bottom w:val="single" w:sz="8" w:space="0" w:color="auto"/>
              <w:right w:val="single" w:sz="8" w:space="0" w:color="auto"/>
            </w:tcBorders>
          </w:tcPr>
          <w:p w14:paraId="31057028" w14:textId="441E5AE2" w:rsidR="00D95A9E" w:rsidRPr="002D5451" w:rsidRDefault="00D95A9E" w:rsidP="008C7497">
            <w:pPr>
              <w:rPr>
                <w:highlight w:val="yellow"/>
              </w:rPr>
            </w:pPr>
            <w:r w:rsidRPr="002D5451">
              <w:rPr>
                <w:rFonts w:ascii="Arial Narrow" w:eastAsia="Arial Narrow" w:hAnsi="Arial Narrow" w:cs="Arial Narrow"/>
                <w:sz w:val="20"/>
                <w:szCs w:val="20"/>
              </w:rPr>
              <w:t>$</w:t>
            </w:r>
            <w:r w:rsidR="00440ADF" w:rsidRPr="00285974">
              <w:rPr>
                <w:rFonts w:ascii="Arial Narrow" w:eastAsia="Arial Narrow" w:hAnsi="Arial Narrow" w:cs="Arial Narrow"/>
                <w:color w:val="000000"/>
                <w:spacing w:val="9"/>
                <w:sz w:val="20"/>
                <w:szCs w:val="20"/>
                <w:shd w:val="solid" w:color="000000" w:fill="000000"/>
                <w:fitText w:val="310" w:id="-1500863988"/>
                <w14:textFill>
                  <w14:solidFill>
                    <w14:srgbClr w14:val="000000">
                      <w14:alpha w14:val="100000"/>
                    </w14:srgbClr>
                  </w14:solidFill>
                </w14:textFill>
              </w:rPr>
              <w:t>||  |</w:t>
            </w:r>
            <w:r w:rsidR="00440ADF" w:rsidRPr="00285974">
              <w:rPr>
                <w:rFonts w:ascii="Arial Narrow" w:eastAsia="Arial Narrow" w:hAnsi="Arial Narrow" w:cs="Arial Narrow"/>
                <w:color w:val="000000"/>
                <w:spacing w:val="4"/>
                <w:sz w:val="20"/>
                <w:szCs w:val="20"/>
                <w:shd w:val="solid" w:color="000000" w:fill="000000"/>
                <w:fitText w:val="310" w:id="-1500863988"/>
                <w14:textFill>
                  <w14:solidFill>
                    <w14:srgbClr w14:val="000000">
                      <w14:alpha w14:val="100000"/>
                    </w14:srgbClr>
                  </w14:solidFill>
                </w14:textFill>
              </w:rPr>
              <w:t>|</w:t>
            </w:r>
          </w:p>
        </w:tc>
      </w:tr>
      <w:tr w:rsidR="0067400F" w:rsidRPr="00CB6395" w14:paraId="23E3C4D5" w14:textId="77777777" w:rsidTr="0067400F">
        <w:tc>
          <w:tcPr>
            <w:tcW w:w="3015" w:type="dxa"/>
            <w:tcBorders>
              <w:top w:val="single" w:sz="8" w:space="0" w:color="auto"/>
              <w:left w:val="single" w:sz="8" w:space="0" w:color="auto"/>
              <w:bottom w:val="single" w:sz="8" w:space="0" w:color="auto"/>
              <w:right w:val="single" w:sz="8" w:space="0" w:color="auto"/>
            </w:tcBorders>
          </w:tcPr>
          <w:p w14:paraId="4DD5F7BC" w14:textId="77777777" w:rsidR="0067400F" w:rsidRPr="00CB6395" w:rsidRDefault="0067400F" w:rsidP="008C7497">
            <w:r w:rsidRPr="00CB6395">
              <w:rPr>
                <w:rFonts w:ascii="Arial Narrow" w:eastAsia="Arial Narrow" w:hAnsi="Arial Narrow" w:cs="Arial Narrow"/>
                <w:sz w:val="20"/>
                <w:szCs w:val="20"/>
              </w:rPr>
              <w:t>Incremental cost</w:t>
            </w:r>
          </w:p>
        </w:tc>
        <w:tc>
          <w:tcPr>
            <w:tcW w:w="6000" w:type="dxa"/>
            <w:gridSpan w:val="2"/>
            <w:tcBorders>
              <w:top w:val="single" w:sz="8" w:space="0" w:color="auto"/>
              <w:left w:val="single" w:sz="8" w:space="0" w:color="auto"/>
              <w:bottom w:val="single" w:sz="8" w:space="0" w:color="auto"/>
              <w:right w:val="single" w:sz="8" w:space="0" w:color="auto"/>
            </w:tcBorders>
          </w:tcPr>
          <w:p w14:paraId="6ECF5B05" w14:textId="1BBB5FA1" w:rsidR="0067400F" w:rsidRPr="00CB6395" w:rsidRDefault="0067400F" w:rsidP="008C7497">
            <w:r w:rsidRPr="00CB6395">
              <w:rPr>
                <w:rFonts w:ascii="Arial Narrow" w:eastAsia="Arial Narrow" w:hAnsi="Arial Narrow" w:cs="Arial Narrow"/>
                <w:sz w:val="20"/>
                <w:szCs w:val="20"/>
              </w:rPr>
              <w:t>$</w:t>
            </w:r>
            <w:r w:rsidRPr="002D5451">
              <w:rPr>
                <w:rFonts w:ascii="Arial Narrow" w:eastAsia="Arial Narrow" w:hAnsi="Arial Narrow" w:cs="Arial Narrow"/>
                <w:sz w:val="20"/>
                <w:szCs w:val="20"/>
              </w:rPr>
              <w:t>0.00</w:t>
            </w:r>
          </w:p>
        </w:tc>
      </w:tr>
    </w:tbl>
    <w:p w14:paraId="7402D626" w14:textId="77777777" w:rsidR="00D95A9E" w:rsidRPr="00CB6395" w:rsidRDefault="00D95A9E" w:rsidP="00D95A9E">
      <w:r w:rsidRPr="00CB6395">
        <w:rPr>
          <w:rFonts w:ascii="Arial Narrow" w:eastAsia="Arial Narrow" w:hAnsi="Arial Narrow" w:cs="Arial Narrow"/>
          <w:sz w:val="18"/>
          <w:szCs w:val="18"/>
        </w:rPr>
        <w:t>Source: Table 3.4.2, p111 of the submission.</w:t>
      </w:r>
    </w:p>
    <w:p w14:paraId="0E36FD2A" w14:textId="0FC8B14B" w:rsidR="00D95A9E" w:rsidRPr="00CB6395" w:rsidRDefault="00D95A9E" w:rsidP="009A067A">
      <w:pPr>
        <w:pStyle w:val="TableFigureFooter"/>
      </w:pPr>
      <w:r w:rsidRPr="00CB6395">
        <w:rPr>
          <w:rFonts w:eastAsia="Arial Narrow"/>
        </w:rPr>
        <w:t>AEMP = approved ex-manufacturer price</w:t>
      </w:r>
    </w:p>
    <w:p w14:paraId="4A8A6882" w14:textId="705C0E8A" w:rsidR="00D95A9E" w:rsidRPr="003214C3" w:rsidRDefault="00D95A9E" w:rsidP="00740B37">
      <w:pPr>
        <w:pStyle w:val="3-BodyText"/>
        <w:rPr>
          <w:rFonts w:ascii="Calibri" w:hAnsi="Calibri"/>
        </w:rPr>
      </w:pPr>
      <w:r w:rsidRPr="007C58F9">
        <w:rPr>
          <w:rFonts w:eastAsia="Calibri"/>
        </w:rPr>
        <w:t xml:space="preserve">The submission claimed that the effective AEMP requested for </w:t>
      </w:r>
      <w:proofErr w:type="spellStart"/>
      <w:r w:rsidRPr="007C58F9">
        <w:rPr>
          <w:rFonts w:eastAsia="Calibri"/>
        </w:rPr>
        <w:t>somapacitan</w:t>
      </w:r>
      <w:proofErr w:type="spellEnd"/>
      <w:r w:rsidRPr="007C58F9">
        <w:rPr>
          <w:rFonts w:eastAsia="Calibri"/>
        </w:rPr>
        <w:t xml:space="preserve"> was potentially conservative. The submission performed </w:t>
      </w:r>
      <w:r w:rsidR="005315CE" w:rsidRPr="007C58F9">
        <w:rPr>
          <w:rFonts w:eastAsia="Calibri"/>
        </w:rPr>
        <w:t>a sensitivity</w:t>
      </w:r>
      <w:r w:rsidRPr="007C58F9">
        <w:rPr>
          <w:rFonts w:eastAsia="Calibri"/>
        </w:rPr>
        <w:t xml:space="preserve"> analysis whereby the submission used the weekly treatment doses derived from </w:t>
      </w:r>
      <w:r w:rsidR="00AE0510">
        <w:rPr>
          <w:rFonts w:eastAsia="Calibri"/>
        </w:rPr>
        <w:t xml:space="preserve">the </w:t>
      </w:r>
      <w:r w:rsidRPr="007C58F9">
        <w:rPr>
          <w:rFonts w:eastAsia="Calibri"/>
        </w:rPr>
        <w:t xml:space="preserve">mean treatment doses in the main phase of the REAL-1 study (as opposed to the </w:t>
      </w:r>
      <w:r w:rsidR="0067183F">
        <w:rPr>
          <w:rFonts w:eastAsia="Calibri"/>
        </w:rPr>
        <w:t xml:space="preserve">extension phase of the </w:t>
      </w:r>
      <w:r w:rsidRPr="007C58F9">
        <w:rPr>
          <w:rFonts w:eastAsia="Calibri"/>
        </w:rPr>
        <w:t xml:space="preserve">REAL-1 study in the base case analysis). At the effective AEMP for </w:t>
      </w:r>
      <w:proofErr w:type="spellStart"/>
      <w:r w:rsidRPr="007C58F9">
        <w:rPr>
          <w:rFonts w:eastAsia="Calibri"/>
        </w:rPr>
        <w:t>somapacitan</w:t>
      </w:r>
      <w:proofErr w:type="spellEnd"/>
      <w:r w:rsidRPr="007C58F9">
        <w:rPr>
          <w:rFonts w:eastAsia="Calibri"/>
        </w:rPr>
        <w:t xml:space="preserve"> $</w:t>
      </w:r>
      <w:proofErr w:type="gramStart"/>
      <w:r w:rsidR="00440ADF" w:rsidRPr="00AB6385">
        <w:rPr>
          <w:rFonts w:eastAsia="Calibri"/>
          <w:color w:val="000000"/>
          <w:w w:val="15"/>
          <w:shd w:val="solid" w:color="000000" w:fill="000000"/>
          <w:fitText w:val="-20" w:id="-1500863987"/>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87"/>
          <w14:textFill>
            <w14:solidFill>
              <w14:srgbClr w14:val="000000">
                <w14:alpha w14:val="100000"/>
              </w14:srgbClr>
            </w14:solidFill>
          </w14:textFill>
        </w:rPr>
        <w:t>|</w:t>
      </w:r>
      <w:proofErr w:type="gramEnd"/>
      <w:r w:rsidRPr="007C58F9">
        <w:rPr>
          <w:rFonts w:eastAsia="Calibri"/>
        </w:rPr>
        <w:t xml:space="preserve"> ($</w:t>
      </w:r>
      <w:r w:rsidR="00440ADF" w:rsidRPr="00AB6385">
        <w:rPr>
          <w:rFonts w:eastAsia="Calibri"/>
          <w:color w:val="000000"/>
          <w:w w:val="15"/>
          <w:shd w:val="solid" w:color="000000" w:fill="000000"/>
          <w:fitText w:val="-20" w:id="-1500863986"/>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86"/>
          <w14:textFill>
            <w14:solidFill>
              <w14:srgbClr w14:val="000000">
                <w14:alpha w14:val="100000"/>
              </w14:srgbClr>
            </w14:solidFill>
          </w14:textFill>
        </w:rPr>
        <w:t>|</w:t>
      </w:r>
      <w:r w:rsidRPr="007C58F9">
        <w:rPr>
          <w:rFonts w:eastAsia="Calibri"/>
        </w:rPr>
        <w:t xml:space="preserve"> per mg), the submission suggested that </w:t>
      </w:r>
      <w:proofErr w:type="spellStart"/>
      <w:r w:rsidRPr="007C58F9">
        <w:rPr>
          <w:rFonts w:eastAsia="Calibri"/>
        </w:rPr>
        <w:t>somapacitan</w:t>
      </w:r>
      <w:proofErr w:type="spellEnd"/>
      <w:r w:rsidRPr="007C58F9">
        <w:rPr>
          <w:rFonts w:eastAsia="Calibri"/>
        </w:rPr>
        <w:t xml:space="preserve"> may be cost-saving if the </w:t>
      </w:r>
      <w:proofErr w:type="spellStart"/>
      <w:r w:rsidRPr="007C58F9">
        <w:rPr>
          <w:rFonts w:eastAsia="Calibri"/>
        </w:rPr>
        <w:t>equi</w:t>
      </w:r>
      <w:proofErr w:type="spellEnd"/>
      <w:r w:rsidRPr="007C58F9">
        <w:rPr>
          <w:rFonts w:eastAsia="Calibri"/>
        </w:rPr>
        <w:t xml:space="preserve">-effective doses from the main phase were used in the cost-minimisation analysis (total medicine cost per week </w:t>
      </w:r>
      <w:proofErr w:type="spellStart"/>
      <w:r w:rsidRPr="007C58F9">
        <w:rPr>
          <w:rFonts w:eastAsia="Calibri"/>
        </w:rPr>
        <w:t>somapacitan</w:t>
      </w:r>
      <w:proofErr w:type="spellEnd"/>
      <w:r w:rsidRPr="007C58F9">
        <w:rPr>
          <w:rFonts w:eastAsia="Calibri"/>
        </w:rPr>
        <w:t xml:space="preserve"> $</w:t>
      </w:r>
      <w:r w:rsidR="00440ADF" w:rsidRPr="00AB6385">
        <w:rPr>
          <w:rFonts w:eastAsia="Calibri"/>
          <w:color w:val="000000"/>
          <w:w w:val="15"/>
          <w:shd w:val="solid" w:color="000000" w:fill="000000"/>
          <w:fitText w:val="-20" w:id="-1500863985"/>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85"/>
          <w14:textFill>
            <w14:solidFill>
              <w14:srgbClr w14:val="000000">
                <w14:alpha w14:val="100000"/>
              </w14:srgbClr>
            </w14:solidFill>
          </w14:textFill>
        </w:rPr>
        <w:t>|</w:t>
      </w:r>
      <w:r w:rsidRPr="007C58F9">
        <w:rPr>
          <w:rFonts w:eastAsia="Calibri"/>
        </w:rPr>
        <w:t xml:space="preserve"> versus somatropin $</w:t>
      </w:r>
      <w:r w:rsidR="00440ADF" w:rsidRPr="00AB6385">
        <w:rPr>
          <w:rFonts w:eastAsia="Calibri"/>
          <w:color w:val="000000"/>
          <w:w w:val="15"/>
          <w:shd w:val="solid" w:color="000000" w:fill="000000"/>
          <w:fitText w:val="-20" w:id="-1500863984"/>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84"/>
          <w14:textFill>
            <w14:solidFill>
              <w14:srgbClr w14:val="000000">
                <w14:alpha w14:val="100000"/>
              </w14:srgbClr>
            </w14:solidFill>
          </w14:textFill>
        </w:rPr>
        <w:t>|</w:t>
      </w:r>
      <w:r w:rsidRPr="007C58F9">
        <w:rPr>
          <w:rFonts w:eastAsia="Calibri"/>
        </w:rPr>
        <w:t>). The weekly dose relativity (</w:t>
      </w:r>
      <w:r w:rsidR="00CE6108" w:rsidRPr="007C58F9">
        <w:rPr>
          <w:rFonts w:eastAsia="Calibri"/>
        </w:rPr>
        <w:t>1</w:t>
      </w:r>
      <w:r w:rsidR="00CE6108">
        <w:rPr>
          <w:rFonts w:eastAsia="Calibri"/>
        </w:rPr>
        <w:t> </w:t>
      </w:r>
      <w:r w:rsidRPr="007C58F9">
        <w:rPr>
          <w:rFonts w:eastAsia="Calibri"/>
        </w:rPr>
        <w:t>mg somatropin = 1.</w:t>
      </w:r>
      <w:r w:rsidR="00CE6108" w:rsidRPr="007C58F9">
        <w:rPr>
          <w:rFonts w:eastAsia="Calibri"/>
        </w:rPr>
        <w:t>09</w:t>
      </w:r>
      <w:r w:rsidR="00CE6108">
        <w:rPr>
          <w:rFonts w:eastAsia="Calibri"/>
        </w:rPr>
        <w:t> </w:t>
      </w:r>
      <w:r w:rsidRPr="007C58F9">
        <w:rPr>
          <w:rFonts w:eastAsia="Calibri"/>
        </w:rPr>
        <w:t xml:space="preserve">mg </w:t>
      </w:r>
      <w:proofErr w:type="spellStart"/>
      <w:r w:rsidRPr="007C58F9">
        <w:rPr>
          <w:rFonts w:eastAsia="Calibri"/>
        </w:rPr>
        <w:t>somapacitan</w:t>
      </w:r>
      <w:proofErr w:type="spellEnd"/>
      <w:r w:rsidRPr="007C58F9">
        <w:rPr>
          <w:rFonts w:eastAsia="Calibri"/>
        </w:rPr>
        <w:t>) would support a higher cost-minimising effective AEMP of $</w:t>
      </w:r>
      <w:proofErr w:type="gramStart"/>
      <w:r w:rsidR="00440ADF" w:rsidRPr="00AB6385">
        <w:rPr>
          <w:rFonts w:eastAsia="Calibri"/>
          <w:color w:val="000000"/>
          <w:w w:val="15"/>
          <w:shd w:val="solid" w:color="000000" w:fill="000000"/>
          <w:fitText w:val="-20" w:id="-1500864000"/>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4000"/>
          <w14:textFill>
            <w14:solidFill>
              <w14:srgbClr w14:val="000000">
                <w14:alpha w14:val="100000"/>
              </w14:srgbClr>
            </w14:solidFill>
          </w14:textFill>
        </w:rPr>
        <w:t>|</w:t>
      </w:r>
      <w:proofErr w:type="gramEnd"/>
      <w:r w:rsidRPr="007C58F9">
        <w:rPr>
          <w:rFonts w:eastAsia="Calibri"/>
        </w:rPr>
        <w:t xml:space="preserve"> per mg for </w:t>
      </w:r>
      <w:proofErr w:type="spellStart"/>
      <w:r w:rsidRPr="007C58F9">
        <w:rPr>
          <w:rFonts w:eastAsia="Calibri"/>
        </w:rPr>
        <w:t>somapacitan</w:t>
      </w:r>
      <w:proofErr w:type="spellEnd"/>
      <w:r w:rsidRPr="007C58F9">
        <w:rPr>
          <w:rFonts w:eastAsia="Calibri"/>
        </w:rPr>
        <w:t xml:space="preserve"> ($</w:t>
      </w:r>
      <w:r w:rsidR="00440ADF" w:rsidRPr="00AB6385">
        <w:rPr>
          <w:rFonts w:eastAsia="Calibri"/>
          <w:color w:val="000000"/>
          <w:w w:val="15"/>
          <w:shd w:val="solid" w:color="000000" w:fill="000000"/>
          <w:fitText w:val="-20" w:id="-1500863999"/>
          <w14:textFill>
            <w14:solidFill>
              <w14:srgbClr w14:val="000000">
                <w14:alpha w14:val="100000"/>
              </w14:srgbClr>
            </w14:solidFill>
          </w14:textFill>
        </w:rPr>
        <w:t xml:space="preserve">|  </w:t>
      </w:r>
      <w:r w:rsidR="00440ADF" w:rsidRPr="00AB6385">
        <w:rPr>
          <w:rFonts w:eastAsia="Calibri"/>
          <w:color w:val="000000"/>
          <w:spacing w:val="-69"/>
          <w:w w:val="15"/>
          <w:shd w:val="solid" w:color="000000" w:fill="000000"/>
          <w:fitText w:val="-20" w:id="-1500863999"/>
          <w14:textFill>
            <w14:solidFill>
              <w14:srgbClr w14:val="000000">
                <w14:alpha w14:val="100000"/>
              </w14:srgbClr>
            </w14:solidFill>
          </w14:textFill>
        </w:rPr>
        <w:t>|</w:t>
      </w:r>
      <w:r w:rsidRPr="007C58F9">
        <w:rPr>
          <w:rFonts w:eastAsia="Calibri"/>
        </w:rPr>
        <w:t xml:space="preserve"> per week). </w:t>
      </w:r>
      <w:r w:rsidR="00074777" w:rsidRPr="003214C3">
        <w:rPr>
          <w:rFonts w:eastAsia="Calibri"/>
          <w:iCs/>
        </w:rPr>
        <w:t xml:space="preserve">This </w:t>
      </w:r>
      <w:r w:rsidR="000F4077" w:rsidRPr="003214C3">
        <w:rPr>
          <w:rFonts w:eastAsia="Calibri"/>
          <w:iCs/>
        </w:rPr>
        <w:t>wa</w:t>
      </w:r>
      <w:r w:rsidR="00074777" w:rsidRPr="003214C3">
        <w:rPr>
          <w:rFonts w:eastAsia="Calibri"/>
          <w:iCs/>
        </w:rPr>
        <w:t>s</w:t>
      </w:r>
      <w:r w:rsidRPr="003214C3">
        <w:rPr>
          <w:rFonts w:eastAsia="Calibri"/>
          <w:iCs/>
        </w:rPr>
        <w:t xml:space="preserve"> appropriate </w:t>
      </w:r>
      <w:r w:rsidR="00074777" w:rsidRPr="003214C3">
        <w:rPr>
          <w:rFonts w:eastAsia="Calibri"/>
          <w:iCs/>
        </w:rPr>
        <w:t>as a sensitivity analysis</w:t>
      </w:r>
      <w:r w:rsidR="00F20439">
        <w:rPr>
          <w:rFonts w:eastAsia="Calibri"/>
          <w:iCs/>
        </w:rPr>
        <w:t xml:space="preserve">, however, </w:t>
      </w:r>
      <w:r w:rsidR="00F20439">
        <w:rPr>
          <w:rFonts w:ascii="Calibri" w:eastAsia="Calibri" w:hAnsi="Calibri" w:cs="Calibri"/>
          <w:iCs/>
        </w:rPr>
        <w:t>t</w:t>
      </w:r>
      <w:r w:rsidR="007C58F9" w:rsidRPr="003214C3">
        <w:rPr>
          <w:rFonts w:ascii="Calibri" w:eastAsia="Calibri" w:hAnsi="Calibri" w:cs="Calibri"/>
          <w:iCs/>
        </w:rPr>
        <w:t xml:space="preserve">he evaluation noted </w:t>
      </w:r>
      <w:r w:rsidR="006A530A">
        <w:rPr>
          <w:rFonts w:ascii="Calibri" w:eastAsia="Calibri" w:hAnsi="Calibri" w:cs="Calibri"/>
          <w:iCs/>
        </w:rPr>
        <w:t xml:space="preserve">that </w:t>
      </w:r>
      <w:r w:rsidR="007C58F9" w:rsidRPr="003214C3">
        <w:rPr>
          <w:rFonts w:ascii="Calibri" w:eastAsia="Calibri" w:hAnsi="Calibri" w:cs="Calibri"/>
          <w:iCs/>
        </w:rPr>
        <w:t xml:space="preserve">the base case analysis was more appropriate for the comparative cost estimates between the two medicines given that the estimated </w:t>
      </w:r>
      <w:proofErr w:type="spellStart"/>
      <w:r w:rsidR="007C58F9" w:rsidRPr="003214C3">
        <w:rPr>
          <w:rFonts w:ascii="Calibri" w:eastAsia="Calibri" w:hAnsi="Calibri" w:cs="Calibri"/>
          <w:iCs/>
        </w:rPr>
        <w:t>equi</w:t>
      </w:r>
      <w:proofErr w:type="spellEnd"/>
      <w:r w:rsidR="007C58F9" w:rsidRPr="003214C3">
        <w:rPr>
          <w:rFonts w:ascii="Calibri" w:eastAsia="Calibri" w:hAnsi="Calibri" w:cs="Calibri"/>
          <w:iCs/>
        </w:rPr>
        <w:t xml:space="preserve">-effective doses were based on data from the </w:t>
      </w:r>
      <w:r w:rsidR="0067183F">
        <w:rPr>
          <w:rFonts w:ascii="Calibri" w:eastAsia="Calibri" w:hAnsi="Calibri" w:cs="Calibri"/>
          <w:iCs/>
        </w:rPr>
        <w:t xml:space="preserve">extension phase </w:t>
      </w:r>
      <w:r w:rsidR="007C58F9" w:rsidRPr="003214C3">
        <w:rPr>
          <w:rFonts w:ascii="Calibri" w:eastAsia="Calibri" w:hAnsi="Calibri" w:cs="Calibri"/>
          <w:iCs/>
        </w:rPr>
        <w:t>(which was used to support</w:t>
      </w:r>
      <w:r w:rsidR="00F20439">
        <w:rPr>
          <w:rFonts w:ascii="Calibri" w:eastAsia="Calibri" w:hAnsi="Calibri" w:cs="Calibri"/>
          <w:iCs/>
        </w:rPr>
        <w:t xml:space="preserve"> the</w:t>
      </w:r>
      <w:r w:rsidR="007C58F9" w:rsidRPr="003214C3">
        <w:rPr>
          <w:rFonts w:ascii="Calibri" w:eastAsia="Calibri" w:hAnsi="Calibri" w:cs="Calibri"/>
          <w:iCs/>
        </w:rPr>
        <w:t xml:space="preserve"> clinical claims of non-inferior effectiveness and safety). </w:t>
      </w:r>
      <w:r w:rsidR="00F20439">
        <w:rPr>
          <w:rFonts w:ascii="Calibri" w:eastAsia="Calibri" w:hAnsi="Calibri" w:cs="Calibri"/>
          <w:iCs/>
        </w:rPr>
        <w:t>The m</w:t>
      </w:r>
      <w:r w:rsidR="007C58F9" w:rsidRPr="003214C3">
        <w:rPr>
          <w:rFonts w:ascii="Calibri" w:eastAsia="Calibri" w:hAnsi="Calibri" w:cs="Calibri"/>
          <w:iCs/>
        </w:rPr>
        <w:t>ean treatment doses derived from the</w:t>
      </w:r>
      <w:r w:rsidR="0065487E">
        <w:rPr>
          <w:rFonts w:ascii="Calibri" w:eastAsia="Calibri" w:hAnsi="Calibri" w:cs="Calibri"/>
          <w:iCs/>
        </w:rPr>
        <w:t xml:space="preserve"> extension phase </w:t>
      </w:r>
      <w:r w:rsidR="007C58F9" w:rsidRPr="003214C3">
        <w:rPr>
          <w:rFonts w:ascii="Calibri" w:eastAsia="Calibri" w:hAnsi="Calibri" w:cs="Calibri"/>
          <w:iCs/>
        </w:rPr>
        <w:t>likely represented</w:t>
      </w:r>
      <w:r w:rsidR="00F20439">
        <w:rPr>
          <w:rFonts w:ascii="Calibri" w:eastAsia="Calibri" w:hAnsi="Calibri" w:cs="Calibri"/>
          <w:iCs/>
        </w:rPr>
        <w:t xml:space="preserve"> the</w:t>
      </w:r>
      <w:r w:rsidR="007C58F9" w:rsidRPr="003214C3">
        <w:rPr>
          <w:rFonts w:ascii="Calibri" w:eastAsia="Calibri" w:hAnsi="Calibri" w:cs="Calibri"/>
          <w:iCs/>
        </w:rPr>
        <w:t xml:space="preserve"> steady-state doses for </w:t>
      </w:r>
      <w:proofErr w:type="spellStart"/>
      <w:r w:rsidR="007C58F9" w:rsidRPr="003214C3">
        <w:rPr>
          <w:rFonts w:ascii="Calibri" w:eastAsia="Calibri" w:hAnsi="Calibri" w:cs="Calibri"/>
          <w:iCs/>
        </w:rPr>
        <w:t>somapacitan</w:t>
      </w:r>
      <w:proofErr w:type="spellEnd"/>
      <w:r w:rsidR="007C58F9" w:rsidRPr="003214C3">
        <w:rPr>
          <w:rFonts w:ascii="Calibri" w:eastAsia="Calibri" w:hAnsi="Calibri" w:cs="Calibri"/>
          <w:iCs/>
        </w:rPr>
        <w:t xml:space="preserve"> and somatropin.</w:t>
      </w:r>
    </w:p>
    <w:p w14:paraId="3AD81E1D" w14:textId="77777777" w:rsidR="00D95A9E" w:rsidRPr="00CB6395" w:rsidRDefault="00D95A9E" w:rsidP="00D95A9E">
      <w:pPr>
        <w:pStyle w:val="4-SubsectionHeading"/>
      </w:pPr>
      <w:bookmarkStart w:id="29" w:name="_Toc93488117"/>
      <w:r w:rsidRPr="00CB6395">
        <w:t>Drug cost/patient/year</w:t>
      </w:r>
      <w:bookmarkEnd w:id="29"/>
    </w:p>
    <w:p w14:paraId="5AE4474A" w14:textId="6254CB0F" w:rsidR="000449CE" w:rsidRDefault="00D95A9E" w:rsidP="00F0609B">
      <w:pPr>
        <w:pStyle w:val="3-BodyText"/>
      </w:pPr>
      <w:r w:rsidRPr="00CB6395">
        <w:t xml:space="preserve">At the requested effective AEMP for </w:t>
      </w:r>
      <w:proofErr w:type="spellStart"/>
      <w:r w:rsidRPr="00CB6395">
        <w:t>somapacitan</w:t>
      </w:r>
      <w:proofErr w:type="spellEnd"/>
      <w:r w:rsidRPr="00CB6395">
        <w:t xml:space="preserve"> ($</w:t>
      </w:r>
      <w:r w:rsidR="00440ADF" w:rsidRPr="00440ADF">
        <w:rPr>
          <w:color w:val="000000"/>
          <w:w w:val="60"/>
          <w:shd w:val="solid" w:color="000000" w:fill="000000"/>
          <w:fitText w:val="470" w:id="-1500863998"/>
          <w14:textFill>
            <w14:solidFill>
              <w14:srgbClr w14:val="000000">
                <w14:alpha w14:val="100000"/>
              </w14:srgbClr>
            </w14:solidFill>
          </w14:textFill>
        </w:rPr>
        <w:t>||</w:t>
      </w:r>
      <w:proofErr w:type="gramStart"/>
      <w:r w:rsidR="00440ADF" w:rsidRPr="00440ADF">
        <w:rPr>
          <w:color w:val="000000"/>
          <w:w w:val="60"/>
          <w:shd w:val="solid" w:color="000000" w:fill="000000"/>
          <w:fitText w:val="470" w:id="-1500863998"/>
          <w14:textFill>
            <w14:solidFill>
              <w14:srgbClr w14:val="000000">
                <w14:alpha w14:val="100000"/>
              </w14:srgbClr>
            </w14:solidFill>
          </w14:textFill>
        </w:rPr>
        <w:t>|  |</w:t>
      </w:r>
      <w:proofErr w:type="gramEnd"/>
      <w:r w:rsidR="00440ADF" w:rsidRPr="00440ADF">
        <w:rPr>
          <w:color w:val="000000"/>
          <w:w w:val="60"/>
          <w:shd w:val="solid" w:color="000000" w:fill="000000"/>
          <w:fitText w:val="470" w:id="-1500863998"/>
          <w14:textFill>
            <w14:solidFill>
              <w14:srgbClr w14:val="000000">
                <w14:alpha w14:val="100000"/>
              </w14:srgbClr>
            </w14:solidFill>
          </w14:textFill>
        </w:rPr>
        <w:t>|</w:t>
      </w:r>
      <w:r w:rsidR="00440ADF" w:rsidRPr="00440ADF">
        <w:rPr>
          <w:color w:val="000000"/>
          <w:spacing w:val="6"/>
          <w:w w:val="60"/>
          <w:shd w:val="solid" w:color="000000" w:fill="000000"/>
          <w:fitText w:val="470" w:id="-1500863998"/>
          <w14:textFill>
            <w14:solidFill>
              <w14:srgbClr w14:val="000000">
                <w14:alpha w14:val="100000"/>
              </w14:srgbClr>
            </w14:solidFill>
          </w14:textFill>
        </w:rPr>
        <w:t>|</w:t>
      </w:r>
      <w:r w:rsidRPr="00CB6395">
        <w:t xml:space="preserve">), the estimated cost per patient per year of </w:t>
      </w:r>
      <w:proofErr w:type="spellStart"/>
      <w:r w:rsidRPr="00CB6395">
        <w:t>somapacitan</w:t>
      </w:r>
      <w:proofErr w:type="spellEnd"/>
      <w:r w:rsidRPr="00CB6395">
        <w:t xml:space="preserve"> was $</w:t>
      </w:r>
      <w:r w:rsidR="00440ADF" w:rsidRPr="00AB6385">
        <w:rPr>
          <w:color w:val="000000"/>
          <w:w w:val="15"/>
          <w:shd w:val="solid" w:color="000000" w:fill="000000"/>
          <w:fitText w:val="-20" w:id="-1500863997"/>
          <w14:textFill>
            <w14:solidFill>
              <w14:srgbClr w14:val="000000">
                <w14:alpha w14:val="100000"/>
              </w14:srgbClr>
            </w14:solidFill>
          </w14:textFill>
        </w:rPr>
        <w:t xml:space="preserve">|  </w:t>
      </w:r>
      <w:r w:rsidR="00440ADF" w:rsidRPr="00AB6385">
        <w:rPr>
          <w:color w:val="000000"/>
          <w:spacing w:val="-69"/>
          <w:w w:val="15"/>
          <w:shd w:val="solid" w:color="000000" w:fill="000000"/>
          <w:fitText w:val="-20" w:id="-1500863997"/>
          <w14:textFill>
            <w14:solidFill>
              <w14:srgbClr w14:val="000000">
                <w14:alpha w14:val="100000"/>
              </w14:srgbClr>
            </w14:solidFill>
          </w14:textFill>
        </w:rPr>
        <w:t>|</w:t>
      </w:r>
      <w:r w:rsidRPr="00CB6395">
        <w:t xml:space="preserve"> </w:t>
      </w:r>
      <w:r w:rsidR="00CF43AC">
        <w:t>(</w:t>
      </w:r>
      <w:r w:rsidRPr="00CB6395">
        <w:t xml:space="preserve">based on </w:t>
      </w:r>
      <w:r w:rsidR="00CF43AC">
        <w:t xml:space="preserve">52 weeks x total medicine cost per week based on </w:t>
      </w:r>
      <w:r w:rsidRPr="00CB6395">
        <w:t xml:space="preserve">the </w:t>
      </w:r>
      <w:proofErr w:type="spellStart"/>
      <w:r w:rsidRPr="00CB6395">
        <w:t>equi</w:t>
      </w:r>
      <w:proofErr w:type="spellEnd"/>
      <w:r w:rsidRPr="00CB6395">
        <w:t xml:space="preserve">-effective dose calculated from the mean weekly treatment doses in the </w:t>
      </w:r>
      <w:r w:rsidR="0065487E">
        <w:t xml:space="preserve">extension phase of the </w:t>
      </w:r>
      <w:r w:rsidRPr="00CB6395">
        <w:t>REAL-1 study</w:t>
      </w:r>
      <w:r w:rsidR="00F0609B">
        <w:t>)</w:t>
      </w:r>
      <w:r w:rsidRPr="00CB6395">
        <w:t>.</w:t>
      </w:r>
    </w:p>
    <w:p w14:paraId="751FF476" w14:textId="61FA5037" w:rsidR="00D95A9E" w:rsidRPr="00CB6395" w:rsidRDefault="00D95A9E" w:rsidP="00D95A9E">
      <w:pPr>
        <w:pStyle w:val="4-SubsectionHeading"/>
      </w:pPr>
      <w:bookmarkStart w:id="30" w:name="_Toc22897647"/>
      <w:bookmarkStart w:id="31" w:name="_Toc22898859"/>
      <w:bookmarkStart w:id="32" w:name="_Toc93488118"/>
      <w:r w:rsidRPr="00CB6395">
        <w:t>Estimated PBS usage &amp; financial implications</w:t>
      </w:r>
      <w:bookmarkEnd w:id="30"/>
      <w:bookmarkEnd w:id="31"/>
      <w:bookmarkEnd w:id="32"/>
    </w:p>
    <w:p w14:paraId="65F24821" w14:textId="335A45E0" w:rsidR="00D95A9E" w:rsidRPr="00CB6395" w:rsidRDefault="00D95A9E" w:rsidP="00D95A9E">
      <w:pPr>
        <w:pStyle w:val="3-BodyText"/>
        <w:rPr>
          <w:color w:val="0066FF"/>
        </w:rPr>
      </w:pPr>
      <w:r w:rsidRPr="00CB6395">
        <w:t xml:space="preserve">This submission </w:t>
      </w:r>
      <w:r w:rsidR="00E872C7">
        <w:t xml:space="preserve">was </w:t>
      </w:r>
      <w:r w:rsidRPr="00CB6395">
        <w:t>not considered by DUSC</w:t>
      </w:r>
      <w:r w:rsidRPr="00CB6395">
        <w:rPr>
          <w:color w:val="0070C0"/>
        </w:rPr>
        <w:t>.</w:t>
      </w:r>
    </w:p>
    <w:p w14:paraId="5F9194D5" w14:textId="77AA85A3" w:rsidR="000449CE" w:rsidRDefault="00D95A9E" w:rsidP="00D95A9E">
      <w:pPr>
        <w:pStyle w:val="3-BodyText"/>
        <w:rPr>
          <w:rFonts w:ascii="Calibri" w:eastAsia="Calibri" w:hAnsi="Calibri" w:cs="Calibri"/>
        </w:rPr>
      </w:pPr>
      <w:r w:rsidRPr="00CB6395">
        <w:rPr>
          <w:rFonts w:ascii="Calibri" w:eastAsia="Calibri" w:hAnsi="Calibri" w:cs="Calibri"/>
        </w:rPr>
        <w:t>The submission</w:t>
      </w:r>
      <w:r w:rsidR="0065487E" w:rsidRPr="0065487E">
        <w:rPr>
          <w:rFonts w:ascii="Calibri" w:eastAsia="Calibri" w:hAnsi="Calibri" w:cs="Calibri"/>
        </w:rPr>
        <w:t xml:space="preserve"> </w:t>
      </w:r>
      <w:r w:rsidR="0065487E" w:rsidRPr="00CB6395">
        <w:rPr>
          <w:rFonts w:ascii="Calibri" w:eastAsia="Calibri" w:hAnsi="Calibri" w:cs="Calibri"/>
        </w:rPr>
        <w:t>us</w:t>
      </w:r>
      <w:r w:rsidR="0065487E">
        <w:rPr>
          <w:rFonts w:ascii="Calibri" w:eastAsia="Calibri" w:hAnsi="Calibri" w:cs="Calibri"/>
        </w:rPr>
        <w:t>ed</w:t>
      </w:r>
      <w:r w:rsidR="0065487E" w:rsidRPr="00CB6395">
        <w:rPr>
          <w:rFonts w:ascii="Calibri" w:eastAsia="Calibri" w:hAnsi="Calibri" w:cs="Calibri"/>
        </w:rPr>
        <w:t xml:space="preserve"> </w:t>
      </w:r>
      <w:r w:rsidR="0065487E">
        <w:rPr>
          <w:rFonts w:ascii="Calibri" w:eastAsia="Calibri" w:hAnsi="Calibri" w:cs="Calibri"/>
        </w:rPr>
        <w:t>a</w:t>
      </w:r>
      <w:r w:rsidR="0065487E" w:rsidRPr="00CB6395">
        <w:rPr>
          <w:rFonts w:ascii="Calibri" w:eastAsia="Calibri" w:hAnsi="Calibri" w:cs="Calibri"/>
        </w:rPr>
        <w:t xml:space="preserve"> market share approach</w:t>
      </w:r>
      <w:r w:rsidR="0065487E">
        <w:rPr>
          <w:rFonts w:ascii="Calibri" w:eastAsia="Calibri" w:hAnsi="Calibri" w:cs="Calibri"/>
        </w:rPr>
        <w:t xml:space="preserve"> to</w:t>
      </w:r>
      <w:r w:rsidRPr="00CB6395">
        <w:rPr>
          <w:rFonts w:ascii="Calibri" w:eastAsia="Calibri" w:hAnsi="Calibri" w:cs="Calibri"/>
        </w:rPr>
        <w:t xml:space="preserve"> estimate the net costs of the proposed PBS/RPBS listing of </w:t>
      </w:r>
      <w:proofErr w:type="spellStart"/>
      <w:r w:rsidRPr="00CB6395">
        <w:rPr>
          <w:rFonts w:ascii="Calibri" w:eastAsia="Calibri" w:hAnsi="Calibri" w:cs="Calibri"/>
        </w:rPr>
        <w:t>somapacitan</w:t>
      </w:r>
      <w:proofErr w:type="spellEnd"/>
      <w:r w:rsidRPr="00CB6395">
        <w:rPr>
          <w:rFonts w:ascii="Calibri" w:eastAsia="Calibri" w:hAnsi="Calibri" w:cs="Calibri"/>
        </w:rPr>
        <w:t xml:space="preserve"> when substituted for somatropin.</w:t>
      </w:r>
    </w:p>
    <w:p w14:paraId="38B48BD7" w14:textId="028FBEA6" w:rsidR="00D95A9E" w:rsidRPr="00CB6395" w:rsidRDefault="007C10CA" w:rsidP="00D95A9E">
      <w:pPr>
        <w:pStyle w:val="3-BodyText"/>
        <w:rPr>
          <w:color w:val="0066FF"/>
        </w:rPr>
      </w:pPr>
      <w:r w:rsidRPr="00CB6395">
        <w:rPr>
          <w:rFonts w:ascii="Calibri" w:eastAsia="Calibri" w:hAnsi="Calibri" w:cs="Calibri"/>
        </w:rPr>
        <w:t>The table below</w:t>
      </w:r>
      <w:r w:rsidR="00D95A9E" w:rsidRPr="00CB6395">
        <w:rPr>
          <w:rFonts w:ascii="Calibri" w:eastAsia="Calibri" w:hAnsi="Calibri" w:cs="Calibri"/>
        </w:rPr>
        <w:t xml:space="preserve"> summarises the main components and assumptions of the financial analysis used in the submission.</w:t>
      </w:r>
    </w:p>
    <w:p w14:paraId="0165973E" w14:textId="1EA9BCC1" w:rsidR="00D95A9E" w:rsidRPr="00CB6395" w:rsidRDefault="00D95A9E" w:rsidP="00EE0668">
      <w:pPr>
        <w:pStyle w:val="TableFigureHeading"/>
        <w:rPr>
          <w:rStyle w:val="CommentReference"/>
          <w:b/>
        </w:rPr>
      </w:pPr>
      <w:r w:rsidRPr="00CB6395">
        <w:rPr>
          <w:rStyle w:val="CommentReference"/>
          <w:b/>
        </w:rPr>
        <w:t xml:space="preserve">Table </w:t>
      </w:r>
      <w:r w:rsidR="005C5B11">
        <w:rPr>
          <w:rStyle w:val="CommentReference"/>
          <w:b/>
          <w:bCs w:val="0"/>
        </w:rPr>
        <w:t>8</w:t>
      </w:r>
      <w:r w:rsidRPr="00CB6395">
        <w:rPr>
          <w:rStyle w:val="CommentReference"/>
          <w:b/>
          <w:bCs w:val="0"/>
        </w:rPr>
        <w:t>:</w:t>
      </w:r>
      <w:r w:rsidRPr="00CB6395">
        <w:rPr>
          <w:rStyle w:val="CommentReference"/>
          <w:b/>
        </w:rPr>
        <w:t xml:space="preserve"> Data sources and parameter values applied in the utilisation and financial estimates</w:t>
      </w:r>
    </w:p>
    <w:tbl>
      <w:tblPr>
        <w:tblW w:w="0" w:type="auto"/>
        <w:tblLayout w:type="fixed"/>
        <w:tblLook w:val="06A0" w:firstRow="1" w:lastRow="0" w:firstColumn="1" w:lastColumn="0" w:noHBand="1" w:noVBand="1"/>
      </w:tblPr>
      <w:tblGrid>
        <w:gridCol w:w="1500"/>
        <w:gridCol w:w="1425"/>
        <w:gridCol w:w="3165"/>
        <w:gridCol w:w="2910"/>
      </w:tblGrid>
      <w:tr w:rsidR="00D95A9E" w:rsidRPr="00CB6395" w14:paraId="1618BF57" w14:textId="77777777" w:rsidTr="00560151">
        <w:trPr>
          <w:tblHeader/>
        </w:trPr>
        <w:tc>
          <w:tcPr>
            <w:tcW w:w="1500" w:type="dxa"/>
            <w:tcBorders>
              <w:top w:val="single" w:sz="8" w:space="0" w:color="auto"/>
              <w:left w:val="single" w:sz="8" w:space="0" w:color="auto"/>
              <w:bottom w:val="single" w:sz="8" w:space="0" w:color="auto"/>
              <w:right w:val="single" w:sz="8" w:space="0" w:color="auto"/>
            </w:tcBorders>
            <w:vAlign w:val="center"/>
          </w:tcPr>
          <w:p w14:paraId="3167DAB9" w14:textId="77777777" w:rsidR="00D95A9E" w:rsidRPr="00CB6395" w:rsidRDefault="00D95A9E" w:rsidP="00560151">
            <w:pPr>
              <w:keepNext/>
              <w:jc w:val="center"/>
            </w:pPr>
            <w:r w:rsidRPr="00CB6395">
              <w:rPr>
                <w:rFonts w:ascii="Arial Narrow" w:eastAsia="Arial Narrow" w:hAnsi="Arial Narrow" w:cs="Arial Narrow"/>
                <w:b/>
                <w:bCs/>
                <w:sz w:val="20"/>
                <w:szCs w:val="20"/>
              </w:rPr>
              <w:t>Data</w:t>
            </w:r>
          </w:p>
        </w:tc>
        <w:tc>
          <w:tcPr>
            <w:tcW w:w="1425" w:type="dxa"/>
            <w:tcBorders>
              <w:top w:val="single" w:sz="8" w:space="0" w:color="auto"/>
              <w:left w:val="single" w:sz="8" w:space="0" w:color="auto"/>
              <w:bottom w:val="single" w:sz="8" w:space="0" w:color="auto"/>
              <w:right w:val="single" w:sz="8" w:space="0" w:color="auto"/>
            </w:tcBorders>
            <w:vAlign w:val="center"/>
          </w:tcPr>
          <w:p w14:paraId="783EC3B2" w14:textId="77777777" w:rsidR="00D95A9E" w:rsidRPr="00CB6395" w:rsidRDefault="00D95A9E" w:rsidP="00560151">
            <w:pPr>
              <w:keepNext/>
              <w:jc w:val="center"/>
            </w:pPr>
            <w:r w:rsidRPr="00CB6395">
              <w:rPr>
                <w:rFonts w:ascii="Arial Narrow" w:eastAsia="Arial Narrow" w:hAnsi="Arial Narrow" w:cs="Arial Narrow"/>
                <w:b/>
                <w:bCs/>
                <w:sz w:val="20"/>
                <w:szCs w:val="20"/>
              </w:rPr>
              <w:t>Value</w:t>
            </w:r>
          </w:p>
        </w:tc>
        <w:tc>
          <w:tcPr>
            <w:tcW w:w="3165" w:type="dxa"/>
            <w:tcBorders>
              <w:top w:val="single" w:sz="8" w:space="0" w:color="auto"/>
              <w:left w:val="single" w:sz="8" w:space="0" w:color="auto"/>
              <w:bottom w:val="single" w:sz="8" w:space="0" w:color="auto"/>
              <w:right w:val="single" w:sz="8" w:space="0" w:color="auto"/>
            </w:tcBorders>
            <w:vAlign w:val="center"/>
          </w:tcPr>
          <w:p w14:paraId="1AE67CDD" w14:textId="77777777" w:rsidR="00D95A9E" w:rsidRPr="00CB6395" w:rsidRDefault="00D95A9E" w:rsidP="00560151">
            <w:pPr>
              <w:keepNext/>
              <w:jc w:val="center"/>
            </w:pPr>
            <w:r w:rsidRPr="00CB6395">
              <w:rPr>
                <w:rFonts w:ascii="Arial Narrow" w:eastAsia="Arial Narrow" w:hAnsi="Arial Narrow" w:cs="Arial Narrow"/>
                <w:b/>
                <w:bCs/>
                <w:sz w:val="20"/>
                <w:szCs w:val="20"/>
              </w:rPr>
              <w:t>Source</w:t>
            </w:r>
          </w:p>
        </w:tc>
        <w:tc>
          <w:tcPr>
            <w:tcW w:w="2910" w:type="dxa"/>
            <w:tcBorders>
              <w:top w:val="single" w:sz="8" w:space="0" w:color="auto"/>
              <w:left w:val="single" w:sz="8" w:space="0" w:color="auto"/>
              <w:bottom w:val="single" w:sz="8" w:space="0" w:color="auto"/>
              <w:right w:val="single" w:sz="8" w:space="0" w:color="auto"/>
            </w:tcBorders>
            <w:vAlign w:val="center"/>
          </w:tcPr>
          <w:p w14:paraId="1750E974" w14:textId="77777777" w:rsidR="00D95A9E" w:rsidRPr="00CB6395" w:rsidRDefault="00D95A9E" w:rsidP="00560151">
            <w:pPr>
              <w:keepNext/>
              <w:jc w:val="center"/>
            </w:pPr>
            <w:r w:rsidRPr="00CB6395">
              <w:rPr>
                <w:rFonts w:ascii="Arial Narrow" w:eastAsia="Arial Narrow" w:hAnsi="Arial Narrow" w:cs="Arial Narrow"/>
                <w:b/>
                <w:bCs/>
                <w:sz w:val="20"/>
                <w:szCs w:val="20"/>
              </w:rPr>
              <w:t>Comment</w:t>
            </w:r>
          </w:p>
        </w:tc>
      </w:tr>
      <w:tr w:rsidR="00D95A9E" w:rsidRPr="00CB6395" w14:paraId="663BC80A" w14:textId="77777777" w:rsidTr="008C7497">
        <w:tc>
          <w:tcPr>
            <w:tcW w:w="9000" w:type="dxa"/>
            <w:gridSpan w:val="4"/>
            <w:tcBorders>
              <w:top w:val="single" w:sz="8" w:space="0" w:color="auto"/>
              <w:left w:val="single" w:sz="8" w:space="0" w:color="auto"/>
              <w:bottom w:val="single" w:sz="8" w:space="0" w:color="auto"/>
              <w:right w:val="single" w:sz="8" w:space="0" w:color="auto"/>
            </w:tcBorders>
            <w:vAlign w:val="center"/>
          </w:tcPr>
          <w:p w14:paraId="4E7128EC" w14:textId="77777777" w:rsidR="00D95A9E" w:rsidRPr="00CB6395" w:rsidRDefault="00D95A9E" w:rsidP="00560151">
            <w:pPr>
              <w:keepNext/>
            </w:pPr>
            <w:r w:rsidRPr="00CB6395">
              <w:rPr>
                <w:rFonts w:ascii="Arial Narrow" w:eastAsia="Arial Narrow" w:hAnsi="Arial Narrow" w:cs="Arial Narrow"/>
                <w:b/>
                <w:bCs/>
                <w:sz w:val="20"/>
                <w:szCs w:val="20"/>
              </w:rPr>
              <w:t>Treatment utilisation</w:t>
            </w:r>
          </w:p>
        </w:tc>
      </w:tr>
      <w:tr w:rsidR="00D95A9E" w:rsidRPr="00CB6395" w14:paraId="6169CC85"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1E760D76" w14:textId="77777777" w:rsidR="00D95A9E" w:rsidRPr="00CB6395" w:rsidRDefault="00D95A9E" w:rsidP="00560151">
            <w:pPr>
              <w:keepNext/>
              <w:spacing w:line="240" w:lineRule="exact"/>
            </w:pPr>
            <w:r w:rsidRPr="00CB6395">
              <w:rPr>
                <w:rFonts w:ascii="Arial Narrow" w:eastAsia="Arial Narrow" w:hAnsi="Arial Narrow" w:cs="Arial Narrow"/>
                <w:sz w:val="20"/>
                <w:szCs w:val="20"/>
              </w:rPr>
              <w:t>Somatropin market growth</w:t>
            </w:r>
          </w:p>
        </w:tc>
        <w:tc>
          <w:tcPr>
            <w:tcW w:w="1425" w:type="dxa"/>
            <w:tcBorders>
              <w:top w:val="nil"/>
              <w:left w:val="single" w:sz="8" w:space="0" w:color="auto"/>
              <w:bottom w:val="single" w:sz="8" w:space="0" w:color="auto"/>
              <w:right w:val="single" w:sz="8" w:space="0" w:color="auto"/>
            </w:tcBorders>
            <w:vAlign w:val="center"/>
          </w:tcPr>
          <w:p w14:paraId="31EF3BF0" w14:textId="77777777" w:rsidR="00D95A9E" w:rsidRPr="00CB6395" w:rsidRDefault="00D95A9E" w:rsidP="00560151">
            <w:pPr>
              <w:keepNext/>
              <w:spacing w:line="240" w:lineRule="exact"/>
            </w:pPr>
            <w:r w:rsidRPr="00CB6395">
              <w:rPr>
                <w:rFonts w:ascii="Arial Narrow" w:eastAsia="Arial Narrow" w:hAnsi="Arial Narrow" w:cs="Arial Narrow"/>
                <w:sz w:val="20"/>
                <w:szCs w:val="20"/>
              </w:rPr>
              <w:t>Functional form: Logarithmic</w:t>
            </w:r>
          </w:p>
        </w:tc>
        <w:tc>
          <w:tcPr>
            <w:tcW w:w="3165" w:type="dxa"/>
            <w:tcBorders>
              <w:top w:val="nil"/>
              <w:left w:val="single" w:sz="8" w:space="0" w:color="auto"/>
              <w:bottom w:val="single" w:sz="8" w:space="0" w:color="auto"/>
              <w:right w:val="single" w:sz="8" w:space="0" w:color="auto"/>
            </w:tcBorders>
            <w:vAlign w:val="center"/>
          </w:tcPr>
          <w:p w14:paraId="41DB3862" w14:textId="74CB2E93" w:rsidR="00D95A9E" w:rsidRPr="00CB6395" w:rsidRDefault="0065487E" w:rsidP="00560151">
            <w:pPr>
              <w:keepNext/>
              <w:spacing w:line="240" w:lineRule="exact"/>
            </w:pPr>
            <w:r>
              <w:rPr>
                <w:rFonts w:ascii="Arial Narrow" w:eastAsia="Arial Narrow" w:hAnsi="Arial Narrow" w:cs="Arial Narrow"/>
                <w:sz w:val="20"/>
                <w:szCs w:val="20"/>
              </w:rPr>
              <w:t>The p</w:t>
            </w:r>
            <w:r w:rsidR="00D95A9E" w:rsidRPr="00CB6395">
              <w:rPr>
                <w:rFonts w:ascii="Arial Narrow" w:eastAsia="Arial Narrow" w:hAnsi="Arial Narrow" w:cs="Arial Narrow"/>
                <w:sz w:val="20"/>
                <w:szCs w:val="20"/>
              </w:rPr>
              <w:t xml:space="preserve">rojections of future somatropin market growth over the </w:t>
            </w:r>
            <w:r>
              <w:rPr>
                <w:rFonts w:ascii="Arial Narrow" w:eastAsia="Arial Narrow" w:hAnsi="Arial Narrow" w:cs="Arial Narrow"/>
                <w:sz w:val="20"/>
                <w:szCs w:val="20"/>
              </w:rPr>
              <w:t>next</w:t>
            </w:r>
            <w:r w:rsidRPr="00CB6395">
              <w:rPr>
                <w:rFonts w:ascii="Arial Narrow" w:eastAsia="Arial Narrow" w:hAnsi="Arial Narrow" w:cs="Arial Narrow"/>
                <w:sz w:val="20"/>
                <w:szCs w:val="20"/>
              </w:rPr>
              <w:t xml:space="preserve"> </w:t>
            </w:r>
            <w:r w:rsidR="00D95A9E" w:rsidRPr="00CB6395">
              <w:rPr>
                <w:rFonts w:ascii="Arial Narrow" w:eastAsia="Arial Narrow" w:hAnsi="Arial Narrow" w:cs="Arial Narrow"/>
                <w:sz w:val="20"/>
                <w:szCs w:val="20"/>
              </w:rPr>
              <w:t xml:space="preserve">six years were based on a logarithmic curve fitting to </w:t>
            </w:r>
            <w:r>
              <w:rPr>
                <w:rFonts w:ascii="Arial Narrow" w:eastAsia="Arial Narrow" w:hAnsi="Arial Narrow" w:cs="Arial Narrow"/>
                <w:sz w:val="20"/>
                <w:szCs w:val="20"/>
              </w:rPr>
              <w:t xml:space="preserve">the </w:t>
            </w:r>
            <w:r w:rsidR="00D95A9E" w:rsidRPr="00CB6395">
              <w:rPr>
                <w:rFonts w:ascii="Arial Narrow" w:eastAsia="Arial Narrow" w:hAnsi="Arial Narrow" w:cs="Arial Narrow"/>
                <w:sz w:val="20"/>
                <w:szCs w:val="20"/>
              </w:rPr>
              <w:t>historical Medicare Statistics data of dispensed units for somatropin PBS items restrict</w:t>
            </w:r>
            <w:r w:rsidR="00564F71">
              <w:rPr>
                <w:rFonts w:ascii="Arial Narrow" w:eastAsia="Arial Narrow" w:hAnsi="Arial Narrow" w:cs="Arial Narrow"/>
                <w:sz w:val="20"/>
                <w:szCs w:val="20"/>
              </w:rPr>
              <w:t>ed</w:t>
            </w:r>
            <w:r w:rsidR="00D95A9E" w:rsidRPr="00CB6395">
              <w:rPr>
                <w:rFonts w:ascii="Arial Narrow" w:eastAsia="Arial Narrow" w:hAnsi="Arial Narrow" w:cs="Arial Narrow"/>
                <w:sz w:val="20"/>
                <w:szCs w:val="20"/>
              </w:rPr>
              <w:t xml:space="preserve"> to AGHD from 2018-2020. The choice of functional form for </w:t>
            </w:r>
            <w:r>
              <w:rPr>
                <w:rFonts w:ascii="Arial Narrow" w:eastAsia="Arial Narrow" w:hAnsi="Arial Narrow" w:cs="Arial Narrow"/>
                <w:sz w:val="20"/>
                <w:szCs w:val="20"/>
              </w:rPr>
              <w:t xml:space="preserve">the </w:t>
            </w:r>
            <w:r w:rsidR="00D95A9E" w:rsidRPr="00CB6395">
              <w:rPr>
                <w:rFonts w:ascii="Arial Narrow" w:eastAsia="Arial Narrow" w:hAnsi="Arial Narrow" w:cs="Arial Narrow"/>
                <w:sz w:val="20"/>
                <w:szCs w:val="20"/>
              </w:rPr>
              <w:t>market predictions assumed that the future somatropin market growth was likely to plateau.</w:t>
            </w:r>
          </w:p>
        </w:tc>
        <w:tc>
          <w:tcPr>
            <w:tcW w:w="2910" w:type="dxa"/>
            <w:tcBorders>
              <w:top w:val="nil"/>
              <w:left w:val="single" w:sz="8" w:space="0" w:color="auto"/>
              <w:bottom w:val="single" w:sz="8" w:space="0" w:color="auto"/>
              <w:right w:val="single" w:sz="8" w:space="0" w:color="auto"/>
            </w:tcBorders>
            <w:vAlign w:val="center"/>
          </w:tcPr>
          <w:p w14:paraId="120EEB69" w14:textId="343A396A" w:rsidR="00D95A9E" w:rsidRPr="00CB6395" w:rsidRDefault="00D95A9E" w:rsidP="00DE69A2">
            <w:pPr>
              <w:keepNext/>
              <w:spacing w:line="240" w:lineRule="exact"/>
            </w:pPr>
            <w:r w:rsidRPr="003214C3">
              <w:rPr>
                <w:rFonts w:ascii="Arial Narrow" w:eastAsia="Arial Narrow" w:hAnsi="Arial Narrow" w:cs="Arial Narrow"/>
                <w:iCs/>
                <w:sz w:val="20"/>
                <w:szCs w:val="20"/>
              </w:rPr>
              <w:t xml:space="preserve">Uncertain. The submission did not provide appropriate justification for the likely future trend of the somatropin market growth. The data </w:t>
            </w:r>
            <w:r w:rsidR="00BB194D" w:rsidRPr="003214C3">
              <w:rPr>
                <w:rFonts w:ascii="Arial Narrow" w:eastAsia="Arial Narrow" w:hAnsi="Arial Narrow" w:cs="Arial Narrow"/>
                <w:iCs/>
                <w:sz w:val="20"/>
                <w:szCs w:val="20"/>
              </w:rPr>
              <w:t xml:space="preserve">were </w:t>
            </w:r>
            <w:r w:rsidRPr="003214C3">
              <w:rPr>
                <w:rFonts w:ascii="Arial Narrow" w:eastAsia="Arial Narrow" w:hAnsi="Arial Narrow" w:cs="Arial Narrow"/>
                <w:iCs/>
                <w:sz w:val="20"/>
                <w:szCs w:val="20"/>
              </w:rPr>
              <w:t>also likely too immature to predict major future trends in the market. The financial estimates are sensitive to somatropin market growth predictions.</w:t>
            </w:r>
          </w:p>
        </w:tc>
      </w:tr>
      <w:tr w:rsidR="00D95A9E" w:rsidRPr="00CB6395" w14:paraId="4DF43AE1"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32D7FF0E" w14:textId="77777777" w:rsidR="00D95A9E" w:rsidRPr="00CB6395" w:rsidRDefault="00D95A9E" w:rsidP="00560151">
            <w:pPr>
              <w:keepNext/>
            </w:pP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substitution rate</w:t>
            </w:r>
          </w:p>
        </w:tc>
        <w:tc>
          <w:tcPr>
            <w:tcW w:w="1425" w:type="dxa"/>
            <w:tcBorders>
              <w:top w:val="single" w:sz="8" w:space="0" w:color="auto"/>
              <w:left w:val="single" w:sz="8" w:space="0" w:color="auto"/>
              <w:bottom w:val="single" w:sz="8" w:space="0" w:color="auto"/>
              <w:right w:val="single" w:sz="8" w:space="0" w:color="auto"/>
            </w:tcBorders>
            <w:vAlign w:val="center"/>
          </w:tcPr>
          <w:p w14:paraId="236095C7" w14:textId="77777777"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1: 90%</w:t>
            </w:r>
          </w:p>
          <w:p w14:paraId="4B5EB707" w14:textId="77777777"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2: 100%</w:t>
            </w:r>
          </w:p>
          <w:p w14:paraId="0BA0692E" w14:textId="77777777"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3: 100%</w:t>
            </w:r>
          </w:p>
          <w:p w14:paraId="23EFB0D3" w14:textId="77777777"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4: 100%</w:t>
            </w:r>
          </w:p>
          <w:p w14:paraId="3D5F6173" w14:textId="77777777"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5: 100%</w:t>
            </w:r>
          </w:p>
          <w:p w14:paraId="0F2A479B" w14:textId="77777777"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6: 100%</w:t>
            </w:r>
          </w:p>
        </w:tc>
        <w:tc>
          <w:tcPr>
            <w:tcW w:w="3165" w:type="dxa"/>
            <w:tcBorders>
              <w:top w:val="single" w:sz="8" w:space="0" w:color="auto"/>
              <w:left w:val="single" w:sz="8" w:space="0" w:color="auto"/>
              <w:bottom w:val="single" w:sz="8" w:space="0" w:color="auto"/>
              <w:right w:val="single" w:sz="8" w:space="0" w:color="auto"/>
            </w:tcBorders>
            <w:vAlign w:val="center"/>
          </w:tcPr>
          <w:p w14:paraId="6409BC14" w14:textId="2C70E294" w:rsidR="00D95A9E" w:rsidRPr="00CB6395" w:rsidRDefault="00D95A9E" w:rsidP="00560151">
            <w:pPr>
              <w:keepNext/>
            </w:pPr>
            <w:r w:rsidRPr="00CB6395">
              <w:rPr>
                <w:rFonts w:ascii="Arial Narrow" w:eastAsia="Arial Narrow" w:hAnsi="Arial Narrow" w:cs="Arial Narrow"/>
                <w:sz w:val="20"/>
                <w:szCs w:val="20"/>
              </w:rPr>
              <w:t xml:space="preserve">The submission expected that all patients currently taking somatropin will switch to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The rate at which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would substitute for somatropin </w:t>
            </w:r>
            <w:r w:rsidR="00F57E17">
              <w:rPr>
                <w:rFonts w:ascii="Arial Narrow" w:eastAsia="Arial Narrow" w:hAnsi="Arial Narrow" w:cs="Arial Narrow"/>
                <w:sz w:val="20"/>
                <w:szCs w:val="20"/>
              </w:rPr>
              <w:t>wa</w:t>
            </w:r>
            <w:r w:rsidR="00F57E17" w:rsidRPr="00CB6395">
              <w:rPr>
                <w:rFonts w:ascii="Arial Narrow" w:eastAsia="Arial Narrow" w:hAnsi="Arial Narrow" w:cs="Arial Narrow"/>
                <w:sz w:val="20"/>
                <w:szCs w:val="20"/>
              </w:rPr>
              <w:t xml:space="preserve">s </w:t>
            </w:r>
            <w:r w:rsidRPr="00CB6395">
              <w:rPr>
                <w:rFonts w:ascii="Arial Narrow" w:eastAsia="Arial Narrow" w:hAnsi="Arial Narrow" w:cs="Arial Narrow"/>
                <w:sz w:val="20"/>
                <w:szCs w:val="20"/>
              </w:rPr>
              <w:t xml:space="preserve">expected to be 90% in year 1 and 100% thereafter. The submission stated that these substitution rates reflect the likely preference </w:t>
            </w:r>
            <w:r w:rsidR="00F57E17" w:rsidRPr="00CB6395">
              <w:rPr>
                <w:rFonts w:ascii="Arial Narrow" w:eastAsia="Arial Narrow" w:hAnsi="Arial Narrow" w:cs="Arial Narrow"/>
                <w:sz w:val="20"/>
                <w:szCs w:val="20"/>
              </w:rPr>
              <w:t xml:space="preserve">of the patient population </w:t>
            </w:r>
            <w:r w:rsidRPr="00CB6395">
              <w:rPr>
                <w:rFonts w:ascii="Arial Narrow" w:eastAsia="Arial Narrow" w:hAnsi="Arial Narrow" w:cs="Arial Narrow"/>
                <w:sz w:val="20"/>
                <w:szCs w:val="20"/>
              </w:rPr>
              <w:t>for the greater convenience</w:t>
            </w:r>
            <w:r w:rsidR="00F57E17">
              <w:rPr>
                <w:rFonts w:ascii="Arial Narrow" w:eastAsia="Arial Narrow" w:hAnsi="Arial Narrow" w:cs="Arial Narrow"/>
                <w:sz w:val="20"/>
                <w:szCs w:val="20"/>
              </w:rPr>
              <w:t xml:space="preserve"> of weekly dosing</w:t>
            </w:r>
            <w:r w:rsidRPr="00CB6395">
              <w:rPr>
                <w:rFonts w:ascii="Arial Narrow" w:eastAsia="Arial Narrow" w:hAnsi="Arial Narrow" w:cs="Arial Narrow"/>
                <w:sz w:val="20"/>
                <w:szCs w:val="20"/>
              </w:rPr>
              <w:t>.</w:t>
            </w:r>
          </w:p>
        </w:tc>
        <w:tc>
          <w:tcPr>
            <w:tcW w:w="2910" w:type="dxa"/>
            <w:tcBorders>
              <w:top w:val="single" w:sz="8" w:space="0" w:color="auto"/>
              <w:left w:val="single" w:sz="8" w:space="0" w:color="auto"/>
              <w:bottom w:val="single" w:sz="8" w:space="0" w:color="auto"/>
              <w:right w:val="single" w:sz="8" w:space="0" w:color="auto"/>
            </w:tcBorders>
            <w:vAlign w:val="center"/>
          </w:tcPr>
          <w:p w14:paraId="64814300" w14:textId="260A3BAD" w:rsidR="00D95A9E" w:rsidRPr="00CB6395" w:rsidRDefault="00D95A9E" w:rsidP="00DE69A2">
            <w:pPr>
              <w:keepNext/>
              <w:spacing w:line="240" w:lineRule="exact"/>
            </w:pPr>
            <w:r w:rsidRPr="003214C3">
              <w:rPr>
                <w:rFonts w:ascii="Arial Narrow" w:eastAsia="Arial Narrow" w:hAnsi="Arial Narrow" w:cs="Arial Narrow"/>
                <w:iCs/>
                <w:sz w:val="20"/>
                <w:szCs w:val="20"/>
              </w:rPr>
              <w:t>Uncertain. The submission did not provide appropriate justification for the substitution rate. The financial estimates are sensitive to the substitution rate.</w:t>
            </w:r>
          </w:p>
        </w:tc>
      </w:tr>
      <w:tr w:rsidR="00D95A9E" w:rsidRPr="00CB6395" w14:paraId="55AFFED8"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2D83A873" w14:textId="77777777" w:rsidR="00D95A9E" w:rsidRPr="00CB6395" w:rsidRDefault="00D95A9E" w:rsidP="00DE69A2">
            <w:pPr>
              <w:keepNext/>
              <w:spacing w:line="240" w:lineRule="exact"/>
              <w:jc w:val="left"/>
              <w:rPr>
                <w:rFonts w:ascii="Arial Narrow" w:eastAsia="Arial Narrow" w:hAnsi="Arial Narrow" w:cs="Arial Narrow"/>
                <w:sz w:val="20"/>
                <w:szCs w:val="20"/>
              </w:rPr>
            </w:pPr>
            <w:r w:rsidRPr="00CB6395">
              <w:rPr>
                <w:rFonts w:ascii="Arial Narrow" w:eastAsia="Arial Narrow" w:hAnsi="Arial Narrow" w:cs="Arial Narrow"/>
                <w:sz w:val="20"/>
                <w:szCs w:val="20"/>
              </w:rPr>
              <w:t xml:space="preserve">Projected volumes of somatropin to be impacted by the introduction of </w:t>
            </w:r>
            <w:proofErr w:type="spellStart"/>
            <w:r w:rsidRPr="00CB6395">
              <w:rPr>
                <w:rFonts w:ascii="Arial Narrow" w:eastAsia="Arial Narrow" w:hAnsi="Arial Narrow" w:cs="Arial Narrow"/>
                <w:sz w:val="20"/>
                <w:szCs w:val="20"/>
              </w:rPr>
              <w:t>somapacitan</w:t>
            </w:r>
            <w:proofErr w:type="spellEnd"/>
          </w:p>
        </w:tc>
        <w:tc>
          <w:tcPr>
            <w:tcW w:w="1425" w:type="dxa"/>
            <w:tcBorders>
              <w:top w:val="single" w:sz="8" w:space="0" w:color="auto"/>
              <w:left w:val="single" w:sz="8" w:space="0" w:color="auto"/>
              <w:bottom w:val="single" w:sz="8" w:space="0" w:color="auto"/>
              <w:right w:val="single" w:sz="8" w:space="0" w:color="auto"/>
            </w:tcBorders>
            <w:vAlign w:val="center"/>
          </w:tcPr>
          <w:p w14:paraId="0660A7E2" w14:textId="764B3D2D" w:rsidR="00D06D79" w:rsidRDefault="00D06D79" w:rsidP="00560151">
            <w:pPr>
              <w:keepNext/>
              <w:rPr>
                <w:rFonts w:ascii="Arial Narrow" w:eastAsia="Arial Narrow" w:hAnsi="Arial Narrow" w:cs="Arial Narrow"/>
                <w:sz w:val="20"/>
                <w:szCs w:val="20"/>
              </w:rPr>
            </w:pPr>
            <w:proofErr w:type="spellStart"/>
            <w:r>
              <w:rPr>
                <w:rFonts w:ascii="Arial Narrow" w:eastAsia="Arial Narrow" w:hAnsi="Arial Narrow" w:cs="Arial Narrow"/>
                <w:sz w:val="20"/>
                <w:szCs w:val="20"/>
              </w:rPr>
              <w:t>Yr</w:t>
            </w:r>
            <w:proofErr w:type="spellEnd"/>
            <w:r>
              <w:rPr>
                <w:rFonts w:ascii="Arial Narrow" w:eastAsia="Arial Narrow" w:hAnsi="Arial Narrow" w:cs="Arial Narrow"/>
                <w:sz w:val="20"/>
                <w:szCs w:val="20"/>
              </w:rPr>
              <w:t xml:space="preserve"> 1: 7,861</w:t>
            </w:r>
          </w:p>
          <w:p w14:paraId="2EE20E08" w14:textId="5599B535" w:rsidR="00D95A9E" w:rsidRPr="00CB6395" w:rsidRDefault="00D95A9E" w:rsidP="00560151">
            <w:pPr>
              <w:keepNext/>
            </w:pPr>
            <w:proofErr w:type="spellStart"/>
            <w:r w:rsidRPr="00CB6395">
              <w:rPr>
                <w:rFonts w:ascii="Arial Narrow" w:eastAsia="Arial Narrow" w:hAnsi="Arial Narrow" w:cs="Arial Narrow"/>
                <w:sz w:val="20"/>
                <w:szCs w:val="20"/>
              </w:rPr>
              <w:t>Yr</w:t>
            </w:r>
            <w:proofErr w:type="spellEnd"/>
            <w:r w:rsidRPr="00CB6395">
              <w:rPr>
                <w:rFonts w:ascii="Arial Narrow" w:eastAsia="Arial Narrow" w:hAnsi="Arial Narrow" w:cs="Arial Narrow"/>
                <w:sz w:val="20"/>
                <w:szCs w:val="20"/>
              </w:rPr>
              <w:t xml:space="preserve"> </w:t>
            </w:r>
            <w:r w:rsidR="00D06D79">
              <w:rPr>
                <w:rFonts w:ascii="Arial Narrow" w:eastAsia="Arial Narrow" w:hAnsi="Arial Narrow" w:cs="Arial Narrow"/>
                <w:sz w:val="20"/>
                <w:szCs w:val="20"/>
              </w:rPr>
              <w:t>2</w:t>
            </w:r>
            <w:r w:rsidRPr="00CB6395">
              <w:rPr>
                <w:rFonts w:ascii="Arial Narrow" w:eastAsia="Arial Narrow" w:hAnsi="Arial Narrow" w:cs="Arial Narrow"/>
                <w:sz w:val="20"/>
                <w:szCs w:val="20"/>
              </w:rPr>
              <w:t>: 9,680</w:t>
            </w:r>
          </w:p>
          <w:p w14:paraId="314122F9" w14:textId="15B231D9" w:rsidR="00D95A9E" w:rsidRPr="00CB6395" w:rsidRDefault="00D06D79" w:rsidP="00560151">
            <w:pPr>
              <w:keepNext/>
            </w:pPr>
            <w:proofErr w:type="spellStart"/>
            <w:r>
              <w:rPr>
                <w:rFonts w:ascii="Arial Narrow" w:eastAsia="Arial Narrow" w:hAnsi="Arial Narrow" w:cs="Arial Narrow"/>
                <w:sz w:val="20"/>
                <w:szCs w:val="20"/>
              </w:rPr>
              <w:t>Yr</w:t>
            </w:r>
            <w:proofErr w:type="spellEnd"/>
            <w:r>
              <w:rPr>
                <w:rFonts w:ascii="Arial Narrow" w:eastAsia="Arial Narrow" w:hAnsi="Arial Narrow" w:cs="Arial Narrow"/>
                <w:sz w:val="20"/>
                <w:szCs w:val="20"/>
              </w:rPr>
              <w:t xml:space="preserve"> 3</w:t>
            </w:r>
            <w:r w:rsidR="00D95A9E" w:rsidRPr="00CB6395">
              <w:rPr>
                <w:rFonts w:ascii="Arial Narrow" w:eastAsia="Arial Narrow" w:hAnsi="Arial Narrow" w:cs="Arial Narrow"/>
                <w:sz w:val="20"/>
                <w:szCs w:val="20"/>
              </w:rPr>
              <w:t>: 10,341</w:t>
            </w:r>
          </w:p>
          <w:p w14:paraId="2AE76AAC" w14:textId="1504604B" w:rsidR="00D95A9E" w:rsidRPr="00CB6395" w:rsidRDefault="00D06D79" w:rsidP="00560151">
            <w:pPr>
              <w:keepNext/>
              <w:spacing w:line="240" w:lineRule="exact"/>
            </w:pPr>
            <w:proofErr w:type="spellStart"/>
            <w:r>
              <w:rPr>
                <w:rFonts w:ascii="Arial Narrow" w:eastAsia="Arial Narrow" w:hAnsi="Arial Narrow" w:cs="Arial Narrow"/>
                <w:sz w:val="20"/>
                <w:szCs w:val="20"/>
              </w:rPr>
              <w:t>Yr</w:t>
            </w:r>
            <w:proofErr w:type="spellEnd"/>
            <w:r>
              <w:rPr>
                <w:rFonts w:ascii="Arial Narrow" w:eastAsia="Arial Narrow" w:hAnsi="Arial Narrow" w:cs="Arial Narrow"/>
                <w:sz w:val="20"/>
                <w:szCs w:val="20"/>
              </w:rPr>
              <w:t xml:space="preserve"> 4</w:t>
            </w:r>
            <w:r w:rsidR="00D95A9E" w:rsidRPr="00CB6395">
              <w:rPr>
                <w:rFonts w:ascii="Arial Narrow" w:eastAsia="Arial Narrow" w:hAnsi="Arial Narrow" w:cs="Arial Narrow"/>
                <w:sz w:val="20"/>
                <w:szCs w:val="20"/>
              </w:rPr>
              <w:t>: 10,893</w:t>
            </w:r>
          </w:p>
          <w:p w14:paraId="0AF41584" w14:textId="72578D78" w:rsidR="00D95A9E" w:rsidRPr="00CB6395" w:rsidRDefault="00D06D79" w:rsidP="00560151">
            <w:pPr>
              <w:keepNext/>
              <w:spacing w:line="240" w:lineRule="exact"/>
            </w:pPr>
            <w:proofErr w:type="spellStart"/>
            <w:r>
              <w:rPr>
                <w:rFonts w:ascii="Arial Narrow" w:eastAsia="Arial Narrow" w:hAnsi="Arial Narrow" w:cs="Arial Narrow"/>
                <w:sz w:val="20"/>
                <w:szCs w:val="20"/>
              </w:rPr>
              <w:t>Yr</w:t>
            </w:r>
            <w:proofErr w:type="spellEnd"/>
            <w:r>
              <w:rPr>
                <w:rFonts w:ascii="Arial Narrow" w:eastAsia="Arial Narrow" w:hAnsi="Arial Narrow" w:cs="Arial Narrow"/>
                <w:sz w:val="20"/>
                <w:szCs w:val="20"/>
              </w:rPr>
              <w:t xml:space="preserve"> 5</w:t>
            </w:r>
            <w:r w:rsidR="00D95A9E" w:rsidRPr="00CB6395">
              <w:rPr>
                <w:rFonts w:ascii="Arial Narrow" w:eastAsia="Arial Narrow" w:hAnsi="Arial Narrow" w:cs="Arial Narrow"/>
                <w:sz w:val="20"/>
                <w:szCs w:val="20"/>
              </w:rPr>
              <w:t>: 11,368</w:t>
            </w:r>
          </w:p>
          <w:p w14:paraId="3EBF0BBD" w14:textId="5ED0FF70" w:rsidR="00D95A9E" w:rsidRPr="00CB6395" w:rsidRDefault="00D06D79" w:rsidP="00CF43AC">
            <w:pPr>
              <w:keepNext/>
            </w:pPr>
            <w:proofErr w:type="spellStart"/>
            <w:r>
              <w:rPr>
                <w:rFonts w:ascii="Arial Narrow" w:eastAsia="Arial Narrow" w:hAnsi="Arial Narrow" w:cs="Arial Narrow"/>
                <w:sz w:val="20"/>
                <w:szCs w:val="20"/>
              </w:rPr>
              <w:t>Yr</w:t>
            </w:r>
            <w:proofErr w:type="spellEnd"/>
            <w:r>
              <w:rPr>
                <w:rFonts w:ascii="Arial Narrow" w:eastAsia="Arial Narrow" w:hAnsi="Arial Narrow" w:cs="Arial Narrow"/>
                <w:sz w:val="20"/>
                <w:szCs w:val="20"/>
              </w:rPr>
              <w:t xml:space="preserve"> 6</w:t>
            </w:r>
            <w:r w:rsidR="00D95A9E" w:rsidRPr="00CB6395">
              <w:rPr>
                <w:rFonts w:ascii="Arial Narrow" w:eastAsia="Arial Narrow" w:hAnsi="Arial Narrow" w:cs="Arial Narrow"/>
                <w:sz w:val="20"/>
                <w:szCs w:val="20"/>
              </w:rPr>
              <w:t>: 11,</w:t>
            </w:r>
            <w:r w:rsidR="00CF43AC">
              <w:rPr>
                <w:rFonts w:ascii="Arial Narrow" w:eastAsia="Arial Narrow" w:hAnsi="Arial Narrow" w:cs="Arial Narrow"/>
                <w:sz w:val="20"/>
                <w:szCs w:val="20"/>
              </w:rPr>
              <w:t>7</w:t>
            </w:r>
            <w:r w:rsidR="00D95A9E" w:rsidRPr="00CB6395">
              <w:rPr>
                <w:rFonts w:ascii="Arial Narrow" w:eastAsia="Arial Narrow" w:hAnsi="Arial Narrow" w:cs="Arial Narrow"/>
                <w:sz w:val="20"/>
                <w:szCs w:val="20"/>
              </w:rPr>
              <w:t>83</w:t>
            </w:r>
          </w:p>
        </w:tc>
        <w:tc>
          <w:tcPr>
            <w:tcW w:w="3165" w:type="dxa"/>
            <w:tcBorders>
              <w:top w:val="single" w:sz="8" w:space="0" w:color="auto"/>
              <w:left w:val="single" w:sz="8" w:space="0" w:color="auto"/>
              <w:bottom w:val="single" w:sz="8" w:space="0" w:color="auto"/>
              <w:right w:val="single" w:sz="8" w:space="0" w:color="auto"/>
            </w:tcBorders>
            <w:vAlign w:val="center"/>
          </w:tcPr>
          <w:p w14:paraId="42322C8C" w14:textId="01B120EF" w:rsidR="00D95A9E" w:rsidRPr="00CB6395" w:rsidRDefault="00D95A9E" w:rsidP="00560151">
            <w:pPr>
              <w:keepNext/>
              <w:spacing w:line="240" w:lineRule="exact"/>
            </w:pPr>
            <w:r w:rsidRPr="00CB6395">
              <w:rPr>
                <w:rFonts w:ascii="Arial Narrow" w:eastAsia="Arial Narrow" w:hAnsi="Arial Narrow" w:cs="Arial Narrow"/>
                <w:sz w:val="20"/>
                <w:szCs w:val="20"/>
              </w:rPr>
              <w:t xml:space="preserve">The projected volumes of somatropin impacted by the introduction of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were derived by applying the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substitution rates to the forecasted dispensed units of somatropin in each year.</w:t>
            </w:r>
          </w:p>
        </w:tc>
        <w:tc>
          <w:tcPr>
            <w:tcW w:w="2910" w:type="dxa"/>
            <w:tcBorders>
              <w:top w:val="single" w:sz="8" w:space="0" w:color="auto"/>
              <w:left w:val="single" w:sz="8" w:space="0" w:color="auto"/>
              <w:bottom w:val="single" w:sz="8" w:space="0" w:color="auto"/>
              <w:right w:val="single" w:sz="8" w:space="0" w:color="auto"/>
            </w:tcBorders>
            <w:vAlign w:val="center"/>
          </w:tcPr>
          <w:p w14:paraId="19E3DD5D" w14:textId="3428F7E7" w:rsidR="00D95A9E" w:rsidRPr="00CB6395" w:rsidRDefault="00D95A9E" w:rsidP="00560151">
            <w:pPr>
              <w:keepNext/>
              <w:spacing w:line="240" w:lineRule="exact"/>
            </w:pPr>
            <w:r w:rsidRPr="003214C3">
              <w:rPr>
                <w:rFonts w:ascii="Arial Narrow" w:eastAsia="Arial Narrow" w:hAnsi="Arial Narrow" w:cs="Arial Narrow"/>
                <w:iCs/>
                <w:sz w:val="20"/>
                <w:szCs w:val="20"/>
              </w:rPr>
              <w:t xml:space="preserve">Uncertain. The forecasted volume based on the somatropin market growth and the </w:t>
            </w:r>
            <w:proofErr w:type="spellStart"/>
            <w:r w:rsidRPr="003214C3">
              <w:rPr>
                <w:rFonts w:ascii="Arial Narrow" w:eastAsia="Arial Narrow" w:hAnsi="Arial Narrow" w:cs="Arial Narrow"/>
                <w:iCs/>
                <w:sz w:val="20"/>
                <w:szCs w:val="20"/>
              </w:rPr>
              <w:t>som</w:t>
            </w:r>
            <w:r w:rsidR="007C10CA" w:rsidRPr="003214C3">
              <w:rPr>
                <w:rFonts w:ascii="Arial Narrow" w:eastAsia="Arial Narrow" w:hAnsi="Arial Narrow" w:cs="Arial Narrow"/>
                <w:iCs/>
                <w:sz w:val="20"/>
                <w:szCs w:val="20"/>
              </w:rPr>
              <w:t>a</w:t>
            </w:r>
            <w:r w:rsidRPr="003214C3">
              <w:rPr>
                <w:rFonts w:ascii="Arial Narrow" w:eastAsia="Arial Narrow" w:hAnsi="Arial Narrow" w:cs="Arial Narrow"/>
                <w:iCs/>
                <w:sz w:val="20"/>
                <w:szCs w:val="20"/>
              </w:rPr>
              <w:t>pacitan</w:t>
            </w:r>
            <w:proofErr w:type="spellEnd"/>
            <w:r w:rsidRPr="003214C3">
              <w:rPr>
                <w:rFonts w:ascii="Arial Narrow" w:eastAsia="Arial Narrow" w:hAnsi="Arial Narrow" w:cs="Arial Narrow"/>
                <w:iCs/>
                <w:sz w:val="20"/>
                <w:szCs w:val="20"/>
              </w:rPr>
              <w:t xml:space="preserve"> substitution rate are uncertain.</w:t>
            </w:r>
          </w:p>
        </w:tc>
      </w:tr>
      <w:tr w:rsidR="00D95A9E" w:rsidRPr="00CB6395" w14:paraId="58E0B118"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5BD077F0" w14:textId="77777777" w:rsidR="00D95A9E" w:rsidRPr="00CB6395" w:rsidRDefault="00D95A9E" w:rsidP="00DE69A2">
            <w:pPr>
              <w:keepNext/>
              <w:spacing w:line="240" w:lineRule="exact"/>
              <w:jc w:val="left"/>
              <w:rPr>
                <w:rFonts w:ascii="Arial Narrow" w:eastAsia="Arial Narrow" w:hAnsi="Arial Narrow" w:cs="Arial Narrow"/>
                <w:sz w:val="20"/>
                <w:szCs w:val="20"/>
              </w:rPr>
            </w:pPr>
            <w:r w:rsidRPr="00CB6395">
              <w:rPr>
                <w:rFonts w:ascii="Arial Narrow" w:eastAsia="Arial Narrow" w:hAnsi="Arial Narrow" w:cs="Arial Narrow"/>
                <w:sz w:val="20"/>
                <w:szCs w:val="20"/>
              </w:rPr>
              <w:t xml:space="preserve">Mean treatment dose of </w:t>
            </w:r>
            <w:proofErr w:type="spellStart"/>
            <w:r w:rsidRPr="00CB6395">
              <w:rPr>
                <w:rFonts w:ascii="Arial Narrow" w:eastAsia="Arial Narrow" w:hAnsi="Arial Narrow" w:cs="Arial Narrow"/>
                <w:sz w:val="20"/>
                <w:szCs w:val="20"/>
              </w:rPr>
              <w:t>somapacitan</w:t>
            </w:r>
            <w:proofErr w:type="spellEnd"/>
          </w:p>
        </w:tc>
        <w:tc>
          <w:tcPr>
            <w:tcW w:w="1425" w:type="dxa"/>
            <w:tcBorders>
              <w:top w:val="single" w:sz="8" w:space="0" w:color="auto"/>
              <w:left w:val="single" w:sz="8" w:space="0" w:color="auto"/>
              <w:bottom w:val="single" w:sz="8" w:space="0" w:color="auto"/>
              <w:right w:val="single" w:sz="8" w:space="0" w:color="auto"/>
            </w:tcBorders>
            <w:vAlign w:val="center"/>
          </w:tcPr>
          <w:p w14:paraId="6796195D" w14:textId="44358EC0" w:rsidR="00D95A9E" w:rsidRPr="00CB6395" w:rsidRDefault="00D95A9E" w:rsidP="00560151">
            <w:pPr>
              <w:keepNext/>
              <w:spacing w:line="240" w:lineRule="exact"/>
            </w:pPr>
            <w:r w:rsidRPr="00CB6395">
              <w:rPr>
                <w:rFonts w:ascii="Arial Narrow" w:eastAsia="Arial Narrow" w:hAnsi="Arial Narrow" w:cs="Arial Narrow"/>
                <w:sz w:val="20"/>
                <w:szCs w:val="20"/>
              </w:rPr>
              <w:t>Weekly: 2.33</w:t>
            </w:r>
            <w:r w:rsidR="004B323C" w:rsidRPr="00CB6395">
              <w:rPr>
                <w:rFonts w:ascii="Arial Narrow" w:eastAsia="Arial Narrow" w:hAnsi="Arial Narrow" w:cs="Arial Narrow"/>
                <w:sz w:val="20"/>
                <w:szCs w:val="20"/>
              </w:rPr>
              <w:t> </w:t>
            </w:r>
            <w:r w:rsidRPr="00CB6395">
              <w:rPr>
                <w:rFonts w:ascii="Arial Narrow" w:eastAsia="Arial Narrow" w:hAnsi="Arial Narrow" w:cs="Arial Narrow"/>
                <w:sz w:val="20"/>
                <w:szCs w:val="20"/>
              </w:rPr>
              <w:t>mg</w:t>
            </w:r>
          </w:p>
          <w:p w14:paraId="0457E333" w14:textId="55B243AD" w:rsidR="00D95A9E" w:rsidRPr="00CB6395" w:rsidRDefault="00D95A9E" w:rsidP="00560151">
            <w:pPr>
              <w:keepNext/>
              <w:spacing w:line="240" w:lineRule="exact"/>
            </w:pPr>
            <w:r w:rsidRPr="00CB6395">
              <w:rPr>
                <w:rFonts w:ascii="Arial Narrow" w:eastAsia="Arial Narrow" w:hAnsi="Arial Narrow" w:cs="Arial Narrow"/>
                <w:sz w:val="20"/>
                <w:szCs w:val="20"/>
              </w:rPr>
              <w:t>Yearly: 121.16</w:t>
            </w:r>
            <w:r w:rsidR="004B323C" w:rsidRPr="00CB6395">
              <w:rPr>
                <w:rFonts w:ascii="Arial Narrow" w:eastAsia="Arial Narrow" w:hAnsi="Arial Narrow" w:cs="Arial Narrow"/>
                <w:sz w:val="20"/>
                <w:szCs w:val="20"/>
              </w:rPr>
              <w:t> </w:t>
            </w:r>
            <w:r w:rsidRPr="00CB6395">
              <w:rPr>
                <w:rFonts w:ascii="Arial Narrow" w:eastAsia="Arial Narrow" w:hAnsi="Arial Narrow" w:cs="Arial Narrow"/>
                <w:sz w:val="20"/>
                <w:szCs w:val="20"/>
              </w:rPr>
              <w:t>mg</w:t>
            </w:r>
          </w:p>
        </w:tc>
        <w:tc>
          <w:tcPr>
            <w:tcW w:w="3165" w:type="dxa"/>
            <w:tcBorders>
              <w:top w:val="single" w:sz="8" w:space="0" w:color="auto"/>
              <w:left w:val="single" w:sz="8" w:space="0" w:color="auto"/>
              <w:bottom w:val="single" w:sz="8" w:space="0" w:color="auto"/>
              <w:right w:val="single" w:sz="8" w:space="0" w:color="auto"/>
            </w:tcBorders>
            <w:vAlign w:val="center"/>
          </w:tcPr>
          <w:p w14:paraId="3AB3C9E9" w14:textId="03492A26" w:rsidR="00D95A9E" w:rsidRPr="00CB6395" w:rsidRDefault="00D95A9E" w:rsidP="00560151">
            <w:pPr>
              <w:keepNext/>
              <w:spacing w:line="240" w:lineRule="exact"/>
            </w:pPr>
            <w:r w:rsidRPr="00CB6395">
              <w:rPr>
                <w:rFonts w:ascii="Arial Narrow" w:eastAsia="Arial Narrow" w:hAnsi="Arial Narrow" w:cs="Arial Narrow"/>
                <w:sz w:val="20"/>
                <w:szCs w:val="20"/>
              </w:rPr>
              <w:t xml:space="preserve">The weekly mean treatment dose of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was obtained from the </w:t>
            </w:r>
            <w:r w:rsidR="004C58D3">
              <w:rPr>
                <w:rFonts w:ascii="Arial Narrow" w:eastAsia="Arial Narrow" w:hAnsi="Arial Narrow" w:cs="Arial Narrow"/>
                <w:sz w:val="20"/>
                <w:szCs w:val="20"/>
              </w:rPr>
              <w:t xml:space="preserve">extension phase of the </w:t>
            </w:r>
            <w:r w:rsidRPr="00CB6395">
              <w:rPr>
                <w:rFonts w:ascii="Arial Narrow" w:eastAsia="Arial Narrow" w:hAnsi="Arial Narrow" w:cs="Arial Narrow"/>
                <w:sz w:val="20"/>
                <w:szCs w:val="20"/>
              </w:rPr>
              <w:t xml:space="preserve">REAL-1 </w:t>
            </w:r>
            <w:r w:rsidR="00B02C99" w:rsidRPr="00CB6395">
              <w:rPr>
                <w:rFonts w:ascii="Arial Narrow" w:eastAsia="Arial Narrow" w:hAnsi="Arial Narrow" w:cs="Arial Narrow"/>
                <w:sz w:val="20"/>
                <w:szCs w:val="20"/>
              </w:rPr>
              <w:t>study and</w:t>
            </w:r>
            <w:r w:rsidRPr="00CB6395">
              <w:rPr>
                <w:rFonts w:ascii="Arial Narrow" w:eastAsia="Arial Narrow" w:hAnsi="Arial Narrow" w:cs="Arial Narrow"/>
                <w:sz w:val="20"/>
                <w:szCs w:val="20"/>
              </w:rPr>
              <w:t xml:space="preserve"> multiplied by 52 to estimate the treatment dose per year per patient.</w:t>
            </w:r>
          </w:p>
        </w:tc>
        <w:tc>
          <w:tcPr>
            <w:tcW w:w="2910" w:type="dxa"/>
            <w:tcBorders>
              <w:top w:val="single" w:sz="8" w:space="0" w:color="auto"/>
              <w:left w:val="single" w:sz="8" w:space="0" w:color="auto"/>
              <w:bottom w:val="single" w:sz="8" w:space="0" w:color="auto"/>
              <w:right w:val="single" w:sz="8" w:space="0" w:color="auto"/>
            </w:tcBorders>
            <w:vAlign w:val="center"/>
          </w:tcPr>
          <w:p w14:paraId="1E55B3D5" w14:textId="77777777" w:rsidR="00D95A9E" w:rsidRPr="00CB6395" w:rsidRDefault="00D95A9E" w:rsidP="00560151">
            <w:pPr>
              <w:keepNext/>
              <w:spacing w:line="240" w:lineRule="exact"/>
            </w:pPr>
            <w:r w:rsidRPr="003214C3">
              <w:rPr>
                <w:rFonts w:ascii="Arial Narrow" w:eastAsia="Arial Narrow" w:hAnsi="Arial Narrow" w:cs="Arial Narrow"/>
                <w:iCs/>
                <w:sz w:val="20"/>
                <w:szCs w:val="20"/>
              </w:rPr>
              <w:t>Reasonable.</w:t>
            </w:r>
          </w:p>
        </w:tc>
      </w:tr>
      <w:tr w:rsidR="00D95A9E" w:rsidRPr="00CB6395" w14:paraId="5721D108"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3EF6C0D5" w14:textId="77777777" w:rsidR="00D95A9E" w:rsidRPr="00CB6395" w:rsidRDefault="00D95A9E" w:rsidP="008C7497">
            <w:r w:rsidRPr="00CB6395">
              <w:rPr>
                <w:rFonts w:ascii="Arial Narrow" w:eastAsia="Arial Narrow" w:hAnsi="Arial Narrow" w:cs="Arial Narrow"/>
                <w:sz w:val="20"/>
                <w:szCs w:val="20"/>
              </w:rPr>
              <w:t xml:space="preserve">Script equivalence of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and somatropin</w:t>
            </w:r>
          </w:p>
        </w:tc>
        <w:tc>
          <w:tcPr>
            <w:tcW w:w="1425" w:type="dxa"/>
            <w:tcBorders>
              <w:top w:val="single" w:sz="8" w:space="0" w:color="auto"/>
              <w:left w:val="single" w:sz="8" w:space="0" w:color="auto"/>
              <w:bottom w:val="single" w:sz="8" w:space="0" w:color="auto"/>
              <w:right w:val="single" w:sz="8" w:space="0" w:color="auto"/>
            </w:tcBorders>
            <w:vAlign w:val="center"/>
          </w:tcPr>
          <w:p w14:paraId="1B50806D" w14:textId="77777777" w:rsidR="00D95A9E" w:rsidRPr="00CB6395" w:rsidRDefault="00D95A9E" w:rsidP="008C7497">
            <w:r w:rsidRPr="00CB6395">
              <w:rPr>
                <w:rFonts w:ascii="Arial Narrow" w:eastAsia="Arial Narrow" w:hAnsi="Arial Narrow" w:cs="Arial Narrow"/>
                <w:sz w:val="20"/>
                <w:szCs w:val="20"/>
              </w:rPr>
              <w:t>11493X: 0.62</w:t>
            </w:r>
          </w:p>
          <w:p w14:paraId="7A5B8F4A" w14:textId="77777777" w:rsidR="00D95A9E" w:rsidRPr="00CB6395" w:rsidRDefault="00D95A9E" w:rsidP="008C7497">
            <w:r w:rsidRPr="00CB6395">
              <w:rPr>
                <w:rFonts w:ascii="Arial Narrow" w:eastAsia="Arial Narrow" w:hAnsi="Arial Narrow" w:cs="Arial Narrow"/>
                <w:sz w:val="20"/>
                <w:szCs w:val="20"/>
              </w:rPr>
              <w:t>11495B: 1.48</w:t>
            </w:r>
          </w:p>
          <w:p w14:paraId="259504D8" w14:textId="77777777" w:rsidR="00D95A9E" w:rsidRPr="00CB6395" w:rsidRDefault="00D95A9E" w:rsidP="008C7497">
            <w:r w:rsidRPr="00CB6395">
              <w:rPr>
                <w:rFonts w:ascii="Arial Narrow" w:eastAsia="Arial Narrow" w:hAnsi="Arial Narrow" w:cs="Arial Narrow"/>
                <w:sz w:val="20"/>
                <w:szCs w:val="20"/>
              </w:rPr>
              <w:t>11650E: 1.23</w:t>
            </w:r>
          </w:p>
          <w:p w14:paraId="60E788CA" w14:textId="77777777" w:rsidR="00D95A9E" w:rsidRPr="00CB6395" w:rsidRDefault="00D95A9E" w:rsidP="008C7497">
            <w:r w:rsidRPr="00CB6395">
              <w:rPr>
                <w:rFonts w:ascii="Arial Narrow" w:eastAsia="Arial Narrow" w:hAnsi="Arial Narrow" w:cs="Arial Narrow"/>
                <w:sz w:val="20"/>
                <w:szCs w:val="20"/>
              </w:rPr>
              <w:t>11895C: 0.62</w:t>
            </w:r>
          </w:p>
        </w:tc>
        <w:tc>
          <w:tcPr>
            <w:tcW w:w="3165" w:type="dxa"/>
            <w:tcBorders>
              <w:top w:val="single" w:sz="8" w:space="0" w:color="auto"/>
              <w:left w:val="single" w:sz="8" w:space="0" w:color="auto"/>
              <w:bottom w:val="single" w:sz="8" w:space="0" w:color="auto"/>
              <w:right w:val="single" w:sz="8" w:space="0" w:color="auto"/>
            </w:tcBorders>
            <w:vAlign w:val="center"/>
          </w:tcPr>
          <w:p w14:paraId="2D77A1AC" w14:textId="28E2A590" w:rsidR="00D95A9E" w:rsidRPr="00CB6395" w:rsidRDefault="00D95A9E" w:rsidP="008C7497">
            <w:r w:rsidRPr="00CB6395">
              <w:rPr>
                <w:rFonts w:ascii="Arial Narrow" w:eastAsia="Arial Narrow" w:hAnsi="Arial Narrow" w:cs="Arial Narrow"/>
                <w:sz w:val="20"/>
                <w:szCs w:val="20"/>
              </w:rPr>
              <w:t xml:space="preserve">The script equivalence of </w:t>
            </w:r>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and somatropin was based on the weekly-dose relativity of the mean treatment doses from participants in the </w:t>
            </w:r>
            <w:r w:rsidR="004C58D3">
              <w:rPr>
                <w:rFonts w:ascii="Arial Narrow" w:eastAsia="Arial Narrow" w:hAnsi="Arial Narrow" w:cs="Arial Narrow"/>
                <w:sz w:val="20"/>
                <w:szCs w:val="20"/>
              </w:rPr>
              <w:t xml:space="preserve">extension phase of the </w:t>
            </w:r>
            <w:r w:rsidRPr="00CB6395">
              <w:rPr>
                <w:rFonts w:ascii="Arial Narrow" w:eastAsia="Arial Narrow" w:hAnsi="Arial Narrow" w:cs="Arial Narrow"/>
                <w:sz w:val="20"/>
                <w:szCs w:val="20"/>
              </w:rPr>
              <w:t>REAL-1 study.</w:t>
            </w:r>
          </w:p>
        </w:tc>
        <w:tc>
          <w:tcPr>
            <w:tcW w:w="2910" w:type="dxa"/>
            <w:tcBorders>
              <w:top w:val="single" w:sz="8" w:space="0" w:color="auto"/>
              <w:left w:val="single" w:sz="8" w:space="0" w:color="auto"/>
              <w:bottom w:val="single" w:sz="8" w:space="0" w:color="auto"/>
              <w:right w:val="single" w:sz="8" w:space="0" w:color="auto"/>
            </w:tcBorders>
            <w:vAlign w:val="center"/>
          </w:tcPr>
          <w:p w14:paraId="618219BA" w14:textId="1720D337" w:rsidR="00D95A9E" w:rsidRPr="00CB6395" w:rsidRDefault="00D95A9E" w:rsidP="00DE69A2">
            <w:r w:rsidRPr="003214C3">
              <w:rPr>
                <w:rFonts w:ascii="Arial Narrow" w:eastAsia="Arial Narrow" w:hAnsi="Arial Narrow" w:cs="Arial Narrow"/>
                <w:iCs/>
                <w:sz w:val="20"/>
                <w:szCs w:val="20"/>
              </w:rPr>
              <w:t xml:space="preserve">Reasonable. Since </w:t>
            </w:r>
            <w:r w:rsidR="004C58D3">
              <w:rPr>
                <w:rFonts w:ascii="Arial Narrow" w:eastAsia="Arial Narrow" w:hAnsi="Arial Narrow" w:cs="Arial Narrow"/>
                <w:iCs/>
                <w:sz w:val="20"/>
                <w:szCs w:val="20"/>
              </w:rPr>
              <w:t xml:space="preserve">the </w:t>
            </w:r>
            <w:r w:rsidRPr="003214C3">
              <w:rPr>
                <w:rFonts w:ascii="Arial Narrow" w:eastAsia="Arial Narrow" w:hAnsi="Arial Narrow" w:cs="Arial Narrow"/>
                <w:iCs/>
                <w:sz w:val="20"/>
                <w:szCs w:val="20"/>
              </w:rPr>
              <w:t xml:space="preserve">non-inferior efficacy and safety for </w:t>
            </w:r>
            <w:proofErr w:type="spellStart"/>
            <w:r w:rsidRPr="003214C3">
              <w:rPr>
                <w:rFonts w:ascii="Arial Narrow" w:eastAsia="Arial Narrow" w:hAnsi="Arial Narrow" w:cs="Arial Narrow"/>
                <w:iCs/>
                <w:sz w:val="20"/>
                <w:szCs w:val="20"/>
              </w:rPr>
              <w:t>somapacitan</w:t>
            </w:r>
            <w:proofErr w:type="spellEnd"/>
            <w:r w:rsidRPr="003214C3">
              <w:rPr>
                <w:rFonts w:ascii="Arial Narrow" w:eastAsia="Arial Narrow" w:hAnsi="Arial Narrow" w:cs="Arial Narrow"/>
                <w:iCs/>
                <w:sz w:val="20"/>
                <w:szCs w:val="20"/>
              </w:rPr>
              <w:t xml:space="preserve"> and somatropin was demonstrated in the</w:t>
            </w:r>
            <w:r w:rsidR="004C58D3">
              <w:rPr>
                <w:rFonts w:ascii="Arial Narrow" w:eastAsia="Arial Narrow" w:hAnsi="Arial Narrow" w:cs="Arial Narrow"/>
                <w:iCs/>
                <w:sz w:val="20"/>
                <w:szCs w:val="20"/>
              </w:rPr>
              <w:t xml:space="preserve"> extension phase of the</w:t>
            </w:r>
            <w:r w:rsidRPr="003214C3">
              <w:rPr>
                <w:rFonts w:ascii="Arial Narrow" w:eastAsia="Arial Narrow" w:hAnsi="Arial Narrow" w:cs="Arial Narrow"/>
                <w:iCs/>
                <w:sz w:val="20"/>
                <w:szCs w:val="20"/>
              </w:rPr>
              <w:t xml:space="preserve"> REAL-1 study</w:t>
            </w:r>
            <w:r w:rsidRPr="00DE69A2">
              <w:rPr>
                <w:rFonts w:ascii="Arial Narrow" w:eastAsia="Arial Narrow" w:hAnsi="Arial Narrow" w:cs="Arial Narrow"/>
                <w:iCs/>
                <w:sz w:val="20"/>
                <w:szCs w:val="20"/>
              </w:rPr>
              <w:t xml:space="preserve">, </w:t>
            </w:r>
            <w:r w:rsidRPr="003214C3">
              <w:rPr>
                <w:rFonts w:ascii="Arial Narrow" w:eastAsia="Arial Narrow" w:hAnsi="Arial Narrow" w:cs="Arial Narrow"/>
                <w:iCs/>
                <w:sz w:val="20"/>
                <w:szCs w:val="20"/>
              </w:rPr>
              <w:t xml:space="preserve">it is reasonable to use the script equivalence of </w:t>
            </w:r>
            <w:proofErr w:type="spellStart"/>
            <w:r w:rsidRPr="003214C3">
              <w:rPr>
                <w:rFonts w:ascii="Arial Narrow" w:eastAsia="Arial Narrow" w:hAnsi="Arial Narrow" w:cs="Arial Narrow"/>
                <w:iCs/>
                <w:sz w:val="20"/>
                <w:szCs w:val="20"/>
              </w:rPr>
              <w:t>somapacitan</w:t>
            </w:r>
            <w:proofErr w:type="spellEnd"/>
            <w:r w:rsidRPr="003214C3">
              <w:rPr>
                <w:rFonts w:ascii="Arial Narrow" w:eastAsia="Arial Narrow" w:hAnsi="Arial Narrow" w:cs="Arial Narrow"/>
                <w:iCs/>
                <w:sz w:val="20"/>
                <w:szCs w:val="20"/>
              </w:rPr>
              <w:t xml:space="preserve"> and somatropin in the same extension </w:t>
            </w:r>
            <w:r w:rsidR="004C58D3">
              <w:rPr>
                <w:rFonts w:ascii="Arial Narrow" w:eastAsia="Arial Narrow" w:hAnsi="Arial Narrow" w:cs="Arial Narrow"/>
                <w:iCs/>
                <w:sz w:val="20"/>
                <w:szCs w:val="20"/>
              </w:rPr>
              <w:t>phase</w:t>
            </w:r>
            <w:r w:rsidR="004C58D3" w:rsidRPr="003214C3">
              <w:rPr>
                <w:rFonts w:ascii="Arial Narrow" w:eastAsia="Arial Narrow" w:hAnsi="Arial Narrow" w:cs="Arial Narrow"/>
                <w:iCs/>
                <w:sz w:val="20"/>
                <w:szCs w:val="20"/>
              </w:rPr>
              <w:t xml:space="preserve"> </w:t>
            </w:r>
            <w:r w:rsidRPr="003214C3">
              <w:rPr>
                <w:rFonts w:ascii="Arial Narrow" w:eastAsia="Arial Narrow" w:hAnsi="Arial Narrow" w:cs="Arial Narrow"/>
                <w:iCs/>
                <w:sz w:val="20"/>
                <w:szCs w:val="20"/>
              </w:rPr>
              <w:t xml:space="preserve">to forecast the predicted dispensed units of </w:t>
            </w:r>
            <w:proofErr w:type="spellStart"/>
            <w:r w:rsidRPr="003214C3">
              <w:rPr>
                <w:rFonts w:ascii="Arial Narrow" w:eastAsia="Arial Narrow" w:hAnsi="Arial Narrow" w:cs="Arial Narrow"/>
                <w:iCs/>
                <w:sz w:val="20"/>
                <w:szCs w:val="20"/>
              </w:rPr>
              <w:t>somapacitan</w:t>
            </w:r>
            <w:proofErr w:type="spellEnd"/>
            <w:r w:rsidRPr="003214C3">
              <w:rPr>
                <w:rFonts w:ascii="Arial Narrow" w:eastAsia="Arial Narrow" w:hAnsi="Arial Narrow" w:cs="Arial Narrow"/>
                <w:iCs/>
                <w:sz w:val="20"/>
                <w:szCs w:val="20"/>
              </w:rPr>
              <w:t xml:space="preserve"> in the financial analysis. The financial estimates are sensitive to the script equivalence.</w:t>
            </w:r>
          </w:p>
        </w:tc>
      </w:tr>
      <w:tr w:rsidR="00D95A9E" w:rsidRPr="00CB6395" w14:paraId="55BA9C7D" w14:textId="77777777" w:rsidTr="008C7497">
        <w:tc>
          <w:tcPr>
            <w:tcW w:w="9000" w:type="dxa"/>
            <w:gridSpan w:val="4"/>
            <w:tcBorders>
              <w:top w:val="single" w:sz="8" w:space="0" w:color="auto"/>
              <w:left w:val="single" w:sz="8" w:space="0" w:color="auto"/>
              <w:bottom w:val="single" w:sz="8" w:space="0" w:color="auto"/>
              <w:right w:val="single" w:sz="8" w:space="0" w:color="auto"/>
            </w:tcBorders>
            <w:vAlign w:val="center"/>
          </w:tcPr>
          <w:p w14:paraId="475CFF4A" w14:textId="77777777" w:rsidR="00D95A9E" w:rsidRPr="00CB6395" w:rsidRDefault="00D95A9E" w:rsidP="008C7497">
            <w:r w:rsidRPr="00CB6395">
              <w:rPr>
                <w:rFonts w:ascii="Arial Narrow" w:eastAsia="Arial Narrow" w:hAnsi="Arial Narrow" w:cs="Arial Narrow"/>
                <w:b/>
                <w:bCs/>
                <w:sz w:val="20"/>
                <w:szCs w:val="20"/>
              </w:rPr>
              <w:t>Costs</w:t>
            </w:r>
          </w:p>
        </w:tc>
      </w:tr>
      <w:tr w:rsidR="00D95A9E" w:rsidRPr="00CB6395" w14:paraId="1399FB1D"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731242BF" w14:textId="6153972E" w:rsidR="00D95A9E" w:rsidRPr="00CB6395" w:rsidRDefault="00D95A9E" w:rsidP="008C7497">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(effective </w:t>
            </w:r>
            <w:r w:rsidR="002537F7">
              <w:rPr>
                <w:rFonts w:ascii="Arial Narrow" w:eastAsia="Arial Narrow" w:hAnsi="Arial Narrow" w:cs="Arial Narrow"/>
                <w:sz w:val="20"/>
                <w:szCs w:val="20"/>
              </w:rPr>
              <w:t>DPMQ</w:t>
            </w:r>
            <w:r w:rsidRPr="00CB6395">
              <w:rPr>
                <w:rFonts w:ascii="Arial Narrow" w:eastAsia="Arial Narrow" w:hAnsi="Arial Narrow" w:cs="Arial Narrow"/>
                <w:sz w:val="20"/>
                <w:szCs w:val="20"/>
              </w:rPr>
              <w:t>)</w:t>
            </w:r>
          </w:p>
        </w:tc>
        <w:tc>
          <w:tcPr>
            <w:tcW w:w="1425" w:type="dxa"/>
            <w:tcBorders>
              <w:top w:val="nil"/>
              <w:left w:val="single" w:sz="8" w:space="0" w:color="auto"/>
              <w:bottom w:val="single" w:sz="8" w:space="0" w:color="auto"/>
              <w:right w:val="single" w:sz="8" w:space="0" w:color="auto"/>
            </w:tcBorders>
            <w:vAlign w:val="center"/>
          </w:tcPr>
          <w:p w14:paraId="1E978356" w14:textId="2E4C371A" w:rsidR="00D95A9E" w:rsidRPr="00CB6395" w:rsidRDefault="00D95A9E" w:rsidP="008C7497">
            <w:r w:rsidRPr="00CB6395">
              <w:rPr>
                <w:rFonts w:ascii="Arial Narrow" w:eastAsia="Arial Narrow" w:hAnsi="Arial Narrow" w:cs="Arial Narrow"/>
                <w:sz w:val="20"/>
                <w:szCs w:val="20"/>
              </w:rPr>
              <w:t>$</w:t>
            </w:r>
            <w:r w:rsidR="00440ADF" w:rsidRPr="00285974">
              <w:rPr>
                <w:rFonts w:ascii="Arial Narrow" w:eastAsia="Arial Narrow" w:hAnsi="Arial Narrow" w:cs="Arial Narrow"/>
                <w:color w:val="000000"/>
                <w:spacing w:val="9"/>
                <w:sz w:val="20"/>
                <w:szCs w:val="20"/>
                <w:shd w:val="solid" w:color="000000" w:fill="000000"/>
                <w:fitText w:val="310" w:id="-1500863996"/>
                <w14:textFill>
                  <w14:solidFill>
                    <w14:srgbClr w14:val="000000">
                      <w14:alpha w14:val="100000"/>
                    </w14:srgbClr>
                  </w14:solidFill>
                </w14:textFill>
              </w:rPr>
              <w:t>||  |</w:t>
            </w:r>
            <w:r w:rsidR="00440ADF" w:rsidRPr="00285974">
              <w:rPr>
                <w:rFonts w:ascii="Arial Narrow" w:eastAsia="Arial Narrow" w:hAnsi="Arial Narrow" w:cs="Arial Narrow"/>
                <w:color w:val="000000"/>
                <w:spacing w:val="4"/>
                <w:sz w:val="20"/>
                <w:szCs w:val="20"/>
                <w:shd w:val="solid" w:color="000000" w:fill="000000"/>
                <w:fitText w:val="310" w:id="-1500863996"/>
                <w14:textFill>
                  <w14:solidFill>
                    <w14:srgbClr w14:val="000000">
                      <w14:alpha w14:val="100000"/>
                    </w14:srgbClr>
                  </w14:solidFill>
                </w14:textFill>
              </w:rPr>
              <w:t>|</w:t>
            </w:r>
          </w:p>
        </w:tc>
        <w:tc>
          <w:tcPr>
            <w:tcW w:w="3165" w:type="dxa"/>
            <w:tcBorders>
              <w:top w:val="nil"/>
              <w:left w:val="single" w:sz="8" w:space="0" w:color="auto"/>
              <w:bottom w:val="single" w:sz="8" w:space="0" w:color="auto"/>
              <w:right w:val="single" w:sz="8" w:space="0" w:color="auto"/>
            </w:tcBorders>
            <w:vAlign w:val="center"/>
          </w:tcPr>
          <w:p w14:paraId="35964E17" w14:textId="5EDBB45F" w:rsidR="00D95A9E" w:rsidRPr="00CB6395" w:rsidRDefault="00D95A9E" w:rsidP="008C7497">
            <w:r w:rsidRPr="00CB6395">
              <w:rPr>
                <w:rFonts w:ascii="Arial Narrow" w:eastAsia="Arial Narrow" w:hAnsi="Arial Narrow" w:cs="Arial Narrow"/>
                <w:sz w:val="20"/>
                <w:szCs w:val="20"/>
              </w:rPr>
              <w:t xml:space="preserve">Requested effective </w:t>
            </w:r>
            <w:r w:rsidR="002537F7">
              <w:rPr>
                <w:rFonts w:ascii="Arial Narrow" w:eastAsia="Arial Narrow" w:hAnsi="Arial Narrow" w:cs="Arial Narrow"/>
                <w:sz w:val="20"/>
                <w:szCs w:val="20"/>
              </w:rPr>
              <w:t>DPMQ</w:t>
            </w:r>
          </w:p>
        </w:tc>
        <w:tc>
          <w:tcPr>
            <w:tcW w:w="2910" w:type="dxa"/>
            <w:tcBorders>
              <w:top w:val="nil"/>
              <w:left w:val="single" w:sz="8" w:space="0" w:color="auto"/>
              <w:bottom w:val="single" w:sz="8" w:space="0" w:color="auto"/>
              <w:right w:val="single" w:sz="8" w:space="0" w:color="auto"/>
            </w:tcBorders>
            <w:vAlign w:val="center"/>
          </w:tcPr>
          <w:p w14:paraId="623E85A5" w14:textId="6E4ACA95" w:rsidR="00D95A9E" w:rsidRPr="00CB6395" w:rsidRDefault="00D95A9E" w:rsidP="00DE69A2">
            <w:r w:rsidRPr="003214C3">
              <w:rPr>
                <w:rFonts w:ascii="Arial Narrow" w:eastAsia="Arial Narrow" w:hAnsi="Arial Narrow" w:cs="Arial Narrow"/>
                <w:iCs/>
                <w:sz w:val="20"/>
                <w:szCs w:val="20"/>
              </w:rPr>
              <w:t xml:space="preserve">The requested DPMQ is consistent with </w:t>
            </w:r>
            <w:r w:rsidR="0012552E" w:rsidRPr="003214C3">
              <w:rPr>
                <w:rFonts w:ascii="Arial Narrow" w:eastAsia="Arial Narrow" w:hAnsi="Arial Narrow" w:cs="Arial Narrow"/>
                <w:iCs/>
                <w:sz w:val="20"/>
                <w:szCs w:val="20"/>
              </w:rPr>
              <w:t xml:space="preserve">the </w:t>
            </w:r>
            <w:r w:rsidR="004B323C" w:rsidRPr="003214C3">
              <w:rPr>
                <w:rFonts w:ascii="Arial Narrow" w:eastAsia="Arial Narrow" w:hAnsi="Arial Narrow" w:cs="Arial Narrow"/>
                <w:iCs/>
                <w:sz w:val="20"/>
                <w:szCs w:val="20"/>
              </w:rPr>
              <w:t xml:space="preserve">submission </w:t>
            </w:r>
            <w:r w:rsidRPr="003214C3">
              <w:rPr>
                <w:rFonts w:ascii="Arial Narrow" w:eastAsia="Arial Narrow" w:hAnsi="Arial Narrow" w:cs="Arial Narrow"/>
                <w:iCs/>
                <w:sz w:val="20"/>
                <w:szCs w:val="20"/>
              </w:rPr>
              <w:t>propos</w:t>
            </w:r>
            <w:r w:rsidR="004B323C" w:rsidRPr="003214C3">
              <w:rPr>
                <w:rFonts w:ascii="Arial Narrow" w:eastAsia="Arial Narrow" w:hAnsi="Arial Narrow" w:cs="Arial Narrow"/>
                <w:iCs/>
                <w:sz w:val="20"/>
                <w:szCs w:val="20"/>
              </w:rPr>
              <w:t>al</w:t>
            </w:r>
            <w:r w:rsidRPr="003214C3">
              <w:rPr>
                <w:rFonts w:ascii="Arial Narrow" w:eastAsia="Arial Narrow" w:hAnsi="Arial Narrow" w:cs="Arial Narrow"/>
                <w:iCs/>
                <w:sz w:val="20"/>
                <w:szCs w:val="20"/>
              </w:rPr>
              <w:t>.</w:t>
            </w:r>
          </w:p>
        </w:tc>
      </w:tr>
      <w:tr w:rsidR="00D95A9E" w:rsidRPr="00CB6395" w14:paraId="15D18448"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154337CB" w14:textId="2DA39999" w:rsidR="00D95A9E" w:rsidRPr="00CB6395" w:rsidRDefault="00D95A9E" w:rsidP="008C7497">
            <w:proofErr w:type="spellStart"/>
            <w:r w:rsidRPr="00CB6395">
              <w:rPr>
                <w:rFonts w:ascii="Arial Narrow" w:eastAsia="Arial Narrow" w:hAnsi="Arial Narrow" w:cs="Arial Narrow"/>
                <w:sz w:val="20"/>
                <w:szCs w:val="20"/>
              </w:rPr>
              <w:t>Somapacitan</w:t>
            </w:r>
            <w:proofErr w:type="spellEnd"/>
            <w:r w:rsidRPr="00CB6395">
              <w:rPr>
                <w:rFonts w:ascii="Arial Narrow" w:eastAsia="Arial Narrow" w:hAnsi="Arial Narrow" w:cs="Arial Narrow"/>
                <w:sz w:val="20"/>
                <w:szCs w:val="20"/>
              </w:rPr>
              <w:t xml:space="preserve"> (published </w:t>
            </w:r>
            <w:r w:rsidR="002537F7">
              <w:rPr>
                <w:rFonts w:ascii="Arial Narrow" w:eastAsia="Arial Narrow" w:hAnsi="Arial Narrow" w:cs="Arial Narrow"/>
                <w:sz w:val="20"/>
                <w:szCs w:val="20"/>
              </w:rPr>
              <w:t>DPMQ</w:t>
            </w:r>
            <w:r w:rsidRPr="00CB6395">
              <w:rPr>
                <w:rFonts w:ascii="Arial Narrow" w:eastAsia="Arial Narrow" w:hAnsi="Arial Narrow" w:cs="Arial Narrow"/>
                <w:sz w:val="20"/>
                <w:szCs w:val="20"/>
              </w:rPr>
              <w:t>)</w:t>
            </w:r>
          </w:p>
        </w:tc>
        <w:tc>
          <w:tcPr>
            <w:tcW w:w="1425" w:type="dxa"/>
            <w:tcBorders>
              <w:top w:val="single" w:sz="8" w:space="0" w:color="auto"/>
              <w:left w:val="single" w:sz="8" w:space="0" w:color="auto"/>
              <w:bottom w:val="single" w:sz="8" w:space="0" w:color="auto"/>
              <w:right w:val="single" w:sz="8" w:space="0" w:color="auto"/>
            </w:tcBorders>
            <w:vAlign w:val="center"/>
          </w:tcPr>
          <w:p w14:paraId="4EC01952" w14:textId="77777777" w:rsidR="00D95A9E" w:rsidRPr="00CB6395" w:rsidRDefault="00D95A9E" w:rsidP="008C7497">
            <w:r w:rsidRPr="00CB6395">
              <w:rPr>
                <w:rFonts w:ascii="Arial Narrow" w:eastAsia="Arial Narrow" w:hAnsi="Arial Narrow" w:cs="Arial Narrow"/>
                <w:sz w:val="20"/>
                <w:szCs w:val="20"/>
              </w:rPr>
              <w:t>$577.52</w:t>
            </w:r>
          </w:p>
        </w:tc>
        <w:tc>
          <w:tcPr>
            <w:tcW w:w="3165" w:type="dxa"/>
            <w:tcBorders>
              <w:top w:val="single" w:sz="8" w:space="0" w:color="auto"/>
              <w:left w:val="single" w:sz="8" w:space="0" w:color="auto"/>
              <w:bottom w:val="single" w:sz="8" w:space="0" w:color="auto"/>
              <w:right w:val="single" w:sz="8" w:space="0" w:color="auto"/>
            </w:tcBorders>
            <w:vAlign w:val="center"/>
          </w:tcPr>
          <w:p w14:paraId="3A984FEE" w14:textId="78484A6F" w:rsidR="00D95A9E" w:rsidRPr="00CB6395" w:rsidRDefault="00D95A9E" w:rsidP="008C7497">
            <w:r w:rsidRPr="00CB6395">
              <w:rPr>
                <w:rFonts w:ascii="Arial Narrow" w:eastAsia="Arial Narrow" w:hAnsi="Arial Narrow" w:cs="Arial Narrow"/>
                <w:sz w:val="20"/>
                <w:szCs w:val="20"/>
              </w:rPr>
              <w:t xml:space="preserve">Requested published </w:t>
            </w:r>
            <w:r w:rsidR="002537F7">
              <w:rPr>
                <w:rFonts w:ascii="Arial Narrow" w:eastAsia="Arial Narrow" w:hAnsi="Arial Narrow" w:cs="Arial Narrow"/>
                <w:sz w:val="20"/>
                <w:szCs w:val="20"/>
              </w:rPr>
              <w:t>DPMQ</w:t>
            </w:r>
          </w:p>
        </w:tc>
        <w:tc>
          <w:tcPr>
            <w:tcW w:w="2910" w:type="dxa"/>
            <w:tcBorders>
              <w:top w:val="single" w:sz="8" w:space="0" w:color="auto"/>
              <w:left w:val="single" w:sz="8" w:space="0" w:color="auto"/>
              <w:bottom w:val="single" w:sz="8" w:space="0" w:color="auto"/>
              <w:right w:val="single" w:sz="8" w:space="0" w:color="auto"/>
            </w:tcBorders>
            <w:vAlign w:val="center"/>
          </w:tcPr>
          <w:p w14:paraId="003F41F2" w14:textId="08328B58" w:rsidR="00D95A9E" w:rsidRPr="00CB6395" w:rsidRDefault="00D95A9E" w:rsidP="00DE69A2">
            <w:r w:rsidRPr="003214C3">
              <w:rPr>
                <w:rFonts w:ascii="Arial Narrow" w:eastAsia="Arial Narrow" w:hAnsi="Arial Narrow" w:cs="Arial Narrow"/>
                <w:iCs/>
                <w:sz w:val="20"/>
                <w:szCs w:val="20"/>
              </w:rPr>
              <w:t xml:space="preserve">The requested DPMQ is consistent with the submission </w:t>
            </w:r>
            <w:r w:rsidR="004B323C" w:rsidRPr="003214C3">
              <w:rPr>
                <w:rFonts w:ascii="Arial Narrow" w:eastAsia="Arial Narrow" w:hAnsi="Arial Narrow" w:cs="Arial Narrow"/>
                <w:iCs/>
                <w:sz w:val="20"/>
                <w:szCs w:val="20"/>
              </w:rPr>
              <w:t>proposal</w:t>
            </w:r>
            <w:r w:rsidRPr="003214C3">
              <w:rPr>
                <w:rFonts w:ascii="Arial Narrow" w:eastAsia="Arial Narrow" w:hAnsi="Arial Narrow" w:cs="Arial Narrow"/>
                <w:iCs/>
                <w:sz w:val="20"/>
                <w:szCs w:val="20"/>
              </w:rPr>
              <w:t>.</w:t>
            </w:r>
          </w:p>
        </w:tc>
      </w:tr>
      <w:tr w:rsidR="00D95A9E" w:rsidRPr="00CB6395" w14:paraId="3BB0F720" w14:textId="77777777" w:rsidTr="008C7497">
        <w:tc>
          <w:tcPr>
            <w:tcW w:w="1500" w:type="dxa"/>
            <w:tcBorders>
              <w:top w:val="single" w:sz="8" w:space="0" w:color="auto"/>
              <w:left w:val="single" w:sz="8" w:space="0" w:color="auto"/>
              <w:bottom w:val="single" w:sz="8" w:space="0" w:color="auto"/>
              <w:right w:val="single" w:sz="8" w:space="0" w:color="auto"/>
            </w:tcBorders>
            <w:vAlign w:val="center"/>
          </w:tcPr>
          <w:p w14:paraId="21CC8DCF" w14:textId="085C8BF3" w:rsidR="00D95A9E" w:rsidRPr="00CB6395" w:rsidRDefault="00D95A9E" w:rsidP="008C7497">
            <w:r w:rsidRPr="00CB6395">
              <w:rPr>
                <w:rFonts w:ascii="Arial Narrow" w:eastAsia="Arial Narrow" w:hAnsi="Arial Narrow" w:cs="Arial Narrow"/>
                <w:sz w:val="20"/>
                <w:szCs w:val="20"/>
              </w:rPr>
              <w:t xml:space="preserve">Somatropin (Current </w:t>
            </w:r>
            <w:r w:rsidR="002537F7">
              <w:rPr>
                <w:rFonts w:ascii="Arial Narrow" w:eastAsia="Arial Narrow" w:hAnsi="Arial Narrow" w:cs="Arial Narrow"/>
                <w:sz w:val="20"/>
                <w:szCs w:val="20"/>
              </w:rPr>
              <w:t>DPMQ</w:t>
            </w:r>
            <w:r w:rsidRPr="00CB6395">
              <w:rPr>
                <w:rFonts w:ascii="Arial Narrow" w:eastAsia="Arial Narrow" w:hAnsi="Arial Narrow" w:cs="Arial Narrow"/>
                <w:sz w:val="20"/>
                <w:szCs w:val="20"/>
              </w:rPr>
              <w:t>)</w:t>
            </w:r>
          </w:p>
        </w:tc>
        <w:tc>
          <w:tcPr>
            <w:tcW w:w="1425" w:type="dxa"/>
            <w:tcBorders>
              <w:top w:val="single" w:sz="8" w:space="0" w:color="auto"/>
              <w:left w:val="single" w:sz="8" w:space="0" w:color="auto"/>
              <w:bottom w:val="single" w:sz="8" w:space="0" w:color="auto"/>
              <w:right w:val="single" w:sz="8" w:space="0" w:color="auto"/>
            </w:tcBorders>
            <w:vAlign w:val="center"/>
          </w:tcPr>
          <w:p w14:paraId="3F690344" w14:textId="77777777" w:rsidR="00D95A9E" w:rsidRPr="00CB6395" w:rsidRDefault="00D95A9E" w:rsidP="008C7497">
            <w:r w:rsidRPr="00CB6395">
              <w:rPr>
                <w:rFonts w:ascii="Arial Narrow" w:eastAsia="Arial Narrow" w:hAnsi="Arial Narrow" w:cs="Arial Narrow"/>
                <w:sz w:val="20"/>
                <w:szCs w:val="20"/>
              </w:rPr>
              <w:t>11493X: $217.29</w:t>
            </w:r>
          </w:p>
          <w:p w14:paraId="3AAF152E" w14:textId="77777777" w:rsidR="00D95A9E" w:rsidRPr="00CB6395" w:rsidRDefault="00D95A9E" w:rsidP="008C7497">
            <w:r w:rsidRPr="00CB6395">
              <w:rPr>
                <w:rFonts w:ascii="Arial Narrow" w:eastAsia="Arial Narrow" w:hAnsi="Arial Narrow" w:cs="Arial Narrow"/>
                <w:sz w:val="20"/>
                <w:szCs w:val="20"/>
              </w:rPr>
              <w:t>11495B: $510.59</w:t>
            </w:r>
          </w:p>
          <w:p w14:paraId="69CC5881" w14:textId="77777777" w:rsidR="00D95A9E" w:rsidRPr="00CB6395" w:rsidRDefault="00D95A9E" w:rsidP="008C7497">
            <w:r w:rsidRPr="00CB6395">
              <w:rPr>
                <w:rFonts w:ascii="Arial Narrow" w:eastAsia="Arial Narrow" w:hAnsi="Arial Narrow" w:cs="Arial Narrow"/>
                <w:sz w:val="20"/>
                <w:szCs w:val="20"/>
              </w:rPr>
              <w:t>11650E: $426.80</w:t>
            </w:r>
          </w:p>
          <w:p w14:paraId="5F6C420D" w14:textId="77777777" w:rsidR="00D95A9E" w:rsidRPr="00CB6395" w:rsidRDefault="00D95A9E" w:rsidP="008C7497">
            <w:r w:rsidRPr="00CB6395">
              <w:rPr>
                <w:rFonts w:ascii="Arial Narrow" w:eastAsia="Arial Narrow" w:hAnsi="Arial Narrow" w:cs="Arial Narrow"/>
                <w:sz w:val="20"/>
                <w:szCs w:val="20"/>
              </w:rPr>
              <w:t>11895C: $217.29</w:t>
            </w:r>
          </w:p>
        </w:tc>
        <w:tc>
          <w:tcPr>
            <w:tcW w:w="3165" w:type="dxa"/>
            <w:tcBorders>
              <w:top w:val="single" w:sz="8" w:space="0" w:color="auto"/>
              <w:left w:val="single" w:sz="8" w:space="0" w:color="auto"/>
              <w:bottom w:val="single" w:sz="8" w:space="0" w:color="auto"/>
              <w:right w:val="single" w:sz="8" w:space="0" w:color="auto"/>
            </w:tcBorders>
            <w:vAlign w:val="center"/>
          </w:tcPr>
          <w:p w14:paraId="572EC9DC" w14:textId="6171940F" w:rsidR="00D95A9E" w:rsidRPr="00CB6395" w:rsidRDefault="00D95A9E" w:rsidP="008C7497">
            <w:r w:rsidRPr="00CB6395">
              <w:rPr>
                <w:rFonts w:ascii="Arial Narrow" w:eastAsia="Arial Narrow" w:hAnsi="Arial Narrow" w:cs="Arial Narrow"/>
                <w:sz w:val="20"/>
                <w:szCs w:val="20"/>
              </w:rPr>
              <w:t xml:space="preserve">Current effective </w:t>
            </w:r>
            <w:r w:rsidR="002537F7">
              <w:rPr>
                <w:rFonts w:ascii="Arial Narrow" w:eastAsia="Arial Narrow" w:hAnsi="Arial Narrow" w:cs="Arial Narrow"/>
                <w:sz w:val="20"/>
                <w:szCs w:val="20"/>
              </w:rPr>
              <w:t>DPMQ</w:t>
            </w:r>
          </w:p>
        </w:tc>
        <w:tc>
          <w:tcPr>
            <w:tcW w:w="2910" w:type="dxa"/>
            <w:tcBorders>
              <w:top w:val="single" w:sz="8" w:space="0" w:color="auto"/>
              <w:left w:val="single" w:sz="8" w:space="0" w:color="auto"/>
              <w:bottom w:val="single" w:sz="8" w:space="0" w:color="auto"/>
              <w:right w:val="single" w:sz="8" w:space="0" w:color="auto"/>
            </w:tcBorders>
            <w:vAlign w:val="center"/>
          </w:tcPr>
          <w:p w14:paraId="3902CE4B" w14:textId="77777777" w:rsidR="00D95A9E" w:rsidRPr="00CB6395" w:rsidRDefault="00D95A9E" w:rsidP="008C7497">
            <w:r w:rsidRPr="003214C3">
              <w:rPr>
                <w:rFonts w:ascii="Arial Narrow" w:eastAsia="Arial Narrow" w:hAnsi="Arial Narrow" w:cs="Arial Narrow"/>
                <w:iCs/>
                <w:sz w:val="20"/>
                <w:szCs w:val="20"/>
              </w:rPr>
              <w:t>NA</w:t>
            </w:r>
          </w:p>
        </w:tc>
      </w:tr>
    </w:tbl>
    <w:p w14:paraId="0F056556" w14:textId="0B8B8619" w:rsidR="00D95A9E" w:rsidRPr="00EE0668" w:rsidRDefault="00D95A9E" w:rsidP="00EE0668">
      <w:pPr>
        <w:pStyle w:val="TableFigureFooter"/>
        <w:rPr>
          <w:rFonts w:eastAsia="MS Gothic"/>
        </w:rPr>
      </w:pPr>
      <w:r w:rsidRPr="00EE0668">
        <w:t xml:space="preserve">Source: Table compiled during the evaluation </w:t>
      </w:r>
      <w:r w:rsidR="00D25CD5" w:rsidRPr="00EE0668">
        <w:t>using</w:t>
      </w:r>
      <w:r w:rsidRPr="00EE0668">
        <w:t xml:space="preserve"> Attachment 7 - </w:t>
      </w:r>
      <w:proofErr w:type="spellStart"/>
      <w:r w:rsidRPr="00EE0668">
        <w:t>Somapacitan</w:t>
      </w:r>
      <w:proofErr w:type="spellEnd"/>
      <w:r w:rsidRPr="00EE0668">
        <w:t xml:space="preserve"> PBAC Section 4 Excel</w:t>
      </w:r>
    </w:p>
    <w:p w14:paraId="64EF0833" w14:textId="20CB1EBB" w:rsidR="00D95A9E" w:rsidRPr="00EE0668" w:rsidRDefault="00D95A9E" w:rsidP="00EE0668">
      <w:pPr>
        <w:pStyle w:val="TableFigureFooter"/>
      </w:pPr>
      <w:r w:rsidRPr="00EE0668">
        <w:t>AGHD = adult growth hormone deficiency; DPMQ = Dispensed Price for Maximum Quantity; NA = not applicable; PBS = Pharmaceutical Benefits Scheme; RPBS = Repatriation Pharmaceutical Benefits Scheme</w:t>
      </w:r>
    </w:p>
    <w:p w14:paraId="411A731B" w14:textId="3EE50B3A" w:rsidR="00D95A9E" w:rsidRPr="003214C3" w:rsidRDefault="00D95A9E" w:rsidP="00D95A9E">
      <w:pPr>
        <w:pStyle w:val="3-BodyText"/>
        <w:rPr>
          <w:rFonts w:eastAsiaTheme="minorEastAsia"/>
        </w:rPr>
      </w:pPr>
      <w:r w:rsidRPr="00CB6395">
        <w:rPr>
          <w:rFonts w:eastAsia="Calibri"/>
        </w:rPr>
        <w:t xml:space="preserve">The submission assumed a substitution rate of 90% for </w:t>
      </w:r>
      <w:proofErr w:type="spellStart"/>
      <w:r w:rsidRPr="00CB6395">
        <w:rPr>
          <w:rFonts w:eastAsia="Calibri"/>
        </w:rPr>
        <w:t>somapacitan</w:t>
      </w:r>
      <w:proofErr w:type="spellEnd"/>
      <w:r w:rsidRPr="00CB6395">
        <w:rPr>
          <w:rFonts w:eastAsia="Calibri"/>
        </w:rPr>
        <w:t xml:space="preserve"> from somatropin in year 1, rising to 100% over</w:t>
      </w:r>
      <w:r w:rsidR="002537F7">
        <w:rPr>
          <w:rFonts w:eastAsia="Calibri"/>
        </w:rPr>
        <w:t xml:space="preserve"> the</w:t>
      </w:r>
      <w:r w:rsidRPr="00CB6395">
        <w:rPr>
          <w:rFonts w:eastAsia="Calibri"/>
        </w:rPr>
        <w:t xml:space="preserve"> subsequent years. </w:t>
      </w:r>
      <w:r w:rsidRPr="003214C3">
        <w:rPr>
          <w:rFonts w:eastAsia="Calibri"/>
        </w:rPr>
        <w:t>Although the submission stated that these substitution rates reflected the likely preference for</w:t>
      </w:r>
      <w:r w:rsidR="00564F71">
        <w:rPr>
          <w:rFonts w:eastAsia="Calibri"/>
        </w:rPr>
        <w:t xml:space="preserve"> the</w:t>
      </w:r>
      <w:r w:rsidRPr="003214C3">
        <w:rPr>
          <w:rFonts w:eastAsia="Calibri"/>
        </w:rPr>
        <w:t xml:space="preserve"> greater convenience</w:t>
      </w:r>
      <w:r w:rsidR="00564F71">
        <w:rPr>
          <w:rFonts w:eastAsia="Calibri"/>
        </w:rPr>
        <w:t xml:space="preserve"> of weekly dosing</w:t>
      </w:r>
      <w:r w:rsidRPr="003214C3">
        <w:rPr>
          <w:rFonts w:eastAsia="Calibri"/>
        </w:rPr>
        <w:t xml:space="preserve">, the submission did not provide appropriate justification or references to support the </w:t>
      </w:r>
      <w:proofErr w:type="spellStart"/>
      <w:r w:rsidRPr="003214C3">
        <w:rPr>
          <w:rFonts w:eastAsia="Calibri"/>
        </w:rPr>
        <w:t>somapacitan</w:t>
      </w:r>
      <w:proofErr w:type="spellEnd"/>
      <w:r w:rsidRPr="003214C3">
        <w:rPr>
          <w:rFonts w:eastAsia="Calibri"/>
        </w:rPr>
        <w:t xml:space="preserve"> substitution rates in the financial analysis. </w:t>
      </w:r>
      <w:r w:rsidR="00BB194D" w:rsidRPr="003214C3">
        <w:rPr>
          <w:rFonts w:eastAsia="Calibri"/>
        </w:rPr>
        <w:t>Assuming high substitution rates</w:t>
      </w:r>
      <w:r w:rsidRPr="003214C3">
        <w:rPr>
          <w:rFonts w:eastAsia="Calibri"/>
        </w:rPr>
        <w:t xml:space="preserve"> may overestimate the uptake of </w:t>
      </w:r>
      <w:proofErr w:type="spellStart"/>
      <w:r w:rsidRPr="003214C3">
        <w:rPr>
          <w:rFonts w:eastAsia="Calibri"/>
        </w:rPr>
        <w:t>somapacitan</w:t>
      </w:r>
      <w:proofErr w:type="spellEnd"/>
      <w:r w:rsidRPr="003214C3">
        <w:rPr>
          <w:rFonts w:eastAsia="Calibri"/>
        </w:rPr>
        <w:t xml:space="preserve"> in the AGHD patient population.</w:t>
      </w:r>
    </w:p>
    <w:p w14:paraId="039FCA85" w14:textId="093B1778" w:rsidR="72E81A3F" w:rsidRPr="003214C3" w:rsidRDefault="61119EB4" w:rsidP="00052184">
      <w:pPr>
        <w:pStyle w:val="3-BodyText"/>
        <w:rPr>
          <w:iCs/>
        </w:rPr>
      </w:pPr>
      <w:r w:rsidRPr="00CB6395">
        <w:rPr>
          <w:rFonts w:eastAsia="Calibri"/>
        </w:rPr>
        <w:t xml:space="preserve">The submission estimated the script equivalence of </w:t>
      </w:r>
      <w:proofErr w:type="spellStart"/>
      <w:r w:rsidRPr="00CB6395">
        <w:rPr>
          <w:rFonts w:eastAsia="Calibri"/>
        </w:rPr>
        <w:t>somapacitan</w:t>
      </w:r>
      <w:proofErr w:type="spellEnd"/>
      <w:r w:rsidRPr="00CB6395">
        <w:rPr>
          <w:rFonts w:eastAsia="Calibri"/>
        </w:rPr>
        <w:t xml:space="preserve"> for every somatropin PBS item restrict</w:t>
      </w:r>
      <w:r w:rsidR="00564F71">
        <w:rPr>
          <w:rFonts w:eastAsia="Calibri"/>
        </w:rPr>
        <w:t>ed to</w:t>
      </w:r>
      <w:r w:rsidRPr="00CB6395">
        <w:rPr>
          <w:rFonts w:eastAsia="Calibri"/>
        </w:rPr>
        <w:t xml:space="preserve"> AGHD based on the weekly-dose relativity of the mean treatment doses from participants in the</w:t>
      </w:r>
      <w:r w:rsidR="00564F71">
        <w:rPr>
          <w:rFonts w:eastAsia="Calibri"/>
        </w:rPr>
        <w:t xml:space="preserve"> extension phase of the</w:t>
      </w:r>
      <w:r w:rsidRPr="00CB6395">
        <w:rPr>
          <w:rFonts w:eastAsia="Calibri"/>
        </w:rPr>
        <w:t xml:space="preserve"> REAL-1 study. </w:t>
      </w:r>
      <w:r w:rsidRPr="003214C3">
        <w:rPr>
          <w:rFonts w:eastAsia="Calibri"/>
          <w:iCs/>
        </w:rPr>
        <w:t xml:space="preserve">This </w:t>
      </w:r>
      <w:r w:rsidR="61BC97DF" w:rsidRPr="003214C3">
        <w:rPr>
          <w:rFonts w:eastAsia="Calibri"/>
          <w:iCs/>
        </w:rPr>
        <w:t>i</w:t>
      </w:r>
      <w:r w:rsidRPr="003214C3">
        <w:rPr>
          <w:rFonts w:eastAsia="Calibri"/>
          <w:iCs/>
        </w:rPr>
        <w:t xml:space="preserve">s appropriate as data from the </w:t>
      </w:r>
      <w:r w:rsidR="009B32BC">
        <w:rPr>
          <w:rFonts w:eastAsia="Calibri"/>
          <w:iCs/>
        </w:rPr>
        <w:t>extension phase</w:t>
      </w:r>
      <w:r w:rsidRPr="003214C3">
        <w:rPr>
          <w:rFonts w:eastAsia="Calibri"/>
          <w:iCs/>
        </w:rPr>
        <w:t xml:space="preserve"> represents patients in a steady state and </w:t>
      </w:r>
      <w:r w:rsidR="00394C4B">
        <w:rPr>
          <w:rFonts w:eastAsia="Calibri"/>
          <w:iCs/>
        </w:rPr>
        <w:t>wa</w:t>
      </w:r>
      <w:r w:rsidR="00394C4B" w:rsidRPr="003214C3">
        <w:rPr>
          <w:rFonts w:eastAsia="Calibri"/>
          <w:iCs/>
        </w:rPr>
        <w:t xml:space="preserve">s </w:t>
      </w:r>
      <w:r w:rsidRPr="003214C3">
        <w:rPr>
          <w:rFonts w:eastAsia="Calibri"/>
          <w:iCs/>
        </w:rPr>
        <w:t>the same data source used to support the claim</w:t>
      </w:r>
      <w:r w:rsidR="009B32BC">
        <w:rPr>
          <w:rFonts w:eastAsia="Calibri"/>
          <w:iCs/>
        </w:rPr>
        <w:t>s</w:t>
      </w:r>
      <w:r w:rsidRPr="003214C3">
        <w:rPr>
          <w:rFonts w:eastAsia="Calibri"/>
          <w:iCs/>
        </w:rPr>
        <w:t xml:space="preserve"> of non-inferior effectiveness and safety compared to somatropin.</w:t>
      </w:r>
      <w:r w:rsidR="00052184" w:rsidRPr="00052184">
        <w:t xml:space="preserve"> </w:t>
      </w:r>
      <w:r w:rsidR="00052184" w:rsidRPr="003214C3">
        <w:rPr>
          <w:rFonts w:ascii="Calibri" w:eastAsia="Calibri" w:hAnsi="Calibri" w:cs="Calibri"/>
          <w:iCs/>
          <w:color w:val="000000" w:themeColor="text1"/>
        </w:rPr>
        <w:t xml:space="preserve">However, it is likely that the financial estimates </w:t>
      </w:r>
      <w:r w:rsidR="00394C4B">
        <w:rPr>
          <w:rFonts w:ascii="Calibri" w:eastAsia="Calibri" w:hAnsi="Calibri" w:cs="Calibri"/>
          <w:iCs/>
          <w:color w:val="000000" w:themeColor="text1"/>
        </w:rPr>
        <w:t>are</w:t>
      </w:r>
      <w:r w:rsidR="00052184" w:rsidRPr="003214C3">
        <w:rPr>
          <w:rFonts w:ascii="Calibri" w:eastAsia="Calibri" w:hAnsi="Calibri" w:cs="Calibri"/>
          <w:iCs/>
          <w:color w:val="000000" w:themeColor="text1"/>
        </w:rPr>
        <w:t xml:space="preserve"> sensitive to the script equivalence given the uncertainty in the mean weekly treatment doses for </w:t>
      </w:r>
      <w:proofErr w:type="spellStart"/>
      <w:r w:rsidR="00052184" w:rsidRPr="003214C3">
        <w:rPr>
          <w:rFonts w:ascii="Calibri" w:eastAsia="Calibri" w:hAnsi="Calibri" w:cs="Calibri"/>
          <w:iCs/>
          <w:color w:val="000000" w:themeColor="text1"/>
        </w:rPr>
        <w:t>somapacitan</w:t>
      </w:r>
      <w:proofErr w:type="spellEnd"/>
      <w:r w:rsidR="00052184" w:rsidRPr="003214C3">
        <w:rPr>
          <w:rFonts w:ascii="Calibri" w:eastAsia="Calibri" w:hAnsi="Calibri" w:cs="Calibri"/>
          <w:iCs/>
          <w:color w:val="000000" w:themeColor="text1"/>
        </w:rPr>
        <w:t xml:space="preserve"> (mean: 2.33; 95% CI: 2.10, 2.56) and mean daily treatment doses for somatropin (mean: 0.27; 95% CI: 0.23, 0.31).</w:t>
      </w:r>
    </w:p>
    <w:p w14:paraId="2EBE9FD6" w14:textId="19E58A03" w:rsidR="00D95A9E" w:rsidRPr="003214C3" w:rsidRDefault="00D95A9E" w:rsidP="00D95A9E">
      <w:pPr>
        <w:pStyle w:val="3-BodyText"/>
        <w:rPr>
          <w:rFonts w:eastAsiaTheme="minorEastAsia"/>
        </w:rPr>
      </w:pPr>
      <w:r w:rsidRPr="00CB6395">
        <w:rPr>
          <w:rFonts w:eastAsia="Calibri"/>
        </w:rPr>
        <w:t xml:space="preserve">The submission estimated the number of patients treated with </w:t>
      </w:r>
      <w:proofErr w:type="spellStart"/>
      <w:r w:rsidRPr="00CB6395">
        <w:rPr>
          <w:rFonts w:eastAsia="Calibri"/>
        </w:rPr>
        <w:t>som</w:t>
      </w:r>
      <w:r w:rsidR="00A97180" w:rsidRPr="00CB6395">
        <w:rPr>
          <w:rFonts w:eastAsia="Calibri"/>
        </w:rPr>
        <w:t>a</w:t>
      </w:r>
      <w:r w:rsidRPr="00CB6395">
        <w:rPr>
          <w:rFonts w:eastAsia="Calibri"/>
        </w:rPr>
        <w:t>pacitan</w:t>
      </w:r>
      <w:proofErr w:type="spellEnd"/>
      <w:r w:rsidRPr="00CB6395">
        <w:rPr>
          <w:rFonts w:eastAsia="Calibri"/>
        </w:rPr>
        <w:t xml:space="preserve"> over the next six years using the </w:t>
      </w:r>
      <w:proofErr w:type="spellStart"/>
      <w:r w:rsidRPr="00CB6395">
        <w:rPr>
          <w:rFonts w:eastAsia="Calibri"/>
        </w:rPr>
        <w:t>equi</w:t>
      </w:r>
      <w:proofErr w:type="spellEnd"/>
      <w:r w:rsidRPr="00CB6395">
        <w:rPr>
          <w:rFonts w:eastAsia="Calibri"/>
        </w:rPr>
        <w:t>-effective doses presented in the economic analysis to calculate the script equivalence and</w:t>
      </w:r>
      <w:r w:rsidR="00394C4B">
        <w:rPr>
          <w:rFonts w:eastAsia="Calibri"/>
        </w:rPr>
        <w:t xml:space="preserve"> using</w:t>
      </w:r>
      <w:r w:rsidRPr="00CB6395">
        <w:rPr>
          <w:rFonts w:eastAsia="Calibri"/>
        </w:rPr>
        <w:t xml:space="preserve"> Medicare Statistics data to project future somatropin market growth. </w:t>
      </w:r>
      <w:r w:rsidRPr="003214C3">
        <w:rPr>
          <w:rFonts w:eastAsia="Calibri"/>
        </w:rPr>
        <w:t xml:space="preserve">This is uncertain due to </w:t>
      </w:r>
      <w:proofErr w:type="spellStart"/>
      <w:r w:rsidRPr="003214C3">
        <w:rPr>
          <w:rFonts w:eastAsia="Calibri"/>
        </w:rPr>
        <w:t>somapacitan</w:t>
      </w:r>
      <w:proofErr w:type="spellEnd"/>
      <w:r w:rsidRPr="003214C3">
        <w:rPr>
          <w:rFonts w:eastAsia="Calibri"/>
        </w:rPr>
        <w:t xml:space="preserve"> market growth and substitution rate</w:t>
      </w:r>
      <w:r w:rsidR="005D52BA" w:rsidRPr="003214C3">
        <w:rPr>
          <w:rFonts w:eastAsia="Calibri"/>
        </w:rPr>
        <w:t xml:space="preserve"> assumptions</w:t>
      </w:r>
      <w:r w:rsidRPr="003214C3">
        <w:rPr>
          <w:rFonts w:eastAsia="Calibri"/>
        </w:rPr>
        <w:t xml:space="preserve">. Additionally, the estimated number of patients treated with </w:t>
      </w:r>
      <w:proofErr w:type="spellStart"/>
      <w:r w:rsidRPr="003214C3">
        <w:rPr>
          <w:rFonts w:eastAsia="Calibri"/>
        </w:rPr>
        <w:t>somapacitan</w:t>
      </w:r>
      <w:proofErr w:type="spellEnd"/>
      <w:r w:rsidRPr="003214C3">
        <w:rPr>
          <w:rFonts w:eastAsia="Calibri"/>
        </w:rPr>
        <w:t xml:space="preserve"> is likely to include a small </w:t>
      </w:r>
      <w:r w:rsidR="005D52BA" w:rsidRPr="003214C3">
        <w:rPr>
          <w:rFonts w:eastAsia="Calibri"/>
        </w:rPr>
        <w:t xml:space="preserve">number </w:t>
      </w:r>
      <w:r w:rsidRPr="003214C3">
        <w:rPr>
          <w:rFonts w:eastAsia="Calibri"/>
        </w:rPr>
        <w:t>of patients who are aged 15-17 years with mature skeletons</w:t>
      </w:r>
      <w:r w:rsidR="00A97180" w:rsidRPr="003214C3">
        <w:rPr>
          <w:rFonts w:eastAsia="Calibri"/>
        </w:rPr>
        <w:t xml:space="preserve"> who are not included in the proposed restriction</w:t>
      </w:r>
      <w:r w:rsidRPr="003214C3">
        <w:rPr>
          <w:rFonts w:eastAsia="Calibri"/>
        </w:rPr>
        <w:t xml:space="preserve">. This is due to calculations of </w:t>
      </w:r>
      <w:r w:rsidR="00B56B4B">
        <w:rPr>
          <w:rFonts w:eastAsia="Calibri"/>
        </w:rPr>
        <w:t xml:space="preserve">the </w:t>
      </w:r>
      <w:proofErr w:type="spellStart"/>
      <w:r w:rsidRPr="003214C3">
        <w:rPr>
          <w:rFonts w:eastAsia="Calibri"/>
        </w:rPr>
        <w:t>somapacitan</w:t>
      </w:r>
      <w:proofErr w:type="spellEnd"/>
      <w:r w:rsidRPr="003214C3">
        <w:rPr>
          <w:rFonts w:eastAsia="Calibri"/>
        </w:rPr>
        <w:t xml:space="preserve"> patient population predicated </w:t>
      </w:r>
      <w:r w:rsidR="00B56B4B">
        <w:rPr>
          <w:rFonts w:eastAsia="Calibri"/>
        </w:rPr>
        <w:t>using</w:t>
      </w:r>
      <w:r w:rsidR="00B56B4B" w:rsidRPr="003214C3">
        <w:rPr>
          <w:rFonts w:eastAsia="Calibri"/>
        </w:rPr>
        <w:t xml:space="preserve"> </w:t>
      </w:r>
      <w:r w:rsidRPr="003214C3">
        <w:rPr>
          <w:rFonts w:eastAsia="Calibri"/>
        </w:rPr>
        <w:t>historical Medicare Statistics data of dispensed units for somatropin PBS items restrict</w:t>
      </w:r>
      <w:r w:rsidR="00564F71">
        <w:rPr>
          <w:rFonts w:eastAsia="Calibri"/>
        </w:rPr>
        <w:t>ed</w:t>
      </w:r>
      <w:r w:rsidRPr="003214C3">
        <w:rPr>
          <w:rFonts w:eastAsia="Calibri"/>
        </w:rPr>
        <w:t xml:space="preserve"> to AGHD from 2018-2020, where under the current PBS Growth Hormone Program, patients aged 15-17 years with mature skeletons are defined as adults.</w:t>
      </w:r>
    </w:p>
    <w:p w14:paraId="06256840" w14:textId="6B14541C" w:rsidR="00D95A9E" w:rsidRPr="00B65F93" w:rsidRDefault="00D95A9E" w:rsidP="00B65F93">
      <w:pPr>
        <w:pStyle w:val="3-BodyText"/>
        <w:rPr>
          <w:rFonts w:ascii="Calibri" w:hAnsi="Calibri"/>
        </w:rPr>
      </w:pPr>
      <w:r w:rsidRPr="00CB6395">
        <w:rPr>
          <w:rFonts w:eastAsia="Calibri"/>
        </w:rPr>
        <w:t xml:space="preserve">A summary of the estimated use and financial implications of </w:t>
      </w:r>
      <w:proofErr w:type="spellStart"/>
      <w:r w:rsidR="510D62EE" w:rsidRPr="00CB6395">
        <w:rPr>
          <w:rFonts w:eastAsia="Calibri"/>
        </w:rPr>
        <w:t>somapacitan</w:t>
      </w:r>
      <w:proofErr w:type="spellEnd"/>
      <w:r w:rsidR="510D62EE" w:rsidRPr="00CB6395">
        <w:rPr>
          <w:rFonts w:eastAsia="Calibri"/>
        </w:rPr>
        <w:t xml:space="preserve"> is presented in the table below</w:t>
      </w:r>
      <w:r w:rsidR="510D62EE" w:rsidRPr="00CB6395">
        <w:t>.</w:t>
      </w:r>
      <w:r w:rsidR="510D62EE" w:rsidRPr="00CB6395">
        <w:rPr>
          <w:rFonts w:eastAsia="Calibri"/>
        </w:rPr>
        <w:t xml:space="preserve"> This is based on the effective DPMQ for </w:t>
      </w:r>
      <w:proofErr w:type="spellStart"/>
      <w:r w:rsidR="510D62EE" w:rsidRPr="00CB6395">
        <w:rPr>
          <w:rFonts w:eastAsia="Calibri"/>
        </w:rPr>
        <w:t>somapacitan</w:t>
      </w:r>
      <w:proofErr w:type="spellEnd"/>
      <w:r w:rsidR="510D62EE" w:rsidRPr="00CB6395">
        <w:rPr>
          <w:rFonts w:eastAsia="Calibri"/>
        </w:rPr>
        <w:t xml:space="preserve"> in the submission.</w:t>
      </w:r>
    </w:p>
    <w:p w14:paraId="33D1EDE8" w14:textId="2C8C3E45" w:rsidR="00D95A9E" w:rsidRPr="003F64FC" w:rsidRDefault="00D95A9E" w:rsidP="00EE0668">
      <w:pPr>
        <w:pStyle w:val="TableFigureHeading"/>
        <w:rPr>
          <w:rStyle w:val="CommentReference"/>
          <w:b/>
        </w:rPr>
      </w:pPr>
      <w:r w:rsidRPr="00CB6395">
        <w:rPr>
          <w:rStyle w:val="CommentReference"/>
          <w:b/>
        </w:rPr>
        <w:t>Table</w:t>
      </w:r>
      <w:r w:rsidR="003F64FC">
        <w:rPr>
          <w:rStyle w:val="CommentReference"/>
          <w:b/>
        </w:rPr>
        <w:t xml:space="preserve"> </w:t>
      </w:r>
      <w:r w:rsidR="005C5B11">
        <w:rPr>
          <w:rStyle w:val="CommentReference"/>
          <w:b/>
        </w:rPr>
        <w:t>9</w:t>
      </w:r>
      <w:r w:rsidRPr="00CB6395">
        <w:rPr>
          <w:rStyle w:val="CommentReference"/>
          <w:b/>
          <w:bCs w:val="0"/>
        </w:rPr>
        <w:t>:</w:t>
      </w:r>
      <w:r w:rsidRPr="00CB6395">
        <w:rPr>
          <w:rStyle w:val="CommentReference"/>
          <w:b/>
        </w:rPr>
        <w:t xml:space="preserve"> Estimated use and financial </w:t>
      </w:r>
      <w:r w:rsidRPr="003F64FC">
        <w:rPr>
          <w:rStyle w:val="CommentReference"/>
          <w:b/>
        </w:rPr>
        <w:t>implications</w:t>
      </w:r>
      <w:r w:rsidR="00DE69A2" w:rsidRPr="003F64FC">
        <w:rPr>
          <w:rStyle w:val="CommentReference"/>
          <w:b/>
        </w:rPr>
        <w:t xml:space="preserve"> (based on the effective DPMQ for </w:t>
      </w:r>
      <w:proofErr w:type="spellStart"/>
      <w:r w:rsidR="00DE69A2" w:rsidRPr="003F64FC">
        <w:rPr>
          <w:rStyle w:val="CommentReference"/>
          <w:b/>
        </w:rPr>
        <w:t>somapacitan</w:t>
      </w:r>
      <w:proofErr w:type="spellEnd"/>
      <w:r w:rsidR="00DE69A2" w:rsidRPr="003F64FC">
        <w:rPr>
          <w:rStyle w:val="CommentReference"/>
          <w:b/>
        </w:rPr>
        <w:t>)</w:t>
      </w:r>
    </w:p>
    <w:tbl>
      <w:tblPr>
        <w:tblW w:w="0" w:type="auto"/>
        <w:tblLayout w:type="fixed"/>
        <w:tblLook w:val="06A0" w:firstRow="1" w:lastRow="0" w:firstColumn="1" w:lastColumn="0" w:noHBand="1" w:noVBand="1"/>
      </w:tblPr>
      <w:tblGrid>
        <w:gridCol w:w="2010"/>
        <w:gridCol w:w="1155"/>
        <w:gridCol w:w="1155"/>
        <w:gridCol w:w="1155"/>
        <w:gridCol w:w="1155"/>
        <w:gridCol w:w="1155"/>
        <w:gridCol w:w="1230"/>
      </w:tblGrid>
      <w:tr w:rsidR="00D95A9E" w:rsidRPr="00CB6395" w14:paraId="7243A2C3" w14:textId="77777777" w:rsidTr="008C7497">
        <w:tc>
          <w:tcPr>
            <w:tcW w:w="2010" w:type="dxa"/>
            <w:tcBorders>
              <w:top w:val="single" w:sz="8" w:space="0" w:color="auto"/>
              <w:left w:val="single" w:sz="8" w:space="0" w:color="auto"/>
              <w:bottom w:val="single" w:sz="8" w:space="0" w:color="auto"/>
              <w:right w:val="single" w:sz="8" w:space="0" w:color="auto"/>
            </w:tcBorders>
            <w:vAlign w:val="center"/>
          </w:tcPr>
          <w:p w14:paraId="17A0B82C" w14:textId="77777777" w:rsidR="00D95A9E" w:rsidRPr="00CB6395" w:rsidRDefault="00D95A9E" w:rsidP="00560151">
            <w:pPr>
              <w:keepNext/>
              <w:jc w:val="center"/>
              <w:rPr>
                <w:rFonts w:ascii="Arial Narrow" w:eastAsia="Arial Narrow" w:hAnsi="Arial Narrow" w:cs="Arial Narrow"/>
                <w:b/>
                <w:bCs/>
                <w:sz w:val="20"/>
                <w:szCs w:val="20"/>
              </w:rPr>
            </w:pPr>
          </w:p>
        </w:tc>
        <w:tc>
          <w:tcPr>
            <w:tcW w:w="1155" w:type="dxa"/>
            <w:tcBorders>
              <w:top w:val="single" w:sz="8" w:space="0" w:color="auto"/>
              <w:left w:val="single" w:sz="8" w:space="0" w:color="auto"/>
              <w:bottom w:val="single" w:sz="8" w:space="0" w:color="auto"/>
              <w:right w:val="single" w:sz="8" w:space="0" w:color="auto"/>
            </w:tcBorders>
            <w:vAlign w:val="center"/>
          </w:tcPr>
          <w:p w14:paraId="0BC63020"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Year 1 </w:t>
            </w:r>
          </w:p>
        </w:tc>
        <w:tc>
          <w:tcPr>
            <w:tcW w:w="1155" w:type="dxa"/>
            <w:tcBorders>
              <w:top w:val="single" w:sz="8" w:space="0" w:color="auto"/>
              <w:left w:val="single" w:sz="8" w:space="0" w:color="auto"/>
              <w:bottom w:val="single" w:sz="8" w:space="0" w:color="auto"/>
              <w:right w:val="single" w:sz="8" w:space="0" w:color="auto"/>
            </w:tcBorders>
            <w:vAlign w:val="center"/>
          </w:tcPr>
          <w:p w14:paraId="4D3101AF"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Year 2 </w:t>
            </w:r>
          </w:p>
        </w:tc>
        <w:tc>
          <w:tcPr>
            <w:tcW w:w="1155" w:type="dxa"/>
            <w:tcBorders>
              <w:top w:val="single" w:sz="8" w:space="0" w:color="auto"/>
              <w:left w:val="single" w:sz="8" w:space="0" w:color="auto"/>
              <w:bottom w:val="single" w:sz="8" w:space="0" w:color="auto"/>
              <w:right w:val="single" w:sz="8" w:space="0" w:color="auto"/>
            </w:tcBorders>
            <w:vAlign w:val="center"/>
          </w:tcPr>
          <w:p w14:paraId="6C1A6A0B"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Year 3 </w:t>
            </w:r>
          </w:p>
        </w:tc>
        <w:tc>
          <w:tcPr>
            <w:tcW w:w="1155" w:type="dxa"/>
            <w:tcBorders>
              <w:top w:val="single" w:sz="8" w:space="0" w:color="auto"/>
              <w:left w:val="single" w:sz="8" w:space="0" w:color="auto"/>
              <w:bottom w:val="single" w:sz="8" w:space="0" w:color="auto"/>
              <w:right w:val="single" w:sz="8" w:space="0" w:color="auto"/>
            </w:tcBorders>
            <w:vAlign w:val="center"/>
          </w:tcPr>
          <w:p w14:paraId="4C630F2C"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Year 4 </w:t>
            </w:r>
          </w:p>
        </w:tc>
        <w:tc>
          <w:tcPr>
            <w:tcW w:w="1155" w:type="dxa"/>
            <w:tcBorders>
              <w:top w:val="single" w:sz="8" w:space="0" w:color="auto"/>
              <w:left w:val="single" w:sz="8" w:space="0" w:color="auto"/>
              <w:bottom w:val="single" w:sz="8" w:space="0" w:color="auto"/>
              <w:right w:val="single" w:sz="8" w:space="0" w:color="auto"/>
            </w:tcBorders>
            <w:vAlign w:val="center"/>
          </w:tcPr>
          <w:p w14:paraId="0F49E979"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Year 5 </w:t>
            </w:r>
          </w:p>
        </w:tc>
        <w:tc>
          <w:tcPr>
            <w:tcW w:w="1230" w:type="dxa"/>
            <w:tcBorders>
              <w:top w:val="single" w:sz="8" w:space="0" w:color="auto"/>
              <w:left w:val="single" w:sz="8" w:space="0" w:color="auto"/>
              <w:bottom w:val="single" w:sz="8" w:space="0" w:color="auto"/>
              <w:right w:val="single" w:sz="8" w:space="0" w:color="auto"/>
            </w:tcBorders>
          </w:tcPr>
          <w:p w14:paraId="218E7C4F"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Year 6 </w:t>
            </w:r>
          </w:p>
        </w:tc>
      </w:tr>
      <w:tr w:rsidR="00D95A9E" w:rsidRPr="00CB6395" w14:paraId="7053CD58" w14:textId="77777777" w:rsidTr="008C7497">
        <w:tc>
          <w:tcPr>
            <w:tcW w:w="2010" w:type="dxa"/>
            <w:tcBorders>
              <w:top w:val="single" w:sz="8" w:space="0" w:color="auto"/>
              <w:left w:val="single" w:sz="8" w:space="0" w:color="auto"/>
              <w:bottom w:val="single" w:sz="8" w:space="0" w:color="auto"/>
              <w:right w:val="single" w:sz="8" w:space="0" w:color="auto"/>
            </w:tcBorders>
            <w:vAlign w:val="center"/>
          </w:tcPr>
          <w:p w14:paraId="27C7F84B"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 </w:t>
            </w:r>
          </w:p>
        </w:tc>
        <w:tc>
          <w:tcPr>
            <w:tcW w:w="1155" w:type="dxa"/>
            <w:tcBorders>
              <w:top w:val="single" w:sz="8" w:space="0" w:color="auto"/>
              <w:left w:val="single" w:sz="8" w:space="0" w:color="auto"/>
              <w:bottom w:val="single" w:sz="8" w:space="0" w:color="auto"/>
              <w:right w:val="single" w:sz="8" w:space="0" w:color="auto"/>
            </w:tcBorders>
            <w:vAlign w:val="center"/>
          </w:tcPr>
          <w:p w14:paraId="3D8D2CFD"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2022 </w:t>
            </w:r>
          </w:p>
        </w:tc>
        <w:tc>
          <w:tcPr>
            <w:tcW w:w="1155" w:type="dxa"/>
            <w:tcBorders>
              <w:top w:val="single" w:sz="8" w:space="0" w:color="auto"/>
              <w:left w:val="single" w:sz="8" w:space="0" w:color="auto"/>
              <w:bottom w:val="single" w:sz="8" w:space="0" w:color="auto"/>
              <w:right w:val="single" w:sz="8" w:space="0" w:color="auto"/>
            </w:tcBorders>
            <w:vAlign w:val="center"/>
          </w:tcPr>
          <w:p w14:paraId="6C03B448"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2023 </w:t>
            </w:r>
          </w:p>
        </w:tc>
        <w:tc>
          <w:tcPr>
            <w:tcW w:w="1155" w:type="dxa"/>
            <w:tcBorders>
              <w:top w:val="single" w:sz="8" w:space="0" w:color="auto"/>
              <w:left w:val="single" w:sz="8" w:space="0" w:color="auto"/>
              <w:bottom w:val="single" w:sz="8" w:space="0" w:color="auto"/>
              <w:right w:val="single" w:sz="8" w:space="0" w:color="auto"/>
            </w:tcBorders>
            <w:vAlign w:val="center"/>
          </w:tcPr>
          <w:p w14:paraId="65282E35"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2024 </w:t>
            </w:r>
          </w:p>
        </w:tc>
        <w:tc>
          <w:tcPr>
            <w:tcW w:w="1155" w:type="dxa"/>
            <w:tcBorders>
              <w:top w:val="single" w:sz="8" w:space="0" w:color="auto"/>
              <w:left w:val="single" w:sz="8" w:space="0" w:color="auto"/>
              <w:bottom w:val="single" w:sz="8" w:space="0" w:color="auto"/>
              <w:right w:val="single" w:sz="8" w:space="0" w:color="auto"/>
            </w:tcBorders>
            <w:vAlign w:val="center"/>
          </w:tcPr>
          <w:p w14:paraId="5181916D"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2025 </w:t>
            </w:r>
          </w:p>
        </w:tc>
        <w:tc>
          <w:tcPr>
            <w:tcW w:w="1155" w:type="dxa"/>
            <w:tcBorders>
              <w:top w:val="single" w:sz="8" w:space="0" w:color="auto"/>
              <w:left w:val="single" w:sz="8" w:space="0" w:color="auto"/>
              <w:bottom w:val="single" w:sz="8" w:space="0" w:color="auto"/>
              <w:right w:val="single" w:sz="8" w:space="0" w:color="auto"/>
            </w:tcBorders>
            <w:vAlign w:val="center"/>
          </w:tcPr>
          <w:p w14:paraId="72B4EB32"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2026 </w:t>
            </w:r>
          </w:p>
        </w:tc>
        <w:tc>
          <w:tcPr>
            <w:tcW w:w="1230" w:type="dxa"/>
            <w:tcBorders>
              <w:top w:val="single" w:sz="8" w:space="0" w:color="auto"/>
              <w:left w:val="single" w:sz="8" w:space="0" w:color="auto"/>
              <w:bottom w:val="single" w:sz="8" w:space="0" w:color="auto"/>
              <w:right w:val="single" w:sz="8" w:space="0" w:color="auto"/>
            </w:tcBorders>
          </w:tcPr>
          <w:p w14:paraId="21AFCCE2" w14:textId="77777777" w:rsidR="00D95A9E" w:rsidRPr="00CB6395" w:rsidRDefault="00D95A9E" w:rsidP="00560151">
            <w:pPr>
              <w:keepNext/>
              <w:jc w:val="center"/>
            </w:pPr>
            <w:r w:rsidRPr="00CB6395">
              <w:rPr>
                <w:rFonts w:ascii="Arial Narrow" w:eastAsia="Arial Narrow" w:hAnsi="Arial Narrow" w:cs="Arial Narrow"/>
                <w:b/>
                <w:bCs/>
                <w:sz w:val="20"/>
                <w:szCs w:val="20"/>
              </w:rPr>
              <w:t xml:space="preserve">2027 </w:t>
            </w:r>
          </w:p>
        </w:tc>
      </w:tr>
      <w:tr w:rsidR="00D95A9E" w:rsidRPr="00CB6395" w14:paraId="58B97BDE" w14:textId="77777777" w:rsidTr="008C7497">
        <w:tc>
          <w:tcPr>
            <w:tcW w:w="9015" w:type="dxa"/>
            <w:gridSpan w:val="7"/>
            <w:tcBorders>
              <w:top w:val="single" w:sz="8" w:space="0" w:color="auto"/>
              <w:left w:val="single" w:sz="8" w:space="0" w:color="auto"/>
              <w:bottom w:val="single" w:sz="8" w:space="0" w:color="auto"/>
              <w:right w:val="single" w:sz="8" w:space="0" w:color="auto"/>
            </w:tcBorders>
            <w:vAlign w:val="center"/>
          </w:tcPr>
          <w:p w14:paraId="59F9A19A" w14:textId="77777777" w:rsidR="00D95A9E" w:rsidRPr="00CB6395" w:rsidRDefault="00D95A9E" w:rsidP="00560151">
            <w:pPr>
              <w:keepNext/>
            </w:pPr>
            <w:r w:rsidRPr="00CB6395">
              <w:rPr>
                <w:rFonts w:ascii="Arial Narrow" w:eastAsia="Arial Narrow" w:hAnsi="Arial Narrow" w:cs="Arial Narrow"/>
                <w:b/>
                <w:bCs/>
                <w:sz w:val="20"/>
                <w:szCs w:val="20"/>
              </w:rPr>
              <w:t xml:space="preserve">Estimated extent of use </w:t>
            </w:r>
          </w:p>
        </w:tc>
      </w:tr>
      <w:tr w:rsidR="00D95A9E" w:rsidRPr="00CB6395" w14:paraId="565E2EBD" w14:textId="77777777" w:rsidTr="008C7497">
        <w:tc>
          <w:tcPr>
            <w:tcW w:w="2010" w:type="dxa"/>
            <w:tcBorders>
              <w:top w:val="single" w:sz="8" w:space="0" w:color="auto"/>
              <w:left w:val="single" w:sz="8" w:space="0" w:color="auto"/>
              <w:bottom w:val="single" w:sz="8" w:space="0" w:color="auto"/>
              <w:right w:val="single" w:sz="8" w:space="0" w:color="auto"/>
            </w:tcBorders>
          </w:tcPr>
          <w:p w14:paraId="5ED1D534" w14:textId="77777777" w:rsidR="00D95A9E" w:rsidRPr="00CB6395" w:rsidRDefault="00D95A9E" w:rsidP="00560151">
            <w:pPr>
              <w:keepNext/>
            </w:pPr>
            <w:r w:rsidRPr="00CB6395">
              <w:rPr>
                <w:rFonts w:ascii="Arial Narrow" w:eastAsia="Arial Narrow" w:hAnsi="Arial Narrow" w:cs="Arial Narrow"/>
                <w:sz w:val="20"/>
                <w:szCs w:val="20"/>
              </w:rPr>
              <w:t xml:space="preserve">Total number of patients treated with </w:t>
            </w:r>
            <w:proofErr w:type="spellStart"/>
            <w:r w:rsidRPr="00CB6395">
              <w:rPr>
                <w:rFonts w:ascii="Arial Narrow" w:eastAsia="Arial Narrow" w:hAnsi="Arial Narrow" w:cs="Arial Narrow"/>
                <w:sz w:val="20"/>
                <w:szCs w:val="20"/>
              </w:rPr>
              <w:t>somapacitan</w:t>
            </w:r>
            <w:proofErr w:type="spellEnd"/>
          </w:p>
        </w:tc>
        <w:tc>
          <w:tcPr>
            <w:tcW w:w="1155" w:type="dxa"/>
            <w:tcBorders>
              <w:top w:val="nil"/>
              <w:left w:val="single" w:sz="8" w:space="0" w:color="auto"/>
              <w:bottom w:val="single" w:sz="8" w:space="0" w:color="auto"/>
              <w:right w:val="single" w:sz="8" w:space="0" w:color="auto"/>
            </w:tcBorders>
          </w:tcPr>
          <w:p w14:paraId="32ED18C3" w14:textId="094578C0" w:rsidR="00D95A9E" w:rsidRPr="00815144" w:rsidRDefault="00440ADF" w:rsidP="00560151">
            <w:pPr>
              <w:keepNext/>
              <w:jc w:val="center"/>
              <w:rPr>
                <w:highlight w:val="yellow"/>
                <w:vertAlign w:val="superscript"/>
              </w:rPr>
            </w:pPr>
            <w:r w:rsidRPr="00440ADF">
              <w:rPr>
                <w:rFonts w:ascii="Arial Narrow" w:eastAsia="Arial Narrow" w:hAnsi="Arial Narrow" w:cs="Arial Narrow"/>
                <w:color w:val="000000"/>
                <w:w w:val="24"/>
                <w:sz w:val="20"/>
                <w:szCs w:val="20"/>
                <w:shd w:val="solid" w:color="000000" w:fill="000000"/>
                <w:fitText w:val="110" w:id="-1500863995"/>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5"/>
                <w14:textFill>
                  <w14:solidFill>
                    <w14:srgbClr w14:val="000000">
                      <w14:alpha w14:val="100000"/>
                    </w14:srgbClr>
                  </w14:solidFill>
                </w14:textFill>
              </w:rPr>
              <w:t xml:space="preserve">　</w:t>
            </w:r>
            <w:r w:rsidR="00815144" w:rsidRPr="00815144">
              <w:rPr>
                <w:rFonts w:ascii="Arial Narrow" w:eastAsia="Arial Narrow" w:hAnsi="Arial Narrow" w:cs="Arial Narrow"/>
                <w:sz w:val="20"/>
                <w:szCs w:val="20"/>
                <w:vertAlign w:val="superscript"/>
              </w:rPr>
              <w:t>1</w:t>
            </w:r>
          </w:p>
        </w:tc>
        <w:tc>
          <w:tcPr>
            <w:tcW w:w="1155" w:type="dxa"/>
            <w:tcBorders>
              <w:top w:val="nil"/>
              <w:left w:val="single" w:sz="8" w:space="0" w:color="auto"/>
              <w:bottom w:val="single" w:sz="8" w:space="0" w:color="auto"/>
              <w:right w:val="single" w:sz="8" w:space="0" w:color="auto"/>
            </w:tcBorders>
          </w:tcPr>
          <w:p w14:paraId="4CDBC7C2" w14:textId="4623CDC9" w:rsidR="00D95A9E" w:rsidRPr="00815144" w:rsidRDefault="00440ADF" w:rsidP="00560151">
            <w:pPr>
              <w:keepNext/>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4"/>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4"/>
                <w14:textFill>
                  <w14:solidFill>
                    <w14:srgbClr w14:val="000000">
                      <w14:alpha w14:val="100000"/>
                    </w14:srgbClr>
                  </w14:solidFill>
                </w14:textFill>
              </w:rPr>
              <w:t xml:space="preserve">　</w:t>
            </w:r>
            <w:r w:rsidR="00815144" w:rsidRPr="00815144">
              <w:rPr>
                <w:rFonts w:ascii="Arial Narrow" w:eastAsia="Arial Narrow" w:hAnsi="Arial Narrow" w:cs="Arial Narrow"/>
                <w:sz w:val="20"/>
                <w:szCs w:val="20"/>
                <w:vertAlign w:val="superscript"/>
              </w:rPr>
              <w:t>1</w:t>
            </w:r>
          </w:p>
        </w:tc>
        <w:tc>
          <w:tcPr>
            <w:tcW w:w="1155" w:type="dxa"/>
            <w:tcBorders>
              <w:top w:val="nil"/>
              <w:left w:val="single" w:sz="8" w:space="0" w:color="auto"/>
              <w:bottom w:val="single" w:sz="8" w:space="0" w:color="auto"/>
              <w:right w:val="single" w:sz="8" w:space="0" w:color="auto"/>
            </w:tcBorders>
          </w:tcPr>
          <w:p w14:paraId="268B2BEE" w14:textId="0F215B87" w:rsidR="00D95A9E" w:rsidRPr="00815144" w:rsidRDefault="00440ADF" w:rsidP="00560151">
            <w:pPr>
              <w:keepNext/>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3"/>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3"/>
                <w14:textFill>
                  <w14:solidFill>
                    <w14:srgbClr w14:val="000000">
                      <w14:alpha w14:val="100000"/>
                    </w14:srgbClr>
                  </w14:solidFill>
                </w14:textFill>
              </w:rPr>
              <w:t xml:space="preserve">　</w:t>
            </w:r>
            <w:r w:rsidR="00815144" w:rsidRPr="00815144">
              <w:rPr>
                <w:rFonts w:ascii="Arial Narrow" w:eastAsia="Arial Narrow" w:hAnsi="Arial Narrow" w:cs="Arial Narrow"/>
                <w:sz w:val="20"/>
                <w:szCs w:val="20"/>
                <w:vertAlign w:val="superscript"/>
              </w:rPr>
              <w:t>1</w:t>
            </w:r>
          </w:p>
        </w:tc>
        <w:tc>
          <w:tcPr>
            <w:tcW w:w="1155" w:type="dxa"/>
            <w:tcBorders>
              <w:top w:val="nil"/>
              <w:left w:val="single" w:sz="8" w:space="0" w:color="auto"/>
              <w:bottom w:val="single" w:sz="8" w:space="0" w:color="auto"/>
              <w:right w:val="single" w:sz="8" w:space="0" w:color="auto"/>
            </w:tcBorders>
          </w:tcPr>
          <w:p w14:paraId="442103C1" w14:textId="654CD728" w:rsidR="00D95A9E" w:rsidRPr="00815144" w:rsidRDefault="00440ADF" w:rsidP="00560151">
            <w:pPr>
              <w:keepNext/>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2"/>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2"/>
                <w14:textFill>
                  <w14:solidFill>
                    <w14:srgbClr w14:val="000000">
                      <w14:alpha w14:val="100000"/>
                    </w14:srgbClr>
                  </w14:solidFill>
                </w14:textFill>
              </w:rPr>
              <w:t xml:space="preserve">　</w:t>
            </w:r>
            <w:r w:rsidR="00815144" w:rsidRPr="00815144">
              <w:rPr>
                <w:rFonts w:ascii="Arial Narrow" w:eastAsia="Arial Narrow" w:hAnsi="Arial Narrow" w:cs="Arial Narrow"/>
                <w:sz w:val="20"/>
                <w:szCs w:val="20"/>
                <w:vertAlign w:val="superscript"/>
              </w:rPr>
              <w:t>1</w:t>
            </w:r>
          </w:p>
        </w:tc>
        <w:tc>
          <w:tcPr>
            <w:tcW w:w="1155" w:type="dxa"/>
            <w:tcBorders>
              <w:top w:val="nil"/>
              <w:left w:val="single" w:sz="8" w:space="0" w:color="auto"/>
              <w:bottom w:val="single" w:sz="8" w:space="0" w:color="auto"/>
              <w:right w:val="single" w:sz="8" w:space="0" w:color="auto"/>
            </w:tcBorders>
          </w:tcPr>
          <w:p w14:paraId="4199E917" w14:textId="7E2691FD" w:rsidR="00D95A9E" w:rsidRPr="00815144" w:rsidRDefault="00440ADF" w:rsidP="00560151">
            <w:pPr>
              <w:keepNext/>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1"/>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1"/>
                <w14:textFill>
                  <w14:solidFill>
                    <w14:srgbClr w14:val="000000">
                      <w14:alpha w14:val="100000"/>
                    </w14:srgbClr>
                  </w14:solidFill>
                </w14:textFill>
              </w:rPr>
              <w:t xml:space="preserve">　</w:t>
            </w:r>
            <w:r w:rsidR="00815144" w:rsidRPr="00815144">
              <w:rPr>
                <w:rFonts w:ascii="Arial Narrow" w:eastAsia="Arial Narrow" w:hAnsi="Arial Narrow" w:cs="Arial Narrow"/>
                <w:sz w:val="20"/>
                <w:szCs w:val="20"/>
                <w:vertAlign w:val="superscript"/>
              </w:rPr>
              <w:t>1</w:t>
            </w:r>
          </w:p>
        </w:tc>
        <w:tc>
          <w:tcPr>
            <w:tcW w:w="1230" w:type="dxa"/>
            <w:tcBorders>
              <w:top w:val="nil"/>
              <w:left w:val="single" w:sz="8" w:space="0" w:color="auto"/>
              <w:bottom w:val="single" w:sz="8" w:space="0" w:color="auto"/>
              <w:right w:val="single" w:sz="8" w:space="0" w:color="auto"/>
            </w:tcBorders>
          </w:tcPr>
          <w:p w14:paraId="488FF95D" w14:textId="53692760" w:rsidR="00D95A9E" w:rsidRPr="00815144" w:rsidRDefault="00440ADF" w:rsidP="00560151">
            <w:pPr>
              <w:keepNext/>
              <w:jc w:val="center"/>
              <w:rPr>
                <w:highlight w:val="yellow"/>
              </w:rPr>
            </w:pPr>
            <w:r w:rsidRPr="00440ADF">
              <w:rPr>
                <w:rFonts w:ascii="Arial Narrow" w:eastAsia="Arial Narrow" w:hAnsi="Arial Narrow" w:cs="Arial Narrow"/>
                <w:color w:val="000000"/>
                <w:w w:val="15"/>
                <w:sz w:val="20"/>
                <w:szCs w:val="20"/>
                <w:shd w:val="solid" w:color="000000" w:fill="000000"/>
                <w:fitText w:val="70" w:id="-1500863990"/>
                <w14:textFill>
                  <w14:solidFill>
                    <w14:srgbClr w14:val="000000">
                      <w14:alpha w14:val="100000"/>
                    </w14:srgbClr>
                  </w14:solidFill>
                </w14:textFill>
              </w:rPr>
              <w:t xml:space="preserve">　|</w:t>
            </w:r>
            <w:r w:rsidRPr="00440ADF">
              <w:rPr>
                <w:rFonts w:ascii="Arial Narrow" w:eastAsia="Arial Narrow" w:hAnsi="Arial Narrow" w:cs="Arial Narrow"/>
                <w:color w:val="000000"/>
                <w:spacing w:val="4"/>
                <w:w w:val="15"/>
                <w:sz w:val="20"/>
                <w:szCs w:val="20"/>
                <w:shd w:val="solid" w:color="000000" w:fill="000000"/>
                <w:fitText w:val="70" w:id="-1500863990"/>
                <w14:textFill>
                  <w14:solidFill>
                    <w14:srgbClr w14:val="000000">
                      <w14:alpha w14:val="100000"/>
                    </w14:srgbClr>
                  </w14:solidFill>
                </w14:textFill>
              </w:rPr>
              <w:t xml:space="preserve">　</w:t>
            </w:r>
            <w:r w:rsidR="00815144" w:rsidRPr="00815144">
              <w:rPr>
                <w:rFonts w:ascii="Arial Narrow" w:eastAsia="Arial Narrow" w:hAnsi="Arial Narrow" w:cs="Arial Narrow"/>
                <w:sz w:val="20"/>
                <w:szCs w:val="20"/>
                <w:vertAlign w:val="superscript"/>
              </w:rPr>
              <w:t>1</w:t>
            </w:r>
          </w:p>
        </w:tc>
      </w:tr>
      <w:tr w:rsidR="00D95A9E" w:rsidRPr="00CB6395" w14:paraId="053F1CD2" w14:textId="77777777" w:rsidTr="008C7497">
        <w:tc>
          <w:tcPr>
            <w:tcW w:w="2010" w:type="dxa"/>
            <w:tcBorders>
              <w:top w:val="single" w:sz="8" w:space="0" w:color="auto"/>
              <w:left w:val="single" w:sz="8" w:space="0" w:color="auto"/>
              <w:bottom w:val="single" w:sz="8" w:space="0" w:color="auto"/>
              <w:right w:val="single" w:sz="8" w:space="0" w:color="auto"/>
            </w:tcBorders>
          </w:tcPr>
          <w:p w14:paraId="7633ED36" w14:textId="77777777" w:rsidR="00D95A9E" w:rsidRPr="00CB6395" w:rsidRDefault="00D95A9E" w:rsidP="008C7497">
            <w:r w:rsidRPr="00CB6395">
              <w:rPr>
                <w:rFonts w:ascii="Arial Narrow" w:eastAsia="Arial Narrow" w:hAnsi="Arial Narrow" w:cs="Arial Narrow"/>
                <w:sz w:val="20"/>
                <w:szCs w:val="20"/>
              </w:rPr>
              <w:t xml:space="preserve">Projected volumes of PBS/RPBS </w:t>
            </w:r>
            <w:proofErr w:type="spellStart"/>
            <w:r w:rsidRPr="00CB6395">
              <w:rPr>
                <w:rFonts w:ascii="Arial Narrow" w:eastAsia="Arial Narrow" w:hAnsi="Arial Narrow" w:cs="Arial Narrow"/>
                <w:sz w:val="20"/>
                <w:szCs w:val="20"/>
              </w:rPr>
              <w:t>somapacitan</w:t>
            </w:r>
            <w:proofErr w:type="spellEnd"/>
          </w:p>
        </w:tc>
        <w:tc>
          <w:tcPr>
            <w:tcW w:w="1155" w:type="dxa"/>
            <w:tcBorders>
              <w:top w:val="single" w:sz="8" w:space="0" w:color="auto"/>
              <w:left w:val="single" w:sz="8" w:space="0" w:color="auto"/>
              <w:bottom w:val="single" w:sz="8" w:space="0" w:color="auto"/>
              <w:right w:val="single" w:sz="8" w:space="0" w:color="auto"/>
            </w:tcBorders>
          </w:tcPr>
          <w:p w14:paraId="412027AE" w14:textId="5A1C3601"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9"/>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9"/>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2</w:t>
            </w:r>
          </w:p>
        </w:tc>
        <w:tc>
          <w:tcPr>
            <w:tcW w:w="1155" w:type="dxa"/>
            <w:tcBorders>
              <w:top w:val="single" w:sz="8" w:space="0" w:color="auto"/>
              <w:left w:val="single" w:sz="8" w:space="0" w:color="auto"/>
              <w:bottom w:val="single" w:sz="8" w:space="0" w:color="auto"/>
              <w:right w:val="single" w:sz="8" w:space="0" w:color="auto"/>
            </w:tcBorders>
          </w:tcPr>
          <w:p w14:paraId="099F09D1" w14:textId="1B917F3E"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8"/>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8"/>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2</w:t>
            </w:r>
          </w:p>
        </w:tc>
        <w:tc>
          <w:tcPr>
            <w:tcW w:w="1155" w:type="dxa"/>
            <w:tcBorders>
              <w:top w:val="single" w:sz="8" w:space="0" w:color="auto"/>
              <w:left w:val="single" w:sz="8" w:space="0" w:color="auto"/>
              <w:bottom w:val="single" w:sz="8" w:space="0" w:color="auto"/>
              <w:right w:val="single" w:sz="8" w:space="0" w:color="auto"/>
            </w:tcBorders>
          </w:tcPr>
          <w:p w14:paraId="354854F8" w14:textId="100D2C43"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7"/>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7"/>
                <w14:textFill>
                  <w14:solidFill>
                    <w14:srgbClr w14:val="000000">
                      <w14:alpha w14:val="100000"/>
                    </w14:srgbClr>
                  </w14:solidFill>
                </w14:textFill>
              </w:rPr>
              <w:t xml:space="preserve">　</w:t>
            </w:r>
            <w:r w:rsidR="008F14DB">
              <w:rPr>
                <w:rFonts w:ascii="Arial Narrow" w:eastAsia="Arial Narrow" w:hAnsi="Arial Narrow" w:cs="Arial Narrow"/>
                <w:sz w:val="20"/>
                <w:szCs w:val="20"/>
                <w:vertAlign w:val="superscript"/>
              </w:rPr>
              <w:t>4</w:t>
            </w:r>
          </w:p>
        </w:tc>
        <w:tc>
          <w:tcPr>
            <w:tcW w:w="1155" w:type="dxa"/>
            <w:tcBorders>
              <w:top w:val="single" w:sz="8" w:space="0" w:color="auto"/>
              <w:left w:val="single" w:sz="8" w:space="0" w:color="auto"/>
              <w:bottom w:val="single" w:sz="8" w:space="0" w:color="auto"/>
              <w:right w:val="single" w:sz="8" w:space="0" w:color="auto"/>
            </w:tcBorders>
          </w:tcPr>
          <w:p w14:paraId="32F070DB" w14:textId="79144BC2"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6"/>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6"/>
                <w14:textFill>
                  <w14:solidFill>
                    <w14:srgbClr w14:val="000000">
                      <w14:alpha w14:val="100000"/>
                    </w14:srgbClr>
                  </w14:solidFill>
                </w14:textFill>
              </w:rPr>
              <w:t xml:space="preserve">　</w:t>
            </w:r>
            <w:r w:rsidR="008F14DB">
              <w:rPr>
                <w:rFonts w:ascii="Arial Narrow" w:eastAsia="Arial Narrow" w:hAnsi="Arial Narrow" w:cs="Arial Narrow"/>
                <w:sz w:val="20"/>
                <w:szCs w:val="20"/>
                <w:vertAlign w:val="superscript"/>
              </w:rPr>
              <w:t>4</w:t>
            </w:r>
          </w:p>
        </w:tc>
        <w:tc>
          <w:tcPr>
            <w:tcW w:w="1155" w:type="dxa"/>
            <w:tcBorders>
              <w:top w:val="single" w:sz="8" w:space="0" w:color="auto"/>
              <w:left w:val="single" w:sz="8" w:space="0" w:color="auto"/>
              <w:bottom w:val="single" w:sz="8" w:space="0" w:color="auto"/>
              <w:right w:val="single" w:sz="8" w:space="0" w:color="auto"/>
            </w:tcBorders>
          </w:tcPr>
          <w:p w14:paraId="4D265554" w14:textId="2ABDAFCF"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5"/>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5"/>
                <w14:textFill>
                  <w14:solidFill>
                    <w14:srgbClr w14:val="000000">
                      <w14:alpha w14:val="100000"/>
                    </w14:srgbClr>
                  </w14:solidFill>
                </w14:textFill>
              </w:rPr>
              <w:t xml:space="preserve">　</w:t>
            </w:r>
            <w:r w:rsidR="008F14DB">
              <w:rPr>
                <w:rFonts w:ascii="Arial Narrow" w:eastAsia="Arial Narrow" w:hAnsi="Arial Narrow" w:cs="Arial Narrow"/>
                <w:sz w:val="20"/>
                <w:szCs w:val="20"/>
                <w:vertAlign w:val="superscript"/>
              </w:rPr>
              <w:t>4</w:t>
            </w:r>
          </w:p>
        </w:tc>
        <w:tc>
          <w:tcPr>
            <w:tcW w:w="1230" w:type="dxa"/>
            <w:tcBorders>
              <w:top w:val="single" w:sz="8" w:space="0" w:color="auto"/>
              <w:left w:val="single" w:sz="8" w:space="0" w:color="auto"/>
              <w:bottom w:val="single" w:sz="8" w:space="0" w:color="auto"/>
              <w:right w:val="single" w:sz="8" w:space="0" w:color="auto"/>
            </w:tcBorders>
          </w:tcPr>
          <w:p w14:paraId="52A45433" w14:textId="40A8E324" w:rsidR="00D95A9E" w:rsidRPr="00815144" w:rsidRDefault="00440ADF" w:rsidP="008C7497">
            <w:pPr>
              <w:jc w:val="center"/>
              <w:rPr>
                <w:highlight w:val="yellow"/>
              </w:rPr>
            </w:pPr>
            <w:r w:rsidRPr="00440ADF">
              <w:rPr>
                <w:rFonts w:ascii="Arial Narrow" w:eastAsia="Arial Narrow" w:hAnsi="Arial Narrow" w:cs="Arial Narrow"/>
                <w:color w:val="000000"/>
                <w:w w:val="15"/>
                <w:sz w:val="20"/>
                <w:szCs w:val="20"/>
                <w:shd w:val="solid" w:color="000000" w:fill="000000"/>
                <w:fitText w:val="70" w:id="-1500863984"/>
                <w14:textFill>
                  <w14:solidFill>
                    <w14:srgbClr w14:val="000000">
                      <w14:alpha w14:val="100000"/>
                    </w14:srgbClr>
                  </w14:solidFill>
                </w14:textFill>
              </w:rPr>
              <w:t xml:space="preserve">　|</w:t>
            </w:r>
            <w:r w:rsidRPr="00440ADF">
              <w:rPr>
                <w:rFonts w:ascii="Arial Narrow" w:eastAsia="Arial Narrow" w:hAnsi="Arial Narrow" w:cs="Arial Narrow"/>
                <w:color w:val="000000"/>
                <w:spacing w:val="4"/>
                <w:w w:val="15"/>
                <w:sz w:val="20"/>
                <w:szCs w:val="20"/>
                <w:shd w:val="solid" w:color="000000" w:fill="000000"/>
                <w:fitText w:val="70" w:id="-1500863984"/>
                <w14:textFill>
                  <w14:solidFill>
                    <w14:srgbClr w14:val="000000">
                      <w14:alpha w14:val="100000"/>
                    </w14:srgbClr>
                  </w14:solidFill>
                </w14:textFill>
              </w:rPr>
              <w:t xml:space="preserve">　</w:t>
            </w:r>
            <w:r w:rsidR="008F14DB">
              <w:rPr>
                <w:rFonts w:ascii="Arial Narrow" w:eastAsia="Arial Narrow" w:hAnsi="Arial Narrow" w:cs="Arial Narrow"/>
                <w:sz w:val="20"/>
                <w:szCs w:val="20"/>
                <w:vertAlign w:val="superscript"/>
              </w:rPr>
              <w:t>4</w:t>
            </w:r>
          </w:p>
        </w:tc>
      </w:tr>
      <w:tr w:rsidR="00D95A9E" w:rsidRPr="00CB6395" w14:paraId="2246D216" w14:textId="77777777" w:rsidTr="008C7497">
        <w:tc>
          <w:tcPr>
            <w:tcW w:w="9015" w:type="dxa"/>
            <w:gridSpan w:val="7"/>
            <w:tcBorders>
              <w:top w:val="single" w:sz="8" w:space="0" w:color="auto"/>
              <w:left w:val="single" w:sz="8" w:space="0" w:color="auto"/>
              <w:bottom w:val="single" w:sz="8" w:space="0" w:color="auto"/>
              <w:right w:val="single" w:sz="8" w:space="0" w:color="auto"/>
            </w:tcBorders>
            <w:vAlign w:val="center"/>
          </w:tcPr>
          <w:p w14:paraId="6141542B" w14:textId="77777777" w:rsidR="00D95A9E" w:rsidRPr="00CB6395" w:rsidRDefault="00D95A9E" w:rsidP="008C7497">
            <w:r w:rsidRPr="00CB6395">
              <w:rPr>
                <w:rFonts w:ascii="Arial Narrow" w:eastAsia="Arial Narrow" w:hAnsi="Arial Narrow" w:cs="Arial Narrow"/>
                <w:b/>
                <w:bCs/>
                <w:sz w:val="20"/>
                <w:szCs w:val="20"/>
              </w:rPr>
              <w:t xml:space="preserve">Estimated financial implications of </w:t>
            </w:r>
            <w:proofErr w:type="spellStart"/>
            <w:r w:rsidRPr="00CB6395">
              <w:rPr>
                <w:rFonts w:ascii="Arial Narrow" w:eastAsia="Arial Narrow" w:hAnsi="Arial Narrow" w:cs="Arial Narrow"/>
                <w:b/>
                <w:bCs/>
                <w:sz w:val="20"/>
                <w:szCs w:val="20"/>
              </w:rPr>
              <w:t>somapacitan</w:t>
            </w:r>
            <w:proofErr w:type="spellEnd"/>
          </w:p>
        </w:tc>
      </w:tr>
      <w:tr w:rsidR="00D95A9E" w:rsidRPr="00CB6395" w14:paraId="7A58388E" w14:textId="77777777" w:rsidTr="008C7497">
        <w:tc>
          <w:tcPr>
            <w:tcW w:w="2010" w:type="dxa"/>
            <w:tcBorders>
              <w:top w:val="single" w:sz="8" w:space="0" w:color="auto"/>
              <w:left w:val="single" w:sz="8" w:space="0" w:color="auto"/>
              <w:bottom w:val="single" w:sz="8" w:space="0" w:color="auto"/>
              <w:right w:val="single" w:sz="8" w:space="0" w:color="auto"/>
            </w:tcBorders>
            <w:vAlign w:val="center"/>
          </w:tcPr>
          <w:p w14:paraId="11F64F04" w14:textId="48BE146E" w:rsidR="00D95A9E" w:rsidRPr="00CB6395" w:rsidRDefault="00D95A9E" w:rsidP="008C7497">
            <w:pPr>
              <w:rPr>
                <w:rFonts w:ascii="Arial Narrow" w:eastAsia="Arial Narrow" w:hAnsi="Arial Narrow" w:cs="Arial Narrow"/>
                <w:sz w:val="19"/>
                <w:szCs w:val="19"/>
              </w:rPr>
            </w:pPr>
            <w:r w:rsidRPr="00CB6395">
              <w:rPr>
                <w:rFonts w:ascii="Arial Narrow" w:eastAsia="Arial Narrow" w:hAnsi="Arial Narrow" w:cs="Arial Narrow"/>
                <w:sz w:val="19"/>
                <w:szCs w:val="19"/>
              </w:rPr>
              <w:t xml:space="preserve">Cost to PBS/RPBS less </w:t>
            </w:r>
            <w:r w:rsidR="00B02C99" w:rsidRPr="00CB6395">
              <w:rPr>
                <w:rFonts w:ascii="Arial Narrow" w:eastAsia="Arial Narrow" w:hAnsi="Arial Narrow" w:cs="Arial Narrow"/>
                <w:sz w:val="19"/>
                <w:szCs w:val="19"/>
              </w:rPr>
              <w:t>co-payments</w:t>
            </w:r>
            <w:r w:rsidRPr="00CB6395">
              <w:rPr>
                <w:rFonts w:ascii="Arial Narrow" w:eastAsia="Arial Narrow" w:hAnsi="Arial Narrow" w:cs="Arial Narrow"/>
                <w:sz w:val="19"/>
                <w:szCs w:val="19"/>
              </w:rPr>
              <w:t xml:space="preserve"> </w:t>
            </w:r>
            <w:r w:rsidR="00815144">
              <w:rPr>
                <w:rFonts w:ascii="Arial Narrow" w:eastAsia="Arial Narrow" w:hAnsi="Arial Narrow" w:cs="Arial Narrow"/>
                <w:sz w:val="19"/>
                <w:szCs w:val="19"/>
              </w:rPr>
              <w:t>($)</w:t>
            </w:r>
          </w:p>
        </w:tc>
        <w:tc>
          <w:tcPr>
            <w:tcW w:w="1155" w:type="dxa"/>
            <w:tcBorders>
              <w:top w:val="nil"/>
              <w:left w:val="single" w:sz="8" w:space="0" w:color="auto"/>
              <w:bottom w:val="single" w:sz="8" w:space="0" w:color="auto"/>
              <w:right w:val="single" w:sz="8" w:space="0" w:color="auto"/>
            </w:tcBorders>
          </w:tcPr>
          <w:p w14:paraId="314208B2" w14:textId="5AFDBFE7"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4000"/>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4000"/>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4D547000" w14:textId="1689B4C1"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9"/>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9"/>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3B5999F3" w14:textId="6FF29D7D"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8"/>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8"/>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7773D2F8" w14:textId="34746FBF"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7"/>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7"/>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3171702D" w14:textId="271DD32B"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96"/>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96"/>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230" w:type="dxa"/>
            <w:tcBorders>
              <w:top w:val="nil"/>
              <w:left w:val="single" w:sz="8" w:space="0" w:color="auto"/>
              <w:bottom w:val="single" w:sz="8" w:space="0" w:color="auto"/>
              <w:right w:val="single" w:sz="8" w:space="0" w:color="auto"/>
            </w:tcBorders>
          </w:tcPr>
          <w:p w14:paraId="67E94064" w14:textId="27261BF6" w:rsidR="00D95A9E" w:rsidRPr="00815144" w:rsidRDefault="00440ADF" w:rsidP="008C7497">
            <w:pPr>
              <w:jc w:val="center"/>
              <w:rPr>
                <w:highlight w:val="yellow"/>
              </w:rPr>
            </w:pPr>
            <w:r w:rsidRPr="00440ADF">
              <w:rPr>
                <w:rFonts w:ascii="Arial Narrow" w:eastAsia="Arial Narrow" w:hAnsi="Arial Narrow" w:cs="Arial Narrow"/>
                <w:color w:val="000000"/>
                <w:w w:val="15"/>
                <w:sz w:val="20"/>
                <w:szCs w:val="20"/>
                <w:shd w:val="solid" w:color="000000" w:fill="000000"/>
                <w:fitText w:val="70" w:id="-1500863995"/>
                <w14:textFill>
                  <w14:solidFill>
                    <w14:srgbClr w14:val="000000">
                      <w14:alpha w14:val="100000"/>
                    </w14:srgbClr>
                  </w14:solidFill>
                </w14:textFill>
              </w:rPr>
              <w:t xml:space="preserve">　|</w:t>
            </w:r>
            <w:r w:rsidRPr="00440ADF">
              <w:rPr>
                <w:rFonts w:ascii="Arial Narrow" w:eastAsia="Arial Narrow" w:hAnsi="Arial Narrow" w:cs="Arial Narrow"/>
                <w:color w:val="000000"/>
                <w:spacing w:val="4"/>
                <w:w w:val="15"/>
                <w:sz w:val="20"/>
                <w:szCs w:val="20"/>
                <w:shd w:val="solid" w:color="000000" w:fill="000000"/>
                <w:fitText w:val="70" w:id="-1500863995"/>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r>
      <w:tr w:rsidR="00D95A9E" w:rsidRPr="00CB6395" w14:paraId="06B08F87" w14:textId="77777777" w:rsidTr="008C7497">
        <w:tc>
          <w:tcPr>
            <w:tcW w:w="9015" w:type="dxa"/>
            <w:gridSpan w:val="7"/>
            <w:tcBorders>
              <w:top w:val="single" w:sz="8" w:space="0" w:color="auto"/>
              <w:left w:val="single" w:sz="8" w:space="0" w:color="auto"/>
              <w:bottom w:val="single" w:sz="8" w:space="0" w:color="auto"/>
              <w:right w:val="single" w:sz="8" w:space="0" w:color="auto"/>
            </w:tcBorders>
            <w:vAlign w:val="center"/>
          </w:tcPr>
          <w:p w14:paraId="257EA5EF" w14:textId="77777777" w:rsidR="00D95A9E" w:rsidRPr="00CB6395" w:rsidRDefault="00D95A9E" w:rsidP="008C7497">
            <w:r w:rsidRPr="00CB6395">
              <w:rPr>
                <w:rFonts w:ascii="Arial Narrow" w:eastAsia="Arial Narrow" w:hAnsi="Arial Narrow" w:cs="Arial Narrow"/>
                <w:b/>
                <w:bCs/>
                <w:sz w:val="20"/>
                <w:szCs w:val="20"/>
              </w:rPr>
              <w:t xml:space="preserve">Estimated financial implications of somatropin </w:t>
            </w:r>
          </w:p>
        </w:tc>
      </w:tr>
      <w:tr w:rsidR="00D95A9E" w:rsidRPr="00CB6395" w14:paraId="6FC4AF16" w14:textId="77777777" w:rsidTr="008C7497">
        <w:tc>
          <w:tcPr>
            <w:tcW w:w="2010" w:type="dxa"/>
            <w:tcBorders>
              <w:top w:val="single" w:sz="8" w:space="0" w:color="auto"/>
              <w:left w:val="single" w:sz="8" w:space="0" w:color="auto"/>
              <w:bottom w:val="single" w:sz="8" w:space="0" w:color="auto"/>
              <w:right w:val="single" w:sz="8" w:space="0" w:color="auto"/>
            </w:tcBorders>
            <w:vAlign w:val="center"/>
          </w:tcPr>
          <w:p w14:paraId="3E7EEF62" w14:textId="2AFC3383" w:rsidR="00D95A9E" w:rsidRPr="00CB6395" w:rsidRDefault="00D95A9E" w:rsidP="008C7497">
            <w:r w:rsidRPr="00CB6395">
              <w:rPr>
                <w:rFonts w:ascii="Arial Narrow" w:eastAsia="Arial Narrow" w:hAnsi="Arial Narrow" w:cs="Arial Narrow"/>
                <w:sz w:val="19"/>
                <w:szCs w:val="19"/>
              </w:rPr>
              <w:t xml:space="preserve">Cost to PBS/RPBS less </w:t>
            </w:r>
            <w:r w:rsidR="00B02C99" w:rsidRPr="00CB6395">
              <w:rPr>
                <w:rFonts w:ascii="Arial Narrow" w:eastAsia="Arial Narrow" w:hAnsi="Arial Narrow" w:cs="Arial Narrow"/>
                <w:sz w:val="19"/>
                <w:szCs w:val="19"/>
              </w:rPr>
              <w:t>co-payments</w:t>
            </w:r>
            <w:r w:rsidRPr="00CB6395">
              <w:rPr>
                <w:rFonts w:ascii="Arial Narrow" w:eastAsia="Arial Narrow" w:hAnsi="Arial Narrow" w:cs="Arial Narrow"/>
                <w:sz w:val="19"/>
                <w:szCs w:val="19"/>
              </w:rPr>
              <w:t xml:space="preserve"> </w:t>
            </w:r>
            <w:r w:rsidR="00815144">
              <w:rPr>
                <w:rFonts w:ascii="Arial Narrow" w:eastAsia="Arial Narrow" w:hAnsi="Arial Narrow" w:cs="Arial Narrow"/>
                <w:sz w:val="19"/>
                <w:szCs w:val="19"/>
              </w:rPr>
              <w:t>($)</w:t>
            </w:r>
          </w:p>
        </w:tc>
        <w:tc>
          <w:tcPr>
            <w:tcW w:w="1155" w:type="dxa"/>
            <w:tcBorders>
              <w:top w:val="nil"/>
              <w:left w:val="single" w:sz="8" w:space="0" w:color="auto"/>
              <w:bottom w:val="single" w:sz="8" w:space="0" w:color="auto"/>
              <w:right w:val="single" w:sz="8" w:space="0" w:color="auto"/>
            </w:tcBorders>
          </w:tcPr>
          <w:p w14:paraId="26B24511" w14:textId="4371681F" w:rsidR="00D95A9E" w:rsidRPr="00815144" w:rsidRDefault="00D95A9E" w:rsidP="008C7497">
            <w:pPr>
              <w:jc w:val="center"/>
              <w:rPr>
                <w:highlight w:val="yellow"/>
              </w:rPr>
            </w:pPr>
            <w:r w:rsidRPr="003D0E27">
              <w:rPr>
                <w:rFonts w:ascii="Arial Narrow" w:eastAsia="Arial Narrow" w:hAnsi="Arial Narrow" w:cs="Arial Narrow"/>
                <w:sz w:val="20"/>
                <w:szCs w:val="20"/>
              </w:rPr>
              <w:t>-</w:t>
            </w:r>
            <w:r w:rsidR="00440ADF" w:rsidRPr="00440ADF">
              <w:rPr>
                <w:rFonts w:ascii="Arial Narrow" w:eastAsia="Arial Narrow" w:hAnsi="Arial Narrow" w:cs="Arial Narrow"/>
                <w:color w:val="000000"/>
                <w:w w:val="31"/>
                <w:sz w:val="20"/>
                <w:szCs w:val="20"/>
                <w:shd w:val="solid" w:color="000000" w:fill="000000"/>
                <w:fitText w:val="140" w:id="-1500863994"/>
                <w14:textFill>
                  <w14:solidFill>
                    <w14:srgbClr w14:val="000000">
                      <w14:alpha w14:val="100000"/>
                    </w14:srgbClr>
                  </w14:solidFill>
                </w14:textFill>
              </w:rPr>
              <w:t xml:space="preserve">　|</w:t>
            </w:r>
            <w:r w:rsidR="00440ADF" w:rsidRPr="00440ADF">
              <w:rPr>
                <w:rFonts w:ascii="Arial Narrow" w:eastAsia="Arial Narrow" w:hAnsi="Arial Narrow" w:cs="Arial Narrow"/>
                <w:color w:val="000000"/>
                <w:spacing w:val="4"/>
                <w:w w:val="31"/>
                <w:sz w:val="20"/>
                <w:szCs w:val="20"/>
                <w:shd w:val="solid" w:color="000000" w:fill="000000"/>
                <w:fitText w:val="140" w:id="-1500863994"/>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20105513" w14:textId="5E733B10" w:rsidR="00D95A9E" w:rsidRPr="00815144" w:rsidRDefault="00D95A9E" w:rsidP="008C7497">
            <w:pPr>
              <w:jc w:val="center"/>
              <w:rPr>
                <w:highlight w:val="yellow"/>
              </w:rPr>
            </w:pPr>
            <w:r w:rsidRPr="003D0E27">
              <w:rPr>
                <w:rFonts w:ascii="Arial Narrow" w:eastAsia="Arial Narrow" w:hAnsi="Arial Narrow" w:cs="Arial Narrow"/>
                <w:sz w:val="20"/>
                <w:szCs w:val="20"/>
              </w:rPr>
              <w:t>-</w:t>
            </w:r>
            <w:r w:rsidR="00440ADF" w:rsidRPr="00440ADF">
              <w:rPr>
                <w:rFonts w:ascii="Arial Narrow" w:eastAsia="Arial Narrow" w:hAnsi="Arial Narrow" w:cs="Arial Narrow"/>
                <w:color w:val="000000"/>
                <w:w w:val="31"/>
                <w:sz w:val="20"/>
                <w:szCs w:val="20"/>
                <w:shd w:val="solid" w:color="000000" w:fill="000000"/>
                <w:fitText w:val="140" w:id="-1500863993"/>
                <w14:textFill>
                  <w14:solidFill>
                    <w14:srgbClr w14:val="000000">
                      <w14:alpha w14:val="100000"/>
                    </w14:srgbClr>
                  </w14:solidFill>
                </w14:textFill>
              </w:rPr>
              <w:t xml:space="preserve">　|</w:t>
            </w:r>
            <w:r w:rsidR="00440ADF" w:rsidRPr="00440ADF">
              <w:rPr>
                <w:rFonts w:ascii="Arial Narrow" w:eastAsia="Arial Narrow" w:hAnsi="Arial Narrow" w:cs="Arial Narrow"/>
                <w:color w:val="000000"/>
                <w:spacing w:val="4"/>
                <w:w w:val="31"/>
                <w:sz w:val="20"/>
                <w:szCs w:val="20"/>
                <w:shd w:val="solid" w:color="000000" w:fill="000000"/>
                <w:fitText w:val="140" w:id="-1500863993"/>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2D9C80B6" w14:textId="714F083A" w:rsidR="00D95A9E" w:rsidRPr="00815144" w:rsidRDefault="00D95A9E" w:rsidP="008C7497">
            <w:pPr>
              <w:jc w:val="center"/>
              <w:rPr>
                <w:highlight w:val="yellow"/>
              </w:rPr>
            </w:pPr>
            <w:r w:rsidRPr="003D0E27">
              <w:rPr>
                <w:rFonts w:ascii="Arial Narrow" w:eastAsia="Arial Narrow" w:hAnsi="Arial Narrow" w:cs="Arial Narrow"/>
                <w:sz w:val="20"/>
                <w:szCs w:val="20"/>
              </w:rPr>
              <w:t>-</w:t>
            </w:r>
            <w:r w:rsidR="00440ADF" w:rsidRPr="00440ADF">
              <w:rPr>
                <w:rFonts w:ascii="Arial Narrow" w:eastAsia="Arial Narrow" w:hAnsi="Arial Narrow" w:cs="Arial Narrow"/>
                <w:color w:val="000000"/>
                <w:w w:val="31"/>
                <w:sz w:val="20"/>
                <w:szCs w:val="20"/>
                <w:shd w:val="solid" w:color="000000" w:fill="000000"/>
                <w:fitText w:val="140" w:id="-1500863992"/>
                <w14:textFill>
                  <w14:solidFill>
                    <w14:srgbClr w14:val="000000">
                      <w14:alpha w14:val="100000"/>
                    </w14:srgbClr>
                  </w14:solidFill>
                </w14:textFill>
              </w:rPr>
              <w:t xml:space="preserve">　|</w:t>
            </w:r>
            <w:r w:rsidR="00440ADF" w:rsidRPr="00440ADF">
              <w:rPr>
                <w:rFonts w:ascii="Arial Narrow" w:eastAsia="Arial Narrow" w:hAnsi="Arial Narrow" w:cs="Arial Narrow"/>
                <w:color w:val="000000"/>
                <w:spacing w:val="4"/>
                <w:w w:val="31"/>
                <w:sz w:val="20"/>
                <w:szCs w:val="20"/>
                <w:shd w:val="solid" w:color="000000" w:fill="000000"/>
                <w:fitText w:val="140" w:id="-1500863992"/>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6802928B" w14:textId="4DE6ECBB" w:rsidR="00D95A9E" w:rsidRPr="00815144" w:rsidRDefault="00D95A9E" w:rsidP="008C7497">
            <w:pPr>
              <w:jc w:val="center"/>
              <w:rPr>
                <w:highlight w:val="yellow"/>
              </w:rPr>
            </w:pPr>
            <w:r w:rsidRPr="003D0E27">
              <w:rPr>
                <w:rFonts w:ascii="Arial Narrow" w:eastAsia="Arial Narrow" w:hAnsi="Arial Narrow" w:cs="Arial Narrow"/>
                <w:sz w:val="20"/>
                <w:szCs w:val="20"/>
              </w:rPr>
              <w:t>-</w:t>
            </w:r>
            <w:r w:rsidR="00440ADF" w:rsidRPr="00440ADF">
              <w:rPr>
                <w:rFonts w:ascii="Arial Narrow" w:eastAsia="Arial Narrow" w:hAnsi="Arial Narrow" w:cs="Arial Narrow"/>
                <w:color w:val="000000"/>
                <w:w w:val="31"/>
                <w:sz w:val="20"/>
                <w:szCs w:val="20"/>
                <w:shd w:val="solid" w:color="000000" w:fill="000000"/>
                <w:fitText w:val="140" w:id="-1500863991"/>
                <w14:textFill>
                  <w14:solidFill>
                    <w14:srgbClr w14:val="000000">
                      <w14:alpha w14:val="100000"/>
                    </w14:srgbClr>
                  </w14:solidFill>
                </w14:textFill>
              </w:rPr>
              <w:t xml:space="preserve">　|</w:t>
            </w:r>
            <w:r w:rsidR="00440ADF" w:rsidRPr="00440ADF">
              <w:rPr>
                <w:rFonts w:ascii="Arial Narrow" w:eastAsia="Arial Narrow" w:hAnsi="Arial Narrow" w:cs="Arial Narrow"/>
                <w:color w:val="000000"/>
                <w:spacing w:val="4"/>
                <w:w w:val="31"/>
                <w:sz w:val="20"/>
                <w:szCs w:val="20"/>
                <w:shd w:val="solid" w:color="000000" w:fill="000000"/>
                <w:fitText w:val="140" w:id="-1500863991"/>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45BCC2D3" w14:textId="29D4CA39" w:rsidR="00D95A9E" w:rsidRPr="00815144" w:rsidRDefault="00D95A9E" w:rsidP="008C7497">
            <w:pPr>
              <w:jc w:val="center"/>
              <w:rPr>
                <w:highlight w:val="yellow"/>
              </w:rPr>
            </w:pPr>
            <w:r w:rsidRPr="003D0E27">
              <w:rPr>
                <w:rFonts w:ascii="Arial Narrow" w:eastAsia="Arial Narrow" w:hAnsi="Arial Narrow" w:cs="Arial Narrow"/>
                <w:sz w:val="20"/>
                <w:szCs w:val="20"/>
              </w:rPr>
              <w:t>-</w:t>
            </w:r>
            <w:r w:rsidR="00440ADF" w:rsidRPr="00440ADF">
              <w:rPr>
                <w:rFonts w:ascii="Arial Narrow" w:eastAsia="Arial Narrow" w:hAnsi="Arial Narrow" w:cs="Arial Narrow"/>
                <w:color w:val="000000"/>
                <w:w w:val="31"/>
                <w:sz w:val="20"/>
                <w:szCs w:val="20"/>
                <w:shd w:val="solid" w:color="000000" w:fill="000000"/>
                <w:fitText w:val="140" w:id="-1500863990"/>
                <w14:textFill>
                  <w14:solidFill>
                    <w14:srgbClr w14:val="000000">
                      <w14:alpha w14:val="100000"/>
                    </w14:srgbClr>
                  </w14:solidFill>
                </w14:textFill>
              </w:rPr>
              <w:t xml:space="preserve">　|</w:t>
            </w:r>
            <w:r w:rsidR="00440ADF" w:rsidRPr="00440ADF">
              <w:rPr>
                <w:rFonts w:ascii="Arial Narrow" w:eastAsia="Arial Narrow" w:hAnsi="Arial Narrow" w:cs="Arial Narrow"/>
                <w:color w:val="000000"/>
                <w:spacing w:val="4"/>
                <w:w w:val="31"/>
                <w:sz w:val="20"/>
                <w:szCs w:val="20"/>
                <w:shd w:val="solid" w:color="000000" w:fill="000000"/>
                <w:fitText w:val="140" w:id="-1500863990"/>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230" w:type="dxa"/>
            <w:tcBorders>
              <w:top w:val="nil"/>
              <w:left w:val="single" w:sz="8" w:space="0" w:color="auto"/>
              <w:bottom w:val="single" w:sz="8" w:space="0" w:color="auto"/>
              <w:right w:val="single" w:sz="8" w:space="0" w:color="auto"/>
            </w:tcBorders>
          </w:tcPr>
          <w:p w14:paraId="758AFACE" w14:textId="0DC6DB80" w:rsidR="00D95A9E" w:rsidRPr="00815144" w:rsidRDefault="00D95A9E" w:rsidP="008C7497">
            <w:pPr>
              <w:jc w:val="center"/>
              <w:rPr>
                <w:highlight w:val="yellow"/>
              </w:rPr>
            </w:pPr>
            <w:r w:rsidRPr="003D0E27">
              <w:rPr>
                <w:rFonts w:ascii="Arial Narrow" w:eastAsia="Arial Narrow" w:hAnsi="Arial Narrow" w:cs="Arial Narrow"/>
                <w:sz w:val="20"/>
                <w:szCs w:val="20"/>
              </w:rPr>
              <w:t>-</w:t>
            </w:r>
            <w:r w:rsidR="00440ADF" w:rsidRPr="00440ADF">
              <w:rPr>
                <w:rFonts w:ascii="Arial Narrow" w:eastAsia="Arial Narrow" w:hAnsi="Arial Narrow" w:cs="Arial Narrow"/>
                <w:color w:val="000000"/>
                <w:w w:val="20"/>
                <w:sz w:val="20"/>
                <w:szCs w:val="20"/>
                <w:shd w:val="solid" w:color="000000" w:fill="000000"/>
                <w:fitText w:val="90" w:id="-1500863989"/>
                <w14:textFill>
                  <w14:solidFill>
                    <w14:srgbClr w14:val="000000">
                      <w14:alpha w14:val="100000"/>
                    </w14:srgbClr>
                  </w14:solidFill>
                </w14:textFill>
              </w:rPr>
              <w:t xml:space="preserve">　|</w:t>
            </w:r>
            <w:r w:rsidR="00440ADF" w:rsidRPr="00440ADF">
              <w:rPr>
                <w:rFonts w:ascii="Arial Narrow" w:eastAsia="Arial Narrow" w:hAnsi="Arial Narrow" w:cs="Arial Narrow"/>
                <w:color w:val="000000"/>
                <w:spacing w:val="3"/>
                <w:w w:val="20"/>
                <w:sz w:val="20"/>
                <w:szCs w:val="20"/>
                <w:shd w:val="solid" w:color="000000" w:fill="000000"/>
                <w:fitText w:val="90" w:id="-1500863989"/>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r>
      <w:tr w:rsidR="00D95A9E" w:rsidRPr="00CB6395" w14:paraId="634A0E83" w14:textId="77777777" w:rsidTr="008C7497">
        <w:tc>
          <w:tcPr>
            <w:tcW w:w="9015" w:type="dxa"/>
            <w:gridSpan w:val="7"/>
            <w:tcBorders>
              <w:top w:val="single" w:sz="8" w:space="0" w:color="auto"/>
              <w:left w:val="single" w:sz="8" w:space="0" w:color="auto"/>
              <w:bottom w:val="single" w:sz="8" w:space="0" w:color="auto"/>
              <w:right w:val="single" w:sz="8" w:space="0" w:color="auto"/>
            </w:tcBorders>
            <w:vAlign w:val="center"/>
          </w:tcPr>
          <w:p w14:paraId="677DE1BD" w14:textId="77777777" w:rsidR="00D95A9E" w:rsidRPr="00CB6395" w:rsidRDefault="00D95A9E" w:rsidP="008C7497">
            <w:r w:rsidRPr="00CB6395">
              <w:rPr>
                <w:rFonts w:ascii="Arial Narrow" w:eastAsia="Arial Narrow" w:hAnsi="Arial Narrow" w:cs="Arial Narrow"/>
                <w:b/>
                <w:bCs/>
                <w:sz w:val="20"/>
                <w:szCs w:val="20"/>
              </w:rPr>
              <w:t>Net financial implications</w:t>
            </w:r>
            <w:r w:rsidRPr="00CB6395">
              <w:rPr>
                <w:rFonts w:ascii="Arial Narrow" w:eastAsia="Arial Narrow" w:hAnsi="Arial Narrow" w:cs="Arial Narrow"/>
                <w:b/>
                <w:bCs/>
                <w:color w:val="4BACC6" w:themeColor="accent5"/>
                <w:sz w:val="20"/>
                <w:szCs w:val="20"/>
              </w:rPr>
              <w:t xml:space="preserve"> </w:t>
            </w:r>
          </w:p>
        </w:tc>
      </w:tr>
      <w:tr w:rsidR="00D95A9E" w:rsidRPr="00CB6395" w14:paraId="6D50EDEB" w14:textId="77777777" w:rsidTr="008C7497">
        <w:tc>
          <w:tcPr>
            <w:tcW w:w="2010" w:type="dxa"/>
            <w:tcBorders>
              <w:top w:val="single" w:sz="8" w:space="0" w:color="auto"/>
              <w:left w:val="single" w:sz="8" w:space="0" w:color="auto"/>
              <w:bottom w:val="single" w:sz="8" w:space="0" w:color="auto"/>
              <w:right w:val="single" w:sz="8" w:space="0" w:color="auto"/>
            </w:tcBorders>
            <w:vAlign w:val="center"/>
          </w:tcPr>
          <w:p w14:paraId="2B1BA549" w14:textId="67C5D8A1" w:rsidR="00D95A9E" w:rsidRPr="00CB6395" w:rsidRDefault="00D95A9E" w:rsidP="008C7497">
            <w:r w:rsidRPr="00CB6395">
              <w:rPr>
                <w:rFonts w:ascii="Arial Narrow" w:eastAsia="Arial Narrow" w:hAnsi="Arial Narrow" w:cs="Arial Narrow"/>
                <w:sz w:val="19"/>
                <w:szCs w:val="19"/>
              </w:rPr>
              <w:t xml:space="preserve">Net cost to PBS/RPBS </w:t>
            </w:r>
            <w:r w:rsidR="00815144">
              <w:rPr>
                <w:rFonts w:ascii="Arial Narrow" w:eastAsia="Arial Narrow" w:hAnsi="Arial Narrow" w:cs="Arial Narrow"/>
                <w:sz w:val="19"/>
                <w:szCs w:val="19"/>
              </w:rPr>
              <w:t>($)</w:t>
            </w:r>
          </w:p>
        </w:tc>
        <w:tc>
          <w:tcPr>
            <w:tcW w:w="1155" w:type="dxa"/>
            <w:tcBorders>
              <w:top w:val="nil"/>
              <w:left w:val="single" w:sz="8" w:space="0" w:color="auto"/>
              <w:bottom w:val="single" w:sz="8" w:space="0" w:color="auto"/>
              <w:right w:val="single" w:sz="8" w:space="0" w:color="auto"/>
            </w:tcBorders>
          </w:tcPr>
          <w:p w14:paraId="5EA0B85C" w14:textId="47CF12BD"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8"/>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8"/>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56CD8F44" w14:textId="468CE029"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7"/>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7"/>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26FE087C" w14:textId="7BCFE8B4"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6"/>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6"/>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7A983C48" w14:textId="7FD11E66"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5"/>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5"/>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155" w:type="dxa"/>
            <w:tcBorders>
              <w:top w:val="nil"/>
              <w:left w:val="single" w:sz="8" w:space="0" w:color="auto"/>
              <w:bottom w:val="single" w:sz="8" w:space="0" w:color="auto"/>
              <w:right w:val="single" w:sz="8" w:space="0" w:color="auto"/>
            </w:tcBorders>
          </w:tcPr>
          <w:p w14:paraId="3D4DA20C" w14:textId="4752F496" w:rsidR="00D95A9E" w:rsidRPr="00815144" w:rsidRDefault="00440ADF" w:rsidP="008C7497">
            <w:pPr>
              <w:jc w:val="center"/>
              <w:rPr>
                <w:highlight w:val="yellow"/>
              </w:rPr>
            </w:pPr>
            <w:r w:rsidRPr="00440ADF">
              <w:rPr>
                <w:rFonts w:ascii="Arial Narrow" w:eastAsia="Arial Narrow" w:hAnsi="Arial Narrow" w:cs="Arial Narrow"/>
                <w:color w:val="000000"/>
                <w:w w:val="24"/>
                <w:sz w:val="20"/>
                <w:szCs w:val="20"/>
                <w:shd w:val="solid" w:color="000000" w:fill="000000"/>
                <w:fitText w:val="110" w:id="-1500863984"/>
                <w14:textFill>
                  <w14:solidFill>
                    <w14:srgbClr w14:val="000000">
                      <w14:alpha w14:val="100000"/>
                    </w14:srgbClr>
                  </w14:solidFill>
                </w14:textFill>
              </w:rPr>
              <w:t xml:space="preserve">　|</w:t>
            </w:r>
            <w:r w:rsidRPr="00440ADF">
              <w:rPr>
                <w:rFonts w:ascii="Arial Narrow" w:eastAsia="Arial Narrow" w:hAnsi="Arial Narrow" w:cs="Arial Narrow"/>
                <w:color w:val="000000"/>
                <w:spacing w:val="6"/>
                <w:w w:val="24"/>
                <w:sz w:val="20"/>
                <w:szCs w:val="20"/>
                <w:shd w:val="solid" w:color="000000" w:fill="000000"/>
                <w:fitText w:val="110" w:id="-1500863984"/>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c>
          <w:tcPr>
            <w:tcW w:w="1230" w:type="dxa"/>
            <w:tcBorders>
              <w:top w:val="nil"/>
              <w:left w:val="single" w:sz="8" w:space="0" w:color="auto"/>
              <w:bottom w:val="single" w:sz="8" w:space="0" w:color="auto"/>
              <w:right w:val="single" w:sz="8" w:space="0" w:color="auto"/>
            </w:tcBorders>
          </w:tcPr>
          <w:p w14:paraId="664E84FE" w14:textId="01947CCB" w:rsidR="00D95A9E" w:rsidRPr="00815144" w:rsidRDefault="00440ADF" w:rsidP="008C7497">
            <w:pPr>
              <w:jc w:val="center"/>
              <w:rPr>
                <w:highlight w:val="yellow"/>
              </w:rPr>
            </w:pPr>
            <w:r w:rsidRPr="00440ADF">
              <w:rPr>
                <w:rFonts w:ascii="Arial Narrow" w:eastAsia="Arial Narrow" w:hAnsi="Arial Narrow" w:cs="Arial Narrow"/>
                <w:color w:val="000000"/>
                <w:w w:val="15"/>
                <w:sz w:val="20"/>
                <w:szCs w:val="20"/>
                <w:shd w:val="solid" w:color="000000" w:fill="000000"/>
                <w:fitText w:val="70" w:id="-1500864000"/>
                <w14:textFill>
                  <w14:solidFill>
                    <w14:srgbClr w14:val="000000">
                      <w14:alpha w14:val="100000"/>
                    </w14:srgbClr>
                  </w14:solidFill>
                </w14:textFill>
              </w:rPr>
              <w:t xml:space="preserve">　|</w:t>
            </w:r>
            <w:r w:rsidRPr="00440ADF">
              <w:rPr>
                <w:rFonts w:ascii="Arial Narrow" w:eastAsia="Arial Narrow" w:hAnsi="Arial Narrow" w:cs="Arial Narrow"/>
                <w:color w:val="000000"/>
                <w:spacing w:val="4"/>
                <w:w w:val="15"/>
                <w:sz w:val="20"/>
                <w:szCs w:val="20"/>
                <w:shd w:val="solid" w:color="000000" w:fill="000000"/>
                <w:fitText w:val="70" w:id="-1500864000"/>
                <w14:textFill>
                  <w14:solidFill>
                    <w14:srgbClr w14:val="000000">
                      <w14:alpha w14:val="100000"/>
                    </w14:srgbClr>
                  </w14:solidFill>
                </w14:textFill>
              </w:rPr>
              <w:t xml:space="preserve">　</w:t>
            </w:r>
            <w:r w:rsidR="00815144">
              <w:rPr>
                <w:rFonts w:ascii="Arial Narrow" w:eastAsia="Arial Narrow" w:hAnsi="Arial Narrow" w:cs="Arial Narrow"/>
                <w:sz w:val="20"/>
                <w:szCs w:val="20"/>
                <w:vertAlign w:val="superscript"/>
              </w:rPr>
              <w:t>3</w:t>
            </w:r>
          </w:p>
        </w:tc>
      </w:tr>
    </w:tbl>
    <w:p w14:paraId="54C454EB" w14:textId="77777777" w:rsidR="00D95A9E" w:rsidRPr="00EE0668" w:rsidRDefault="00D95A9E" w:rsidP="00EE0668">
      <w:pPr>
        <w:pStyle w:val="TableFigureFooter"/>
        <w:rPr>
          <w:rStyle w:val="CommentReference"/>
          <w:b w:val="0"/>
          <w:sz w:val="18"/>
          <w:szCs w:val="22"/>
        </w:rPr>
      </w:pPr>
      <w:r w:rsidRPr="00EE0668">
        <w:t xml:space="preserve">Source: </w:t>
      </w:r>
      <w:r w:rsidRPr="00EE0668">
        <w:rPr>
          <w:rFonts w:eastAsia="Arial Narrow"/>
        </w:rPr>
        <w:t xml:space="preserve">Table 4.2.6, p117 of the submission, Table 4.2.7, p118 of the submission, </w:t>
      </w:r>
      <w:r w:rsidRPr="00EE0668">
        <w:t>Table 4.2.8, p118 of the submission, Table 4.3.2, p120 of the submission and Table 4.4.1, p120 of the submission</w:t>
      </w:r>
    </w:p>
    <w:p w14:paraId="0AFAA1A7" w14:textId="2FB0581C" w:rsidR="00D95A9E" w:rsidRPr="00EE0668" w:rsidRDefault="00D95A9E" w:rsidP="00EE0668">
      <w:pPr>
        <w:pStyle w:val="TableFigureFooter"/>
      </w:pPr>
      <w:r w:rsidRPr="00EE0668">
        <w:t>PBS = Pharmaceutical Benefits Scheme; RPBS = Repatriation Pharmaceutical Benefits Scheme</w:t>
      </w:r>
    </w:p>
    <w:p w14:paraId="4C1834D2" w14:textId="2C148177" w:rsidR="00D95A9E" w:rsidRDefault="00D95A9E" w:rsidP="00EE0668">
      <w:pPr>
        <w:pStyle w:val="TableFigureFooter"/>
      </w:pPr>
      <w:proofErr w:type="spellStart"/>
      <w:proofErr w:type="gramStart"/>
      <w:r w:rsidRPr="00815144">
        <w:t>a</w:t>
      </w:r>
      <w:proofErr w:type="spellEnd"/>
      <w:proofErr w:type="gramEnd"/>
      <w:r w:rsidRPr="00EE0668">
        <w:t xml:space="preserve"> Assuming a weekly dose relativity of 1 mg somatropin = 1.23 mg </w:t>
      </w:r>
      <w:proofErr w:type="spellStart"/>
      <w:r w:rsidRPr="00EE0668">
        <w:t>somapacitan</w:t>
      </w:r>
      <w:proofErr w:type="spellEnd"/>
      <w:r w:rsidRPr="00EE0668">
        <w:t xml:space="preserve"> as estimated by the submission.</w:t>
      </w:r>
    </w:p>
    <w:p w14:paraId="523A3B9C" w14:textId="77777777" w:rsidR="00815144" w:rsidRDefault="00815144" w:rsidP="00815144">
      <w:pPr>
        <w:pStyle w:val="TableFigureFooter"/>
      </w:pPr>
      <w:r>
        <w:t>The redacted values correspond to the following ranges:</w:t>
      </w:r>
    </w:p>
    <w:p w14:paraId="1F0DB08E" w14:textId="6520B683" w:rsidR="00815144" w:rsidRDefault="00815144" w:rsidP="00815144">
      <w:pPr>
        <w:pStyle w:val="TableFigureFooter"/>
      </w:pPr>
      <w:r w:rsidRPr="00815144">
        <w:rPr>
          <w:vertAlign w:val="superscript"/>
        </w:rPr>
        <w:t>1</w:t>
      </w:r>
      <w:r>
        <w:t xml:space="preserve"> 500 to &lt; 5,000</w:t>
      </w:r>
    </w:p>
    <w:p w14:paraId="6B3B0C1A" w14:textId="5F65016A" w:rsidR="00815144" w:rsidRDefault="00815144" w:rsidP="00815144">
      <w:pPr>
        <w:pStyle w:val="TableFigureFooter"/>
      </w:pPr>
      <w:r w:rsidRPr="00815144">
        <w:rPr>
          <w:vertAlign w:val="superscript"/>
        </w:rPr>
        <w:t>2</w:t>
      </w:r>
      <w:r>
        <w:t xml:space="preserve"> 5,000 to &lt; 10,000</w:t>
      </w:r>
    </w:p>
    <w:p w14:paraId="534C3D73" w14:textId="1A8B59CF" w:rsidR="00815144" w:rsidRDefault="00815144" w:rsidP="00815144">
      <w:pPr>
        <w:pStyle w:val="TableFigureFooter"/>
      </w:pPr>
      <w:r w:rsidRPr="00815144">
        <w:rPr>
          <w:vertAlign w:val="superscript"/>
        </w:rPr>
        <w:t>3</w:t>
      </w:r>
      <w:r>
        <w:t xml:space="preserve"> $0 to &lt; $10 million</w:t>
      </w:r>
    </w:p>
    <w:p w14:paraId="29B77811" w14:textId="51029952" w:rsidR="00815144" w:rsidRPr="00EE0668" w:rsidRDefault="00815144" w:rsidP="00815144">
      <w:pPr>
        <w:pStyle w:val="TableFigureFooter"/>
      </w:pPr>
      <w:r w:rsidRPr="00815144">
        <w:rPr>
          <w:vertAlign w:val="superscript"/>
        </w:rPr>
        <w:t>4</w:t>
      </w:r>
      <w:r>
        <w:t xml:space="preserve"> 10,000 to &lt; 20,000</w:t>
      </w:r>
    </w:p>
    <w:p w14:paraId="78A25750" w14:textId="37999491" w:rsidR="00D95A9E" w:rsidRPr="00CB6395" w:rsidRDefault="00D95A9E" w:rsidP="00D95A9E">
      <w:pPr>
        <w:pStyle w:val="3-BodyText"/>
        <w:rPr>
          <w:rFonts w:eastAsiaTheme="minorEastAsia"/>
        </w:rPr>
      </w:pPr>
      <w:r w:rsidRPr="00CB6395">
        <w:t xml:space="preserve">The total net cost to the PBS/RPBS of listing </w:t>
      </w:r>
      <w:proofErr w:type="spellStart"/>
      <w:r w:rsidRPr="00CB6395">
        <w:t>som</w:t>
      </w:r>
      <w:r w:rsidR="0063045A" w:rsidRPr="00CB6395">
        <w:t>a</w:t>
      </w:r>
      <w:r w:rsidRPr="00CB6395">
        <w:t>pacitan</w:t>
      </w:r>
      <w:proofErr w:type="spellEnd"/>
      <w:r w:rsidRPr="00CB6395">
        <w:t xml:space="preserve"> was estimated to be </w:t>
      </w:r>
      <w:r w:rsidR="00B77C32" w:rsidRPr="00B77C32">
        <w:t>$0 to &lt; $10 million</w:t>
      </w:r>
      <w:r w:rsidR="00B77C32">
        <w:t xml:space="preserve"> </w:t>
      </w:r>
      <w:r w:rsidRPr="00CB6395">
        <w:t xml:space="preserve">in Year 6, and a total of </w:t>
      </w:r>
      <w:r w:rsidR="00B77C32" w:rsidRPr="00B77C32">
        <w:t>$0 to &lt; $10 million</w:t>
      </w:r>
      <w:r w:rsidR="00B77C32">
        <w:t xml:space="preserve"> </w:t>
      </w:r>
      <w:r w:rsidRPr="00CB6395">
        <w:t xml:space="preserve">in the first six years of listing. </w:t>
      </w:r>
      <w:r w:rsidRPr="003214C3">
        <w:rPr>
          <w:rFonts w:ascii="Calibri" w:eastAsia="Calibri" w:hAnsi="Calibri" w:cs="Calibri"/>
          <w:iCs/>
        </w:rPr>
        <w:t xml:space="preserve">A cost </w:t>
      </w:r>
      <w:r w:rsidR="00A62DD9" w:rsidRPr="003214C3">
        <w:rPr>
          <w:rFonts w:ascii="Calibri" w:eastAsia="Calibri" w:hAnsi="Calibri" w:cs="Calibri"/>
          <w:iCs/>
        </w:rPr>
        <w:t>wa</w:t>
      </w:r>
      <w:r w:rsidRPr="003214C3">
        <w:rPr>
          <w:rFonts w:ascii="Calibri" w:eastAsia="Calibri" w:hAnsi="Calibri" w:cs="Calibri"/>
          <w:iCs/>
        </w:rPr>
        <w:t>s shown</w:t>
      </w:r>
      <w:r w:rsidR="00A62DD9" w:rsidRPr="003214C3">
        <w:rPr>
          <w:rFonts w:ascii="Calibri" w:eastAsia="Calibri" w:hAnsi="Calibri" w:cs="Calibri"/>
          <w:iCs/>
        </w:rPr>
        <w:t xml:space="preserve"> in the submission</w:t>
      </w:r>
      <w:r w:rsidRPr="003214C3">
        <w:rPr>
          <w:rFonts w:ascii="Calibri" w:eastAsia="Calibri" w:hAnsi="Calibri" w:cs="Calibri"/>
          <w:iCs/>
        </w:rPr>
        <w:t xml:space="preserve"> due to the rounding of price and the script equivalence calculation to two decimal places.</w:t>
      </w:r>
      <w:r w:rsidR="00A62DD9" w:rsidRPr="003214C3">
        <w:rPr>
          <w:rFonts w:ascii="Calibri" w:eastAsia="Calibri" w:hAnsi="Calibri" w:cs="Calibri"/>
          <w:iCs/>
        </w:rPr>
        <w:t xml:space="preserve"> </w:t>
      </w:r>
      <w:r w:rsidR="00B4597B" w:rsidRPr="003214C3">
        <w:rPr>
          <w:rFonts w:ascii="Calibri" w:eastAsia="Calibri" w:hAnsi="Calibri" w:cs="Calibri"/>
          <w:iCs/>
        </w:rPr>
        <w:t xml:space="preserve">Potential additional costs </w:t>
      </w:r>
      <w:r w:rsidR="00090B94" w:rsidRPr="003214C3">
        <w:rPr>
          <w:rFonts w:ascii="Calibri" w:eastAsia="Calibri" w:hAnsi="Calibri" w:cs="Calibri"/>
          <w:iCs/>
        </w:rPr>
        <w:t>would also result from wastage</w:t>
      </w:r>
      <w:r w:rsidR="00106FBD" w:rsidRPr="003214C3">
        <w:rPr>
          <w:rFonts w:ascii="Calibri" w:eastAsia="Calibri" w:hAnsi="Calibri" w:cs="Calibri"/>
          <w:iCs/>
        </w:rPr>
        <w:t xml:space="preserve"> if </w:t>
      </w:r>
      <w:r w:rsidR="00106FBD" w:rsidRPr="003214C3">
        <w:t>pens are discarded with remaining doses</w:t>
      </w:r>
      <w:r w:rsidR="00106FBD" w:rsidRPr="003214C3">
        <w:rPr>
          <w:rFonts w:ascii="Calibri" w:eastAsia="Calibri" w:hAnsi="Calibri" w:cs="Calibri"/>
          <w:iCs/>
        </w:rPr>
        <w:t xml:space="preserve">. </w:t>
      </w:r>
      <w:r w:rsidR="00A62DD9" w:rsidRPr="003214C3">
        <w:rPr>
          <w:rFonts w:ascii="Calibri" w:eastAsia="Calibri" w:hAnsi="Calibri" w:cs="Calibri"/>
          <w:iCs/>
        </w:rPr>
        <w:t xml:space="preserve">The evaluation noted that the </w:t>
      </w:r>
      <w:r w:rsidR="002B3F66" w:rsidRPr="003214C3">
        <w:rPr>
          <w:rFonts w:ascii="Calibri" w:eastAsia="Calibri" w:hAnsi="Calibri" w:cs="Calibri"/>
          <w:iCs/>
        </w:rPr>
        <w:t xml:space="preserve">listing of </w:t>
      </w:r>
      <w:proofErr w:type="spellStart"/>
      <w:r w:rsidR="002B3F66" w:rsidRPr="003214C3">
        <w:rPr>
          <w:rFonts w:ascii="Calibri" w:eastAsia="Calibri" w:hAnsi="Calibri" w:cs="Calibri"/>
          <w:iCs/>
        </w:rPr>
        <w:t>somapacitan</w:t>
      </w:r>
      <w:proofErr w:type="spellEnd"/>
      <w:r w:rsidR="002B3F66" w:rsidRPr="003214C3">
        <w:rPr>
          <w:rFonts w:ascii="Calibri" w:eastAsia="Calibri" w:hAnsi="Calibri" w:cs="Calibri"/>
          <w:iCs/>
        </w:rPr>
        <w:t xml:space="preserve"> should result in a nil cost to government</w:t>
      </w:r>
      <w:r w:rsidR="49B7E0FD" w:rsidRPr="003214C3">
        <w:rPr>
          <w:rFonts w:ascii="Calibri" w:eastAsia="Calibri" w:hAnsi="Calibri" w:cs="Calibri"/>
          <w:iCs/>
        </w:rPr>
        <w:t xml:space="preserve"> sinc</w:t>
      </w:r>
      <w:r w:rsidR="40CF1602" w:rsidRPr="003214C3">
        <w:rPr>
          <w:rFonts w:ascii="Calibri" w:eastAsia="Calibri" w:hAnsi="Calibri" w:cs="Calibri"/>
          <w:iCs/>
        </w:rPr>
        <w:t xml:space="preserve">e the </w:t>
      </w:r>
      <w:proofErr w:type="spellStart"/>
      <w:r w:rsidR="40CF1602" w:rsidRPr="003214C3">
        <w:rPr>
          <w:rFonts w:ascii="Calibri" w:eastAsia="Calibri" w:hAnsi="Calibri" w:cs="Calibri"/>
          <w:iCs/>
        </w:rPr>
        <w:t>equi</w:t>
      </w:r>
      <w:proofErr w:type="spellEnd"/>
      <w:r w:rsidR="40CF1602" w:rsidRPr="003214C3">
        <w:rPr>
          <w:rFonts w:ascii="Calibri" w:eastAsia="Calibri" w:hAnsi="Calibri" w:cs="Calibri"/>
          <w:iCs/>
        </w:rPr>
        <w:t>-</w:t>
      </w:r>
      <w:r w:rsidR="00D51FF3" w:rsidRPr="003214C3">
        <w:rPr>
          <w:rFonts w:ascii="Calibri" w:eastAsia="Calibri" w:hAnsi="Calibri" w:cs="Calibri"/>
          <w:iCs/>
        </w:rPr>
        <w:t xml:space="preserve">effective </w:t>
      </w:r>
      <w:r w:rsidR="40CF1602" w:rsidRPr="003214C3">
        <w:rPr>
          <w:rFonts w:ascii="Calibri" w:eastAsia="Calibri" w:hAnsi="Calibri" w:cs="Calibri"/>
          <w:iCs/>
        </w:rPr>
        <w:t>doses were use</w:t>
      </w:r>
      <w:r w:rsidR="0049206A" w:rsidRPr="003214C3">
        <w:rPr>
          <w:rFonts w:ascii="Calibri" w:eastAsia="Calibri" w:hAnsi="Calibri" w:cs="Calibri"/>
          <w:iCs/>
        </w:rPr>
        <w:t>d</w:t>
      </w:r>
      <w:r w:rsidR="40CF1602" w:rsidRPr="003214C3">
        <w:rPr>
          <w:rFonts w:ascii="Calibri" w:eastAsia="Calibri" w:hAnsi="Calibri" w:cs="Calibri"/>
          <w:iCs/>
        </w:rPr>
        <w:t xml:space="preserve"> to calculate the script equivalence</w:t>
      </w:r>
      <w:r w:rsidR="00D51FF3" w:rsidRPr="003214C3">
        <w:rPr>
          <w:rFonts w:ascii="Calibri" w:eastAsia="Calibri" w:hAnsi="Calibri" w:cs="Calibri"/>
          <w:iCs/>
        </w:rPr>
        <w:t>,</w:t>
      </w:r>
      <w:r w:rsidR="40CF1602" w:rsidRPr="003214C3">
        <w:rPr>
          <w:rFonts w:ascii="Calibri" w:eastAsia="Calibri" w:hAnsi="Calibri" w:cs="Calibri"/>
          <w:iCs/>
        </w:rPr>
        <w:t xml:space="preserve"> and the same weekly cost as somatropin is being requested.</w:t>
      </w:r>
    </w:p>
    <w:p w14:paraId="1B35330E" w14:textId="638693E8" w:rsidR="34B934E9" w:rsidRPr="00CB6395" w:rsidRDefault="34B934E9" w:rsidP="4B98720A">
      <w:pPr>
        <w:pStyle w:val="3-BodyText"/>
        <w:rPr>
          <w:rFonts w:eastAsiaTheme="minorEastAsia"/>
        </w:rPr>
      </w:pPr>
      <w:r w:rsidRPr="00CB6395">
        <w:rPr>
          <w:rFonts w:eastAsiaTheme="minorEastAsia"/>
        </w:rPr>
        <w:t xml:space="preserve">The submission did not propose changes to MBS items since both </w:t>
      </w:r>
      <w:proofErr w:type="spellStart"/>
      <w:r w:rsidRPr="00CB6395">
        <w:rPr>
          <w:rFonts w:eastAsiaTheme="minorEastAsia"/>
        </w:rPr>
        <w:t>somapacitan</w:t>
      </w:r>
      <w:proofErr w:type="spellEnd"/>
      <w:r w:rsidRPr="00CB6395">
        <w:rPr>
          <w:rFonts w:eastAsiaTheme="minorEastAsia"/>
        </w:rPr>
        <w:t xml:space="preserve"> and somatropin are self-administered. </w:t>
      </w:r>
      <w:r w:rsidRPr="003214C3">
        <w:rPr>
          <w:rFonts w:eastAsiaTheme="minorEastAsia"/>
          <w:iCs/>
        </w:rPr>
        <w:t xml:space="preserve">This assumption </w:t>
      </w:r>
      <w:r w:rsidR="00C80CB9">
        <w:rPr>
          <w:rFonts w:eastAsiaTheme="minorEastAsia"/>
          <w:iCs/>
        </w:rPr>
        <w:t>wa</w:t>
      </w:r>
      <w:r w:rsidRPr="003214C3">
        <w:rPr>
          <w:rFonts w:eastAsiaTheme="minorEastAsia"/>
          <w:iCs/>
        </w:rPr>
        <w:t xml:space="preserve">s uncertain </w:t>
      </w:r>
      <w:r w:rsidR="5E22F9C3" w:rsidRPr="003214C3">
        <w:rPr>
          <w:rFonts w:eastAsiaTheme="minorEastAsia"/>
          <w:iCs/>
        </w:rPr>
        <w:t xml:space="preserve">given that </w:t>
      </w:r>
      <w:r w:rsidRPr="003214C3">
        <w:rPr>
          <w:rFonts w:eastAsiaTheme="minorEastAsia"/>
          <w:iCs/>
        </w:rPr>
        <w:t xml:space="preserve">the frequency of dispensing of the proposed single formulation of </w:t>
      </w:r>
      <w:proofErr w:type="spellStart"/>
      <w:r w:rsidRPr="003214C3">
        <w:rPr>
          <w:rFonts w:eastAsiaTheme="minorEastAsia"/>
          <w:iCs/>
        </w:rPr>
        <w:t>som</w:t>
      </w:r>
      <w:r w:rsidR="00D51FF3" w:rsidRPr="003214C3">
        <w:rPr>
          <w:rFonts w:eastAsiaTheme="minorEastAsia"/>
          <w:iCs/>
        </w:rPr>
        <w:t>a</w:t>
      </w:r>
      <w:r w:rsidRPr="003214C3">
        <w:rPr>
          <w:rFonts w:eastAsiaTheme="minorEastAsia"/>
          <w:iCs/>
        </w:rPr>
        <w:t>pacitan</w:t>
      </w:r>
      <w:proofErr w:type="spellEnd"/>
      <w:r w:rsidRPr="003214C3">
        <w:rPr>
          <w:rFonts w:eastAsiaTheme="minorEastAsia"/>
          <w:iCs/>
        </w:rPr>
        <w:t xml:space="preserve"> (and corresponding visitations with endocrinologists) may depend on the individual patient weekly dose.</w:t>
      </w:r>
    </w:p>
    <w:p w14:paraId="13BFBD21" w14:textId="0AB8DD36" w:rsidR="000449CE" w:rsidRPr="007C58F9" w:rsidRDefault="49A53C04" w:rsidP="4B98720A">
      <w:pPr>
        <w:pStyle w:val="3-BodyText"/>
        <w:rPr>
          <w:rFonts w:ascii="Calibri" w:eastAsia="Calibri" w:hAnsi="Calibri" w:cs="Calibri"/>
        </w:rPr>
      </w:pPr>
      <w:r w:rsidRPr="007C58F9">
        <w:rPr>
          <w:rFonts w:eastAsiaTheme="minorEastAsia"/>
        </w:rPr>
        <w:t xml:space="preserve">The submission conducted a sensitivity analysis to exclude patients </w:t>
      </w:r>
      <w:r w:rsidRPr="007C58F9">
        <w:rPr>
          <w:rFonts w:ascii="Calibri" w:eastAsia="Calibri" w:hAnsi="Calibri" w:cs="Calibri"/>
        </w:rPr>
        <w:t xml:space="preserve">aged 15-17 years with mature skeletons from the </w:t>
      </w:r>
      <w:proofErr w:type="spellStart"/>
      <w:r w:rsidRPr="007C58F9">
        <w:rPr>
          <w:rFonts w:ascii="Calibri" w:eastAsia="Calibri" w:hAnsi="Calibri" w:cs="Calibri"/>
        </w:rPr>
        <w:t>somapacitan</w:t>
      </w:r>
      <w:proofErr w:type="spellEnd"/>
      <w:r w:rsidRPr="007C58F9">
        <w:rPr>
          <w:rFonts w:ascii="Calibri" w:eastAsia="Calibri" w:hAnsi="Calibri" w:cs="Calibri"/>
        </w:rPr>
        <w:t xml:space="preserve"> substitution rates used in the base case analysis. </w:t>
      </w:r>
      <w:r w:rsidR="0B792D25" w:rsidRPr="007C58F9">
        <w:rPr>
          <w:rFonts w:ascii="Calibri" w:eastAsia="Calibri" w:hAnsi="Calibri" w:cs="Calibri"/>
        </w:rPr>
        <w:t xml:space="preserve">The </w:t>
      </w:r>
      <w:r w:rsidR="002D2D4E">
        <w:rPr>
          <w:rFonts w:ascii="Calibri" w:eastAsia="Calibri" w:hAnsi="Calibri" w:cs="Calibri"/>
        </w:rPr>
        <w:t>submission</w:t>
      </w:r>
      <w:r w:rsidR="002D2D4E" w:rsidRPr="007C58F9">
        <w:rPr>
          <w:rFonts w:ascii="Calibri" w:eastAsia="Calibri" w:hAnsi="Calibri" w:cs="Calibri"/>
        </w:rPr>
        <w:t xml:space="preserve"> </w:t>
      </w:r>
      <w:r w:rsidR="00482949" w:rsidRPr="007C58F9">
        <w:rPr>
          <w:rFonts w:ascii="Calibri" w:eastAsia="Calibri" w:hAnsi="Calibri" w:cs="Calibri"/>
        </w:rPr>
        <w:t xml:space="preserve">did </w:t>
      </w:r>
      <w:r w:rsidR="0B792D25" w:rsidRPr="007C58F9">
        <w:rPr>
          <w:rFonts w:ascii="Calibri" w:eastAsia="Calibri" w:hAnsi="Calibri" w:cs="Calibri"/>
        </w:rPr>
        <w:t xml:space="preserve">not specifically request </w:t>
      </w:r>
      <w:proofErr w:type="spellStart"/>
      <w:r w:rsidR="0B792D25" w:rsidRPr="007C58F9">
        <w:rPr>
          <w:rFonts w:ascii="Calibri" w:eastAsia="Calibri" w:hAnsi="Calibri" w:cs="Calibri"/>
        </w:rPr>
        <w:t>somapacitan</w:t>
      </w:r>
      <w:proofErr w:type="spellEnd"/>
      <w:r w:rsidR="0B792D25" w:rsidRPr="007C58F9">
        <w:rPr>
          <w:rFonts w:ascii="Calibri" w:eastAsia="Calibri" w:hAnsi="Calibri" w:cs="Calibri"/>
        </w:rPr>
        <w:t xml:space="preserve"> for this indication/population. </w:t>
      </w:r>
      <w:r w:rsidR="2E5F8215" w:rsidRPr="007C58F9">
        <w:rPr>
          <w:rFonts w:ascii="Calibri" w:eastAsia="Calibri" w:hAnsi="Calibri" w:cs="Calibri"/>
        </w:rPr>
        <w:t>The sensitivity analysis show</w:t>
      </w:r>
      <w:r w:rsidR="00482949" w:rsidRPr="007C58F9">
        <w:rPr>
          <w:rFonts w:ascii="Calibri" w:eastAsia="Calibri" w:hAnsi="Calibri" w:cs="Calibri"/>
        </w:rPr>
        <w:t>ed</w:t>
      </w:r>
      <w:r w:rsidR="2E5F8215" w:rsidRPr="007C58F9">
        <w:rPr>
          <w:rFonts w:ascii="Calibri" w:eastAsia="Calibri" w:hAnsi="Calibri" w:cs="Calibri"/>
        </w:rPr>
        <w:t xml:space="preserve"> that the </w:t>
      </w:r>
      <w:r w:rsidRPr="007C58F9">
        <w:rPr>
          <w:rFonts w:ascii="Calibri" w:eastAsia="Calibri" w:hAnsi="Calibri" w:cs="Calibri"/>
        </w:rPr>
        <w:t xml:space="preserve">cost of listing </w:t>
      </w:r>
      <w:proofErr w:type="spellStart"/>
      <w:r w:rsidRPr="007C58F9">
        <w:rPr>
          <w:rFonts w:ascii="Calibri" w:eastAsia="Calibri" w:hAnsi="Calibri" w:cs="Calibri"/>
        </w:rPr>
        <w:t>somapacitan</w:t>
      </w:r>
      <w:proofErr w:type="spellEnd"/>
      <w:r w:rsidRPr="007C58F9">
        <w:rPr>
          <w:rFonts w:ascii="Calibri" w:eastAsia="Calibri" w:hAnsi="Calibri" w:cs="Calibri"/>
        </w:rPr>
        <w:t xml:space="preserve"> to the PBS/RPBS is estimated at </w:t>
      </w:r>
      <w:r w:rsidR="00B77C32" w:rsidRPr="00B77C32">
        <w:rPr>
          <w:rFonts w:ascii="Calibri" w:eastAsia="Calibri" w:hAnsi="Calibri" w:cs="Calibri"/>
        </w:rPr>
        <w:t>$0 to &lt; $10 million</w:t>
      </w:r>
      <w:r w:rsidR="00B77C32">
        <w:rPr>
          <w:rFonts w:ascii="Calibri" w:eastAsia="Calibri" w:hAnsi="Calibri" w:cs="Calibri"/>
        </w:rPr>
        <w:t xml:space="preserve"> </w:t>
      </w:r>
      <w:r w:rsidRPr="007C58F9">
        <w:rPr>
          <w:rFonts w:ascii="Calibri" w:eastAsia="Calibri" w:hAnsi="Calibri" w:cs="Calibri"/>
        </w:rPr>
        <w:t xml:space="preserve">in year 1, increasing up to </w:t>
      </w:r>
      <w:r w:rsidR="00B77C32" w:rsidRPr="00B77C32">
        <w:rPr>
          <w:rFonts w:ascii="Calibri" w:eastAsia="Calibri" w:hAnsi="Calibri" w:cs="Calibri"/>
        </w:rPr>
        <w:t>$0 to &lt; $10 million</w:t>
      </w:r>
      <w:r w:rsidR="00B77C32">
        <w:rPr>
          <w:rFonts w:ascii="Calibri" w:eastAsia="Calibri" w:hAnsi="Calibri" w:cs="Calibri"/>
        </w:rPr>
        <w:t xml:space="preserve"> </w:t>
      </w:r>
      <w:r w:rsidRPr="007C58F9">
        <w:rPr>
          <w:rFonts w:ascii="Calibri" w:eastAsia="Calibri" w:hAnsi="Calibri" w:cs="Calibri"/>
        </w:rPr>
        <w:t>in year</w:t>
      </w:r>
      <w:r w:rsidR="00482949" w:rsidRPr="007C58F9">
        <w:rPr>
          <w:rFonts w:ascii="Calibri" w:eastAsia="Calibri" w:hAnsi="Calibri" w:cs="Calibri"/>
        </w:rPr>
        <w:t xml:space="preserve"> 6</w:t>
      </w:r>
      <w:r w:rsidR="61D12889" w:rsidRPr="007C58F9">
        <w:rPr>
          <w:rFonts w:ascii="Calibri" w:eastAsia="Calibri" w:hAnsi="Calibri" w:cs="Calibri"/>
        </w:rPr>
        <w:t>.</w:t>
      </w:r>
    </w:p>
    <w:p w14:paraId="211188CD" w14:textId="68537687" w:rsidR="000449CE" w:rsidRPr="003214C3" w:rsidRDefault="0010233F" w:rsidP="00D95A9E">
      <w:pPr>
        <w:pStyle w:val="3-BodyText"/>
        <w:rPr>
          <w:rFonts w:eastAsia="Calibri"/>
        </w:rPr>
      </w:pPr>
      <w:r w:rsidRPr="00CB6395">
        <w:rPr>
          <w:rFonts w:eastAsia="Calibri"/>
        </w:rPr>
        <w:t xml:space="preserve">The submission </w:t>
      </w:r>
      <w:r>
        <w:rPr>
          <w:rFonts w:eastAsia="Calibri"/>
        </w:rPr>
        <w:t xml:space="preserve">did not include </w:t>
      </w:r>
      <w:r w:rsidRPr="00CB6395">
        <w:rPr>
          <w:rFonts w:eastAsia="Calibri"/>
        </w:rPr>
        <w:t xml:space="preserve">grandfathered patients in the financial estimates. </w:t>
      </w:r>
      <w:r w:rsidR="004D3CDA">
        <w:rPr>
          <w:rFonts w:eastAsia="Calibri"/>
        </w:rPr>
        <w:t>The PBAC considered</w:t>
      </w:r>
      <w:r w:rsidR="004D3CDA">
        <w:rPr>
          <w:rFonts w:eastAsia="Calibri"/>
          <w:iCs/>
        </w:rPr>
        <w:t>, g</w:t>
      </w:r>
      <w:r w:rsidRPr="003214C3">
        <w:rPr>
          <w:rFonts w:eastAsia="Calibri"/>
          <w:iCs/>
        </w:rPr>
        <w:t>iven the small number of likely grandfathered patients, noting the pivotal REAL-1 study included 30 Australian patients,</w:t>
      </w:r>
      <w:r w:rsidR="004D3CDA">
        <w:rPr>
          <w:rFonts w:eastAsia="Calibri"/>
          <w:iCs/>
        </w:rPr>
        <w:t xml:space="preserve"> that the additional cost of these grandfathered patients </w:t>
      </w:r>
      <w:r>
        <w:rPr>
          <w:rFonts w:eastAsia="Calibri"/>
          <w:iCs/>
        </w:rPr>
        <w:t>was</w:t>
      </w:r>
      <w:r w:rsidRPr="003214C3">
        <w:rPr>
          <w:rFonts w:eastAsia="Calibri"/>
          <w:iCs/>
        </w:rPr>
        <w:t xml:space="preserve"> unlikely to </w:t>
      </w:r>
      <w:r>
        <w:rPr>
          <w:rFonts w:eastAsia="Calibri"/>
          <w:iCs/>
        </w:rPr>
        <w:t xml:space="preserve">have a </w:t>
      </w:r>
      <w:r w:rsidRPr="003214C3">
        <w:rPr>
          <w:rFonts w:eastAsia="Calibri"/>
          <w:iCs/>
        </w:rPr>
        <w:t>substantial</w:t>
      </w:r>
      <w:r>
        <w:rPr>
          <w:rFonts w:eastAsia="Calibri"/>
          <w:iCs/>
        </w:rPr>
        <w:t xml:space="preserve"> e</w:t>
      </w:r>
      <w:r w:rsidRPr="003214C3">
        <w:rPr>
          <w:rFonts w:eastAsia="Calibri"/>
          <w:iCs/>
        </w:rPr>
        <w:t>ffect</w:t>
      </w:r>
      <w:r>
        <w:rPr>
          <w:rFonts w:eastAsia="Calibri"/>
          <w:iCs/>
        </w:rPr>
        <w:t xml:space="preserve"> on</w:t>
      </w:r>
      <w:r w:rsidRPr="003214C3">
        <w:rPr>
          <w:rFonts w:eastAsia="Calibri"/>
          <w:iCs/>
        </w:rPr>
        <w:t xml:space="preserve"> the financial estimates.</w:t>
      </w:r>
    </w:p>
    <w:p w14:paraId="1FEF228B" w14:textId="3DC74792" w:rsidR="00D95A9E" w:rsidRPr="00CB6395" w:rsidRDefault="00D95A9E" w:rsidP="00D95A9E">
      <w:pPr>
        <w:pStyle w:val="4-SubsectionHeading"/>
      </w:pPr>
      <w:bookmarkStart w:id="33" w:name="_Toc22897648"/>
      <w:bookmarkStart w:id="34" w:name="_Toc22898860"/>
      <w:bookmarkStart w:id="35" w:name="_Toc93488119"/>
      <w:r w:rsidRPr="00CB6395">
        <w:t>Quality Use of Medicines</w:t>
      </w:r>
      <w:bookmarkEnd w:id="33"/>
      <w:bookmarkEnd w:id="34"/>
      <w:bookmarkEnd w:id="35"/>
    </w:p>
    <w:p w14:paraId="340CF408" w14:textId="285BA333" w:rsidR="00D95A9E" w:rsidRPr="003214C3" w:rsidRDefault="00D95A9E" w:rsidP="00B16BB8">
      <w:pPr>
        <w:pStyle w:val="3-BodyText"/>
        <w:rPr>
          <w:rFonts w:eastAsiaTheme="minorEastAsia"/>
        </w:rPr>
      </w:pPr>
      <w:r w:rsidRPr="00CB6395">
        <w:t xml:space="preserve">The submission did not present </w:t>
      </w:r>
      <w:r w:rsidR="00F77728">
        <w:t>QUM</w:t>
      </w:r>
      <w:r w:rsidRPr="00CB6395">
        <w:t xml:space="preserve"> information and did not propose a post marketing surveillance study.</w:t>
      </w:r>
      <w:r w:rsidR="00B16BB8">
        <w:t xml:space="preserve"> As noted in Section 3, </w:t>
      </w:r>
      <w:r w:rsidR="00B16BB8">
        <w:rPr>
          <w:iCs/>
        </w:rPr>
        <w:t>t</w:t>
      </w:r>
      <w:r w:rsidR="07BD1118" w:rsidRPr="003214C3">
        <w:rPr>
          <w:iCs/>
        </w:rPr>
        <w:t xml:space="preserve">he availability of only one strength of </w:t>
      </w:r>
      <w:r w:rsidR="00D51FF3" w:rsidRPr="003214C3">
        <w:rPr>
          <w:iCs/>
        </w:rPr>
        <w:t xml:space="preserve">the </w:t>
      </w:r>
      <w:proofErr w:type="spellStart"/>
      <w:r w:rsidR="07BD1118" w:rsidRPr="003214C3">
        <w:rPr>
          <w:iCs/>
        </w:rPr>
        <w:t>somapacitan</w:t>
      </w:r>
      <w:proofErr w:type="spellEnd"/>
      <w:r w:rsidR="07BD1118" w:rsidRPr="003214C3">
        <w:rPr>
          <w:iCs/>
        </w:rPr>
        <w:t xml:space="preserve"> pen pose</w:t>
      </w:r>
      <w:r w:rsidR="3B92A7FF" w:rsidRPr="003214C3">
        <w:rPr>
          <w:iCs/>
        </w:rPr>
        <w:t>s</w:t>
      </w:r>
      <w:r w:rsidR="07BD1118" w:rsidRPr="003214C3">
        <w:rPr>
          <w:iCs/>
        </w:rPr>
        <w:t xml:space="preserve"> a potential </w:t>
      </w:r>
      <w:r w:rsidR="002D2D4E">
        <w:rPr>
          <w:iCs/>
        </w:rPr>
        <w:t>QUM</w:t>
      </w:r>
      <w:r w:rsidR="07BD1118" w:rsidRPr="003214C3">
        <w:rPr>
          <w:iCs/>
        </w:rPr>
        <w:t xml:space="preserve"> issue that </w:t>
      </w:r>
      <w:r w:rsidR="002C0EF6" w:rsidRPr="003214C3">
        <w:rPr>
          <w:iCs/>
        </w:rPr>
        <w:t xml:space="preserve">was not addressed </w:t>
      </w:r>
      <w:r w:rsidR="07BD1118" w:rsidRPr="003214C3">
        <w:rPr>
          <w:iCs/>
        </w:rPr>
        <w:t xml:space="preserve">in the </w:t>
      </w:r>
      <w:r w:rsidR="580163A5" w:rsidRPr="003214C3">
        <w:rPr>
          <w:iCs/>
        </w:rPr>
        <w:t>submission</w:t>
      </w:r>
      <w:r w:rsidR="07BD1118" w:rsidRPr="003214C3">
        <w:rPr>
          <w:iCs/>
        </w:rPr>
        <w:t xml:space="preserve">. </w:t>
      </w:r>
      <w:r w:rsidR="00B16BB8" w:rsidRPr="00B16BB8">
        <w:rPr>
          <w:iCs/>
        </w:rPr>
        <w:t xml:space="preserve">The PBAC considered that prescribers would educate patients about correct dosing </w:t>
      </w:r>
      <w:r w:rsidR="00B16BB8">
        <w:rPr>
          <w:iCs/>
        </w:rPr>
        <w:t xml:space="preserve">which would reduce </w:t>
      </w:r>
      <w:r w:rsidR="00B16BB8" w:rsidRPr="00B16BB8">
        <w:rPr>
          <w:iCs/>
        </w:rPr>
        <w:t>QUM concerns.</w:t>
      </w:r>
    </w:p>
    <w:p w14:paraId="5ABF85D9" w14:textId="5E90A52E" w:rsidR="00B768BC" w:rsidRPr="00B768BC" w:rsidRDefault="002D667C" w:rsidP="00375571">
      <w:pPr>
        <w:pStyle w:val="3-BodyText"/>
        <w:rPr>
          <w:rFonts w:eastAsiaTheme="minorEastAsia"/>
        </w:rPr>
      </w:pPr>
      <w:r w:rsidRPr="003214C3">
        <w:t xml:space="preserve">Further </w:t>
      </w:r>
      <w:r w:rsidRPr="003214C3">
        <w:rPr>
          <w:lang w:eastAsia="en-GB"/>
        </w:rPr>
        <w:t xml:space="preserve">considerations should be given to train health professionals regarding </w:t>
      </w:r>
      <w:r w:rsidR="002D2D4E">
        <w:rPr>
          <w:lang w:eastAsia="en-GB"/>
        </w:rPr>
        <w:t xml:space="preserve">the </w:t>
      </w:r>
      <w:r w:rsidRPr="003214C3">
        <w:rPr>
          <w:lang w:eastAsia="en-GB"/>
        </w:rPr>
        <w:t>use of this medication, specifically on initiation doses, monitoring needs and instructions for self-administration. The TGA Delegate’s Overview provided details of the Risk Management Plan evaluation and recommendations, which included the need for routine pharmacovigilance and risk minimisation.</w:t>
      </w:r>
    </w:p>
    <w:p w14:paraId="118D3E26" w14:textId="77777777" w:rsidR="00B25E22" w:rsidRPr="006C5798" w:rsidRDefault="00B25E22" w:rsidP="00B25E22">
      <w:pPr>
        <w:pStyle w:val="3-BodyText"/>
        <w:numPr>
          <w:ilvl w:val="0"/>
          <w:numId w:val="0"/>
        </w:numPr>
        <w:ind w:left="720"/>
        <w:rPr>
          <w:color w:val="0066FF"/>
        </w:rPr>
      </w:pPr>
      <w:r w:rsidRPr="00C33D30">
        <w:rPr>
          <w:i/>
        </w:rPr>
        <w:t>For more detail on PBAC’s view, see section 7 PBAC outcome.</w:t>
      </w:r>
    </w:p>
    <w:p w14:paraId="4CD6133E" w14:textId="46965E14" w:rsidR="00B25E22" w:rsidRDefault="00B25E22" w:rsidP="00B25E22">
      <w:pPr>
        <w:pStyle w:val="2-SectionHeading"/>
      </w:pPr>
      <w:bookmarkStart w:id="36" w:name="_Toc93488122"/>
      <w:r>
        <w:t>PBAC Outcome</w:t>
      </w:r>
    </w:p>
    <w:p w14:paraId="22C4CCF2" w14:textId="6400C5E6" w:rsidR="00A05A19" w:rsidRPr="00A05A19" w:rsidRDefault="00EE5A83" w:rsidP="00B16BB8">
      <w:pPr>
        <w:pStyle w:val="3-BodyText"/>
        <w:rPr>
          <w:snapToGrid w:val="0"/>
          <w:lang w:val="en-GB"/>
        </w:rPr>
      </w:pPr>
      <w:r>
        <w:rPr>
          <w:snapToGrid w:val="0"/>
          <w:lang w:val="en-GB"/>
        </w:rPr>
        <w:t>The PBAC</w:t>
      </w:r>
      <w:r w:rsidR="008A1FB6" w:rsidRPr="00CE42B4">
        <w:rPr>
          <w:snapToGrid w:val="0"/>
          <w:lang w:val="en-GB"/>
        </w:rPr>
        <w:t xml:space="preserve"> recommended the </w:t>
      </w:r>
      <w:r w:rsidR="00B16BB8">
        <w:rPr>
          <w:snapToGrid w:val="0"/>
          <w:lang w:val="en-GB"/>
        </w:rPr>
        <w:t>S</w:t>
      </w:r>
      <w:r>
        <w:rPr>
          <w:snapToGrid w:val="0"/>
          <w:lang w:val="en-GB"/>
        </w:rPr>
        <w:t xml:space="preserve">ection 100 Growth Hormone Program </w:t>
      </w:r>
      <w:r w:rsidR="008A1FB6" w:rsidRPr="00CE42B4">
        <w:rPr>
          <w:snapToGrid w:val="0"/>
          <w:lang w:val="en-GB"/>
        </w:rPr>
        <w:t xml:space="preserve">listing of </w:t>
      </w:r>
      <w:proofErr w:type="spellStart"/>
      <w:r>
        <w:rPr>
          <w:snapToGrid w:val="0"/>
          <w:lang w:val="en-GB"/>
        </w:rPr>
        <w:t>somapacitan</w:t>
      </w:r>
      <w:proofErr w:type="spellEnd"/>
      <w:r w:rsidR="008A1FB6" w:rsidRPr="00CE42B4">
        <w:rPr>
          <w:snapToGrid w:val="0"/>
          <w:lang w:val="en-GB"/>
        </w:rPr>
        <w:t xml:space="preserve"> </w:t>
      </w:r>
      <w:r w:rsidR="00B16BB8" w:rsidRPr="00B16BB8">
        <w:rPr>
          <w:rFonts w:eastAsia="Times New Roman" w:cs="Arial"/>
          <w:snapToGrid w:val="0"/>
          <w:szCs w:val="24"/>
          <w:lang w:val="en-GB"/>
        </w:rPr>
        <w:t>for the treatment of growth hormone deficiency (AGHD)</w:t>
      </w:r>
      <w:r w:rsidR="00B16BB8">
        <w:rPr>
          <w:rFonts w:eastAsia="Times New Roman" w:cs="Arial"/>
          <w:snapToGrid w:val="0"/>
          <w:szCs w:val="24"/>
          <w:lang w:val="en-GB"/>
        </w:rPr>
        <w:t xml:space="preserve"> </w:t>
      </w:r>
      <w:r w:rsidR="00B16BB8">
        <w:rPr>
          <w:snapToGrid w:val="0"/>
          <w:lang w:val="en-GB"/>
        </w:rPr>
        <w:t>in</w:t>
      </w:r>
      <w:r w:rsidR="00F77728">
        <w:rPr>
          <w:snapToGrid w:val="0"/>
          <w:lang w:val="en-GB"/>
        </w:rPr>
        <w:t xml:space="preserve"> patients aged 18 years and above</w:t>
      </w:r>
      <w:r w:rsidR="00437A16">
        <w:rPr>
          <w:snapToGrid w:val="0"/>
          <w:lang w:val="en-GB"/>
        </w:rPr>
        <w:t>,</w:t>
      </w:r>
      <w:r w:rsidR="00F77728">
        <w:rPr>
          <w:snapToGrid w:val="0"/>
          <w:lang w:val="en-GB"/>
        </w:rPr>
        <w:t xml:space="preserve"> </w:t>
      </w:r>
      <w:r w:rsidR="00BB60F7">
        <w:rPr>
          <w:snapToGrid w:val="0"/>
          <w:lang w:val="en-GB"/>
        </w:rPr>
        <w:t>and</w:t>
      </w:r>
      <w:r w:rsidR="00F77728">
        <w:rPr>
          <w:snapToGrid w:val="0"/>
          <w:lang w:val="en-GB"/>
        </w:rPr>
        <w:t xml:space="preserve"> those under 18 years of age with a mature skeleton</w:t>
      </w:r>
      <w:r>
        <w:rPr>
          <w:snapToGrid w:val="0"/>
          <w:lang w:val="en-GB"/>
        </w:rPr>
        <w:t>.</w:t>
      </w:r>
      <w:r w:rsidR="00B16BB8">
        <w:rPr>
          <w:snapToGrid w:val="0"/>
          <w:lang w:val="en-GB"/>
        </w:rPr>
        <w:t xml:space="preserve"> </w:t>
      </w:r>
      <w:r w:rsidR="00B16BB8">
        <w:t>The PBAC’s recommendation for listing was based on</w:t>
      </w:r>
      <w:r w:rsidR="007B5110">
        <w:t>, among other matters,</w:t>
      </w:r>
      <w:r w:rsidR="00B16BB8">
        <w:t xml:space="preserve"> its assessment that the cost-effectiveness of </w:t>
      </w:r>
      <w:proofErr w:type="spellStart"/>
      <w:r w:rsidR="00DA2A77">
        <w:t>somapacitan</w:t>
      </w:r>
      <w:proofErr w:type="spellEnd"/>
      <w:r w:rsidR="00B16BB8">
        <w:t xml:space="preserve"> would be acceptable if it were cost-minimised to somatropin for the same indication. </w:t>
      </w:r>
    </w:p>
    <w:p w14:paraId="4194B0A3" w14:textId="03F32B31" w:rsidR="008A1FB6" w:rsidRPr="00CE42B4" w:rsidRDefault="00B16BB8" w:rsidP="00303051">
      <w:pPr>
        <w:pStyle w:val="3-BodyText"/>
        <w:rPr>
          <w:snapToGrid w:val="0"/>
          <w:lang w:val="en-GB"/>
        </w:rPr>
      </w:pPr>
      <w:r>
        <w:t xml:space="preserve">The PBAC </w:t>
      </w:r>
      <w:r>
        <w:rPr>
          <w:snapToGrid w:val="0"/>
          <w:lang w:val="en-GB"/>
        </w:rPr>
        <w:t xml:space="preserve">advised </w:t>
      </w:r>
      <w:r w:rsidR="00A05A19">
        <w:rPr>
          <w:snapToGrid w:val="0"/>
          <w:lang w:val="en-GB"/>
        </w:rPr>
        <w:t>that t</w:t>
      </w:r>
      <w:r w:rsidR="00A05A19" w:rsidRPr="00A05A19">
        <w:rPr>
          <w:snapToGrid w:val="0"/>
          <w:lang w:val="en-GB"/>
        </w:rPr>
        <w:t xml:space="preserve">he </w:t>
      </w:r>
      <w:proofErr w:type="spellStart"/>
      <w:r w:rsidR="00A05A19" w:rsidRPr="00A05A19">
        <w:rPr>
          <w:snapToGrid w:val="0"/>
          <w:lang w:val="en-GB"/>
        </w:rPr>
        <w:t>equi</w:t>
      </w:r>
      <w:proofErr w:type="spellEnd"/>
      <w:r w:rsidR="00A05A19" w:rsidRPr="00A05A19">
        <w:rPr>
          <w:snapToGrid w:val="0"/>
          <w:lang w:val="en-GB"/>
        </w:rPr>
        <w:t>-effective doses were somatropin 0.</w:t>
      </w:r>
      <w:r w:rsidR="00B77C32" w:rsidRPr="00A05A19">
        <w:rPr>
          <w:snapToGrid w:val="0"/>
          <w:lang w:val="en-GB"/>
        </w:rPr>
        <w:t>27</w:t>
      </w:r>
      <w:r w:rsidR="00B77C32">
        <w:rPr>
          <w:snapToGrid w:val="0"/>
          <w:lang w:val="en-GB"/>
        </w:rPr>
        <w:t> </w:t>
      </w:r>
      <w:r w:rsidR="00A05A19" w:rsidRPr="00A05A19">
        <w:rPr>
          <w:snapToGrid w:val="0"/>
          <w:lang w:val="en-GB"/>
        </w:rPr>
        <w:t>mg daily (1.89</w:t>
      </w:r>
      <w:r w:rsidR="008D6075">
        <w:rPr>
          <w:snapToGrid w:val="0"/>
          <w:lang w:val="en-GB"/>
        </w:rPr>
        <w:t> </w:t>
      </w:r>
      <w:r w:rsidR="00A05A19" w:rsidRPr="00A05A19">
        <w:rPr>
          <w:snapToGrid w:val="0"/>
          <w:lang w:val="en-GB"/>
        </w:rPr>
        <w:t xml:space="preserve">mg weekly) and </w:t>
      </w:r>
      <w:proofErr w:type="spellStart"/>
      <w:r w:rsidR="00A05A19" w:rsidRPr="00A05A19">
        <w:rPr>
          <w:snapToGrid w:val="0"/>
          <w:lang w:val="en-GB"/>
        </w:rPr>
        <w:t>somapacitan</w:t>
      </w:r>
      <w:proofErr w:type="spellEnd"/>
      <w:r w:rsidR="00A05A19" w:rsidRPr="00A05A19">
        <w:rPr>
          <w:snapToGrid w:val="0"/>
          <w:lang w:val="en-GB"/>
        </w:rPr>
        <w:t xml:space="preserve"> 2.</w:t>
      </w:r>
      <w:r w:rsidR="00B77C32" w:rsidRPr="00A05A19">
        <w:rPr>
          <w:snapToGrid w:val="0"/>
          <w:lang w:val="en-GB"/>
        </w:rPr>
        <w:t>33</w:t>
      </w:r>
      <w:r w:rsidR="00B77C32">
        <w:rPr>
          <w:snapToGrid w:val="0"/>
          <w:lang w:val="en-GB"/>
        </w:rPr>
        <w:t> </w:t>
      </w:r>
      <w:r w:rsidR="00A05A19" w:rsidRPr="00A05A19">
        <w:rPr>
          <w:snapToGrid w:val="0"/>
          <w:lang w:val="en-GB"/>
        </w:rPr>
        <w:t>mg weekly, at the weekly dose relativity of 1</w:t>
      </w:r>
      <w:r w:rsidR="00D8293C">
        <w:rPr>
          <w:snapToGrid w:val="0"/>
          <w:lang w:val="en-GB"/>
        </w:rPr>
        <w:t> </w:t>
      </w:r>
      <w:r w:rsidR="00A05A19" w:rsidRPr="00A05A19">
        <w:rPr>
          <w:snapToGrid w:val="0"/>
          <w:lang w:val="en-GB"/>
        </w:rPr>
        <w:t>mg somatropin = 1.</w:t>
      </w:r>
      <w:r w:rsidR="00B77C32" w:rsidRPr="00A05A19">
        <w:rPr>
          <w:snapToGrid w:val="0"/>
          <w:lang w:val="en-GB"/>
        </w:rPr>
        <w:t>23</w:t>
      </w:r>
      <w:r w:rsidR="00B77C32">
        <w:rPr>
          <w:snapToGrid w:val="0"/>
          <w:lang w:val="en-GB"/>
        </w:rPr>
        <w:t> </w:t>
      </w:r>
      <w:r w:rsidR="00A05A19" w:rsidRPr="00A05A19">
        <w:rPr>
          <w:snapToGrid w:val="0"/>
          <w:lang w:val="en-GB"/>
        </w:rPr>
        <w:t xml:space="preserve">mg </w:t>
      </w:r>
      <w:proofErr w:type="spellStart"/>
      <w:r w:rsidR="00A05A19" w:rsidRPr="00A05A19">
        <w:rPr>
          <w:snapToGrid w:val="0"/>
          <w:lang w:val="en-GB"/>
        </w:rPr>
        <w:t>somapacitan</w:t>
      </w:r>
      <w:proofErr w:type="spellEnd"/>
      <w:r w:rsidR="00A05A19" w:rsidRPr="00A05A19">
        <w:rPr>
          <w:snapToGrid w:val="0"/>
          <w:lang w:val="en-GB"/>
        </w:rPr>
        <w:t>.</w:t>
      </w:r>
      <w:r w:rsidR="00303051">
        <w:rPr>
          <w:snapToGrid w:val="0"/>
          <w:lang w:val="en-GB"/>
        </w:rPr>
        <w:t xml:space="preserve"> This was derived from the </w:t>
      </w:r>
      <w:r w:rsidR="00303051" w:rsidRPr="00303051">
        <w:rPr>
          <w:snapToGrid w:val="0"/>
          <w:lang w:val="en-GB"/>
        </w:rPr>
        <w:t xml:space="preserve">mean treatment doses </w:t>
      </w:r>
      <w:r w:rsidR="007119B0">
        <w:rPr>
          <w:snapToGrid w:val="0"/>
          <w:lang w:val="en-GB"/>
        </w:rPr>
        <w:t>of</w:t>
      </w:r>
      <w:r w:rsidR="00303051" w:rsidRPr="00303051">
        <w:rPr>
          <w:snapToGrid w:val="0"/>
          <w:lang w:val="en-GB"/>
        </w:rPr>
        <w:t xml:space="preserve"> the extension phase of the REAL-1 study </w:t>
      </w:r>
      <w:r w:rsidR="00303051">
        <w:rPr>
          <w:snapToGrid w:val="0"/>
          <w:lang w:val="en-GB"/>
        </w:rPr>
        <w:t xml:space="preserve">which the PBAC considered to represent </w:t>
      </w:r>
      <w:r w:rsidR="00303051" w:rsidRPr="00303051">
        <w:rPr>
          <w:snapToGrid w:val="0"/>
          <w:lang w:val="en-GB"/>
        </w:rPr>
        <w:t>the steady-state doses for somapacitan and somatropin.</w:t>
      </w:r>
    </w:p>
    <w:p w14:paraId="38DD2045" w14:textId="012CE6FF" w:rsidR="00252793" w:rsidRDefault="00D2062C" w:rsidP="008A1FB6">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the consumer comments which </w:t>
      </w:r>
      <w:r w:rsidR="00A05A19">
        <w:rPr>
          <w:rFonts w:asciiTheme="minorHAnsi" w:hAnsiTheme="minorHAnsi" w:cs="Arial"/>
          <w:snapToGrid w:val="0"/>
          <w:lang w:val="en-GB"/>
        </w:rPr>
        <w:t xml:space="preserve">noted the </w:t>
      </w:r>
      <w:r>
        <w:rPr>
          <w:rFonts w:asciiTheme="minorHAnsi" w:hAnsiTheme="minorHAnsi" w:cs="Arial"/>
          <w:snapToGrid w:val="0"/>
          <w:lang w:val="en-GB"/>
        </w:rPr>
        <w:t>improved patient satisfaction and treatment convenience</w:t>
      </w:r>
      <w:r w:rsidR="00A05A19">
        <w:rPr>
          <w:rFonts w:asciiTheme="minorHAnsi" w:hAnsiTheme="minorHAnsi" w:cs="Arial"/>
          <w:snapToGrid w:val="0"/>
          <w:lang w:val="en-GB"/>
        </w:rPr>
        <w:t xml:space="preserve"> of weekly dosing with som</w:t>
      </w:r>
      <w:r w:rsidR="00004BE3">
        <w:rPr>
          <w:rFonts w:asciiTheme="minorHAnsi" w:hAnsiTheme="minorHAnsi" w:cs="Arial"/>
          <w:snapToGrid w:val="0"/>
          <w:lang w:val="en-GB"/>
        </w:rPr>
        <w:t>a</w:t>
      </w:r>
      <w:r w:rsidR="00A05A19">
        <w:rPr>
          <w:rFonts w:asciiTheme="minorHAnsi" w:hAnsiTheme="minorHAnsi" w:cs="Arial"/>
          <w:snapToGrid w:val="0"/>
          <w:lang w:val="en-GB"/>
        </w:rPr>
        <w:t>pacitan compared to daily dosing with somatropin. The PBAC agreed with the consumer comments that there is clinical need for a once-weekly growth hormone treatment for patients with AGHD.</w:t>
      </w:r>
    </w:p>
    <w:p w14:paraId="25D08131" w14:textId="1FAD62FA" w:rsidR="00A05A19" w:rsidRPr="00906E04" w:rsidRDefault="00A05A19" w:rsidP="00CF14ED">
      <w:pPr>
        <w:pStyle w:val="3-BodyText"/>
        <w:widowControl w:val="0"/>
        <w:numPr>
          <w:ilvl w:val="1"/>
          <w:numId w:val="1"/>
        </w:numPr>
        <w:rPr>
          <w:rFonts w:cs="Arial"/>
          <w:snapToGrid w:val="0"/>
          <w:lang w:val="en-GB"/>
        </w:rPr>
      </w:pPr>
      <w:bookmarkStart w:id="37" w:name="_Hlk99440454"/>
      <w:r w:rsidRPr="00906E04">
        <w:rPr>
          <w:snapToGrid w:val="0"/>
          <w:lang w:val="en-GB"/>
        </w:rPr>
        <w:t>The PBAC considered that somapacitan was non-inferior to somatropin in terms of effectiveness and safety.</w:t>
      </w:r>
      <w:bookmarkEnd w:id="37"/>
      <w:r w:rsidR="00A1057D" w:rsidRPr="00906E04">
        <w:rPr>
          <w:snapToGrid w:val="0"/>
          <w:lang w:val="en-GB"/>
        </w:rPr>
        <w:t xml:space="preserve"> The PBAC noted </w:t>
      </w:r>
      <w:r w:rsidR="005C5B11" w:rsidRPr="00906E04">
        <w:rPr>
          <w:snapToGrid w:val="0"/>
          <w:lang w:val="en-GB"/>
        </w:rPr>
        <w:t xml:space="preserve">the submission’s clinical claim of non-inferiority </w:t>
      </w:r>
      <w:r w:rsidR="00906E04">
        <w:rPr>
          <w:snapToGrid w:val="0"/>
          <w:lang w:val="en-GB"/>
        </w:rPr>
        <w:t xml:space="preserve">in terms of effectiveness </w:t>
      </w:r>
      <w:r w:rsidR="005C5B11" w:rsidRPr="00906E04">
        <w:rPr>
          <w:snapToGrid w:val="0"/>
          <w:lang w:val="en-GB"/>
        </w:rPr>
        <w:t>was based on REAL-1</w:t>
      </w:r>
      <w:r w:rsidR="00906E04" w:rsidRPr="00906E04">
        <w:rPr>
          <w:snapToGrid w:val="0"/>
          <w:lang w:val="en-GB"/>
        </w:rPr>
        <w:t>. Although</w:t>
      </w:r>
      <w:r w:rsidR="005C5B11" w:rsidRPr="00906E04">
        <w:rPr>
          <w:snapToGrid w:val="0"/>
          <w:lang w:val="en-GB"/>
        </w:rPr>
        <w:t xml:space="preserve"> </w:t>
      </w:r>
      <w:r w:rsidR="00906E04" w:rsidRPr="00906E04">
        <w:rPr>
          <w:snapToGrid w:val="0"/>
          <w:lang w:val="en-GB"/>
        </w:rPr>
        <w:t>the</w:t>
      </w:r>
      <w:r w:rsidR="005C5B11" w:rsidRPr="00906E04">
        <w:rPr>
          <w:snapToGrid w:val="0"/>
          <w:lang w:val="en-GB"/>
        </w:rPr>
        <w:t xml:space="preserve"> study was not powered to detect non-inferiority of somapacitan and somatropin</w:t>
      </w:r>
      <w:r w:rsidR="00906E04" w:rsidRPr="00906E04">
        <w:rPr>
          <w:snapToGrid w:val="0"/>
          <w:lang w:val="en-GB"/>
        </w:rPr>
        <w:t xml:space="preserve">, the PBAC considered the results for </w:t>
      </w:r>
      <w:r w:rsidR="005C5B11" w:rsidRPr="00906E04">
        <w:rPr>
          <w:rFonts w:eastAsia="Times New Roman" w:cs="Arial"/>
          <w:snapToGrid w:val="0"/>
          <w:szCs w:val="24"/>
          <w:lang w:val="en-GB"/>
        </w:rPr>
        <w:t>changes in body fat and quality of life at 87 weeks when used to treat AGHD</w:t>
      </w:r>
      <w:r w:rsidR="00906E04" w:rsidRPr="00906E04">
        <w:rPr>
          <w:rFonts w:eastAsia="Times New Roman" w:cs="Arial"/>
          <w:snapToGrid w:val="0"/>
          <w:szCs w:val="24"/>
          <w:lang w:val="en-GB"/>
        </w:rPr>
        <w:t xml:space="preserve"> </w:t>
      </w:r>
      <w:r w:rsidR="00D8293C">
        <w:rPr>
          <w:rFonts w:eastAsia="Times New Roman" w:cs="Arial"/>
          <w:snapToGrid w:val="0"/>
          <w:szCs w:val="24"/>
          <w:lang w:val="en-GB"/>
        </w:rPr>
        <w:t>were</w:t>
      </w:r>
      <w:r w:rsidR="00D8293C" w:rsidRPr="00906E04">
        <w:rPr>
          <w:rFonts w:eastAsia="Times New Roman" w:cs="Arial"/>
          <w:snapToGrid w:val="0"/>
          <w:szCs w:val="24"/>
          <w:lang w:val="en-GB"/>
        </w:rPr>
        <w:t xml:space="preserve"> </w:t>
      </w:r>
      <w:r w:rsidR="00906E04" w:rsidRPr="00906E04">
        <w:rPr>
          <w:rFonts w:eastAsia="Times New Roman" w:cs="Arial"/>
          <w:snapToGrid w:val="0"/>
          <w:szCs w:val="24"/>
          <w:lang w:val="en-GB"/>
        </w:rPr>
        <w:t xml:space="preserve">reasonable. The PBAC noted that most data presented in </w:t>
      </w:r>
      <w:r w:rsidR="00906E04">
        <w:rPr>
          <w:rFonts w:eastAsia="Times New Roman" w:cs="Arial"/>
          <w:snapToGrid w:val="0"/>
          <w:szCs w:val="24"/>
          <w:lang w:val="en-GB"/>
        </w:rPr>
        <w:t>REAL-1 and</w:t>
      </w:r>
      <w:r w:rsidR="00906E04" w:rsidRPr="00906E04">
        <w:rPr>
          <w:rFonts w:eastAsia="Times New Roman" w:cs="Arial"/>
          <w:snapToGrid w:val="0"/>
          <w:szCs w:val="24"/>
          <w:lang w:val="en-GB"/>
        </w:rPr>
        <w:t xml:space="preserve"> REAL-2 data showed low rates of adverse events and relatively little difference between the somapacitan and somatropin study arms. Although four serious </w:t>
      </w:r>
      <w:r w:rsidR="00906E04">
        <w:rPr>
          <w:rFonts w:eastAsia="Times New Roman" w:cs="Arial"/>
          <w:snapToGrid w:val="0"/>
          <w:szCs w:val="24"/>
          <w:lang w:val="en-GB"/>
        </w:rPr>
        <w:t xml:space="preserve">adverse events </w:t>
      </w:r>
      <w:r w:rsidR="00906E04" w:rsidRPr="00906E04">
        <w:rPr>
          <w:rFonts w:eastAsia="Times New Roman" w:cs="Arial"/>
          <w:snapToGrid w:val="0"/>
          <w:szCs w:val="24"/>
          <w:lang w:val="en-GB"/>
        </w:rPr>
        <w:t xml:space="preserve">were reported for the somapacitan arm compared to none in the somatropin arm in REAL-JAPAN, which was statistically significant, a development safety update report </w:t>
      </w:r>
      <w:r w:rsidR="00906E04" w:rsidRPr="00CB6395">
        <w:rPr>
          <w:rStyle w:val="normaltextrun"/>
        </w:rPr>
        <w:t xml:space="preserve">for the period 1 December 2019 to </w:t>
      </w:r>
      <w:r w:rsidR="00B77C32" w:rsidRPr="00CB6395">
        <w:rPr>
          <w:rStyle w:val="normaltextrun"/>
        </w:rPr>
        <w:t>30</w:t>
      </w:r>
      <w:r w:rsidR="00B77C32">
        <w:rPr>
          <w:rStyle w:val="normaltextrun"/>
          <w:szCs w:val="19"/>
        </w:rPr>
        <w:t> </w:t>
      </w:r>
      <w:r w:rsidR="00906E04" w:rsidRPr="00CB6395">
        <w:rPr>
          <w:rStyle w:val="normaltextrun"/>
        </w:rPr>
        <w:t xml:space="preserve">November </w:t>
      </w:r>
      <w:r w:rsidR="00906E04" w:rsidRPr="00292096">
        <w:rPr>
          <w:rStyle w:val="normaltextrun"/>
        </w:rPr>
        <w:t>2020</w:t>
      </w:r>
      <w:r w:rsidR="00906E04">
        <w:rPr>
          <w:rStyle w:val="normaltextrun"/>
        </w:rPr>
        <w:t xml:space="preserve"> showed </w:t>
      </w:r>
      <w:r w:rsidR="00906E04" w:rsidRPr="00CB6395">
        <w:rPr>
          <w:rStyle w:val="normaltextrun"/>
        </w:rPr>
        <w:t>no new significant information that would impact the potential benefit-risk balance of somapacitan during the reporting period</w:t>
      </w:r>
      <w:r w:rsidR="00906E04">
        <w:rPr>
          <w:rStyle w:val="normaltextrun"/>
        </w:rPr>
        <w:t>.</w:t>
      </w:r>
    </w:p>
    <w:p w14:paraId="025CBF30" w14:textId="495EEA03" w:rsidR="008D381B" w:rsidRPr="008D381B" w:rsidRDefault="008D381B" w:rsidP="001F2BAD">
      <w:pPr>
        <w:pStyle w:val="3-BodyText"/>
        <w:rPr>
          <w:rFonts w:cs="Arial"/>
          <w:snapToGrid w:val="0"/>
          <w:lang w:val="en-GB"/>
        </w:rPr>
      </w:pPr>
      <w:bookmarkStart w:id="38" w:name="_Hlk99440487"/>
      <w:r>
        <w:t xml:space="preserve">The PBAC </w:t>
      </w:r>
      <w:r w:rsidR="00A05A19">
        <w:t xml:space="preserve">considered </w:t>
      </w:r>
      <w:r>
        <w:t xml:space="preserve">that </w:t>
      </w:r>
      <w:r w:rsidRPr="003214C3">
        <w:t xml:space="preserve">somapacitan should result in a nil cost to government since </w:t>
      </w:r>
      <w:r w:rsidR="00303051">
        <w:t xml:space="preserve">it is likely that patients currently using daily somatropin would switch to weekly somapacitan and </w:t>
      </w:r>
      <w:r w:rsidR="003F64FC">
        <w:t xml:space="preserve">the submission requested </w:t>
      </w:r>
      <w:r w:rsidRPr="003214C3">
        <w:t xml:space="preserve">the same weekly cost as </w:t>
      </w:r>
      <w:r w:rsidR="003F64FC">
        <w:t xml:space="preserve">that of </w:t>
      </w:r>
      <w:r w:rsidRPr="003214C3">
        <w:t>somatropin.</w:t>
      </w:r>
      <w:r>
        <w:t xml:space="preserve"> The PBAC noted that there may be p</w:t>
      </w:r>
      <w:r w:rsidRPr="003214C3">
        <w:t>otential additional costs</w:t>
      </w:r>
      <w:r w:rsidR="00FC3AC2">
        <w:t xml:space="preserve"> which were not included in the submission’s financial estimates</w:t>
      </w:r>
      <w:r w:rsidR="001F2BAD">
        <w:t xml:space="preserve"> including </w:t>
      </w:r>
      <w:r w:rsidRPr="003214C3">
        <w:t>wastage if pens are discarded with remaining doses</w:t>
      </w:r>
      <w:r>
        <w:t xml:space="preserve">, and a </w:t>
      </w:r>
      <w:r w:rsidRPr="003214C3">
        <w:t>small number of grandfathered patients</w:t>
      </w:r>
      <w:r w:rsidR="001F2BAD">
        <w:t>. The PBAC noted that t</w:t>
      </w:r>
      <w:r w:rsidR="001F2BAD" w:rsidRPr="001F2BAD">
        <w:rPr>
          <w:rFonts w:eastAsia="Calibri"/>
          <w:iCs/>
        </w:rPr>
        <w:t>he additional cost</w:t>
      </w:r>
      <w:r w:rsidR="001F2BAD">
        <w:rPr>
          <w:rFonts w:eastAsia="Calibri"/>
          <w:iCs/>
        </w:rPr>
        <w:t>s</w:t>
      </w:r>
      <w:r w:rsidR="001F2BAD" w:rsidRPr="001F2BAD">
        <w:rPr>
          <w:rFonts w:eastAsia="Calibri"/>
          <w:iCs/>
        </w:rPr>
        <w:t xml:space="preserve"> </w:t>
      </w:r>
      <w:r w:rsidR="001F2BAD">
        <w:rPr>
          <w:rFonts w:eastAsia="Calibri"/>
          <w:iCs/>
        </w:rPr>
        <w:t xml:space="preserve">would </w:t>
      </w:r>
      <w:r w:rsidR="00EF269D">
        <w:rPr>
          <w:rFonts w:eastAsia="Calibri"/>
          <w:iCs/>
        </w:rPr>
        <w:t>unlikely</w:t>
      </w:r>
      <w:r w:rsidR="001F2BAD" w:rsidRPr="001F2BAD">
        <w:rPr>
          <w:rFonts w:eastAsia="Calibri"/>
          <w:iCs/>
        </w:rPr>
        <w:t xml:space="preserve"> have a substantial effect on the financial estimates</w:t>
      </w:r>
      <w:r>
        <w:t>.</w:t>
      </w:r>
    </w:p>
    <w:bookmarkEnd w:id="38"/>
    <w:p w14:paraId="78262645" w14:textId="481091D9" w:rsidR="00D95452" w:rsidRPr="00D95452" w:rsidRDefault="00D95452" w:rsidP="00752F88">
      <w:pPr>
        <w:pStyle w:val="3-BodyText"/>
        <w:rPr>
          <w:snapToGrid w:val="0"/>
          <w:lang w:val="en-GB"/>
        </w:rPr>
      </w:pPr>
      <w:r>
        <w:t xml:space="preserve">The PBAC considered that it was reasonable to allow </w:t>
      </w:r>
      <w:r w:rsidRPr="00807513">
        <w:t xml:space="preserve">adult patients with </w:t>
      </w:r>
      <w:r w:rsidR="00752F88" w:rsidRPr="00807513">
        <w:t xml:space="preserve">documented </w:t>
      </w:r>
      <w:r w:rsidRPr="00807513">
        <w:t xml:space="preserve">childhood onset </w:t>
      </w:r>
      <w:r w:rsidR="00752F88" w:rsidRPr="00807513">
        <w:t xml:space="preserve">GHD </w:t>
      </w:r>
      <w:r w:rsidRPr="00807513">
        <w:t>to initiate somapacitan therapy</w:t>
      </w:r>
      <w:r w:rsidRPr="00D95452">
        <w:t>.</w:t>
      </w:r>
      <w:r>
        <w:t xml:space="preserve"> </w:t>
      </w:r>
      <w:r w:rsidR="00752F88">
        <w:t xml:space="preserve">Additionally, the PBAC considered </w:t>
      </w:r>
      <w:r w:rsidR="00752F88" w:rsidRPr="00752F88">
        <w:t>it reasonable to allow an adult patient who has documented childhood onset GHD to switch between PBS-subsidised somatropin to PBS-subsidised somapacitan under the continuing restriction without being subject to assessment of eligibility under the initial restriction.</w:t>
      </w:r>
      <w:r w:rsidR="00752F88">
        <w:t xml:space="preserve"> Therefore, t</w:t>
      </w:r>
      <w:r>
        <w:t xml:space="preserve">he PBAC considered the restrictions for these </w:t>
      </w:r>
      <w:r w:rsidRPr="00660C7F">
        <w:t xml:space="preserve">treatment phases </w:t>
      </w:r>
      <w:r>
        <w:t>be included for somapacitan.</w:t>
      </w:r>
    </w:p>
    <w:p w14:paraId="63D1EB23" w14:textId="69784184" w:rsidR="00202FCB" w:rsidRDefault="00202FCB" w:rsidP="00D95452">
      <w:pPr>
        <w:pStyle w:val="3-BodyText"/>
        <w:rPr>
          <w:snapToGrid w:val="0"/>
          <w:lang w:val="en-GB"/>
        </w:rPr>
      </w:pPr>
      <w:r>
        <w:rPr>
          <w:snapToGrid w:val="0"/>
          <w:lang w:val="en-GB"/>
        </w:rPr>
        <w:t xml:space="preserve">The PBAC </w:t>
      </w:r>
      <w:r w:rsidR="00452412">
        <w:rPr>
          <w:snapToGrid w:val="0"/>
          <w:lang w:val="en-GB"/>
        </w:rPr>
        <w:t xml:space="preserve">noted </w:t>
      </w:r>
      <w:r w:rsidR="00AE08E6">
        <w:rPr>
          <w:snapToGrid w:val="0"/>
          <w:lang w:val="en-GB"/>
        </w:rPr>
        <w:t xml:space="preserve">that </w:t>
      </w:r>
      <w:r w:rsidR="00452412">
        <w:rPr>
          <w:snapToGrid w:val="0"/>
          <w:lang w:val="en-GB"/>
        </w:rPr>
        <w:t>t</w:t>
      </w:r>
      <w:r w:rsidR="00452412" w:rsidRPr="00452412">
        <w:rPr>
          <w:snapToGrid w:val="0"/>
          <w:lang w:val="en-GB"/>
        </w:rPr>
        <w:t xml:space="preserve">he submission </w:t>
      </w:r>
      <w:r w:rsidR="00452412">
        <w:rPr>
          <w:snapToGrid w:val="0"/>
          <w:lang w:val="en-GB"/>
        </w:rPr>
        <w:t xml:space="preserve">did not </w:t>
      </w:r>
      <w:r w:rsidR="00452412" w:rsidRPr="00452412">
        <w:rPr>
          <w:snapToGrid w:val="0"/>
          <w:lang w:val="en-GB"/>
        </w:rPr>
        <w:t>explicitly include a small group of paediatric patients with growth hormone deficiency due to a congenital, genetic, or structural cause (CO-GHD) who may reach skeletal maturity at the age of 15-17 (transition patients).</w:t>
      </w:r>
      <w:r w:rsidR="00452412">
        <w:rPr>
          <w:snapToGrid w:val="0"/>
          <w:lang w:val="en-GB"/>
        </w:rPr>
        <w:t xml:space="preserve"> </w:t>
      </w:r>
      <w:r w:rsidR="00452412">
        <w:t xml:space="preserve">The PBAC noted </w:t>
      </w:r>
      <w:r w:rsidR="00452412">
        <w:rPr>
          <w:iCs/>
          <w:color w:val="000000" w:themeColor="text1"/>
        </w:rPr>
        <w:t>t</w:t>
      </w:r>
      <w:r w:rsidR="00452412" w:rsidRPr="00F3136B">
        <w:rPr>
          <w:iCs/>
          <w:color w:val="000000" w:themeColor="text1"/>
        </w:rPr>
        <w:t>he estimated number of patients treated with somapacitan is likely to include a small number of patients &lt;18 years</w:t>
      </w:r>
      <w:r w:rsidR="00452412">
        <w:rPr>
          <w:iCs/>
          <w:color w:val="000000" w:themeColor="text1"/>
        </w:rPr>
        <w:t xml:space="preserve"> and it was important to allow these patients access to weekly treatment if this was the treatment being used in the paediatric setting</w:t>
      </w:r>
      <w:r w:rsidR="00452412" w:rsidRPr="00F3136B">
        <w:rPr>
          <w:iCs/>
          <w:color w:val="000000" w:themeColor="text1"/>
        </w:rPr>
        <w:t>.</w:t>
      </w:r>
      <w:r w:rsidR="00452412">
        <w:rPr>
          <w:iCs/>
          <w:color w:val="000000" w:themeColor="text1"/>
        </w:rPr>
        <w:t xml:space="preserve"> </w:t>
      </w:r>
      <w:r w:rsidR="00452412">
        <w:rPr>
          <w:snapToGrid w:val="0"/>
          <w:lang w:val="en-GB"/>
        </w:rPr>
        <w:t xml:space="preserve">The PBAC </w:t>
      </w:r>
      <w:r>
        <w:rPr>
          <w:snapToGrid w:val="0"/>
          <w:lang w:val="en-GB"/>
        </w:rPr>
        <w:t>considered that there was a clinical need for once-weekly growth hormone therapy in patients with a mature skeleton who are under 18 years of age, and that somapacitan may be a clinically suitable treatment for this population.</w:t>
      </w:r>
      <w:r w:rsidRPr="00F13A1A">
        <w:rPr>
          <w:iCs/>
          <w:color w:val="000000" w:themeColor="text1"/>
        </w:rPr>
        <w:t xml:space="preserve"> </w:t>
      </w:r>
      <w:r w:rsidR="00452412">
        <w:rPr>
          <w:iCs/>
          <w:color w:val="000000" w:themeColor="text1"/>
        </w:rPr>
        <w:t xml:space="preserve">The PBAC </w:t>
      </w:r>
      <w:r w:rsidR="00AE08E6">
        <w:rPr>
          <w:iCs/>
          <w:color w:val="000000" w:themeColor="text1"/>
        </w:rPr>
        <w:t xml:space="preserve">therefore </w:t>
      </w:r>
      <w:r w:rsidR="00452412">
        <w:rPr>
          <w:iCs/>
          <w:color w:val="000000" w:themeColor="text1"/>
        </w:rPr>
        <w:t xml:space="preserve">considered </w:t>
      </w:r>
      <w:r w:rsidR="00AE08E6">
        <w:rPr>
          <w:iCs/>
          <w:color w:val="000000" w:themeColor="text1"/>
        </w:rPr>
        <w:t xml:space="preserve">that </w:t>
      </w:r>
      <w:r w:rsidR="00452412">
        <w:rPr>
          <w:iCs/>
          <w:color w:val="000000" w:themeColor="text1"/>
        </w:rPr>
        <w:t xml:space="preserve">the restrictions should include patients </w:t>
      </w:r>
      <w:r w:rsidR="00AE08E6">
        <w:rPr>
          <w:iCs/>
          <w:color w:val="000000" w:themeColor="text1"/>
        </w:rPr>
        <w:t>with</w:t>
      </w:r>
      <w:r w:rsidR="00452412">
        <w:rPr>
          <w:iCs/>
          <w:color w:val="000000" w:themeColor="text1"/>
        </w:rPr>
        <w:t xml:space="preserve"> a mature skeleton</w:t>
      </w:r>
      <w:r w:rsidR="00D95452">
        <w:rPr>
          <w:iCs/>
          <w:color w:val="000000" w:themeColor="text1"/>
        </w:rPr>
        <w:t xml:space="preserve"> </w:t>
      </w:r>
      <w:r w:rsidR="00D95452" w:rsidRPr="00D95452">
        <w:rPr>
          <w:iCs/>
          <w:color w:val="000000" w:themeColor="text1"/>
        </w:rPr>
        <w:t>(</w:t>
      </w:r>
      <w:proofErr w:type="gramStart"/>
      <w:r w:rsidR="00D95452">
        <w:rPr>
          <w:iCs/>
          <w:color w:val="000000" w:themeColor="text1"/>
        </w:rPr>
        <w:t>i.e.</w:t>
      </w:r>
      <w:proofErr w:type="gramEnd"/>
      <w:r w:rsidR="00D95452">
        <w:rPr>
          <w:iCs/>
          <w:color w:val="000000" w:themeColor="text1"/>
        </w:rPr>
        <w:t xml:space="preserve"> </w:t>
      </w:r>
      <w:r w:rsidR="00D95452" w:rsidRPr="00D95452">
        <w:rPr>
          <w:iCs/>
          <w:color w:val="000000" w:themeColor="text1"/>
        </w:rPr>
        <w:t>bone age greater than or equal to 15.5 years in males or 13.5 years in females)</w:t>
      </w:r>
      <w:r w:rsidR="00AE08E6">
        <w:rPr>
          <w:iCs/>
          <w:color w:val="000000" w:themeColor="text1"/>
        </w:rPr>
        <w:t xml:space="preserve"> who are not</w:t>
      </w:r>
      <w:r w:rsidR="00452412">
        <w:rPr>
          <w:iCs/>
          <w:color w:val="000000" w:themeColor="text1"/>
        </w:rPr>
        <w:t xml:space="preserve"> aged 18 years or older</w:t>
      </w:r>
      <w:r w:rsidR="00E403AF">
        <w:rPr>
          <w:iCs/>
          <w:color w:val="000000" w:themeColor="text1"/>
        </w:rPr>
        <w:t xml:space="preserve">, and that this inclusion </w:t>
      </w:r>
      <w:r w:rsidR="000237AB">
        <w:rPr>
          <w:iCs/>
          <w:color w:val="000000" w:themeColor="text1"/>
        </w:rPr>
        <w:t>be</w:t>
      </w:r>
      <w:r w:rsidR="00E403AF">
        <w:rPr>
          <w:iCs/>
          <w:color w:val="000000" w:themeColor="text1"/>
        </w:rPr>
        <w:t xml:space="preserve"> consistent with the PBAC recommendation </w:t>
      </w:r>
      <w:r w:rsidR="000237AB">
        <w:rPr>
          <w:iCs/>
          <w:color w:val="000000" w:themeColor="text1"/>
        </w:rPr>
        <w:t xml:space="preserve">made for somatropin </w:t>
      </w:r>
      <w:r w:rsidR="00E403AF">
        <w:rPr>
          <w:iCs/>
          <w:color w:val="000000" w:themeColor="text1"/>
        </w:rPr>
        <w:t>at the September 2021 intra-cycle meeting</w:t>
      </w:r>
      <w:r w:rsidR="004D3CDA">
        <w:rPr>
          <w:iCs/>
          <w:color w:val="000000" w:themeColor="text1"/>
        </w:rPr>
        <w:t>.</w:t>
      </w:r>
    </w:p>
    <w:p w14:paraId="5CDAC21F" w14:textId="2F81E449" w:rsidR="00A24362" w:rsidRDefault="006B3380" w:rsidP="006B3380">
      <w:pPr>
        <w:pStyle w:val="3-BodyText"/>
        <w:rPr>
          <w:snapToGrid w:val="0"/>
          <w:lang w:val="en-GB"/>
        </w:rPr>
      </w:pPr>
      <w:bookmarkStart w:id="39" w:name="_Hlk99441797"/>
      <w:r>
        <w:rPr>
          <w:snapToGrid w:val="0"/>
          <w:lang w:val="en-GB"/>
        </w:rPr>
        <w:t xml:space="preserve">The PBAC noted that when </w:t>
      </w:r>
      <w:r w:rsidR="004D3CDA">
        <w:rPr>
          <w:snapToGrid w:val="0"/>
          <w:lang w:val="en-GB"/>
        </w:rPr>
        <w:t>switching</w:t>
      </w:r>
      <w:r w:rsidR="005707EE">
        <w:rPr>
          <w:snapToGrid w:val="0"/>
          <w:lang w:val="en-GB"/>
        </w:rPr>
        <w:t xml:space="preserve"> </w:t>
      </w:r>
      <w:r>
        <w:rPr>
          <w:snapToGrid w:val="0"/>
          <w:lang w:val="en-GB"/>
        </w:rPr>
        <w:t>from a once daily injection</w:t>
      </w:r>
      <w:r w:rsidR="005707EE">
        <w:rPr>
          <w:snapToGrid w:val="0"/>
          <w:lang w:val="en-GB"/>
        </w:rPr>
        <w:t xml:space="preserve"> of somatropin</w:t>
      </w:r>
      <w:r>
        <w:rPr>
          <w:snapToGrid w:val="0"/>
          <w:lang w:val="en-GB"/>
        </w:rPr>
        <w:t xml:space="preserve"> to a once weekly injection</w:t>
      </w:r>
      <w:r w:rsidR="005707EE">
        <w:rPr>
          <w:snapToGrid w:val="0"/>
          <w:lang w:val="en-GB"/>
        </w:rPr>
        <w:t xml:space="preserve"> of somapacitan</w:t>
      </w:r>
      <w:r>
        <w:rPr>
          <w:snapToGrid w:val="0"/>
          <w:lang w:val="en-GB"/>
        </w:rPr>
        <w:t xml:space="preserve">, </w:t>
      </w:r>
      <w:r w:rsidR="00123893">
        <w:rPr>
          <w:snapToGrid w:val="0"/>
          <w:lang w:val="en-GB"/>
        </w:rPr>
        <w:t xml:space="preserve">there are QUM risks that </w:t>
      </w:r>
      <w:r>
        <w:rPr>
          <w:snapToGrid w:val="0"/>
          <w:lang w:val="en-GB"/>
        </w:rPr>
        <w:t>patients may use somatropin concurrently with somapacitan</w:t>
      </w:r>
      <w:r w:rsidR="00123893">
        <w:rPr>
          <w:snapToGrid w:val="0"/>
          <w:lang w:val="en-GB"/>
        </w:rPr>
        <w:t xml:space="preserve"> or </w:t>
      </w:r>
      <w:r w:rsidR="00AE08E6">
        <w:rPr>
          <w:snapToGrid w:val="0"/>
          <w:lang w:val="en-GB"/>
        </w:rPr>
        <w:t xml:space="preserve">that </w:t>
      </w:r>
      <w:r w:rsidR="00123893">
        <w:rPr>
          <w:snapToGrid w:val="0"/>
          <w:lang w:val="en-GB"/>
        </w:rPr>
        <w:t>there may be frequent interchange between the therapies</w:t>
      </w:r>
      <w:r>
        <w:rPr>
          <w:snapToGrid w:val="0"/>
          <w:lang w:val="en-GB"/>
        </w:rPr>
        <w:t xml:space="preserve">. </w:t>
      </w:r>
      <w:r w:rsidR="00123893">
        <w:rPr>
          <w:snapToGrid w:val="0"/>
          <w:lang w:val="en-GB"/>
        </w:rPr>
        <w:t xml:space="preserve">The PBAC </w:t>
      </w:r>
      <w:r w:rsidR="00A4647E">
        <w:rPr>
          <w:snapToGrid w:val="0"/>
          <w:lang w:val="en-GB"/>
        </w:rPr>
        <w:t xml:space="preserve">considered </w:t>
      </w:r>
      <w:r w:rsidR="00123893">
        <w:rPr>
          <w:snapToGrid w:val="0"/>
          <w:lang w:val="en-GB"/>
        </w:rPr>
        <w:t xml:space="preserve">this </w:t>
      </w:r>
      <w:r w:rsidR="003E67A3">
        <w:rPr>
          <w:snapToGrid w:val="0"/>
          <w:lang w:val="en-GB"/>
        </w:rPr>
        <w:t xml:space="preserve">risk </w:t>
      </w:r>
      <w:r w:rsidR="00123893">
        <w:rPr>
          <w:snapToGrid w:val="0"/>
          <w:lang w:val="en-GB"/>
        </w:rPr>
        <w:t>to be low</w:t>
      </w:r>
      <w:r w:rsidR="00A4647E">
        <w:rPr>
          <w:snapToGrid w:val="0"/>
          <w:lang w:val="en-GB"/>
        </w:rPr>
        <w:t>. However,</w:t>
      </w:r>
      <w:r w:rsidR="00123893">
        <w:rPr>
          <w:snapToGrid w:val="0"/>
          <w:lang w:val="en-GB"/>
        </w:rPr>
        <w:t xml:space="preserve"> </w:t>
      </w:r>
      <w:r>
        <w:rPr>
          <w:snapToGrid w:val="0"/>
          <w:lang w:val="en-GB"/>
        </w:rPr>
        <w:t>t</w:t>
      </w:r>
      <w:r w:rsidR="00A24362">
        <w:rPr>
          <w:snapToGrid w:val="0"/>
          <w:lang w:val="en-GB"/>
        </w:rPr>
        <w:t xml:space="preserve">he PBAC considered that patients who initiate on somatropin or somapacitan for </w:t>
      </w:r>
      <w:r w:rsidR="005707EE">
        <w:rPr>
          <w:snapToGrid w:val="0"/>
          <w:lang w:val="en-GB"/>
        </w:rPr>
        <w:t>GHD</w:t>
      </w:r>
      <w:r w:rsidR="00A24362">
        <w:rPr>
          <w:snapToGrid w:val="0"/>
          <w:lang w:val="en-GB"/>
        </w:rPr>
        <w:t xml:space="preserve"> </w:t>
      </w:r>
      <w:r w:rsidR="004D3CDA">
        <w:rPr>
          <w:snapToGrid w:val="0"/>
          <w:lang w:val="en-GB"/>
        </w:rPr>
        <w:t>sh</w:t>
      </w:r>
      <w:r w:rsidR="001936FD">
        <w:rPr>
          <w:snapToGrid w:val="0"/>
          <w:lang w:val="en-GB"/>
        </w:rPr>
        <w:t>ould</w:t>
      </w:r>
      <w:r w:rsidR="00A24362">
        <w:rPr>
          <w:snapToGrid w:val="0"/>
          <w:lang w:val="en-GB"/>
        </w:rPr>
        <w:t xml:space="preserve"> </w:t>
      </w:r>
      <w:r w:rsidR="005707EE">
        <w:rPr>
          <w:snapToGrid w:val="0"/>
          <w:lang w:val="en-GB"/>
        </w:rPr>
        <w:t xml:space="preserve">be allowed to </w:t>
      </w:r>
      <w:r w:rsidR="004D3CDA">
        <w:rPr>
          <w:snapToGrid w:val="0"/>
          <w:lang w:val="en-GB"/>
        </w:rPr>
        <w:t>switch therapy</w:t>
      </w:r>
      <w:r w:rsidR="005707EE">
        <w:rPr>
          <w:snapToGrid w:val="0"/>
          <w:lang w:val="en-GB"/>
        </w:rPr>
        <w:t xml:space="preserve"> under the continuing restriction, without </w:t>
      </w:r>
      <w:r w:rsidR="007A3DAA">
        <w:rPr>
          <w:snapToGrid w:val="0"/>
          <w:lang w:val="en-GB"/>
        </w:rPr>
        <w:t xml:space="preserve">having to be </w:t>
      </w:r>
      <w:r w:rsidR="005707EE">
        <w:rPr>
          <w:snapToGrid w:val="0"/>
          <w:lang w:val="en-GB"/>
        </w:rPr>
        <w:t>re</w:t>
      </w:r>
      <w:r w:rsidR="007A3DAA">
        <w:rPr>
          <w:snapToGrid w:val="0"/>
          <w:lang w:val="en-GB"/>
        </w:rPr>
        <w:t>-</w:t>
      </w:r>
      <w:r w:rsidR="005707EE">
        <w:rPr>
          <w:snapToGrid w:val="0"/>
          <w:lang w:val="en-GB"/>
        </w:rPr>
        <w:t xml:space="preserve">assessed for eligibility </w:t>
      </w:r>
      <w:r w:rsidR="007A3DAA">
        <w:rPr>
          <w:snapToGrid w:val="0"/>
          <w:lang w:val="en-GB"/>
        </w:rPr>
        <w:t>under the</w:t>
      </w:r>
      <w:r w:rsidR="00A24362">
        <w:rPr>
          <w:snapToGrid w:val="0"/>
          <w:lang w:val="en-GB"/>
        </w:rPr>
        <w:t xml:space="preserve"> initial restriction criteria</w:t>
      </w:r>
      <w:r w:rsidR="005707EE">
        <w:rPr>
          <w:snapToGrid w:val="0"/>
          <w:lang w:val="en-GB"/>
        </w:rPr>
        <w:t>, provid</w:t>
      </w:r>
      <w:r w:rsidR="007A3DAA">
        <w:rPr>
          <w:snapToGrid w:val="0"/>
          <w:lang w:val="en-GB"/>
        </w:rPr>
        <w:t xml:space="preserve">ing </w:t>
      </w:r>
      <w:r w:rsidR="005707EE">
        <w:rPr>
          <w:snapToGrid w:val="0"/>
          <w:lang w:val="en-GB"/>
        </w:rPr>
        <w:t xml:space="preserve">they </w:t>
      </w:r>
      <w:r w:rsidR="004D3CDA">
        <w:rPr>
          <w:snapToGrid w:val="0"/>
          <w:lang w:val="en-GB"/>
        </w:rPr>
        <w:t>meet</w:t>
      </w:r>
      <w:r w:rsidR="005707EE">
        <w:rPr>
          <w:snapToGrid w:val="0"/>
          <w:lang w:val="en-GB"/>
        </w:rPr>
        <w:t xml:space="preserve"> </w:t>
      </w:r>
      <w:r w:rsidR="007A3DAA">
        <w:rPr>
          <w:snapToGrid w:val="0"/>
          <w:lang w:val="en-GB"/>
        </w:rPr>
        <w:t>the requirement to continue</w:t>
      </w:r>
      <w:r w:rsidR="005707EE">
        <w:rPr>
          <w:snapToGrid w:val="0"/>
          <w:lang w:val="en-GB"/>
        </w:rPr>
        <w:t xml:space="preserve"> treatment with PBS-subsidised </w:t>
      </w:r>
      <w:r w:rsidR="004D3CDA">
        <w:rPr>
          <w:snapToGrid w:val="0"/>
          <w:lang w:val="en-GB"/>
        </w:rPr>
        <w:t>growth hormone therapy</w:t>
      </w:r>
      <w:r w:rsidR="00A24362">
        <w:rPr>
          <w:snapToGrid w:val="0"/>
          <w:lang w:val="en-GB"/>
        </w:rPr>
        <w:t>.</w:t>
      </w:r>
    </w:p>
    <w:bookmarkEnd w:id="39"/>
    <w:p w14:paraId="27FDD855" w14:textId="286303D3" w:rsidR="00F82BCE" w:rsidRDefault="003B4808" w:rsidP="00F82BCE">
      <w:pPr>
        <w:pStyle w:val="3-BodyText"/>
        <w:rPr>
          <w:snapToGrid w:val="0"/>
          <w:lang w:val="en-GB"/>
        </w:rPr>
      </w:pPr>
      <w:r>
        <w:rPr>
          <w:snapToGrid w:val="0"/>
          <w:lang w:val="en-GB"/>
        </w:rPr>
        <w:t xml:space="preserve">The PBAC also noted that patients taking a weekly dose greater than </w:t>
      </w:r>
      <w:r w:rsidR="00B77C32">
        <w:rPr>
          <w:snapToGrid w:val="0"/>
          <w:lang w:val="en-GB"/>
        </w:rPr>
        <w:t>5 </w:t>
      </w:r>
      <w:r>
        <w:rPr>
          <w:snapToGrid w:val="0"/>
          <w:lang w:val="en-GB"/>
        </w:rPr>
        <w:t xml:space="preserve">mg may need to inject more than one injection per week on certain weeks and that this may be a QUM issue due to the potential of </w:t>
      </w:r>
      <w:r w:rsidRPr="003214C3">
        <w:rPr>
          <w:rFonts w:eastAsia="Calibri"/>
          <w:iCs/>
        </w:rPr>
        <w:t>over</w:t>
      </w:r>
      <w:r w:rsidR="005B2666" w:rsidRPr="003214C3">
        <w:rPr>
          <w:rFonts w:eastAsia="Calibri"/>
          <w:iCs/>
        </w:rPr>
        <w:t>-</w:t>
      </w:r>
      <w:r w:rsidR="005B2666">
        <w:rPr>
          <w:rFonts w:eastAsia="Calibri"/>
          <w:iCs/>
        </w:rPr>
        <w:t> </w:t>
      </w:r>
      <w:r w:rsidRPr="003214C3">
        <w:rPr>
          <w:rFonts w:eastAsia="Calibri"/>
          <w:iCs/>
        </w:rPr>
        <w:t>or</w:t>
      </w:r>
      <w:r w:rsidR="005B2666">
        <w:rPr>
          <w:rFonts w:eastAsia="Calibri"/>
          <w:iCs/>
        </w:rPr>
        <w:t> </w:t>
      </w:r>
      <w:r w:rsidRPr="003214C3">
        <w:rPr>
          <w:rFonts w:eastAsia="Calibri"/>
          <w:iCs/>
        </w:rPr>
        <w:t>under-dosing and</w:t>
      </w:r>
      <w:r>
        <w:rPr>
          <w:rFonts w:eastAsia="Calibri"/>
          <w:iCs/>
        </w:rPr>
        <w:t xml:space="preserve"> </w:t>
      </w:r>
      <w:r w:rsidRPr="003214C3">
        <w:rPr>
          <w:rFonts w:eastAsia="Calibri"/>
          <w:iCs/>
        </w:rPr>
        <w:t>injection site reaction</w:t>
      </w:r>
      <w:r>
        <w:rPr>
          <w:rFonts w:eastAsia="Calibri"/>
          <w:iCs/>
        </w:rPr>
        <w:t xml:space="preserve">. </w:t>
      </w:r>
      <w:r>
        <w:rPr>
          <w:snapToGrid w:val="0"/>
          <w:lang w:val="en-GB"/>
        </w:rPr>
        <w:t>The PBAC</w:t>
      </w:r>
      <w:r w:rsidR="008D381B">
        <w:rPr>
          <w:snapToGrid w:val="0"/>
          <w:lang w:val="en-GB"/>
        </w:rPr>
        <w:t xml:space="preserve"> considered that specialist prescribers would</w:t>
      </w:r>
      <w:r>
        <w:rPr>
          <w:snapToGrid w:val="0"/>
          <w:lang w:val="en-GB"/>
        </w:rPr>
        <w:t xml:space="preserve"> ensure that appropriate dosages are used when transition</w:t>
      </w:r>
      <w:r w:rsidR="00033CB8">
        <w:rPr>
          <w:snapToGrid w:val="0"/>
          <w:lang w:val="en-GB"/>
        </w:rPr>
        <w:t>ing</w:t>
      </w:r>
      <w:r>
        <w:rPr>
          <w:snapToGrid w:val="0"/>
          <w:lang w:val="en-GB"/>
        </w:rPr>
        <w:t xml:space="preserve"> patients from somatropin to somapacitan or vice versa and would </w:t>
      </w:r>
      <w:r w:rsidR="008D381B">
        <w:rPr>
          <w:snapToGrid w:val="0"/>
          <w:lang w:val="en-GB"/>
        </w:rPr>
        <w:t xml:space="preserve">educate the patients on the appropriate use of the </w:t>
      </w:r>
      <w:r>
        <w:rPr>
          <w:snapToGrid w:val="0"/>
          <w:lang w:val="en-GB"/>
        </w:rPr>
        <w:t>pens to ensure safe dosing and minimise the risk of injection site reaction</w:t>
      </w:r>
      <w:r w:rsidR="008D381B">
        <w:rPr>
          <w:snapToGrid w:val="0"/>
          <w:lang w:val="en-GB"/>
        </w:rPr>
        <w:t>.</w:t>
      </w:r>
    </w:p>
    <w:p w14:paraId="5BF98726" w14:textId="79D13BBF" w:rsidR="001472F8" w:rsidRDefault="001472F8" w:rsidP="008A1FB6">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the </w:t>
      </w:r>
      <w:r w:rsidRPr="0090196C">
        <w:t>Early Supply Rule cannot currently be applied to Growth Hormone program listings</w:t>
      </w:r>
      <w:r w:rsidR="003438E6">
        <w:t xml:space="preserve"> and therefore considered that it should not apply to somapacitan.</w:t>
      </w:r>
    </w:p>
    <w:p w14:paraId="1C624605" w14:textId="124974AF" w:rsidR="001472F8" w:rsidRDefault="001472F8" w:rsidP="008A1FB6">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 xml:space="preserve">The PBAC considered that somapacitan is not suitable </w:t>
      </w:r>
      <w:r w:rsidRPr="0090196C">
        <w:t>for inclusion in the PBS medicines for prescribing by nurse practitioners</w:t>
      </w:r>
      <w:r>
        <w:t>,</w:t>
      </w:r>
      <w:r w:rsidRPr="0090196C">
        <w:t xml:space="preserve"> noting that somatropin can only be prescribed by an endocrinologist for this indication.</w:t>
      </w:r>
    </w:p>
    <w:p w14:paraId="33A453DE" w14:textId="6ACE0E51" w:rsidR="00996A48" w:rsidRDefault="00996A48" w:rsidP="008A1FB6">
      <w:pPr>
        <w:widowControl w:val="0"/>
        <w:numPr>
          <w:ilvl w:val="1"/>
          <w:numId w:val="1"/>
        </w:numPr>
        <w:spacing w:after="120"/>
        <w:rPr>
          <w:rFonts w:asciiTheme="minorHAnsi" w:hAnsiTheme="minorHAnsi" w:cs="Arial"/>
          <w:snapToGrid w:val="0"/>
          <w:lang w:val="en-GB"/>
        </w:rPr>
      </w:pPr>
      <w:r w:rsidRPr="00996A48">
        <w:rPr>
          <w:rFonts w:asciiTheme="minorHAnsi" w:hAnsiTheme="minorHAnsi" w:cs="Arial"/>
          <w:snapToGrid w:val="0"/>
          <w:lang w:val="en-GB"/>
        </w:rPr>
        <w:t xml:space="preserve">The PBAC noted that its recommendation was on a cost-minimisation basis and advised that, because somapacitan is not expected to provide a substantial and clinically relevant improvement in efficacy, or reduction of toxicity, over somatropin, or not expected to address a high and urgent unmet clinical need given the presence of an alternative therapy, the criteria prescribed by the </w:t>
      </w:r>
      <w:r w:rsidRPr="0060691D">
        <w:rPr>
          <w:rFonts w:asciiTheme="minorHAnsi" w:hAnsiTheme="minorHAnsi" w:cs="Arial"/>
          <w:i/>
          <w:snapToGrid w:val="0"/>
          <w:lang w:val="en-GB"/>
        </w:rPr>
        <w:t>National Health (Pharmaceuticals and Vaccines – Cost Recovery) Regulations 2009</w:t>
      </w:r>
      <w:r w:rsidRPr="00996A48">
        <w:rPr>
          <w:rFonts w:asciiTheme="minorHAnsi" w:hAnsiTheme="minorHAnsi" w:cs="Arial"/>
          <w:snapToGrid w:val="0"/>
          <w:lang w:val="en-GB"/>
        </w:rPr>
        <w:t xml:space="preserve"> for Pricing Pathway A were not met.</w:t>
      </w:r>
    </w:p>
    <w:p w14:paraId="227A26D2" w14:textId="653CBBCB" w:rsidR="008A1FB6" w:rsidRPr="003438E6" w:rsidRDefault="003438E6" w:rsidP="003438E6">
      <w:pPr>
        <w:widowControl w:val="0"/>
        <w:numPr>
          <w:ilvl w:val="1"/>
          <w:numId w:val="1"/>
        </w:numPr>
        <w:spacing w:after="120"/>
        <w:rPr>
          <w:rFonts w:asciiTheme="minorHAnsi" w:hAnsiTheme="minorHAnsi" w:cs="Arial"/>
          <w:bCs/>
          <w:snapToGrid w:val="0"/>
          <w:lang w:val="en-GB"/>
        </w:rPr>
      </w:pPr>
      <w:r w:rsidRPr="003438E6">
        <w:t>The PBAC advised</w:t>
      </w:r>
      <w:r w:rsidR="001472F8" w:rsidRPr="003438E6">
        <w:t xml:space="preserve">, under </w:t>
      </w:r>
      <w:r w:rsidRPr="003438E6">
        <w:t>s</w:t>
      </w:r>
      <w:r w:rsidR="001472F8" w:rsidRPr="003438E6">
        <w:t xml:space="preserve">ection 101 (3BA) of the </w:t>
      </w:r>
      <w:r w:rsidRPr="003438E6">
        <w:t>Act</w:t>
      </w:r>
      <w:r w:rsidR="001472F8" w:rsidRPr="003438E6">
        <w:t xml:space="preserve">, </w:t>
      </w:r>
      <w:r w:rsidRPr="003438E6">
        <w:t xml:space="preserve">that </w:t>
      </w:r>
      <w:r w:rsidR="001472F8" w:rsidRPr="003438E6">
        <w:t xml:space="preserve">somapacitan </w:t>
      </w:r>
      <w:r w:rsidR="006A530A" w:rsidRPr="003438E6">
        <w:rPr>
          <w:rFonts w:asciiTheme="minorHAnsi" w:hAnsiTheme="minorHAnsi" w:cs="Arial"/>
          <w:bCs/>
          <w:snapToGrid w:val="0"/>
          <w:lang w:val="en-GB"/>
        </w:rPr>
        <w:t>should</w:t>
      </w:r>
      <w:r w:rsidR="008A1FB6" w:rsidRPr="003438E6">
        <w:rPr>
          <w:rFonts w:asciiTheme="minorHAnsi" w:hAnsiTheme="minorHAnsi" w:cs="Arial"/>
          <w:bCs/>
          <w:snapToGrid w:val="0"/>
          <w:lang w:val="en-GB"/>
        </w:rPr>
        <w:t xml:space="preserve"> </w:t>
      </w:r>
      <w:r w:rsidRPr="003438E6">
        <w:rPr>
          <w:rFonts w:asciiTheme="minorHAnsi" w:hAnsiTheme="minorHAnsi" w:cs="Arial"/>
          <w:bCs/>
          <w:snapToGrid w:val="0"/>
          <w:lang w:val="en-GB"/>
        </w:rPr>
        <w:t xml:space="preserve">not </w:t>
      </w:r>
      <w:r w:rsidR="008A1FB6" w:rsidRPr="003438E6">
        <w:rPr>
          <w:rFonts w:asciiTheme="minorHAnsi" w:hAnsiTheme="minorHAnsi" w:cs="Arial"/>
          <w:bCs/>
          <w:snapToGrid w:val="0"/>
          <w:lang w:val="en-GB"/>
        </w:rPr>
        <w:t>be treated as interchangeable on an individual patient basis with any other drugs</w:t>
      </w:r>
      <w:r w:rsidRPr="003438E6">
        <w:rPr>
          <w:rFonts w:asciiTheme="minorHAnsi" w:hAnsiTheme="minorHAnsi" w:cs="Arial"/>
          <w:bCs/>
          <w:snapToGrid w:val="0"/>
          <w:lang w:val="en-GB"/>
        </w:rPr>
        <w:t>.</w:t>
      </w:r>
    </w:p>
    <w:p w14:paraId="31D42854" w14:textId="179CC3FF" w:rsidR="008A1FB6" w:rsidRDefault="008A1FB6" w:rsidP="003438E6">
      <w:pPr>
        <w:widowControl w:val="0"/>
        <w:numPr>
          <w:ilvl w:val="1"/>
          <w:numId w:val="1"/>
        </w:numPr>
        <w:spacing w:after="120"/>
        <w:rPr>
          <w:rFonts w:asciiTheme="minorHAnsi" w:hAnsiTheme="minorHAnsi" w:cs="Arial"/>
          <w:bCs/>
          <w:i/>
          <w:snapToGrid w:val="0"/>
          <w:lang w:val="en-GB"/>
        </w:rPr>
      </w:pPr>
      <w:r w:rsidRPr="00525B39">
        <w:rPr>
          <w:rFonts w:asciiTheme="minorHAnsi" w:hAnsiTheme="minorHAnsi" w:cs="Arial"/>
          <w:bCs/>
          <w:snapToGrid w:val="0"/>
          <w:lang w:val="en-GB"/>
        </w:rPr>
        <w:t>The PBAC noted that this submission is</w:t>
      </w:r>
      <w:r w:rsidR="003438E6">
        <w:rPr>
          <w:rFonts w:asciiTheme="minorHAnsi" w:hAnsiTheme="minorHAnsi" w:cs="Arial"/>
          <w:bCs/>
          <w:snapToGrid w:val="0"/>
          <w:lang w:val="en-GB"/>
        </w:rPr>
        <w:t xml:space="preserve"> </w:t>
      </w:r>
      <w:r w:rsidRPr="00525B39">
        <w:rPr>
          <w:rFonts w:asciiTheme="minorHAnsi" w:hAnsiTheme="minorHAnsi" w:cs="Arial"/>
          <w:bCs/>
          <w:snapToGrid w:val="0"/>
          <w:lang w:val="en-GB"/>
        </w:rPr>
        <w:t>not eligible for an Independent Review</w:t>
      </w:r>
      <w:r w:rsidR="003438E6">
        <w:rPr>
          <w:rFonts w:asciiTheme="minorHAnsi" w:hAnsiTheme="minorHAnsi" w:cs="Arial"/>
          <w:bCs/>
          <w:snapToGrid w:val="0"/>
          <w:lang w:val="en-GB"/>
        </w:rPr>
        <w:t xml:space="preserve"> as it was recommended for listing.</w:t>
      </w:r>
    </w:p>
    <w:p w14:paraId="71C938FE" w14:textId="77777777" w:rsidR="008A1FB6" w:rsidRPr="00525B39" w:rsidRDefault="008A1FB6" w:rsidP="008A1FB6">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DD12889" w14:textId="02D5D364" w:rsidR="008A1FB6" w:rsidRPr="007B5A93" w:rsidRDefault="008A1FB6" w:rsidP="007B5A93">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6CA58484" w14:textId="77777777" w:rsidR="004D3CDA" w:rsidRPr="009F0FF1" w:rsidRDefault="004D3CDA" w:rsidP="004D3CDA">
      <w:pPr>
        <w:pStyle w:val="2-SectionHeading"/>
        <w:numPr>
          <w:ilvl w:val="0"/>
          <w:numId w:val="1"/>
        </w:numPr>
      </w:pPr>
      <w:r w:rsidRPr="009F0FF1">
        <w:t>Recommended listing</w:t>
      </w:r>
    </w:p>
    <w:bookmarkEnd w:id="36"/>
    <w:p w14:paraId="06BEDF5A" w14:textId="77777777" w:rsidR="007C2699" w:rsidRPr="004B3E66" w:rsidRDefault="007C2699" w:rsidP="007C2699">
      <w:pPr>
        <w:pStyle w:val="3-BodyText"/>
        <w:numPr>
          <w:ilvl w:val="1"/>
          <w:numId w:val="1"/>
        </w:numPr>
        <w:rPr>
          <w:rFonts w:cstheme="minorHAnsi"/>
        </w:rPr>
      </w:pPr>
      <w:r w:rsidRPr="009F0FF1">
        <w:rPr>
          <w:bCs/>
          <w:snapToGrid w:val="0"/>
        </w:rPr>
        <w:t>Add new</w:t>
      </w:r>
      <w:r>
        <w:rPr>
          <w:bCs/>
          <w:snapToGrid w:val="0"/>
        </w:rPr>
        <w:t xml:space="preserve"> medicinal product as follows</w:t>
      </w:r>
      <w:r>
        <w:rPr>
          <w:b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993"/>
        <w:gridCol w:w="992"/>
        <w:gridCol w:w="992"/>
        <w:gridCol w:w="709"/>
        <w:gridCol w:w="1417"/>
      </w:tblGrid>
      <w:tr w:rsidR="007C2699" w:rsidRPr="008A1FB6" w14:paraId="65523CEB" w14:textId="77777777" w:rsidTr="00C47D9E">
        <w:trPr>
          <w:cantSplit/>
          <w:trHeight w:val="471"/>
        </w:trPr>
        <w:tc>
          <w:tcPr>
            <w:tcW w:w="3964" w:type="dxa"/>
            <w:gridSpan w:val="2"/>
            <w:vAlign w:val="center"/>
          </w:tcPr>
          <w:p w14:paraId="638B3BCA" w14:textId="77777777" w:rsidR="007C2699" w:rsidRPr="006D2E3C" w:rsidRDefault="007C2699" w:rsidP="00C47D9E">
            <w:pPr>
              <w:keepNext/>
              <w:ind w:left="-57"/>
              <w:rPr>
                <w:rFonts w:ascii="Arial Narrow" w:hAnsi="Arial Narrow" w:cs="Arial"/>
                <w:b/>
                <w:bCs/>
                <w:sz w:val="18"/>
                <w:szCs w:val="18"/>
              </w:rPr>
            </w:pPr>
            <w:r w:rsidRPr="006D2E3C">
              <w:rPr>
                <w:rFonts w:ascii="Arial Narrow" w:hAnsi="Arial Narrow" w:cs="Arial"/>
                <w:b/>
                <w:bCs/>
                <w:sz w:val="18"/>
                <w:szCs w:val="18"/>
              </w:rPr>
              <w:t>MEDICINAL PRODUCT</w:t>
            </w:r>
          </w:p>
          <w:p w14:paraId="6F8198C6" w14:textId="77777777" w:rsidR="007C2699" w:rsidRPr="006D2E3C" w:rsidRDefault="007C2699" w:rsidP="00C47D9E">
            <w:pPr>
              <w:keepNext/>
              <w:ind w:left="-57"/>
              <w:rPr>
                <w:rFonts w:ascii="Arial Narrow" w:hAnsi="Arial Narrow" w:cs="Arial"/>
                <w:b/>
                <w:sz w:val="18"/>
                <w:szCs w:val="18"/>
              </w:rPr>
            </w:pPr>
            <w:r w:rsidRPr="006D2E3C">
              <w:rPr>
                <w:rFonts w:ascii="Arial Narrow" w:hAnsi="Arial Narrow" w:cs="Arial"/>
                <w:b/>
                <w:bCs/>
                <w:sz w:val="18"/>
                <w:szCs w:val="18"/>
              </w:rPr>
              <w:t>medicinal product pack</w:t>
            </w:r>
          </w:p>
        </w:tc>
        <w:tc>
          <w:tcPr>
            <w:tcW w:w="993" w:type="dxa"/>
            <w:vAlign w:val="center"/>
          </w:tcPr>
          <w:p w14:paraId="59CEE421" w14:textId="77777777" w:rsidR="007C2699" w:rsidRPr="006D2E3C" w:rsidRDefault="007C2699" w:rsidP="00C47D9E">
            <w:pPr>
              <w:keepNext/>
              <w:ind w:left="-108"/>
              <w:jc w:val="center"/>
              <w:rPr>
                <w:rFonts w:ascii="Arial Narrow" w:hAnsi="Arial Narrow" w:cs="Arial"/>
                <w:b/>
                <w:sz w:val="18"/>
                <w:szCs w:val="18"/>
              </w:rPr>
            </w:pPr>
            <w:r w:rsidRPr="006D2E3C">
              <w:rPr>
                <w:rFonts w:ascii="Arial Narrow" w:hAnsi="Arial Narrow" w:cs="Arial"/>
                <w:b/>
                <w:sz w:val="18"/>
                <w:szCs w:val="18"/>
              </w:rPr>
              <w:t>PBS item code</w:t>
            </w:r>
          </w:p>
        </w:tc>
        <w:tc>
          <w:tcPr>
            <w:tcW w:w="992" w:type="dxa"/>
            <w:vAlign w:val="center"/>
          </w:tcPr>
          <w:p w14:paraId="7112BE18" w14:textId="77777777" w:rsidR="007C2699" w:rsidRPr="006D2E3C" w:rsidRDefault="007C2699" w:rsidP="00C47D9E">
            <w:pPr>
              <w:keepNext/>
              <w:ind w:left="-108"/>
              <w:jc w:val="center"/>
              <w:rPr>
                <w:rFonts w:ascii="Arial Narrow" w:hAnsi="Arial Narrow" w:cs="Arial"/>
                <w:b/>
                <w:sz w:val="18"/>
                <w:szCs w:val="18"/>
              </w:rPr>
            </w:pPr>
            <w:r w:rsidRPr="006D2E3C">
              <w:rPr>
                <w:rFonts w:ascii="Arial Narrow" w:hAnsi="Arial Narrow" w:cs="Arial"/>
                <w:b/>
                <w:sz w:val="18"/>
                <w:szCs w:val="18"/>
              </w:rPr>
              <w:t>Max. qty packs</w:t>
            </w:r>
          </w:p>
        </w:tc>
        <w:tc>
          <w:tcPr>
            <w:tcW w:w="992" w:type="dxa"/>
            <w:vAlign w:val="center"/>
          </w:tcPr>
          <w:p w14:paraId="7713A570" w14:textId="77777777" w:rsidR="007C2699" w:rsidRPr="006D2E3C" w:rsidRDefault="007C2699" w:rsidP="00C47D9E">
            <w:pPr>
              <w:keepNext/>
              <w:ind w:left="-108"/>
              <w:jc w:val="center"/>
              <w:rPr>
                <w:rFonts w:ascii="Arial Narrow" w:hAnsi="Arial Narrow" w:cs="Arial"/>
                <w:b/>
                <w:sz w:val="18"/>
                <w:szCs w:val="18"/>
              </w:rPr>
            </w:pPr>
            <w:r w:rsidRPr="006D2E3C">
              <w:rPr>
                <w:rFonts w:ascii="Arial Narrow" w:hAnsi="Arial Narrow" w:cs="Arial"/>
                <w:b/>
                <w:sz w:val="18"/>
                <w:szCs w:val="18"/>
              </w:rPr>
              <w:t>Max. qty units</w:t>
            </w:r>
          </w:p>
        </w:tc>
        <w:tc>
          <w:tcPr>
            <w:tcW w:w="709" w:type="dxa"/>
            <w:vAlign w:val="center"/>
          </w:tcPr>
          <w:p w14:paraId="47BEAA4E" w14:textId="77777777" w:rsidR="007C2699" w:rsidRPr="006D2E3C" w:rsidRDefault="007C2699" w:rsidP="00C47D9E">
            <w:pPr>
              <w:keepNext/>
              <w:ind w:left="-108"/>
              <w:jc w:val="center"/>
              <w:rPr>
                <w:rFonts w:ascii="Arial Narrow" w:hAnsi="Arial Narrow" w:cs="Arial"/>
                <w:b/>
                <w:sz w:val="18"/>
                <w:szCs w:val="18"/>
              </w:rPr>
            </w:pPr>
            <w:proofErr w:type="gramStart"/>
            <w:r w:rsidRPr="006D2E3C">
              <w:rPr>
                <w:rFonts w:ascii="Arial Narrow" w:hAnsi="Arial Narrow" w:cs="Arial"/>
                <w:b/>
                <w:sz w:val="18"/>
                <w:szCs w:val="18"/>
              </w:rPr>
              <w:t>№.of</w:t>
            </w:r>
            <w:proofErr w:type="gramEnd"/>
          </w:p>
          <w:p w14:paraId="78984C79" w14:textId="77777777" w:rsidR="007C2699" w:rsidRPr="006D2E3C" w:rsidRDefault="007C2699" w:rsidP="00C47D9E">
            <w:pPr>
              <w:keepNext/>
              <w:ind w:left="-108"/>
              <w:jc w:val="center"/>
              <w:rPr>
                <w:rFonts w:ascii="Arial Narrow" w:hAnsi="Arial Narrow" w:cs="Arial"/>
                <w:b/>
                <w:sz w:val="18"/>
                <w:szCs w:val="18"/>
              </w:rPr>
            </w:pPr>
            <w:proofErr w:type="spellStart"/>
            <w:r w:rsidRPr="006D2E3C">
              <w:rPr>
                <w:rFonts w:ascii="Arial Narrow" w:hAnsi="Arial Narrow" w:cs="Arial"/>
                <w:b/>
                <w:sz w:val="18"/>
                <w:szCs w:val="18"/>
              </w:rPr>
              <w:t>Rpts</w:t>
            </w:r>
            <w:proofErr w:type="spellEnd"/>
          </w:p>
        </w:tc>
        <w:tc>
          <w:tcPr>
            <w:tcW w:w="1417" w:type="dxa"/>
            <w:vAlign w:val="center"/>
          </w:tcPr>
          <w:p w14:paraId="05BAAB82" w14:textId="77777777" w:rsidR="007C2699" w:rsidRPr="006D2E3C" w:rsidRDefault="007C2699" w:rsidP="00C47D9E">
            <w:pPr>
              <w:keepNext/>
              <w:jc w:val="center"/>
              <w:rPr>
                <w:rFonts w:ascii="Arial Narrow" w:hAnsi="Arial Narrow" w:cs="Arial"/>
                <w:b/>
                <w:sz w:val="18"/>
                <w:szCs w:val="18"/>
                <w:lang w:val="fr-FR"/>
              </w:rPr>
            </w:pPr>
            <w:r w:rsidRPr="006D2E3C">
              <w:rPr>
                <w:rFonts w:ascii="Arial Narrow" w:hAnsi="Arial Narrow" w:cs="Arial"/>
                <w:b/>
                <w:sz w:val="18"/>
                <w:szCs w:val="18"/>
              </w:rPr>
              <w:t>Available brands</w:t>
            </w:r>
          </w:p>
        </w:tc>
      </w:tr>
      <w:tr w:rsidR="007C2699" w:rsidRPr="008A1FB6" w14:paraId="2680CBB2" w14:textId="77777777" w:rsidTr="00C47D9E">
        <w:trPr>
          <w:cantSplit/>
          <w:trHeight w:val="224"/>
        </w:trPr>
        <w:tc>
          <w:tcPr>
            <w:tcW w:w="9067" w:type="dxa"/>
            <w:gridSpan w:val="7"/>
          </w:tcPr>
          <w:p w14:paraId="1EF7E109" w14:textId="77777777" w:rsidR="007C2699" w:rsidRPr="006D2E3C" w:rsidRDefault="007C2699" w:rsidP="00C47D9E">
            <w:pPr>
              <w:keepNext/>
              <w:ind w:left="-57"/>
              <w:rPr>
                <w:rFonts w:ascii="Arial Narrow" w:hAnsi="Arial Narrow" w:cs="Arial"/>
                <w:sz w:val="18"/>
                <w:szCs w:val="18"/>
              </w:rPr>
            </w:pPr>
            <w:r w:rsidRPr="006D2E3C">
              <w:rPr>
                <w:rFonts w:ascii="Arial Narrow" w:hAnsi="Arial Narrow" w:cs="Arial"/>
                <w:sz w:val="18"/>
                <w:szCs w:val="18"/>
              </w:rPr>
              <w:t>SOMAPACITIN</w:t>
            </w:r>
          </w:p>
        </w:tc>
      </w:tr>
      <w:tr w:rsidR="007C2699" w:rsidRPr="008A1FB6" w14:paraId="56DA3B13" w14:textId="77777777" w:rsidTr="00C47D9E">
        <w:trPr>
          <w:cantSplit/>
          <w:trHeight w:val="273"/>
        </w:trPr>
        <w:tc>
          <w:tcPr>
            <w:tcW w:w="3964" w:type="dxa"/>
            <w:gridSpan w:val="2"/>
            <w:vAlign w:val="center"/>
          </w:tcPr>
          <w:p w14:paraId="361332B2" w14:textId="77777777" w:rsidR="007C2699" w:rsidRPr="006D2E3C" w:rsidRDefault="007C2699" w:rsidP="00C47D9E">
            <w:pPr>
              <w:keepNext/>
              <w:ind w:left="-57"/>
              <w:rPr>
                <w:rFonts w:ascii="Arial Narrow" w:hAnsi="Arial Narrow" w:cs="Arial"/>
                <w:sz w:val="18"/>
                <w:szCs w:val="18"/>
              </w:rPr>
            </w:pPr>
            <w:proofErr w:type="spellStart"/>
            <w:r w:rsidRPr="006D2E3C">
              <w:rPr>
                <w:rFonts w:ascii="Arial Narrow" w:hAnsi="Arial Narrow" w:cs="Arial"/>
                <w:sz w:val="18"/>
                <w:szCs w:val="18"/>
              </w:rPr>
              <w:t>somapacitan</w:t>
            </w:r>
            <w:proofErr w:type="spellEnd"/>
            <w:r w:rsidRPr="006D2E3C">
              <w:rPr>
                <w:rFonts w:ascii="Arial Narrow" w:hAnsi="Arial Narrow" w:cs="Arial"/>
                <w:sz w:val="18"/>
                <w:szCs w:val="18"/>
              </w:rPr>
              <w:t xml:space="preserve"> 10 mg/1.5 mL injection, 1.5 mL pen device</w:t>
            </w:r>
          </w:p>
        </w:tc>
        <w:tc>
          <w:tcPr>
            <w:tcW w:w="993" w:type="dxa"/>
            <w:vAlign w:val="center"/>
          </w:tcPr>
          <w:p w14:paraId="198CB800" w14:textId="77777777" w:rsidR="007C2699" w:rsidRPr="006D2E3C" w:rsidRDefault="007C2699" w:rsidP="00C47D9E">
            <w:pPr>
              <w:keepNext/>
              <w:jc w:val="center"/>
              <w:rPr>
                <w:rFonts w:ascii="Arial Narrow" w:hAnsi="Arial Narrow" w:cs="Arial"/>
                <w:sz w:val="18"/>
                <w:szCs w:val="18"/>
              </w:rPr>
            </w:pPr>
            <w:r w:rsidRPr="006D2E3C">
              <w:rPr>
                <w:rFonts w:ascii="Arial Narrow" w:hAnsi="Arial Narrow" w:cs="Arial"/>
                <w:sz w:val="18"/>
                <w:szCs w:val="18"/>
              </w:rPr>
              <w:t>NEW</w:t>
            </w:r>
          </w:p>
        </w:tc>
        <w:tc>
          <w:tcPr>
            <w:tcW w:w="992" w:type="dxa"/>
            <w:vAlign w:val="center"/>
          </w:tcPr>
          <w:p w14:paraId="467B899A" w14:textId="77777777" w:rsidR="007C2699" w:rsidRPr="006D2E3C" w:rsidRDefault="007C2699" w:rsidP="00C47D9E">
            <w:pPr>
              <w:keepNext/>
              <w:jc w:val="center"/>
              <w:rPr>
                <w:rFonts w:ascii="Arial Narrow" w:hAnsi="Arial Narrow" w:cs="Arial"/>
                <w:sz w:val="18"/>
                <w:szCs w:val="18"/>
              </w:rPr>
            </w:pPr>
            <w:r w:rsidRPr="006D2E3C">
              <w:rPr>
                <w:rFonts w:ascii="Arial Narrow" w:hAnsi="Arial Narrow" w:cs="Arial"/>
                <w:sz w:val="18"/>
                <w:szCs w:val="18"/>
              </w:rPr>
              <w:t>1</w:t>
            </w:r>
          </w:p>
        </w:tc>
        <w:tc>
          <w:tcPr>
            <w:tcW w:w="992" w:type="dxa"/>
            <w:vAlign w:val="center"/>
          </w:tcPr>
          <w:p w14:paraId="0C5ABC3B" w14:textId="77777777" w:rsidR="007C2699" w:rsidRPr="006D2E3C" w:rsidRDefault="007C2699" w:rsidP="00C47D9E">
            <w:pPr>
              <w:keepNext/>
              <w:jc w:val="center"/>
              <w:rPr>
                <w:rFonts w:ascii="Arial Narrow" w:hAnsi="Arial Narrow" w:cs="Arial"/>
                <w:sz w:val="18"/>
                <w:szCs w:val="18"/>
              </w:rPr>
            </w:pPr>
            <w:r w:rsidRPr="006D2E3C">
              <w:rPr>
                <w:rFonts w:ascii="Arial Narrow" w:hAnsi="Arial Narrow" w:cs="Arial"/>
                <w:sz w:val="18"/>
                <w:szCs w:val="18"/>
              </w:rPr>
              <w:t>1</w:t>
            </w:r>
          </w:p>
        </w:tc>
        <w:tc>
          <w:tcPr>
            <w:tcW w:w="709" w:type="dxa"/>
            <w:vAlign w:val="center"/>
          </w:tcPr>
          <w:p w14:paraId="0FF3CA66" w14:textId="77777777" w:rsidR="007C2699" w:rsidRPr="006D2E3C" w:rsidRDefault="007C2699" w:rsidP="00C47D9E">
            <w:pPr>
              <w:keepNext/>
              <w:jc w:val="center"/>
              <w:rPr>
                <w:rFonts w:ascii="Arial Narrow" w:hAnsi="Arial Narrow" w:cs="Arial"/>
                <w:sz w:val="18"/>
                <w:szCs w:val="18"/>
              </w:rPr>
            </w:pPr>
            <w:r w:rsidRPr="006D2E3C">
              <w:rPr>
                <w:rFonts w:ascii="Arial Narrow" w:hAnsi="Arial Narrow" w:cs="Arial"/>
                <w:sz w:val="18"/>
                <w:szCs w:val="18"/>
              </w:rPr>
              <w:t>5</w:t>
            </w:r>
          </w:p>
        </w:tc>
        <w:tc>
          <w:tcPr>
            <w:tcW w:w="1417" w:type="dxa"/>
            <w:vAlign w:val="center"/>
          </w:tcPr>
          <w:p w14:paraId="16A86FEB" w14:textId="77777777" w:rsidR="007C2699" w:rsidRPr="006D2E3C" w:rsidRDefault="007C2699" w:rsidP="00C47D9E">
            <w:pPr>
              <w:keepNext/>
              <w:jc w:val="center"/>
              <w:rPr>
                <w:rFonts w:ascii="Arial Narrow" w:hAnsi="Arial Narrow" w:cs="Arial"/>
                <w:sz w:val="18"/>
                <w:szCs w:val="18"/>
              </w:rPr>
            </w:pPr>
            <w:proofErr w:type="spellStart"/>
            <w:r w:rsidRPr="006D2E3C">
              <w:rPr>
                <w:rFonts w:ascii="Arial Narrow" w:hAnsi="Arial Narrow" w:cs="Arial"/>
                <w:sz w:val="18"/>
                <w:szCs w:val="18"/>
              </w:rPr>
              <w:t>Sogroya</w:t>
            </w:r>
            <w:proofErr w:type="spellEnd"/>
          </w:p>
        </w:tc>
      </w:tr>
      <w:tr w:rsidR="007C2699" w:rsidRPr="008A1FB6" w14:paraId="1892034D"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D19244B" w14:textId="77777777" w:rsidR="007C2699" w:rsidRPr="006D2E3C" w:rsidRDefault="007C2699" w:rsidP="00C47D9E">
            <w:pPr>
              <w:rPr>
                <w:rFonts w:ascii="Arial Narrow" w:hAnsi="Arial Narrow" w:cs="Arial"/>
                <w:sz w:val="18"/>
                <w:szCs w:val="18"/>
              </w:rPr>
            </w:pPr>
          </w:p>
        </w:tc>
      </w:tr>
      <w:tr w:rsidR="007C2699" w:rsidRPr="008A1FB6" w14:paraId="61C3FB34"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4956156" w14:textId="77777777" w:rsidR="007C2699" w:rsidRPr="006D2E3C" w:rsidRDefault="007C2699" w:rsidP="00C47D9E">
            <w:pPr>
              <w:rPr>
                <w:rFonts w:ascii="Arial Narrow" w:hAnsi="Arial Narrow" w:cs="Arial"/>
                <w:b/>
                <w:sz w:val="18"/>
                <w:szCs w:val="18"/>
              </w:rPr>
            </w:pPr>
            <w:r w:rsidRPr="006D2E3C">
              <w:rPr>
                <w:rFonts w:ascii="Arial Narrow" w:hAnsi="Arial Narrow"/>
                <w:b/>
                <w:sz w:val="18"/>
                <w:szCs w:val="18"/>
              </w:rPr>
              <w:t>Restriction Summary [new</w:t>
            </w:r>
            <w:r>
              <w:rPr>
                <w:rFonts w:ascii="Arial Narrow" w:hAnsi="Arial Narrow"/>
                <w:b/>
                <w:sz w:val="18"/>
                <w:szCs w:val="18"/>
              </w:rPr>
              <w:t xml:space="preserve"> 1</w:t>
            </w:r>
            <w:r w:rsidRPr="006D2E3C">
              <w:rPr>
                <w:rFonts w:ascii="Arial Narrow" w:hAnsi="Arial Narrow"/>
                <w:b/>
                <w:sz w:val="18"/>
                <w:szCs w:val="18"/>
              </w:rPr>
              <w:t>] / Treatment of Concept: [new</w:t>
            </w:r>
            <w:r>
              <w:rPr>
                <w:rFonts w:ascii="Arial Narrow" w:hAnsi="Arial Narrow"/>
                <w:b/>
                <w:sz w:val="18"/>
                <w:szCs w:val="18"/>
              </w:rPr>
              <w:t xml:space="preserve"> 2</w:t>
            </w:r>
            <w:r w:rsidRPr="006D2E3C">
              <w:rPr>
                <w:rFonts w:ascii="Arial Narrow" w:hAnsi="Arial Narrow"/>
                <w:b/>
                <w:sz w:val="18"/>
                <w:szCs w:val="18"/>
              </w:rPr>
              <w:t>]</w:t>
            </w:r>
          </w:p>
        </w:tc>
      </w:tr>
      <w:tr w:rsidR="007C2699" w:rsidRPr="008A1FB6" w14:paraId="737E8B60" w14:textId="77777777" w:rsidTr="00C47D9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3D209CB9" w14:textId="3FC717BB" w:rsidR="007C2699" w:rsidRPr="006D2E3C" w:rsidRDefault="007C2699" w:rsidP="00C47D9E">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729390E" w14:textId="77777777" w:rsidR="007C2699" w:rsidRPr="006D2E3C" w:rsidRDefault="007C2699" w:rsidP="00C47D9E">
            <w:pPr>
              <w:rPr>
                <w:rFonts w:ascii="Arial Narrow" w:hAnsi="Arial Narrow" w:cs="Arial"/>
                <w:sz w:val="18"/>
                <w:szCs w:val="18"/>
              </w:rPr>
            </w:pPr>
            <w:r w:rsidRPr="006D2E3C">
              <w:rPr>
                <w:rFonts w:ascii="Arial Narrow" w:hAnsi="Arial Narrow" w:cs="Arial"/>
                <w:b/>
                <w:sz w:val="18"/>
                <w:szCs w:val="18"/>
              </w:rPr>
              <w:t xml:space="preserve">Category / Program: </w:t>
            </w:r>
            <w:r w:rsidRPr="006D2E3C">
              <w:rPr>
                <w:rFonts w:ascii="Arial Narrow" w:hAnsi="Arial Narrow" w:cs="Arial"/>
                <w:sz w:val="18"/>
                <w:szCs w:val="18"/>
              </w:rPr>
              <w:t>Section 100 – Growth Hormone Program</w:t>
            </w:r>
          </w:p>
        </w:tc>
      </w:tr>
      <w:tr w:rsidR="007C2699" w:rsidRPr="008A1FB6" w14:paraId="269E2DD9" w14:textId="77777777" w:rsidTr="00C47D9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8B5D20B"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247C6B0" w14:textId="77777777" w:rsidR="007C2699" w:rsidRPr="006D2E3C" w:rsidRDefault="007C2699" w:rsidP="00C47D9E">
            <w:pPr>
              <w:rPr>
                <w:rFonts w:ascii="Arial Narrow" w:hAnsi="Arial Narrow" w:cs="Arial"/>
                <w:b/>
                <w:sz w:val="18"/>
                <w:szCs w:val="18"/>
              </w:rPr>
            </w:pPr>
            <w:r w:rsidRPr="006D2E3C">
              <w:rPr>
                <w:rFonts w:ascii="Arial Narrow" w:hAnsi="Arial Narrow" w:cs="Arial"/>
                <w:b/>
                <w:sz w:val="18"/>
                <w:szCs w:val="18"/>
              </w:rPr>
              <w:t xml:space="preserve">Prescriber type: </w:t>
            </w:r>
            <w:r w:rsidRPr="006D2E3C">
              <w:rPr>
                <w:rFonts w:ascii="Arial Narrow" w:hAnsi="Arial Narrow" w:cs="Arial"/>
                <w:sz w:val="18"/>
                <w:szCs w:val="18"/>
              </w:rPr>
              <w:fldChar w:fldCharType="begin">
                <w:ffData>
                  <w:name w:val=""/>
                  <w:enabled/>
                  <w:calcOnExit w:val="0"/>
                  <w:checkBox>
                    <w:sizeAuto/>
                    <w:default w:val="1"/>
                  </w:checkBox>
                </w:ffData>
              </w:fldChar>
            </w:r>
            <w:r w:rsidRPr="006D2E3C">
              <w:rPr>
                <w:rFonts w:ascii="Arial Narrow" w:hAnsi="Arial Narrow" w:cs="Arial"/>
                <w:sz w:val="18"/>
                <w:szCs w:val="18"/>
              </w:rPr>
              <w:instrText xml:space="preserve"> FORMCHECKBOX </w:instrText>
            </w:r>
            <w:r w:rsidR="00AB6385">
              <w:rPr>
                <w:rFonts w:ascii="Arial Narrow" w:hAnsi="Arial Narrow" w:cs="Arial"/>
                <w:sz w:val="18"/>
                <w:szCs w:val="18"/>
              </w:rPr>
            </w:r>
            <w:r w:rsidR="00AB6385">
              <w:rPr>
                <w:rFonts w:ascii="Arial Narrow" w:hAnsi="Arial Narrow" w:cs="Arial"/>
                <w:sz w:val="18"/>
                <w:szCs w:val="18"/>
              </w:rPr>
              <w:fldChar w:fldCharType="separate"/>
            </w:r>
            <w:r w:rsidRPr="006D2E3C">
              <w:rPr>
                <w:rFonts w:ascii="Arial Narrow" w:hAnsi="Arial Narrow" w:cs="Arial"/>
                <w:sz w:val="18"/>
                <w:szCs w:val="18"/>
              </w:rPr>
              <w:fldChar w:fldCharType="end"/>
            </w:r>
            <w:r w:rsidRPr="006D2E3C">
              <w:rPr>
                <w:rFonts w:ascii="Arial Narrow" w:hAnsi="Arial Narrow" w:cs="Arial"/>
                <w:sz w:val="18"/>
                <w:szCs w:val="18"/>
              </w:rPr>
              <w:t xml:space="preserve"> Medical Practitioners</w:t>
            </w:r>
          </w:p>
        </w:tc>
      </w:tr>
      <w:tr w:rsidR="007C2699" w:rsidRPr="008A1FB6" w14:paraId="4E81DAE9" w14:textId="77777777" w:rsidTr="00C47D9E">
        <w:tblPrEx>
          <w:tblCellMar>
            <w:top w:w="15" w:type="dxa"/>
            <w:left w:w="15" w:type="dxa"/>
            <w:bottom w:w="15" w:type="dxa"/>
            <w:right w:w="15" w:type="dxa"/>
          </w:tblCellMar>
          <w:tblLook w:val="04A0" w:firstRow="1" w:lastRow="0" w:firstColumn="1" w:lastColumn="0" w:noHBand="0" w:noVBand="1"/>
        </w:tblPrEx>
        <w:trPr>
          <w:trHeight w:val="233"/>
        </w:trPr>
        <w:tc>
          <w:tcPr>
            <w:tcW w:w="981" w:type="dxa"/>
            <w:vMerge/>
            <w:tcBorders>
              <w:left w:val="single" w:sz="4" w:space="0" w:color="auto"/>
              <w:right w:val="single" w:sz="4" w:space="0" w:color="auto"/>
            </w:tcBorders>
          </w:tcPr>
          <w:p w14:paraId="1D51A47E"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0203443" w14:textId="77777777" w:rsidR="007C2699" w:rsidRPr="006D2E3C" w:rsidRDefault="007C2699" w:rsidP="00C47D9E">
            <w:pPr>
              <w:rPr>
                <w:rFonts w:ascii="Arial Narrow" w:eastAsia="Calibri" w:hAnsi="Arial Narrow" w:cs="Arial"/>
                <w:color w:val="FF00FF"/>
                <w:sz w:val="18"/>
                <w:szCs w:val="18"/>
              </w:rPr>
            </w:pPr>
            <w:r w:rsidRPr="006D2E3C">
              <w:rPr>
                <w:rFonts w:ascii="Arial Narrow" w:hAnsi="Arial Narrow" w:cs="Arial"/>
                <w:b/>
                <w:sz w:val="18"/>
                <w:szCs w:val="18"/>
              </w:rPr>
              <w:t>Restriction type:</w:t>
            </w:r>
            <w:r>
              <w:rPr>
                <w:rFonts w:ascii="Arial Narrow" w:hAnsi="Arial Narrow" w:cs="Arial"/>
                <w:b/>
                <w:sz w:val="18"/>
                <w:szCs w:val="18"/>
              </w:rPr>
              <w:t xml:space="preserve"> </w:t>
            </w:r>
            <w:r w:rsidRPr="006D2E3C">
              <w:rPr>
                <w:rFonts w:ascii="Arial Narrow" w:eastAsia="Calibri" w:hAnsi="Arial Narrow" w:cs="Arial"/>
                <w:sz w:val="18"/>
                <w:szCs w:val="18"/>
              </w:rPr>
              <w:fldChar w:fldCharType="begin">
                <w:ffData>
                  <w:name w:val=""/>
                  <w:enabled/>
                  <w:calcOnExit w:val="0"/>
                  <w:checkBox>
                    <w:sizeAuto/>
                    <w:default w:val="1"/>
                  </w:checkBox>
                </w:ffData>
              </w:fldChar>
            </w:r>
            <w:r w:rsidRPr="006D2E3C">
              <w:rPr>
                <w:rFonts w:ascii="Arial Narrow" w:eastAsia="Calibri" w:hAnsi="Arial Narrow" w:cs="Arial"/>
                <w:sz w:val="18"/>
                <w:szCs w:val="18"/>
              </w:rPr>
              <w:instrText xml:space="preserve"> FORMCHECKBOX </w:instrText>
            </w:r>
            <w:r w:rsidR="00AB6385">
              <w:rPr>
                <w:rFonts w:ascii="Arial Narrow" w:eastAsia="Calibri" w:hAnsi="Arial Narrow" w:cs="Arial"/>
                <w:sz w:val="18"/>
                <w:szCs w:val="18"/>
              </w:rPr>
            </w:r>
            <w:r w:rsidR="00AB6385">
              <w:rPr>
                <w:rFonts w:ascii="Arial Narrow" w:eastAsia="Calibri" w:hAnsi="Arial Narrow" w:cs="Arial"/>
                <w:sz w:val="18"/>
                <w:szCs w:val="18"/>
              </w:rPr>
              <w:fldChar w:fldCharType="separate"/>
            </w:r>
            <w:r w:rsidRPr="006D2E3C">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6D2E3C">
              <w:rPr>
                <w:rFonts w:ascii="Arial Narrow" w:eastAsia="Calibri" w:hAnsi="Arial Narrow" w:cs="Arial"/>
                <w:sz w:val="18"/>
                <w:szCs w:val="18"/>
              </w:rPr>
              <w:t xml:space="preserve">Authority Required (in writing only via post/HPOS upload) </w:t>
            </w:r>
            <w:r w:rsidRPr="006D2E3C">
              <w:rPr>
                <w:rFonts w:ascii="Arial Narrow" w:hAnsi="Arial Narrow"/>
                <w:b/>
                <w:color w:val="FF0000"/>
                <w:sz w:val="18"/>
                <w:szCs w:val="18"/>
              </w:rPr>
              <w:t>CAR FULL</w:t>
            </w:r>
          </w:p>
        </w:tc>
      </w:tr>
      <w:tr w:rsidR="007C2699" w:rsidRPr="008A1FB6" w14:paraId="218A6731" w14:textId="77777777" w:rsidTr="00C47D9E">
        <w:tblPrEx>
          <w:tblCellMar>
            <w:top w:w="15" w:type="dxa"/>
            <w:left w:w="15" w:type="dxa"/>
            <w:bottom w:w="15" w:type="dxa"/>
            <w:right w:w="15" w:type="dxa"/>
          </w:tblCellMar>
          <w:tblLook w:val="04A0" w:firstRow="1" w:lastRow="0" w:firstColumn="1" w:lastColumn="0" w:noHBand="0" w:noVBand="1"/>
        </w:tblPrEx>
        <w:trPr>
          <w:trHeight w:val="233"/>
        </w:trPr>
        <w:tc>
          <w:tcPr>
            <w:tcW w:w="981" w:type="dxa"/>
            <w:tcBorders>
              <w:left w:val="single" w:sz="4" w:space="0" w:color="auto"/>
              <w:right w:val="single" w:sz="4" w:space="0" w:color="auto"/>
            </w:tcBorders>
          </w:tcPr>
          <w:p w14:paraId="66B7FE0D"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B9A17A8" w14:textId="77777777" w:rsidR="007C2699" w:rsidRPr="006D2E3C" w:rsidRDefault="007C2699" w:rsidP="00C47D9E">
            <w:pPr>
              <w:rPr>
                <w:rFonts w:ascii="Arial Narrow" w:hAnsi="Arial Narrow" w:cs="Arial"/>
                <w:b/>
                <w:sz w:val="18"/>
                <w:szCs w:val="18"/>
              </w:rPr>
            </w:pPr>
          </w:p>
        </w:tc>
      </w:tr>
      <w:tr w:rsidR="007C2699" w:rsidRPr="008A1FB6" w14:paraId="234E9B5B" w14:textId="77777777" w:rsidTr="00C47D9E">
        <w:tblPrEx>
          <w:tblCellMar>
            <w:top w:w="15" w:type="dxa"/>
            <w:left w:w="15" w:type="dxa"/>
            <w:bottom w:w="15" w:type="dxa"/>
            <w:right w:w="15" w:type="dxa"/>
          </w:tblCellMar>
        </w:tblPrEx>
        <w:trPr>
          <w:trHeight w:val="233"/>
        </w:trPr>
        <w:tc>
          <w:tcPr>
            <w:tcW w:w="981" w:type="dxa"/>
            <w:vAlign w:val="center"/>
          </w:tcPr>
          <w:p w14:paraId="55A59080" w14:textId="53E646FC" w:rsidR="007C2699" w:rsidRPr="006D2E3C" w:rsidRDefault="007C2699" w:rsidP="00C47D9E">
            <w:pPr>
              <w:jc w:val="center"/>
              <w:rPr>
                <w:rFonts w:ascii="Arial Narrow" w:hAnsi="Arial Narrow" w:cs="Arial"/>
                <w:sz w:val="18"/>
                <w:szCs w:val="18"/>
              </w:rPr>
            </w:pPr>
          </w:p>
        </w:tc>
        <w:tc>
          <w:tcPr>
            <w:tcW w:w="8086" w:type="dxa"/>
            <w:gridSpan w:val="6"/>
            <w:vAlign w:val="center"/>
          </w:tcPr>
          <w:p w14:paraId="4BA56633" w14:textId="77777777" w:rsidR="007C2699" w:rsidRPr="006D2E3C" w:rsidRDefault="007C2699" w:rsidP="00C47D9E">
            <w:pPr>
              <w:rPr>
                <w:rFonts w:ascii="Arial Narrow" w:hAnsi="Arial Narrow" w:cs="Arial"/>
                <w:b/>
                <w:sz w:val="18"/>
                <w:szCs w:val="18"/>
              </w:rPr>
            </w:pPr>
            <w:r w:rsidRPr="006D2E3C">
              <w:rPr>
                <w:rFonts w:ascii="Arial Narrow" w:hAnsi="Arial Narrow"/>
                <w:b/>
                <w:bCs/>
                <w:sz w:val="18"/>
                <w:szCs w:val="18"/>
              </w:rPr>
              <w:t xml:space="preserve">Administrative advice: </w:t>
            </w:r>
            <w:r w:rsidRPr="006D2E3C">
              <w:rPr>
                <w:rFonts w:ascii="Arial Narrow" w:hAnsi="Arial Narrow"/>
                <w:bCs/>
                <w:sz w:val="18"/>
                <w:szCs w:val="18"/>
              </w:rPr>
              <w:t>Special Pricing Arrangements apply</w:t>
            </w:r>
          </w:p>
        </w:tc>
      </w:tr>
      <w:tr w:rsidR="007C2699" w:rsidRPr="008A1FB6" w14:paraId="117811FE" w14:textId="77777777" w:rsidTr="00C47D9E">
        <w:tblPrEx>
          <w:tblCellMar>
            <w:top w:w="15" w:type="dxa"/>
            <w:left w:w="15" w:type="dxa"/>
            <w:bottom w:w="15" w:type="dxa"/>
            <w:right w:w="15" w:type="dxa"/>
          </w:tblCellMar>
        </w:tblPrEx>
        <w:trPr>
          <w:trHeight w:val="233"/>
        </w:trPr>
        <w:tc>
          <w:tcPr>
            <w:tcW w:w="981" w:type="dxa"/>
            <w:vAlign w:val="center"/>
          </w:tcPr>
          <w:p w14:paraId="19AAA9F5" w14:textId="443E1A85" w:rsidR="007C2699" w:rsidRPr="006D2E3C" w:rsidRDefault="007C2699" w:rsidP="00C47D9E">
            <w:pPr>
              <w:jc w:val="center"/>
              <w:rPr>
                <w:rFonts w:ascii="Arial Narrow" w:hAnsi="Arial Narrow" w:cs="Arial"/>
                <w:sz w:val="18"/>
                <w:szCs w:val="18"/>
              </w:rPr>
            </w:pPr>
          </w:p>
        </w:tc>
        <w:tc>
          <w:tcPr>
            <w:tcW w:w="8086" w:type="dxa"/>
            <w:gridSpan w:val="6"/>
            <w:vAlign w:val="center"/>
          </w:tcPr>
          <w:p w14:paraId="4346E2D0" w14:textId="77777777" w:rsidR="007C2699" w:rsidRPr="006D2E3C" w:rsidRDefault="007C2699" w:rsidP="00C47D9E">
            <w:pPr>
              <w:rPr>
                <w:rFonts w:ascii="Arial Narrow" w:hAnsi="Arial Narrow" w:cs="Arial"/>
                <w:b/>
                <w:sz w:val="18"/>
                <w:szCs w:val="18"/>
              </w:rPr>
            </w:pPr>
            <w:r>
              <w:rPr>
                <w:rFonts w:ascii="Arial Narrow" w:hAnsi="Arial Narrow"/>
                <w:b/>
                <w:bCs/>
                <w:sz w:val="18"/>
                <w:szCs w:val="18"/>
              </w:rPr>
              <w:t xml:space="preserve">Administrative advice: </w:t>
            </w:r>
            <w:r w:rsidRPr="001B5AD1">
              <w:rPr>
                <w:rFonts w:ascii="Arial Narrow" w:hAnsi="Arial Narrow"/>
                <w:sz w:val="18"/>
                <w:szCs w:val="18"/>
              </w:rPr>
              <w:t>No increase in the maximum number of repeats may be authorised.</w:t>
            </w:r>
          </w:p>
        </w:tc>
      </w:tr>
      <w:tr w:rsidR="007C2699" w:rsidRPr="008A1FB6" w14:paraId="6D973C50" w14:textId="77777777" w:rsidTr="00C47D9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right w:val="single" w:sz="4" w:space="0" w:color="auto"/>
            </w:tcBorders>
          </w:tcPr>
          <w:p w14:paraId="4656FB3D"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1F13552" w14:textId="77777777" w:rsidR="007C2699" w:rsidRPr="006D2E3C" w:rsidRDefault="007C2699" w:rsidP="00C47D9E">
            <w:pPr>
              <w:rPr>
                <w:rFonts w:ascii="Arial Narrow" w:hAnsi="Arial Narrow" w:cs="Arial"/>
                <w:b/>
                <w:sz w:val="18"/>
                <w:szCs w:val="18"/>
              </w:rPr>
            </w:pPr>
          </w:p>
        </w:tc>
      </w:tr>
      <w:tr w:rsidR="007C2699" w:rsidRPr="008A1FB6" w14:paraId="4F126DA8" w14:textId="77777777" w:rsidTr="00C47D9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5DF1CBBC" w14:textId="1D8C4C84" w:rsidR="007C2699" w:rsidRPr="006D2E3C" w:rsidRDefault="007C2699" w:rsidP="00C47D9E">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021E31C" w14:textId="77777777" w:rsidR="007C2699" w:rsidRPr="0074740A" w:rsidRDefault="007C2699" w:rsidP="00C47D9E">
            <w:pPr>
              <w:rPr>
                <w:rFonts w:ascii="Arial Narrow" w:hAnsi="Arial Narrow" w:cs="Arial"/>
                <w:bCs/>
                <w:sz w:val="18"/>
                <w:szCs w:val="18"/>
              </w:rPr>
            </w:pPr>
            <w:r>
              <w:rPr>
                <w:rFonts w:ascii="Arial Narrow" w:hAnsi="Arial Narrow" w:cs="Arial"/>
                <w:b/>
                <w:sz w:val="18"/>
                <w:szCs w:val="18"/>
              </w:rPr>
              <w:t xml:space="preserve">Indication: </w:t>
            </w:r>
            <w:r>
              <w:rPr>
                <w:rFonts w:ascii="Arial Narrow" w:hAnsi="Arial Narrow" w:cs="Arial"/>
                <w:bCs/>
                <w:sz w:val="18"/>
                <w:szCs w:val="18"/>
              </w:rPr>
              <w:t>Severe growth hormone deficiency</w:t>
            </w:r>
          </w:p>
        </w:tc>
      </w:tr>
      <w:tr w:rsidR="007C2699" w:rsidRPr="008A1FB6" w14:paraId="4B67D8DF" w14:textId="77777777" w:rsidTr="00C47D9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1105A09F"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FEFBE65" w14:textId="77777777" w:rsidR="007C2699" w:rsidRDefault="007C2699" w:rsidP="00C47D9E">
            <w:pPr>
              <w:rPr>
                <w:rFonts w:ascii="Arial Narrow" w:hAnsi="Arial Narrow" w:cs="Arial"/>
                <w:b/>
                <w:sz w:val="18"/>
                <w:szCs w:val="18"/>
              </w:rPr>
            </w:pPr>
          </w:p>
        </w:tc>
      </w:tr>
      <w:tr w:rsidR="007C2699" w:rsidRPr="008A1FB6" w14:paraId="5D895784" w14:textId="77777777" w:rsidTr="00C47D9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69F7B4FB"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EE6F672" w14:textId="77777777" w:rsidR="007C2699" w:rsidRPr="006D2E3C" w:rsidRDefault="007C2699" w:rsidP="00C47D9E">
            <w:pPr>
              <w:rPr>
                <w:rFonts w:ascii="Arial Narrow" w:hAnsi="Arial Narrow" w:cs="Arial"/>
                <w:bCs/>
                <w:sz w:val="18"/>
                <w:szCs w:val="18"/>
              </w:rPr>
            </w:pPr>
            <w:r w:rsidRPr="006D2E3C">
              <w:rPr>
                <w:rFonts w:ascii="Arial Narrow" w:hAnsi="Arial Narrow" w:cs="Arial"/>
                <w:b/>
                <w:sz w:val="18"/>
                <w:szCs w:val="18"/>
              </w:rPr>
              <w:t xml:space="preserve">Treatment phase: </w:t>
            </w:r>
            <w:r w:rsidRPr="006D2E3C">
              <w:rPr>
                <w:rFonts w:ascii="Arial Narrow" w:hAnsi="Arial Narrow" w:cs="Arial"/>
                <w:bCs/>
                <w:sz w:val="18"/>
                <w:szCs w:val="18"/>
              </w:rPr>
              <w:t xml:space="preserve">Initial </w:t>
            </w:r>
            <w:r>
              <w:rPr>
                <w:rFonts w:ascii="Arial Narrow" w:hAnsi="Arial Narrow" w:cs="Arial"/>
                <w:bCs/>
                <w:sz w:val="18"/>
                <w:szCs w:val="18"/>
              </w:rPr>
              <w:t xml:space="preserve">PBS </w:t>
            </w:r>
            <w:r w:rsidRPr="006D2E3C">
              <w:rPr>
                <w:rFonts w:ascii="Arial Narrow" w:hAnsi="Arial Narrow" w:cs="Arial"/>
                <w:bCs/>
                <w:sz w:val="18"/>
                <w:szCs w:val="18"/>
              </w:rPr>
              <w:t xml:space="preserve">treatment of </w:t>
            </w:r>
            <w:r>
              <w:rPr>
                <w:rFonts w:ascii="Arial Narrow" w:hAnsi="Arial Narrow" w:cs="Arial"/>
                <w:bCs/>
                <w:sz w:val="18"/>
                <w:szCs w:val="18"/>
              </w:rPr>
              <w:t>late</w:t>
            </w:r>
            <w:r w:rsidRPr="006D2E3C">
              <w:rPr>
                <w:rFonts w:ascii="Arial Narrow" w:hAnsi="Arial Narrow" w:cs="Arial"/>
                <w:bCs/>
                <w:sz w:val="18"/>
                <w:szCs w:val="18"/>
              </w:rPr>
              <w:t xml:space="preserve"> onset growth hormone deficiency</w:t>
            </w:r>
          </w:p>
        </w:tc>
      </w:tr>
      <w:tr w:rsidR="007C2699" w:rsidRPr="008A1FB6" w14:paraId="6AA071CC" w14:textId="77777777" w:rsidTr="00C47D9E">
        <w:tblPrEx>
          <w:tblCellMar>
            <w:top w:w="15" w:type="dxa"/>
            <w:left w:w="15" w:type="dxa"/>
            <w:bottom w:w="15" w:type="dxa"/>
            <w:right w:w="15" w:type="dxa"/>
          </w:tblCellMar>
          <w:tblLook w:val="04A0" w:firstRow="1" w:lastRow="0" w:firstColumn="1" w:lastColumn="0" w:noHBand="0" w:noVBand="1"/>
        </w:tblPrEx>
        <w:tc>
          <w:tcPr>
            <w:tcW w:w="981" w:type="dxa"/>
            <w:tcBorders>
              <w:left w:val="single" w:sz="4" w:space="0" w:color="auto"/>
              <w:bottom w:val="single" w:sz="4" w:space="0" w:color="auto"/>
              <w:right w:val="single" w:sz="4" w:space="0" w:color="auto"/>
            </w:tcBorders>
          </w:tcPr>
          <w:p w14:paraId="78EF5690"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0D8DCEF" w14:textId="77777777" w:rsidR="007C2699" w:rsidRPr="006D2E3C" w:rsidRDefault="007C2699" w:rsidP="00C47D9E">
            <w:pPr>
              <w:rPr>
                <w:rFonts w:ascii="Arial Narrow" w:hAnsi="Arial Narrow" w:cs="Arial"/>
                <w:b/>
                <w:sz w:val="18"/>
                <w:szCs w:val="18"/>
              </w:rPr>
            </w:pPr>
          </w:p>
        </w:tc>
      </w:tr>
      <w:tr w:rsidR="007C2699" w:rsidRPr="008A1FB6" w14:paraId="425C92DB"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8A8D824" w14:textId="2A602285"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3078D929" w14:textId="77777777" w:rsidR="007C2699" w:rsidRPr="00FD1CFA" w:rsidRDefault="007C2699" w:rsidP="00C47D9E">
            <w:pPr>
              <w:snapToGrid w:val="0"/>
              <w:rPr>
                <w:rFonts w:ascii="Arial Narrow" w:hAnsi="Arial Narrow"/>
                <w:color w:val="333333"/>
                <w:sz w:val="18"/>
                <w:szCs w:val="18"/>
              </w:rPr>
            </w:pPr>
            <w:r w:rsidRPr="00FD1CFA">
              <w:rPr>
                <w:rFonts w:ascii="Arial Narrow" w:hAnsi="Arial Narrow"/>
                <w:b/>
                <w:bCs/>
                <w:color w:val="333333"/>
                <w:sz w:val="18"/>
                <w:szCs w:val="18"/>
              </w:rPr>
              <w:t xml:space="preserve">Treatment criteria: </w:t>
            </w:r>
            <w:r w:rsidRPr="00FD1CFA">
              <w:rPr>
                <w:rFonts w:ascii="Arial Narrow" w:hAnsi="Arial Narrow"/>
                <w:color w:val="333333"/>
                <w:sz w:val="18"/>
                <w:szCs w:val="18"/>
              </w:rPr>
              <w:t>Must be treated by an endocrinologist</w:t>
            </w:r>
          </w:p>
          <w:p w14:paraId="272FCBF1" w14:textId="77777777" w:rsidR="007C2699" w:rsidRPr="00FD1CFA" w:rsidRDefault="007C2699" w:rsidP="00C47D9E">
            <w:pPr>
              <w:spacing w:after="120"/>
              <w:rPr>
                <w:rFonts w:ascii="Arial Narrow" w:hAnsi="Arial Narrow"/>
                <w:sz w:val="18"/>
                <w:szCs w:val="18"/>
              </w:rPr>
            </w:pPr>
            <w:r w:rsidRPr="00FD1CFA">
              <w:rPr>
                <w:rFonts w:ascii="Arial Narrow" w:hAnsi="Arial Narrow"/>
                <w:sz w:val="18"/>
                <w:szCs w:val="18"/>
              </w:rPr>
              <w:t>AND</w:t>
            </w:r>
          </w:p>
          <w:p w14:paraId="6FAFB26B" w14:textId="77777777" w:rsidR="007C2699" w:rsidRPr="002F14EC" w:rsidRDefault="007C2699" w:rsidP="00C47D9E">
            <w:pPr>
              <w:snapToGrid w:val="0"/>
              <w:rPr>
                <w:rFonts w:ascii="Arial Narrow" w:hAnsi="Arial Narrow"/>
                <w:color w:val="333333"/>
                <w:sz w:val="18"/>
                <w:szCs w:val="18"/>
                <w:highlight w:val="yellow"/>
              </w:rPr>
            </w:pPr>
            <w:r w:rsidRPr="00FD1CFA">
              <w:rPr>
                <w:rFonts w:ascii="Arial Narrow" w:hAnsi="Arial Narrow"/>
                <w:sz w:val="18"/>
                <w:szCs w:val="18"/>
              </w:rPr>
              <w:t>[NEW TC] Patient must be undergoing treatment for the stated indication with only one drug at a time where multiple drugs are PBS-listed for the stated indication</w:t>
            </w:r>
          </w:p>
        </w:tc>
      </w:tr>
      <w:tr w:rsidR="007C2699" w:rsidRPr="008A1FB6" w14:paraId="6EA445AB"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7AA942"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20BC30AE" w14:textId="77777777" w:rsidR="007C2699" w:rsidRPr="00854175" w:rsidRDefault="007C2699" w:rsidP="00C47D9E">
            <w:pPr>
              <w:snapToGrid w:val="0"/>
              <w:rPr>
                <w:rFonts w:ascii="Arial Narrow" w:hAnsi="Arial Narrow"/>
                <w:b/>
                <w:bCs/>
                <w:color w:val="333333"/>
                <w:sz w:val="18"/>
                <w:szCs w:val="18"/>
              </w:rPr>
            </w:pPr>
            <w:r w:rsidRPr="00854175">
              <w:rPr>
                <w:rFonts w:ascii="Arial Narrow" w:hAnsi="Arial Narrow"/>
                <w:b/>
                <w:bCs/>
                <w:color w:val="333333"/>
                <w:sz w:val="18"/>
                <w:szCs w:val="18"/>
              </w:rPr>
              <w:t>AND</w:t>
            </w:r>
          </w:p>
        </w:tc>
      </w:tr>
      <w:tr w:rsidR="007C2699" w:rsidRPr="008A1FB6" w14:paraId="30D0355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F11B5BF"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55762758" w14:textId="77777777" w:rsidR="007C2699" w:rsidRDefault="007C2699" w:rsidP="00C47D9E">
            <w:pPr>
              <w:snapToGrid w:val="0"/>
              <w:rPr>
                <w:rFonts w:ascii="Arial Narrow" w:hAnsi="Arial Narrow"/>
                <w:b/>
                <w:bCs/>
                <w:color w:val="333333"/>
                <w:sz w:val="18"/>
                <w:szCs w:val="18"/>
              </w:rPr>
            </w:pPr>
            <w:r>
              <w:rPr>
                <w:rFonts w:ascii="Arial Narrow" w:hAnsi="Arial Narrow"/>
                <w:b/>
                <w:bCs/>
                <w:color w:val="333333"/>
                <w:sz w:val="18"/>
                <w:szCs w:val="18"/>
              </w:rPr>
              <w:t>Clinical criteria:</w:t>
            </w:r>
          </w:p>
        </w:tc>
      </w:tr>
      <w:tr w:rsidR="007C2699" w:rsidRPr="008A1FB6" w14:paraId="57549847"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5A8BBA3" w14:textId="4519157E"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45332D10" w14:textId="77777777" w:rsidR="007C2699" w:rsidRPr="00A614BD" w:rsidRDefault="007C2699" w:rsidP="00C47D9E">
            <w:pPr>
              <w:snapToGrid w:val="0"/>
              <w:rPr>
                <w:rFonts w:ascii="Arial Narrow" w:hAnsi="Arial Narrow"/>
                <w:color w:val="333333"/>
                <w:sz w:val="18"/>
                <w:szCs w:val="18"/>
              </w:rPr>
            </w:pPr>
            <w:r>
              <w:rPr>
                <w:rFonts w:ascii="Arial Narrow" w:hAnsi="Arial Narrow"/>
                <w:color w:val="333333"/>
                <w:sz w:val="18"/>
                <w:szCs w:val="18"/>
              </w:rPr>
              <w:t>Patient must have late onset growth hormone deficiency secondary to organic hypothalamic or pituitary disease diagnosed at a chronological age of 18 years or older; or</w:t>
            </w:r>
          </w:p>
        </w:tc>
      </w:tr>
      <w:tr w:rsidR="007C2699" w:rsidRPr="008A1FB6" w14:paraId="373E1DD9"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362B0FC" w14:textId="6E5A600F" w:rsidR="007C2699" w:rsidRDefault="007C2699" w:rsidP="00C47D9E">
            <w:pPr>
              <w:jc w:val="center"/>
              <w:rPr>
                <w:rFonts w:ascii="Arial Narrow" w:hAnsi="Arial Narrow"/>
                <w:color w:val="333333"/>
                <w:sz w:val="18"/>
                <w:szCs w:val="18"/>
              </w:rPr>
            </w:pPr>
          </w:p>
        </w:tc>
        <w:tc>
          <w:tcPr>
            <w:tcW w:w="8086" w:type="dxa"/>
            <w:gridSpan w:val="6"/>
            <w:vAlign w:val="center"/>
          </w:tcPr>
          <w:p w14:paraId="5C2CA18A" w14:textId="77777777" w:rsidR="007C2699" w:rsidRPr="002E2275" w:rsidRDefault="007C2699" w:rsidP="00C47D9E">
            <w:pPr>
              <w:snapToGrid w:val="0"/>
              <w:rPr>
                <w:rFonts w:ascii="Arial Narrow" w:hAnsi="Arial Narrow"/>
                <w:color w:val="333333"/>
                <w:sz w:val="18"/>
                <w:szCs w:val="18"/>
              </w:rPr>
            </w:pPr>
            <w:r w:rsidRPr="003C78EF">
              <w:rPr>
                <w:rFonts w:ascii="Arial Narrow" w:hAnsi="Arial Narrow"/>
                <w:bCs/>
                <w:color w:val="333333"/>
                <w:sz w:val="18"/>
                <w:szCs w:val="18"/>
              </w:rPr>
              <w:t xml:space="preserve">Patient must have a documented childhood onset growth hormone deficiency due to a congenital, </w:t>
            </w:r>
            <w:proofErr w:type="gramStart"/>
            <w:r w:rsidRPr="003C78EF">
              <w:rPr>
                <w:rFonts w:ascii="Arial Narrow" w:hAnsi="Arial Narrow"/>
                <w:bCs/>
                <w:color w:val="333333"/>
                <w:sz w:val="18"/>
                <w:szCs w:val="18"/>
              </w:rPr>
              <w:t>genetic</w:t>
            </w:r>
            <w:proofErr w:type="gramEnd"/>
            <w:r w:rsidRPr="003C78EF">
              <w:rPr>
                <w:rFonts w:ascii="Arial Narrow" w:hAnsi="Arial Narrow"/>
                <w:bCs/>
                <w:color w:val="333333"/>
                <w:sz w:val="18"/>
                <w:szCs w:val="18"/>
              </w:rPr>
              <w:t xml:space="preserve"> or structural cause in a patient with a mature skeleton and chronological age of 18 years or older</w:t>
            </w:r>
            <w:r>
              <w:rPr>
                <w:rFonts w:ascii="Arial Narrow" w:hAnsi="Arial Narrow"/>
                <w:bCs/>
                <w:color w:val="333333"/>
                <w:sz w:val="18"/>
                <w:szCs w:val="18"/>
              </w:rPr>
              <w:t>; or</w:t>
            </w:r>
          </w:p>
        </w:tc>
      </w:tr>
      <w:tr w:rsidR="007C2699" w:rsidRPr="008A1FB6" w14:paraId="6A78DFC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50BEB31" w14:textId="1C23FEC3" w:rsidR="007C2699" w:rsidRDefault="007C2699" w:rsidP="00C47D9E">
            <w:pPr>
              <w:jc w:val="center"/>
              <w:rPr>
                <w:rFonts w:ascii="Arial Narrow" w:hAnsi="Arial Narrow"/>
                <w:color w:val="333333"/>
                <w:sz w:val="18"/>
                <w:szCs w:val="18"/>
              </w:rPr>
            </w:pPr>
          </w:p>
        </w:tc>
        <w:tc>
          <w:tcPr>
            <w:tcW w:w="8086" w:type="dxa"/>
            <w:gridSpan w:val="6"/>
            <w:vAlign w:val="center"/>
          </w:tcPr>
          <w:p w14:paraId="154A9D15" w14:textId="77777777" w:rsidR="007C2699" w:rsidRPr="002E2275" w:rsidRDefault="007C2699" w:rsidP="00C47D9E">
            <w:pPr>
              <w:snapToGrid w:val="0"/>
              <w:rPr>
                <w:rFonts w:ascii="Arial Narrow" w:hAnsi="Arial Narrow"/>
                <w:color w:val="333333"/>
                <w:sz w:val="18"/>
                <w:szCs w:val="18"/>
              </w:rPr>
            </w:pPr>
            <w:r w:rsidRPr="002E2275">
              <w:rPr>
                <w:rFonts w:ascii="Arial Narrow" w:hAnsi="Arial Narrow"/>
                <w:color w:val="333333"/>
                <w:sz w:val="18"/>
                <w:szCs w:val="18"/>
              </w:rPr>
              <w:t>Patient must have onset of growth hormone deficiency diagnosed after skeletal maturity (</w:t>
            </w:r>
            <w:r>
              <w:rPr>
                <w:rFonts w:ascii="Arial Narrow" w:hAnsi="Arial Narrow"/>
                <w:color w:val="333333"/>
                <w:sz w:val="18"/>
                <w:szCs w:val="18"/>
              </w:rPr>
              <w:t xml:space="preserve">a </w:t>
            </w:r>
            <w:r w:rsidRPr="002E2275">
              <w:rPr>
                <w:rFonts w:ascii="Arial Narrow" w:hAnsi="Arial Narrow"/>
                <w:color w:val="333333"/>
                <w:sz w:val="18"/>
                <w:szCs w:val="18"/>
              </w:rPr>
              <w:t xml:space="preserve">bone age greater than or equal to 15.5 years in males or 13.5 years in females) and before </w:t>
            </w:r>
            <w:r>
              <w:rPr>
                <w:rFonts w:ascii="Arial Narrow" w:hAnsi="Arial Narrow"/>
                <w:color w:val="333333"/>
                <w:sz w:val="18"/>
                <w:szCs w:val="18"/>
              </w:rPr>
              <w:t xml:space="preserve">the </w:t>
            </w:r>
            <w:r w:rsidRPr="002E2275">
              <w:rPr>
                <w:rFonts w:ascii="Arial Narrow" w:hAnsi="Arial Narrow"/>
                <w:color w:val="333333"/>
                <w:sz w:val="18"/>
                <w:szCs w:val="18"/>
              </w:rPr>
              <w:t>chronological age of 18 years.</w:t>
            </w:r>
          </w:p>
        </w:tc>
      </w:tr>
      <w:tr w:rsidR="007C2699" w:rsidRPr="008A1FB6" w14:paraId="153207D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2DDB7D"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0C4A3077" w14:textId="77777777" w:rsidR="007C2699" w:rsidRPr="00854175" w:rsidRDefault="007C2699" w:rsidP="00C47D9E">
            <w:pPr>
              <w:snapToGrid w:val="0"/>
              <w:rPr>
                <w:rFonts w:ascii="Arial Narrow" w:hAnsi="Arial Narrow"/>
                <w:b/>
                <w:bCs/>
                <w:color w:val="333333"/>
                <w:sz w:val="18"/>
                <w:szCs w:val="18"/>
              </w:rPr>
            </w:pPr>
            <w:r w:rsidRPr="00854175">
              <w:rPr>
                <w:rFonts w:ascii="Arial Narrow" w:hAnsi="Arial Narrow"/>
                <w:b/>
                <w:bCs/>
                <w:color w:val="333333"/>
                <w:sz w:val="18"/>
                <w:szCs w:val="18"/>
              </w:rPr>
              <w:t>AND</w:t>
            </w:r>
          </w:p>
        </w:tc>
      </w:tr>
      <w:tr w:rsidR="007C2699" w:rsidRPr="008A1FB6" w14:paraId="5DDAC81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B63AF4D"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7A4901E6" w14:textId="77777777" w:rsidR="007C2699" w:rsidRPr="006D2E3C" w:rsidRDefault="007C2699" w:rsidP="00C47D9E">
            <w:pPr>
              <w:snapToGrid w:val="0"/>
              <w:rPr>
                <w:rFonts w:ascii="Arial Narrow" w:hAnsi="Arial Narrow"/>
                <w:b/>
                <w:bCs/>
                <w:color w:val="333333"/>
                <w:sz w:val="18"/>
                <w:szCs w:val="18"/>
              </w:rPr>
            </w:pPr>
            <w:r>
              <w:rPr>
                <w:rFonts w:ascii="Arial Narrow" w:hAnsi="Arial Narrow"/>
                <w:b/>
                <w:bCs/>
                <w:color w:val="333333"/>
                <w:sz w:val="18"/>
                <w:szCs w:val="18"/>
              </w:rPr>
              <w:t>Clinical criteria</w:t>
            </w:r>
          </w:p>
        </w:tc>
      </w:tr>
      <w:tr w:rsidR="007C2699" w:rsidRPr="008A1FB6" w14:paraId="44BCD4E7"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3B1E28" w14:textId="2BF1341E"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5000AB6A"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Patient must have</w:t>
            </w:r>
            <w:r>
              <w:rPr>
                <w:rFonts w:ascii="Arial Narrow" w:hAnsi="Arial Narrow"/>
                <w:color w:val="333333"/>
                <w:sz w:val="18"/>
                <w:szCs w:val="18"/>
              </w:rPr>
              <w:t>/have had</w:t>
            </w:r>
            <w:r w:rsidRPr="0074740A">
              <w:rPr>
                <w:rFonts w:ascii="Arial Narrow" w:hAnsi="Arial Narrow"/>
                <w:color w:val="333333"/>
                <w:sz w:val="18"/>
                <w:szCs w:val="18"/>
              </w:rPr>
              <w:t xml:space="preserve"> a</w:t>
            </w:r>
            <w:r>
              <w:rPr>
                <w:rFonts w:ascii="Arial Narrow" w:hAnsi="Arial Narrow"/>
                <w:color w:val="333333"/>
                <w:sz w:val="18"/>
                <w:szCs w:val="18"/>
              </w:rPr>
              <w:t xml:space="preserve"> diagnostic</w:t>
            </w:r>
            <w:r w:rsidRPr="0074740A">
              <w:rPr>
                <w:rFonts w:ascii="Arial Narrow" w:hAnsi="Arial Narrow"/>
                <w:color w:val="333333"/>
                <w:sz w:val="18"/>
                <w:szCs w:val="18"/>
              </w:rPr>
              <w:t xml:space="preserve"> insulin tolerance test with maximum serum growth hormone (GH) less than 2.5 micrograms per litre</w:t>
            </w:r>
            <w:r>
              <w:rPr>
                <w:rFonts w:ascii="Arial Narrow" w:hAnsi="Arial Narrow"/>
                <w:color w:val="333333"/>
                <w:sz w:val="18"/>
                <w:szCs w:val="18"/>
              </w:rPr>
              <w:t xml:space="preserve"> prior to initiating/having initiated this </w:t>
            </w:r>
            <w:proofErr w:type="gramStart"/>
            <w:r>
              <w:rPr>
                <w:rFonts w:ascii="Arial Narrow" w:hAnsi="Arial Narrow"/>
                <w:color w:val="333333"/>
                <w:sz w:val="18"/>
                <w:szCs w:val="18"/>
              </w:rPr>
              <w:t>drug</w:t>
            </w:r>
            <w:r w:rsidRPr="0074740A">
              <w:rPr>
                <w:rFonts w:ascii="Arial Narrow" w:hAnsi="Arial Narrow"/>
                <w:color w:val="333333"/>
                <w:sz w:val="18"/>
                <w:szCs w:val="18"/>
              </w:rPr>
              <w:t>;</w:t>
            </w:r>
            <w:proofErr w:type="gramEnd"/>
            <w:r w:rsidRPr="0074740A">
              <w:rPr>
                <w:rFonts w:ascii="Arial Narrow" w:hAnsi="Arial Narrow"/>
                <w:color w:val="333333"/>
                <w:sz w:val="18"/>
                <w:szCs w:val="18"/>
              </w:rPr>
              <w:t xml:space="preserve"> or</w:t>
            </w:r>
          </w:p>
        </w:tc>
      </w:tr>
      <w:tr w:rsidR="007C2699" w:rsidRPr="008A1FB6" w14:paraId="13F31AE7"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B408221" w14:textId="5F691BFE"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14CCE829"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Patient must have</w:t>
            </w:r>
            <w:r>
              <w:rPr>
                <w:rFonts w:ascii="Arial Narrow" w:hAnsi="Arial Narrow"/>
                <w:color w:val="333333"/>
                <w:sz w:val="18"/>
                <w:szCs w:val="18"/>
              </w:rPr>
              <w:t>/have had</w:t>
            </w:r>
            <w:r w:rsidRPr="0074740A">
              <w:rPr>
                <w:rFonts w:ascii="Arial Narrow" w:hAnsi="Arial Narrow"/>
                <w:color w:val="333333"/>
                <w:sz w:val="18"/>
                <w:szCs w:val="18"/>
              </w:rPr>
              <w:t xml:space="preserve"> a</w:t>
            </w:r>
            <w:r>
              <w:rPr>
                <w:rFonts w:ascii="Arial Narrow" w:hAnsi="Arial Narrow"/>
                <w:color w:val="333333"/>
                <w:sz w:val="18"/>
                <w:szCs w:val="18"/>
              </w:rPr>
              <w:t xml:space="preserve"> diagnostic</w:t>
            </w:r>
            <w:r w:rsidRPr="0074740A">
              <w:rPr>
                <w:rFonts w:ascii="Arial Narrow" w:hAnsi="Arial Narrow"/>
                <w:color w:val="333333"/>
                <w:sz w:val="18"/>
                <w:szCs w:val="18"/>
              </w:rPr>
              <w:t xml:space="preserve"> arginine infusion test with maximum serum GH less than 0.4 micrograms per litre</w:t>
            </w:r>
            <w:r>
              <w:rPr>
                <w:rFonts w:ascii="Arial Narrow" w:hAnsi="Arial Narrow"/>
                <w:color w:val="333333"/>
                <w:sz w:val="18"/>
                <w:szCs w:val="18"/>
              </w:rPr>
              <w:t xml:space="preserve"> prior to initiating/having initiated this </w:t>
            </w:r>
            <w:proofErr w:type="gramStart"/>
            <w:r>
              <w:rPr>
                <w:rFonts w:ascii="Arial Narrow" w:hAnsi="Arial Narrow"/>
                <w:color w:val="333333"/>
                <w:sz w:val="18"/>
                <w:szCs w:val="18"/>
              </w:rPr>
              <w:t>drug</w:t>
            </w:r>
            <w:r w:rsidRPr="0074740A">
              <w:rPr>
                <w:rFonts w:ascii="Arial Narrow" w:hAnsi="Arial Narrow"/>
                <w:color w:val="333333"/>
                <w:sz w:val="18"/>
                <w:szCs w:val="18"/>
              </w:rPr>
              <w:t>;</w:t>
            </w:r>
            <w:proofErr w:type="gramEnd"/>
            <w:r w:rsidRPr="0074740A">
              <w:rPr>
                <w:rFonts w:ascii="Arial Narrow" w:hAnsi="Arial Narrow"/>
                <w:color w:val="333333"/>
                <w:sz w:val="18"/>
                <w:szCs w:val="18"/>
              </w:rPr>
              <w:t xml:space="preserve"> or</w:t>
            </w:r>
          </w:p>
        </w:tc>
      </w:tr>
      <w:tr w:rsidR="007C2699" w:rsidRPr="008A1FB6" w14:paraId="5CC136A7"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05BD79F" w14:textId="5E63C8D9"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0E6BE873"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Patient must have</w:t>
            </w:r>
            <w:r>
              <w:rPr>
                <w:rFonts w:ascii="Arial Narrow" w:hAnsi="Arial Narrow"/>
                <w:color w:val="333333"/>
                <w:sz w:val="18"/>
                <w:szCs w:val="18"/>
              </w:rPr>
              <w:t>/have had</w:t>
            </w:r>
            <w:r w:rsidRPr="0074740A">
              <w:rPr>
                <w:rFonts w:ascii="Arial Narrow" w:hAnsi="Arial Narrow"/>
                <w:color w:val="333333"/>
                <w:sz w:val="18"/>
                <w:szCs w:val="18"/>
              </w:rPr>
              <w:t xml:space="preserve"> a </w:t>
            </w:r>
            <w:r>
              <w:rPr>
                <w:rFonts w:ascii="Arial Narrow" w:hAnsi="Arial Narrow"/>
                <w:color w:val="333333"/>
                <w:sz w:val="18"/>
                <w:szCs w:val="18"/>
              </w:rPr>
              <w:t xml:space="preserve">diagnostic </w:t>
            </w:r>
            <w:r w:rsidRPr="0074740A">
              <w:rPr>
                <w:rFonts w:ascii="Arial Narrow" w:hAnsi="Arial Narrow"/>
                <w:color w:val="333333"/>
                <w:sz w:val="18"/>
                <w:szCs w:val="18"/>
              </w:rPr>
              <w:t>glucagon provocation test with maximum serum GH less than 3 micrograms per litre</w:t>
            </w:r>
            <w:r>
              <w:rPr>
                <w:rFonts w:ascii="Arial Narrow" w:hAnsi="Arial Narrow"/>
                <w:color w:val="333333"/>
                <w:sz w:val="18"/>
                <w:szCs w:val="18"/>
              </w:rPr>
              <w:t xml:space="preserve"> prior to initiating/having initiated this drug</w:t>
            </w:r>
          </w:p>
        </w:tc>
      </w:tr>
      <w:tr w:rsidR="007C2699" w:rsidRPr="008A1FB6" w14:paraId="154E9653"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B5A8B51" w14:textId="77777777" w:rsidR="007C2699" w:rsidDel="00716A6F" w:rsidRDefault="007C2699" w:rsidP="00C47D9E">
            <w:pPr>
              <w:jc w:val="center"/>
              <w:rPr>
                <w:rFonts w:ascii="Arial Narrow" w:hAnsi="Arial Narrow"/>
                <w:color w:val="333333"/>
                <w:sz w:val="18"/>
                <w:szCs w:val="18"/>
              </w:rPr>
            </w:pPr>
          </w:p>
        </w:tc>
        <w:tc>
          <w:tcPr>
            <w:tcW w:w="8086" w:type="dxa"/>
            <w:gridSpan w:val="6"/>
            <w:vAlign w:val="center"/>
          </w:tcPr>
          <w:p w14:paraId="5B9F9CC8" w14:textId="77777777" w:rsidR="007C2699" w:rsidRPr="0074740A" w:rsidRDefault="007C2699" w:rsidP="00C47D9E">
            <w:pPr>
              <w:snapToGrid w:val="0"/>
              <w:rPr>
                <w:rFonts w:ascii="Arial Narrow" w:hAnsi="Arial Narrow"/>
                <w:color w:val="333333"/>
                <w:sz w:val="18"/>
                <w:szCs w:val="18"/>
              </w:rPr>
            </w:pPr>
          </w:p>
        </w:tc>
      </w:tr>
      <w:tr w:rsidR="007C2699" w:rsidRPr="008A1FB6" w14:paraId="1AE6BA9F"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B122AD1" w14:textId="351D040D"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63018C90" w14:textId="77777777" w:rsidR="007C2699" w:rsidRPr="0074740A" w:rsidRDefault="007C2699" w:rsidP="00C47D9E">
            <w:pPr>
              <w:snapToGrid w:val="0"/>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r w:rsidRPr="0074740A">
              <w:rPr>
                <w:rFonts w:ascii="Arial Narrow" w:hAnsi="Arial Narrow"/>
                <w:color w:val="333333"/>
                <w:sz w:val="18"/>
                <w:szCs w:val="18"/>
              </w:rPr>
              <w:t>The authority application must be in writing and must include:</w:t>
            </w:r>
          </w:p>
          <w:p w14:paraId="4D7A4BB9" w14:textId="77777777" w:rsidR="007C2699" w:rsidRPr="0074740A" w:rsidRDefault="007C2699" w:rsidP="00C47D9E">
            <w:pPr>
              <w:pStyle w:val="ListParagraph"/>
              <w:numPr>
                <w:ilvl w:val="0"/>
                <w:numId w:val="17"/>
              </w:numPr>
              <w:snapToGrid w:val="0"/>
              <w:ind w:left="423"/>
              <w:rPr>
                <w:rFonts w:ascii="Arial Narrow" w:hAnsi="Arial Narrow"/>
                <w:color w:val="333333"/>
                <w:sz w:val="18"/>
                <w:szCs w:val="18"/>
              </w:rPr>
            </w:pPr>
            <w:r w:rsidRPr="0074740A">
              <w:rPr>
                <w:rFonts w:ascii="Arial Narrow" w:hAnsi="Arial Narrow"/>
                <w:color w:val="333333"/>
                <w:sz w:val="18"/>
                <w:szCs w:val="18"/>
              </w:rPr>
              <w:t>A completed authority prescription form; AND</w:t>
            </w:r>
          </w:p>
          <w:p w14:paraId="67B7E91F" w14:textId="77777777" w:rsidR="007C2699" w:rsidRPr="0074740A" w:rsidRDefault="007C2699" w:rsidP="00C47D9E">
            <w:pPr>
              <w:pStyle w:val="ListParagraph"/>
              <w:numPr>
                <w:ilvl w:val="0"/>
                <w:numId w:val="17"/>
              </w:numPr>
              <w:snapToGrid w:val="0"/>
              <w:ind w:left="423"/>
              <w:rPr>
                <w:rFonts w:ascii="Arial Narrow" w:hAnsi="Arial Narrow"/>
                <w:color w:val="333333"/>
                <w:sz w:val="18"/>
                <w:szCs w:val="18"/>
              </w:rPr>
            </w:pPr>
            <w:r w:rsidRPr="0074740A">
              <w:rPr>
                <w:rFonts w:ascii="Arial Narrow" w:hAnsi="Arial Narrow"/>
                <w:color w:val="333333"/>
                <w:sz w:val="18"/>
                <w:szCs w:val="18"/>
              </w:rPr>
              <w:t>A completed Severe Growth Hormone Deficiency supporting information form; AND</w:t>
            </w:r>
          </w:p>
          <w:p w14:paraId="15774034" w14:textId="77777777" w:rsidR="007C2699" w:rsidRPr="0074740A" w:rsidRDefault="007C2699" w:rsidP="00C47D9E">
            <w:pPr>
              <w:pStyle w:val="ListParagraph"/>
              <w:numPr>
                <w:ilvl w:val="0"/>
                <w:numId w:val="17"/>
              </w:numPr>
              <w:snapToGrid w:val="0"/>
              <w:ind w:left="423"/>
              <w:rPr>
                <w:rFonts w:ascii="Arial Narrow" w:hAnsi="Arial Narrow"/>
                <w:color w:val="333333"/>
                <w:sz w:val="18"/>
                <w:szCs w:val="18"/>
              </w:rPr>
            </w:pPr>
            <w:r w:rsidRPr="0074740A">
              <w:rPr>
                <w:rFonts w:ascii="Arial Narrow" w:hAnsi="Arial Narrow"/>
                <w:color w:val="333333"/>
                <w:sz w:val="18"/>
                <w:szCs w:val="18"/>
              </w:rPr>
              <w:t>Results of the growth hormone stimulation testing, including the date of testing, the type of test performed, the peak growth hormone concentration, and laboratory reference range for age/gender.</w:t>
            </w:r>
          </w:p>
        </w:tc>
      </w:tr>
      <w:tr w:rsidR="007C2699" w:rsidRPr="008A1FB6" w14:paraId="4BFAB94C"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092344A"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23ECBC26" w14:textId="77777777" w:rsidR="007C2699" w:rsidRDefault="007C2699" w:rsidP="00C47D9E">
            <w:pPr>
              <w:snapToGrid w:val="0"/>
              <w:rPr>
                <w:rFonts w:ascii="Arial Narrow" w:hAnsi="Arial Narrow"/>
                <w:b/>
                <w:bCs/>
                <w:color w:val="333333"/>
                <w:sz w:val="18"/>
                <w:szCs w:val="18"/>
              </w:rPr>
            </w:pPr>
          </w:p>
        </w:tc>
      </w:tr>
      <w:tr w:rsidR="007C2699" w:rsidRPr="008A1FB6" w14:paraId="0C02DB7D"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B228B4" w14:textId="35312AAF"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0BD077B5" w14:textId="77777777" w:rsidR="007C2699" w:rsidRPr="0074740A" w:rsidRDefault="007C2699" w:rsidP="00C47D9E">
            <w:pPr>
              <w:snapToGrid w:val="0"/>
              <w:rPr>
                <w:rFonts w:ascii="Arial Narrow" w:hAnsi="Arial Narrow"/>
                <w:color w:val="333333"/>
                <w:sz w:val="18"/>
                <w:szCs w:val="18"/>
              </w:rPr>
            </w:pPr>
            <w:r>
              <w:rPr>
                <w:rFonts w:ascii="Arial Narrow" w:hAnsi="Arial Narrow"/>
                <w:b/>
                <w:bCs/>
                <w:color w:val="333333"/>
                <w:sz w:val="18"/>
                <w:szCs w:val="18"/>
              </w:rPr>
              <w:t>Administrative advice:</w:t>
            </w:r>
            <w:r>
              <w:rPr>
                <w:rFonts w:ascii="Arial Narrow" w:hAnsi="Arial Narrow"/>
                <w:color w:val="333333"/>
                <w:sz w:val="18"/>
                <w:szCs w:val="18"/>
              </w:rPr>
              <w:t xml:space="preserve"> </w:t>
            </w:r>
            <w:r w:rsidRPr="0074740A">
              <w:rPr>
                <w:rFonts w:ascii="Arial Narrow" w:hAnsi="Arial Narrow"/>
                <w:color w:val="333333"/>
                <w:sz w:val="18"/>
                <w:szCs w:val="18"/>
              </w:rPr>
              <w:t>Any queries concerning the arrangements to prescribe may be directed to Services Australia on 1800 700 270 (hours of operation 8 a.m. to 5 p.m. Monday to Friday).</w:t>
            </w:r>
          </w:p>
          <w:p w14:paraId="578D06F6"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Prescribing information (including Authority Application forms and other relevant documentation as applicable) is available on the Services Australia website at www.servicesaustralia.gov.au</w:t>
            </w:r>
          </w:p>
          <w:p w14:paraId="5850EBA6"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336D28CE"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Or mailed to:</w:t>
            </w:r>
          </w:p>
          <w:p w14:paraId="7DC33715"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Services Australia</w:t>
            </w:r>
          </w:p>
          <w:p w14:paraId="45250F13"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Complex Drugs</w:t>
            </w:r>
          </w:p>
          <w:p w14:paraId="39C01BDA"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Reply Paid 9826</w:t>
            </w:r>
          </w:p>
          <w:p w14:paraId="19F94CC5"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HOBART TAS 7001</w:t>
            </w:r>
          </w:p>
        </w:tc>
      </w:tr>
      <w:tr w:rsidR="007C2699" w:rsidRPr="008A1FB6" w14:paraId="7B440369"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133841C" w14:textId="3A3F4BC0" w:rsidR="007C2699" w:rsidRDefault="007C2699" w:rsidP="00C47D9E">
            <w:pPr>
              <w:jc w:val="center"/>
              <w:rPr>
                <w:rFonts w:ascii="Arial Narrow" w:hAnsi="Arial Narrow"/>
                <w:color w:val="333333"/>
                <w:sz w:val="18"/>
                <w:szCs w:val="18"/>
              </w:rPr>
            </w:pPr>
          </w:p>
        </w:tc>
        <w:tc>
          <w:tcPr>
            <w:tcW w:w="8086" w:type="dxa"/>
            <w:gridSpan w:val="6"/>
            <w:vAlign w:val="center"/>
          </w:tcPr>
          <w:p w14:paraId="005FEE42" w14:textId="77777777" w:rsidR="007C2699" w:rsidRDefault="007C2699" w:rsidP="00C47D9E">
            <w:pPr>
              <w:snapToGrid w:val="0"/>
              <w:rPr>
                <w:rFonts w:ascii="Arial Narrow" w:hAnsi="Arial Narrow"/>
                <w:b/>
                <w:bCs/>
                <w:color w:val="333333"/>
                <w:sz w:val="18"/>
                <w:szCs w:val="18"/>
              </w:rPr>
            </w:pPr>
            <w:r>
              <w:rPr>
                <w:rFonts w:ascii="Arial Narrow" w:hAnsi="Arial Narrow"/>
                <w:b/>
                <w:bCs/>
                <w:color w:val="333333"/>
                <w:sz w:val="18"/>
                <w:szCs w:val="18"/>
              </w:rPr>
              <w:t>Administrative advice:</w:t>
            </w:r>
            <w:r>
              <w:rPr>
                <w:rFonts w:ascii="Arial Narrow" w:hAnsi="Arial Narrow"/>
                <w:color w:val="FF0000"/>
                <w:sz w:val="18"/>
                <w:szCs w:val="18"/>
              </w:rPr>
              <w:t xml:space="preserve"> </w:t>
            </w:r>
            <w:r>
              <w:rPr>
                <w:rFonts w:ascii="Arial Narrow" w:hAnsi="Arial Narrow"/>
                <w:sz w:val="18"/>
                <w:szCs w:val="18"/>
              </w:rPr>
              <w:t>A patient who is t</w:t>
            </w:r>
            <w:r w:rsidRPr="003727EF">
              <w:rPr>
                <w:rFonts w:ascii="Arial Narrow" w:hAnsi="Arial Narrow"/>
                <w:sz w:val="18"/>
                <w:szCs w:val="18"/>
              </w:rPr>
              <w:t xml:space="preserve">ransitioning from non-PBS to PBS-subsidised supply </w:t>
            </w:r>
            <w:r>
              <w:rPr>
                <w:rFonts w:ascii="Arial Narrow" w:hAnsi="Arial Narrow"/>
                <w:sz w:val="18"/>
                <w:szCs w:val="18"/>
              </w:rPr>
              <w:t xml:space="preserve">of this drug for this condition must have met all the initial restriction criteria prior to initiating non-PBS subsidised treatment. Additional information of a baseline serum IGF-1 measurement and laboratory reference range for age and sex must be provided at the time of application. The </w:t>
            </w:r>
            <w:r w:rsidRPr="003A2AF6">
              <w:rPr>
                <w:rFonts w:ascii="Arial Narrow" w:hAnsi="Arial Narrow"/>
                <w:sz w:val="18"/>
                <w:szCs w:val="18"/>
              </w:rPr>
              <w:t xml:space="preserve">date of </w:t>
            </w:r>
            <w:r>
              <w:rPr>
                <w:rFonts w:ascii="Arial Narrow" w:hAnsi="Arial Narrow"/>
                <w:sz w:val="18"/>
                <w:szCs w:val="18"/>
              </w:rPr>
              <w:t xml:space="preserve">the additional information </w:t>
            </w:r>
            <w:r w:rsidRPr="003A2AF6">
              <w:rPr>
                <w:rFonts w:ascii="Arial Narrow" w:hAnsi="Arial Narrow"/>
                <w:sz w:val="18"/>
                <w:szCs w:val="18"/>
              </w:rPr>
              <w:t xml:space="preserve">must </w:t>
            </w:r>
            <w:r>
              <w:rPr>
                <w:rFonts w:ascii="Arial Narrow" w:hAnsi="Arial Narrow"/>
                <w:sz w:val="18"/>
                <w:szCs w:val="18"/>
              </w:rPr>
              <w:t xml:space="preserve">be </w:t>
            </w:r>
            <w:r w:rsidRPr="003A2AF6">
              <w:rPr>
                <w:rFonts w:ascii="Arial Narrow" w:hAnsi="Arial Narrow"/>
                <w:sz w:val="18"/>
                <w:szCs w:val="18"/>
              </w:rPr>
              <w:t>no more than 12 weeks old at the time the first non-PBS subsidised dose</w:t>
            </w:r>
            <w:r>
              <w:rPr>
                <w:rFonts w:ascii="Arial Narrow" w:hAnsi="Arial Narrow"/>
                <w:sz w:val="18"/>
                <w:szCs w:val="18"/>
              </w:rPr>
              <w:t xml:space="preserve"> of this drug for this condition </w:t>
            </w:r>
            <w:r w:rsidRPr="003A2AF6">
              <w:rPr>
                <w:rFonts w:ascii="Arial Narrow" w:hAnsi="Arial Narrow"/>
                <w:sz w:val="18"/>
                <w:szCs w:val="18"/>
              </w:rPr>
              <w:t>was administered</w:t>
            </w:r>
            <w:r>
              <w:rPr>
                <w:rFonts w:ascii="Arial Narrow" w:hAnsi="Arial Narrow"/>
                <w:sz w:val="18"/>
                <w:szCs w:val="18"/>
              </w:rPr>
              <w:t>. A patient may qualify for PBS-subsidised treatment under this restriction once only. For continuing PBS-subsidised treatment, a patient must qualify under the ‘Continuing treatment’ criteria. For a patient s</w:t>
            </w:r>
            <w:r w:rsidRPr="00424CEF">
              <w:rPr>
                <w:rFonts w:ascii="Arial Narrow" w:hAnsi="Arial Narrow"/>
                <w:color w:val="333333"/>
                <w:sz w:val="18"/>
                <w:szCs w:val="18"/>
              </w:rPr>
              <w:t>witching from an existing PBS-listed benefit to this benefit</w:t>
            </w:r>
            <w:r>
              <w:rPr>
                <w:rFonts w:ascii="Arial Narrow" w:hAnsi="Arial Narrow"/>
                <w:color w:val="333333"/>
                <w:sz w:val="18"/>
                <w:szCs w:val="18"/>
              </w:rPr>
              <w:t>, a patient</w:t>
            </w:r>
            <w:r w:rsidRPr="00424CEF">
              <w:rPr>
                <w:rFonts w:ascii="Arial Narrow" w:hAnsi="Arial Narrow"/>
                <w:color w:val="333333"/>
                <w:sz w:val="18"/>
                <w:szCs w:val="18"/>
              </w:rPr>
              <w:t xml:space="preserve"> </w:t>
            </w:r>
            <w:r>
              <w:rPr>
                <w:rFonts w:ascii="Arial Narrow" w:hAnsi="Arial Narrow"/>
                <w:color w:val="333333"/>
                <w:sz w:val="18"/>
                <w:szCs w:val="18"/>
              </w:rPr>
              <w:t xml:space="preserve">must qualify </w:t>
            </w:r>
            <w:r w:rsidRPr="00424CEF">
              <w:rPr>
                <w:rFonts w:ascii="Arial Narrow" w:hAnsi="Arial Narrow"/>
                <w:color w:val="333333"/>
                <w:sz w:val="18"/>
                <w:szCs w:val="18"/>
              </w:rPr>
              <w:t>under this drug’s ‘Continuing treatment’ restriction.</w:t>
            </w:r>
          </w:p>
        </w:tc>
      </w:tr>
      <w:tr w:rsidR="007C2699" w:rsidRPr="008A1FB6" w14:paraId="70E261FD" w14:textId="77777777" w:rsidTr="00C47D9E">
        <w:tblPrEx>
          <w:tblCellMar>
            <w:top w:w="15" w:type="dxa"/>
            <w:left w:w="15" w:type="dxa"/>
            <w:bottom w:w="15" w:type="dxa"/>
            <w:right w:w="15" w:type="dxa"/>
          </w:tblCellMar>
          <w:tblLook w:val="04A0" w:firstRow="1" w:lastRow="0" w:firstColumn="1" w:lastColumn="0" w:noHBand="0" w:noVBand="1"/>
        </w:tblPrEx>
        <w:trPr>
          <w:trHeight w:val="158"/>
        </w:trPr>
        <w:tc>
          <w:tcPr>
            <w:tcW w:w="9067" w:type="dxa"/>
            <w:gridSpan w:val="7"/>
            <w:tcBorders>
              <w:top w:val="single" w:sz="4" w:space="0" w:color="auto"/>
              <w:left w:val="single" w:sz="4" w:space="0" w:color="auto"/>
              <w:right w:val="single" w:sz="4" w:space="0" w:color="auto"/>
            </w:tcBorders>
          </w:tcPr>
          <w:p w14:paraId="7B43BE24" w14:textId="77777777" w:rsidR="007C2699" w:rsidRPr="006D2E3C" w:rsidRDefault="007C2699" w:rsidP="00C47D9E">
            <w:pPr>
              <w:rPr>
                <w:rFonts w:ascii="Arial Narrow" w:hAnsi="Arial Narrow"/>
                <w:b/>
                <w:sz w:val="18"/>
                <w:szCs w:val="18"/>
              </w:rPr>
            </w:pPr>
          </w:p>
        </w:tc>
      </w:tr>
      <w:tr w:rsidR="007C2699" w:rsidRPr="008A1FB6" w14:paraId="296E85E9"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7D60AF1" w14:textId="77777777" w:rsidR="007C2699" w:rsidRPr="006D2E3C" w:rsidRDefault="007C2699" w:rsidP="00C47D9E">
            <w:pPr>
              <w:rPr>
                <w:rFonts w:ascii="Arial Narrow" w:hAnsi="Arial Narrow" w:cs="Arial"/>
                <w:b/>
                <w:sz w:val="18"/>
                <w:szCs w:val="18"/>
              </w:rPr>
            </w:pPr>
            <w:r w:rsidRPr="006D2E3C">
              <w:rPr>
                <w:rFonts w:ascii="Arial Narrow" w:hAnsi="Arial Narrow"/>
                <w:b/>
                <w:sz w:val="18"/>
                <w:szCs w:val="18"/>
              </w:rPr>
              <w:t>Restriction Summary [new</w:t>
            </w:r>
            <w:r>
              <w:rPr>
                <w:rFonts w:ascii="Arial Narrow" w:hAnsi="Arial Narrow"/>
                <w:b/>
                <w:sz w:val="18"/>
                <w:szCs w:val="18"/>
              </w:rPr>
              <w:t xml:space="preserve"> 3</w:t>
            </w:r>
            <w:r w:rsidRPr="006D2E3C">
              <w:rPr>
                <w:rFonts w:ascii="Arial Narrow" w:hAnsi="Arial Narrow"/>
                <w:b/>
                <w:sz w:val="18"/>
                <w:szCs w:val="18"/>
              </w:rPr>
              <w:t>] / Treatment of Concept: [new</w:t>
            </w:r>
            <w:r>
              <w:rPr>
                <w:rFonts w:ascii="Arial Narrow" w:hAnsi="Arial Narrow"/>
                <w:b/>
                <w:sz w:val="18"/>
                <w:szCs w:val="18"/>
              </w:rPr>
              <w:t xml:space="preserve"> 4</w:t>
            </w:r>
            <w:r w:rsidRPr="006D2E3C">
              <w:rPr>
                <w:rFonts w:ascii="Arial Narrow" w:hAnsi="Arial Narrow"/>
                <w:b/>
                <w:sz w:val="18"/>
                <w:szCs w:val="18"/>
              </w:rPr>
              <w:t>]</w:t>
            </w:r>
          </w:p>
        </w:tc>
      </w:tr>
      <w:tr w:rsidR="007C2699" w:rsidRPr="008A1FB6" w14:paraId="767C0966" w14:textId="77777777" w:rsidTr="00C47D9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6B0244D1" w14:textId="2949C5DD" w:rsidR="007C2699" w:rsidRPr="006D2E3C" w:rsidRDefault="007C2699" w:rsidP="00C47D9E">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5116E5D5" w14:textId="77777777" w:rsidR="007C2699" w:rsidRPr="006D2E3C" w:rsidRDefault="007C2699" w:rsidP="00C47D9E">
            <w:pPr>
              <w:rPr>
                <w:rFonts w:ascii="Arial Narrow" w:hAnsi="Arial Narrow" w:cs="Arial"/>
                <w:sz w:val="18"/>
                <w:szCs w:val="18"/>
              </w:rPr>
            </w:pPr>
            <w:r w:rsidRPr="006D2E3C">
              <w:rPr>
                <w:rFonts w:ascii="Arial Narrow" w:hAnsi="Arial Narrow" w:cs="Arial"/>
                <w:b/>
                <w:sz w:val="18"/>
                <w:szCs w:val="18"/>
              </w:rPr>
              <w:t xml:space="preserve">Category / Program: </w:t>
            </w:r>
            <w:r w:rsidRPr="006D2E3C">
              <w:rPr>
                <w:rFonts w:ascii="Arial Narrow" w:hAnsi="Arial Narrow" w:cs="Arial"/>
                <w:sz w:val="18"/>
                <w:szCs w:val="18"/>
              </w:rPr>
              <w:t>Section 100 – Growth Hormone Program</w:t>
            </w:r>
          </w:p>
        </w:tc>
      </w:tr>
      <w:tr w:rsidR="007C2699" w:rsidRPr="008A1FB6" w14:paraId="5B72BE58" w14:textId="77777777" w:rsidTr="00C47D9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0F8172E9"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4221B00" w14:textId="77777777" w:rsidR="007C2699" w:rsidRPr="006D2E3C" w:rsidRDefault="007C2699" w:rsidP="00C47D9E">
            <w:pPr>
              <w:rPr>
                <w:rFonts w:ascii="Arial Narrow" w:hAnsi="Arial Narrow" w:cs="Arial"/>
                <w:b/>
                <w:sz w:val="18"/>
                <w:szCs w:val="18"/>
              </w:rPr>
            </w:pPr>
            <w:r w:rsidRPr="006D2E3C">
              <w:rPr>
                <w:rFonts w:ascii="Arial Narrow" w:hAnsi="Arial Narrow" w:cs="Arial"/>
                <w:b/>
                <w:sz w:val="18"/>
                <w:szCs w:val="18"/>
              </w:rPr>
              <w:t xml:space="preserve">Prescriber type: </w:t>
            </w:r>
            <w:r w:rsidRPr="006D2E3C">
              <w:rPr>
                <w:rFonts w:ascii="Arial Narrow" w:hAnsi="Arial Narrow" w:cs="Arial"/>
                <w:sz w:val="18"/>
                <w:szCs w:val="18"/>
              </w:rPr>
              <w:fldChar w:fldCharType="begin">
                <w:ffData>
                  <w:name w:val=""/>
                  <w:enabled/>
                  <w:calcOnExit w:val="0"/>
                  <w:checkBox>
                    <w:sizeAuto/>
                    <w:default w:val="1"/>
                  </w:checkBox>
                </w:ffData>
              </w:fldChar>
            </w:r>
            <w:r w:rsidRPr="006D2E3C">
              <w:rPr>
                <w:rFonts w:ascii="Arial Narrow" w:hAnsi="Arial Narrow" w:cs="Arial"/>
                <w:sz w:val="18"/>
                <w:szCs w:val="18"/>
              </w:rPr>
              <w:instrText xml:space="preserve"> FORMCHECKBOX </w:instrText>
            </w:r>
            <w:r w:rsidR="00AB6385">
              <w:rPr>
                <w:rFonts w:ascii="Arial Narrow" w:hAnsi="Arial Narrow" w:cs="Arial"/>
                <w:sz w:val="18"/>
                <w:szCs w:val="18"/>
              </w:rPr>
            </w:r>
            <w:r w:rsidR="00AB6385">
              <w:rPr>
                <w:rFonts w:ascii="Arial Narrow" w:hAnsi="Arial Narrow" w:cs="Arial"/>
                <w:sz w:val="18"/>
                <w:szCs w:val="18"/>
              </w:rPr>
              <w:fldChar w:fldCharType="separate"/>
            </w:r>
            <w:r w:rsidRPr="006D2E3C">
              <w:rPr>
                <w:rFonts w:ascii="Arial Narrow" w:hAnsi="Arial Narrow" w:cs="Arial"/>
                <w:sz w:val="18"/>
                <w:szCs w:val="18"/>
              </w:rPr>
              <w:fldChar w:fldCharType="end"/>
            </w:r>
            <w:r w:rsidRPr="006D2E3C">
              <w:rPr>
                <w:rFonts w:ascii="Arial Narrow" w:hAnsi="Arial Narrow" w:cs="Arial"/>
                <w:sz w:val="18"/>
                <w:szCs w:val="18"/>
              </w:rPr>
              <w:t xml:space="preserve"> Medical Practitioners</w:t>
            </w:r>
          </w:p>
        </w:tc>
      </w:tr>
      <w:tr w:rsidR="007C2699" w:rsidRPr="008A1FB6" w14:paraId="7FA23DC5" w14:textId="77777777" w:rsidTr="00C47D9E">
        <w:tblPrEx>
          <w:tblCellMar>
            <w:top w:w="15" w:type="dxa"/>
            <w:left w:w="15" w:type="dxa"/>
            <w:bottom w:w="15" w:type="dxa"/>
            <w:right w:w="15" w:type="dxa"/>
          </w:tblCellMar>
          <w:tblLook w:val="04A0" w:firstRow="1" w:lastRow="0" w:firstColumn="1" w:lastColumn="0" w:noHBand="0" w:noVBand="1"/>
        </w:tblPrEx>
        <w:trPr>
          <w:trHeight w:val="174"/>
        </w:trPr>
        <w:tc>
          <w:tcPr>
            <w:tcW w:w="981" w:type="dxa"/>
            <w:vMerge/>
            <w:tcBorders>
              <w:left w:val="single" w:sz="4" w:space="0" w:color="auto"/>
              <w:right w:val="single" w:sz="4" w:space="0" w:color="auto"/>
            </w:tcBorders>
          </w:tcPr>
          <w:p w14:paraId="5BFD0CCF"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5E14F0C" w14:textId="77777777" w:rsidR="007C2699" w:rsidRPr="006D2E3C" w:rsidRDefault="007C2699" w:rsidP="00C47D9E">
            <w:pPr>
              <w:rPr>
                <w:rFonts w:ascii="Arial Narrow" w:eastAsia="Calibri" w:hAnsi="Arial Narrow" w:cs="Arial"/>
                <w:color w:val="FF0000"/>
                <w:sz w:val="18"/>
                <w:szCs w:val="18"/>
              </w:rPr>
            </w:pPr>
            <w:r w:rsidRPr="006D2E3C">
              <w:rPr>
                <w:rFonts w:ascii="Arial Narrow" w:hAnsi="Arial Narrow" w:cs="Arial"/>
                <w:b/>
                <w:sz w:val="18"/>
                <w:szCs w:val="18"/>
              </w:rPr>
              <w:t>Restriction type:</w:t>
            </w:r>
            <w:r>
              <w:rPr>
                <w:rFonts w:ascii="Arial Narrow" w:hAnsi="Arial Narrow" w:cs="Arial"/>
                <w:b/>
                <w:sz w:val="18"/>
                <w:szCs w:val="18"/>
              </w:rPr>
              <w:t xml:space="preserve"> </w:t>
            </w:r>
            <w:r w:rsidRPr="006D2E3C">
              <w:rPr>
                <w:rFonts w:ascii="Arial Narrow" w:eastAsia="Calibri" w:hAnsi="Arial Narrow" w:cs="Arial"/>
                <w:sz w:val="18"/>
                <w:szCs w:val="18"/>
              </w:rPr>
              <w:fldChar w:fldCharType="begin">
                <w:ffData>
                  <w:name w:val="Check3"/>
                  <w:enabled/>
                  <w:calcOnExit w:val="0"/>
                  <w:checkBox>
                    <w:sizeAuto/>
                    <w:default w:val="1"/>
                  </w:checkBox>
                </w:ffData>
              </w:fldChar>
            </w:r>
            <w:r w:rsidRPr="006D2E3C">
              <w:rPr>
                <w:rFonts w:ascii="Arial Narrow" w:eastAsia="Calibri" w:hAnsi="Arial Narrow" w:cs="Arial"/>
                <w:sz w:val="18"/>
                <w:szCs w:val="18"/>
              </w:rPr>
              <w:instrText xml:space="preserve"> FORMCHECKBOX </w:instrText>
            </w:r>
            <w:r w:rsidR="00AB6385">
              <w:rPr>
                <w:rFonts w:ascii="Arial Narrow" w:eastAsia="Calibri" w:hAnsi="Arial Narrow" w:cs="Arial"/>
                <w:sz w:val="18"/>
                <w:szCs w:val="18"/>
              </w:rPr>
            </w:r>
            <w:r w:rsidR="00AB6385">
              <w:rPr>
                <w:rFonts w:ascii="Arial Narrow" w:eastAsia="Calibri" w:hAnsi="Arial Narrow" w:cs="Arial"/>
                <w:sz w:val="18"/>
                <w:szCs w:val="18"/>
              </w:rPr>
              <w:fldChar w:fldCharType="separate"/>
            </w:r>
            <w:r w:rsidRPr="006D2E3C">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6D2E3C">
              <w:rPr>
                <w:rFonts w:ascii="Arial Narrow" w:eastAsia="Calibri" w:hAnsi="Arial Narrow" w:cs="Arial"/>
                <w:sz w:val="18"/>
                <w:szCs w:val="18"/>
              </w:rPr>
              <w:t xml:space="preserve">Authority Required (telephone/online PBS Authorities system) </w:t>
            </w:r>
            <w:r w:rsidRPr="006D2E3C">
              <w:rPr>
                <w:rFonts w:ascii="Arial Narrow" w:hAnsi="Arial Narrow"/>
                <w:b/>
                <w:color w:val="FF0000"/>
                <w:sz w:val="18"/>
                <w:szCs w:val="18"/>
              </w:rPr>
              <w:t>CAR</w:t>
            </w:r>
          </w:p>
        </w:tc>
      </w:tr>
      <w:tr w:rsidR="007C2699" w:rsidRPr="008A1FB6" w14:paraId="5BF72762" w14:textId="77777777" w:rsidTr="00C47D9E">
        <w:tblPrEx>
          <w:tblCellMar>
            <w:top w:w="15" w:type="dxa"/>
            <w:left w:w="15" w:type="dxa"/>
            <w:bottom w:w="15" w:type="dxa"/>
            <w:right w:w="15" w:type="dxa"/>
          </w:tblCellMar>
          <w:tblLook w:val="04A0" w:firstRow="1" w:lastRow="0" w:firstColumn="1" w:lastColumn="0" w:noHBand="0" w:noVBand="1"/>
        </w:tblPrEx>
        <w:trPr>
          <w:trHeight w:val="174"/>
        </w:trPr>
        <w:tc>
          <w:tcPr>
            <w:tcW w:w="981" w:type="dxa"/>
            <w:tcBorders>
              <w:left w:val="single" w:sz="4" w:space="0" w:color="auto"/>
              <w:right w:val="single" w:sz="4" w:space="0" w:color="auto"/>
            </w:tcBorders>
          </w:tcPr>
          <w:p w14:paraId="0E28BA89"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4B88D8EF" w14:textId="77777777" w:rsidR="007C2699" w:rsidRPr="006D2E3C" w:rsidRDefault="007C2699" w:rsidP="00C47D9E">
            <w:pPr>
              <w:rPr>
                <w:rFonts w:ascii="Arial Narrow" w:hAnsi="Arial Narrow" w:cs="Arial"/>
                <w:b/>
                <w:sz w:val="18"/>
                <w:szCs w:val="18"/>
              </w:rPr>
            </w:pPr>
          </w:p>
        </w:tc>
      </w:tr>
      <w:tr w:rsidR="007C2699" w:rsidRPr="008A1FB6" w14:paraId="0EFB75B3" w14:textId="77777777" w:rsidTr="00C47D9E">
        <w:tblPrEx>
          <w:tblCellMar>
            <w:top w:w="15" w:type="dxa"/>
            <w:left w:w="15" w:type="dxa"/>
            <w:bottom w:w="15" w:type="dxa"/>
            <w:right w:w="15" w:type="dxa"/>
          </w:tblCellMar>
        </w:tblPrEx>
        <w:trPr>
          <w:trHeight w:val="174"/>
        </w:trPr>
        <w:tc>
          <w:tcPr>
            <w:tcW w:w="981" w:type="dxa"/>
            <w:vAlign w:val="center"/>
          </w:tcPr>
          <w:p w14:paraId="33AEBD48" w14:textId="0E388335" w:rsidR="007C2699" w:rsidRPr="006D2E3C" w:rsidRDefault="007C2699" w:rsidP="00C47D9E">
            <w:pPr>
              <w:jc w:val="center"/>
              <w:rPr>
                <w:rFonts w:ascii="Arial Narrow" w:hAnsi="Arial Narrow" w:cs="Arial"/>
                <w:sz w:val="18"/>
                <w:szCs w:val="18"/>
              </w:rPr>
            </w:pPr>
          </w:p>
        </w:tc>
        <w:tc>
          <w:tcPr>
            <w:tcW w:w="8086" w:type="dxa"/>
            <w:gridSpan w:val="6"/>
            <w:vAlign w:val="center"/>
          </w:tcPr>
          <w:p w14:paraId="51A05576" w14:textId="77777777" w:rsidR="007C2699" w:rsidRPr="006D2E3C" w:rsidRDefault="007C2699" w:rsidP="00C47D9E">
            <w:pPr>
              <w:rPr>
                <w:rFonts w:ascii="Arial Narrow" w:hAnsi="Arial Narrow" w:cs="Arial"/>
                <w:b/>
                <w:sz w:val="18"/>
                <w:szCs w:val="18"/>
              </w:rPr>
            </w:pPr>
            <w:r>
              <w:rPr>
                <w:rFonts w:ascii="Arial Narrow" w:hAnsi="Arial Narrow"/>
                <w:b/>
                <w:bCs/>
                <w:sz w:val="18"/>
                <w:szCs w:val="18"/>
              </w:rPr>
              <w:t xml:space="preserve">Administrative advice: </w:t>
            </w:r>
            <w:r w:rsidRPr="0007388B">
              <w:rPr>
                <w:rFonts w:ascii="Arial Narrow" w:hAnsi="Arial Narrow"/>
                <w:sz w:val="18"/>
                <w:szCs w:val="18"/>
              </w:rPr>
              <w:t xml:space="preserve">An increase in maximum quantity may be authorised when a patient is </w:t>
            </w:r>
            <w:r>
              <w:rPr>
                <w:rFonts w:ascii="Arial Narrow" w:hAnsi="Arial Narrow"/>
                <w:sz w:val="18"/>
                <w:szCs w:val="18"/>
              </w:rPr>
              <w:t>prescribed</w:t>
            </w:r>
            <w:r w:rsidRPr="0007388B">
              <w:rPr>
                <w:rFonts w:ascii="Arial Narrow" w:hAnsi="Arial Narrow"/>
                <w:sz w:val="18"/>
                <w:szCs w:val="18"/>
              </w:rPr>
              <w:t xml:space="preserve"> </w:t>
            </w:r>
            <w:proofErr w:type="spellStart"/>
            <w:r w:rsidRPr="0007388B">
              <w:rPr>
                <w:rFonts w:ascii="Arial Narrow" w:hAnsi="Arial Narrow"/>
                <w:sz w:val="18"/>
                <w:szCs w:val="18"/>
              </w:rPr>
              <w:t>somapacit</w:t>
            </w:r>
            <w:r>
              <w:rPr>
                <w:rFonts w:ascii="Arial Narrow" w:hAnsi="Arial Narrow"/>
                <w:sz w:val="18"/>
                <w:szCs w:val="18"/>
              </w:rPr>
              <w:t>a</w:t>
            </w:r>
            <w:r w:rsidRPr="0007388B">
              <w:rPr>
                <w:rFonts w:ascii="Arial Narrow" w:hAnsi="Arial Narrow"/>
                <w:sz w:val="18"/>
                <w:szCs w:val="18"/>
              </w:rPr>
              <w:t>n</w:t>
            </w:r>
            <w:proofErr w:type="spellEnd"/>
            <w:r w:rsidRPr="0007388B">
              <w:rPr>
                <w:rFonts w:ascii="Arial Narrow" w:hAnsi="Arial Narrow"/>
                <w:sz w:val="18"/>
                <w:szCs w:val="18"/>
              </w:rPr>
              <w:t xml:space="preserve"> at a weekly dose of greater 2.5 mg</w:t>
            </w:r>
          </w:p>
        </w:tc>
      </w:tr>
      <w:tr w:rsidR="007C2699" w:rsidRPr="008A1FB6" w14:paraId="378CD494" w14:textId="77777777" w:rsidTr="00C47D9E">
        <w:tblPrEx>
          <w:tblCellMar>
            <w:top w:w="15" w:type="dxa"/>
            <w:left w:w="15" w:type="dxa"/>
            <w:bottom w:w="15" w:type="dxa"/>
            <w:right w:w="15" w:type="dxa"/>
          </w:tblCellMar>
          <w:tblLook w:val="04A0" w:firstRow="1" w:lastRow="0" w:firstColumn="1" w:lastColumn="0" w:noHBand="0" w:noVBand="1"/>
        </w:tblPrEx>
        <w:trPr>
          <w:trHeight w:val="174"/>
        </w:trPr>
        <w:tc>
          <w:tcPr>
            <w:tcW w:w="981" w:type="dxa"/>
            <w:tcBorders>
              <w:left w:val="single" w:sz="4" w:space="0" w:color="auto"/>
              <w:right w:val="single" w:sz="4" w:space="0" w:color="auto"/>
            </w:tcBorders>
          </w:tcPr>
          <w:p w14:paraId="5FDF01BB"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9525B7F" w14:textId="77777777" w:rsidR="007C2699" w:rsidRPr="006D2E3C" w:rsidRDefault="007C2699" w:rsidP="00C47D9E">
            <w:pPr>
              <w:rPr>
                <w:rFonts w:ascii="Arial Narrow" w:hAnsi="Arial Narrow" w:cs="Arial"/>
                <w:b/>
                <w:sz w:val="18"/>
                <w:szCs w:val="18"/>
              </w:rPr>
            </w:pPr>
          </w:p>
        </w:tc>
      </w:tr>
      <w:tr w:rsidR="007C2699" w:rsidRPr="008A1FB6" w14:paraId="7C4483A2"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30C40982" w14:textId="290E4C84" w:rsidR="007C2699" w:rsidRPr="006D2E3C" w:rsidRDefault="007C2699" w:rsidP="00C47D9E">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BAD8E99" w14:textId="77777777" w:rsidR="007C2699" w:rsidRPr="0074740A" w:rsidRDefault="007C2699" w:rsidP="00C47D9E">
            <w:pPr>
              <w:rPr>
                <w:rFonts w:ascii="Arial Narrow" w:hAnsi="Arial Narrow" w:cs="Arial"/>
                <w:bCs/>
                <w:sz w:val="18"/>
                <w:szCs w:val="18"/>
              </w:rPr>
            </w:pPr>
            <w:r>
              <w:rPr>
                <w:rFonts w:ascii="Arial Narrow" w:hAnsi="Arial Narrow" w:cs="Arial"/>
                <w:b/>
                <w:sz w:val="18"/>
                <w:szCs w:val="18"/>
              </w:rPr>
              <w:t xml:space="preserve">Indication: </w:t>
            </w:r>
            <w:r>
              <w:rPr>
                <w:rFonts w:ascii="Arial Narrow" w:hAnsi="Arial Narrow" w:cs="Arial"/>
                <w:bCs/>
                <w:sz w:val="18"/>
                <w:szCs w:val="18"/>
              </w:rPr>
              <w:t>Severe growth hormone deficiency</w:t>
            </w:r>
          </w:p>
        </w:tc>
      </w:tr>
      <w:tr w:rsidR="007C2699" w:rsidRPr="008A1FB6" w14:paraId="3CD47FF5"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6B7AC806"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05876DA" w14:textId="77777777" w:rsidR="007C2699" w:rsidRDefault="007C2699" w:rsidP="00C47D9E">
            <w:pPr>
              <w:rPr>
                <w:rFonts w:ascii="Arial Narrow" w:hAnsi="Arial Narrow" w:cs="Arial"/>
                <w:b/>
                <w:sz w:val="18"/>
                <w:szCs w:val="18"/>
              </w:rPr>
            </w:pPr>
          </w:p>
        </w:tc>
      </w:tr>
      <w:tr w:rsidR="007C2699" w:rsidRPr="008A1FB6" w14:paraId="792E210A"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3F3DB006"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C969DBD" w14:textId="77777777" w:rsidR="007C2699" w:rsidRPr="006D2E3C" w:rsidRDefault="007C2699" w:rsidP="00C47D9E">
            <w:pPr>
              <w:rPr>
                <w:rFonts w:ascii="Arial Narrow" w:hAnsi="Arial Narrow" w:cs="Arial"/>
                <w:b/>
                <w:sz w:val="18"/>
                <w:szCs w:val="18"/>
              </w:rPr>
            </w:pPr>
            <w:r w:rsidRPr="006D2E3C">
              <w:rPr>
                <w:rFonts w:ascii="Arial Narrow" w:hAnsi="Arial Narrow" w:cs="Arial"/>
                <w:b/>
                <w:sz w:val="18"/>
                <w:szCs w:val="18"/>
              </w:rPr>
              <w:t xml:space="preserve">Treatment phase: </w:t>
            </w:r>
            <w:r w:rsidRPr="006D2E3C">
              <w:rPr>
                <w:rFonts w:ascii="Arial Narrow" w:hAnsi="Arial Narrow" w:cs="Arial"/>
                <w:bCs/>
                <w:sz w:val="18"/>
                <w:szCs w:val="18"/>
              </w:rPr>
              <w:t>Continuing treatment in a person with a mature skeleton or aged 18 years or older</w:t>
            </w:r>
          </w:p>
        </w:tc>
      </w:tr>
      <w:tr w:rsidR="007C2699" w:rsidRPr="008A1FB6" w14:paraId="62019FB0" w14:textId="77777777" w:rsidTr="00C47D9E">
        <w:tblPrEx>
          <w:tblCellMar>
            <w:top w:w="15" w:type="dxa"/>
            <w:left w:w="15" w:type="dxa"/>
            <w:bottom w:w="15" w:type="dxa"/>
            <w:right w:w="15" w:type="dxa"/>
          </w:tblCellMar>
          <w:tblLook w:val="04A0" w:firstRow="1" w:lastRow="0" w:firstColumn="1" w:lastColumn="0" w:noHBand="0" w:noVBand="1"/>
        </w:tblPrEx>
        <w:trPr>
          <w:trHeight w:val="222"/>
        </w:trPr>
        <w:tc>
          <w:tcPr>
            <w:tcW w:w="981" w:type="dxa"/>
            <w:tcBorders>
              <w:left w:val="single" w:sz="4" w:space="0" w:color="auto"/>
            </w:tcBorders>
            <w:textDirection w:val="btLr"/>
          </w:tcPr>
          <w:p w14:paraId="79B6847A"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6A05224C" w14:textId="77777777" w:rsidR="007C2699" w:rsidRDefault="007C2699" w:rsidP="00C47D9E">
            <w:pPr>
              <w:rPr>
                <w:rFonts w:ascii="Arial Narrow" w:hAnsi="Arial Narrow"/>
                <w:b/>
                <w:bCs/>
                <w:sz w:val="18"/>
                <w:szCs w:val="18"/>
              </w:rPr>
            </w:pPr>
          </w:p>
        </w:tc>
      </w:tr>
      <w:tr w:rsidR="007C2699" w:rsidRPr="007F2BB2" w14:paraId="108FA30C"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5F2DD25"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211A7F3A" w14:textId="77777777" w:rsidR="007C2699" w:rsidRPr="006D2E3C" w:rsidRDefault="007C2699" w:rsidP="00C47D9E">
            <w:pPr>
              <w:rPr>
                <w:rFonts w:ascii="Arial Narrow" w:hAnsi="Arial Narrow"/>
                <w:b/>
                <w:bCs/>
                <w:color w:val="333333"/>
                <w:sz w:val="18"/>
                <w:szCs w:val="18"/>
              </w:rPr>
            </w:pPr>
            <w:r>
              <w:rPr>
                <w:rFonts w:ascii="Arial Narrow" w:hAnsi="Arial Narrow"/>
                <w:b/>
                <w:bCs/>
                <w:color w:val="333333"/>
                <w:sz w:val="18"/>
                <w:szCs w:val="18"/>
              </w:rPr>
              <w:t xml:space="preserve">Treatment criteria: </w:t>
            </w:r>
          </w:p>
        </w:tc>
      </w:tr>
      <w:tr w:rsidR="007C2699" w:rsidRPr="007F2BB2" w14:paraId="11892C4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16EC811" w14:textId="249A29A3" w:rsidR="007C2699" w:rsidRDefault="007C2699" w:rsidP="00C47D9E">
            <w:pPr>
              <w:jc w:val="center"/>
              <w:rPr>
                <w:rFonts w:ascii="Arial Narrow" w:hAnsi="Arial Narrow"/>
                <w:color w:val="333333"/>
                <w:sz w:val="18"/>
                <w:szCs w:val="18"/>
              </w:rPr>
            </w:pPr>
          </w:p>
        </w:tc>
        <w:tc>
          <w:tcPr>
            <w:tcW w:w="8086" w:type="dxa"/>
            <w:gridSpan w:val="6"/>
            <w:vAlign w:val="center"/>
          </w:tcPr>
          <w:p w14:paraId="41FE23AB" w14:textId="77777777" w:rsidR="007C2699" w:rsidRPr="00B4571A" w:rsidRDefault="007C2699" w:rsidP="00C47D9E">
            <w:pPr>
              <w:rPr>
                <w:rFonts w:ascii="Arial Narrow" w:hAnsi="Arial Narrow"/>
                <w:color w:val="333333"/>
                <w:sz w:val="18"/>
                <w:szCs w:val="18"/>
              </w:rPr>
            </w:pPr>
            <w:r w:rsidRPr="00B4571A">
              <w:rPr>
                <w:rFonts w:ascii="Arial Narrow" w:hAnsi="Arial Narrow"/>
                <w:color w:val="333333"/>
                <w:sz w:val="18"/>
                <w:szCs w:val="18"/>
              </w:rPr>
              <w:t>Must be treated by an endocrinologist</w:t>
            </w:r>
          </w:p>
          <w:p w14:paraId="4DAB3BC0" w14:textId="77777777" w:rsidR="007C2699" w:rsidRPr="00B4571A" w:rsidRDefault="007C2699" w:rsidP="00C47D9E">
            <w:pPr>
              <w:spacing w:after="120"/>
              <w:rPr>
                <w:rFonts w:ascii="Arial Narrow" w:hAnsi="Arial Narrow"/>
                <w:sz w:val="18"/>
                <w:szCs w:val="18"/>
              </w:rPr>
            </w:pPr>
            <w:r w:rsidRPr="00B4571A">
              <w:rPr>
                <w:rFonts w:ascii="Arial Narrow" w:hAnsi="Arial Narrow"/>
                <w:sz w:val="18"/>
                <w:szCs w:val="18"/>
              </w:rPr>
              <w:t>AND</w:t>
            </w:r>
          </w:p>
          <w:p w14:paraId="3D200C6B" w14:textId="77777777" w:rsidR="007C2699" w:rsidRPr="00217DD8" w:rsidRDefault="007C2699" w:rsidP="00C47D9E">
            <w:pPr>
              <w:rPr>
                <w:rFonts w:ascii="Arial Narrow" w:hAnsi="Arial Narrow"/>
                <w:color w:val="333333"/>
                <w:sz w:val="18"/>
                <w:szCs w:val="18"/>
              </w:rPr>
            </w:pPr>
            <w:r w:rsidRPr="00B4571A">
              <w:rPr>
                <w:rFonts w:ascii="Arial Narrow" w:hAnsi="Arial Narrow"/>
                <w:sz w:val="18"/>
                <w:szCs w:val="18"/>
              </w:rPr>
              <w:t>[NEW TC] Patient must be undergoing treatment for the stated indication with only one drug at a time where multiple drugs are PBS-listed for the stated indication</w:t>
            </w:r>
          </w:p>
        </w:tc>
      </w:tr>
      <w:tr w:rsidR="007C2699" w:rsidRPr="007F2BB2" w14:paraId="7386934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6747D9A"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4E0366AB" w14:textId="77777777" w:rsidR="007C2699" w:rsidRPr="006D2E3C" w:rsidRDefault="007C2699" w:rsidP="00C47D9E">
            <w:pPr>
              <w:rPr>
                <w:rFonts w:ascii="Arial Narrow" w:hAnsi="Arial Narrow"/>
                <w:b/>
                <w:bCs/>
                <w:color w:val="333333"/>
                <w:sz w:val="18"/>
                <w:szCs w:val="18"/>
              </w:rPr>
            </w:pPr>
            <w:r w:rsidRPr="00217DD8">
              <w:rPr>
                <w:rFonts w:ascii="Arial Narrow" w:hAnsi="Arial Narrow"/>
                <w:b/>
                <w:bCs/>
                <w:color w:val="333333"/>
                <w:sz w:val="18"/>
                <w:szCs w:val="18"/>
              </w:rPr>
              <w:t>AND</w:t>
            </w:r>
          </w:p>
        </w:tc>
      </w:tr>
      <w:tr w:rsidR="007C2699" w:rsidRPr="007F2BB2" w14:paraId="3BCE41E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CCC684"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26E86097" w14:textId="77777777" w:rsidR="007C2699" w:rsidRPr="001B5AD1" w:rsidRDefault="007C2699" w:rsidP="00C47D9E">
            <w:pPr>
              <w:rPr>
                <w:rFonts w:ascii="Arial Narrow" w:hAnsi="Arial Narrow"/>
                <w:color w:val="333333"/>
                <w:sz w:val="18"/>
                <w:szCs w:val="18"/>
              </w:rPr>
            </w:pPr>
            <w:r>
              <w:rPr>
                <w:rFonts w:ascii="Arial Narrow" w:hAnsi="Arial Narrow"/>
                <w:b/>
                <w:bCs/>
                <w:color w:val="333333"/>
                <w:sz w:val="18"/>
                <w:szCs w:val="18"/>
              </w:rPr>
              <w:t>Clinical criteria:</w:t>
            </w:r>
          </w:p>
        </w:tc>
      </w:tr>
      <w:tr w:rsidR="007C2699" w:rsidRPr="007F2BB2" w14:paraId="0D1A5E1D"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2C2BB24" w14:textId="493C2935"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339242D3" w14:textId="77777777" w:rsidR="007C2699" w:rsidRPr="00024DD5" w:rsidRDefault="007C2699" w:rsidP="00C47D9E">
            <w:pPr>
              <w:rPr>
                <w:rFonts w:ascii="Arial Narrow" w:hAnsi="Arial Narrow"/>
                <w:color w:val="333333"/>
                <w:sz w:val="18"/>
                <w:szCs w:val="18"/>
              </w:rPr>
            </w:pPr>
            <w:r w:rsidRPr="00024DD5">
              <w:rPr>
                <w:rFonts w:ascii="Arial Narrow" w:hAnsi="Arial Narrow"/>
                <w:color w:val="333333"/>
                <w:sz w:val="18"/>
                <w:szCs w:val="18"/>
              </w:rPr>
              <w:t xml:space="preserve">Patient must have received PBS-subsidised growth hormone therapy for this condition under an initial treatment restriction applying to a documented childhood onset growth hormone deficiency due to a congenital, </w:t>
            </w:r>
            <w:proofErr w:type="gramStart"/>
            <w:r w:rsidRPr="00024DD5">
              <w:rPr>
                <w:rFonts w:ascii="Arial Narrow" w:hAnsi="Arial Narrow"/>
                <w:color w:val="333333"/>
                <w:sz w:val="18"/>
                <w:szCs w:val="18"/>
              </w:rPr>
              <w:t>genetic</w:t>
            </w:r>
            <w:proofErr w:type="gramEnd"/>
            <w:r w:rsidRPr="00024DD5">
              <w:rPr>
                <w:rFonts w:ascii="Arial Narrow" w:hAnsi="Arial Narrow"/>
                <w:color w:val="333333"/>
                <w:sz w:val="18"/>
                <w:szCs w:val="18"/>
              </w:rPr>
              <w:t xml:space="preserve"> or structural cause in a patient with a mature skeleton and chronological age of 18 years or older; or</w:t>
            </w:r>
          </w:p>
        </w:tc>
      </w:tr>
      <w:tr w:rsidR="007C2699" w:rsidRPr="007F2BB2" w14:paraId="05E8B0EA"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799409F" w14:textId="2405ABAD" w:rsidR="007C2699" w:rsidRPr="001B5AD1" w:rsidRDefault="007C2699" w:rsidP="00C47D9E">
            <w:pPr>
              <w:jc w:val="center"/>
              <w:rPr>
                <w:rFonts w:ascii="Arial Narrow" w:hAnsi="Arial Narrow"/>
                <w:color w:val="333333"/>
                <w:sz w:val="18"/>
                <w:szCs w:val="18"/>
              </w:rPr>
            </w:pPr>
          </w:p>
        </w:tc>
        <w:tc>
          <w:tcPr>
            <w:tcW w:w="8086" w:type="dxa"/>
            <w:gridSpan w:val="6"/>
            <w:vAlign w:val="center"/>
          </w:tcPr>
          <w:p w14:paraId="5D50F58B" w14:textId="77777777" w:rsidR="007C2699" w:rsidRPr="001B5AD1" w:rsidRDefault="007C2699" w:rsidP="00C47D9E">
            <w:pPr>
              <w:rPr>
                <w:rFonts w:ascii="Arial Narrow" w:hAnsi="Arial Narrow"/>
                <w:color w:val="333333"/>
                <w:sz w:val="18"/>
                <w:szCs w:val="18"/>
              </w:rPr>
            </w:pPr>
            <w:r w:rsidRPr="001B5AD1">
              <w:rPr>
                <w:rFonts w:ascii="Arial Narrow" w:hAnsi="Arial Narrow"/>
                <w:color w:val="333333"/>
                <w:sz w:val="18"/>
                <w:szCs w:val="18"/>
              </w:rPr>
              <w:t xml:space="preserve">Patient must have received PBS-subsidised </w:t>
            </w:r>
            <w:r>
              <w:rPr>
                <w:rFonts w:ascii="Arial Narrow" w:hAnsi="Arial Narrow"/>
                <w:color w:val="333333"/>
                <w:sz w:val="18"/>
                <w:szCs w:val="18"/>
              </w:rPr>
              <w:t xml:space="preserve">growth hormone </w:t>
            </w:r>
            <w:r w:rsidRPr="001B5AD1">
              <w:rPr>
                <w:rFonts w:ascii="Arial Narrow" w:hAnsi="Arial Narrow"/>
                <w:color w:val="333333"/>
                <w:sz w:val="18"/>
                <w:szCs w:val="18"/>
              </w:rPr>
              <w:t xml:space="preserve">therapy for this condition under an initial treatment restriction applying to </w:t>
            </w:r>
            <w:r>
              <w:rPr>
                <w:rFonts w:ascii="Arial Narrow" w:hAnsi="Arial Narrow"/>
                <w:color w:val="333333"/>
                <w:sz w:val="18"/>
                <w:szCs w:val="18"/>
              </w:rPr>
              <w:t>late</w:t>
            </w:r>
            <w:r w:rsidRPr="001B5AD1">
              <w:rPr>
                <w:rFonts w:ascii="Arial Narrow" w:hAnsi="Arial Narrow"/>
                <w:color w:val="333333"/>
                <w:sz w:val="18"/>
                <w:szCs w:val="18"/>
              </w:rPr>
              <w:t xml:space="preserve"> onset growth hormone deficiency secondary to organic hypothalamic or pituitary disease in a patient aged 18 years or older</w:t>
            </w:r>
            <w:r>
              <w:rPr>
                <w:rFonts w:ascii="Arial Narrow" w:hAnsi="Arial Narrow"/>
                <w:color w:val="333333"/>
                <w:sz w:val="18"/>
                <w:szCs w:val="18"/>
              </w:rPr>
              <w:t>; or</w:t>
            </w:r>
          </w:p>
        </w:tc>
      </w:tr>
      <w:tr w:rsidR="007C2699" w:rsidRPr="007F2BB2" w14:paraId="0DD86C8B"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D7A533" w14:textId="0897C206" w:rsidR="007C2699" w:rsidRPr="001B5AD1" w:rsidRDefault="007C2699" w:rsidP="00C47D9E">
            <w:pPr>
              <w:jc w:val="center"/>
              <w:rPr>
                <w:rFonts w:ascii="Arial Narrow" w:hAnsi="Arial Narrow"/>
                <w:color w:val="333333"/>
                <w:sz w:val="18"/>
                <w:szCs w:val="18"/>
              </w:rPr>
            </w:pPr>
          </w:p>
        </w:tc>
        <w:tc>
          <w:tcPr>
            <w:tcW w:w="8086" w:type="dxa"/>
            <w:gridSpan w:val="6"/>
            <w:vAlign w:val="center"/>
          </w:tcPr>
          <w:p w14:paraId="4DE9651A" w14:textId="77777777" w:rsidR="007C2699" w:rsidRPr="001B5AD1" w:rsidRDefault="007C2699" w:rsidP="00C47D9E">
            <w:pPr>
              <w:rPr>
                <w:rFonts w:ascii="Arial Narrow" w:hAnsi="Arial Narrow"/>
                <w:color w:val="333333"/>
                <w:sz w:val="18"/>
                <w:szCs w:val="18"/>
              </w:rPr>
            </w:pPr>
            <w:r w:rsidRPr="00993EDD">
              <w:rPr>
                <w:rFonts w:ascii="Arial Narrow" w:hAnsi="Arial Narrow"/>
                <w:color w:val="333333"/>
                <w:sz w:val="18"/>
                <w:szCs w:val="18"/>
              </w:rPr>
              <w:t>Patient must have received PBS-subsidised growth hormone therapy for this condition under an initial treatment restriction applying to late onset of growth hormone deficiency diagnosed after skeletal maturity (bone age greater than or equal to 15.5 years in males or 13.5 years in females) and before chronological age of 18 years.</w:t>
            </w:r>
          </w:p>
        </w:tc>
      </w:tr>
      <w:tr w:rsidR="007C2699" w:rsidRPr="007F2BB2" w14:paraId="0663CAE4"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2C8B8A8" w14:textId="77777777" w:rsidR="007C2699" w:rsidRPr="00993EDD" w:rsidRDefault="007C2699" w:rsidP="00C47D9E">
            <w:pPr>
              <w:jc w:val="center"/>
              <w:rPr>
                <w:rFonts w:ascii="Arial Narrow" w:hAnsi="Arial Narrow"/>
                <w:color w:val="333333"/>
                <w:sz w:val="18"/>
                <w:szCs w:val="18"/>
              </w:rPr>
            </w:pPr>
          </w:p>
        </w:tc>
        <w:tc>
          <w:tcPr>
            <w:tcW w:w="8086" w:type="dxa"/>
            <w:gridSpan w:val="6"/>
            <w:vAlign w:val="center"/>
          </w:tcPr>
          <w:p w14:paraId="2960ECA9" w14:textId="77777777" w:rsidR="007C2699" w:rsidRPr="00993EDD" w:rsidRDefault="007C2699" w:rsidP="00C47D9E">
            <w:pPr>
              <w:rPr>
                <w:rFonts w:ascii="Arial Narrow" w:hAnsi="Arial Narrow"/>
                <w:color w:val="333333"/>
                <w:sz w:val="18"/>
                <w:szCs w:val="18"/>
              </w:rPr>
            </w:pPr>
          </w:p>
        </w:tc>
      </w:tr>
      <w:tr w:rsidR="007C2699" w:rsidRPr="007F2BB2" w14:paraId="73C8243C"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D67343" w14:textId="40FB202B"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5910C7A7" w14:textId="77777777" w:rsidR="007C2699" w:rsidRPr="001B5AD1" w:rsidRDefault="007C2699" w:rsidP="00C47D9E">
            <w:pPr>
              <w:rPr>
                <w:rFonts w:ascii="Arial Narrow" w:hAnsi="Arial Narrow"/>
                <w:color w:val="333333"/>
                <w:sz w:val="18"/>
                <w:szCs w:val="18"/>
              </w:rPr>
            </w:pPr>
            <w:r>
              <w:rPr>
                <w:rFonts w:ascii="Arial Narrow" w:hAnsi="Arial Narrow"/>
                <w:b/>
                <w:bCs/>
                <w:color w:val="333333"/>
                <w:sz w:val="18"/>
                <w:szCs w:val="18"/>
              </w:rPr>
              <w:t xml:space="preserve">Administrative advice: </w:t>
            </w:r>
            <w:r w:rsidRPr="001B5AD1">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7C2699" w:rsidRPr="007F2BB2" w14:paraId="2F522158"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0231871" w14:textId="77777777" w:rsidR="007C2699" w:rsidRDefault="007C2699" w:rsidP="00C47D9E">
            <w:pPr>
              <w:rPr>
                <w:rFonts w:ascii="Arial Narrow" w:hAnsi="Arial Narrow"/>
                <w:b/>
                <w:bCs/>
                <w:color w:val="333333"/>
                <w:sz w:val="18"/>
                <w:szCs w:val="18"/>
              </w:rPr>
            </w:pPr>
          </w:p>
          <w:p w14:paraId="3D6D90A0" w14:textId="77777777" w:rsidR="007C2699" w:rsidRDefault="007C2699" w:rsidP="00C47D9E">
            <w:pPr>
              <w:rPr>
                <w:rFonts w:ascii="Arial Narrow" w:hAnsi="Arial Narrow"/>
                <w:b/>
                <w:bCs/>
                <w:color w:val="333333"/>
                <w:sz w:val="18"/>
                <w:szCs w:val="18"/>
              </w:rPr>
            </w:pPr>
          </w:p>
        </w:tc>
      </w:tr>
      <w:tr w:rsidR="007C2699" w:rsidRPr="006D2E3C" w14:paraId="3688AAA3"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CD5F0ED" w14:textId="77777777" w:rsidR="007C2699" w:rsidRPr="006D2E3C" w:rsidRDefault="007C2699" w:rsidP="00C47D9E">
            <w:pPr>
              <w:rPr>
                <w:rFonts w:ascii="Arial Narrow" w:hAnsi="Arial Narrow" w:cs="Arial"/>
                <w:b/>
                <w:sz w:val="18"/>
                <w:szCs w:val="18"/>
              </w:rPr>
            </w:pPr>
            <w:r w:rsidRPr="006D2E3C">
              <w:rPr>
                <w:rFonts w:ascii="Arial Narrow" w:hAnsi="Arial Narrow"/>
                <w:b/>
                <w:sz w:val="18"/>
                <w:szCs w:val="18"/>
              </w:rPr>
              <w:t>Restriction Summary [new</w:t>
            </w:r>
            <w:r>
              <w:rPr>
                <w:rFonts w:ascii="Arial Narrow" w:hAnsi="Arial Narrow"/>
                <w:b/>
                <w:sz w:val="18"/>
                <w:szCs w:val="18"/>
              </w:rPr>
              <w:t xml:space="preserve"> 5</w:t>
            </w:r>
            <w:r w:rsidRPr="006D2E3C">
              <w:rPr>
                <w:rFonts w:ascii="Arial Narrow" w:hAnsi="Arial Narrow"/>
                <w:b/>
                <w:sz w:val="18"/>
                <w:szCs w:val="18"/>
              </w:rPr>
              <w:t>] / Treatment of Concept: [new</w:t>
            </w:r>
            <w:r>
              <w:rPr>
                <w:rFonts w:ascii="Arial Narrow" w:hAnsi="Arial Narrow"/>
                <w:b/>
                <w:sz w:val="18"/>
                <w:szCs w:val="18"/>
              </w:rPr>
              <w:t xml:space="preserve"> 6</w:t>
            </w:r>
            <w:r w:rsidRPr="006D2E3C">
              <w:rPr>
                <w:rFonts w:ascii="Arial Narrow" w:hAnsi="Arial Narrow"/>
                <w:b/>
                <w:sz w:val="18"/>
                <w:szCs w:val="18"/>
              </w:rPr>
              <w:t>]</w:t>
            </w:r>
          </w:p>
        </w:tc>
      </w:tr>
      <w:tr w:rsidR="007C2699" w:rsidRPr="006D2E3C" w14:paraId="3E26965E" w14:textId="77777777" w:rsidTr="00C47D9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09445A2E" w14:textId="7D0DF01A" w:rsidR="007C2699" w:rsidRPr="006D2E3C" w:rsidRDefault="007C2699" w:rsidP="00C47D9E">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1E4452BB" w14:textId="77777777" w:rsidR="007C2699" w:rsidRPr="006D2E3C" w:rsidRDefault="007C2699" w:rsidP="00C47D9E">
            <w:pPr>
              <w:rPr>
                <w:rFonts w:ascii="Arial Narrow" w:hAnsi="Arial Narrow" w:cs="Arial"/>
                <w:sz w:val="18"/>
                <w:szCs w:val="18"/>
              </w:rPr>
            </w:pPr>
            <w:r w:rsidRPr="006D2E3C">
              <w:rPr>
                <w:rFonts w:ascii="Arial Narrow" w:hAnsi="Arial Narrow" w:cs="Arial"/>
                <w:b/>
                <w:sz w:val="18"/>
                <w:szCs w:val="18"/>
              </w:rPr>
              <w:t xml:space="preserve">Category / Program: </w:t>
            </w:r>
            <w:r w:rsidRPr="006D2E3C">
              <w:rPr>
                <w:rFonts w:ascii="Arial Narrow" w:hAnsi="Arial Narrow" w:cs="Arial"/>
                <w:sz w:val="18"/>
                <w:szCs w:val="18"/>
              </w:rPr>
              <w:t>Section 100 – Growth Hormone Program</w:t>
            </w:r>
          </w:p>
        </w:tc>
      </w:tr>
      <w:tr w:rsidR="007C2699" w:rsidRPr="006D2E3C" w14:paraId="218E17F4" w14:textId="77777777" w:rsidTr="00C47D9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69636418"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503E5A8" w14:textId="77777777" w:rsidR="007C2699" w:rsidRPr="006D2E3C" w:rsidRDefault="007C2699" w:rsidP="00C47D9E">
            <w:pPr>
              <w:rPr>
                <w:rFonts w:ascii="Arial Narrow" w:hAnsi="Arial Narrow" w:cs="Arial"/>
                <w:b/>
                <w:sz w:val="18"/>
                <w:szCs w:val="18"/>
              </w:rPr>
            </w:pPr>
            <w:r w:rsidRPr="006D2E3C">
              <w:rPr>
                <w:rFonts w:ascii="Arial Narrow" w:hAnsi="Arial Narrow" w:cs="Arial"/>
                <w:b/>
                <w:sz w:val="18"/>
                <w:szCs w:val="18"/>
              </w:rPr>
              <w:t xml:space="preserve">Prescriber type: </w:t>
            </w:r>
            <w:r w:rsidRPr="006D2E3C">
              <w:rPr>
                <w:rFonts w:ascii="Arial Narrow" w:hAnsi="Arial Narrow" w:cs="Arial"/>
                <w:sz w:val="18"/>
                <w:szCs w:val="18"/>
              </w:rPr>
              <w:fldChar w:fldCharType="begin">
                <w:ffData>
                  <w:name w:val=""/>
                  <w:enabled/>
                  <w:calcOnExit w:val="0"/>
                  <w:checkBox>
                    <w:sizeAuto/>
                    <w:default w:val="1"/>
                  </w:checkBox>
                </w:ffData>
              </w:fldChar>
            </w:r>
            <w:r w:rsidRPr="006D2E3C">
              <w:rPr>
                <w:rFonts w:ascii="Arial Narrow" w:hAnsi="Arial Narrow" w:cs="Arial"/>
                <w:sz w:val="18"/>
                <w:szCs w:val="18"/>
              </w:rPr>
              <w:instrText xml:space="preserve"> FORMCHECKBOX </w:instrText>
            </w:r>
            <w:r w:rsidR="00AB6385">
              <w:rPr>
                <w:rFonts w:ascii="Arial Narrow" w:hAnsi="Arial Narrow" w:cs="Arial"/>
                <w:sz w:val="18"/>
                <w:szCs w:val="18"/>
              </w:rPr>
            </w:r>
            <w:r w:rsidR="00AB6385">
              <w:rPr>
                <w:rFonts w:ascii="Arial Narrow" w:hAnsi="Arial Narrow" w:cs="Arial"/>
                <w:sz w:val="18"/>
                <w:szCs w:val="18"/>
              </w:rPr>
              <w:fldChar w:fldCharType="separate"/>
            </w:r>
            <w:r w:rsidRPr="006D2E3C">
              <w:rPr>
                <w:rFonts w:ascii="Arial Narrow" w:hAnsi="Arial Narrow" w:cs="Arial"/>
                <w:sz w:val="18"/>
                <w:szCs w:val="18"/>
              </w:rPr>
              <w:fldChar w:fldCharType="end"/>
            </w:r>
            <w:r w:rsidRPr="006D2E3C">
              <w:rPr>
                <w:rFonts w:ascii="Arial Narrow" w:hAnsi="Arial Narrow" w:cs="Arial"/>
                <w:sz w:val="18"/>
                <w:szCs w:val="18"/>
              </w:rPr>
              <w:t xml:space="preserve"> Medical Practitioners</w:t>
            </w:r>
          </w:p>
        </w:tc>
      </w:tr>
      <w:tr w:rsidR="007C2699" w:rsidRPr="006D2E3C" w14:paraId="1D6A1494" w14:textId="77777777" w:rsidTr="00C47D9E">
        <w:tblPrEx>
          <w:tblCellMar>
            <w:top w:w="15" w:type="dxa"/>
            <w:left w:w="15" w:type="dxa"/>
            <w:bottom w:w="15" w:type="dxa"/>
            <w:right w:w="15" w:type="dxa"/>
          </w:tblCellMar>
          <w:tblLook w:val="04A0" w:firstRow="1" w:lastRow="0" w:firstColumn="1" w:lastColumn="0" w:noHBand="0" w:noVBand="1"/>
        </w:tblPrEx>
        <w:trPr>
          <w:trHeight w:val="162"/>
        </w:trPr>
        <w:tc>
          <w:tcPr>
            <w:tcW w:w="981" w:type="dxa"/>
            <w:vMerge/>
            <w:tcBorders>
              <w:left w:val="single" w:sz="4" w:space="0" w:color="auto"/>
              <w:right w:val="single" w:sz="4" w:space="0" w:color="auto"/>
            </w:tcBorders>
          </w:tcPr>
          <w:p w14:paraId="6339AEC6"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6F2D88B" w14:textId="77777777" w:rsidR="007C2699" w:rsidRPr="006D2E3C" w:rsidRDefault="007C2699" w:rsidP="00C47D9E">
            <w:pPr>
              <w:rPr>
                <w:rFonts w:ascii="Arial Narrow" w:eastAsia="Calibri" w:hAnsi="Arial Narrow" w:cs="Arial"/>
                <w:color w:val="FF0000"/>
                <w:sz w:val="18"/>
                <w:szCs w:val="18"/>
              </w:rPr>
            </w:pPr>
            <w:r w:rsidRPr="006D2E3C">
              <w:rPr>
                <w:rFonts w:ascii="Arial Narrow" w:hAnsi="Arial Narrow" w:cs="Arial"/>
                <w:b/>
                <w:sz w:val="18"/>
                <w:szCs w:val="18"/>
              </w:rPr>
              <w:t>Restriction type:</w:t>
            </w:r>
            <w:r>
              <w:rPr>
                <w:rFonts w:ascii="Arial Narrow" w:hAnsi="Arial Narrow" w:cs="Arial"/>
                <w:b/>
                <w:sz w:val="18"/>
                <w:szCs w:val="18"/>
              </w:rPr>
              <w:t xml:space="preserve"> </w:t>
            </w:r>
            <w:r w:rsidRPr="006D2E3C">
              <w:rPr>
                <w:rFonts w:ascii="Arial Narrow" w:eastAsia="Calibri" w:hAnsi="Arial Narrow" w:cs="Arial"/>
                <w:sz w:val="18"/>
                <w:szCs w:val="18"/>
              </w:rPr>
              <w:fldChar w:fldCharType="begin">
                <w:ffData>
                  <w:name w:val="Check3"/>
                  <w:enabled/>
                  <w:calcOnExit w:val="0"/>
                  <w:checkBox>
                    <w:sizeAuto/>
                    <w:default w:val="1"/>
                  </w:checkBox>
                </w:ffData>
              </w:fldChar>
            </w:r>
            <w:r w:rsidRPr="006D2E3C">
              <w:rPr>
                <w:rFonts w:ascii="Arial Narrow" w:eastAsia="Calibri" w:hAnsi="Arial Narrow" w:cs="Arial"/>
                <w:sz w:val="18"/>
                <w:szCs w:val="18"/>
              </w:rPr>
              <w:instrText xml:space="preserve"> FORMCHECKBOX </w:instrText>
            </w:r>
            <w:r w:rsidR="00AB6385">
              <w:rPr>
                <w:rFonts w:ascii="Arial Narrow" w:eastAsia="Calibri" w:hAnsi="Arial Narrow" w:cs="Arial"/>
                <w:sz w:val="18"/>
                <w:szCs w:val="18"/>
              </w:rPr>
            </w:r>
            <w:r w:rsidR="00AB6385">
              <w:rPr>
                <w:rFonts w:ascii="Arial Narrow" w:eastAsia="Calibri" w:hAnsi="Arial Narrow" w:cs="Arial"/>
                <w:sz w:val="18"/>
                <w:szCs w:val="18"/>
              </w:rPr>
              <w:fldChar w:fldCharType="separate"/>
            </w:r>
            <w:r w:rsidRPr="006D2E3C">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6D2E3C">
              <w:rPr>
                <w:rFonts w:ascii="Arial Narrow" w:eastAsia="Calibri" w:hAnsi="Arial Narrow" w:cs="Arial"/>
                <w:sz w:val="18"/>
                <w:szCs w:val="18"/>
              </w:rPr>
              <w:t>Authority Required (</w:t>
            </w:r>
            <w:r>
              <w:rPr>
                <w:rFonts w:ascii="Arial Narrow" w:eastAsia="Calibri" w:hAnsi="Arial Narrow" w:cs="Arial"/>
                <w:sz w:val="18"/>
                <w:szCs w:val="18"/>
              </w:rPr>
              <w:t xml:space="preserve">in-writing only </w:t>
            </w:r>
            <w:r w:rsidRPr="006D2E3C">
              <w:rPr>
                <w:rFonts w:ascii="Arial Narrow" w:eastAsia="Calibri" w:hAnsi="Arial Narrow" w:cs="Arial"/>
                <w:sz w:val="18"/>
                <w:szCs w:val="18"/>
              </w:rPr>
              <w:t xml:space="preserve">via post/HPOS upload) </w:t>
            </w:r>
            <w:r w:rsidRPr="006D2E3C">
              <w:rPr>
                <w:rFonts w:ascii="Arial Narrow" w:hAnsi="Arial Narrow"/>
                <w:b/>
                <w:color w:val="FF0000"/>
                <w:sz w:val="18"/>
                <w:szCs w:val="18"/>
              </w:rPr>
              <w:t>CAR</w:t>
            </w:r>
          </w:p>
        </w:tc>
      </w:tr>
      <w:tr w:rsidR="007C2699" w:rsidRPr="006D2E3C" w14:paraId="6A6EEB39" w14:textId="77777777" w:rsidTr="00C47D9E">
        <w:tblPrEx>
          <w:tblCellMar>
            <w:top w:w="15" w:type="dxa"/>
            <w:left w:w="15" w:type="dxa"/>
            <w:bottom w:w="15" w:type="dxa"/>
            <w:right w:w="15" w:type="dxa"/>
          </w:tblCellMar>
          <w:tblLook w:val="04A0" w:firstRow="1" w:lastRow="0" w:firstColumn="1" w:lastColumn="0" w:noHBand="0" w:noVBand="1"/>
        </w:tblPrEx>
        <w:trPr>
          <w:trHeight w:val="162"/>
        </w:trPr>
        <w:tc>
          <w:tcPr>
            <w:tcW w:w="981" w:type="dxa"/>
            <w:tcBorders>
              <w:left w:val="single" w:sz="4" w:space="0" w:color="auto"/>
              <w:right w:val="single" w:sz="4" w:space="0" w:color="auto"/>
            </w:tcBorders>
          </w:tcPr>
          <w:p w14:paraId="09A44191"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7D741C4F" w14:textId="77777777" w:rsidR="007C2699" w:rsidRPr="006D2E3C" w:rsidRDefault="007C2699" w:rsidP="00C47D9E">
            <w:pPr>
              <w:rPr>
                <w:rFonts w:ascii="Arial Narrow" w:hAnsi="Arial Narrow" w:cs="Arial"/>
                <w:b/>
                <w:sz w:val="18"/>
                <w:szCs w:val="18"/>
              </w:rPr>
            </w:pPr>
          </w:p>
        </w:tc>
      </w:tr>
      <w:tr w:rsidR="007C2699" w:rsidRPr="0074740A" w14:paraId="39152BEE"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3C42D288" w14:textId="1AC11786" w:rsidR="007C2699" w:rsidRPr="006D2E3C" w:rsidRDefault="007C2699" w:rsidP="00C47D9E">
            <w:pPr>
              <w:jc w:val="cente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6A9389AA" w14:textId="77777777" w:rsidR="007C2699" w:rsidRPr="0074740A" w:rsidRDefault="007C2699" w:rsidP="00C47D9E">
            <w:pPr>
              <w:rPr>
                <w:rFonts w:ascii="Arial Narrow" w:hAnsi="Arial Narrow" w:cs="Arial"/>
                <w:bCs/>
                <w:sz w:val="18"/>
                <w:szCs w:val="18"/>
              </w:rPr>
            </w:pPr>
            <w:r>
              <w:rPr>
                <w:rFonts w:ascii="Arial Narrow" w:hAnsi="Arial Narrow" w:cs="Arial"/>
                <w:b/>
                <w:sz w:val="18"/>
                <w:szCs w:val="18"/>
              </w:rPr>
              <w:t xml:space="preserve">Indication: </w:t>
            </w:r>
            <w:r>
              <w:rPr>
                <w:rFonts w:ascii="Arial Narrow" w:hAnsi="Arial Narrow" w:cs="Arial"/>
                <w:bCs/>
                <w:sz w:val="18"/>
                <w:szCs w:val="18"/>
              </w:rPr>
              <w:t>Severe growth hormone deficiency</w:t>
            </w:r>
          </w:p>
        </w:tc>
      </w:tr>
      <w:tr w:rsidR="007C2699" w:rsidRPr="0074740A" w14:paraId="33D212FA"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7C4315E2"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34AB89CB" w14:textId="77777777" w:rsidR="007C2699" w:rsidRDefault="007C2699" w:rsidP="00C47D9E">
            <w:pPr>
              <w:rPr>
                <w:rFonts w:ascii="Arial Narrow" w:hAnsi="Arial Narrow" w:cs="Arial"/>
                <w:b/>
                <w:sz w:val="18"/>
                <w:szCs w:val="18"/>
              </w:rPr>
            </w:pPr>
          </w:p>
        </w:tc>
      </w:tr>
      <w:tr w:rsidR="007C2699" w:rsidRPr="006D2E3C" w14:paraId="2491B73E"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1D2EDFAF"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2A47EE67" w14:textId="77777777" w:rsidR="007C2699" w:rsidRPr="006D2E3C" w:rsidRDefault="007C2699" w:rsidP="00C47D9E">
            <w:pPr>
              <w:rPr>
                <w:rFonts w:ascii="Arial Narrow" w:hAnsi="Arial Narrow" w:cs="Arial"/>
                <w:b/>
                <w:sz w:val="18"/>
                <w:szCs w:val="18"/>
              </w:rPr>
            </w:pPr>
            <w:r w:rsidRPr="006D2E3C">
              <w:rPr>
                <w:rFonts w:ascii="Arial Narrow" w:hAnsi="Arial Narrow" w:cs="Arial"/>
                <w:b/>
                <w:sz w:val="18"/>
                <w:szCs w:val="18"/>
              </w:rPr>
              <w:t xml:space="preserve">Treatment phase: </w:t>
            </w:r>
            <w:r w:rsidRPr="0001406B">
              <w:rPr>
                <w:rFonts w:ascii="Arial Narrow" w:hAnsi="Arial Narrow" w:cs="Arial"/>
                <w:bCs/>
                <w:sz w:val="18"/>
                <w:szCs w:val="18"/>
              </w:rPr>
              <w:t xml:space="preserve">Initial treatment of childhood onset growth hormone deficiency in a patient who has received PBS-subsidised </w:t>
            </w:r>
            <w:r>
              <w:rPr>
                <w:rFonts w:ascii="Arial Narrow" w:hAnsi="Arial Narrow" w:cs="Arial"/>
                <w:bCs/>
                <w:sz w:val="18"/>
                <w:szCs w:val="18"/>
              </w:rPr>
              <w:t xml:space="preserve">growth hormone </w:t>
            </w:r>
            <w:r w:rsidRPr="0001406B">
              <w:rPr>
                <w:rFonts w:ascii="Arial Narrow" w:hAnsi="Arial Narrow" w:cs="Arial"/>
                <w:bCs/>
                <w:sz w:val="18"/>
                <w:szCs w:val="18"/>
              </w:rPr>
              <w:t>treatment as a child</w:t>
            </w:r>
          </w:p>
        </w:tc>
      </w:tr>
      <w:tr w:rsidR="007C2699" w:rsidRPr="006D2E3C" w14:paraId="44F20231" w14:textId="77777777" w:rsidTr="00C47D9E">
        <w:tblPrEx>
          <w:tblCellMar>
            <w:top w:w="15" w:type="dxa"/>
            <w:left w:w="15" w:type="dxa"/>
            <w:bottom w:w="15" w:type="dxa"/>
            <w:right w:w="15" w:type="dxa"/>
          </w:tblCellMar>
          <w:tblLook w:val="04A0" w:firstRow="1" w:lastRow="0" w:firstColumn="1" w:lastColumn="0" w:noHBand="0" w:noVBand="1"/>
        </w:tblPrEx>
        <w:trPr>
          <w:trHeight w:val="156"/>
        </w:trPr>
        <w:tc>
          <w:tcPr>
            <w:tcW w:w="981" w:type="dxa"/>
            <w:tcBorders>
              <w:left w:val="single" w:sz="4" w:space="0" w:color="auto"/>
              <w:bottom w:val="single" w:sz="4" w:space="0" w:color="auto"/>
              <w:right w:val="single" w:sz="4" w:space="0" w:color="auto"/>
            </w:tcBorders>
          </w:tcPr>
          <w:p w14:paraId="052F867D" w14:textId="77777777" w:rsidR="007C2699" w:rsidRPr="006D2E3C" w:rsidRDefault="007C2699" w:rsidP="00C47D9E">
            <w:pPr>
              <w:rPr>
                <w:rFonts w:ascii="Arial Narrow" w:hAnsi="Arial Narrow" w:cs="Arial"/>
                <w:sz w:val="18"/>
                <w:szCs w:val="18"/>
              </w:rPr>
            </w:pPr>
          </w:p>
        </w:tc>
        <w:tc>
          <w:tcPr>
            <w:tcW w:w="8086" w:type="dxa"/>
            <w:gridSpan w:val="6"/>
            <w:tcBorders>
              <w:top w:val="single" w:sz="4" w:space="0" w:color="auto"/>
              <w:left w:val="single" w:sz="4" w:space="0" w:color="auto"/>
              <w:bottom w:val="single" w:sz="4" w:space="0" w:color="auto"/>
              <w:right w:val="single" w:sz="4" w:space="0" w:color="auto"/>
            </w:tcBorders>
          </w:tcPr>
          <w:p w14:paraId="0B472F66" w14:textId="77777777" w:rsidR="007C2699" w:rsidRPr="006D2E3C" w:rsidRDefault="007C2699" w:rsidP="00C47D9E">
            <w:pPr>
              <w:rPr>
                <w:rFonts w:ascii="Arial Narrow" w:hAnsi="Arial Narrow" w:cs="Arial"/>
                <w:b/>
                <w:sz w:val="18"/>
                <w:szCs w:val="18"/>
              </w:rPr>
            </w:pPr>
          </w:p>
        </w:tc>
      </w:tr>
      <w:tr w:rsidR="007C2699" w:rsidRPr="006D2E3C" w14:paraId="275CF50D"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EDC861E"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2D12052A" w14:textId="77777777" w:rsidR="007C2699" w:rsidRPr="006D2E3C" w:rsidRDefault="007C2699" w:rsidP="00C47D9E">
            <w:pPr>
              <w:rPr>
                <w:rFonts w:ascii="Arial Narrow" w:hAnsi="Arial Narrow"/>
                <w:b/>
                <w:bCs/>
                <w:color w:val="333333"/>
                <w:sz w:val="18"/>
                <w:szCs w:val="18"/>
              </w:rPr>
            </w:pPr>
            <w:r>
              <w:rPr>
                <w:rFonts w:ascii="Arial Narrow" w:hAnsi="Arial Narrow"/>
                <w:b/>
                <w:bCs/>
                <w:color w:val="333333"/>
                <w:sz w:val="18"/>
                <w:szCs w:val="18"/>
              </w:rPr>
              <w:t xml:space="preserve">Treatment criteria: </w:t>
            </w:r>
          </w:p>
        </w:tc>
      </w:tr>
      <w:tr w:rsidR="007C2699" w:rsidRPr="006D2E3C" w14:paraId="3B923D33"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431B091" w14:textId="7CB02FBD" w:rsidR="007C2699" w:rsidRDefault="007C2699" w:rsidP="00C47D9E">
            <w:pPr>
              <w:jc w:val="center"/>
              <w:rPr>
                <w:rFonts w:ascii="Arial Narrow" w:hAnsi="Arial Narrow"/>
                <w:color w:val="333333"/>
                <w:sz w:val="18"/>
                <w:szCs w:val="18"/>
              </w:rPr>
            </w:pPr>
          </w:p>
        </w:tc>
        <w:tc>
          <w:tcPr>
            <w:tcW w:w="8086" w:type="dxa"/>
            <w:gridSpan w:val="6"/>
            <w:vAlign w:val="center"/>
          </w:tcPr>
          <w:p w14:paraId="714F7108" w14:textId="77777777" w:rsidR="007C2699" w:rsidRDefault="007C2699" w:rsidP="00C47D9E">
            <w:pPr>
              <w:rPr>
                <w:rFonts w:ascii="Arial Narrow" w:hAnsi="Arial Narrow"/>
                <w:color w:val="333333"/>
                <w:sz w:val="18"/>
                <w:szCs w:val="18"/>
              </w:rPr>
            </w:pPr>
            <w:r w:rsidRPr="00A175D8">
              <w:rPr>
                <w:rFonts w:ascii="Arial Narrow" w:hAnsi="Arial Narrow"/>
                <w:color w:val="333333"/>
                <w:sz w:val="18"/>
                <w:szCs w:val="18"/>
              </w:rPr>
              <w:t>Must be treated by an endocrinologist</w:t>
            </w:r>
          </w:p>
          <w:p w14:paraId="0FB02F41" w14:textId="77777777" w:rsidR="007C2699" w:rsidRPr="00B4571A" w:rsidRDefault="007C2699" w:rsidP="00C47D9E">
            <w:pPr>
              <w:spacing w:after="120"/>
              <w:rPr>
                <w:rFonts w:ascii="Arial Narrow" w:hAnsi="Arial Narrow"/>
                <w:sz w:val="18"/>
                <w:szCs w:val="18"/>
              </w:rPr>
            </w:pPr>
            <w:r w:rsidRPr="00B4571A">
              <w:rPr>
                <w:rFonts w:ascii="Arial Narrow" w:hAnsi="Arial Narrow"/>
                <w:sz w:val="18"/>
                <w:szCs w:val="18"/>
              </w:rPr>
              <w:t>AND</w:t>
            </w:r>
          </w:p>
          <w:p w14:paraId="75118117" w14:textId="77777777" w:rsidR="007C2699" w:rsidRPr="00A175D8" w:rsidRDefault="007C2699" w:rsidP="00C47D9E">
            <w:pPr>
              <w:rPr>
                <w:rFonts w:ascii="Arial Narrow" w:hAnsi="Arial Narrow"/>
                <w:color w:val="333333"/>
                <w:sz w:val="18"/>
                <w:szCs w:val="18"/>
              </w:rPr>
            </w:pPr>
            <w:r w:rsidRPr="00B4571A">
              <w:rPr>
                <w:rFonts w:ascii="Arial Narrow" w:hAnsi="Arial Narrow"/>
                <w:sz w:val="18"/>
                <w:szCs w:val="18"/>
              </w:rPr>
              <w:t>[NEW TC] Patient must be undergoing treatment for the stated indication with only one drug at a time where multiple drugs are PBS-listed for the stated indication</w:t>
            </w:r>
          </w:p>
        </w:tc>
      </w:tr>
      <w:tr w:rsidR="007C2699" w:rsidRPr="006D2E3C" w14:paraId="499193A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442B274"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3DC4FFAE" w14:textId="77777777" w:rsidR="007C2699" w:rsidRPr="00A175D8" w:rsidRDefault="007C2699" w:rsidP="00C47D9E">
            <w:pPr>
              <w:rPr>
                <w:rFonts w:ascii="Arial Narrow" w:hAnsi="Arial Narrow"/>
                <w:b/>
                <w:bCs/>
                <w:color w:val="333333"/>
                <w:sz w:val="18"/>
                <w:szCs w:val="18"/>
              </w:rPr>
            </w:pPr>
            <w:r w:rsidRPr="00A175D8">
              <w:rPr>
                <w:rFonts w:ascii="Arial Narrow" w:hAnsi="Arial Narrow"/>
                <w:b/>
                <w:bCs/>
                <w:color w:val="333333"/>
                <w:sz w:val="18"/>
                <w:szCs w:val="18"/>
              </w:rPr>
              <w:t>AND</w:t>
            </w:r>
          </w:p>
        </w:tc>
      </w:tr>
      <w:tr w:rsidR="007C2699" w:rsidRPr="001B5AD1" w14:paraId="3F6B65F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85F1AD4" w14:textId="77777777" w:rsidR="007C2699" w:rsidRPr="006D2E3C" w:rsidRDefault="007C2699" w:rsidP="00C47D9E">
            <w:pPr>
              <w:jc w:val="center"/>
              <w:rPr>
                <w:rFonts w:ascii="Arial Narrow" w:hAnsi="Arial Narrow"/>
                <w:color w:val="333333"/>
                <w:sz w:val="18"/>
                <w:szCs w:val="18"/>
              </w:rPr>
            </w:pPr>
          </w:p>
        </w:tc>
        <w:tc>
          <w:tcPr>
            <w:tcW w:w="8086" w:type="dxa"/>
            <w:gridSpan w:val="6"/>
            <w:vAlign w:val="center"/>
          </w:tcPr>
          <w:p w14:paraId="73953DA9" w14:textId="77777777" w:rsidR="007C2699" w:rsidRPr="0001406B" w:rsidRDefault="007C2699" w:rsidP="00C47D9E">
            <w:pPr>
              <w:rPr>
                <w:rFonts w:ascii="Arial Narrow" w:hAnsi="Arial Narrow"/>
                <w:color w:val="333333"/>
                <w:sz w:val="18"/>
                <w:szCs w:val="18"/>
              </w:rPr>
            </w:pPr>
            <w:r>
              <w:rPr>
                <w:rFonts w:ascii="Arial Narrow" w:hAnsi="Arial Narrow"/>
                <w:b/>
                <w:bCs/>
                <w:color w:val="333333"/>
                <w:sz w:val="18"/>
                <w:szCs w:val="18"/>
              </w:rPr>
              <w:t xml:space="preserve">Clinical criteria: </w:t>
            </w:r>
          </w:p>
        </w:tc>
      </w:tr>
      <w:tr w:rsidR="007C2699" w:rsidRPr="001B5AD1" w14:paraId="74F8FF3E"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633B263" w14:textId="0E24717B" w:rsidR="007C2699" w:rsidRDefault="007C2699" w:rsidP="00C47D9E">
            <w:pPr>
              <w:jc w:val="center"/>
              <w:rPr>
                <w:rFonts w:ascii="Arial Narrow" w:hAnsi="Arial Narrow"/>
                <w:color w:val="333333"/>
                <w:sz w:val="18"/>
                <w:szCs w:val="18"/>
              </w:rPr>
            </w:pPr>
          </w:p>
        </w:tc>
        <w:tc>
          <w:tcPr>
            <w:tcW w:w="8086" w:type="dxa"/>
            <w:gridSpan w:val="6"/>
            <w:vAlign w:val="center"/>
          </w:tcPr>
          <w:p w14:paraId="584F4AE4" w14:textId="77777777" w:rsidR="007C2699" w:rsidRDefault="007C2699" w:rsidP="00C47D9E">
            <w:pPr>
              <w:rPr>
                <w:rFonts w:ascii="Arial Narrow" w:hAnsi="Arial Narrow"/>
                <w:b/>
                <w:bCs/>
                <w:color w:val="333333"/>
                <w:sz w:val="18"/>
                <w:szCs w:val="18"/>
              </w:rPr>
            </w:pPr>
            <w:r>
              <w:rPr>
                <w:rFonts w:ascii="Arial Narrow" w:hAnsi="Arial Narrow"/>
                <w:color w:val="333333"/>
                <w:sz w:val="18"/>
                <w:szCs w:val="18"/>
              </w:rPr>
              <w:t xml:space="preserve">Patient must have a documented childhood onset growth hormone deficiency due to a congenital, </w:t>
            </w:r>
            <w:proofErr w:type="gramStart"/>
            <w:r>
              <w:rPr>
                <w:rFonts w:ascii="Arial Narrow" w:hAnsi="Arial Narrow"/>
                <w:color w:val="333333"/>
                <w:sz w:val="18"/>
                <w:szCs w:val="18"/>
              </w:rPr>
              <w:t>genetic</w:t>
            </w:r>
            <w:proofErr w:type="gramEnd"/>
            <w:r>
              <w:rPr>
                <w:rFonts w:ascii="Arial Narrow" w:hAnsi="Arial Narrow"/>
                <w:color w:val="333333"/>
                <w:sz w:val="18"/>
                <w:szCs w:val="18"/>
              </w:rPr>
              <w:t xml:space="preserve"> or structural cause</w:t>
            </w:r>
          </w:p>
        </w:tc>
      </w:tr>
      <w:tr w:rsidR="007C2699" w:rsidRPr="007F2BB2" w14:paraId="6FFCD730"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F64D561" w14:textId="77777777" w:rsidR="007C2699" w:rsidRPr="000B2EE0" w:rsidRDefault="007C2699" w:rsidP="00C47D9E">
            <w:pPr>
              <w:jc w:val="center"/>
              <w:rPr>
                <w:rFonts w:ascii="Arial Narrow" w:hAnsi="Arial Narrow"/>
                <w:b/>
                <w:bCs/>
                <w:color w:val="333333"/>
                <w:sz w:val="18"/>
                <w:szCs w:val="18"/>
              </w:rPr>
            </w:pPr>
          </w:p>
        </w:tc>
        <w:tc>
          <w:tcPr>
            <w:tcW w:w="8086" w:type="dxa"/>
            <w:gridSpan w:val="6"/>
            <w:vAlign w:val="center"/>
          </w:tcPr>
          <w:p w14:paraId="2A5A946D" w14:textId="77777777" w:rsidR="007C2699" w:rsidRPr="000B2EE0" w:rsidRDefault="007C2699" w:rsidP="00C47D9E">
            <w:pPr>
              <w:rPr>
                <w:rFonts w:ascii="Arial Narrow" w:hAnsi="Arial Narrow"/>
                <w:b/>
                <w:bCs/>
                <w:color w:val="333333"/>
                <w:sz w:val="18"/>
                <w:szCs w:val="18"/>
              </w:rPr>
            </w:pPr>
            <w:r w:rsidRPr="000B2EE0">
              <w:rPr>
                <w:rFonts w:ascii="Arial Narrow" w:hAnsi="Arial Narrow"/>
                <w:b/>
                <w:bCs/>
                <w:color w:val="333333"/>
                <w:sz w:val="18"/>
                <w:szCs w:val="18"/>
              </w:rPr>
              <w:t>AND</w:t>
            </w:r>
          </w:p>
        </w:tc>
      </w:tr>
      <w:tr w:rsidR="007C2699" w:rsidRPr="007F2BB2" w14:paraId="2E3E4037"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D8321D" w14:textId="27222D10" w:rsidR="007C2699" w:rsidRDefault="007C2699" w:rsidP="00C47D9E">
            <w:pPr>
              <w:jc w:val="center"/>
              <w:rPr>
                <w:rFonts w:ascii="Arial Narrow" w:hAnsi="Arial Narrow"/>
                <w:color w:val="333333"/>
                <w:sz w:val="18"/>
                <w:szCs w:val="18"/>
              </w:rPr>
            </w:pPr>
          </w:p>
        </w:tc>
        <w:tc>
          <w:tcPr>
            <w:tcW w:w="8086" w:type="dxa"/>
            <w:gridSpan w:val="6"/>
            <w:vAlign w:val="center"/>
          </w:tcPr>
          <w:p w14:paraId="6E076F1B" w14:textId="77777777" w:rsidR="007C2699" w:rsidRPr="0001406B" w:rsidRDefault="007C2699" w:rsidP="00C47D9E">
            <w:pPr>
              <w:rPr>
                <w:rFonts w:ascii="Arial Narrow" w:hAnsi="Arial Narrow"/>
                <w:color w:val="333333"/>
                <w:sz w:val="18"/>
                <w:szCs w:val="18"/>
              </w:rPr>
            </w:pPr>
            <w:r>
              <w:rPr>
                <w:rFonts w:ascii="Arial Narrow" w:hAnsi="Arial Narrow"/>
                <w:b/>
                <w:bCs/>
                <w:color w:val="333333"/>
                <w:sz w:val="18"/>
                <w:szCs w:val="18"/>
              </w:rPr>
              <w:t xml:space="preserve">Clinical criteria: </w:t>
            </w:r>
          </w:p>
        </w:tc>
      </w:tr>
      <w:tr w:rsidR="007C2699" w:rsidRPr="007F2BB2" w14:paraId="1F93AB53"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5325CEB" w14:textId="65278D30" w:rsidR="007C2699" w:rsidRDefault="007C2699" w:rsidP="00C47D9E">
            <w:pPr>
              <w:jc w:val="center"/>
              <w:rPr>
                <w:rFonts w:ascii="Arial Narrow" w:hAnsi="Arial Narrow"/>
                <w:color w:val="333333"/>
                <w:sz w:val="18"/>
                <w:szCs w:val="18"/>
              </w:rPr>
            </w:pPr>
          </w:p>
        </w:tc>
        <w:tc>
          <w:tcPr>
            <w:tcW w:w="8086" w:type="dxa"/>
            <w:gridSpan w:val="6"/>
            <w:vAlign w:val="center"/>
          </w:tcPr>
          <w:p w14:paraId="18235C2B" w14:textId="77777777" w:rsidR="007C2699" w:rsidRPr="000B2EE0" w:rsidRDefault="007C2699" w:rsidP="00C47D9E">
            <w:pPr>
              <w:rPr>
                <w:rFonts w:ascii="Arial Narrow" w:hAnsi="Arial Narrow"/>
                <w:color w:val="333333"/>
                <w:sz w:val="18"/>
                <w:szCs w:val="18"/>
              </w:rPr>
            </w:pPr>
            <w:r w:rsidRPr="000B2EE0">
              <w:rPr>
                <w:rFonts w:ascii="Arial Narrow" w:hAnsi="Arial Narrow"/>
                <w:color w:val="333333"/>
                <w:sz w:val="18"/>
                <w:szCs w:val="18"/>
              </w:rPr>
              <w:t xml:space="preserve">Patient must have received PBS-subsidised treatment with a growth hormone therapy for this </w:t>
            </w:r>
            <w:r>
              <w:rPr>
                <w:rFonts w:ascii="Arial Narrow" w:hAnsi="Arial Narrow"/>
                <w:color w:val="333333"/>
                <w:sz w:val="18"/>
                <w:szCs w:val="18"/>
              </w:rPr>
              <w:t xml:space="preserve">indication </w:t>
            </w:r>
            <w:r w:rsidRPr="000B2EE0">
              <w:rPr>
                <w:rFonts w:ascii="Arial Narrow" w:hAnsi="Arial Narrow"/>
                <w:color w:val="333333"/>
                <w:sz w:val="18"/>
                <w:szCs w:val="18"/>
              </w:rPr>
              <w:t>as a child</w:t>
            </w:r>
          </w:p>
        </w:tc>
      </w:tr>
      <w:tr w:rsidR="007C2699" w:rsidRPr="007F2BB2" w14:paraId="035B4023"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20507C"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15BCB43D" w14:textId="77777777" w:rsidR="007C2699" w:rsidRPr="000B2EE0" w:rsidRDefault="007C2699" w:rsidP="00C47D9E">
            <w:pPr>
              <w:rPr>
                <w:rFonts w:ascii="Arial Narrow" w:hAnsi="Arial Narrow"/>
                <w:b/>
                <w:bCs/>
                <w:color w:val="333333"/>
                <w:sz w:val="18"/>
                <w:szCs w:val="18"/>
              </w:rPr>
            </w:pPr>
            <w:r w:rsidRPr="000B2EE0">
              <w:rPr>
                <w:rFonts w:ascii="Arial Narrow" w:hAnsi="Arial Narrow"/>
                <w:b/>
                <w:bCs/>
                <w:color w:val="333333"/>
                <w:sz w:val="18"/>
                <w:szCs w:val="18"/>
              </w:rPr>
              <w:t>AND</w:t>
            </w:r>
          </w:p>
        </w:tc>
      </w:tr>
      <w:tr w:rsidR="007C2699" w:rsidRPr="007F2BB2" w14:paraId="3EC889F3"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EB82620"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599B884B" w14:textId="77777777" w:rsidR="007C2699" w:rsidRPr="0001406B" w:rsidRDefault="007C2699" w:rsidP="00C47D9E">
            <w:pPr>
              <w:rPr>
                <w:rFonts w:ascii="Arial Narrow" w:hAnsi="Arial Narrow"/>
                <w:color w:val="333333"/>
                <w:sz w:val="18"/>
                <w:szCs w:val="18"/>
              </w:rPr>
            </w:pPr>
            <w:r>
              <w:rPr>
                <w:rFonts w:ascii="Arial Narrow" w:hAnsi="Arial Narrow"/>
                <w:b/>
                <w:bCs/>
                <w:color w:val="333333"/>
                <w:sz w:val="18"/>
                <w:szCs w:val="18"/>
              </w:rPr>
              <w:t>Population criteria:</w:t>
            </w:r>
          </w:p>
        </w:tc>
      </w:tr>
      <w:tr w:rsidR="007C2699" w:rsidRPr="007F2BB2" w14:paraId="58BC546E"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E610DEA" w14:textId="39604421" w:rsidR="007C2699" w:rsidRDefault="007C2699" w:rsidP="00C47D9E">
            <w:pPr>
              <w:jc w:val="center"/>
              <w:rPr>
                <w:rFonts w:ascii="Arial Narrow" w:hAnsi="Arial Narrow"/>
                <w:color w:val="333333"/>
                <w:sz w:val="18"/>
                <w:szCs w:val="18"/>
              </w:rPr>
            </w:pPr>
          </w:p>
        </w:tc>
        <w:tc>
          <w:tcPr>
            <w:tcW w:w="8086" w:type="dxa"/>
            <w:gridSpan w:val="6"/>
            <w:vAlign w:val="center"/>
          </w:tcPr>
          <w:p w14:paraId="5C5F8D4B" w14:textId="77777777" w:rsidR="007C2699" w:rsidRDefault="007C2699" w:rsidP="00C47D9E">
            <w:pPr>
              <w:rPr>
                <w:rFonts w:ascii="Arial Narrow" w:hAnsi="Arial Narrow"/>
                <w:b/>
                <w:bCs/>
                <w:color w:val="333333"/>
                <w:sz w:val="18"/>
                <w:szCs w:val="18"/>
              </w:rPr>
            </w:pPr>
            <w:r>
              <w:rPr>
                <w:rFonts w:ascii="Arial Narrow" w:hAnsi="Arial Narrow"/>
                <w:color w:val="333333"/>
                <w:sz w:val="18"/>
                <w:szCs w:val="18"/>
              </w:rPr>
              <w:t>Patient must have a mature skeleton</w:t>
            </w:r>
          </w:p>
        </w:tc>
      </w:tr>
      <w:tr w:rsidR="007C2699" w:rsidRPr="007F2BB2" w14:paraId="79D827C9"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BFFE62A"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332DA9CF" w14:textId="77777777" w:rsidR="007C2699" w:rsidRDefault="007C2699" w:rsidP="00C47D9E">
            <w:pPr>
              <w:rPr>
                <w:rFonts w:ascii="Arial Narrow" w:hAnsi="Arial Narrow"/>
                <w:color w:val="333333"/>
                <w:sz w:val="18"/>
                <w:szCs w:val="18"/>
              </w:rPr>
            </w:pPr>
          </w:p>
        </w:tc>
      </w:tr>
      <w:tr w:rsidR="007C2699" w:rsidRPr="007F2BB2" w14:paraId="62C9FA90"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AA16A05" w14:textId="3D2269B9" w:rsidR="007C2699" w:rsidRDefault="007C2699" w:rsidP="00C47D9E">
            <w:pPr>
              <w:jc w:val="center"/>
              <w:rPr>
                <w:rFonts w:ascii="Arial Narrow" w:hAnsi="Arial Narrow"/>
                <w:color w:val="333333"/>
                <w:sz w:val="18"/>
                <w:szCs w:val="18"/>
              </w:rPr>
            </w:pPr>
          </w:p>
        </w:tc>
        <w:tc>
          <w:tcPr>
            <w:tcW w:w="8086" w:type="dxa"/>
            <w:gridSpan w:val="6"/>
            <w:vAlign w:val="center"/>
          </w:tcPr>
          <w:p w14:paraId="5D6D234C" w14:textId="77777777" w:rsidR="007C2699" w:rsidRPr="0074740A" w:rsidRDefault="007C2699" w:rsidP="00C47D9E">
            <w:pPr>
              <w:snapToGrid w:val="0"/>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r w:rsidRPr="0074740A">
              <w:rPr>
                <w:rFonts w:ascii="Arial Narrow" w:hAnsi="Arial Narrow"/>
                <w:color w:val="333333"/>
                <w:sz w:val="18"/>
                <w:szCs w:val="18"/>
              </w:rPr>
              <w:t>The authority application must be in writing and must include:</w:t>
            </w:r>
          </w:p>
          <w:p w14:paraId="3EF00083" w14:textId="77777777" w:rsidR="007C2699" w:rsidRPr="009C2FAA" w:rsidRDefault="007C2699" w:rsidP="00C47D9E">
            <w:pPr>
              <w:pStyle w:val="ListParagraph"/>
              <w:numPr>
                <w:ilvl w:val="0"/>
                <w:numId w:val="18"/>
              </w:numPr>
              <w:snapToGrid w:val="0"/>
              <w:ind w:left="423"/>
              <w:rPr>
                <w:rFonts w:ascii="Arial Narrow" w:hAnsi="Arial Narrow"/>
                <w:color w:val="333333"/>
                <w:sz w:val="18"/>
                <w:szCs w:val="18"/>
              </w:rPr>
            </w:pPr>
            <w:r w:rsidRPr="009C2FAA">
              <w:rPr>
                <w:rFonts w:ascii="Arial Narrow" w:hAnsi="Arial Narrow"/>
                <w:color w:val="333333"/>
                <w:sz w:val="18"/>
                <w:szCs w:val="18"/>
              </w:rPr>
              <w:t>A completed authority prescription form; AND</w:t>
            </w:r>
          </w:p>
          <w:p w14:paraId="18507CA1" w14:textId="77777777" w:rsidR="007C2699" w:rsidRPr="009C2FAA" w:rsidRDefault="007C2699" w:rsidP="00C47D9E">
            <w:pPr>
              <w:pStyle w:val="ListParagraph"/>
              <w:numPr>
                <w:ilvl w:val="0"/>
                <w:numId w:val="18"/>
              </w:numPr>
              <w:snapToGrid w:val="0"/>
              <w:ind w:left="423"/>
              <w:rPr>
                <w:rFonts w:ascii="Arial Narrow" w:hAnsi="Arial Narrow"/>
                <w:b/>
                <w:bCs/>
                <w:color w:val="333333"/>
                <w:sz w:val="18"/>
                <w:szCs w:val="18"/>
              </w:rPr>
            </w:pPr>
            <w:r w:rsidRPr="009C2FAA">
              <w:rPr>
                <w:rFonts w:ascii="Arial Narrow" w:hAnsi="Arial Narrow"/>
                <w:color w:val="333333"/>
                <w:sz w:val="18"/>
                <w:szCs w:val="18"/>
              </w:rPr>
              <w:t>A completed Severe Growth Hormone Deficiency supporting information form.</w:t>
            </w:r>
          </w:p>
        </w:tc>
      </w:tr>
      <w:tr w:rsidR="007C2699" w:rsidRPr="007F2BB2" w14:paraId="3A7FCB6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9E4A7D"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489C97FE" w14:textId="77777777" w:rsidR="007C2699" w:rsidRDefault="007C2699" w:rsidP="00C47D9E">
            <w:pPr>
              <w:snapToGrid w:val="0"/>
              <w:rPr>
                <w:rFonts w:ascii="Arial Narrow" w:hAnsi="Arial Narrow"/>
                <w:b/>
                <w:bCs/>
                <w:color w:val="333333"/>
                <w:sz w:val="18"/>
                <w:szCs w:val="18"/>
              </w:rPr>
            </w:pPr>
          </w:p>
        </w:tc>
      </w:tr>
      <w:tr w:rsidR="007C2699" w:rsidRPr="007F2BB2" w14:paraId="7DA0BE88"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49C0E33" w14:textId="6C3EBFD6" w:rsidR="007C2699" w:rsidRDefault="007C2699" w:rsidP="00C47D9E">
            <w:pPr>
              <w:jc w:val="center"/>
              <w:rPr>
                <w:rFonts w:ascii="Arial Narrow" w:hAnsi="Arial Narrow"/>
                <w:color w:val="333333"/>
                <w:sz w:val="18"/>
                <w:szCs w:val="18"/>
              </w:rPr>
            </w:pPr>
          </w:p>
        </w:tc>
        <w:tc>
          <w:tcPr>
            <w:tcW w:w="8086" w:type="dxa"/>
            <w:gridSpan w:val="6"/>
            <w:vAlign w:val="center"/>
          </w:tcPr>
          <w:p w14:paraId="61D9915E" w14:textId="77777777" w:rsidR="007C2699" w:rsidRPr="0074740A" w:rsidRDefault="007C2699" w:rsidP="00C47D9E">
            <w:pPr>
              <w:snapToGrid w:val="0"/>
              <w:rPr>
                <w:rFonts w:ascii="Arial Narrow" w:hAnsi="Arial Narrow"/>
                <w:color w:val="333333"/>
                <w:sz w:val="18"/>
                <w:szCs w:val="18"/>
              </w:rPr>
            </w:pPr>
            <w:r>
              <w:rPr>
                <w:rFonts w:ascii="Arial Narrow" w:hAnsi="Arial Narrow"/>
                <w:b/>
                <w:bCs/>
                <w:color w:val="333333"/>
                <w:sz w:val="18"/>
                <w:szCs w:val="18"/>
              </w:rPr>
              <w:t>Administrative advice:</w:t>
            </w:r>
            <w:r>
              <w:rPr>
                <w:rFonts w:ascii="Arial Narrow" w:hAnsi="Arial Narrow"/>
                <w:color w:val="333333"/>
                <w:sz w:val="18"/>
                <w:szCs w:val="18"/>
              </w:rPr>
              <w:t xml:space="preserve"> </w:t>
            </w:r>
            <w:r w:rsidRPr="0074740A">
              <w:rPr>
                <w:rFonts w:ascii="Arial Narrow" w:hAnsi="Arial Narrow"/>
                <w:color w:val="333333"/>
                <w:sz w:val="18"/>
                <w:szCs w:val="18"/>
              </w:rPr>
              <w:t>Any queries concerning the arrangements to prescribe may be directed to Services Australia on 1800 700 270 (hours of operation 8 a.m. to 5 p.m. Monday to Friday).</w:t>
            </w:r>
          </w:p>
          <w:p w14:paraId="72AAB0FE"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Prescribing information (including Authority Application forms and other relevant documentation as applicable) is available on the Services Australia website at www.servicesaustralia.gov.au</w:t>
            </w:r>
          </w:p>
          <w:p w14:paraId="1954E50E"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68E40966"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Or mailed to:</w:t>
            </w:r>
          </w:p>
          <w:p w14:paraId="0F497A8E"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Services Australia</w:t>
            </w:r>
          </w:p>
          <w:p w14:paraId="10EF4DAA"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Complex Drugs</w:t>
            </w:r>
          </w:p>
          <w:p w14:paraId="47832F73"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Reply Paid 9826</w:t>
            </w:r>
          </w:p>
          <w:p w14:paraId="0EC02D91" w14:textId="77777777" w:rsidR="007C2699" w:rsidRDefault="007C2699" w:rsidP="00C47D9E">
            <w:pPr>
              <w:rPr>
                <w:rFonts w:ascii="Arial Narrow" w:hAnsi="Arial Narrow"/>
                <w:b/>
                <w:bCs/>
                <w:color w:val="333333"/>
                <w:sz w:val="18"/>
                <w:szCs w:val="18"/>
              </w:rPr>
            </w:pPr>
            <w:r w:rsidRPr="0074740A">
              <w:rPr>
                <w:rFonts w:ascii="Arial Narrow" w:hAnsi="Arial Narrow"/>
                <w:color w:val="333333"/>
                <w:sz w:val="18"/>
                <w:szCs w:val="18"/>
              </w:rPr>
              <w:t>HOBART TAS 7001</w:t>
            </w:r>
          </w:p>
        </w:tc>
      </w:tr>
      <w:tr w:rsidR="007C2699" w:rsidRPr="007F2BB2" w14:paraId="7B902424"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1ABA63B7" w14:textId="77777777" w:rsidR="007C2699" w:rsidRDefault="007C2699" w:rsidP="00C47D9E">
            <w:pPr>
              <w:rPr>
                <w:rFonts w:ascii="Arial Narrow" w:hAnsi="Arial Narrow"/>
                <w:b/>
                <w:bCs/>
                <w:color w:val="333333"/>
                <w:sz w:val="18"/>
                <w:szCs w:val="18"/>
              </w:rPr>
            </w:pPr>
          </w:p>
        </w:tc>
      </w:tr>
      <w:tr w:rsidR="007C2699" w:rsidRPr="007F2BB2" w14:paraId="751D4124" w14:textId="77777777" w:rsidTr="00C47D9E">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3C76FEA" w14:textId="77777777" w:rsidR="007C2699" w:rsidRDefault="007C2699" w:rsidP="00C47D9E">
            <w:pPr>
              <w:rPr>
                <w:rFonts w:ascii="Arial Narrow" w:hAnsi="Arial Narrow"/>
                <w:b/>
                <w:bCs/>
                <w:color w:val="333333"/>
                <w:sz w:val="18"/>
                <w:szCs w:val="18"/>
              </w:rPr>
            </w:pPr>
            <w:r w:rsidRPr="006D2E3C">
              <w:rPr>
                <w:rFonts w:ascii="Arial Narrow" w:hAnsi="Arial Narrow"/>
                <w:b/>
                <w:sz w:val="18"/>
                <w:szCs w:val="18"/>
              </w:rPr>
              <w:t>Restriction Summary [new</w:t>
            </w:r>
            <w:r>
              <w:rPr>
                <w:rFonts w:ascii="Arial Narrow" w:hAnsi="Arial Narrow"/>
                <w:b/>
                <w:sz w:val="18"/>
                <w:szCs w:val="18"/>
              </w:rPr>
              <w:t xml:space="preserve"> 7</w:t>
            </w:r>
            <w:r w:rsidRPr="006D2E3C">
              <w:rPr>
                <w:rFonts w:ascii="Arial Narrow" w:hAnsi="Arial Narrow"/>
                <w:b/>
                <w:sz w:val="18"/>
                <w:szCs w:val="18"/>
              </w:rPr>
              <w:t>] / Treatment of Concept: [new</w:t>
            </w:r>
            <w:r>
              <w:rPr>
                <w:rFonts w:ascii="Arial Narrow" w:hAnsi="Arial Narrow"/>
                <w:b/>
                <w:sz w:val="18"/>
                <w:szCs w:val="18"/>
              </w:rPr>
              <w:t xml:space="preserve"> 8</w:t>
            </w:r>
            <w:r w:rsidRPr="006D2E3C">
              <w:rPr>
                <w:rFonts w:ascii="Arial Narrow" w:hAnsi="Arial Narrow"/>
                <w:b/>
                <w:sz w:val="18"/>
                <w:szCs w:val="18"/>
              </w:rPr>
              <w:t>]</w:t>
            </w:r>
          </w:p>
        </w:tc>
      </w:tr>
      <w:tr w:rsidR="007C2699" w:rsidRPr="007F2BB2" w14:paraId="00EAD3C0" w14:textId="77777777" w:rsidTr="00C47D9E">
        <w:tblPrEx>
          <w:tblCellMar>
            <w:top w:w="15" w:type="dxa"/>
            <w:left w:w="15" w:type="dxa"/>
            <w:bottom w:w="15" w:type="dxa"/>
            <w:right w:w="15" w:type="dxa"/>
          </w:tblCellMar>
          <w:tblLook w:val="04A0" w:firstRow="1" w:lastRow="0" w:firstColumn="1" w:lastColumn="0" w:noHBand="0" w:noVBand="1"/>
        </w:tblPrEx>
        <w:tc>
          <w:tcPr>
            <w:tcW w:w="981" w:type="dxa"/>
            <w:vMerge w:val="restart"/>
          </w:tcPr>
          <w:p w14:paraId="36748498" w14:textId="3E526895" w:rsidR="007C2699" w:rsidRDefault="007C2699" w:rsidP="00C47D9E">
            <w:pPr>
              <w:jc w:val="center"/>
              <w:rPr>
                <w:rFonts w:ascii="Arial Narrow" w:hAnsi="Arial Narrow"/>
                <w:color w:val="333333"/>
                <w:sz w:val="18"/>
                <w:szCs w:val="18"/>
              </w:rPr>
            </w:pPr>
          </w:p>
        </w:tc>
        <w:tc>
          <w:tcPr>
            <w:tcW w:w="8086" w:type="dxa"/>
            <w:gridSpan w:val="6"/>
          </w:tcPr>
          <w:p w14:paraId="2F0F8194" w14:textId="77777777" w:rsidR="007C2699" w:rsidRDefault="007C2699" w:rsidP="00C47D9E">
            <w:pPr>
              <w:rPr>
                <w:rFonts w:ascii="Arial Narrow" w:hAnsi="Arial Narrow"/>
                <w:b/>
                <w:bCs/>
                <w:color w:val="333333"/>
                <w:sz w:val="18"/>
                <w:szCs w:val="18"/>
              </w:rPr>
            </w:pPr>
            <w:r w:rsidRPr="006D2E3C">
              <w:rPr>
                <w:rFonts w:ascii="Arial Narrow" w:hAnsi="Arial Narrow" w:cs="Arial"/>
                <w:b/>
                <w:sz w:val="18"/>
                <w:szCs w:val="18"/>
              </w:rPr>
              <w:t xml:space="preserve">Category / Program: </w:t>
            </w:r>
            <w:r w:rsidRPr="006D2E3C">
              <w:rPr>
                <w:rFonts w:ascii="Arial Narrow" w:hAnsi="Arial Narrow" w:cs="Arial"/>
                <w:sz w:val="18"/>
                <w:szCs w:val="18"/>
              </w:rPr>
              <w:t>Section 100 – Growth Hormone Program</w:t>
            </w:r>
          </w:p>
        </w:tc>
      </w:tr>
      <w:tr w:rsidR="007C2699" w:rsidRPr="007F2BB2" w14:paraId="270B5879" w14:textId="77777777" w:rsidTr="00C47D9E">
        <w:tblPrEx>
          <w:tblCellMar>
            <w:top w:w="15" w:type="dxa"/>
            <w:left w:w="15" w:type="dxa"/>
            <w:bottom w:w="15" w:type="dxa"/>
            <w:right w:w="15" w:type="dxa"/>
          </w:tblCellMar>
          <w:tblLook w:val="04A0" w:firstRow="1" w:lastRow="0" w:firstColumn="1" w:lastColumn="0" w:noHBand="0" w:noVBand="1"/>
        </w:tblPrEx>
        <w:tc>
          <w:tcPr>
            <w:tcW w:w="981" w:type="dxa"/>
            <w:vMerge/>
          </w:tcPr>
          <w:p w14:paraId="4BCA1D14" w14:textId="77777777" w:rsidR="007C2699" w:rsidRDefault="007C2699" w:rsidP="00C47D9E">
            <w:pPr>
              <w:jc w:val="center"/>
              <w:rPr>
                <w:rFonts w:ascii="Arial Narrow" w:hAnsi="Arial Narrow"/>
                <w:color w:val="333333"/>
                <w:sz w:val="18"/>
                <w:szCs w:val="18"/>
              </w:rPr>
            </w:pPr>
          </w:p>
        </w:tc>
        <w:tc>
          <w:tcPr>
            <w:tcW w:w="8086" w:type="dxa"/>
            <w:gridSpan w:val="6"/>
          </w:tcPr>
          <w:p w14:paraId="23CA682D" w14:textId="77777777" w:rsidR="007C2699" w:rsidRDefault="007C2699" w:rsidP="00C47D9E">
            <w:pPr>
              <w:rPr>
                <w:rFonts w:ascii="Arial Narrow" w:hAnsi="Arial Narrow"/>
                <w:b/>
                <w:bCs/>
                <w:color w:val="333333"/>
                <w:sz w:val="18"/>
                <w:szCs w:val="18"/>
              </w:rPr>
            </w:pPr>
            <w:r w:rsidRPr="006D2E3C">
              <w:rPr>
                <w:rFonts w:ascii="Arial Narrow" w:hAnsi="Arial Narrow" w:cs="Arial"/>
                <w:b/>
                <w:sz w:val="18"/>
                <w:szCs w:val="18"/>
              </w:rPr>
              <w:t xml:space="preserve">Prescriber type: </w:t>
            </w:r>
            <w:r w:rsidRPr="006D2E3C">
              <w:rPr>
                <w:rFonts w:ascii="Arial Narrow" w:hAnsi="Arial Narrow" w:cs="Arial"/>
                <w:sz w:val="18"/>
                <w:szCs w:val="18"/>
              </w:rPr>
              <w:fldChar w:fldCharType="begin">
                <w:ffData>
                  <w:name w:val=""/>
                  <w:enabled/>
                  <w:calcOnExit w:val="0"/>
                  <w:checkBox>
                    <w:sizeAuto/>
                    <w:default w:val="1"/>
                  </w:checkBox>
                </w:ffData>
              </w:fldChar>
            </w:r>
            <w:r w:rsidRPr="006D2E3C">
              <w:rPr>
                <w:rFonts w:ascii="Arial Narrow" w:hAnsi="Arial Narrow" w:cs="Arial"/>
                <w:sz w:val="18"/>
                <w:szCs w:val="18"/>
              </w:rPr>
              <w:instrText xml:space="preserve"> FORMCHECKBOX </w:instrText>
            </w:r>
            <w:r w:rsidR="00AB6385">
              <w:rPr>
                <w:rFonts w:ascii="Arial Narrow" w:hAnsi="Arial Narrow" w:cs="Arial"/>
                <w:sz w:val="18"/>
                <w:szCs w:val="18"/>
              </w:rPr>
            </w:r>
            <w:r w:rsidR="00AB6385">
              <w:rPr>
                <w:rFonts w:ascii="Arial Narrow" w:hAnsi="Arial Narrow" w:cs="Arial"/>
                <w:sz w:val="18"/>
                <w:szCs w:val="18"/>
              </w:rPr>
              <w:fldChar w:fldCharType="separate"/>
            </w:r>
            <w:r w:rsidRPr="006D2E3C">
              <w:rPr>
                <w:rFonts w:ascii="Arial Narrow" w:hAnsi="Arial Narrow" w:cs="Arial"/>
                <w:sz w:val="18"/>
                <w:szCs w:val="18"/>
              </w:rPr>
              <w:fldChar w:fldCharType="end"/>
            </w:r>
            <w:r w:rsidRPr="006D2E3C">
              <w:rPr>
                <w:rFonts w:ascii="Arial Narrow" w:hAnsi="Arial Narrow" w:cs="Arial"/>
                <w:sz w:val="18"/>
                <w:szCs w:val="18"/>
              </w:rPr>
              <w:t xml:space="preserve"> Medical Practitioners</w:t>
            </w:r>
          </w:p>
        </w:tc>
      </w:tr>
      <w:tr w:rsidR="007C2699" w:rsidRPr="007F2BB2" w14:paraId="306757CE" w14:textId="77777777" w:rsidTr="00C47D9E">
        <w:tblPrEx>
          <w:tblCellMar>
            <w:top w:w="15" w:type="dxa"/>
            <w:left w:w="15" w:type="dxa"/>
            <w:bottom w:w="15" w:type="dxa"/>
            <w:right w:w="15" w:type="dxa"/>
          </w:tblCellMar>
          <w:tblLook w:val="04A0" w:firstRow="1" w:lastRow="0" w:firstColumn="1" w:lastColumn="0" w:noHBand="0" w:noVBand="1"/>
        </w:tblPrEx>
        <w:tc>
          <w:tcPr>
            <w:tcW w:w="981" w:type="dxa"/>
            <w:vMerge/>
          </w:tcPr>
          <w:p w14:paraId="794DD06D" w14:textId="77777777" w:rsidR="007C2699" w:rsidRDefault="007C2699" w:rsidP="00C47D9E">
            <w:pPr>
              <w:jc w:val="center"/>
              <w:rPr>
                <w:rFonts w:ascii="Arial Narrow" w:hAnsi="Arial Narrow"/>
                <w:color w:val="333333"/>
                <w:sz w:val="18"/>
                <w:szCs w:val="18"/>
              </w:rPr>
            </w:pPr>
          </w:p>
        </w:tc>
        <w:tc>
          <w:tcPr>
            <w:tcW w:w="8086" w:type="dxa"/>
            <w:gridSpan w:val="6"/>
          </w:tcPr>
          <w:p w14:paraId="3941E7D3" w14:textId="77777777" w:rsidR="007C2699" w:rsidRDefault="007C2699" w:rsidP="00C47D9E">
            <w:pPr>
              <w:rPr>
                <w:rFonts w:ascii="Arial Narrow" w:hAnsi="Arial Narrow"/>
                <w:b/>
                <w:bCs/>
                <w:color w:val="333333"/>
                <w:sz w:val="18"/>
                <w:szCs w:val="18"/>
              </w:rPr>
            </w:pPr>
            <w:r w:rsidRPr="006D2E3C">
              <w:rPr>
                <w:rFonts w:ascii="Arial Narrow" w:hAnsi="Arial Narrow" w:cs="Arial"/>
                <w:b/>
                <w:sz w:val="18"/>
                <w:szCs w:val="18"/>
              </w:rPr>
              <w:t>Restriction type:</w:t>
            </w:r>
            <w:r>
              <w:rPr>
                <w:rFonts w:ascii="Arial Narrow" w:hAnsi="Arial Narrow" w:cs="Arial"/>
                <w:b/>
                <w:sz w:val="18"/>
                <w:szCs w:val="18"/>
              </w:rPr>
              <w:t xml:space="preserve"> </w:t>
            </w:r>
            <w:r w:rsidRPr="006D2E3C">
              <w:rPr>
                <w:rFonts w:ascii="Arial Narrow" w:eastAsia="Calibri" w:hAnsi="Arial Narrow" w:cs="Arial"/>
                <w:sz w:val="18"/>
                <w:szCs w:val="18"/>
              </w:rPr>
              <w:fldChar w:fldCharType="begin">
                <w:ffData>
                  <w:name w:val="Check3"/>
                  <w:enabled/>
                  <w:calcOnExit w:val="0"/>
                  <w:checkBox>
                    <w:sizeAuto/>
                    <w:default w:val="1"/>
                  </w:checkBox>
                </w:ffData>
              </w:fldChar>
            </w:r>
            <w:r w:rsidRPr="006D2E3C">
              <w:rPr>
                <w:rFonts w:ascii="Arial Narrow" w:eastAsia="Calibri" w:hAnsi="Arial Narrow" w:cs="Arial"/>
                <w:sz w:val="18"/>
                <w:szCs w:val="18"/>
              </w:rPr>
              <w:instrText xml:space="preserve"> FORMCHECKBOX </w:instrText>
            </w:r>
            <w:r w:rsidR="00AB6385">
              <w:rPr>
                <w:rFonts w:ascii="Arial Narrow" w:eastAsia="Calibri" w:hAnsi="Arial Narrow" w:cs="Arial"/>
                <w:sz w:val="18"/>
                <w:szCs w:val="18"/>
              </w:rPr>
            </w:r>
            <w:r w:rsidR="00AB6385">
              <w:rPr>
                <w:rFonts w:ascii="Arial Narrow" w:eastAsia="Calibri" w:hAnsi="Arial Narrow" w:cs="Arial"/>
                <w:sz w:val="18"/>
                <w:szCs w:val="18"/>
              </w:rPr>
              <w:fldChar w:fldCharType="separate"/>
            </w:r>
            <w:r w:rsidRPr="006D2E3C">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6D2E3C">
              <w:rPr>
                <w:rFonts w:ascii="Arial Narrow" w:eastAsia="Calibri" w:hAnsi="Arial Narrow" w:cs="Arial"/>
                <w:sz w:val="18"/>
                <w:szCs w:val="18"/>
              </w:rPr>
              <w:t>Authority Required (</w:t>
            </w:r>
            <w:r>
              <w:rPr>
                <w:rFonts w:ascii="Arial Narrow" w:eastAsia="Calibri" w:hAnsi="Arial Narrow" w:cs="Arial"/>
                <w:sz w:val="18"/>
                <w:szCs w:val="18"/>
              </w:rPr>
              <w:t xml:space="preserve">in writing only </w:t>
            </w:r>
            <w:r w:rsidRPr="006D2E3C">
              <w:rPr>
                <w:rFonts w:ascii="Arial Narrow" w:eastAsia="Calibri" w:hAnsi="Arial Narrow" w:cs="Arial"/>
                <w:sz w:val="18"/>
                <w:szCs w:val="18"/>
              </w:rPr>
              <w:t xml:space="preserve">via post/HPOS upload) </w:t>
            </w:r>
            <w:r w:rsidRPr="006D2E3C">
              <w:rPr>
                <w:rFonts w:ascii="Arial Narrow" w:hAnsi="Arial Narrow"/>
                <w:b/>
                <w:color w:val="FF0000"/>
                <w:sz w:val="18"/>
                <w:szCs w:val="18"/>
              </w:rPr>
              <w:t>CAR</w:t>
            </w:r>
          </w:p>
        </w:tc>
      </w:tr>
      <w:tr w:rsidR="007C2699" w:rsidRPr="007F2BB2" w14:paraId="7445BD6D" w14:textId="77777777" w:rsidTr="00C47D9E">
        <w:tblPrEx>
          <w:tblCellMar>
            <w:top w:w="15" w:type="dxa"/>
            <w:left w:w="15" w:type="dxa"/>
            <w:bottom w:w="15" w:type="dxa"/>
            <w:right w:w="15" w:type="dxa"/>
          </w:tblCellMar>
          <w:tblLook w:val="04A0" w:firstRow="1" w:lastRow="0" w:firstColumn="1" w:lastColumn="0" w:noHBand="0" w:noVBand="1"/>
        </w:tblPrEx>
        <w:tc>
          <w:tcPr>
            <w:tcW w:w="981" w:type="dxa"/>
          </w:tcPr>
          <w:p w14:paraId="07A03EA0" w14:textId="77777777" w:rsidR="007C2699" w:rsidRDefault="007C2699" w:rsidP="00C47D9E">
            <w:pPr>
              <w:jc w:val="center"/>
              <w:rPr>
                <w:rFonts w:ascii="Arial Narrow" w:hAnsi="Arial Narrow"/>
                <w:color w:val="333333"/>
                <w:sz w:val="18"/>
                <w:szCs w:val="18"/>
              </w:rPr>
            </w:pPr>
          </w:p>
        </w:tc>
        <w:tc>
          <w:tcPr>
            <w:tcW w:w="8086" w:type="dxa"/>
            <w:gridSpan w:val="6"/>
          </w:tcPr>
          <w:p w14:paraId="298F29DD" w14:textId="77777777" w:rsidR="007C2699" w:rsidRDefault="007C2699" w:rsidP="00C47D9E">
            <w:pPr>
              <w:rPr>
                <w:rFonts w:ascii="Arial Narrow" w:hAnsi="Arial Narrow" w:cs="Arial"/>
                <w:b/>
                <w:sz w:val="18"/>
                <w:szCs w:val="18"/>
              </w:rPr>
            </w:pPr>
          </w:p>
        </w:tc>
      </w:tr>
      <w:tr w:rsidR="007C2699" w:rsidRPr="007F2BB2" w14:paraId="7E95E752" w14:textId="77777777" w:rsidTr="00C47D9E">
        <w:tblPrEx>
          <w:tblCellMar>
            <w:top w:w="15" w:type="dxa"/>
            <w:left w:w="15" w:type="dxa"/>
            <w:bottom w:w="15" w:type="dxa"/>
            <w:right w:w="15" w:type="dxa"/>
          </w:tblCellMar>
          <w:tblLook w:val="04A0" w:firstRow="1" w:lastRow="0" w:firstColumn="1" w:lastColumn="0" w:noHBand="0" w:noVBand="1"/>
        </w:tblPrEx>
        <w:tc>
          <w:tcPr>
            <w:tcW w:w="981" w:type="dxa"/>
          </w:tcPr>
          <w:p w14:paraId="3280FD01" w14:textId="7A82EF12" w:rsidR="007C2699" w:rsidRDefault="007C2699" w:rsidP="00C47D9E">
            <w:pPr>
              <w:jc w:val="center"/>
              <w:rPr>
                <w:rFonts w:ascii="Arial Narrow" w:hAnsi="Arial Narrow"/>
                <w:color w:val="333333"/>
                <w:sz w:val="18"/>
                <w:szCs w:val="18"/>
              </w:rPr>
            </w:pPr>
          </w:p>
        </w:tc>
        <w:tc>
          <w:tcPr>
            <w:tcW w:w="8086" w:type="dxa"/>
            <w:gridSpan w:val="6"/>
          </w:tcPr>
          <w:p w14:paraId="1976D353" w14:textId="77777777" w:rsidR="007C2699" w:rsidRDefault="007C2699" w:rsidP="00C47D9E">
            <w:pPr>
              <w:rPr>
                <w:rFonts w:ascii="Arial Narrow" w:hAnsi="Arial Narrow"/>
                <w:b/>
                <w:bCs/>
                <w:color w:val="333333"/>
                <w:sz w:val="18"/>
                <w:szCs w:val="18"/>
              </w:rPr>
            </w:pPr>
            <w:r>
              <w:rPr>
                <w:rFonts w:ascii="Arial Narrow" w:hAnsi="Arial Narrow" w:cs="Arial"/>
                <w:b/>
                <w:sz w:val="18"/>
                <w:szCs w:val="18"/>
              </w:rPr>
              <w:t xml:space="preserve">Indication: </w:t>
            </w:r>
            <w:r>
              <w:rPr>
                <w:rFonts w:ascii="Arial Narrow" w:hAnsi="Arial Narrow" w:cs="Arial"/>
                <w:bCs/>
                <w:sz w:val="18"/>
                <w:szCs w:val="18"/>
              </w:rPr>
              <w:t>Severe growth hormone deficiency</w:t>
            </w:r>
          </w:p>
        </w:tc>
      </w:tr>
      <w:tr w:rsidR="007C2699" w:rsidRPr="007F2BB2" w14:paraId="5349D646" w14:textId="77777777" w:rsidTr="00C47D9E">
        <w:tblPrEx>
          <w:tblCellMar>
            <w:top w:w="15" w:type="dxa"/>
            <w:left w:w="15" w:type="dxa"/>
            <w:bottom w:w="15" w:type="dxa"/>
            <w:right w:w="15" w:type="dxa"/>
          </w:tblCellMar>
          <w:tblLook w:val="04A0" w:firstRow="1" w:lastRow="0" w:firstColumn="1" w:lastColumn="0" w:noHBand="0" w:noVBand="1"/>
        </w:tblPrEx>
        <w:tc>
          <w:tcPr>
            <w:tcW w:w="981" w:type="dxa"/>
          </w:tcPr>
          <w:p w14:paraId="57D842A1" w14:textId="77777777" w:rsidR="007C2699" w:rsidRDefault="007C2699" w:rsidP="00C47D9E">
            <w:pPr>
              <w:jc w:val="center"/>
              <w:rPr>
                <w:rFonts w:ascii="Arial Narrow" w:hAnsi="Arial Narrow"/>
                <w:color w:val="333333"/>
                <w:sz w:val="18"/>
                <w:szCs w:val="18"/>
              </w:rPr>
            </w:pPr>
          </w:p>
        </w:tc>
        <w:tc>
          <w:tcPr>
            <w:tcW w:w="8086" w:type="dxa"/>
            <w:gridSpan w:val="6"/>
          </w:tcPr>
          <w:p w14:paraId="1E80EE7C" w14:textId="77777777" w:rsidR="007C2699" w:rsidRDefault="007C2699" w:rsidP="00C47D9E">
            <w:pPr>
              <w:rPr>
                <w:rFonts w:ascii="Arial Narrow" w:hAnsi="Arial Narrow" w:cs="Arial"/>
                <w:b/>
                <w:sz w:val="18"/>
                <w:szCs w:val="18"/>
              </w:rPr>
            </w:pPr>
          </w:p>
        </w:tc>
      </w:tr>
      <w:tr w:rsidR="007C2699" w:rsidRPr="007F2BB2" w14:paraId="7967F47E" w14:textId="77777777" w:rsidTr="00C47D9E">
        <w:tblPrEx>
          <w:tblCellMar>
            <w:top w:w="15" w:type="dxa"/>
            <w:left w:w="15" w:type="dxa"/>
            <w:bottom w:w="15" w:type="dxa"/>
            <w:right w:w="15" w:type="dxa"/>
          </w:tblCellMar>
          <w:tblLook w:val="04A0" w:firstRow="1" w:lastRow="0" w:firstColumn="1" w:lastColumn="0" w:noHBand="0" w:noVBand="1"/>
        </w:tblPrEx>
        <w:tc>
          <w:tcPr>
            <w:tcW w:w="981" w:type="dxa"/>
          </w:tcPr>
          <w:p w14:paraId="52AE235B" w14:textId="77777777" w:rsidR="007C2699" w:rsidRDefault="007C2699" w:rsidP="00C47D9E">
            <w:pPr>
              <w:jc w:val="center"/>
              <w:rPr>
                <w:rFonts w:ascii="Arial Narrow" w:hAnsi="Arial Narrow"/>
                <w:color w:val="333333"/>
                <w:sz w:val="18"/>
                <w:szCs w:val="18"/>
              </w:rPr>
            </w:pPr>
          </w:p>
        </w:tc>
        <w:tc>
          <w:tcPr>
            <w:tcW w:w="8086" w:type="dxa"/>
            <w:gridSpan w:val="6"/>
          </w:tcPr>
          <w:p w14:paraId="7D8F316C" w14:textId="77777777" w:rsidR="007C2699" w:rsidRDefault="007C2699" w:rsidP="00C47D9E">
            <w:pPr>
              <w:rPr>
                <w:rFonts w:ascii="Arial Narrow" w:hAnsi="Arial Narrow"/>
                <w:b/>
                <w:bCs/>
                <w:color w:val="333333"/>
                <w:sz w:val="18"/>
                <w:szCs w:val="18"/>
              </w:rPr>
            </w:pPr>
            <w:r w:rsidRPr="006D2E3C">
              <w:rPr>
                <w:rFonts w:ascii="Arial Narrow" w:hAnsi="Arial Narrow" w:cs="Arial"/>
                <w:b/>
                <w:sz w:val="18"/>
                <w:szCs w:val="18"/>
              </w:rPr>
              <w:t xml:space="preserve">Treatment phase: </w:t>
            </w:r>
            <w:bookmarkStart w:id="40" w:name="_Hlk106376072"/>
            <w:r w:rsidRPr="0001406B">
              <w:rPr>
                <w:rFonts w:ascii="Arial Narrow" w:hAnsi="Arial Narrow" w:cs="Arial"/>
                <w:bCs/>
                <w:sz w:val="18"/>
                <w:szCs w:val="18"/>
              </w:rPr>
              <w:t xml:space="preserve">Initial treatment of childhood onset growth hormone deficiency in a patient who has received </w:t>
            </w:r>
            <w:r>
              <w:rPr>
                <w:rFonts w:ascii="Arial Narrow" w:hAnsi="Arial Narrow" w:cs="Arial"/>
                <w:bCs/>
                <w:sz w:val="18"/>
                <w:szCs w:val="18"/>
              </w:rPr>
              <w:t>non-</w:t>
            </w:r>
            <w:r w:rsidRPr="0001406B">
              <w:rPr>
                <w:rFonts w:ascii="Arial Narrow" w:hAnsi="Arial Narrow" w:cs="Arial"/>
                <w:bCs/>
                <w:sz w:val="18"/>
                <w:szCs w:val="18"/>
              </w:rPr>
              <w:t>PBS</w:t>
            </w:r>
            <w:r>
              <w:rPr>
                <w:rFonts w:ascii="Arial Narrow" w:hAnsi="Arial Narrow" w:cs="Arial"/>
                <w:bCs/>
                <w:sz w:val="18"/>
                <w:szCs w:val="18"/>
              </w:rPr>
              <w:t xml:space="preserve"> </w:t>
            </w:r>
            <w:r w:rsidRPr="0001406B">
              <w:rPr>
                <w:rFonts w:ascii="Arial Narrow" w:hAnsi="Arial Narrow" w:cs="Arial"/>
                <w:bCs/>
                <w:sz w:val="18"/>
                <w:szCs w:val="18"/>
              </w:rPr>
              <w:t>subsidised treatment as a child</w:t>
            </w:r>
            <w:bookmarkEnd w:id="40"/>
          </w:p>
        </w:tc>
      </w:tr>
      <w:tr w:rsidR="007C2699" w:rsidRPr="007F2BB2" w14:paraId="536CBE0E" w14:textId="77777777" w:rsidTr="00C47D9E">
        <w:tblPrEx>
          <w:tblCellMar>
            <w:top w:w="15" w:type="dxa"/>
            <w:left w:w="15" w:type="dxa"/>
            <w:bottom w:w="15" w:type="dxa"/>
            <w:right w:w="15" w:type="dxa"/>
          </w:tblCellMar>
          <w:tblLook w:val="04A0" w:firstRow="1" w:lastRow="0" w:firstColumn="1" w:lastColumn="0" w:noHBand="0" w:noVBand="1"/>
        </w:tblPrEx>
        <w:tc>
          <w:tcPr>
            <w:tcW w:w="981" w:type="dxa"/>
          </w:tcPr>
          <w:p w14:paraId="241B7425" w14:textId="77777777" w:rsidR="007C2699" w:rsidRDefault="007C2699" w:rsidP="00C47D9E">
            <w:pPr>
              <w:jc w:val="center"/>
              <w:rPr>
                <w:rFonts w:ascii="Arial Narrow" w:hAnsi="Arial Narrow"/>
                <w:color w:val="333333"/>
                <w:sz w:val="18"/>
                <w:szCs w:val="18"/>
              </w:rPr>
            </w:pPr>
          </w:p>
        </w:tc>
        <w:tc>
          <w:tcPr>
            <w:tcW w:w="8086" w:type="dxa"/>
            <w:gridSpan w:val="6"/>
          </w:tcPr>
          <w:p w14:paraId="4C437859" w14:textId="77777777" w:rsidR="007C2699" w:rsidRPr="006D2E3C" w:rsidRDefault="007C2699" w:rsidP="00C47D9E">
            <w:pPr>
              <w:rPr>
                <w:rFonts w:ascii="Arial Narrow" w:hAnsi="Arial Narrow" w:cs="Arial"/>
                <w:b/>
                <w:sz w:val="18"/>
                <w:szCs w:val="18"/>
              </w:rPr>
            </w:pPr>
          </w:p>
        </w:tc>
      </w:tr>
      <w:tr w:rsidR="007C2699" w:rsidRPr="007F2BB2" w14:paraId="5B00FFB0"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3B85C2F" w14:textId="0C1A88AB" w:rsidR="007C2699" w:rsidRDefault="007C2699" w:rsidP="00C47D9E">
            <w:pPr>
              <w:jc w:val="center"/>
              <w:rPr>
                <w:rFonts w:ascii="Arial Narrow" w:hAnsi="Arial Narrow"/>
                <w:color w:val="333333"/>
                <w:sz w:val="18"/>
                <w:szCs w:val="18"/>
              </w:rPr>
            </w:pPr>
          </w:p>
        </w:tc>
        <w:tc>
          <w:tcPr>
            <w:tcW w:w="8086" w:type="dxa"/>
            <w:gridSpan w:val="6"/>
            <w:vAlign w:val="center"/>
          </w:tcPr>
          <w:p w14:paraId="42B53916" w14:textId="77777777" w:rsidR="007C2699" w:rsidRDefault="007C2699" w:rsidP="00C47D9E">
            <w:pPr>
              <w:rPr>
                <w:rFonts w:ascii="Arial Narrow" w:hAnsi="Arial Narrow"/>
                <w:color w:val="333333"/>
                <w:sz w:val="18"/>
                <w:szCs w:val="18"/>
              </w:rPr>
            </w:pPr>
            <w:r>
              <w:rPr>
                <w:rFonts w:ascii="Arial Narrow" w:hAnsi="Arial Narrow"/>
                <w:b/>
                <w:bCs/>
                <w:color w:val="333333"/>
                <w:sz w:val="18"/>
                <w:szCs w:val="18"/>
              </w:rPr>
              <w:t xml:space="preserve">Treatment criteria: </w:t>
            </w:r>
            <w:r>
              <w:rPr>
                <w:rFonts w:ascii="Arial Narrow" w:hAnsi="Arial Narrow"/>
                <w:color w:val="333333"/>
                <w:sz w:val="18"/>
                <w:szCs w:val="18"/>
              </w:rPr>
              <w:t>Must be treated by an endocrinologist</w:t>
            </w:r>
          </w:p>
          <w:p w14:paraId="3D5BDBCE" w14:textId="77777777" w:rsidR="007C2699" w:rsidRPr="00B4571A" w:rsidRDefault="007C2699" w:rsidP="00C47D9E">
            <w:pPr>
              <w:spacing w:after="120"/>
              <w:rPr>
                <w:rFonts w:ascii="Arial Narrow" w:hAnsi="Arial Narrow"/>
                <w:sz w:val="18"/>
                <w:szCs w:val="18"/>
              </w:rPr>
            </w:pPr>
            <w:r w:rsidRPr="00B4571A">
              <w:rPr>
                <w:rFonts w:ascii="Arial Narrow" w:hAnsi="Arial Narrow"/>
                <w:sz w:val="18"/>
                <w:szCs w:val="18"/>
              </w:rPr>
              <w:t>AND</w:t>
            </w:r>
          </w:p>
          <w:p w14:paraId="080C4D60" w14:textId="77777777" w:rsidR="007C2699" w:rsidRDefault="007C2699" w:rsidP="00C47D9E">
            <w:pPr>
              <w:rPr>
                <w:rFonts w:ascii="Arial Narrow" w:hAnsi="Arial Narrow"/>
                <w:b/>
                <w:bCs/>
                <w:color w:val="333333"/>
                <w:sz w:val="18"/>
                <w:szCs w:val="18"/>
              </w:rPr>
            </w:pPr>
            <w:r w:rsidRPr="00B4571A">
              <w:rPr>
                <w:rFonts w:ascii="Arial Narrow" w:hAnsi="Arial Narrow"/>
                <w:sz w:val="18"/>
                <w:szCs w:val="18"/>
              </w:rPr>
              <w:t>[NEW TC] Patient must be undergoing treatment for the stated indication with only one drug at a time where multiple drugs are PBS-listed for the stated indication</w:t>
            </w:r>
          </w:p>
        </w:tc>
      </w:tr>
      <w:tr w:rsidR="007C2699" w:rsidRPr="007F2BB2" w14:paraId="1F115DFB"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05DFC65"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40A89964" w14:textId="77777777" w:rsidR="007C2699" w:rsidRPr="00002433" w:rsidRDefault="007C2699" w:rsidP="00C47D9E">
            <w:pPr>
              <w:rPr>
                <w:rFonts w:ascii="Arial Narrow" w:hAnsi="Arial Narrow"/>
                <w:b/>
                <w:bCs/>
                <w:color w:val="333333"/>
                <w:sz w:val="18"/>
                <w:szCs w:val="18"/>
              </w:rPr>
            </w:pPr>
            <w:r w:rsidRPr="00002433">
              <w:rPr>
                <w:rFonts w:ascii="Arial Narrow" w:hAnsi="Arial Narrow"/>
                <w:b/>
                <w:bCs/>
                <w:color w:val="333333"/>
                <w:sz w:val="18"/>
                <w:szCs w:val="18"/>
              </w:rPr>
              <w:t>AND</w:t>
            </w:r>
          </w:p>
        </w:tc>
      </w:tr>
      <w:tr w:rsidR="007C2699" w:rsidRPr="007F2BB2" w14:paraId="73F9E8BA"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24CA3E2"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2137C7D5" w14:textId="77777777" w:rsidR="007C2699" w:rsidRDefault="007C2699" w:rsidP="00C47D9E">
            <w:pPr>
              <w:rPr>
                <w:rFonts w:ascii="Arial Narrow" w:hAnsi="Arial Narrow"/>
                <w:b/>
                <w:bCs/>
                <w:color w:val="333333"/>
                <w:sz w:val="18"/>
                <w:szCs w:val="18"/>
              </w:rPr>
            </w:pPr>
            <w:r>
              <w:rPr>
                <w:rFonts w:ascii="Arial Narrow" w:hAnsi="Arial Narrow"/>
                <w:b/>
                <w:bCs/>
                <w:color w:val="333333"/>
                <w:sz w:val="18"/>
                <w:szCs w:val="18"/>
              </w:rPr>
              <w:t>Clinical criteria:</w:t>
            </w:r>
          </w:p>
        </w:tc>
      </w:tr>
      <w:tr w:rsidR="007C2699" w:rsidRPr="007F2BB2" w14:paraId="2ACD11B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5622A2B" w14:textId="70F9B6CC" w:rsidR="007C2699" w:rsidRDefault="007C2699" w:rsidP="00C47D9E">
            <w:pPr>
              <w:jc w:val="center"/>
              <w:rPr>
                <w:rFonts w:ascii="Arial Narrow" w:hAnsi="Arial Narrow"/>
                <w:color w:val="333333"/>
                <w:sz w:val="18"/>
                <w:szCs w:val="18"/>
              </w:rPr>
            </w:pPr>
          </w:p>
        </w:tc>
        <w:tc>
          <w:tcPr>
            <w:tcW w:w="8086" w:type="dxa"/>
            <w:gridSpan w:val="6"/>
            <w:vAlign w:val="center"/>
          </w:tcPr>
          <w:p w14:paraId="31F8A48A" w14:textId="77777777" w:rsidR="007C2699" w:rsidRPr="00002433" w:rsidRDefault="007C2699" w:rsidP="00C47D9E">
            <w:pPr>
              <w:rPr>
                <w:rFonts w:ascii="Arial Narrow" w:hAnsi="Arial Narrow"/>
                <w:color w:val="333333"/>
                <w:sz w:val="18"/>
                <w:szCs w:val="18"/>
              </w:rPr>
            </w:pPr>
            <w:r w:rsidRPr="00002433">
              <w:rPr>
                <w:rFonts w:ascii="Arial Narrow" w:hAnsi="Arial Narrow"/>
                <w:color w:val="333333"/>
                <w:sz w:val="18"/>
                <w:szCs w:val="18"/>
              </w:rPr>
              <w:t xml:space="preserve">Patient must have a documented childhood onset growth hormone deficiency due to a congenital, </w:t>
            </w:r>
            <w:proofErr w:type="gramStart"/>
            <w:r w:rsidRPr="00002433">
              <w:rPr>
                <w:rFonts w:ascii="Arial Narrow" w:hAnsi="Arial Narrow"/>
                <w:color w:val="333333"/>
                <w:sz w:val="18"/>
                <w:szCs w:val="18"/>
              </w:rPr>
              <w:t>genetic</w:t>
            </w:r>
            <w:proofErr w:type="gramEnd"/>
            <w:r w:rsidRPr="00002433">
              <w:rPr>
                <w:rFonts w:ascii="Arial Narrow" w:hAnsi="Arial Narrow"/>
                <w:color w:val="333333"/>
                <w:sz w:val="18"/>
                <w:szCs w:val="18"/>
              </w:rPr>
              <w:t xml:space="preserve"> or structural cause</w:t>
            </w:r>
          </w:p>
        </w:tc>
      </w:tr>
      <w:tr w:rsidR="007C2699" w:rsidRPr="007F2BB2" w14:paraId="606D63AF"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182D22D9"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169EAD5C" w14:textId="77777777" w:rsidR="007C2699" w:rsidRPr="00002433" w:rsidRDefault="007C2699" w:rsidP="00C47D9E">
            <w:pPr>
              <w:rPr>
                <w:rFonts w:ascii="Arial Narrow" w:hAnsi="Arial Narrow"/>
                <w:b/>
                <w:bCs/>
                <w:color w:val="333333"/>
                <w:sz w:val="18"/>
                <w:szCs w:val="18"/>
              </w:rPr>
            </w:pPr>
            <w:r w:rsidRPr="00002433">
              <w:rPr>
                <w:rFonts w:ascii="Arial Narrow" w:hAnsi="Arial Narrow"/>
                <w:b/>
                <w:bCs/>
                <w:color w:val="333333"/>
                <w:sz w:val="18"/>
                <w:szCs w:val="18"/>
              </w:rPr>
              <w:t>AND</w:t>
            </w:r>
          </w:p>
        </w:tc>
      </w:tr>
      <w:tr w:rsidR="007C2699" w:rsidRPr="007F2BB2" w14:paraId="16D73E67"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F96126E"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1B4DE858" w14:textId="77777777" w:rsidR="007C2699" w:rsidRDefault="007C2699" w:rsidP="00C47D9E">
            <w:pPr>
              <w:rPr>
                <w:rFonts w:ascii="Arial Narrow" w:hAnsi="Arial Narrow"/>
                <w:b/>
                <w:bCs/>
                <w:color w:val="333333"/>
                <w:sz w:val="18"/>
                <w:szCs w:val="18"/>
              </w:rPr>
            </w:pPr>
            <w:r>
              <w:rPr>
                <w:rFonts w:ascii="Arial Narrow" w:hAnsi="Arial Narrow"/>
                <w:b/>
                <w:bCs/>
                <w:color w:val="333333"/>
                <w:sz w:val="18"/>
                <w:szCs w:val="18"/>
              </w:rPr>
              <w:t xml:space="preserve">Clinical criteria: </w:t>
            </w:r>
          </w:p>
        </w:tc>
      </w:tr>
      <w:tr w:rsidR="007C2699" w:rsidRPr="007F2BB2" w14:paraId="4BB36820"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A81C55D" w14:textId="36E6B688" w:rsidR="007C2699" w:rsidRDefault="007C2699" w:rsidP="00C47D9E">
            <w:pPr>
              <w:jc w:val="center"/>
              <w:rPr>
                <w:rFonts w:ascii="Arial Narrow" w:hAnsi="Arial Narrow"/>
                <w:color w:val="333333"/>
                <w:sz w:val="18"/>
                <w:szCs w:val="18"/>
              </w:rPr>
            </w:pPr>
          </w:p>
        </w:tc>
        <w:tc>
          <w:tcPr>
            <w:tcW w:w="8086" w:type="dxa"/>
            <w:gridSpan w:val="6"/>
            <w:vAlign w:val="center"/>
          </w:tcPr>
          <w:p w14:paraId="3F7D79B8" w14:textId="77777777" w:rsidR="007C2699" w:rsidRPr="00002433" w:rsidRDefault="007C2699" w:rsidP="00C47D9E">
            <w:pPr>
              <w:rPr>
                <w:rFonts w:ascii="Arial Narrow" w:hAnsi="Arial Narrow"/>
                <w:color w:val="333333"/>
                <w:sz w:val="18"/>
                <w:szCs w:val="18"/>
              </w:rPr>
            </w:pPr>
            <w:r w:rsidRPr="00002433">
              <w:rPr>
                <w:rFonts w:ascii="Arial Narrow" w:hAnsi="Arial Narrow"/>
                <w:color w:val="333333"/>
                <w:sz w:val="18"/>
                <w:szCs w:val="18"/>
              </w:rPr>
              <w:t xml:space="preserve">Patient must have received non-PBS subsidised treatment with a growth hormone therapy for this </w:t>
            </w:r>
            <w:r>
              <w:rPr>
                <w:rFonts w:ascii="Arial Narrow" w:hAnsi="Arial Narrow"/>
                <w:color w:val="333333"/>
                <w:sz w:val="18"/>
                <w:szCs w:val="18"/>
              </w:rPr>
              <w:t>indica</w:t>
            </w:r>
            <w:r w:rsidRPr="00002433">
              <w:rPr>
                <w:rFonts w:ascii="Arial Narrow" w:hAnsi="Arial Narrow"/>
                <w:color w:val="333333"/>
                <w:sz w:val="18"/>
                <w:szCs w:val="18"/>
              </w:rPr>
              <w:t>tion as a child</w:t>
            </w:r>
          </w:p>
        </w:tc>
      </w:tr>
      <w:tr w:rsidR="007C2699" w:rsidRPr="007F2BB2" w14:paraId="47DECD7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3CAE7D20"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0D0304E0" w14:textId="77777777" w:rsidR="007C2699" w:rsidRDefault="007C2699" w:rsidP="00C47D9E">
            <w:pPr>
              <w:rPr>
                <w:rFonts w:ascii="Arial Narrow" w:hAnsi="Arial Narrow"/>
                <w:b/>
                <w:bCs/>
                <w:color w:val="333333"/>
                <w:sz w:val="18"/>
                <w:szCs w:val="18"/>
              </w:rPr>
            </w:pPr>
            <w:r w:rsidRPr="00002433">
              <w:rPr>
                <w:rFonts w:ascii="Arial Narrow" w:hAnsi="Arial Narrow"/>
                <w:b/>
                <w:bCs/>
                <w:color w:val="333333"/>
                <w:sz w:val="18"/>
                <w:szCs w:val="18"/>
              </w:rPr>
              <w:t>AND</w:t>
            </w:r>
          </w:p>
        </w:tc>
      </w:tr>
      <w:tr w:rsidR="007C2699" w:rsidRPr="007F2BB2" w14:paraId="5C994F9E"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97CD14D" w14:textId="4BF55426" w:rsidR="007C2699" w:rsidRDefault="007C2699" w:rsidP="00C47D9E">
            <w:pPr>
              <w:jc w:val="center"/>
              <w:rPr>
                <w:rFonts w:ascii="Arial Narrow" w:hAnsi="Arial Narrow"/>
                <w:color w:val="333333"/>
                <w:sz w:val="18"/>
                <w:szCs w:val="18"/>
              </w:rPr>
            </w:pPr>
          </w:p>
        </w:tc>
        <w:tc>
          <w:tcPr>
            <w:tcW w:w="8086" w:type="dxa"/>
            <w:gridSpan w:val="6"/>
            <w:vAlign w:val="center"/>
          </w:tcPr>
          <w:p w14:paraId="547661F8" w14:textId="77777777" w:rsidR="007C2699" w:rsidRPr="0001406B" w:rsidRDefault="007C2699" w:rsidP="00C47D9E">
            <w:pPr>
              <w:rPr>
                <w:rFonts w:ascii="Arial Narrow" w:hAnsi="Arial Narrow"/>
                <w:color w:val="333333"/>
                <w:sz w:val="18"/>
                <w:szCs w:val="18"/>
              </w:rPr>
            </w:pPr>
            <w:r>
              <w:rPr>
                <w:rFonts w:ascii="Arial Narrow" w:hAnsi="Arial Narrow"/>
                <w:b/>
                <w:bCs/>
                <w:color w:val="333333"/>
                <w:sz w:val="18"/>
                <w:szCs w:val="18"/>
              </w:rPr>
              <w:t>Clinical criteria</w:t>
            </w:r>
          </w:p>
        </w:tc>
      </w:tr>
      <w:tr w:rsidR="007C2699" w:rsidRPr="007F2BB2" w14:paraId="1F50A004"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00904927" w14:textId="1DAA205B" w:rsidR="007C2699" w:rsidRDefault="007C2699" w:rsidP="00C47D9E">
            <w:pPr>
              <w:jc w:val="center"/>
              <w:rPr>
                <w:rFonts w:ascii="Arial Narrow" w:hAnsi="Arial Narrow"/>
                <w:color w:val="333333"/>
                <w:sz w:val="18"/>
                <w:szCs w:val="18"/>
              </w:rPr>
            </w:pPr>
          </w:p>
        </w:tc>
        <w:tc>
          <w:tcPr>
            <w:tcW w:w="8086" w:type="dxa"/>
            <w:gridSpan w:val="6"/>
            <w:vAlign w:val="center"/>
          </w:tcPr>
          <w:p w14:paraId="3A530E19" w14:textId="77777777" w:rsidR="007C2699" w:rsidRPr="0001406B" w:rsidRDefault="007C2699" w:rsidP="00C47D9E">
            <w:pPr>
              <w:rPr>
                <w:rFonts w:ascii="Arial Narrow" w:hAnsi="Arial Narrow"/>
                <w:color w:val="333333"/>
                <w:sz w:val="18"/>
                <w:szCs w:val="18"/>
              </w:rPr>
            </w:pPr>
            <w:r w:rsidRPr="0074740A">
              <w:rPr>
                <w:rFonts w:ascii="Arial Narrow" w:hAnsi="Arial Narrow"/>
                <w:color w:val="333333"/>
                <w:sz w:val="18"/>
                <w:szCs w:val="18"/>
              </w:rPr>
              <w:t>Patient must have</w:t>
            </w:r>
            <w:r>
              <w:rPr>
                <w:rFonts w:ascii="Arial Narrow" w:hAnsi="Arial Narrow"/>
                <w:color w:val="333333"/>
                <w:sz w:val="18"/>
                <w:szCs w:val="18"/>
              </w:rPr>
              <w:t>/have had</w:t>
            </w:r>
            <w:r w:rsidRPr="0074740A">
              <w:rPr>
                <w:rFonts w:ascii="Arial Narrow" w:hAnsi="Arial Narrow"/>
                <w:color w:val="333333"/>
                <w:sz w:val="18"/>
                <w:szCs w:val="18"/>
              </w:rPr>
              <w:t xml:space="preserve"> a</w:t>
            </w:r>
            <w:r>
              <w:rPr>
                <w:rFonts w:ascii="Arial Narrow" w:hAnsi="Arial Narrow"/>
                <w:color w:val="333333"/>
                <w:sz w:val="18"/>
                <w:szCs w:val="18"/>
              </w:rPr>
              <w:t xml:space="preserve"> diagnostic</w:t>
            </w:r>
            <w:r w:rsidRPr="0074740A">
              <w:rPr>
                <w:rFonts w:ascii="Arial Narrow" w:hAnsi="Arial Narrow"/>
                <w:color w:val="333333"/>
                <w:sz w:val="18"/>
                <w:szCs w:val="18"/>
              </w:rPr>
              <w:t xml:space="preserve"> insulin tolerance test with maximum serum growth hormone (GH) less than 2.5 micrograms per </w:t>
            </w:r>
            <w:proofErr w:type="gramStart"/>
            <w:r w:rsidRPr="0074740A">
              <w:rPr>
                <w:rFonts w:ascii="Arial Narrow" w:hAnsi="Arial Narrow"/>
                <w:color w:val="333333"/>
                <w:sz w:val="18"/>
                <w:szCs w:val="18"/>
              </w:rPr>
              <w:t>litre;</w:t>
            </w:r>
            <w:proofErr w:type="gramEnd"/>
            <w:r w:rsidRPr="0074740A">
              <w:rPr>
                <w:rFonts w:ascii="Arial Narrow" w:hAnsi="Arial Narrow"/>
                <w:color w:val="333333"/>
                <w:sz w:val="18"/>
                <w:szCs w:val="18"/>
              </w:rPr>
              <w:t xml:space="preserve"> or</w:t>
            </w:r>
          </w:p>
        </w:tc>
      </w:tr>
      <w:tr w:rsidR="007C2699" w:rsidRPr="007F2BB2" w14:paraId="0FAFF73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3176A9A" w14:textId="22A801C7" w:rsidR="007C2699" w:rsidRDefault="007C2699" w:rsidP="00C47D9E">
            <w:pPr>
              <w:jc w:val="center"/>
              <w:rPr>
                <w:rFonts w:ascii="Arial Narrow" w:hAnsi="Arial Narrow"/>
                <w:color w:val="333333"/>
                <w:sz w:val="18"/>
                <w:szCs w:val="18"/>
              </w:rPr>
            </w:pPr>
          </w:p>
        </w:tc>
        <w:tc>
          <w:tcPr>
            <w:tcW w:w="8086" w:type="dxa"/>
            <w:gridSpan w:val="6"/>
            <w:vAlign w:val="center"/>
          </w:tcPr>
          <w:p w14:paraId="64619C24" w14:textId="77777777" w:rsidR="007C2699" w:rsidRPr="0001406B" w:rsidRDefault="007C2699" w:rsidP="00C47D9E">
            <w:pPr>
              <w:rPr>
                <w:rFonts w:ascii="Arial Narrow" w:hAnsi="Arial Narrow"/>
                <w:color w:val="333333"/>
                <w:sz w:val="18"/>
                <w:szCs w:val="18"/>
              </w:rPr>
            </w:pPr>
            <w:r w:rsidRPr="0074740A">
              <w:rPr>
                <w:rFonts w:ascii="Arial Narrow" w:hAnsi="Arial Narrow"/>
                <w:color w:val="333333"/>
                <w:sz w:val="18"/>
                <w:szCs w:val="18"/>
              </w:rPr>
              <w:t>Patient must have</w:t>
            </w:r>
            <w:r>
              <w:rPr>
                <w:rFonts w:ascii="Arial Narrow" w:hAnsi="Arial Narrow"/>
                <w:color w:val="333333"/>
                <w:sz w:val="18"/>
                <w:szCs w:val="18"/>
              </w:rPr>
              <w:t>/have had</w:t>
            </w:r>
            <w:r w:rsidRPr="0074740A">
              <w:rPr>
                <w:rFonts w:ascii="Arial Narrow" w:hAnsi="Arial Narrow"/>
                <w:color w:val="333333"/>
                <w:sz w:val="18"/>
                <w:szCs w:val="18"/>
              </w:rPr>
              <w:t xml:space="preserve"> a</w:t>
            </w:r>
            <w:r>
              <w:rPr>
                <w:rFonts w:ascii="Arial Narrow" w:hAnsi="Arial Narrow"/>
                <w:color w:val="333333"/>
                <w:sz w:val="18"/>
                <w:szCs w:val="18"/>
              </w:rPr>
              <w:t xml:space="preserve"> diagnostic</w:t>
            </w:r>
            <w:r w:rsidRPr="0074740A">
              <w:rPr>
                <w:rFonts w:ascii="Arial Narrow" w:hAnsi="Arial Narrow"/>
                <w:color w:val="333333"/>
                <w:sz w:val="18"/>
                <w:szCs w:val="18"/>
              </w:rPr>
              <w:t xml:space="preserve"> arginine infusion test with maximum serum GH less than 0.4 micrograms per </w:t>
            </w:r>
            <w:proofErr w:type="gramStart"/>
            <w:r w:rsidRPr="0074740A">
              <w:rPr>
                <w:rFonts w:ascii="Arial Narrow" w:hAnsi="Arial Narrow"/>
                <w:color w:val="333333"/>
                <w:sz w:val="18"/>
                <w:szCs w:val="18"/>
              </w:rPr>
              <w:t>litre;</w:t>
            </w:r>
            <w:proofErr w:type="gramEnd"/>
            <w:r w:rsidRPr="0074740A">
              <w:rPr>
                <w:rFonts w:ascii="Arial Narrow" w:hAnsi="Arial Narrow"/>
                <w:color w:val="333333"/>
                <w:sz w:val="18"/>
                <w:szCs w:val="18"/>
              </w:rPr>
              <w:t xml:space="preserve"> or</w:t>
            </w:r>
          </w:p>
        </w:tc>
      </w:tr>
      <w:tr w:rsidR="007C2699" w:rsidRPr="007F2BB2" w14:paraId="54B8CB85"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6CAB75D5" w14:textId="2258E40B" w:rsidR="007C2699" w:rsidRDefault="007C2699" w:rsidP="00C47D9E">
            <w:pPr>
              <w:jc w:val="center"/>
              <w:rPr>
                <w:rFonts w:ascii="Arial Narrow" w:hAnsi="Arial Narrow"/>
                <w:color w:val="333333"/>
                <w:sz w:val="18"/>
                <w:szCs w:val="18"/>
              </w:rPr>
            </w:pPr>
          </w:p>
        </w:tc>
        <w:tc>
          <w:tcPr>
            <w:tcW w:w="8086" w:type="dxa"/>
            <w:gridSpan w:val="6"/>
            <w:vAlign w:val="center"/>
          </w:tcPr>
          <w:p w14:paraId="08D45475" w14:textId="77777777" w:rsidR="007C2699" w:rsidRPr="0001406B" w:rsidRDefault="007C2699" w:rsidP="00C47D9E">
            <w:pPr>
              <w:rPr>
                <w:rFonts w:ascii="Arial Narrow" w:hAnsi="Arial Narrow"/>
                <w:color w:val="333333"/>
                <w:sz w:val="18"/>
                <w:szCs w:val="18"/>
              </w:rPr>
            </w:pPr>
            <w:r w:rsidRPr="0074740A">
              <w:rPr>
                <w:rFonts w:ascii="Arial Narrow" w:hAnsi="Arial Narrow"/>
                <w:color w:val="333333"/>
                <w:sz w:val="18"/>
                <w:szCs w:val="18"/>
              </w:rPr>
              <w:t>Patient must have</w:t>
            </w:r>
            <w:r>
              <w:rPr>
                <w:rFonts w:ascii="Arial Narrow" w:hAnsi="Arial Narrow"/>
                <w:color w:val="333333"/>
                <w:sz w:val="18"/>
                <w:szCs w:val="18"/>
              </w:rPr>
              <w:t>/have had</w:t>
            </w:r>
            <w:r w:rsidRPr="0074740A">
              <w:rPr>
                <w:rFonts w:ascii="Arial Narrow" w:hAnsi="Arial Narrow"/>
                <w:color w:val="333333"/>
                <w:sz w:val="18"/>
                <w:szCs w:val="18"/>
              </w:rPr>
              <w:t xml:space="preserve"> a </w:t>
            </w:r>
            <w:r>
              <w:rPr>
                <w:rFonts w:ascii="Arial Narrow" w:hAnsi="Arial Narrow"/>
                <w:color w:val="333333"/>
                <w:sz w:val="18"/>
                <w:szCs w:val="18"/>
              </w:rPr>
              <w:t xml:space="preserve">diagnostic </w:t>
            </w:r>
            <w:r w:rsidRPr="0074740A">
              <w:rPr>
                <w:rFonts w:ascii="Arial Narrow" w:hAnsi="Arial Narrow"/>
                <w:color w:val="333333"/>
                <w:sz w:val="18"/>
                <w:szCs w:val="18"/>
              </w:rPr>
              <w:t>glucagon provocation test with maximum serum GH less than 3 micrograms per litre</w:t>
            </w:r>
          </w:p>
        </w:tc>
      </w:tr>
      <w:tr w:rsidR="007C2699" w:rsidRPr="007F2BB2" w14:paraId="4F8E52BA"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0647DF0"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3A404B1C" w14:textId="77777777" w:rsidR="007C2699" w:rsidRPr="00002433" w:rsidRDefault="007C2699" w:rsidP="00C47D9E">
            <w:pPr>
              <w:rPr>
                <w:rFonts w:ascii="Arial Narrow" w:hAnsi="Arial Narrow"/>
                <w:b/>
                <w:bCs/>
                <w:color w:val="333333"/>
                <w:sz w:val="18"/>
                <w:szCs w:val="18"/>
              </w:rPr>
            </w:pPr>
            <w:r w:rsidRPr="00002433">
              <w:rPr>
                <w:rFonts w:ascii="Arial Narrow" w:hAnsi="Arial Narrow"/>
                <w:b/>
                <w:bCs/>
                <w:color w:val="333333"/>
                <w:sz w:val="18"/>
                <w:szCs w:val="18"/>
              </w:rPr>
              <w:t>AND</w:t>
            </w:r>
          </w:p>
        </w:tc>
      </w:tr>
      <w:tr w:rsidR="007C2699" w:rsidRPr="007F2BB2" w14:paraId="59BC4F8B"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2089671"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3E8043F8" w14:textId="77777777" w:rsidR="007C2699" w:rsidRDefault="007C2699" w:rsidP="00C47D9E">
            <w:pPr>
              <w:rPr>
                <w:rFonts w:ascii="Arial Narrow" w:hAnsi="Arial Narrow"/>
                <w:b/>
                <w:bCs/>
                <w:color w:val="333333"/>
                <w:sz w:val="18"/>
                <w:szCs w:val="18"/>
              </w:rPr>
            </w:pPr>
            <w:r>
              <w:rPr>
                <w:rFonts w:ascii="Arial Narrow" w:hAnsi="Arial Narrow"/>
                <w:b/>
                <w:bCs/>
                <w:color w:val="333333"/>
                <w:sz w:val="18"/>
                <w:szCs w:val="18"/>
              </w:rPr>
              <w:t>Population criteria:</w:t>
            </w:r>
          </w:p>
        </w:tc>
      </w:tr>
      <w:tr w:rsidR="007C2699" w:rsidRPr="007F2BB2" w14:paraId="6F931B72"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28446828" w14:textId="47314F0A" w:rsidR="007C2699" w:rsidRDefault="007C2699" w:rsidP="00C47D9E">
            <w:pPr>
              <w:jc w:val="center"/>
              <w:rPr>
                <w:rFonts w:ascii="Arial Narrow" w:hAnsi="Arial Narrow"/>
                <w:color w:val="333333"/>
                <w:sz w:val="18"/>
                <w:szCs w:val="18"/>
              </w:rPr>
            </w:pPr>
          </w:p>
        </w:tc>
        <w:tc>
          <w:tcPr>
            <w:tcW w:w="8086" w:type="dxa"/>
            <w:gridSpan w:val="6"/>
            <w:vAlign w:val="center"/>
          </w:tcPr>
          <w:p w14:paraId="635C8625" w14:textId="77777777" w:rsidR="007C2699" w:rsidRDefault="007C2699" w:rsidP="00C47D9E">
            <w:pPr>
              <w:rPr>
                <w:rFonts w:ascii="Arial Narrow" w:hAnsi="Arial Narrow"/>
                <w:b/>
                <w:bCs/>
                <w:color w:val="333333"/>
                <w:sz w:val="18"/>
                <w:szCs w:val="18"/>
              </w:rPr>
            </w:pPr>
            <w:r>
              <w:rPr>
                <w:rFonts w:ascii="Arial Narrow" w:hAnsi="Arial Narrow"/>
                <w:color w:val="333333"/>
                <w:sz w:val="18"/>
                <w:szCs w:val="18"/>
              </w:rPr>
              <w:t>Patient must have a mature skeleton</w:t>
            </w:r>
          </w:p>
        </w:tc>
      </w:tr>
      <w:tr w:rsidR="007C2699" w:rsidRPr="007F2BB2" w14:paraId="16F5E20E"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990D4BA"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443DEE90" w14:textId="77777777" w:rsidR="007C2699" w:rsidRDefault="007C2699" w:rsidP="00C47D9E">
            <w:pPr>
              <w:rPr>
                <w:rFonts w:ascii="Arial Narrow" w:hAnsi="Arial Narrow"/>
                <w:color w:val="333333"/>
                <w:sz w:val="18"/>
                <w:szCs w:val="18"/>
              </w:rPr>
            </w:pPr>
          </w:p>
        </w:tc>
      </w:tr>
      <w:tr w:rsidR="007C2699" w:rsidRPr="007F2BB2" w14:paraId="40EDDB21"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52BAE58E" w14:textId="49B212B1" w:rsidR="007C2699" w:rsidRDefault="007C2699" w:rsidP="00C47D9E">
            <w:pPr>
              <w:jc w:val="center"/>
              <w:rPr>
                <w:rFonts w:ascii="Arial Narrow" w:hAnsi="Arial Narrow"/>
                <w:color w:val="333333"/>
                <w:sz w:val="18"/>
                <w:szCs w:val="18"/>
              </w:rPr>
            </w:pPr>
          </w:p>
        </w:tc>
        <w:tc>
          <w:tcPr>
            <w:tcW w:w="8086" w:type="dxa"/>
            <w:gridSpan w:val="6"/>
            <w:vAlign w:val="center"/>
          </w:tcPr>
          <w:p w14:paraId="670562C2" w14:textId="77777777" w:rsidR="007C2699" w:rsidRPr="0074740A" w:rsidRDefault="007C2699" w:rsidP="00C47D9E">
            <w:pPr>
              <w:snapToGrid w:val="0"/>
              <w:rPr>
                <w:rFonts w:ascii="Arial Narrow" w:hAnsi="Arial Narrow"/>
                <w:color w:val="333333"/>
                <w:sz w:val="18"/>
                <w:szCs w:val="18"/>
              </w:rPr>
            </w:pPr>
            <w:r>
              <w:rPr>
                <w:rFonts w:ascii="Arial Narrow" w:hAnsi="Arial Narrow"/>
                <w:b/>
                <w:bCs/>
                <w:color w:val="333333"/>
                <w:sz w:val="18"/>
                <w:szCs w:val="18"/>
              </w:rPr>
              <w:t>Prescribing instructions:</w:t>
            </w:r>
            <w:r>
              <w:rPr>
                <w:rFonts w:ascii="Arial Narrow" w:hAnsi="Arial Narrow"/>
                <w:color w:val="333333"/>
                <w:sz w:val="18"/>
                <w:szCs w:val="18"/>
              </w:rPr>
              <w:t xml:space="preserve"> </w:t>
            </w:r>
            <w:r w:rsidRPr="0074740A">
              <w:rPr>
                <w:rFonts w:ascii="Arial Narrow" w:hAnsi="Arial Narrow"/>
                <w:color w:val="333333"/>
                <w:sz w:val="18"/>
                <w:szCs w:val="18"/>
              </w:rPr>
              <w:t>The authority application must be in writing and must include:</w:t>
            </w:r>
          </w:p>
          <w:p w14:paraId="54AA9513" w14:textId="77777777" w:rsidR="007C2699" w:rsidRPr="0074740A" w:rsidRDefault="007C2699" w:rsidP="00C47D9E">
            <w:pPr>
              <w:pStyle w:val="ListParagraph"/>
              <w:numPr>
                <w:ilvl w:val="0"/>
                <w:numId w:val="19"/>
              </w:numPr>
              <w:snapToGrid w:val="0"/>
              <w:ind w:left="423"/>
              <w:rPr>
                <w:rFonts w:ascii="Arial Narrow" w:hAnsi="Arial Narrow"/>
                <w:color w:val="333333"/>
                <w:sz w:val="18"/>
                <w:szCs w:val="18"/>
              </w:rPr>
            </w:pPr>
            <w:r w:rsidRPr="0074740A">
              <w:rPr>
                <w:rFonts w:ascii="Arial Narrow" w:hAnsi="Arial Narrow"/>
                <w:color w:val="333333"/>
                <w:sz w:val="18"/>
                <w:szCs w:val="18"/>
              </w:rPr>
              <w:t>A completed authority prescription form; AND</w:t>
            </w:r>
          </w:p>
          <w:p w14:paraId="2F25E99F" w14:textId="77777777" w:rsidR="007C2699" w:rsidRPr="0074740A" w:rsidRDefault="007C2699" w:rsidP="00C47D9E">
            <w:pPr>
              <w:pStyle w:val="ListParagraph"/>
              <w:numPr>
                <w:ilvl w:val="0"/>
                <w:numId w:val="19"/>
              </w:numPr>
              <w:snapToGrid w:val="0"/>
              <w:ind w:left="423"/>
              <w:rPr>
                <w:rFonts w:ascii="Arial Narrow" w:hAnsi="Arial Narrow"/>
                <w:color w:val="333333"/>
                <w:sz w:val="18"/>
                <w:szCs w:val="18"/>
              </w:rPr>
            </w:pPr>
            <w:r w:rsidRPr="0074740A">
              <w:rPr>
                <w:rFonts w:ascii="Arial Narrow" w:hAnsi="Arial Narrow"/>
                <w:color w:val="333333"/>
                <w:sz w:val="18"/>
                <w:szCs w:val="18"/>
              </w:rPr>
              <w:t>A completed Severe Growth Hormone Deficiency supporting information form; AND</w:t>
            </w:r>
          </w:p>
          <w:p w14:paraId="5C804BEE" w14:textId="77777777" w:rsidR="007C2699" w:rsidRPr="0021635A" w:rsidRDefault="007C2699" w:rsidP="00C47D9E">
            <w:pPr>
              <w:pStyle w:val="ListParagraph"/>
              <w:numPr>
                <w:ilvl w:val="0"/>
                <w:numId w:val="19"/>
              </w:numPr>
              <w:ind w:left="423"/>
              <w:rPr>
                <w:rFonts w:ascii="Arial Narrow" w:hAnsi="Arial Narrow"/>
                <w:b/>
                <w:bCs/>
                <w:color w:val="333333"/>
                <w:sz w:val="18"/>
                <w:szCs w:val="18"/>
              </w:rPr>
            </w:pPr>
            <w:r w:rsidRPr="0021635A">
              <w:rPr>
                <w:rFonts w:ascii="Arial Narrow" w:hAnsi="Arial Narrow"/>
                <w:color w:val="333333"/>
                <w:sz w:val="18"/>
                <w:szCs w:val="18"/>
              </w:rPr>
              <w:t>Results of the growth hormone stimulation testing, including the date of testing, the type of test performed, the peak growth hormone concentration, and laboratory reference range for age/gender.</w:t>
            </w:r>
          </w:p>
        </w:tc>
      </w:tr>
      <w:tr w:rsidR="007C2699" w:rsidRPr="007F2BB2" w14:paraId="08A8D4AA"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7FFC4984" w14:textId="77777777" w:rsidR="007C2699" w:rsidRDefault="007C2699" w:rsidP="00C47D9E">
            <w:pPr>
              <w:jc w:val="center"/>
              <w:rPr>
                <w:rFonts w:ascii="Arial Narrow" w:hAnsi="Arial Narrow"/>
                <w:color w:val="333333"/>
                <w:sz w:val="18"/>
                <w:szCs w:val="18"/>
              </w:rPr>
            </w:pPr>
          </w:p>
        </w:tc>
        <w:tc>
          <w:tcPr>
            <w:tcW w:w="8086" w:type="dxa"/>
            <w:gridSpan w:val="6"/>
            <w:vAlign w:val="center"/>
          </w:tcPr>
          <w:p w14:paraId="0C9D4691" w14:textId="77777777" w:rsidR="007C2699" w:rsidRDefault="007C2699" w:rsidP="00C47D9E">
            <w:pPr>
              <w:snapToGrid w:val="0"/>
              <w:rPr>
                <w:rFonts w:ascii="Arial Narrow" w:hAnsi="Arial Narrow"/>
                <w:b/>
                <w:bCs/>
                <w:color w:val="333333"/>
                <w:sz w:val="18"/>
                <w:szCs w:val="18"/>
              </w:rPr>
            </w:pPr>
          </w:p>
        </w:tc>
      </w:tr>
      <w:tr w:rsidR="007C2699" w:rsidRPr="007F2BB2" w14:paraId="52F78374" w14:textId="77777777" w:rsidTr="00C47D9E">
        <w:tblPrEx>
          <w:tblCellMar>
            <w:top w:w="15" w:type="dxa"/>
            <w:left w:w="15" w:type="dxa"/>
            <w:bottom w:w="15" w:type="dxa"/>
            <w:right w:w="15" w:type="dxa"/>
          </w:tblCellMar>
          <w:tblLook w:val="04A0" w:firstRow="1" w:lastRow="0" w:firstColumn="1" w:lastColumn="0" w:noHBand="0" w:noVBand="1"/>
        </w:tblPrEx>
        <w:tc>
          <w:tcPr>
            <w:tcW w:w="981" w:type="dxa"/>
            <w:vAlign w:val="center"/>
          </w:tcPr>
          <w:p w14:paraId="4FF322C6" w14:textId="77777777" w:rsidR="007C2699" w:rsidRDefault="007C2699" w:rsidP="00C47D9E">
            <w:pPr>
              <w:jc w:val="center"/>
              <w:rPr>
                <w:rFonts w:ascii="Arial Narrow" w:hAnsi="Arial Narrow"/>
                <w:color w:val="333333"/>
                <w:sz w:val="18"/>
                <w:szCs w:val="18"/>
              </w:rPr>
            </w:pPr>
          </w:p>
          <w:p w14:paraId="6BCDAC15" w14:textId="4F83E4E5" w:rsidR="007C2699" w:rsidRDefault="007C2699" w:rsidP="007C2699">
            <w:pPr>
              <w:rPr>
                <w:rFonts w:ascii="Arial Narrow" w:hAnsi="Arial Narrow"/>
                <w:color w:val="333333"/>
                <w:sz w:val="18"/>
                <w:szCs w:val="18"/>
              </w:rPr>
            </w:pPr>
          </w:p>
        </w:tc>
        <w:tc>
          <w:tcPr>
            <w:tcW w:w="8086" w:type="dxa"/>
            <w:gridSpan w:val="6"/>
            <w:vAlign w:val="center"/>
          </w:tcPr>
          <w:p w14:paraId="4C4F9AA3" w14:textId="77777777" w:rsidR="007C2699" w:rsidRPr="0074740A" w:rsidRDefault="007C2699" w:rsidP="00C47D9E">
            <w:pPr>
              <w:snapToGrid w:val="0"/>
              <w:rPr>
                <w:rFonts w:ascii="Arial Narrow" w:hAnsi="Arial Narrow"/>
                <w:color w:val="333333"/>
                <w:sz w:val="18"/>
                <w:szCs w:val="18"/>
              </w:rPr>
            </w:pPr>
            <w:r>
              <w:rPr>
                <w:rFonts w:ascii="Arial Narrow" w:hAnsi="Arial Narrow"/>
                <w:b/>
                <w:bCs/>
                <w:color w:val="333333"/>
                <w:sz w:val="18"/>
                <w:szCs w:val="18"/>
              </w:rPr>
              <w:t>Administrative advice:</w:t>
            </w:r>
            <w:r>
              <w:rPr>
                <w:rFonts w:ascii="Arial Narrow" w:hAnsi="Arial Narrow"/>
                <w:color w:val="333333"/>
                <w:sz w:val="18"/>
                <w:szCs w:val="18"/>
              </w:rPr>
              <w:t xml:space="preserve"> </w:t>
            </w:r>
            <w:r w:rsidRPr="0074740A">
              <w:rPr>
                <w:rFonts w:ascii="Arial Narrow" w:hAnsi="Arial Narrow"/>
                <w:color w:val="333333"/>
                <w:sz w:val="18"/>
                <w:szCs w:val="18"/>
              </w:rPr>
              <w:t>Any queries concerning the arrangements to prescribe may be directed to Services Australia on 1800 700 270 (hours of operation 8 a.m. to 5 p.m.  Monday to Friday).</w:t>
            </w:r>
          </w:p>
          <w:p w14:paraId="24EC468B"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Prescribing information (including Authority Application forms and other relevant documentation as applicable) is available on the Services Australia website at www.servicesaustralia.gov.au</w:t>
            </w:r>
          </w:p>
          <w:p w14:paraId="175B087B"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Applications for authority to prescribe should be submitted online using the form upload facility in Health Professional Online Services (HPOS) at www.servicesaustralia.gov.au/hpos</w:t>
            </w:r>
          </w:p>
          <w:p w14:paraId="1A612330"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Or mailed to:</w:t>
            </w:r>
          </w:p>
          <w:p w14:paraId="1B8FAD60"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Services Australia</w:t>
            </w:r>
          </w:p>
          <w:p w14:paraId="71FAF38B"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Complex Drugs</w:t>
            </w:r>
          </w:p>
          <w:p w14:paraId="435E1A20" w14:textId="77777777" w:rsidR="007C2699" w:rsidRPr="0074740A" w:rsidRDefault="007C2699" w:rsidP="00C47D9E">
            <w:pPr>
              <w:snapToGrid w:val="0"/>
              <w:rPr>
                <w:rFonts w:ascii="Arial Narrow" w:hAnsi="Arial Narrow"/>
                <w:color w:val="333333"/>
                <w:sz w:val="18"/>
                <w:szCs w:val="18"/>
              </w:rPr>
            </w:pPr>
            <w:r w:rsidRPr="0074740A">
              <w:rPr>
                <w:rFonts w:ascii="Arial Narrow" w:hAnsi="Arial Narrow"/>
                <w:color w:val="333333"/>
                <w:sz w:val="18"/>
                <w:szCs w:val="18"/>
              </w:rPr>
              <w:t>Reply Paid 9826</w:t>
            </w:r>
          </w:p>
          <w:p w14:paraId="0C1D1692" w14:textId="77777777" w:rsidR="007C2699" w:rsidRDefault="007C2699" w:rsidP="00C47D9E">
            <w:pPr>
              <w:rPr>
                <w:rFonts w:ascii="Arial Narrow" w:hAnsi="Arial Narrow"/>
                <w:b/>
                <w:bCs/>
                <w:color w:val="333333"/>
                <w:sz w:val="18"/>
                <w:szCs w:val="18"/>
              </w:rPr>
            </w:pPr>
            <w:r w:rsidRPr="0074740A">
              <w:rPr>
                <w:rFonts w:ascii="Arial Narrow" w:hAnsi="Arial Narrow"/>
                <w:color w:val="333333"/>
                <w:sz w:val="18"/>
                <w:szCs w:val="18"/>
              </w:rPr>
              <w:t>HOBART TAS 7001</w:t>
            </w:r>
          </w:p>
        </w:tc>
      </w:tr>
    </w:tbl>
    <w:p w14:paraId="1094E67F" w14:textId="77777777" w:rsidR="007C2699" w:rsidRDefault="007C2699" w:rsidP="00024DD5">
      <w:pPr>
        <w:pStyle w:val="3-BodyText"/>
        <w:numPr>
          <w:ilvl w:val="1"/>
          <w:numId w:val="1"/>
        </w:numPr>
        <w:spacing w:before="120"/>
      </w:pPr>
      <w:r w:rsidRPr="0007388B">
        <w:t>Flow-on changes to PBS items for somatropin</w:t>
      </w:r>
      <w:r>
        <w:t xml:space="preserve"> (11493X, 11495B, 11650E, 11895C)</w:t>
      </w:r>
      <w:r w:rsidRPr="0007388B">
        <w:t xml:space="preserve"> to update their continuing restriction, to replace the existing text ‘therapy with this drug’ to read as ‘growth-hormone therapy’.</w:t>
      </w:r>
    </w:p>
    <w:p w14:paraId="48EBD2A4" w14:textId="71D775E8" w:rsidR="00C35217" w:rsidRDefault="00C35217" w:rsidP="00C35217">
      <w:pPr>
        <w:pStyle w:val="3-BodyText"/>
        <w:numPr>
          <w:ilvl w:val="0"/>
          <w:numId w:val="0"/>
        </w:numPr>
        <w:rPr>
          <w:b/>
          <w:i/>
        </w:rPr>
      </w:pPr>
      <w:r w:rsidRPr="00C35217">
        <w:rPr>
          <w:b/>
          <w:i/>
        </w:rPr>
        <w:t>This restriction may be subject to further review. Should there be any changes made to the restriction the sponsor will be informed.</w:t>
      </w:r>
    </w:p>
    <w:p w14:paraId="71D332C0" w14:textId="4E4ED820" w:rsidR="005B2666" w:rsidRDefault="005B2666" w:rsidP="00C35217">
      <w:pPr>
        <w:pStyle w:val="3-BodyText"/>
        <w:numPr>
          <w:ilvl w:val="0"/>
          <w:numId w:val="0"/>
        </w:numPr>
        <w:rPr>
          <w:bCs/>
          <w:iCs/>
        </w:rPr>
      </w:pPr>
    </w:p>
    <w:p w14:paraId="1BB997A0" w14:textId="77777777" w:rsidR="005B2666" w:rsidRDefault="005B2666" w:rsidP="005B2666">
      <w:pPr>
        <w:pStyle w:val="PBACHeading1"/>
        <w:rPr>
          <w:bCs/>
          <w:sz w:val="24"/>
          <w:lang w:val="en-GB"/>
        </w:rPr>
      </w:pPr>
      <w:r>
        <w:t>9</w:t>
      </w:r>
      <w:r>
        <w:tab/>
        <w:t>Context for Decision</w:t>
      </w:r>
    </w:p>
    <w:p w14:paraId="39FAA839" w14:textId="77777777" w:rsidR="005B2666" w:rsidRDefault="005B2666" w:rsidP="005B2666">
      <w:pPr>
        <w:pStyle w:val="3-BodyText"/>
        <w:numPr>
          <w:ilvl w:val="0"/>
          <w:numId w:val="0"/>
        </w:numPr>
        <w:ind w:left="720"/>
        <w:rPr>
          <w:lang w:val="en-GB"/>
        </w:rPr>
      </w:pPr>
      <w:r>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14570A" w14:textId="283D8F7F" w:rsidR="005B2666" w:rsidRDefault="005B2666" w:rsidP="005B2666">
      <w:pPr>
        <w:pStyle w:val="PBACHeading1"/>
        <w:rPr>
          <w:rFonts w:cstheme="minorBidi"/>
        </w:rPr>
      </w:pPr>
      <w:r>
        <w:t>10</w:t>
      </w:r>
      <w:r>
        <w:tab/>
        <w:t>Sponsor’s Comment</w:t>
      </w:r>
    </w:p>
    <w:p w14:paraId="71846C2C" w14:textId="77777777" w:rsidR="005B2666" w:rsidRDefault="005B2666" w:rsidP="005B2666">
      <w:pPr>
        <w:pStyle w:val="3-BodyText"/>
        <w:numPr>
          <w:ilvl w:val="0"/>
          <w:numId w:val="0"/>
        </w:numPr>
        <w:ind w:left="720"/>
      </w:pPr>
      <w:r>
        <w:t>The sponsor had no comment.</w:t>
      </w:r>
    </w:p>
    <w:p w14:paraId="41C61E83" w14:textId="77777777" w:rsidR="005B2666" w:rsidRPr="005B2666" w:rsidRDefault="005B2666" w:rsidP="00C35217">
      <w:pPr>
        <w:pStyle w:val="3-BodyText"/>
        <w:numPr>
          <w:ilvl w:val="0"/>
          <w:numId w:val="0"/>
        </w:numPr>
        <w:rPr>
          <w:bCs/>
          <w:iCs/>
        </w:rPr>
      </w:pPr>
    </w:p>
    <w:sectPr w:rsidR="005B2666" w:rsidRPr="005B2666"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06D71" w14:textId="77777777" w:rsidR="00F54149" w:rsidRDefault="00F54149" w:rsidP="00124A51">
      <w:r>
        <w:separator/>
      </w:r>
    </w:p>
    <w:p w14:paraId="19E36F61" w14:textId="77777777" w:rsidR="00F54149" w:rsidRDefault="00F54149"/>
  </w:endnote>
  <w:endnote w:type="continuationSeparator" w:id="0">
    <w:p w14:paraId="0F403136" w14:textId="77777777" w:rsidR="00F54149" w:rsidRDefault="00F54149" w:rsidP="00124A51">
      <w:r>
        <w:continuationSeparator/>
      </w:r>
    </w:p>
    <w:p w14:paraId="2CACA98D" w14:textId="77777777" w:rsidR="00F54149" w:rsidRDefault="00F54149"/>
  </w:endnote>
  <w:endnote w:type="continuationNotice" w:id="1">
    <w:p w14:paraId="25A0103E" w14:textId="77777777" w:rsidR="00F54149" w:rsidRDefault="00F5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FCD3D" w14:textId="77777777" w:rsidR="00440ADF" w:rsidRDefault="0044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EB57" w14:textId="77777777" w:rsidR="00F54149" w:rsidRDefault="00F54149" w:rsidP="00F70AB9">
    <w:pPr>
      <w:pStyle w:val="Footer"/>
    </w:pPr>
  </w:p>
  <w:p w14:paraId="470F4443" w14:textId="3AAB04C1" w:rsidR="00F54149" w:rsidRPr="00F70AB9" w:rsidRDefault="00F54149" w:rsidP="00F70AB9">
    <w:pPr>
      <w:tabs>
        <w:tab w:val="left" w:pos="142"/>
        <w:tab w:val="right" w:pos="9027"/>
      </w:tabs>
      <w:jc w:val="center"/>
      <w:rPr>
        <w:b/>
        <w:bCs/>
      </w:rPr>
    </w:pPr>
    <w:r w:rsidRPr="004C584D">
      <w:rPr>
        <w:b/>
        <w:bCs/>
      </w:rPr>
      <w:fldChar w:fldCharType="begin"/>
    </w:r>
    <w:r w:rsidRPr="004C584D">
      <w:rPr>
        <w:b/>
        <w:bCs/>
      </w:rPr>
      <w:instrText xml:space="preserve"> PAGE   \* MERGEFORMAT </w:instrText>
    </w:r>
    <w:r w:rsidRPr="004C584D">
      <w:rPr>
        <w:b/>
        <w:bCs/>
      </w:rPr>
      <w:fldChar w:fldCharType="separate"/>
    </w:r>
    <w:r>
      <w:rPr>
        <w:b/>
        <w:bCs/>
        <w:noProof/>
      </w:rPr>
      <w:t>6</w:t>
    </w:r>
    <w:r w:rsidRPr="004C584D">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AE37" w14:textId="77777777" w:rsidR="00440ADF" w:rsidRDefault="0044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04F4E" w14:textId="77777777" w:rsidR="00F54149" w:rsidRDefault="00F54149" w:rsidP="00124A51">
      <w:r>
        <w:separator/>
      </w:r>
    </w:p>
    <w:p w14:paraId="1A5F1D68" w14:textId="77777777" w:rsidR="00F54149" w:rsidRDefault="00F54149"/>
  </w:footnote>
  <w:footnote w:type="continuationSeparator" w:id="0">
    <w:p w14:paraId="3BB96C91" w14:textId="77777777" w:rsidR="00F54149" w:rsidRDefault="00F54149" w:rsidP="00124A51">
      <w:r>
        <w:continuationSeparator/>
      </w:r>
    </w:p>
    <w:p w14:paraId="5386BF81" w14:textId="77777777" w:rsidR="00F54149" w:rsidRDefault="00F54149"/>
  </w:footnote>
  <w:footnote w:type="continuationNotice" w:id="1">
    <w:p w14:paraId="50ABD355" w14:textId="77777777" w:rsidR="00F54149" w:rsidRDefault="00F54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6A2C" w14:textId="77777777" w:rsidR="00440ADF" w:rsidRDefault="00440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2D0D" w14:textId="04AFB0ED" w:rsidR="00F54149" w:rsidRPr="004C584D" w:rsidRDefault="00F54149" w:rsidP="00F70AB9">
    <w:pPr>
      <w:jc w:val="center"/>
      <w:rPr>
        <w:i/>
        <w:iCs/>
      </w:rPr>
    </w:pPr>
    <w:r>
      <w:rPr>
        <w:i/>
        <w:iCs/>
      </w:rPr>
      <w:t>Public Summary Document</w:t>
    </w:r>
    <w:r w:rsidRPr="004C584D">
      <w:rPr>
        <w:i/>
        <w:iCs/>
      </w:rPr>
      <w:t xml:space="preserve"> – March 2022 PBAC Meeting</w:t>
    </w:r>
  </w:p>
  <w:p w14:paraId="0420C2EF" w14:textId="77777777" w:rsidR="00F54149" w:rsidRPr="00F70AB9" w:rsidRDefault="00F54149" w:rsidP="00F70AB9">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C62B7" w14:textId="77777777" w:rsidR="00440ADF" w:rsidRDefault="00440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14E73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A6102"/>
    <w:multiLevelType w:val="hybridMultilevel"/>
    <w:tmpl w:val="4D60B55C"/>
    <w:lvl w:ilvl="0" w:tplc="A22E5F30">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C993D91"/>
    <w:multiLevelType w:val="hybridMultilevel"/>
    <w:tmpl w:val="F432E55E"/>
    <w:lvl w:ilvl="0" w:tplc="973AFF0A">
      <w:start w:val="1"/>
      <w:numFmt w:val="bullet"/>
      <w:pStyle w:val="BulletList"/>
      <w:lvlText w:val=""/>
      <w:lvlJc w:val="left"/>
      <w:pPr>
        <w:ind w:left="765" w:hanging="397"/>
      </w:pPr>
      <w:rPr>
        <w:rFonts w:ascii="Symbol" w:hAnsi="Symbol" w:hint="default"/>
        <w:color w:val="auto"/>
        <w:sz w:val="20"/>
        <w:szCs w:val="20"/>
        <w:vertAlign w:val="baseline"/>
      </w:rPr>
    </w:lvl>
    <w:lvl w:ilvl="1" w:tplc="7DB62FD4">
      <w:start w:val="1"/>
      <w:numFmt w:val="bullet"/>
      <w:lvlText w:val="o"/>
      <w:lvlJc w:val="left"/>
      <w:pPr>
        <w:ind w:left="1305" w:hanging="454"/>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C113D"/>
    <w:multiLevelType w:val="hybridMultilevel"/>
    <w:tmpl w:val="7BE45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C13C5C"/>
    <w:multiLevelType w:val="hybridMultilevel"/>
    <w:tmpl w:val="99F02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4D07DD"/>
    <w:multiLevelType w:val="hybridMultilevel"/>
    <w:tmpl w:val="7E1C5B58"/>
    <w:lvl w:ilvl="0" w:tplc="A576366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346AD7"/>
    <w:multiLevelType w:val="hybridMultilevel"/>
    <w:tmpl w:val="EEFE3822"/>
    <w:lvl w:ilvl="0" w:tplc="D03AD1D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80E21"/>
    <w:multiLevelType w:val="hybridMultilevel"/>
    <w:tmpl w:val="08D08A82"/>
    <w:lvl w:ilvl="0" w:tplc="12A0E4A2">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51497C"/>
    <w:multiLevelType w:val="hybridMultilevel"/>
    <w:tmpl w:val="A39E88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7C124D"/>
    <w:multiLevelType w:val="hybridMultilevel"/>
    <w:tmpl w:val="4D60B55C"/>
    <w:lvl w:ilvl="0" w:tplc="A22E5F30">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759165A"/>
    <w:multiLevelType w:val="hybridMultilevel"/>
    <w:tmpl w:val="7BE45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A73405"/>
    <w:multiLevelType w:val="multilevel"/>
    <w:tmpl w:val="A468D3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84D033C"/>
    <w:multiLevelType w:val="multilevel"/>
    <w:tmpl w:val="221AB58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7"/>
  </w:num>
  <w:num w:numId="3">
    <w:abstractNumId w:val="0"/>
  </w:num>
  <w:num w:numId="4">
    <w:abstractNumId w:val="2"/>
  </w:num>
  <w:num w:numId="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6"/>
  </w:num>
  <w:num w:numId="9">
    <w:abstractNumId w:val="13"/>
  </w:num>
  <w:num w:numId="10">
    <w:abstractNumId w:val="13"/>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 w:numId="19">
    <w:abstractNumId w:val="5"/>
  </w:num>
  <w:num w:numId="20">
    <w:abstractNumId w:val="13"/>
  </w:num>
  <w:num w:numId="21">
    <w:abstractNumId w:val="13"/>
  </w:num>
  <w:num w:numId="22">
    <w:abstractNumId w:val="9"/>
  </w:num>
  <w:num w:numId="23">
    <w:abstractNumId w:val="11"/>
  </w:num>
  <w:num w:numId="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B1C"/>
    <w:rsid w:val="00001BFA"/>
    <w:rsid w:val="00001C8B"/>
    <w:rsid w:val="00003499"/>
    <w:rsid w:val="00003840"/>
    <w:rsid w:val="000039B7"/>
    <w:rsid w:val="00003B01"/>
    <w:rsid w:val="00004BE3"/>
    <w:rsid w:val="000052ED"/>
    <w:rsid w:val="0000616E"/>
    <w:rsid w:val="0000639A"/>
    <w:rsid w:val="00006FA7"/>
    <w:rsid w:val="0000735F"/>
    <w:rsid w:val="00007A97"/>
    <w:rsid w:val="00010239"/>
    <w:rsid w:val="000116E8"/>
    <w:rsid w:val="000116FC"/>
    <w:rsid w:val="00011CEA"/>
    <w:rsid w:val="00011D31"/>
    <w:rsid w:val="00012D65"/>
    <w:rsid w:val="00012E1C"/>
    <w:rsid w:val="00013247"/>
    <w:rsid w:val="00014A5F"/>
    <w:rsid w:val="00014C4B"/>
    <w:rsid w:val="00014FE1"/>
    <w:rsid w:val="000152D5"/>
    <w:rsid w:val="00015886"/>
    <w:rsid w:val="00015AC9"/>
    <w:rsid w:val="000162EF"/>
    <w:rsid w:val="00016EED"/>
    <w:rsid w:val="00017114"/>
    <w:rsid w:val="000207BA"/>
    <w:rsid w:val="000207C1"/>
    <w:rsid w:val="000207C9"/>
    <w:rsid w:val="00020966"/>
    <w:rsid w:val="00021118"/>
    <w:rsid w:val="000219F4"/>
    <w:rsid w:val="0002225F"/>
    <w:rsid w:val="00023763"/>
    <w:rsid w:val="000237AB"/>
    <w:rsid w:val="00024DD5"/>
    <w:rsid w:val="00026A16"/>
    <w:rsid w:val="000274B8"/>
    <w:rsid w:val="00027F67"/>
    <w:rsid w:val="00030687"/>
    <w:rsid w:val="00031759"/>
    <w:rsid w:val="00032708"/>
    <w:rsid w:val="00032FE4"/>
    <w:rsid w:val="00033863"/>
    <w:rsid w:val="00033B04"/>
    <w:rsid w:val="00033CB8"/>
    <w:rsid w:val="000341A6"/>
    <w:rsid w:val="00034539"/>
    <w:rsid w:val="00035448"/>
    <w:rsid w:val="00035DC0"/>
    <w:rsid w:val="00035E28"/>
    <w:rsid w:val="000361A0"/>
    <w:rsid w:val="00036829"/>
    <w:rsid w:val="00037695"/>
    <w:rsid w:val="00037992"/>
    <w:rsid w:val="00037C13"/>
    <w:rsid w:val="00040895"/>
    <w:rsid w:val="000422BB"/>
    <w:rsid w:val="00043437"/>
    <w:rsid w:val="000435EE"/>
    <w:rsid w:val="00043999"/>
    <w:rsid w:val="00043C37"/>
    <w:rsid w:val="00043D50"/>
    <w:rsid w:val="000443C5"/>
    <w:rsid w:val="00044454"/>
    <w:rsid w:val="000449CE"/>
    <w:rsid w:val="00044B84"/>
    <w:rsid w:val="00045017"/>
    <w:rsid w:val="00045A2B"/>
    <w:rsid w:val="0004679A"/>
    <w:rsid w:val="0004698F"/>
    <w:rsid w:val="00047E5F"/>
    <w:rsid w:val="000509C1"/>
    <w:rsid w:val="00052184"/>
    <w:rsid w:val="00052B19"/>
    <w:rsid w:val="0005376C"/>
    <w:rsid w:val="000539D0"/>
    <w:rsid w:val="00053A4F"/>
    <w:rsid w:val="00054496"/>
    <w:rsid w:val="00054621"/>
    <w:rsid w:val="000546D7"/>
    <w:rsid w:val="000553BC"/>
    <w:rsid w:val="00056ECF"/>
    <w:rsid w:val="00056FE9"/>
    <w:rsid w:val="000575D9"/>
    <w:rsid w:val="000604DF"/>
    <w:rsid w:val="000612A4"/>
    <w:rsid w:val="00062108"/>
    <w:rsid w:val="0006222E"/>
    <w:rsid w:val="00062C34"/>
    <w:rsid w:val="00063051"/>
    <w:rsid w:val="0006381D"/>
    <w:rsid w:val="00064361"/>
    <w:rsid w:val="000653B5"/>
    <w:rsid w:val="000654C1"/>
    <w:rsid w:val="0006586D"/>
    <w:rsid w:val="00066257"/>
    <w:rsid w:val="00066360"/>
    <w:rsid w:val="00066503"/>
    <w:rsid w:val="00066AF8"/>
    <w:rsid w:val="00066C8A"/>
    <w:rsid w:val="00071248"/>
    <w:rsid w:val="0007164E"/>
    <w:rsid w:val="000720B9"/>
    <w:rsid w:val="00072B6C"/>
    <w:rsid w:val="000737F7"/>
    <w:rsid w:val="0007388B"/>
    <w:rsid w:val="00074777"/>
    <w:rsid w:val="0007672F"/>
    <w:rsid w:val="00076B54"/>
    <w:rsid w:val="00076C97"/>
    <w:rsid w:val="000774F0"/>
    <w:rsid w:val="0008062D"/>
    <w:rsid w:val="00080909"/>
    <w:rsid w:val="00080BF4"/>
    <w:rsid w:val="000812CA"/>
    <w:rsid w:val="00081854"/>
    <w:rsid w:val="00081E63"/>
    <w:rsid w:val="0008258D"/>
    <w:rsid w:val="00082666"/>
    <w:rsid w:val="00083E99"/>
    <w:rsid w:val="000841C6"/>
    <w:rsid w:val="00084FA8"/>
    <w:rsid w:val="00085370"/>
    <w:rsid w:val="000856C5"/>
    <w:rsid w:val="00085AFE"/>
    <w:rsid w:val="00085C31"/>
    <w:rsid w:val="00086FCF"/>
    <w:rsid w:val="00087631"/>
    <w:rsid w:val="000902D9"/>
    <w:rsid w:val="000909A4"/>
    <w:rsid w:val="00090B94"/>
    <w:rsid w:val="00090C7E"/>
    <w:rsid w:val="00092600"/>
    <w:rsid w:val="0009262B"/>
    <w:rsid w:val="000931DE"/>
    <w:rsid w:val="00093310"/>
    <w:rsid w:val="00094010"/>
    <w:rsid w:val="00094278"/>
    <w:rsid w:val="0009445C"/>
    <w:rsid w:val="00095200"/>
    <w:rsid w:val="00095EAA"/>
    <w:rsid w:val="00095FE5"/>
    <w:rsid w:val="00096284"/>
    <w:rsid w:val="00096A11"/>
    <w:rsid w:val="000A0017"/>
    <w:rsid w:val="000A0FDF"/>
    <w:rsid w:val="000A1BC0"/>
    <w:rsid w:val="000A4232"/>
    <w:rsid w:val="000A45A7"/>
    <w:rsid w:val="000A4E24"/>
    <w:rsid w:val="000A5FEC"/>
    <w:rsid w:val="000A6039"/>
    <w:rsid w:val="000A7453"/>
    <w:rsid w:val="000A7ADC"/>
    <w:rsid w:val="000A7D08"/>
    <w:rsid w:val="000B0121"/>
    <w:rsid w:val="000B0670"/>
    <w:rsid w:val="000B0E75"/>
    <w:rsid w:val="000B22BD"/>
    <w:rsid w:val="000B2B76"/>
    <w:rsid w:val="000B2DCB"/>
    <w:rsid w:val="000B3B31"/>
    <w:rsid w:val="000B3C35"/>
    <w:rsid w:val="000B5CE0"/>
    <w:rsid w:val="000B61F8"/>
    <w:rsid w:val="000B6CAC"/>
    <w:rsid w:val="000B6CF3"/>
    <w:rsid w:val="000B7568"/>
    <w:rsid w:val="000B75B9"/>
    <w:rsid w:val="000B7612"/>
    <w:rsid w:val="000B78AE"/>
    <w:rsid w:val="000B79E5"/>
    <w:rsid w:val="000B7D5D"/>
    <w:rsid w:val="000B954A"/>
    <w:rsid w:val="000BF56A"/>
    <w:rsid w:val="000C1425"/>
    <w:rsid w:val="000C1467"/>
    <w:rsid w:val="000C2EC0"/>
    <w:rsid w:val="000C3C80"/>
    <w:rsid w:val="000C3DF9"/>
    <w:rsid w:val="000C43EF"/>
    <w:rsid w:val="000C5158"/>
    <w:rsid w:val="000C6289"/>
    <w:rsid w:val="000C6515"/>
    <w:rsid w:val="000C6651"/>
    <w:rsid w:val="000C6713"/>
    <w:rsid w:val="000C6B8D"/>
    <w:rsid w:val="000C72D6"/>
    <w:rsid w:val="000D0F1C"/>
    <w:rsid w:val="000D1BFC"/>
    <w:rsid w:val="000D1D5D"/>
    <w:rsid w:val="000D281A"/>
    <w:rsid w:val="000D2848"/>
    <w:rsid w:val="000D326A"/>
    <w:rsid w:val="000D3A08"/>
    <w:rsid w:val="000D51FB"/>
    <w:rsid w:val="000D5F4D"/>
    <w:rsid w:val="000D5F67"/>
    <w:rsid w:val="000D6600"/>
    <w:rsid w:val="000D725E"/>
    <w:rsid w:val="000D7D7E"/>
    <w:rsid w:val="000E0640"/>
    <w:rsid w:val="000E0A9B"/>
    <w:rsid w:val="000E10E7"/>
    <w:rsid w:val="000E1240"/>
    <w:rsid w:val="000E135D"/>
    <w:rsid w:val="000E145B"/>
    <w:rsid w:val="000E2AF0"/>
    <w:rsid w:val="000E3B58"/>
    <w:rsid w:val="000E3DEE"/>
    <w:rsid w:val="000E4FC9"/>
    <w:rsid w:val="000E64E4"/>
    <w:rsid w:val="000E6A04"/>
    <w:rsid w:val="000E6C6D"/>
    <w:rsid w:val="000E740E"/>
    <w:rsid w:val="000F00BA"/>
    <w:rsid w:val="000F00BE"/>
    <w:rsid w:val="000F0F69"/>
    <w:rsid w:val="000F316A"/>
    <w:rsid w:val="000F39FC"/>
    <w:rsid w:val="000F3C74"/>
    <w:rsid w:val="000F4077"/>
    <w:rsid w:val="000F4740"/>
    <w:rsid w:val="000F4BB8"/>
    <w:rsid w:val="000F4FA9"/>
    <w:rsid w:val="000F53FB"/>
    <w:rsid w:val="000F6E18"/>
    <w:rsid w:val="000F7127"/>
    <w:rsid w:val="000F7B54"/>
    <w:rsid w:val="001001A8"/>
    <w:rsid w:val="00100798"/>
    <w:rsid w:val="00100CFA"/>
    <w:rsid w:val="00100F8A"/>
    <w:rsid w:val="001013CB"/>
    <w:rsid w:val="001018B7"/>
    <w:rsid w:val="00101BBF"/>
    <w:rsid w:val="0010233F"/>
    <w:rsid w:val="00103159"/>
    <w:rsid w:val="00103E95"/>
    <w:rsid w:val="0010452E"/>
    <w:rsid w:val="001047DF"/>
    <w:rsid w:val="00104AA3"/>
    <w:rsid w:val="00105AE2"/>
    <w:rsid w:val="001060C6"/>
    <w:rsid w:val="00106324"/>
    <w:rsid w:val="00106683"/>
    <w:rsid w:val="00106B80"/>
    <w:rsid w:val="00106FBD"/>
    <w:rsid w:val="00107DEA"/>
    <w:rsid w:val="0011032E"/>
    <w:rsid w:val="001103B2"/>
    <w:rsid w:val="00110D5B"/>
    <w:rsid w:val="00111248"/>
    <w:rsid w:val="001120CD"/>
    <w:rsid w:val="0011348B"/>
    <w:rsid w:val="00113C07"/>
    <w:rsid w:val="00115982"/>
    <w:rsid w:val="00115E2B"/>
    <w:rsid w:val="00116AEC"/>
    <w:rsid w:val="00116C53"/>
    <w:rsid w:val="001171CC"/>
    <w:rsid w:val="00120DEC"/>
    <w:rsid w:val="00121799"/>
    <w:rsid w:val="00121DD0"/>
    <w:rsid w:val="001222FC"/>
    <w:rsid w:val="001232B1"/>
    <w:rsid w:val="00123893"/>
    <w:rsid w:val="00123902"/>
    <w:rsid w:val="00124A51"/>
    <w:rsid w:val="00124E09"/>
    <w:rsid w:val="0012552E"/>
    <w:rsid w:val="00126559"/>
    <w:rsid w:val="00126621"/>
    <w:rsid w:val="00126B1D"/>
    <w:rsid w:val="001301E9"/>
    <w:rsid w:val="00130C4A"/>
    <w:rsid w:val="00131D82"/>
    <w:rsid w:val="00132B22"/>
    <w:rsid w:val="00133D36"/>
    <w:rsid w:val="00133FA9"/>
    <w:rsid w:val="00136705"/>
    <w:rsid w:val="0013723B"/>
    <w:rsid w:val="00137645"/>
    <w:rsid w:val="00140152"/>
    <w:rsid w:val="0014015A"/>
    <w:rsid w:val="00140E99"/>
    <w:rsid w:val="00141856"/>
    <w:rsid w:val="00143F67"/>
    <w:rsid w:val="00145540"/>
    <w:rsid w:val="001456B0"/>
    <w:rsid w:val="00145D0E"/>
    <w:rsid w:val="00146422"/>
    <w:rsid w:val="001472F8"/>
    <w:rsid w:val="00151FE4"/>
    <w:rsid w:val="0015582F"/>
    <w:rsid w:val="00156160"/>
    <w:rsid w:val="00156F8F"/>
    <w:rsid w:val="0015702F"/>
    <w:rsid w:val="00157130"/>
    <w:rsid w:val="001576B1"/>
    <w:rsid w:val="0016047B"/>
    <w:rsid w:val="001607DD"/>
    <w:rsid w:val="00160A4C"/>
    <w:rsid w:val="00161BA3"/>
    <w:rsid w:val="00162913"/>
    <w:rsid w:val="001630E8"/>
    <w:rsid w:val="00163EFF"/>
    <w:rsid w:val="00163F66"/>
    <w:rsid w:val="00164FCC"/>
    <w:rsid w:val="001661FB"/>
    <w:rsid w:val="001671A0"/>
    <w:rsid w:val="0016767F"/>
    <w:rsid w:val="0017014D"/>
    <w:rsid w:val="00170E4C"/>
    <w:rsid w:val="00171710"/>
    <w:rsid w:val="00171A12"/>
    <w:rsid w:val="001727E9"/>
    <w:rsid w:val="00173289"/>
    <w:rsid w:val="00173565"/>
    <w:rsid w:val="00173B07"/>
    <w:rsid w:val="001751FA"/>
    <w:rsid w:val="00176BBC"/>
    <w:rsid w:val="0018067F"/>
    <w:rsid w:val="001813B9"/>
    <w:rsid w:val="00181D9C"/>
    <w:rsid w:val="00182207"/>
    <w:rsid w:val="00182AE0"/>
    <w:rsid w:val="0018300B"/>
    <w:rsid w:val="00184B0E"/>
    <w:rsid w:val="001853C3"/>
    <w:rsid w:val="0018752F"/>
    <w:rsid w:val="0019039A"/>
    <w:rsid w:val="00191148"/>
    <w:rsid w:val="00192DDD"/>
    <w:rsid w:val="00192FCA"/>
    <w:rsid w:val="001936FD"/>
    <w:rsid w:val="00193838"/>
    <w:rsid w:val="0019465D"/>
    <w:rsid w:val="00194AD8"/>
    <w:rsid w:val="00195222"/>
    <w:rsid w:val="0019594C"/>
    <w:rsid w:val="00196933"/>
    <w:rsid w:val="001969F4"/>
    <w:rsid w:val="001975D8"/>
    <w:rsid w:val="001A178E"/>
    <w:rsid w:val="001A2230"/>
    <w:rsid w:val="001A24CE"/>
    <w:rsid w:val="001A252B"/>
    <w:rsid w:val="001A2A44"/>
    <w:rsid w:val="001A32B8"/>
    <w:rsid w:val="001A43FA"/>
    <w:rsid w:val="001A448D"/>
    <w:rsid w:val="001A47C5"/>
    <w:rsid w:val="001A4968"/>
    <w:rsid w:val="001A59FB"/>
    <w:rsid w:val="001A5E9E"/>
    <w:rsid w:val="001A6279"/>
    <w:rsid w:val="001A6354"/>
    <w:rsid w:val="001A6366"/>
    <w:rsid w:val="001A6508"/>
    <w:rsid w:val="001A76B0"/>
    <w:rsid w:val="001A7AE8"/>
    <w:rsid w:val="001A7BE2"/>
    <w:rsid w:val="001B0274"/>
    <w:rsid w:val="001B0E53"/>
    <w:rsid w:val="001B10FD"/>
    <w:rsid w:val="001B204E"/>
    <w:rsid w:val="001B2372"/>
    <w:rsid w:val="001B2802"/>
    <w:rsid w:val="001B3443"/>
    <w:rsid w:val="001B48A8"/>
    <w:rsid w:val="001B4D20"/>
    <w:rsid w:val="001B5DD0"/>
    <w:rsid w:val="001B68E2"/>
    <w:rsid w:val="001B7F5C"/>
    <w:rsid w:val="001C00FB"/>
    <w:rsid w:val="001C163C"/>
    <w:rsid w:val="001C2A9B"/>
    <w:rsid w:val="001C2C54"/>
    <w:rsid w:val="001C3D9F"/>
    <w:rsid w:val="001C4299"/>
    <w:rsid w:val="001C4874"/>
    <w:rsid w:val="001C5783"/>
    <w:rsid w:val="001C5D8C"/>
    <w:rsid w:val="001C5EC7"/>
    <w:rsid w:val="001C5F94"/>
    <w:rsid w:val="001C6E66"/>
    <w:rsid w:val="001C7863"/>
    <w:rsid w:val="001C7DA3"/>
    <w:rsid w:val="001D1100"/>
    <w:rsid w:val="001D1364"/>
    <w:rsid w:val="001D1391"/>
    <w:rsid w:val="001D17CE"/>
    <w:rsid w:val="001D1EC9"/>
    <w:rsid w:val="001D23BE"/>
    <w:rsid w:val="001D25D7"/>
    <w:rsid w:val="001D27A1"/>
    <w:rsid w:val="001D5087"/>
    <w:rsid w:val="001D50B2"/>
    <w:rsid w:val="001D7085"/>
    <w:rsid w:val="001D7645"/>
    <w:rsid w:val="001D784B"/>
    <w:rsid w:val="001E07F1"/>
    <w:rsid w:val="001E16E3"/>
    <w:rsid w:val="001E1E86"/>
    <w:rsid w:val="001E238E"/>
    <w:rsid w:val="001E2483"/>
    <w:rsid w:val="001E2B1E"/>
    <w:rsid w:val="001E2CFF"/>
    <w:rsid w:val="001E2D01"/>
    <w:rsid w:val="001E2F24"/>
    <w:rsid w:val="001E30BE"/>
    <w:rsid w:val="001E30D4"/>
    <w:rsid w:val="001E34DF"/>
    <w:rsid w:val="001E3C7B"/>
    <w:rsid w:val="001E3E09"/>
    <w:rsid w:val="001E404C"/>
    <w:rsid w:val="001E4115"/>
    <w:rsid w:val="001E47F9"/>
    <w:rsid w:val="001E4FD1"/>
    <w:rsid w:val="001E52EB"/>
    <w:rsid w:val="001E61D2"/>
    <w:rsid w:val="001E740C"/>
    <w:rsid w:val="001F096B"/>
    <w:rsid w:val="001F0D72"/>
    <w:rsid w:val="001F1235"/>
    <w:rsid w:val="001F1B23"/>
    <w:rsid w:val="001F1C1B"/>
    <w:rsid w:val="001F1CB3"/>
    <w:rsid w:val="001F2BAD"/>
    <w:rsid w:val="001F38B5"/>
    <w:rsid w:val="001F3A98"/>
    <w:rsid w:val="001F4081"/>
    <w:rsid w:val="001F469E"/>
    <w:rsid w:val="001F5082"/>
    <w:rsid w:val="001F58CD"/>
    <w:rsid w:val="001F72E4"/>
    <w:rsid w:val="001F7361"/>
    <w:rsid w:val="001F7D7B"/>
    <w:rsid w:val="00200324"/>
    <w:rsid w:val="002011B0"/>
    <w:rsid w:val="002014FB"/>
    <w:rsid w:val="00202094"/>
    <w:rsid w:val="00202FCB"/>
    <w:rsid w:val="00203181"/>
    <w:rsid w:val="002036BA"/>
    <w:rsid w:val="00203783"/>
    <w:rsid w:val="0020385F"/>
    <w:rsid w:val="0020392B"/>
    <w:rsid w:val="00205957"/>
    <w:rsid w:val="002059FF"/>
    <w:rsid w:val="0020680F"/>
    <w:rsid w:val="002068A0"/>
    <w:rsid w:val="00207021"/>
    <w:rsid w:val="00207105"/>
    <w:rsid w:val="0020732F"/>
    <w:rsid w:val="00207D00"/>
    <w:rsid w:val="00207F1E"/>
    <w:rsid w:val="002105C1"/>
    <w:rsid w:val="0021103D"/>
    <w:rsid w:val="00211E1D"/>
    <w:rsid w:val="00212DA8"/>
    <w:rsid w:val="002130F7"/>
    <w:rsid w:val="00213EF5"/>
    <w:rsid w:val="0021560E"/>
    <w:rsid w:val="0021693F"/>
    <w:rsid w:val="00216BE1"/>
    <w:rsid w:val="00216BF5"/>
    <w:rsid w:val="00216F72"/>
    <w:rsid w:val="002176DC"/>
    <w:rsid w:val="00220602"/>
    <w:rsid w:val="002236D8"/>
    <w:rsid w:val="00223B49"/>
    <w:rsid w:val="00223D5A"/>
    <w:rsid w:val="00224DD4"/>
    <w:rsid w:val="00225848"/>
    <w:rsid w:val="00226DCE"/>
    <w:rsid w:val="002278A0"/>
    <w:rsid w:val="002309CC"/>
    <w:rsid w:val="00230DF0"/>
    <w:rsid w:val="0023209F"/>
    <w:rsid w:val="00232771"/>
    <w:rsid w:val="00232C96"/>
    <w:rsid w:val="00232E61"/>
    <w:rsid w:val="002331D9"/>
    <w:rsid w:val="00233C01"/>
    <w:rsid w:val="00233DAE"/>
    <w:rsid w:val="00234093"/>
    <w:rsid w:val="0023413C"/>
    <w:rsid w:val="002346F0"/>
    <w:rsid w:val="0023629D"/>
    <w:rsid w:val="002363F8"/>
    <w:rsid w:val="00236D8A"/>
    <w:rsid w:val="00237255"/>
    <w:rsid w:val="002424AF"/>
    <w:rsid w:val="002439DC"/>
    <w:rsid w:val="002441D2"/>
    <w:rsid w:val="002445FB"/>
    <w:rsid w:val="00244912"/>
    <w:rsid w:val="00244DC8"/>
    <w:rsid w:val="00245478"/>
    <w:rsid w:val="0024576D"/>
    <w:rsid w:val="002458BA"/>
    <w:rsid w:val="00245CE9"/>
    <w:rsid w:val="0024636C"/>
    <w:rsid w:val="00247070"/>
    <w:rsid w:val="00247925"/>
    <w:rsid w:val="00247A1E"/>
    <w:rsid w:val="00250D0D"/>
    <w:rsid w:val="00251006"/>
    <w:rsid w:val="002524D5"/>
    <w:rsid w:val="00252793"/>
    <w:rsid w:val="002531FC"/>
    <w:rsid w:val="00253725"/>
    <w:rsid w:val="002537F7"/>
    <w:rsid w:val="00253B1D"/>
    <w:rsid w:val="00254295"/>
    <w:rsid w:val="00254507"/>
    <w:rsid w:val="002547B6"/>
    <w:rsid w:val="00254DCF"/>
    <w:rsid w:val="0025534B"/>
    <w:rsid w:val="00255BB7"/>
    <w:rsid w:val="00255E2A"/>
    <w:rsid w:val="0025686F"/>
    <w:rsid w:val="00257541"/>
    <w:rsid w:val="00257A39"/>
    <w:rsid w:val="00257AC4"/>
    <w:rsid w:val="0026009B"/>
    <w:rsid w:val="00260745"/>
    <w:rsid w:val="002616CC"/>
    <w:rsid w:val="00261EEF"/>
    <w:rsid w:val="00262A1A"/>
    <w:rsid w:val="00262A87"/>
    <w:rsid w:val="00263EA0"/>
    <w:rsid w:val="00264D26"/>
    <w:rsid w:val="002654B5"/>
    <w:rsid w:val="00266CAF"/>
    <w:rsid w:val="00267642"/>
    <w:rsid w:val="00267AEA"/>
    <w:rsid w:val="0026F0A8"/>
    <w:rsid w:val="002700E6"/>
    <w:rsid w:val="00270671"/>
    <w:rsid w:val="002716E0"/>
    <w:rsid w:val="0027294B"/>
    <w:rsid w:val="00273EB4"/>
    <w:rsid w:val="00274682"/>
    <w:rsid w:val="00275C5A"/>
    <w:rsid w:val="00277C73"/>
    <w:rsid w:val="0028020E"/>
    <w:rsid w:val="002805A7"/>
    <w:rsid w:val="0028081F"/>
    <w:rsid w:val="00280B38"/>
    <w:rsid w:val="00280D60"/>
    <w:rsid w:val="00280F66"/>
    <w:rsid w:val="00281014"/>
    <w:rsid w:val="0028150F"/>
    <w:rsid w:val="00285974"/>
    <w:rsid w:val="00285D55"/>
    <w:rsid w:val="0028665D"/>
    <w:rsid w:val="002868F1"/>
    <w:rsid w:val="00286D99"/>
    <w:rsid w:val="00287795"/>
    <w:rsid w:val="00288EA2"/>
    <w:rsid w:val="00292096"/>
    <w:rsid w:val="002930E5"/>
    <w:rsid w:val="002959D4"/>
    <w:rsid w:val="002A0DEC"/>
    <w:rsid w:val="002A14AB"/>
    <w:rsid w:val="002A1F24"/>
    <w:rsid w:val="002A2ADE"/>
    <w:rsid w:val="002A2EC5"/>
    <w:rsid w:val="002A2F50"/>
    <w:rsid w:val="002A5E8B"/>
    <w:rsid w:val="002A668D"/>
    <w:rsid w:val="002A6D55"/>
    <w:rsid w:val="002A7F6A"/>
    <w:rsid w:val="002B05A1"/>
    <w:rsid w:val="002B09A4"/>
    <w:rsid w:val="002B09A8"/>
    <w:rsid w:val="002B1C1F"/>
    <w:rsid w:val="002B1E43"/>
    <w:rsid w:val="002B2F9B"/>
    <w:rsid w:val="002B32C8"/>
    <w:rsid w:val="002B38A5"/>
    <w:rsid w:val="002B3F66"/>
    <w:rsid w:val="002B432F"/>
    <w:rsid w:val="002B44DB"/>
    <w:rsid w:val="002B5D8D"/>
    <w:rsid w:val="002B62B3"/>
    <w:rsid w:val="002B6754"/>
    <w:rsid w:val="002B6CCE"/>
    <w:rsid w:val="002B7592"/>
    <w:rsid w:val="002B7B05"/>
    <w:rsid w:val="002B7F7A"/>
    <w:rsid w:val="002C0EF6"/>
    <w:rsid w:val="002C13F3"/>
    <w:rsid w:val="002C20A1"/>
    <w:rsid w:val="002C2510"/>
    <w:rsid w:val="002C2752"/>
    <w:rsid w:val="002C2775"/>
    <w:rsid w:val="002C27C1"/>
    <w:rsid w:val="002C3145"/>
    <w:rsid w:val="002C482F"/>
    <w:rsid w:val="002C4EC7"/>
    <w:rsid w:val="002C5099"/>
    <w:rsid w:val="002C5354"/>
    <w:rsid w:val="002C540B"/>
    <w:rsid w:val="002C5889"/>
    <w:rsid w:val="002C67EE"/>
    <w:rsid w:val="002C6FBB"/>
    <w:rsid w:val="002C71CE"/>
    <w:rsid w:val="002D0692"/>
    <w:rsid w:val="002D08F8"/>
    <w:rsid w:val="002D0C6B"/>
    <w:rsid w:val="002D1456"/>
    <w:rsid w:val="002D2D4E"/>
    <w:rsid w:val="002D3891"/>
    <w:rsid w:val="002D3B33"/>
    <w:rsid w:val="002D40F6"/>
    <w:rsid w:val="002D42D8"/>
    <w:rsid w:val="002D5451"/>
    <w:rsid w:val="002D577C"/>
    <w:rsid w:val="002D667C"/>
    <w:rsid w:val="002D692E"/>
    <w:rsid w:val="002E02ED"/>
    <w:rsid w:val="002E1071"/>
    <w:rsid w:val="002E15B9"/>
    <w:rsid w:val="002E1EA4"/>
    <w:rsid w:val="002E2158"/>
    <w:rsid w:val="002E2275"/>
    <w:rsid w:val="002E4F02"/>
    <w:rsid w:val="002E7680"/>
    <w:rsid w:val="002E7722"/>
    <w:rsid w:val="002F0371"/>
    <w:rsid w:val="002F07BA"/>
    <w:rsid w:val="002F0DA9"/>
    <w:rsid w:val="002F1014"/>
    <w:rsid w:val="002F19D2"/>
    <w:rsid w:val="002F1A50"/>
    <w:rsid w:val="002F47D2"/>
    <w:rsid w:val="002F5CE2"/>
    <w:rsid w:val="002F6438"/>
    <w:rsid w:val="002F643C"/>
    <w:rsid w:val="002F646F"/>
    <w:rsid w:val="002F699B"/>
    <w:rsid w:val="002F6C48"/>
    <w:rsid w:val="002F6E2E"/>
    <w:rsid w:val="002F71C0"/>
    <w:rsid w:val="002F74F1"/>
    <w:rsid w:val="002F7A2E"/>
    <w:rsid w:val="003003C7"/>
    <w:rsid w:val="00301017"/>
    <w:rsid w:val="0030155F"/>
    <w:rsid w:val="00301EA0"/>
    <w:rsid w:val="0030232A"/>
    <w:rsid w:val="003028BD"/>
    <w:rsid w:val="00302928"/>
    <w:rsid w:val="00303051"/>
    <w:rsid w:val="00303EF9"/>
    <w:rsid w:val="00304ECC"/>
    <w:rsid w:val="003053BD"/>
    <w:rsid w:val="0030587B"/>
    <w:rsid w:val="003062F6"/>
    <w:rsid w:val="003064F3"/>
    <w:rsid w:val="00306B6F"/>
    <w:rsid w:val="00306CEF"/>
    <w:rsid w:val="00306D98"/>
    <w:rsid w:val="0030786C"/>
    <w:rsid w:val="00307F62"/>
    <w:rsid w:val="0031031A"/>
    <w:rsid w:val="003108A6"/>
    <w:rsid w:val="00310981"/>
    <w:rsid w:val="00310C1F"/>
    <w:rsid w:val="00311265"/>
    <w:rsid w:val="003124D9"/>
    <w:rsid w:val="00312594"/>
    <w:rsid w:val="00312AD3"/>
    <w:rsid w:val="00314060"/>
    <w:rsid w:val="00315498"/>
    <w:rsid w:val="00315DC6"/>
    <w:rsid w:val="00315EB7"/>
    <w:rsid w:val="0031617F"/>
    <w:rsid w:val="00316474"/>
    <w:rsid w:val="00316DFC"/>
    <w:rsid w:val="00317495"/>
    <w:rsid w:val="0031791E"/>
    <w:rsid w:val="00320862"/>
    <w:rsid w:val="003214C3"/>
    <w:rsid w:val="00322107"/>
    <w:rsid w:val="00322355"/>
    <w:rsid w:val="0032259E"/>
    <w:rsid w:val="00322846"/>
    <w:rsid w:val="0032332F"/>
    <w:rsid w:val="003235DE"/>
    <w:rsid w:val="00323FB4"/>
    <w:rsid w:val="0032449E"/>
    <w:rsid w:val="00324501"/>
    <w:rsid w:val="00325DB7"/>
    <w:rsid w:val="003268CE"/>
    <w:rsid w:val="00326DA7"/>
    <w:rsid w:val="003270E4"/>
    <w:rsid w:val="00330DAA"/>
    <w:rsid w:val="00330E7D"/>
    <w:rsid w:val="00330F5C"/>
    <w:rsid w:val="00331977"/>
    <w:rsid w:val="0033330C"/>
    <w:rsid w:val="00335C11"/>
    <w:rsid w:val="00336597"/>
    <w:rsid w:val="003366C9"/>
    <w:rsid w:val="003371B0"/>
    <w:rsid w:val="00337687"/>
    <w:rsid w:val="0034058E"/>
    <w:rsid w:val="00340DF1"/>
    <w:rsid w:val="00340FC7"/>
    <w:rsid w:val="00341BDD"/>
    <w:rsid w:val="00343079"/>
    <w:rsid w:val="003438E6"/>
    <w:rsid w:val="003473B5"/>
    <w:rsid w:val="0034756B"/>
    <w:rsid w:val="003516F5"/>
    <w:rsid w:val="003517F9"/>
    <w:rsid w:val="00351BA9"/>
    <w:rsid w:val="00352A84"/>
    <w:rsid w:val="00352D69"/>
    <w:rsid w:val="00353BAB"/>
    <w:rsid w:val="0035414A"/>
    <w:rsid w:val="00354F64"/>
    <w:rsid w:val="0035620E"/>
    <w:rsid w:val="00356EF8"/>
    <w:rsid w:val="00360345"/>
    <w:rsid w:val="00360CB9"/>
    <w:rsid w:val="00361A05"/>
    <w:rsid w:val="00361BE3"/>
    <w:rsid w:val="003624C4"/>
    <w:rsid w:val="0036305C"/>
    <w:rsid w:val="00363A09"/>
    <w:rsid w:val="00363B00"/>
    <w:rsid w:val="003651F5"/>
    <w:rsid w:val="003654AC"/>
    <w:rsid w:val="00366D3F"/>
    <w:rsid w:val="0037026B"/>
    <w:rsid w:val="00370295"/>
    <w:rsid w:val="003703FC"/>
    <w:rsid w:val="003710CF"/>
    <w:rsid w:val="00372422"/>
    <w:rsid w:val="00372CBE"/>
    <w:rsid w:val="00372EE7"/>
    <w:rsid w:val="0037358A"/>
    <w:rsid w:val="0037419D"/>
    <w:rsid w:val="003750F6"/>
    <w:rsid w:val="00375571"/>
    <w:rsid w:val="00375B2F"/>
    <w:rsid w:val="00375E13"/>
    <w:rsid w:val="003760FC"/>
    <w:rsid w:val="003762EC"/>
    <w:rsid w:val="00376A83"/>
    <w:rsid w:val="00376E87"/>
    <w:rsid w:val="00377264"/>
    <w:rsid w:val="0037767E"/>
    <w:rsid w:val="00380889"/>
    <w:rsid w:val="0038269F"/>
    <w:rsid w:val="003829CE"/>
    <w:rsid w:val="00382CDA"/>
    <w:rsid w:val="00383137"/>
    <w:rsid w:val="0038365C"/>
    <w:rsid w:val="00383681"/>
    <w:rsid w:val="0038369B"/>
    <w:rsid w:val="00383B78"/>
    <w:rsid w:val="0038431D"/>
    <w:rsid w:val="00384381"/>
    <w:rsid w:val="003855F9"/>
    <w:rsid w:val="00385A9D"/>
    <w:rsid w:val="0038705D"/>
    <w:rsid w:val="003902B1"/>
    <w:rsid w:val="00390FEB"/>
    <w:rsid w:val="0039179C"/>
    <w:rsid w:val="0039482B"/>
    <w:rsid w:val="00394C4B"/>
    <w:rsid w:val="00395F4A"/>
    <w:rsid w:val="00395F61"/>
    <w:rsid w:val="00396896"/>
    <w:rsid w:val="00396A21"/>
    <w:rsid w:val="00396FD0"/>
    <w:rsid w:val="00397DF3"/>
    <w:rsid w:val="003A119F"/>
    <w:rsid w:val="003A1A7A"/>
    <w:rsid w:val="003A2392"/>
    <w:rsid w:val="003A2831"/>
    <w:rsid w:val="003A3CB6"/>
    <w:rsid w:val="003A3ED1"/>
    <w:rsid w:val="003A44DB"/>
    <w:rsid w:val="003A5A4C"/>
    <w:rsid w:val="003A8E24"/>
    <w:rsid w:val="003B1806"/>
    <w:rsid w:val="003B2477"/>
    <w:rsid w:val="003B3939"/>
    <w:rsid w:val="003B3971"/>
    <w:rsid w:val="003B4808"/>
    <w:rsid w:val="003B55D1"/>
    <w:rsid w:val="003B5B61"/>
    <w:rsid w:val="003B75FA"/>
    <w:rsid w:val="003B778A"/>
    <w:rsid w:val="003C1654"/>
    <w:rsid w:val="003C26BF"/>
    <w:rsid w:val="003C411F"/>
    <w:rsid w:val="003C50E3"/>
    <w:rsid w:val="003C54FB"/>
    <w:rsid w:val="003C5542"/>
    <w:rsid w:val="003C70DB"/>
    <w:rsid w:val="003C71C5"/>
    <w:rsid w:val="003C75EE"/>
    <w:rsid w:val="003C78EF"/>
    <w:rsid w:val="003C7D19"/>
    <w:rsid w:val="003C7D2F"/>
    <w:rsid w:val="003D0730"/>
    <w:rsid w:val="003D0D6A"/>
    <w:rsid w:val="003D0E27"/>
    <w:rsid w:val="003D138F"/>
    <w:rsid w:val="003D1828"/>
    <w:rsid w:val="003D1C57"/>
    <w:rsid w:val="003D1DE4"/>
    <w:rsid w:val="003D1DE9"/>
    <w:rsid w:val="003D1E9A"/>
    <w:rsid w:val="003D2422"/>
    <w:rsid w:val="003D261F"/>
    <w:rsid w:val="003D39A1"/>
    <w:rsid w:val="003D3FBF"/>
    <w:rsid w:val="003D4417"/>
    <w:rsid w:val="003D4A30"/>
    <w:rsid w:val="003D4E3F"/>
    <w:rsid w:val="003D70E8"/>
    <w:rsid w:val="003D7452"/>
    <w:rsid w:val="003D79BB"/>
    <w:rsid w:val="003D7C98"/>
    <w:rsid w:val="003D7D9D"/>
    <w:rsid w:val="003E0543"/>
    <w:rsid w:val="003E0775"/>
    <w:rsid w:val="003E14D8"/>
    <w:rsid w:val="003E15AE"/>
    <w:rsid w:val="003E1A48"/>
    <w:rsid w:val="003E2390"/>
    <w:rsid w:val="003E2B70"/>
    <w:rsid w:val="003E35D2"/>
    <w:rsid w:val="003E36A3"/>
    <w:rsid w:val="003E41B7"/>
    <w:rsid w:val="003E45C0"/>
    <w:rsid w:val="003E5DD0"/>
    <w:rsid w:val="003E5E56"/>
    <w:rsid w:val="003E612D"/>
    <w:rsid w:val="003E67A3"/>
    <w:rsid w:val="003E7302"/>
    <w:rsid w:val="003E749E"/>
    <w:rsid w:val="003E7C9F"/>
    <w:rsid w:val="003F01B4"/>
    <w:rsid w:val="003F0781"/>
    <w:rsid w:val="003F09E3"/>
    <w:rsid w:val="003F132D"/>
    <w:rsid w:val="003F1BBC"/>
    <w:rsid w:val="003F2332"/>
    <w:rsid w:val="003F2D8D"/>
    <w:rsid w:val="003F3789"/>
    <w:rsid w:val="003F3851"/>
    <w:rsid w:val="003F4156"/>
    <w:rsid w:val="003F5111"/>
    <w:rsid w:val="003F5ADF"/>
    <w:rsid w:val="003F62E7"/>
    <w:rsid w:val="003F63DC"/>
    <w:rsid w:val="003F64FC"/>
    <w:rsid w:val="003F7229"/>
    <w:rsid w:val="004007AB"/>
    <w:rsid w:val="00400819"/>
    <w:rsid w:val="00400B29"/>
    <w:rsid w:val="004010F3"/>
    <w:rsid w:val="0040274D"/>
    <w:rsid w:val="004031B4"/>
    <w:rsid w:val="004032E1"/>
    <w:rsid w:val="00403AD4"/>
    <w:rsid w:val="00403D39"/>
    <w:rsid w:val="004046D2"/>
    <w:rsid w:val="0040504B"/>
    <w:rsid w:val="004059F4"/>
    <w:rsid w:val="00405C12"/>
    <w:rsid w:val="0040699F"/>
    <w:rsid w:val="00407849"/>
    <w:rsid w:val="00407FE5"/>
    <w:rsid w:val="004101B0"/>
    <w:rsid w:val="00410326"/>
    <w:rsid w:val="00410708"/>
    <w:rsid w:val="004107C2"/>
    <w:rsid w:val="00410EC7"/>
    <w:rsid w:val="00411B39"/>
    <w:rsid w:val="004120A3"/>
    <w:rsid w:val="004120CD"/>
    <w:rsid w:val="0041220A"/>
    <w:rsid w:val="004127A7"/>
    <w:rsid w:val="00412EB5"/>
    <w:rsid w:val="00413A1E"/>
    <w:rsid w:val="00414167"/>
    <w:rsid w:val="00414476"/>
    <w:rsid w:val="00414C2E"/>
    <w:rsid w:val="004151CF"/>
    <w:rsid w:val="00415C90"/>
    <w:rsid w:val="00416364"/>
    <w:rsid w:val="00416A8C"/>
    <w:rsid w:val="004173DE"/>
    <w:rsid w:val="004175C2"/>
    <w:rsid w:val="004179C6"/>
    <w:rsid w:val="00417EB5"/>
    <w:rsid w:val="0042047F"/>
    <w:rsid w:val="00420AA6"/>
    <w:rsid w:val="00420B9F"/>
    <w:rsid w:val="00421288"/>
    <w:rsid w:val="0042192C"/>
    <w:rsid w:val="0042207E"/>
    <w:rsid w:val="00422260"/>
    <w:rsid w:val="00422A13"/>
    <w:rsid w:val="00423A0E"/>
    <w:rsid w:val="00423C69"/>
    <w:rsid w:val="0042413F"/>
    <w:rsid w:val="004243E6"/>
    <w:rsid w:val="004259B1"/>
    <w:rsid w:val="00426B14"/>
    <w:rsid w:val="00426D00"/>
    <w:rsid w:val="00426EC3"/>
    <w:rsid w:val="0042732D"/>
    <w:rsid w:val="00430AFB"/>
    <w:rsid w:val="00430DD4"/>
    <w:rsid w:val="004319F8"/>
    <w:rsid w:val="00431E55"/>
    <w:rsid w:val="004321F6"/>
    <w:rsid w:val="00433044"/>
    <w:rsid w:val="004337CB"/>
    <w:rsid w:val="00434088"/>
    <w:rsid w:val="004373B1"/>
    <w:rsid w:val="004375B9"/>
    <w:rsid w:val="0043796F"/>
    <w:rsid w:val="00437A16"/>
    <w:rsid w:val="00437CFE"/>
    <w:rsid w:val="00437D03"/>
    <w:rsid w:val="00440272"/>
    <w:rsid w:val="00440ADF"/>
    <w:rsid w:val="00440B6D"/>
    <w:rsid w:val="004412CA"/>
    <w:rsid w:val="004415B0"/>
    <w:rsid w:val="004428D0"/>
    <w:rsid w:val="004431F1"/>
    <w:rsid w:val="00443ED7"/>
    <w:rsid w:val="004440BC"/>
    <w:rsid w:val="00444185"/>
    <w:rsid w:val="004443A7"/>
    <w:rsid w:val="0044442C"/>
    <w:rsid w:val="004455CD"/>
    <w:rsid w:val="00445941"/>
    <w:rsid w:val="00446275"/>
    <w:rsid w:val="004464EB"/>
    <w:rsid w:val="0044712A"/>
    <w:rsid w:val="0044731A"/>
    <w:rsid w:val="00447D26"/>
    <w:rsid w:val="00447DFC"/>
    <w:rsid w:val="004505C8"/>
    <w:rsid w:val="0045069F"/>
    <w:rsid w:val="00452412"/>
    <w:rsid w:val="00453AE6"/>
    <w:rsid w:val="00454B79"/>
    <w:rsid w:val="00455D45"/>
    <w:rsid w:val="00455EA8"/>
    <w:rsid w:val="00457154"/>
    <w:rsid w:val="00457970"/>
    <w:rsid w:val="00457971"/>
    <w:rsid w:val="0046050E"/>
    <w:rsid w:val="004613F7"/>
    <w:rsid w:val="0046183E"/>
    <w:rsid w:val="00461B3B"/>
    <w:rsid w:val="004634E2"/>
    <w:rsid w:val="00464439"/>
    <w:rsid w:val="00464595"/>
    <w:rsid w:val="004658B5"/>
    <w:rsid w:val="004666E9"/>
    <w:rsid w:val="00466A66"/>
    <w:rsid w:val="00466C61"/>
    <w:rsid w:val="00466D0A"/>
    <w:rsid w:val="00467049"/>
    <w:rsid w:val="00467137"/>
    <w:rsid w:val="00471EA5"/>
    <w:rsid w:val="00472250"/>
    <w:rsid w:val="004724DA"/>
    <w:rsid w:val="00472A79"/>
    <w:rsid w:val="00473F19"/>
    <w:rsid w:val="00474C7F"/>
    <w:rsid w:val="00475071"/>
    <w:rsid w:val="004753EB"/>
    <w:rsid w:val="00475726"/>
    <w:rsid w:val="00475E22"/>
    <w:rsid w:val="0047733E"/>
    <w:rsid w:val="00477548"/>
    <w:rsid w:val="00477761"/>
    <w:rsid w:val="0048071F"/>
    <w:rsid w:val="00480761"/>
    <w:rsid w:val="0048088E"/>
    <w:rsid w:val="00480F2B"/>
    <w:rsid w:val="0048100E"/>
    <w:rsid w:val="00481067"/>
    <w:rsid w:val="00481A8C"/>
    <w:rsid w:val="0048253E"/>
    <w:rsid w:val="00482720"/>
    <w:rsid w:val="00482949"/>
    <w:rsid w:val="00482F5E"/>
    <w:rsid w:val="004833EA"/>
    <w:rsid w:val="004835E7"/>
    <w:rsid w:val="00484426"/>
    <w:rsid w:val="00484A42"/>
    <w:rsid w:val="00484A4B"/>
    <w:rsid w:val="004851D8"/>
    <w:rsid w:val="004867E2"/>
    <w:rsid w:val="00487A42"/>
    <w:rsid w:val="00490B17"/>
    <w:rsid w:val="00491248"/>
    <w:rsid w:val="00491B3A"/>
    <w:rsid w:val="00491C6D"/>
    <w:rsid w:val="0049206A"/>
    <w:rsid w:val="00492290"/>
    <w:rsid w:val="00492CFD"/>
    <w:rsid w:val="00494207"/>
    <w:rsid w:val="00494DD5"/>
    <w:rsid w:val="004954F6"/>
    <w:rsid w:val="004960B4"/>
    <w:rsid w:val="004962D2"/>
    <w:rsid w:val="00496BC8"/>
    <w:rsid w:val="004A015B"/>
    <w:rsid w:val="004A0C5C"/>
    <w:rsid w:val="004A0D2A"/>
    <w:rsid w:val="004A0DA1"/>
    <w:rsid w:val="004A127F"/>
    <w:rsid w:val="004A13D6"/>
    <w:rsid w:val="004A1DE7"/>
    <w:rsid w:val="004A222E"/>
    <w:rsid w:val="004A2A01"/>
    <w:rsid w:val="004A4792"/>
    <w:rsid w:val="004A4B1B"/>
    <w:rsid w:val="004A52E9"/>
    <w:rsid w:val="004A6040"/>
    <w:rsid w:val="004A6597"/>
    <w:rsid w:val="004A6E42"/>
    <w:rsid w:val="004A7848"/>
    <w:rsid w:val="004A7F71"/>
    <w:rsid w:val="004B1CB4"/>
    <w:rsid w:val="004B2954"/>
    <w:rsid w:val="004B2AEF"/>
    <w:rsid w:val="004B2F18"/>
    <w:rsid w:val="004B323C"/>
    <w:rsid w:val="004B3DDB"/>
    <w:rsid w:val="004B3E66"/>
    <w:rsid w:val="004B4235"/>
    <w:rsid w:val="004B44FD"/>
    <w:rsid w:val="004B4908"/>
    <w:rsid w:val="004B5CFC"/>
    <w:rsid w:val="004B6F79"/>
    <w:rsid w:val="004B774D"/>
    <w:rsid w:val="004C0575"/>
    <w:rsid w:val="004C0B7B"/>
    <w:rsid w:val="004C2EA5"/>
    <w:rsid w:val="004C3198"/>
    <w:rsid w:val="004C4825"/>
    <w:rsid w:val="004C4AED"/>
    <w:rsid w:val="004C5399"/>
    <w:rsid w:val="004C5895"/>
    <w:rsid w:val="004C58D3"/>
    <w:rsid w:val="004C6947"/>
    <w:rsid w:val="004C6CD8"/>
    <w:rsid w:val="004C74A8"/>
    <w:rsid w:val="004C7CCE"/>
    <w:rsid w:val="004D19D5"/>
    <w:rsid w:val="004D2C2D"/>
    <w:rsid w:val="004D3CDA"/>
    <w:rsid w:val="004D593F"/>
    <w:rsid w:val="004D69B5"/>
    <w:rsid w:val="004D70F4"/>
    <w:rsid w:val="004D7227"/>
    <w:rsid w:val="004D72DE"/>
    <w:rsid w:val="004E0E7F"/>
    <w:rsid w:val="004E0EB8"/>
    <w:rsid w:val="004E18E9"/>
    <w:rsid w:val="004E1ACE"/>
    <w:rsid w:val="004E2491"/>
    <w:rsid w:val="004E2ADC"/>
    <w:rsid w:val="004E3573"/>
    <w:rsid w:val="004E357B"/>
    <w:rsid w:val="004E36F7"/>
    <w:rsid w:val="004E43B2"/>
    <w:rsid w:val="004E5EF7"/>
    <w:rsid w:val="004E6128"/>
    <w:rsid w:val="004E6283"/>
    <w:rsid w:val="004E6736"/>
    <w:rsid w:val="004E6C8F"/>
    <w:rsid w:val="004E787A"/>
    <w:rsid w:val="004F143D"/>
    <w:rsid w:val="004F1489"/>
    <w:rsid w:val="004F182A"/>
    <w:rsid w:val="004F1C16"/>
    <w:rsid w:val="004F1D02"/>
    <w:rsid w:val="004F1D98"/>
    <w:rsid w:val="004F2679"/>
    <w:rsid w:val="004F2F21"/>
    <w:rsid w:val="004F3DE5"/>
    <w:rsid w:val="004F53CD"/>
    <w:rsid w:val="004F600E"/>
    <w:rsid w:val="004F66FF"/>
    <w:rsid w:val="004F6913"/>
    <w:rsid w:val="004F7532"/>
    <w:rsid w:val="004F7865"/>
    <w:rsid w:val="004F8626"/>
    <w:rsid w:val="0050174E"/>
    <w:rsid w:val="00501854"/>
    <w:rsid w:val="0050219B"/>
    <w:rsid w:val="005024F1"/>
    <w:rsid w:val="0050251A"/>
    <w:rsid w:val="00502A92"/>
    <w:rsid w:val="00503F17"/>
    <w:rsid w:val="005040A7"/>
    <w:rsid w:val="00504DC6"/>
    <w:rsid w:val="00505086"/>
    <w:rsid w:val="00506928"/>
    <w:rsid w:val="0050706D"/>
    <w:rsid w:val="005071D0"/>
    <w:rsid w:val="005077EF"/>
    <w:rsid w:val="00511AD5"/>
    <w:rsid w:val="00511DC7"/>
    <w:rsid w:val="005121AB"/>
    <w:rsid w:val="00512315"/>
    <w:rsid w:val="00512EFD"/>
    <w:rsid w:val="005133DC"/>
    <w:rsid w:val="00513737"/>
    <w:rsid w:val="00513DC6"/>
    <w:rsid w:val="005142C5"/>
    <w:rsid w:val="005146B6"/>
    <w:rsid w:val="00514F70"/>
    <w:rsid w:val="0051501B"/>
    <w:rsid w:val="005152B5"/>
    <w:rsid w:val="00515B12"/>
    <w:rsid w:val="00515BEB"/>
    <w:rsid w:val="00516FF3"/>
    <w:rsid w:val="00517276"/>
    <w:rsid w:val="0051BC57"/>
    <w:rsid w:val="00520AF5"/>
    <w:rsid w:val="00520E31"/>
    <w:rsid w:val="00521009"/>
    <w:rsid w:val="0052123C"/>
    <w:rsid w:val="00521319"/>
    <w:rsid w:val="00522BC8"/>
    <w:rsid w:val="005230E3"/>
    <w:rsid w:val="005233AE"/>
    <w:rsid w:val="00523C28"/>
    <w:rsid w:val="00524920"/>
    <w:rsid w:val="00525310"/>
    <w:rsid w:val="00525746"/>
    <w:rsid w:val="00525F28"/>
    <w:rsid w:val="005268A5"/>
    <w:rsid w:val="0053054B"/>
    <w:rsid w:val="00530999"/>
    <w:rsid w:val="00530C20"/>
    <w:rsid w:val="00531074"/>
    <w:rsid w:val="005311A8"/>
    <w:rsid w:val="005315CE"/>
    <w:rsid w:val="0053176B"/>
    <w:rsid w:val="005336B5"/>
    <w:rsid w:val="00533F2E"/>
    <w:rsid w:val="00536332"/>
    <w:rsid w:val="00536642"/>
    <w:rsid w:val="00536F42"/>
    <w:rsid w:val="00537182"/>
    <w:rsid w:val="00537309"/>
    <w:rsid w:val="00537AA2"/>
    <w:rsid w:val="00540A96"/>
    <w:rsid w:val="00541EDD"/>
    <w:rsid w:val="005423A8"/>
    <w:rsid w:val="00542743"/>
    <w:rsid w:val="00542C2D"/>
    <w:rsid w:val="0054400A"/>
    <w:rsid w:val="005461EA"/>
    <w:rsid w:val="00547867"/>
    <w:rsid w:val="005478BD"/>
    <w:rsid w:val="005479E3"/>
    <w:rsid w:val="005479F9"/>
    <w:rsid w:val="0055025B"/>
    <w:rsid w:val="005504B1"/>
    <w:rsid w:val="00551985"/>
    <w:rsid w:val="00551F2A"/>
    <w:rsid w:val="00551F93"/>
    <w:rsid w:val="00552BD3"/>
    <w:rsid w:val="0055305E"/>
    <w:rsid w:val="005532A0"/>
    <w:rsid w:val="00555109"/>
    <w:rsid w:val="00555C06"/>
    <w:rsid w:val="00555C38"/>
    <w:rsid w:val="00556870"/>
    <w:rsid w:val="00556B35"/>
    <w:rsid w:val="0055741A"/>
    <w:rsid w:val="00557F6E"/>
    <w:rsid w:val="00560151"/>
    <w:rsid w:val="005611B7"/>
    <w:rsid w:val="00561528"/>
    <w:rsid w:val="005618D4"/>
    <w:rsid w:val="005631AA"/>
    <w:rsid w:val="00563860"/>
    <w:rsid w:val="0056418D"/>
    <w:rsid w:val="0056481E"/>
    <w:rsid w:val="00564F14"/>
    <w:rsid w:val="00564F71"/>
    <w:rsid w:val="0056589E"/>
    <w:rsid w:val="00565DF0"/>
    <w:rsid w:val="0056696F"/>
    <w:rsid w:val="005673D7"/>
    <w:rsid w:val="00567523"/>
    <w:rsid w:val="005707EE"/>
    <w:rsid w:val="00570FA8"/>
    <w:rsid w:val="00571078"/>
    <w:rsid w:val="0057146E"/>
    <w:rsid w:val="00572269"/>
    <w:rsid w:val="0057244A"/>
    <w:rsid w:val="00572F26"/>
    <w:rsid w:val="005750C5"/>
    <w:rsid w:val="005752DE"/>
    <w:rsid w:val="005753FC"/>
    <w:rsid w:val="00575623"/>
    <w:rsid w:val="0057573E"/>
    <w:rsid w:val="00575D8D"/>
    <w:rsid w:val="00575DCF"/>
    <w:rsid w:val="00576374"/>
    <w:rsid w:val="00576972"/>
    <w:rsid w:val="0057725B"/>
    <w:rsid w:val="00577A3D"/>
    <w:rsid w:val="005809E5"/>
    <w:rsid w:val="00580A30"/>
    <w:rsid w:val="005828EB"/>
    <w:rsid w:val="00583699"/>
    <w:rsid w:val="00583E58"/>
    <w:rsid w:val="00584766"/>
    <w:rsid w:val="005850B8"/>
    <w:rsid w:val="00585CDD"/>
    <w:rsid w:val="00586787"/>
    <w:rsid w:val="00586D9A"/>
    <w:rsid w:val="00586F26"/>
    <w:rsid w:val="00587058"/>
    <w:rsid w:val="00591957"/>
    <w:rsid w:val="00592923"/>
    <w:rsid w:val="005929FB"/>
    <w:rsid w:val="0059301F"/>
    <w:rsid w:val="005959BE"/>
    <w:rsid w:val="00597223"/>
    <w:rsid w:val="00597BF9"/>
    <w:rsid w:val="005A1A88"/>
    <w:rsid w:val="005A280A"/>
    <w:rsid w:val="005A3036"/>
    <w:rsid w:val="005A309A"/>
    <w:rsid w:val="005A373D"/>
    <w:rsid w:val="005A3A72"/>
    <w:rsid w:val="005A476D"/>
    <w:rsid w:val="005A5291"/>
    <w:rsid w:val="005A5EB4"/>
    <w:rsid w:val="005A6B2B"/>
    <w:rsid w:val="005A6FE1"/>
    <w:rsid w:val="005A7341"/>
    <w:rsid w:val="005B0AF4"/>
    <w:rsid w:val="005B0B58"/>
    <w:rsid w:val="005B0EC8"/>
    <w:rsid w:val="005B1712"/>
    <w:rsid w:val="005B2666"/>
    <w:rsid w:val="005B34F0"/>
    <w:rsid w:val="005B3DF6"/>
    <w:rsid w:val="005B4904"/>
    <w:rsid w:val="005B4B31"/>
    <w:rsid w:val="005B4E53"/>
    <w:rsid w:val="005B5857"/>
    <w:rsid w:val="005B62ED"/>
    <w:rsid w:val="005B7D7E"/>
    <w:rsid w:val="005BCC8B"/>
    <w:rsid w:val="005C07B1"/>
    <w:rsid w:val="005C10F2"/>
    <w:rsid w:val="005C1A09"/>
    <w:rsid w:val="005C1B83"/>
    <w:rsid w:val="005C1F61"/>
    <w:rsid w:val="005C2493"/>
    <w:rsid w:val="005C2598"/>
    <w:rsid w:val="005C25FF"/>
    <w:rsid w:val="005C2D55"/>
    <w:rsid w:val="005C3015"/>
    <w:rsid w:val="005C346B"/>
    <w:rsid w:val="005C3883"/>
    <w:rsid w:val="005C3A45"/>
    <w:rsid w:val="005C5B11"/>
    <w:rsid w:val="005C5DBA"/>
    <w:rsid w:val="005C5F6E"/>
    <w:rsid w:val="005C6DB7"/>
    <w:rsid w:val="005C73BE"/>
    <w:rsid w:val="005D044D"/>
    <w:rsid w:val="005D0ABD"/>
    <w:rsid w:val="005D18AD"/>
    <w:rsid w:val="005D26B4"/>
    <w:rsid w:val="005D31DA"/>
    <w:rsid w:val="005D434F"/>
    <w:rsid w:val="005D52BA"/>
    <w:rsid w:val="005D5450"/>
    <w:rsid w:val="005D54E1"/>
    <w:rsid w:val="005D7200"/>
    <w:rsid w:val="005E0F67"/>
    <w:rsid w:val="005E1493"/>
    <w:rsid w:val="005E32AA"/>
    <w:rsid w:val="005E373D"/>
    <w:rsid w:val="005E5E6F"/>
    <w:rsid w:val="005E669E"/>
    <w:rsid w:val="005E6CBC"/>
    <w:rsid w:val="005E72FF"/>
    <w:rsid w:val="005E73C0"/>
    <w:rsid w:val="005E75C5"/>
    <w:rsid w:val="005F0258"/>
    <w:rsid w:val="005F0F6F"/>
    <w:rsid w:val="005F2706"/>
    <w:rsid w:val="005F3214"/>
    <w:rsid w:val="005F357F"/>
    <w:rsid w:val="005F3769"/>
    <w:rsid w:val="005F40AB"/>
    <w:rsid w:val="005F43AB"/>
    <w:rsid w:val="005F4D7F"/>
    <w:rsid w:val="005F57E8"/>
    <w:rsid w:val="005F59DD"/>
    <w:rsid w:val="005F5AF2"/>
    <w:rsid w:val="005F6090"/>
    <w:rsid w:val="005F62F7"/>
    <w:rsid w:val="005F6335"/>
    <w:rsid w:val="005F66E4"/>
    <w:rsid w:val="005F6A8F"/>
    <w:rsid w:val="005F6BB7"/>
    <w:rsid w:val="005F71A0"/>
    <w:rsid w:val="005F7338"/>
    <w:rsid w:val="005F754C"/>
    <w:rsid w:val="005F7588"/>
    <w:rsid w:val="005F78FE"/>
    <w:rsid w:val="006000FA"/>
    <w:rsid w:val="006005D0"/>
    <w:rsid w:val="00600697"/>
    <w:rsid w:val="0060241F"/>
    <w:rsid w:val="006027B5"/>
    <w:rsid w:val="00603352"/>
    <w:rsid w:val="00603DB9"/>
    <w:rsid w:val="0060427C"/>
    <w:rsid w:val="00604ECF"/>
    <w:rsid w:val="0060691D"/>
    <w:rsid w:val="00606FBA"/>
    <w:rsid w:val="00607669"/>
    <w:rsid w:val="006076F4"/>
    <w:rsid w:val="00607AFD"/>
    <w:rsid w:val="00607E14"/>
    <w:rsid w:val="00610609"/>
    <w:rsid w:val="0061115D"/>
    <w:rsid w:val="00612864"/>
    <w:rsid w:val="00612F97"/>
    <w:rsid w:val="0061345D"/>
    <w:rsid w:val="0061464A"/>
    <w:rsid w:val="0061549B"/>
    <w:rsid w:val="00616802"/>
    <w:rsid w:val="00617E12"/>
    <w:rsid w:val="00620C25"/>
    <w:rsid w:val="0062114A"/>
    <w:rsid w:val="00621477"/>
    <w:rsid w:val="006218EE"/>
    <w:rsid w:val="00621ADA"/>
    <w:rsid w:val="006222B5"/>
    <w:rsid w:val="00623F7B"/>
    <w:rsid w:val="00624103"/>
    <w:rsid w:val="00625751"/>
    <w:rsid w:val="006257B9"/>
    <w:rsid w:val="00625B83"/>
    <w:rsid w:val="00627B2B"/>
    <w:rsid w:val="00627CB7"/>
    <w:rsid w:val="0063045A"/>
    <w:rsid w:val="0063158F"/>
    <w:rsid w:val="00631D6B"/>
    <w:rsid w:val="00632183"/>
    <w:rsid w:val="00632923"/>
    <w:rsid w:val="00632B31"/>
    <w:rsid w:val="0063306E"/>
    <w:rsid w:val="006330A1"/>
    <w:rsid w:val="0063479F"/>
    <w:rsid w:val="00634AAA"/>
    <w:rsid w:val="006353F0"/>
    <w:rsid w:val="006357B5"/>
    <w:rsid w:val="006364A1"/>
    <w:rsid w:val="0063678E"/>
    <w:rsid w:val="00636FC0"/>
    <w:rsid w:val="00637719"/>
    <w:rsid w:val="00637BFD"/>
    <w:rsid w:val="00637F60"/>
    <w:rsid w:val="006416F2"/>
    <w:rsid w:val="0064194D"/>
    <w:rsid w:val="00641C4E"/>
    <w:rsid w:val="00641FB3"/>
    <w:rsid w:val="006429B9"/>
    <w:rsid w:val="00642CBC"/>
    <w:rsid w:val="00642EBA"/>
    <w:rsid w:val="0064434C"/>
    <w:rsid w:val="006461AD"/>
    <w:rsid w:val="006471CC"/>
    <w:rsid w:val="00647A29"/>
    <w:rsid w:val="00647A2E"/>
    <w:rsid w:val="0065079F"/>
    <w:rsid w:val="006513F4"/>
    <w:rsid w:val="00651DD8"/>
    <w:rsid w:val="00652022"/>
    <w:rsid w:val="00652A28"/>
    <w:rsid w:val="0065324C"/>
    <w:rsid w:val="0065379F"/>
    <w:rsid w:val="00653B43"/>
    <w:rsid w:val="0065487E"/>
    <w:rsid w:val="006549B6"/>
    <w:rsid w:val="00656188"/>
    <w:rsid w:val="0065715A"/>
    <w:rsid w:val="0065727C"/>
    <w:rsid w:val="00660489"/>
    <w:rsid w:val="0066091F"/>
    <w:rsid w:val="00660C53"/>
    <w:rsid w:val="00660C7F"/>
    <w:rsid w:val="006610F1"/>
    <w:rsid w:val="00661641"/>
    <w:rsid w:val="00661C6B"/>
    <w:rsid w:val="006653E6"/>
    <w:rsid w:val="00665745"/>
    <w:rsid w:val="00665C05"/>
    <w:rsid w:val="00665F3C"/>
    <w:rsid w:val="0066607C"/>
    <w:rsid w:val="006661A7"/>
    <w:rsid w:val="006668F5"/>
    <w:rsid w:val="006702F7"/>
    <w:rsid w:val="00671004"/>
    <w:rsid w:val="0067183F"/>
    <w:rsid w:val="00671D1F"/>
    <w:rsid w:val="00672442"/>
    <w:rsid w:val="00672646"/>
    <w:rsid w:val="00672C66"/>
    <w:rsid w:val="00673310"/>
    <w:rsid w:val="0067400F"/>
    <w:rsid w:val="00674D61"/>
    <w:rsid w:val="00674E42"/>
    <w:rsid w:val="006752BE"/>
    <w:rsid w:val="006763CA"/>
    <w:rsid w:val="0067695B"/>
    <w:rsid w:val="00676EA3"/>
    <w:rsid w:val="0067CB4D"/>
    <w:rsid w:val="006807AA"/>
    <w:rsid w:val="00680EFF"/>
    <w:rsid w:val="006813F8"/>
    <w:rsid w:val="00682112"/>
    <w:rsid w:val="00682BA6"/>
    <w:rsid w:val="00682D1E"/>
    <w:rsid w:val="00683DFD"/>
    <w:rsid w:val="006843DD"/>
    <w:rsid w:val="00685871"/>
    <w:rsid w:val="006863F6"/>
    <w:rsid w:val="00686486"/>
    <w:rsid w:val="00686957"/>
    <w:rsid w:val="0068702C"/>
    <w:rsid w:val="006872BA"/>
    <w:rsid w:val="00687586"/>
    <w:rsid w:val="00690294"/>
    <w:rsid w:val="00690795"/>
    <w:rsid w:val="00690F20"/>
    <w:rsid w:val="00691032"/>
    <w:rsid w:val="0069133D"/>
    <w:rsid w:val="00691648"/>
    <w:rsid w:val="006917D7"/>
    <w:rsid w:val="00691A37"/>
    <w:rsid w:val="00691F59"/>
    <w:rsid w:val="00692BB9"/>
    <w:rsid w:val="006934EE"/>
    <w:rsid w:val="00693A0C"/>
    <w:rsid w:val="0069434C"/>
    <w:rsid w:val="00694F44"/>
    <w:rsid w:val="00695727"/>
    <w:rsid w:val="00696E61"/>
    <w:rsid w:val="00696F51"/>
    <w:rsid w:val="00696F61"/>
    <w:rsid w:val="006979A5"/>
    <w:rsid w:val="006A02B2"/>
    <w:rsid w:val="006A2455"/>
    <w:rsid w:val="006A37AE"/>
    <w:rsid w:val="006A452F"/>
    <w:rsid w:val="006A530A"/>
    <w:rsid w:val="006A560B"/>
    <w:rsid w:val="006A5960"/>
    <w:rsid w:val="006A5CDF"/>
    <w:rsid w:val="006A6B99"/>
    <w:rsid w:val="006A7E5F"/>
    <w:rsid w:val="006B00E2"/>
    <w:rsid w:val="006B0FB2"/>
    <w:rsid w:val="006B1310"/>
    <w:rsid w:val="006B20AE"/>
    <w:rsid w:val="006B254E"/>
    <w:rsid w:val="006B261B"/>
    <w:rsid w:val="006B2C90"/>
    <w:rsid w:val="006B3380"/>
    <w:rsid w:val="006B35E6"/>
    <w:rsid w:val="006B465A"/>
    <w:rsid w:val="006B59E0"/>
    <w:rsid w:val="006B6DD0"/>
    <w:rsid w:val="006B7B85"/>
    <w:rsid w:val="006C0399"/>
    <w:rsid w:val="006C0F54"/>
    <w:rsid w:val="006C205A"/>
    <w:rsid w:val="006C2A8E"/>
    <w:rsid w:val="006C3255"/>
    <w:rsid w:val="006C3F26"/>
    <w:rsid w:val="006C5F40"/>
    <w:rsid w:val="006C65C2"/>
    <w:rsid w:val="006C66D7"/>
    <w:rsid w:val="006C6B0E"/>
    <w:rsid w:val="006C7AA2"/>
    <w:rsid w:val="006D0D17"/>
    <w:rsid w:val="006D166B"/>
    <w:rsid w:val="006D2E18"/>
    <w:rsid w:val="006D2E3C"/>
    <w:rsid w:val="006D3317"/>
    <w:rsid w:val="006D3C7D"/>
    <w:rsid w:val="006D4659"/>
    <w:rsid w:val="006D50B5"/>
    <w:rsid w:val="006D555E"/>
    <w:rsid w:val="006D5D5F"/>
    <w:rsid w:val="006D6860"/>
    <w:rsid w:val="006D68FB"/>
    <w:rsid w:val="006D6DC6"/>
    <w:rsid w:val="006D767A"/>
    <w:rsid w:val="006E2868"/>
    <w:rsid w:val="006E2B32"/>
    <w:rsid w:val="006E455B"/>
    <w:rsid w:val="006E48AF"/>
    <w:rsid w:val="006E535F"/>
    <w:rsid w:val="006E559F"/>
    <w:rsid w:val="006E55AC"/>
    <w:rsid w:val="006E7423"/>
    <w:rsid w:val="006E7B8F"/>
    <w:rsid w:val="006F0205"/>
    <w:rsid w:val="006F0457"/>
    <w:rsid w:val="006F0522"/>
    <w:rsid w:val="006F2348"/>
    <w:rsid w:val="006F306C"/>
    <w:rsid w:val="006F3CB0"/>
    <w:rsid w:val="006F4574"/>
    <w:rsid w:val="006F4677"/>
    <w:rsid w:val="006F54A8"/>
    <w:rsid w:val="006F63A5"/>
    <w:rsid w:val="006F662D"/>
    <w:rsid w:val="006FC02A"/>
    <w:rsid w:val="006FDAA1"/>
    <w:rsid w:val="00700C81"/>
    <w:rsid w:val="0070142B"/>
    <w:rsid w:val="00701B04"/>
    <w:rsid w:val="00701BBD"/>
    <w:rsid w:val="00701ED5"/>
    <w:rsid w:val="00702522"/>
    <w:rsid w:val="0070276E"/>
    <w:rsid w:val="007029F4"/>
    <w:rsid w:val="00702C93"/>
    <w:rsid w:val="00702F8F"/>
    <w:rsid w:val="00705549"/>
    <w:rsid w:val="007064D2"/>
    <w:rsid w:val="007073B5"/>
    <w:rsid w:val="007079FC"/>
    <w:rsid w:val="007115E7"/>
    <w:rsid w:val="007119B0"/>
    <w:rsid w:val="00711A36"/>
    <w:rsid w:val="00712418"/>
    <w:rsid w:val="00712FF1"/>
    <w:rsid w:val="0071378D"/>
    <w:rsid w:val="00713FE5"/>
    <w:rsid w:val="00714300"/>
    <w:rsid w:val="00714616"/>
    <w:rsid w:val="00714923"/>
    <w:rsid w:val="00714C26"/>
    <w:rsid w:val="00714DCF"/>
    <w:rsid w:val="0071529C"/>
    <w:rsid w:val="0071667D"/>
    <w:rsid w:val="007170DA"/>
    <w:rsid w:val="007172AD"/>
    <w:rsid w:val="00718DD7"/>
    <w:rsid w:val="0071BD25"/>
    <w:rsid w:val="00720105"/>
    <w:rsid w:val="00720684"/>
    <w:rsid w:val="00720801"/>
    <w:rsid w:val="00720A48"/>
    <w:rsid w:val="007212E9"/>
    <w:rsid w:val="0072203A"/>
    <w:rsid w:val="0072274E"/>
    <w:rsid w:val="00722B1B"/>
    <w:rsid w:val="00723AE6"/>
    <w:rsid w:val="0072416F"/>
    <w:rsid w:val="007241AD"/>
    <w:rsid w:val="00724A51"/>
    <w:rsid w:val="00726609"/>
    <w:rsid w:val="00726861"/>
    <w:rsid w:val="00726FD9"/>
    <w:rsid w:val="00727C94"/>
    <w:rsid w:val="00727DDC"/>
    <w:rsid w:val="00730141"/>
    <w:rsid w:val="00730638"/>
    <w:rsid w:val="00731873"/>
    <w:rsid w:val="00731B0A"/>
    <w:rsid w:val="00731EAE"/>
    <w:rsid w:val="007324F9"/>
    <w:rsid w:val="00733073"/>
    <w:rsid w:val="00733CBC"/>
    <w:rsid w:val="00733EDC"/>
    <w:rsid w:val="00733F8C"/>
    <w:rsid w:val="00734217"/>
    <w:rsid w:val="007347FC"/>
    <w:rsid w:val="00734C2E"/>
    <w:rsid w:val="00735033"/>
    <w:rsid w:val="0073503A"/>
    <w:rsid w:val="007350F5"/>
    <w:rsid w:val="0073514C"/>
    <w:rsid w:val="00735328"/>
    <w:rsid w:val="007359E2"/>
    <w:rsid w:val="0073681C"/>
    <w:rsid w:val="0073685B"/>
    <w:rsid w:val="00737CC4"/>
    <w:rsid w:val="00740B37"/>
    <w:rsid w:val="00741891"/>
    <w:rsid w:val="007449BF"/>
    <w:rsid w:val="00744DF1"/>
    <w:rsid w:val="0074589B"/>
    <w:rsid w:val="0074599E"/>
    <w:rsid w:val="007464E5"/>
    <w:rsid w:val="00746BC0"/>
    <w:rsid w:val="007510B4"/>
    <w:rsid w:val="00751B11"/>
    <w:rsid w:val="00752142"/>
    <w:rsid w:val="007523F9"/>
    <w:rsid w:val="00752F88"/>
    <w:rsid w:val="0075357E"/>
    <w:rsid w:val="00753D1B"/>
    <w:rsid w:val="00754E88"/>
    <w:rsid w:val="00755D80"/>
    <w:rsid w:val="00755F86"/>
    <w:rsid w:val="00756B42"/>
    <w:rsid w:val="00756EE3"/>
    <w:rsid w:val="007573E8"/>
    <w:rsid w:val="0075757F"/>
    <w:rsid w:val="007603C4"/>
    <w:rsid w:val="00760C4E"/>
    <w:rsid w:val="00760F9E"/>
    <w:rsid w:val="0076239C"/>
    <w:rsid w:val="007625EE"/>
    <w:rsid w:val="007627BE"/>
    <w:rsid w:val="0076482A"/>
    <w:rsid w:val="00764A9A"/>
    <w:rsid w:val="00764F03"/>
    <w:rsid w:val="00765B1A"/>
    <w:rsid w:val="00765DA5"/>
    <w:rsid w:val="007704C4"/>
    <w:rsid w:val="00771D46"/>
    <w:rsid w:val="00773235"/>
    <w:rsid w:val="00773918"/>
    <w:rsid w:val="0077431C"/>
    <w:rsid w:val="007760A6"/>
    <w:rsid w:val="00777335"/>
    <w:rsid w:val="00780110"/>
    <w:rsid w:val="00781419"/>
    <w:rsid w:val="0078156F"/>
    <w:rsid w:val="0078170C"/>
    <w:rsid w:val="007832EA"/>
    <w:rsid w:val="007835DC"/>
    <w:rsid w:val="00784357"/>
    <w:rsid w:val="007843F2"/>
    <w:rsid w:val="00785A9F"/>
    <w:rsid w:val="0078656C"/>
    <w:rsid w:val="0079239B"/>
    <w:rsid w:val="007924B3"/>
    <w:rsid w:val="007925DF"/>
    <w:rsid w:val="007929DD"/>
    <w:rsid w:val="00793E58"/>
    <w:rsid w:val="00796A27"/>
    <w:rsid w:val="0079761E"/>
    <w:rsid w:val="007977B8"/>
    <w:rsid w:val="007A08AA"/>
    <w:rsid w:val="007A0A12"/>
    <w:rsid w:val="007A132D"/>
    <w:rsid w:val="007A1345"/>
    <w:rsid w:val="007A1938"/>
    <w:rsid w:val="007A1B4C"/>
    <w:rsid w:val="007A2458"/>
    <w:rsid w:val="007A2DDB"/>
    <w:rsid w:val="007A3DAA"/>
    <w:rsid w:val="007A3F41"/>
    <w:rsid w:val="007A66C2"/>
    <w:rsid w:val="007A70BA"/>
    <w:rsid w:val="007B0816"/>
    <w:rsid w:val="007B0D68"/>
    <w:rsid w:val="007B1A8D"/>
    <w:rsid w:val="007B1F82"/>
    <w:rsid w:val="007B233D"/>
    <w:rsid w:val="007B251D"/>
    <w:rsid w:val="007B34BC"/>
    <w:rsid w:val="007B34EF"/>
    <w:rsid w:val="007B39B1"/>
    <w:rsid w:val="007B4F58"/>
    <w:rsid w:val="007B5110"/>
    <w:rsid w:val="007B528D"/>
    <w:rsid w:val="007B5703"/>
    <w:rsid w:val="007B584E"/>
    <w:rsid w:val="007B5A93"/>
    <w:rsid w:val="007B63CA"/>
    <w:rsid w:val="007B7367"/>
    <w:rsid w:val="007B77D1"/>
    <w:rsid w:val="007C07C7"/>
    <w:rsid w:val="007C10CA"/>
    <w:rsid w:val="007C1329"/>
    <w:rsid w:val="007C1CD9"/>
    <w:rsid w:val="007C2699"/>
    <w:rsid w:val="007C2A14"/>
    <w:rsid w:val="007C32EF"/>
    <w:rsid w:val="007C361D"/>
    <w:rsid w:val="007C38C6"/>
    <w:rsid w:val="007C3AE0"/>
    <w:rsid w:val="007C3CEB"/>
    <w:rsid w:val="007C4B84"/>
    <w:rsid w:val="007C58F9"/>
    <w:rsid w:val="007C70FF"/>
    <w:rsid w:val="007C7C25"/>
    <w:rsid w:val="007D004F"/>
    <w:rsid w:val="007D010D"/>
    <w:rsid w:val="007D081D"/>
    <w:rsid w:val="007D0B38"/>
    <w:rsid w:val="007D1E1F"/>
    <w:rsid w:val="007D230A"/>
    <w:rsid w:val="007D3C44"/>
    <w:rsid w:val="007D439F"/>
    <w:rsid w:val="007D4EDB"/>
    <w:rsid w:val="007D5037"/>
    <w:rsid w:val="007D5440"/>
    <w:rsid w:val="007D6476"/>
    <w:rsid w:val="007D69EB"/>
    <w:rsid w:val="007D6E4A"/>
    <w:rsid w:val="007E0D85"/>
    <w:rsid w:val="007E0E06"/>
    <w:rsid w:val="007E128F"/>
    <w:rsid w:val="007E5F53"/>
    <w:rsid w:val="007E6F82"/>
    <w:rsid w:val="007E7213"/>
    <w:rsid w:val="007E732E"/>
    <w:rsid w:val="007F00D6"/>
    <w:rsid w:val="007F01E9"/>
    <w:rsid w:val="007F1017"/>
    <w:rsid w:val="007F2029"/>
    <w:rsid w:val="007F2EC1"/>
    <w:rsid w:val="007F2FAF"/>
    <w:rsid w:val="007F3407"/>
    <w:rsid w:val="007F4397"/>
    <w:rsid w:val="007F43E8"/>
    <w:rsid w:val="007F4A3F"/>
    <w:rsid w:val="007F4A61"/>
    <w:rsid w:val="007F5255"/>
    <w:rsid w:val="007F56CC"/>
    <w:rsid w:val="007F5943"/>
    <w:rsid w:val="007F5A26"/>
    <w:rsid w:val="007F61C2"/>
    <w:rsid w:val="007F6DBB"/>
    <w:rsid w:val="007F8302"/>
    <w:rsid w:val="0080088E"/>
    <w:rsid w:val="00800D1E"/>
    <w:rsid w:val="008012F5"/>
    <w:rsid w:val="00802842"/>
    <w:rsid w:val="008028C3"/>
    <w:rsid w:val="00803538"/>
    <w:rsid w:val="00804C72"/>
    <w:rsid w:val="00805142"/>
    <w:rsid w:val="00805881"/>
    <w:rsid w:val="00805A5F"/>
    <w:rsid w:val="00805FCE"/>
    <w:rsid w:val="0080649E"/>
    <w:rsid w:val="00807513"/>
    <w:rsid w:val="008075A2"/>
    <w:rsid w:val="00807A8B"/>
    <w:rsid w:val="00811383"/>
    <w:rsid w:val="00811793"/>
    <w:rsid w:val="00812149"/>
    <w:rsid w:val="00812CAC"/>
    <w:rsid w:val="0081400A"/>
    <w:rsid w:val="0081497E"/>
    <w:rsid w:val="008150A1"/>
    <w:rsid w:val="00815144"/>
    <w:rsid w:val="008157D7"/>
    <w:rsid w:val="00815B8C"/>
    <w:rsid w:val="00815E29"/>
    <w:rsid w:val="00816361"/>
    <w:rsid w:val="008166EF"/>
    <w:rsid w:val="00816FEF"/>
    <w:rsid w:val="0081723A"/>
    <w:rsid w:val="00817AF1"/>
    <w:rsid w:val="0082072D"/>
    <w:rsid w:val="00820844"/>
    <w:rsid w:val="00820A8C"/>
    <w:rsid w:val="008215FB"/>
    <w:rsid w:val="00821A19"/>
    <w:rsid w:val="00821AB1"/>
    <w:rsid w:val="00821BE5"/>
    <w:rsid w:val="00821D59"/>
    <w:rsid w:val="0082313A"/>
    <w:rsid w:val="00823174"/>
    <w:rsid w:val="00824745"/>
    <w:rsid w:val="00825673"/>
    <w:rsid w:val="00825751"/>
    <w:rsid w:val="008262A2"/>
    <w:rsid w:val="008262DA"/>
    <w:rsid w:val="008264EB"/>
    <w:rsid w:val="008268AD"/>
    <w:rsid w:val="00826F3B"/>
    <w:rsid w:val="00827079"/>
    <w:rsid w:val="008304CC"/>
    <w:rsid w:val="008311A7"/>
    <w:rsid w:val="00832305"/>
    <w:rsid w:val="008332FF"/>
    <w:rsid w:val="00833B05"/>
    <w:rsid w:val="008362B4"/>
    <w:rsid w:val="008376DC"/>
    <w:rsid w:val="00840CA2"/>
    <w:rsid w:val="0084374F"/>
    <w:rsid w:val="00844A22"/>
    <w:rsid w:val="00845541"/>
    <w:rsid w:val="00847703"/>
    <w:rsid w:val="00847D89"/>
    <w:rsid w:val="00847DF5"/>
    <w:rsid w:val="0085093B"/>
    <w:rsid w:val="0085309D"/>
    <w:rsid w:val="00853639"/>
    <w:rsid w:val="00853AA5"/>
    <w:rsid w:val="00854117"/>
    <w:rsid w:val="008554F6"/>
    <w:rsid w:val="008559CE"/>
    <w:rsid w:val="00856897"/>
    <w:rsid w:val="008568D2"/>
    <w:rsid w:val="00856C05"/>
    <w:rsid w:val="00856E9A"/>
    <w:rsid w:val="0086075D"/>
    <w:rsid w:val="00862502"/>
    <w:rsid w:val="00862695"/>
    <w:rsid w:val="00862CC1"/>
    <w:rsid w:val="00863DAC"/>
    <w:rsid w:val="00863E5D"/>
    <w:rsid w:val="00864057"/>
    <w:rsid w:val="008660D4"/>
    <w:rsid w:val="00866528"/>
    <w:rsid w:val="00866A38"/>
    <w:rsid w:val="008676EC"/>
    <w:rsid w:val="00867AC3"/>
    <w:rsid w:val="0087004E"/>
    <w:rsid w:val="00871DC3"/>
    <w:rsid w:val="00871FA9"/>
    <w:rsid w:val="0087277A"/>
    <w:rsid w:val="008728E9"/>
    <w:rsid w:val="00875A45"/>
    <w:rsid w:val="008763E4"/>
    <w:rsid w:val="00881E64"/>
    <w:rsid w:val="00882874"/>
    <w:rsid w:val="00882DDA"/>
    <w:rsid w:val="00882E3C"/>
    <w:rsid w:val="00883787"/>
    <w:rsid w:val="008855E4"/>
    <w:rsid w:val="00885DCF"/>
    <w:rsid w:val="00886CD2"/>
    <w:rsid w:val="00891E6F"/>
    <w:rsid w:val="00892185"/>
    <w:rsid w:val="008925F5"/>
    <w:rsid w:val="0089275D"/>
    <w:rsid w:val="00892A36"/>
    <w:rsid w:val="00892E54"/>
    <w:rsid w:val="00892F8B"/>
    <w:rsid w:val="0089321E"/>
    <w:rsid w:val="00893239"/>
    <w:rsid w:val="008932AD"/>
    <w:rsid w:val="0089370E"/>
    <w:rsid w:val="00894489"/>
    <w:rsid w:val="008963A5"/>
    <w:rsid w:val="00896D5D"/>
    <w:rsid w:val="008972E1"/>
    <w:rsid w:val="00897B95"/>
    <w:rsid w:val="0089F276"/>
    <w:rsid w:val="008A046A"/>
    <w:rsid w:val="008A1FB6"/>
    <w:rsid w:val="008A26BA"/>
    <w:rsid w:val="008A2CD4"/>
    <w:rsid w:val="008A324B"/>
    <w:rsid w:val="008A3363"/>
    <w:rsid w:val="008A3371"/>
    <w:rsid w:val="008A3382"/>
    <w:rsid w:val="008A3664"/>
    <w:rsid w:val="008A382A"/>
    <w:rsid w:val="008A3C3E"/>
    <w:rsid w:val="008A4318"/>
    <w:rsid w:val="008A4E5F"/>
    <w:rsid w:val="008A4FC1"/>
    <w:rsid w:val="008A5DD7"/>
    <w:rsid w:val="008A5E34"/>
    <w:rsid w:val="008A79DE"/>
    <w:rsid w:val="008B1757"/>
    <w:rsid w:val="008B17E0"/>
    <w:rsid w:val="008B1CC6"/>
    <w:rsid w:val="008B36D0"/>
    <w:rsid w:val="008B5A7F"/>
    <w:rsid w:val="008B6AAB"/>
    <w:rsid w:val="008B7992"/>
    <w:rsid w:val="008B7D7E"/>
    <w:rsid w:val="008BF87C"/>
    <w:rsid w:val="008C1A72"/>
    <w:rsid w:val="008C1EEC"/>
    <w:rsid w:val="008C2068"/>
    <w:rsid w:val="008C39E6"/>
    <w:rsid w:val="008C4766"/>
    <w:rsid w:val="008C481D"/>
    <w:rsid w:val="008C4D5C"/>
    <w:rsid w:val="008C5251"/>
    <w:rsid w:val="008C5610"/>
    <w:rsid w:val="008C5739"/>
    <w:rsid w:val="008C6744"/>
    <w:rsid w:val="008C6BD7"/>
    <w:rsid w:val="008C6D0B"/>
    <w:rsid w:val="008C7497"/>
    <w:rsid w:val="008C7ECB"/>
    <w:rsid w:val="008D0AEB"/>
    <w:rsid w:val="008D1021"/>
    <w:rsid w:val="008D1C6D"/>
    <w:rsid w:val="008D1FAA"/>
    <w:rsid w:val="008D2655"/>
    <w:rsid w:val="008D381B"/>
    <w:rsid w:val="008D3B86"/>
    <w:rsid w:val="008D4755"/>
    <w:rsid w:val="008D4B94"/>
    <w:rsid w:val="008D4C3D"/>
    <w:rsid w:val="008D5FD8"/>
    <w:rsid w:val="008D6075"/>
    <w:rsid w:val="008D66A9"/>
    <w:rsid w:val="008D743C"/>
    <w:rsid w:val="008E05C4"/>
    <w:rsid w:val="008E0C70"/>
    <w:rsid w:val="008E0D3C"/>
    <w:rsid w:val="008E1289"/>
    <w:rsid w:val="008E1B9E"/>
    <w:rsid w:val="008E236B"/>
    <w:rsid w:val="008E3AEE"/>
    <w:rsid w:val="008E4888"/>
    <w:rsid w:val="008E4A04"/>
    <w:rsid w:val="008E55AB"/>
    <w:rsid w:val="008E57DE"/>
    <w:rsid w:val="008E7634"/>
    <w:rsid w:val="008E7B65"/>
    <w:rsid w:val="008F0D5E"/>
    <w:rsid w:val="008F120A"/>
    <w:rsid w:val="008F14DB"/>
    <w:rsid w:val="008F27E0"/>
    <w:rsid w:val="008F3982"/>
    <w:rsid w:val="008F48EB"/>
    <w:rsid w:val="008F4F0B"/>
    <w:rsid w:val="008F57A1"/>
    <w:rsid w:val="00900BB5"/>
    <w:rsid w:val="00900D55"/>
    <w:rsid w:val="009011EB"/>
    <w:rsid w:val="0090196C"/>
    <w:rsid w:val="009046C4"/>
    <w:rsid w:val="009057F6"/>
    <w:rsid w:val="009062A5"/>
    <w:rsid w:val="00906E04"/>
    <w:rsid w:val="00906FB3"/>
    <w:rsid w:val="00907C50"/>
    <w:rsid w:val="00910458"/>
    <w:rsid w:val="00910FA7"/>
    <w:rsid w:val="00911272"/>
    <w:rsid w:val="00912BFF"/>
    <w:rsid w:val="00912EC0"/>
    <w:rsid w:val="009131C0"/>
    <w:rsid w:val="009135D6"/>
    <w:rsid w:val="00913E46"/>
    <w:rsid w:val="009144D0"/>
    <w:rsid w:val="009147CC"/>
    <w:rsid w:val="009147F0"/>
    <w:rsid w:val="00914B25"/>
    <w:rsid w:val="00914C77"/>
    <w:rsid w:val="00916372"/>
    <w:rsid w:val="0091711A"/>
    <w:rsid w:val="00917587"/>
    <w:rsid w:val="00917F6E"/>
    <w:rsid w:val="00921ACB"/>
    <w:rsid w:val="00922C81"/>
    <w:rsid w:val="00923030"/>
    <w:rsid w:val="0092369B"/>
    <w:rsid w:val="00924067"/>
    <w:rsid w:val="00924B77"/>
    <w:rsid w:val="00925335"/>
    <w:rsid w:val="00926589"/>
    <w:rsid w:val="00927DEF"/>
    <w:rsid w:val="00930313"/>
    <w:rsid w:val="009320DB"/>
    <w:rsid w:val="0093301D"/>
    <w:rsid w:val="0093459F"/>
    <w:rsid w:val="00934988"/>
    <w:rsid w:val="00937089"/>
    <w:rsid w:val="00937200"/>
    <w:rsid w:val="009372CD"/>
    <w:rsid w:val="009378B9"/>
    <w:rsid w:val="00937D26"/>
    <w:rsid w:val="00937DEB"/>
    <w:rsid w:val="00941453"/>
    <w:rsid w:val="00942E93"/>
    <w:rsid w:val="00943116"/>
    <w:rsid w:val="009436CA"/>
    <w:rsid w:val="00943D29"/>
    <w:rsid w:val="0094461A"/>
    <w:rsid w:val="00944F8A"/>
    <w:rsid w:val="009456D5"/>
    <w:rsid w:val="00945CB9"/>
    <w:rsid w:val="00946E21"/>
    <w:rsid w:val="009510A2"/>
    <w:rsid w:val="009516C0"/>
    <w:rsid w:val="00953257"/>
    <w:rsid w:val="009543E3"/>
    <w:rsid w:val="0095474C"/>
    <w:rsid w:val="00955A3E"/>
    <w:rsid w:val="00955C21"/>
    <w:rsid w:val="00955C8D"/>
    <w:rsid w:val="00956487"/>
    <w:rsid w:val="0095694C"/>
    <w:rsid w:val="00956B7A"/>
    <w:rsid w:val="0096015D"/>
    <w:rsid w:val="00960339"/>
    <w:rsid w:val="009604E7"/>
    <w:rsid w:val="0096124B"/>
    <w:rsid w:val="00961BF0"/>
    <w:rsid w:val="00962CB9"/>
    <w:rsid w:val="00964312"/>
    <w:rsid w:val="00964D73"/>
    <w:rsid w:val="009652B0"/>
    <w:rsid w:val="00965B8A"/>
    <w:rsid w:val="00965BE5"/>
    <w:rsid w:val="00966C12"/>
    <w:rsid w:val="00967DC4"/>
    <w:rsid w:val="0096837A"/>
    <w:rsid w:val="0096BA10"/>
    <w:rsid w:val="0097071F"/>
    <w:rsid w:val="009717AC"/>
    <w:rsid w:val="00973097"/>
    <w:rsid w:val="0097458B"/>
    <w:rsid w:val="009751C1"/>
    <w:rsid w:val="009755D2"/>
    <w:rsid w:val="009757B1"/>
    <w:rsid w:val="00975BA4"/>
    <w:rsid w:val="00975E43"/>
    <w:rsid w:val="00977C61"/>
    <w:rsid w:val="009811F1"/>
    <w:rsid w:val="00981476"/>
    <w:rsid w:val="00981678"/>
    <w:rsid w:val="00981731"/>
    <w:rsid w:val="00981F82"/>
    <w:rsid w:val="00982065"/>
    <w:rsid w:val="00982B13"/>
    <w:rsid w:val="00983E57"/>
    <w:rsid w:val="00983EA0"/>
    <w:rsid w:val="00984F98"/>
    <w:rsid w:val="00985DE2"/>
    <w:rsid w:val="00986643"/>
    <w:rsid w:val="0098675D"/>
    <w:rsid w:val="00990CFC"/>
    <w:rsid w:val="00991372"/>
    <w:rsid w:val="009926E0"/>
    <w:rsid w:val="00992BC1"/>
    <w:rsid w:val="009933FA"/>
    <w:rsid w:val="00993EB6"/>
    <w:rsid w:val="00993EDD"/>
    <w:rsid w:val="00993F59"/>
    <w:rsid w:val="0099451E"/>
    <w:rsid w:val="00996A48"/>
    <w:rsid w:val="00996B1A"/>
    <w:rsid w:val="00997749"/>
    <w:rsid w:val="009A067A"/>
    <w:rsid w:val="009A1D66"/>
    <w:rsid w:val="009A2DCC"/>
    <w:rsid w:val="009A4A6C"/>
    <w:rsid w:val="009A5ABC"/>
    <w:rsid w:val="009A7F10"/>
    <w:rsid w:val="009B08FC"/>
    <w:rsid w:val="009B32BC"/>
    <w:rsid w:val="009B3E26"/>
    <w:rsid w:val="009B3F0F"/>
    <w:rsid w:val="009B4C11"/>
    <w:rsid w:val="009B4CC5"/>
    <w:rsid w:val="009B619C"/>
    <w:rsid w:val="009B694B"/>
    <w:rsid w:val="009C0179"/>
    <w:rsid w:val="009C1225"/>
    <w:rsid w:val="009C157A"/>
    <w:rsid w:val="009C1EA4"/>
    <w:rsid w:val="009C22BF"/>
    <w:rsid w:val="009C285D"/>
    <w:rsid w:val="009C34C9"/>
    <w:rsid w:val="009C3706"/>
    <w:rsid w:val="009C3A3A"/>
    <w:rsid w:val="009C4134"/>
    <w:rsid w:val="009C52DB"/>
    <w:rsid w:val="009C5D48"/>
    <w:rsid w:val="009C6137"/>
    <w:rsid w:val="009C6CEA"/>
    <w:rsid w:val="009C7642"/>
    <w:rsid w:val="009C7B85"/>
    <w:rsid w:val="009D0254"/>
    <w:rsid w:val="009D067A"/>
    <w:rsid w:val="009D0917"/>
    <w:rsid w:val="009D1A64"/>
    <w:rsid w:val="009D1FE6"/>
    <w:rsid w:val="009D2337"/>
    <w:rsid w:val="009D2393"/>
    <w:rsid w:val="009D2D12"/>
    <w:rsid w:val="009D3E26"/>
    <w:rsid w:val="009D4CD3"/>
    <w:rsid w:val="009D5B91"/>
    <w:rsid w:val="009D792E"/>
    <w:rsid w:val="009D79AC"/>
    <w:rsid w:val="009E0425"/>
    <w:rsid w:val="009E0DFE"/>
    <w:rsid w:val="009E1847"/>
    <w:rsid w:val="009E1FED"/>
    <w:rsid w:val="009E2FE0"/>
    <w:rsid w:val="009E31F6"/>
    <w:rsid w:val="009E3442"/>
    <w:rsid w:val="009E4C07"/>
    <w:rsid w:val="009E6993"/>
    <w:rsid w:val="009F0245"/>
    <w:rsid w:val="009F0FF1"/>
    <w:rsid w:val="009F2A69"/>
    <w:rsid w:val="009F436E"/>
    <w:rsid w:val="009F5F02"/>
    <w:rsid w:val="009F7C2B"/>
    <w:rsid w:val="00A01184"/>
    <w:rsid w:val="00A014AD"/>
    <w:rsid w:val="00A02A6E"/>
    <w:rsid w:val="00A037C2"/>
    <w:rsid w:val="00A03D43"/>
    <w:rsid w:val="00A04286"/>
    <w:rsid w:val="00A04380"/>
    <w:rsid w:val="00A05365"/>
    <w:rsid w:val="00A05472"/>
    <w:rsid w:val="00A0597C"/>
    <w:rsid w:val="00A05A19"/>
    <w:rsid w:val="00A05C32"/>
    <w:rsid w:val="00A0653F"/>
    <w:rsid w:val="00A06694"/>
    <w:rsid w:val="00A076F5"/>
    <w:rsid w:val="00A1057D"/>
    <w:rsid w:val="00A118A0"/>
    <w:rsid w:val="00A11CD0"/>
    <w:rsid w:val="00A11FEE"/>
    <w:rsid w:val="00A13948"/>
    <w:rsid w:val="00A1555B"/>
    <w:rsid w:val="00A155C5"/>
    <w:rsid w:val="00A155D6"/>
    <w:rsid w:val="00A157E2"/>
    <w:rsid w:val="00A16AD8"/>
    <w:rsid w:val="00A17B59"/>
    <w:rsid w:val="00A20FAA"/>
    <w:rsid w:val="00A2176F"/>
    <w:rsid w:val="00A21C95"/>
    <w:rsid w:val="00A21CF3"/>
    <w:rsid w:val="00A23458"/>
    <w:rsid w:val="00A24362"/>
    <w:rsid w:val="00A24813"/>
    <w:rsid w:val="00A24CA9"/>
    <w:rsid w:val="00A25CDC"/>
    <w:rsid w:val="00A266F7"/>
    <w:rsid w:val="00A27797"/>
    <w:rsid w:val="00A27AEC"/>
    <w:rsid w:val="00A31018"/>
    <w:rsid w:val="00A314F3"/>
    <w:rsid w:val="00A320DB"/>
    <w:rsid w:val="00A33ECB"/>
    <w:rsid w:val="00A34148"/>
    <w:rsid w:val="00A34D84"/>
    <w:rsid w:val="00A35111"/>
    <w:rsid w:val="00A351A5"/>
    <w:rsid w:val="00A352AF"/>
    <w:rsid w:val="00A35D16"/>
    <w:rsid w:val="00A373AC"/>
    <w:rsid w:val="00A37BCD"/>
    <w:rsid w:val="00A37E8E"/>
    <w:rsid w:val="00A4003D"/>
    <w:rsid w:val="00A41689"/>
    <w:rsid w:val="00A41E7C"/>
    <w:rsid w:val="00A42592"/>
    <w:rsid w:val="00A42676"/>
    <w:rsid w:val="00A42846"/>
    <w:rsid w:val="00A42C86"/>
    <w:rsid w:val="00A43C59"/>
    <w:rsid w:val="00A45F64"/>
    <w:rsid w:val="00A4647E"/>
    <w:rsid w:val="00A46A70"/>
    <w:rsid w:val="00A47B92"/>
    <w:rsid w:val="00A47EAF"/>
    <w:rsid w:val="00A50ECD"/>
    <w:rsid w:val="00A518F3"/>
    <w:rsid w:val="00A51992"/>
    <w:rsid w:val="00A52729"/>
    <w:rsid w:val="00A53675"/>
    <w:rsid w:val="00A542C8"/>
    <w:rsid w:val="00A5581D"/>
    <w:rsid w:val="00A55A77"/>
    <w:rsid w:val="00A562E8"/>
    <w:rsid w:val="00A564D7"/>
    <w:rsid w:val="00A56B6A"/>
    <w:rsid w:val="00A57878"/>
    <w:rsid w:val="00A578DC"/>
    <w:rsid w:val="00A60B5B"/>
    <w:rsid w:val="00A62465"/>
    <w:rsid w:val="00A62823"/>
    <w:rsid w:val="00A62DD9"/>
    <w:rsid w:val="00A640E2"/>
    <w:rsid w:val="00A64D65"/>
    <w:rsid w:val="00A65C68"/>
    <w:rsid w:val="00A66217"/>
    <w:rsid w:val="00A6636F"/>
    <w:rsid w:val="00A66423"/>
    <w:rsid w:val="00A667BF"/>
    <w:rsid w:val="00A667CF"/>
    <w:rsid w:val="00A6725B"/>
    <w:rsid w:val="00A70605"/>
    <w:rsid w:val="00A710F7"/>
    <w:rsid w:val="00A73134"/>
    <w:rsid w:val="00A743EF"/>
    <w:rsid w:val="00A76001"/>
    <w:rsid w:val="00A7629D"/>
    <w:rsid w:val="00A766C8"/>
    <w:rsid w:val="00A777B2"/>
    <w:rsid w:val="00A77C2C"/>
    <w:rsid w:val="00A80E58"/>
    <w:rsid w:val="00A811BC"/>
    <w:rsid w:val="00A825D4"/>
    <w:rsid w:val="00A828F6"/>
    <w:rsid w:val="00A82B73"/>
    <w:rsid w:val="00A82B82"/>
    <w:rsid w:val="00A840FC"/>
    <w:rsid w:val="00A85B2D"/>
    <w:rsid w:val="00A85D1B"/>
    <w:rsid w:val="00A8625D"/>
    <w:rsid w:val="00A8669D"/>
    <w:rsid w:val="00A86739"/>
    <w:rsid w:val="00A86E8B"/>
    <w:rsid w:val="00A8701C"/>
    <w:rsid w:val="00A87164"/>
    <w:rsid w:val="00A9040C"/>
    <w:rsid w:val="00A91D74"/>
    <w:rsid w:val="00A91D94"/>
    <w:rsid w:val="00A91F56"/>
    <w:rsid w:val="00A92A8E"/>
    <w:rsid w:val="00A93072"/>
    <w:rsid w:val="00A931B7"/>
    <w:rsid w:val="00A938BD"/>
    <w:rsid w:val="00A93953"/>
    <w:rsid w:val="00A93D57"/>
    <w:rsid w:val="00A959D8"/>
    <w:rsid w:val="00A96266"/>
    <w:rsid w:val="00A967B5"/>
    <w:rsid w:val="00A97180"/>
    <w:rsid w:val="00A97664"/>
    <w:rsid w:val="00AA113D"/>
    <w:rsid w:val="00AA29E6"/>
    <w:rsid w:val="00AA3873"/>
    <w:rsid w:val="00AA43BF"/>
    <w:rsid w:val="00AA4814"/>
    <w:rsid w:val="00AA4A07"/>
    <w:rsid w:val="00AA60DE"/>
    <w:rsid w:val="00AA6204"/>
    <w:rsid w:val="00AA653F"/>
    <w:rsid w:val="00AA6BD5"/>
    <w:rsid w:val="00AA6BD8"/>
    <w:rsid w:val="00AA6C7D"/>
    <w:rsid w:val="00AA7556"/>
    <w:rsid w:val="00AA7FD6"/>
    <w:rsid w:val="00AA7FF9"/>
    <w:rsid w:val="00AB042A"/>
    <w:rsid w:val="00AB1928"/>
    <w:rsid w:val="00AB19EF"/>
    <w:rsid w:val="00AB2411"/>
    <w:rsid w:val="00AB2D34"/>
    <w:rsid w:val="00AB3430"/>
    <w:rsid w:val="00AB37B9"/>
    <w:rsid w:val="00AB4277"/>
    <w:rsid w:val="00AB4954"/>
    <w:rsid w:val="00AB4AD1"/>
    <w:rsid w:val="00AB5E07"/>
    <w:rsid w:val="00AB6385"/>
    <w:rsid w:val="00AB70BF"/>
    <w:rsid w:val="00AB7350"/>
    <w:rsid w:val="00AB7CFA"/>
    <w:rsid w:val="00AC1CFB"/>
    <w:rsid w:val="00AC25F6"/>
    <w:rsid w:val="00AC4D62"/>
    <w:rsid w:val="00AC5B48"/>
    <w:rsid w:val="00AC6333"/>
    <w:rsid w:val="00AC6D1E"/>
    <w:rsid w:val="00AD062A"/>
    <w:rsid w:val="00AD1450"/>
    <w:rsid w:val="00AD2DF8"/>
    <w:rsid w:val="00AD369E"/>
    <w:rsid w:val="00AD6502"/>
    <w:rsid w:val="00AD7CBF"/>
    <w:rsid w:val="00ADFF9E"/>
    <w:rsid w:val="00AE0510"/>
    <w:rsid w:val="00AE0695"/>
    <w:rsid w:val="00AE08E6"/>
    <w:rsid w:val="00AE0A2C"/>
    <w:rsid w:val="00AE37BC"/>
    <w:rsid w:val="00AE3E7E"/>
    <w:rsid w:val="00AE425D"/>
    <w:rsid w:val="00AE5216"/>
    <w:rsid w:val="00AE55A5"/>
    <w:rsid w:val="00AE63F4"/>
    <w:rsid w:val="00AE6E6B"/>
    <w:rsid w:val="00AF1315"/>
    <w:rsid w:val="00AF19BF"/>
    <w:rsid w:val="00AF1EC7"/>
    <w:rsid w:val="00AF2DC3"/>
    <w:rsid w:val="00AF3572"/>
    <w:rsid w:val="00AF4050"/>
    <w:rsid w:val="00AF4787"/>
    <w:rsid w:val="00AF4FBD"/>
    <w:rsid w:val="00AF62E0"/>
    <w:rsid w:val="00AF64CD"/>
    <w:rsid w:val="00AF651C"/>
    <w:rsid w:val="00AF695C"/>
    <w:rsid w:val="00AF6A93"/>
    <w:rsid w:val="00B02C99"/>
    <w:rsid w:val="00B033E5"/>
    <w:rsid w:val="00B0379F"/>
    <w:rsid w:val="00B03A63"/>
    <w:rsid w:val="00B0572F"/>
    <w:rsid w:val="00B06533"/>
    <w:rsid w:val="00B11138"/>
    <w:rsid w:val="00B11DFB"/>
    <w:rsid w:val="00B11F5C"/>
    <w:rsid w:val="00B1283D"/>
    <w:rsid w:val="00B133CC"/>
    <w:rsid w:val="00B134A8"/>
    <w:rsid w:val="00B13874"/>
    <w:rsid w:val="00B15247"/>
    <w:rsid w:val="00B163B4"/>
    <w:rsid w:val="00B16768"/>
    <w:rsid w:val="00B16BB8"/>
    <w:rsid w:val="00B1762E"/>
    <w:rsid w:val="00B201A4"/>
    <w:rsid w:val="00B201D1"/>
    <w:rsid w:val="00B203CD"/>
    <w:rsid w:val="00B20E67"/>
    <w:rsid w:val="00B213A6"/>
    <w:rsid w:val="00B22085"/>
    <w:rsid w:val="00B22845"/>
    <w:rsid w:val="00B235B0"/>
    <w:rsid w:val="00B23D21"/>
    <w:rsid w:val="00B24DDA"/>
    <w:rsid w:val="00B24DF6"/>
    <w:rsid w:val="00B25E22"/>
    <w:rsid w:val="00B2728C"/>
    <w:rsid w:val="00B27E80"/>
    <w:rsid w:val="00B3224E"/>
    <w:rsid w:val="00B333B5"/>
    <w:rsid w:val="00B3360A"/>
    <w:rsid w:val="00B33C6A"/>
    <w:rsid w:val="00B34886"/>
    <w:rsid w:val="00B348DB"/>
    <w:rsid w:val="00B34FE2"/>
    <w:rsid w:val="00B35040"/>
    <w:rsid w:val="00B35163"/>
    <w:rsid w:val="00B35166"/>
    <w:rsid w:val="00B357D8"/>
    <w:rsid w:val="00B360F4"/>
    <w:rsid w:val="00B36A00"/>
    <w:rsid w:val="00B37BFC"/>
    <w:rsid w:val="00B37D1F"/>
    <w:rsid w:val="00B401ED"/>
    <w:rsid w:val="00B40358"/>
    <w:rsid w:val="00B41614"/>
    <w:rsid w:val="00B41A05"/>
    <w:rsid w:val="00B42851"/>
    <w:rsid w:val="00B42F80"/>
    <w:rsid w:val="00B435CB"/>
    <w:rsid w:val="00B45475"/>
    <w:rsid w:val="00B45680"/>
    <w:rsid w:val="00B4597B"/>
    <w:rsid w:val="00B4600F"/>
    <w:rsid w:val="00B464E7"/>
    <w:rsid w:val="00B4654B"/>
    <w:rsid w:val="00B47D4C"/>
    <w:rsid w:val="00B47DC1"/>
    <w:rsid w:val="00B47FC3"/>
    <w:rsid w:val="00B50286"/>
    <w:rsid w:val="00B5056B"/>
    <w:rsid w:val="00B505C8"/>
    <w:rsid w:val="00B505F3"/>
    <w:rsid w:val="00B50996"/>
    <w:rsid w:val="00B50DB8"/>
    <w:rsid w:val="00B519C0"/>
    <w:rsid w:val="00B5246A"/>
    <w:rsid w:val="00B53654"/>
    <w:rsid w:val="00B53905"/>
    <w:rsid w:val="00B543D8"/>
    <w:rsid w:val="00B54554"/>
    <w:rsid w:val="00B54B5B"/>
    <w:rsid w:val="00B5562E"/>
    <w:rsid w:val="00B55D65"/>
    <w:rsid w:val="00B56AB0"/>
    <w:rsid w:val="00B56B4B"/>
    <w:rsid w:val="00B57000"/>
    <w:rsid w:val="00B60183"/>
    <w:rsid w:val="00B60726"/>
    <w:rsid w:val="00B60939"/>
    <w:rsid w:val="00B60AFD"/>
    <w:rsid w:val="00B62715"/>
    <w:rsid w:val="00B62AC1"/>
    <w:rsid w:val="00B65611"/>
    <w:rsid w:val="00B656C4"/>
    <w:rsid w:val="00B65D75"/>
    <w:rsid w:val="00B65F93"/>
    <w:rsid w:val="00B6783D"/>
    <w:rsid w:val="00B67C81"/>
    <w:rsid w:val="00B7001E"/>
    <w:rsid w:val="00B7043D"/>
    <w:rsid w:val="00B70C2F"/>
    <w:rsid w:val="00B70E8E"/>
    <w:rsid w:val="00B7130E"/>
    <w:rsid w:val="00B715DA"/>
    <w:rsid w:val="00B717DE"/>
    <w:rsid w:val="00B724EC"/>
    <w:rsid w:val="00B7299F"/>
    <w:rsid w:val="00B72FAE"/>
    <w:rsid w:val="00B7547E"/>
    <w:rsid w:val="00B768BC"/>
    <w:rsid w:val="00B76C92"/>
    <w:rsid w:val="00B77C32"/>
    <w:rsid w:val="00B818A4"/>
    <w:rsid w:val="00B82251"/>
    <w:rsid w:val="00B82A10"/>
    <w:rsid w:val="00B832DD"/>
    <w:rsid w:val="00B83DA0"/>
    <w:rsid w:val="00B84117"/>
    <w:rsid w:val="00B84736"/>
    <w:rsid w:val="00B858F0"/>
    <w:rsid w:val="00B85AA2"/>
    <w:rsid w:val="00B85B34"/>
    <w:rsid w:val="00B85C34"/>
    <w:rsid w:val="00B8649C"/>
    <w:rsid w:val="00B8695D"/>
    <w:rsid w:val="00B87F0A"/>
    <w:rsid w:val="00B90AB7"/>
    <w:rsid w:val="00B912DE"/>
    <w:rsid w:val="00B923CB"/>
    <w:rsid w:val="00B92D0B"/>
    <w:rsid w:val="00B93396"/>
    <w:rsid w:val="00B93F17"/>
    <w:rsid w:val="00B93F87"/>
    <w:rsid w:val="00B94945"/>
    <w:rsid w:val="00B94DD6"/>
    <w:rsid w:val="00B95205"/>
    <w:rsid w:val="00B95C49"/>
    <w:rsid w:val="00B97E75"/>
    <w:rsid w:val="00BA1F93"/>
    <w:rsid w:val="00BA322D"/>
    <w:rsid w:val="00BA3276"/>
    <w:rsid w:val="00BA3F67"/>
    <w:rsid w:val="00BA44A8"/>
    <w:rsid w:val="00BA5649"/>
    <w:rsid w:val="00BA6002"/>
    <w:rsid w:val="00BA63FA"/>
    <w:rsid w:val="00BA6BEB"/>
    <w:rsid w:val="00BA707A"/>
    <w:rsid w:val="00BA7B71"/>
    <w:rsid w:val="00BA7CED"/>
    <w:rsid w:val="00BA7F31"/>
    <w:rsid w:val="00BB00B3"/>
    <w:rsid w:val="00BB0BDD"/>
    <w:rsid w:val="00BB0DD3"/>
    <w:rsid w:val="00BB176C"/>
    <w:rsid w:val="00BB1788"/>
    <w:rsid w:val="00BB194D"/>
    <w:rsid w:val="00BB2946"/>
    <w:rsid w:val="00BB2A73"/>
    <w:rsid w:val="00BB37F2"/>
    <w:rsid w:val="00BB3A45"/>
    <w:rsid w:val="00BB4ACC"/>
    <w:rsid w:val="00BB60F7"/>
    <w:rsid w:val="00BB703E"/>
    <w:rsid w:val="00BB732D"/>
    <w:rsid w:val="00BB7405"/>
    <w:rsid w:val="00BC0CDC"/>
    <w:rsid w:val="00BC17AD"/>
    <w:rsid w:val="00BC1DFF"/>
    <w:rsid w:val="00BC297D"/>
    <w:rsid w:val="00BC300A"/>
    <w:rsid w:val="00BC3631"/>
    <w:rsid w:val="00BC3BC6"/>
    <w:rsid w:val="00BC591F"/>
    <w:rsid w:val="00BC59CA"/>
    <w:rsid w:val="00BC5DE1"/>
    <w:rsid w:val="00BC733A"/>
    <w:rsid w:val="00BC7D6D"/>
    <w:rsid w:val="00BD133D"/>
    <w:rsid w:val="00BD2108"/>
    <w:rsid w:val="00BD2BFD"/>
    <w:rsid w:val="00BD5096"/>
    <w:rsid w:val="00BD68A3"/>
    <w:rsid w:val="00BD6938"/>
    <w:rsid w:val="00BD6CF3"/>
    <w:rsid w:val="00BD6F99"/>
    <w:rsid w:val="00BE0ECA"/>
    <w:rsid w:val="00BE16F5"/>
    <w:rsid w:val="00BE1C9B"/>
    <w:rsid w:val="00BE1FCF"/>
    <w:rsid w:val="00BE2180"/>
    <w:rsid w:val="00BE21F2"/>
    <w:rsid w:val="00BE25A1"/>
    <w:rsid w:val="00BE3B0E"/>
    <w:rsid w:val="00BE4275"/>
    <w:rsid w:val="00BE4B0A"/>
    <w:rsid w:val="00BE688F"/>
    <w:rsid w:val="00BE7384"/>
    <w:rsid w:val="00BF06AE"/>
    <w:rsid w:val="00BF0F95"/>
    <w:rsid w:val="00BF22A6"/>
    <w:rsid w:val="00BF2433"/>
    <w:rsid w:val="00BF2859"/>
    <w:rsid w:val="00BF2889"/>
    <w:rsid w:val="00BF349C"/>
    <w:rsid w:val="00BF3D92"/>
    <w:rsid w:val="00BF4890"/>
    <w:rsid w:val="00BF4B17"/>
    <w:rsid w:val="00BF4F7A"/>
    <w:rsid w:val="00BF5A15"/>
    <w:rsid w:val="00BF61C9"/>
    <w:rsid w:val="00BF61DA"/>
    <w:rsid w:val="00BF6905"/>
    <w:rsid w:val="00BF6C94"/>
    <w:rsid w:val="00BF7955"/>
    <w:rsid w:val="00C00424"/>
    <w:rsid w:val="00C0367B"/>
    <w:rsid w:val="00C03BF4"/>
    <w:rsid w:val="00C0596C"/>
    <w:rsid w:val="00C05EFB"/>
    <w:rsid w:val="00C05F2E"/>
    <w:rsid w:val="00C07728"/>
    <w:rsid w:val="00C1179F"/>
    <w:rsid w:val="00C11B51"/>
    <w:rsid w:val="00C11C4B"/>
    <w:rsid w:val="00C12652"/>
    <w:rsid w:val="00C12C14"/>
    <w:rsid w:val="00C12C82"/>
    <w:rsid w:val="00C12E76"/>
    <w:rsid w:val="00C140BD"/>
    <w:rsid w:val="00C1521C"/>
    <w:rsid w:val="00C15BC8"/>
    <w:rsid w:val="00C15DD7"/>
    <w:rsid w:val="00C15F04"/>
    <w:rsid w:val="00C16BA4"/>
    <w:rsid w:val="00C179B3"/>
    <w:rsid w:val="00C17E3F"/>
    <w:rsid w:val="00C17EEF"/>
    <w:rsid w:val="00C200AA"/>
    <w:rsid w:val="00C2048C"/>
    <w:rsid w:val="00C20B08"/>
    <w:rsid w:val="00C216C4"/>
    <w:rsid w:val="00C21B9E"/>
    <w:rsid w:val="00C237ED"/>
    <w:rsid w:val="00C24632"/>
    <w:rsid w:val="00C24949"/>
    <w:rsid w:val="00C25418"/>
    <w:rsid w:val="00C25D9C"/>
    <w:rsid w:val="00C2778B"/>
    <w:rsid w:val="00C3137C"/>
    <w:rsid w:val="00C31649"/>
    <w:rsid w:val="00C328C2"/>
    <w:rsid w:val="00C3434C"/>
    <w:rsid w:val="00C35217"/>
    <w:rsid w:val="00C35977"/>
    <w:rsid w:val="00C40385"/>
    <w:rsid w:val="00C406FC"/>
    <w:rsid w:val="00C40A1C"/>
    <w:rsid w:val="00C415E8"/>
    <w:rsid w:val="00C41662"/>
    <w:rsid w:val="00C41768"/>
    <w:rsid w:val="00C4307C"/>
    <w:rsid w:val="00C46288"/>
    <w:rsid w:val="00C475AA"/>
    <w:rsid w:val="00C4786C"/>
    <w:rsid w:val="00C50C1A"/>
    <w:rsid w:val="00C50F61"/>
    <w:rsid w:val="00C5125B"/>
    <w:rsid w:val="00C53054"/>
    <w:rsid w:val="00C53105"/>
    <w:rsid w:val="00C53C98"/>
    <w:rsid w:val="00C5486E"/>
    <w:rsid w:val="00C54A7B"/>
    <w:rsid w:val="00C5569F"/>
    <w:rsid w:val="00C55CD6"/>
    <w:rsid w:val="00C567C4"/>
    <w:rsid w:val="00C56FCF"/>
    <w:rsid w:val="00C5732F"/>
    <w:rsid w:val="00C57502"/>
    <w:rsid w:val="00C57B6C"/>
    <w:rsid w:val="00C61192"/>
    <w:rsid w:val="00C61FA1"/>
    <w:rsid w:val="00C628A6"/>
    <w:rsid w:val="00C63053"/>
    <w:rsid w:val="00C64344"/>
    <w:rsid w:val="00C646ED"/>
    <w:rsid w:val="00C64ADD"/>
    <w:rsid w:val="00C65108"/>
    <w:rsid w:val="00C65576"/>
    <w:rsid w:val="00C66165"/>
    <w:rsid w:val="00C66309"/>
    <w:rsid w:val="00C67233"/>
    <w:rsid w:val="00C67DE1"/>
    <w:rsid w:val="00C7060A"/>
    <w:rsid w:val="00C7151A"/>
    <w:rsid w:val="00C717E3"/>
    <w:rsid w:val="00C71F60"/>
    <w:rsid w:val="00C72241"/>
    <w:rsid w:val="00C738AE"/>
    <w:rsid w:val="00C743B5"/>
    <w:rsid w:val="00C750C8"/>
    <w:rsid w:val="00C7560F"/>
    <w:rsid w:val="00C7638B"/>
    <w:rsid w:val="00C7692E"/>
    <w:rsid w:val="00C76D34"/>
    <w:rsid w:val="00C771F7"/>
    <w:rsid w:val="00C77229"/>
    <w:rsid w:val="00C80A0E"/>
    <w:rsid w:val="00C80CB9"/>
    <w:rsid w:val="00C8213F"/>
    <w:rsid w:val="00C824B3"/>
    <w:rsid w:val="00C85154"/>
    <w:rsid w:val="00C85F0E"/>
    <w:rsid w:val="00C87801"/>
    <w:rsid w:val="00C8797A"/>
    <w:rsid w:val="00C900B8"/>
    <w:rsid w:val="00C902D8"/>
    <w:rsid w:val="00C90C71"/>
    <w:rsid w:val="00C90DB9"/>
    <w:rsid w:val="00C91FD1"/>
    <w:rsid w:val="00C92049"/>
    <w:rsid w:val="00C92B94"/>
    <w:rsid w:val="00C92B9C"/>
    <w:rsid w:val="00C931CF"/>
    <w:rsid w:val="00C9357B"/>
    <w:rsid w:val="00C93632"/>
    <w:rsid w:val="00C938CF"/>
    <w:rsid w:val="00C93F07"/>
    <w:rsid w:val="00C94053"/>
    <w:rsid w:val="00C94534"/>
    <w:rsid w:val="00C948B1"/>
    <w:rsid w:val="00C949CC"/>
    <w:rsid w:val="00C957A3"/>
    <w:rsid w:val="00C95C6F"/>
    <w:rsid w:val="00C9624D"/>
    <w:rsid w:val="00C969DA"/>
    <w:rsid w:val="00CA0D48"/>
    <w:rsid w:val="00CA17F4"/>
    <w:rsid w:val="00CA2C77"/>
    <w:rsid w:val="00CA30A0"/>
    <w:rsid w:val="00CA341F"/>
    <w:rsid w:val="00CA444F"/>
    <w:rsid w:val="00CA4856"/>
    <w:rsid w:val="00CA5245"/>
    <w:rsid w:val="00CA5844"/>
    <w:rsid w:val="00CA59C2"/>
    <w:rsid w:val="00CA6CEE"/>
    <w:rsid w:val="00CA71F4"/>
    <w:rsid w:val="00CA7B09"/>
    <w:rsid w:val="00CB12A5"/>
    <w:rsid w:val="00CB14FB"/>
    <w:rsid w:val="00CB1CAC"/>
    <w:rsid w:val="00CB1D62"/>
    <w:rsid w:val="00CB2DD3"/>
    <w:rsid w:val="00CB2F2A"/>
    <w:rsid w:val="00CB318F"/>
    <w:rsid w:val="00CB4560"/>
    <w:rsid w:val="00CB50F9"/>
    <w:rsid w:val="00CB572E"/>
    <w:rsid w:val="00CB5971"/>
    <w:rsid w:val="00CB5B1A"/>
    <w:rsid w:val="00CB6395"/>
    <w:rsid w:val="00CB6B22"/>
    <w:rsid w:val="00CB7F5F"/>
    <w:rsid w:val="00CC06F4"/>
    <w:rsid w:val="00CC1B39"/>
    <w:rsid w:val="00CC35EA"/>
    <w:rsid w:val="00CC36DF"/>
    <w:rsid w:val="00CC3848"/>
    <w:rsid w:val="00CC3C60"/>
    <w:rsid w:val="00CC424F"/>
    <w:rsid w:val="00CC4D05"/>
    <w:rsid w:val="00CC7209"/>
    <w:rsid w:val="00CC7D2A"/>
    <w:rsid w:val="00CD167C"/>
    <w:rsid w:val="00CD177F"/>
    <w:rsid w:val="00CD1A7A"/>
    <w:rsid w:val="00CD1F0A"/>
    <w:rsid w:val="00CD1FCD"/>
    <w:rsid w:val="00CD3872"/>
    <w:rsid w:val="00CD3BBC"/>
    <w:rsid w:val="00CD3F77"/>
    <w:rsid w:val="00CD58F0"/>
    <w:rsid w:val="00CD653A"/>
    <w:rsid w:val="00CD6718"/>
    <w:rsid w:val="00CD6ADC"/>
    <w:rsid w:val="00CD7193"/>
    <w:rsid w:val="00CD7367"/>
    <w:rsid w:val="00CD7841"/>
    <w:rsid w:val="00CD7E16"/>
    <w:rsid w:val="00CE0DF5"/>
    <w:rsid w:val="00CE0FC3"/>
    <w:rsid w:val="00CE1123"/>
    <w:rsid w:val="00CE14FE"/>
    <w:rsid w:val="00CE1C3F"/>
    <w:rsid w:val="00CE23C7"/>
    <w:rsid w:val="00CE3351"/>
    <w:rsid w:val="00CE38C8"/>
    <w:rsid w:val="00CE41DF"/>
    <w:rsid w:val="00CE6108"/>
    <w:rsid w:val="00CE6274"/>
    <w:rsid w:val="00CE63D1"/>
    <w:rsid w:val="00CE77B6"/>
    <w:rsid w:val="00CF052E"/>
    <w:rsid w:val="00CF14ED"/>
    <w:rsid w:val="00CF16F7"/>
    <w:rsid w:val="00CF2A9B"/>
    <w:rsid w:val="00CF2B8D"/>
    <w:rsid w:val="00CF3967"/>
    <w:rsid w:val="00CF3A39"/>
    <w:rsid w:val="00CF43AC"/>
    <w:rsid w:val="00CF456B"/>
    <w:rsid w:val="00CF49CD"/>
    <w:rsid w:val="00CF5A22"/>
    <w:rsid w:val="00CF60EB"/>
    <w:rsid w:val="00CF636A"/>
    <w:rsid w:val="00CF74F9"/>
    <w:rsid w:val="00D0003E"/>
    <w:rsid w:val="00D00043"/>
    <w:rsid w:val="00D008BF"/>
    <w:rsid w:val="00D009F2"/>
    <w:rsid w:val="00D0262E"/>
    <w:rsid w:val="00D02FFF"/>
    <w:rsid w:val="00D03DFD"/>
    <w:rsid w:val="00D03FE6"/>
    <w:rsid w:val="00D04321"/>
    <w:rsid w:val="00D043D9"/>
    <w:rsid w:val="00D05E3D"/>
    <w:rsid w:val="00D06139"/>
    <w:rsid w:val="00D063FA"/>
    <w:rsid w:val="00D06D79"/>
    <w:rsid w:val="00D0FE1A"/>
    <w:rsid w:val="00D10999"/>
    <w:rsid w:val="00D10F02"/>
    <w:rsid w:val="00D110BD"/>
    <w:rsid w:val="00D131BE"/>
    <w:rsid w:val="00D13675"/>
    <w:rsid w:val="00D141E1"/>
    <w:rsid w:val="00D14482"/>
    <w:rsid w:val="00D14993"/>
    <w:rsid w:val="00D15314"/>
    <w:rsid w:val="00D16714"/>
    <w:rsid w:val="00D16A0B"/>
    <w:rsid w:val="00D17667"/>
    <w:rsid w:val="00D17D6C"/>
    <w:rsid w:val="00D1D2C4"/>
    <w:rsid w:val="00D1E4A2"/>
    <w:rsid w:val="00D2062C"/>
    <w:rsid w:val="00D20F05"/>
    <w:rsid w:val="00D2155B"/>
    <w:rsid w:val="00D2203C"/>
    <w:rsid w:val="00D22B6D"/>
    <w:rsid w:val="00D23D11"/>
    <w:rsid w:val="00D244B6"/>
    <w:rsid w:val="00D259E8"/>
    <w:rsid w:val="00D25CD5"/>
    <w:rsid w:val="00D26112"/>
    <w:rsid w:val="00D26F8A"/>
    <w:rsid w:val="00D2726F"/>
    <w:rsid w:val="00D274D6"/>
    <w:rsid w:val="00D2754D"/>
    <w:rsid w:val="00D27735"/>
    <w:rsid w:val="00D27B27"/>
    <w:rsid w:val="00D30781"/>
    <w:rsid w:val="00D30F60"/>
    <w:rsid w:val="00D31999"/>
    <w:rsid w:val="00D31F6F"/>
    <w:rsid w:val="00D32737"/>
    <w:rsid w:val="00D33BE9"/>
    <w:rsid w:val="00D33F93"/>
    <w:rsid w:val="00D34A1F"/>
    <w:rsid w:val="00D357FF"/>
    <w:rsid w:val="00D36B73"/>
    <w:rsid w:val="00D3C3A4"/>
    <w:rsid w:val="00D41CD1"/>
    <w:rsid w:val="00D424C7"/>
    <w:rsid w:val="00D425EC"/>
    <w:rsid w:val="00D42743"/>
    <w:rsid w:val="00D43713"/>
    <w:rsid w:val="00D43B2A"/>
    <w:rsid w:val="00D43C0D"/>
    <w:rsid w:val="00D43D83"/>
    <w:rsid w:val="00D4547D"/>
    <w:rsid w:val="00D45B9B"/>
    <w:rsid w:val="00D462F5"/>
    <w:rsid w:val="00D4746D"/>
    <w:rsid w:val="00D47575"/>
    <w:rsid w:val="00D5120D"/>
    <w:rsid w:val="00D51760"/>
    <w:rsid w:val="00D51DCA"/>
    <w:rsid w:val="00D51FF3"/>
    <w:rsid w:val="00D5243B"/>
    <w:rsid w:val="00D52EF1"/>
    <w:rsid w:val="00D53184"/>
    <w:rsid w:val="00D533EC"/>
    <w:rsid w:val="00D54294"/>
    <w:rsid w:val="00D54729"/>
    <w:rsid w:val="00D56054"/>
    <w:rsid w:val="00D56A95"/>
    <w:rsid w:val="00D62520"/>
    <w:rsid w:val="00D6308D"/>
    <w:rsid w:val="00D70569"/>
    <w:rsid w:val="00D705FD"/>
    <w:rsid w:val="00D70F16"/>
    <w:rsid w:val="00D7155E"/>
    <w:rsid w:val="00D72F57"/>
    <w:rsid w:val="00D73C43"/>
    <w:rsid w:val="00D73E3A"/>
    <w:rsid w:val="00D741C7"/>
    <w:rsid w:val="00D762AB"/>
    <w:rsid w:val="00D76A44"/>
    <w:rsid w:val="00D76DF4"/>
    <w:rsid w:val="00D81279"/>
    <w:rsid w:val="00D815EF"/>
    <w:rsid w:val="00D81A14"/>
    <w:rsid w:val="00D81F26"/>
    <w:rsid w:val="00D828D6"/>
    <w:rsid w:val="00D8293C"/>
    <w:rsid w:val="00D82AD0"/>
    <w:rsid w:val="00D83E57"/>
    <w:rsid w:val="00D84A50"/>
    <w:rsid w:val="00D86231"/>
    <w:rsid w:val="00D86A10"/>
    <w:rsid w:val="00D91463"/>
    <w:rsid w:val="00D91923"/>
    <w:rsid w:val="00D91A59"/>
    <w:rsid w:val="00D93753"/>
    <w:rsid w:val="00D94717"/>
    <w:rsid w:val="00D95452"/>
    <w:rsid w:val="00D9572D"/>
    <w:rsid w:val="00D95A9E"/>
    <w:rsid w:val="00D95C7C"/>
    <w:rsid w:val="00D963EE"/>
    <w:rsid w:val="00D9707D"/>
    <w:rsid w:val="00D97D29"/>
    <w:rsid w:val="00DA1465"/>
    <w:rsid w:val="00DA2A77"/>
    <w:rsid w:val="00DA3167"/>
    <w:rsid w:val="00DA332B"/>
    <w:rsid w:val="00DA4DC3"/>
    <w:rsid w:val="00DA551A"/>
    <w:rsid w:val="00DA55D4"/>
    <w:rsid w:val="00DA63C4"/>
    <w:rsid w:val="00DA6AE4"/>
    <w:rsid w:val="00DA7752"/>
    <w:rsid w:val="00DA77A5"/>
    <w:rsid w:val="00DA7FED"/>
    <w:rsid w:val="00DB0714"/>
    <w:rsid w:val="00DB0ADA"/>
    <w:rsid w:val="00DB11DC"/>
    <w:rsid w:val="00DB131F"/>
    <w:rsid w:val="00DB25B4"/>
    <w:rsid w:val="00DB2FCD"/>
    <w:rsid w:val="00DB3261"/>
    <w:rsid w:val="00DB37B7"/>
    <w:rsid w:val="00DB3960"/>
    <w:rsid w:val="00DB39AC"/>
    <w:rsid w:val="00DB3DBF"/>
    <w:rsid w:val="00DB413D"/>
    <w:rsid w:val="00DB484F"/>
    <w:rsid w:val="00DB5712"/>
    <w:rsid w:val="00DB5BE2"/>
    <w:rsid w:val="00DB65A6"/>
    <w:rsid w:val="00DC0451"/>
    <w:rsid w:val="00DC04F6"/>
    <w:rsid w:val="00DC0690"/>
    <w:rsid w:val="00DC1D65"/>
    <w:rsid w:val="00DC2D06"/>
    <w:rsid w:val="00DC32CF"/>
    <w:rsid w:val="00DC377A"/>
    <w:rsid w:val="00DC392A"/>
    <w:rsid w:val="00DC3C57"/>
    <w:rsid w:val="00DC46DE"/>
    <w:rsid w:val="00DC5501"/>
    <w:rsid w:val="00DC5EBD"/>
    <w:rsid w:val="00DC61D6"/>
    <w:rsid w:val="00DC7154"/>
    <w:rsid w:val="00DC7E8A"/>
    <w:rsid w:val="00DD0F78"/>
    <w:rsid w:val="00DD1F96"/>
    <w:rsid w:val="00DD273C"/>
    <w:rsid w:val="00DD3F28"/>
    <w:rsid w:val="00DD4537"/>
    <w:rsid w:val="00DD471C"/>
    <w:rsid w:val="00DD4E15"/>
    <w:rsid w:val="00DD5027"/>
    <w:rsid w:val="00DD7CD5"/>
    <w:rsid w:val="00DDB552"/>
    <w:rsid w:val="00DE1027"/>
    <w:rsid w:val="00DE2304"/>
    <w:rsid w:val="00DE3138"/>
    <w:rsid w:val="00DE37F8"/>
    <w:rsid w:val="00DE3C75"/>
    <w:rsid w:val="00DE411A"/>
    <w:rsid w:val="00DE4FCB"/>
    <w:rsid w:val="00DE5D07"/>
    <w:rsid w:val="00DE5DB0"/>
    <w:rsid w:val="00DE69A2"/>
    <w:rsid w:val="00DE72A7"/>
    <w:rsid w:val="00DE7832"/>
    <w:rsid w:val="00DE7F5F"/>
    <w:rsid w:val="00DF18FC"/>
    <w:rsid w:val="00DF3F5C"/>
    <w:rsid w:val="00DF479D"/>
    <w:rsid w:val="00DF4934"/>
    <w:rsid w:val="00DF4B92"/>
    <w:rsid w:val="00DF5D2B"/>
    <w:rsid w:val="00E00E8E"/>
    <w:rsid w:val="00E01EF6"/>
    <w:rsid w:val="00E028E9"/>
    <w:rsid w:val="00E050E0"/>
    <w:rsid w:val="00E0516D"/>
    <w:rsid w:val="00E05630"/>
    <w:rsid w:val="00E06AFC"/>
    <w:rsid w:val="00E06DBB"/>
    <w:rsid w:val="00E07A62"/>
    <w:rsid w:val="00E10149"/>
    <w:rsid w:val="00E11340"/>
    <w:rsid w:val="00E11BCA"/>
    <w:rsid w:val="00E11E4F"/>
    <w:rsid w:val="00E122A1"/>
    <w:rsid w:val="00E130E3"/>
    <w:rsid w:val="00E1493C"/>
    <w:rsid w:val="00E151ED"/>
    <w:rsid w:val="00E15B02"/>
    <w:rsid w:val="00E16372"/>
    <w:rsid w:val="00E16441"/>
    <w:rsid w:val="00E16DFB"/>
    <w:rsid w:val="00E17002"/>
    <w:rsid w:val="00E17EF2"/>
    <w:rsid w:val="00E201E5"/>
    <w:rsid w:val="00E20E4D"/>
    <w:rsid w:val="00E20ED6"/>
    <w:rsid w:val="00E21358"/>
    <w:rsid w:val="00E2249B"/>
    <w:rsid w:val="00E22A0D"/>
    <w:rsid w:val="00E22AF4"/>
    <w:rsid w:val="00E244F6"/>
    <w:rsid w:val="00E25897"/>
    <w:rsid w:val="00E259D6"/>
    <w:rsid w:val="00E2771E"/>
    <w:rsid w:val="00E27AF4"/>
    <w:rsid w:val="00E311EF"/>
    <w:rsid w:val="00E3125A"/>
    <w:rsid w:val="00E3183F"/>
    <w:rsid w:val="00E32180"/>
    <w:rsid w:val="00E32A70"/>
    <w:rsid w:val="00E33A61"/>
    <w:rsid w:val="00E33C7E"/>
    <w:rsid w:val="00E33D47"/>
    <w:rsid w:val="00E34786"/>
    <w:rsid w:val="00E34948"/>
    <w:rsid w:val="00E34AC5"/>
    <w:rsid w:val="00E36132"/>
    <w:rsid w:val="00E37547"/>
    <w:rsid w:val="00E37569"/>
    <w:rsid w:val="00E401B2"/>
    <w:rsid w:val="00E403AF"/>
    <w:rsid w:val="00E4082E"/>
    <w:rsid w:val="00E409E1"/>
    <w:rsid w:val="00E40D33"/>
    <w:rsid w:val="00E41B6B"/>
    <w:rsid w:val="00E41E30"/>
    <w:rsid w:val="00E42933"/>
    <w:rsid w:val="00E42CB8"/>
    <w:rsid w:val="00E42F73"/>
    <w:rsid w:val="00E437AF"/>
    <w:rsid w:val="00E43D70"/>
    <w:rsid w:val="00E45CEB"/>
    <w:rsid w:val="00E466F3"/>
    <w:rsid w:val="00E47B2C"/>
    <w:rsid w:val="00E50049"/>
    <w:rsid w:val="00E51560"/>
    <w:rsid w:val="00E53FC8"/>
    <w:rsid w:val="00E54347"/>
    <w:rsid w:val="00E5442B"/>
    <w:rsid w:val="00E55424"/>
    <w:rsid w:val="00E557B8"/>
    <w:rsid w:val="00E55915"/>
    <w:rsid w:val="00E55BB5"/>
    <w:rsid w:val="00E562F9"/>
    <w:rsid w:val="00E568CA"/>
    <w:rsid w:val="00E56F01"/>
    <w:rsid w:val="00E581CA"/>
    <w:rsid w:val="00E613C9"/>
    <w:rsid w:val="00E61D49"/>
    <w:rsid w:val="00E61E19"/>
    <w:rsid w:val="00E6294B"/>
    <w:rsid w:val="00E62BE8"/>
    <w:rsid w:val="00E63753"/>
    <w:rsid w:val="00E63B1F"/>
    <w:rsid w:val="00E653A1"/>
    <w:rsid w:val="00E65E79"/>
    <w:rsid w:val="00E66BA2"/>
    <w:rsid w:val="00E67416"/>
    <w:rsid w:val="00E70773"/>
    <w:rsid w:val="00E70F03"/>
    <w:rsid w:val="00E718B6"/>
    <w:rsid w:val="00E723BA"/>
    <w:rsid w:val="00E72DEA"/>
    <w:rsid w:val="00E72FC9"/>
    <w:rsid w:val="00E73581"/>
    <w:rsid w:val="00E73B33"/>
    <w:rsid w:val="00E73C39"/>
    <w:rsid w:val="00E74B4A"/>
    <w:rsid w:val="00E7783A"/>
    <w:rsid w:val="00E81A41"/>
    <w:rsid w:val="00E833F7"/>
    <w:rsid w:val="00E835BE"/>
    <w:rsid w:val="00E83BDF"/>
    <w:rsid w:val="00E84335"/>
    <w:rsid w:val="00E86820"/>
    <w:rsid w:val="00E86BA9"/>
    <w:rsid w:val="00E870CC"/>
    <w:rsid w:val="00E872C7"/>
    <w:rsid w:val="00E878DC"/>
    <w:rsid w:val="00E87A1D"/>
    <w:rsid w:val="00E87DF3"/>
    <w:rsid w:val="00E9027B"/>
    <w:rsid w:val="00E9094A"/>
    <w:rsid w:val="00E91950"/>
    <w:rsid w:val="00E91D35"/>
    <w:rsid w:val="00E91E55"/>
    <w:rsid w:val="00E923A9"/>
    <w:rsid w:val="00E924A3"/>
    <w:rsid w:val="00E926A5"/>
    <w:rsid w:val="00E92FD2"/>
    <w:rsid w:val="00E94609"/>
    <w:rsid w:val="00E95437"/>
    <w:rsid w:val="00E95936"/>
    <w:rsid w:val="00E95FD5"/>
    <w:rsid w:val="00E96D92"/>
    <w:rsid w:val="00EA0877"/>
    <w:rsid w:val="00EA17C3"/>
    <w:rsid w:val="00EA1CC5"/>
    <w:rsid w:val="00EA2BE3"/>
    <w:rsid w:val="00EA2C24"/>
    <w:rsid w:val="00EA2CAA"/>
    <w:rsid w:val="00EA3864"/>
    <w:rsid w:val="00EA3A86"/>
    <w:rsid w:val="00EA4E8D"/>
    <w:rsid w:val="00EA54AA"/>
    <w:rsid w:val="00EA55EA"/>
    <w:rsid w:val="00EA5ABB"/>
    <w:rsid w:val="00EA5CB4"/>
    <w:rsid w:val="00EA5E4E"/>
    <w:rsid w:val="00EA6679"/>
    <w:rsid w:val="00EA77B4"/>
    <w:rsid w:val="00EA7F1C"/>
    <w:rsid w:val="00EB15B6"/>
    <w:rsid w:val="00EB1B63"/>
    <w:rsid w:val="00EB2CD0"/>
    <w:rsid w:val="00EB2D24"/>
    <w:rsid w:val="00EB2E41"/>
    <w:rsid w:val="00EB3702"/>
    <w:rsid w:val="00EB3D06"/>
    <w:rsid w:val="00EB3D97"/>
    <w:rsid w:val="00EB4916"/>
    <w:rsid w:val="00EB5512"/>
    <w:rsid w:val="00EB5CDF"/>
    <w:rsid w:val="00EB6956"/>
    <w:rsid w:val="00EC00C9"/>
    <w:rsid w:val="00EC0DD9"/>
    <w:rsid w:val="00EC1845"/>
    <w:rsid w:val="00EC1C48"/>
    <w:rsid w:val="00EC2310"/>
    <w:rsid w:val="00EC2649"/>
    <w:rsid w:val="00EC31ED"/>
    <w:rsid w:val="00EC4578"/>
    <w:rsid w:val="00EC5836"/>
    <w:rsid w:val="00EC5FC4"/>
    <w:rsid w:val="00EC606B"/>
    <w:rsid w:val="00EC688C"/>
    <w:rsid w:val="00ED2C59"/>
    <w:rsid w:val="00ED3401"/>
    <w:rsid w:val="00ED4359"/>
    <w:rsid w:val="00ED57EA"/>
    <w:rsid w:val="00ED5888"/>
    <w:rsid w:val="00ED5BD4"/>
    <w:rsid w:val="00ED5E68"/>
    <w:rsid w:val="00ED6743"/>
    <w:rsid w:val="00ED7A4D"/>
    <w:rsid w:val="00ED7BC9"/>
    <w:rsid w:val="00EE0668"/>
    <w:rsid w:val="00EE07D3"/>
    <w:rsid w:val="00EE1996"/>
    <w:rsid w:val="00EE1C01"/>
    <w:rsid w:val="00EE22AF"/>
    <w:rsid w:val="00EE2835"/>
    <w:rsid w:val="00EE287B"/>
    <w:rsid w:val="00EE2ADF"/>
    <w:rsid w:val="00EE4079"/>
    <w:rsid w:val="00EE433D"/>
    <w:rsid w:val="00EE43B6"/>
    <w:rsid w:val="00EE487A"/>
    <w:rsid w:val="00EE4A92"/>
    <w:rsid w:val="00EE4F64"/>
    <w:rsid w:val="00EE5530"/>
    <w:rsid w:val="00EE5A83"/>
    <w:rsid w:val="00EE6237"/>
    <w:rsid w:val="00EE72C0"/>
    <w:rsid w:val="00EE73BB"/>
    <w:rsid w:val="00EF0171"/>
    <w:rsid w:val="00EF02DA"/>
    <w:rsid w:val="00EF09E8"/>
    <w:rsid w:val="00EF1B25"/>
    <w:rsid w:val="00EF1BF6"/>
    <w:rsid w:val="00EF1DA0"/>
    <w:rsid w:val="00EF21FC"/>
    <w:rsid w:val="00EF269D"/>
    <w:rsid w:val="00EF3744"/>
    <w:rsid w:val="00EF4747"/>
    <w:rsid w:val="00EF4BF8"/>
    <w:rsid w:val="00EF7159"/>
    <w:rsid w:val="00EF71CF"/>
    <w:rsid w:val="00EF76FF"/>
    <w:rsid w:val="00EF7970"/>
    <w:rsid w:val="00F010EB"/>
    <w:rsid w:val="00F02253"/>
    <w:rsid w:val="00F03C2E"/>
    <w:rsid w:val="00F04A66"/>
    <w:rsid w:val="00F04B4B"/>
    <w:rsid w:val="00F0516C"/>
    <w:rsid w:val="00F0583A"/>
    <w:rsid w:val="00F05C6C"/>
    <w:rsid w:val="00F0609B"/>
    <w:rsid w:val="00F0649D"/>
    <w:rsid w:val="00F067A2"/>
    <w:rsid w:val="00F0762B"/>
    <w:rsid w:val="00F07B9E"/>
    <w:rsid w:val="00F10A9B"/>
    <w:rsid w:val="00F1116F"/>
    <w:rsid w:val="00F111EE"/>
    <w:rsid w:val="00F1263A"/>
    <w:rsid w:val="00F127D0"/>
    <w:rsid w:val="00F13A1A"/>
    <w:rsid w:val="00F154D2"/>
    <w:rsid w:val="00F15B77"/>
    <w:rsid w:val="00F15BBC"/>
    <w:rsid w:val="00F15C48"/>
    <w:rsid w:val="00F15D58"/>
    <w:rsid w:val="00F16B0A"/>
    <w:rsid w:val="00F17C50"/>
    <w:rsid w:val="00F17CCE"/>
    <w:rsid w:val="00F20439"/>
    <w:rsid w:val="00F2105A"/>
    <w:rsid w:val="00F21DB1"/>
    <w:rsid w:val="00F22627"/>
    <w:rsid w:val="00F23CB3"/>
    <w:rsid w:val="00F24837"/>
    <w:rsid w:val="00F2575F"/>
    <w:rsid w:val="00F25FCB"/>
    <w:rsid w:val="00F2740A"/>
    <w:rsid w:val="00F27565"/>
    <w:rsid w:val="00F275C6"/>
    <w:rsid w:val="00F27881"/>
    <w:rsid w:val="00F30B4F"/>
    <w:rsid w:val="00F30F9B"/>
    <w:rsid w:val="00F310D4"/>
    <w:rsid w:val="00F3136B"/>
    <w:rsid w:val="00F31D5A"/>
    <w:rsid w:val="00F327C5"/>
    <w:rsid w:val="00F3362F"/>
    <w:rsid w:val="00F33975"/>
    <w:rsid w:val="00F33DE9"/>
    <w:rsid w:val="00F34E37"/>
    <w:rsid w:val="00F34EB8"/>
    <w:rsid w:val="00F354E2"/>
    <w:rsid w:val="00F35E6D"/>
    <w:rsid w:val="00F3619A"/>
    <w:rsid w:val="00F36C9F"/>
    <w:rsid w:val="00F37984"/>
    <w:rsid w:val="00F40600"/>
    <w:rsid w:val="00F4076A"/>
    <w:rsid w:val="00F40AAA"/>
    <w:rsid w:val="00F40BA7"/>
    <w:rsid w:val="00F40F9D"/>
    <w:rsid w:val="00F41ACD"/>
    <w:rsid w:val="00F42AA7"/>
    <w:rsid w:val="00F43F9C"/>
    <w:rsid w:val="00F44795"/>
    <w:rsid w:val="00F4496D"/>
    <w:rsid w:val="00F46ABB"/>
    <w:rsid w:val="00F46CB6"/>
    <w:rsid w:val="00F46F1C"/>
    <w:rsid w:val="00F4756D"/>
    <w:rsid w:val="00F47DE8"/>
    <w:rsid w:val="00F504B2"/>
    <w:rsid w:val="00F504F9"/>
    <w:rsid w:val="00F53564"/>
    <w:rsid w:val="00F53703"/>
    <w:rsid w:val="00F5375C"/>
    <w:rsid w:val="00F54149"/>
    <w:rsid w:val="00F542C1"/>
    <w:rsid w:val="00F546B0"/>
    <w:rsid w:val="00F559FC"/>
    <w:rsid w:val="00F55E73"/>
    <w:rsid w:val="00F55EDA"/>
    <w:rsid w:val="00F5668F"/>
    <w:rsid w:val="00F56C80"/>
    <w:rsid w:val="00F57037"/>
    <w:rsid w:val="00F57C82"/>
    <w:rsid w:val="00F57E0B"/>
    <w:rsid w:val="00F57E17"/>
    <w:rsid w:val="00F60092"/>
    <w:rsid w:val="00F603DD"/>
    <w:rsid w:val="00F610EB"/>
    <w:rsid w:val="00F61434"/>
    <w:rsid w:val="00F61C18"/>
    <w:rsid w:val="00F63161"/>
    <w:rsid w:val="00F6530E"/>
    <w:rsid w:val="00F65F35"/>
    <w:rsid w:val="00F65F4B"/>
    <w:rsid w:val="00F668AE"/>
    <w:rsid w:val="00F66A39"/>
    <w:rsid w:val="00F67026"/>
    <w:rsid w:val="00F67A69"/>
    <w:rsid w:val="00F70AB9"/>
    <w:rsid w:val="00F70BFF"/>
    <w:rsid w:val="00F70C9D"/>
    <w:rsid w:val="00F7211C"/>
    <w:rsid w:val="00F74B4A"/>
    <w:rsid w:val="00F74CD9"/>
    <w:rsid w:val="00F75D9E"/>
    <w:rsid w:val="00F77728"/>
    <w:rsid w:val="00F80A7B"/>
    <w:rsid w:val="00F80E5D"/>
    <w:rsid w:val="00F80EF3"/>
    <w:rsid w:val="00F816F7"/>
    <w:rsid w:val="00F81D0F"/>
    <w:rsid w:val="00F81E78"/>
    <w:rsid w:val="00F82644"/>
    <w:rsid w:val="00F8272D"/>
    <w:rsid w:val="00F82749"/>
    <w:rsid w:val="00F82BCE"/>
    <w:rsid w:val="00F8468D"/>
    <w:rsid w:val="00F851CE"/>
    <w:rsid w:val="00F8564F"/>
    <w:rsid w:val="00F86157"/>
    <w:rsid w:val="00F86193"/>
    <w:rsid w:val="00F873DE"/>
    <w:rsid w:val="00F903FF"/>
    <w:rsid w:val="00F90633"/>
    <w:rsid w:val="00F90859"/>
    <w:rsid w:val="00F91219"/>
    <w:rsid w:val="00F9128D"/>
    <w:rsid w:val="00F92426"/>
    <w:rsid w:val="00F92444"/>
    <w:rsid w:val="00F93220"/>
    <w:rsid w:val="00F93597"/>
    <w:rsid w:val="00F9393E"/>
    <w:rsid w:val="00F942DC"/>
    <w:rsid w:val="00F96FD0"/>
    <w:rsid w:val="00F9729C"/>
    <w:rsid w:val="00F97A78"/>
    <w:rsid w:val="00FA0B20"/>
    <w:rsid w:val="00FA17BB"/>
    <w:rsid w:val="00FA22FF"/>
    <w:rsid w:val="00FA24E7"/>
    <w:rsid w:val="00FA2764"/>
    <w:rsid w:val="00FA4384"/>
    <w:rsid w:val="00FA50D6"/>
    <w:rsid w:val="00FA5A3A"/>
    <w:rsid w:val="00FA5EE6"/>
    <w:rsid w:val="00FA6050"/>
    <w:rsid w:val="00FA659B"/>
    <w:rsid w:val="00FA66E9"/>
    <w:rsid w:val="00FA7956"/>
    <w:rsid w:val="00FA7D46"/>
    <w:rsid w:val="00FAC56C"/>
    <w:rsid w:val="00FAF7EB"/>
    <w:rsid w:val="00FB229E"/>
    <w:rsid w:val="00FB242A"/>
    <w:rsid w:val="00FB25E3"/>
    <w:rsid w:val="00FB2FCB"/>
    <w:rsid w:val="00FB37E7"/>
    <w:rsid w:val="00FB3900"/>
    <w:rsid w:val="00FB4012"/>
    <w:rsid w:val="00FB4C67"/>
    <w:rsid w:val="00FB5575"/>
    <w:rsid w:val="00FB7C55"/>
    <w:rsid w:val="00FBFDCF"/>
    <w:rsid w:val="00FC1074"/>
    <w:rsid w:val="00FC1884"/>
    <w:rsid w:val="00FC205D"/>
    <w:rsid w:val="00FC2B33"/>
    <w:rsid w:val="00FC371D"/>
    <w:rsid w:val="00FC3AC2"/>
    <w:rsid w:val="00FC44D7"/>
    <w:rsid w:val="00FC59EB"/>
    <w:rsid w:val="00FC5CC0"/>
    <w:rsid w:val="00FC5F0B"/>
    <w:rsid w:val="00FC7AFD"/>
    <w:rsid w:val="00FD0BA3"/>
    <w:rsid w:val="00FD2100"/>
    <w:rsid w:val="00FD21C8"/>
    <w:rsid w:val="00FD28B6"/>
    <w:rsid w:val="00FD3498"/>
    <w:rsid w:val="00FD436C"/>
    <w:rsid w:val="00FD446D"/>
    <w:rsid w:val="00FD4A6E"/>
    <w:rsid w:val="00FD4F2C"/>
    <w:rsid w:val="00FD5CFA"/>
    <w:rsid w:val="00FD6224"/>
    <w:rsid w:val="00FD6394"/>
    <w:rsid w:val="00FD7C05"/>
    <w:rsid w:val="00FDB96C"/>
    <w:rsid w:val="00FE0E6C"/>
    <w:rsid w:val="00FE1CDC"/>
    <w:rsid w:val="00FE22ED"/>
    <w:rsid w:val="00FE2C13"/>
    <w:rsid w:val="00FE39C6"/>
    <w:rsid w:val="00FE4ABA"/>
    <w:rsid w:val="00FE4C4E"/>
    <w:rsid w:val="00FE651F"/>
    <w:rsid w:val="00FE70C3"/>
    <w:rsid w:val="00FF1CFF"/>
    <w:rsid w:val="00FF2016"/>
    <w:rsid w:val="00FF2AD9"/>
    <w:rsid w:val="00FF2D59"/>
    <w:rsid w:val="00FF305A"/>
    <w:rsid w:val="00FF359F"/>
    <w:rsid w:val="00FF394C"/>
    <w:rsid w:val="00FF3DCF"/>
    <w:rsid w:val="00FF492C"/>
    <w:rsid w:val="00FF4A21"/>
    <w:rsid w:val="00FF5369"/>
    <w:rsid w:val="00FF5AA3"/>
    <w:rsid w:val="00FF5AD8"/>
    <w:rsid w:val="00FF62B0"/>
    <w:rsid w:val="00FF6B8E"/>
    <w:rsid w:val="00FF7891"/>
    <w:rsid w:val="00FF7B8C"/>
    <w:rsid w:val="00FF7C63"/>
    <w:rsid w:val="0105CD64"/>
    <w:rsid w:val="011B02FF"/>
    <w:rsid w:val="0131A905"/>
    <w:rsid w:val="0132BE4B"/>
    <w:rsid w:val="0135DDEE"/>
    <w:rsid w:val="0138A8B1"/>
    <w:rsid w:val="013CD8B4"/>
    <w:rsid w:val="013D2965"/>
    <w:rsid w:val="013D5603"/>
    <w:rsid w:val="013E9EA4"/>
    <w:rsid w:val="013FFED4"/>
    <w:rsid w:val="01504F02"/>
    <w:rsid w:val="0157B751"/>
    <w:rsid w:val="015A1300"/>
    <w:rsid w:val="015E2784"/>
    <w:rsid w:val="01699F98"/>
    <w:rsid w:val="016A26F8"/>
    <w:rsid w:val="016BD96B"/>
    <w:rsid w:val="016C7E9F"/>
    <w:rsid w:val="0170D3AE"/>
    <w:rsid w:val="01749C23"/>
    <w:rsid w:val="017DC29E"/>
    <w:rsid w:val="01832B3A"/>
    <w:rsid w:val="01834E39"/>
    <w:rsid w:val="01878719"/>
    <w:rsid w:val="0187BBE2"/>
    <w:rsid w:val="018E7842"/>
    <w:rsid w:val="01906113"/>
    <w:rsid w:val="0191B748"/>
    <w:rsid w:val="0196520F"/>
    <w:rsid w:val="0199B7B2"/>
    <w:rsid w:val="019D9500"/>
    <w:rsid w:val="01A64419"/>
    <w:rsid w:val="01AB4F0C"/>
    <w:rsid w:val="01ACBD56"/>
    <w:rsid w:val="01AFC9C7"/>
    <w:rsid w:val="01B195D8"/>
    <w:rsid w:val="01BA45C8"/>
    <w:rsid w:val="01C5B809"/>
    <w:rsid w:val="01CC44DA"/>
    <w:rsid w:val="01D5713B"/>
    <w:rsid w:val="01D78B64"/>
    <w:rsid w:val="01DE070C"/>
    <w:rsid w:val="01E60512"/>
    <w:rsid w:val="01E6D7B1"/>
    <w:rsid w:val="01F1B6E4"/>
    <w:rsid w:val="01F5D4A6"/>
    <w:rsid w:val="01F6396F"/>
    <w:rsid w:val="01F66110"/>
    <w:rsid w:val="01F85502"/>
    <w:rsid w:val="02076262"/>
    <w:rsid w:val="0209696D"/>
    <w:rsid w:val="020B9099"/>
    <w:rsid w:val="020D50A0"/>
    <w:rsid w:val="02131ED6"/>
    <w:rsid w:val="0216C38F"/>
    <w:rsid w:val="021B6667"/>
    <w:rsid w:val="022211CE"/>
    <w:rsid w:val="0222CB5E"/>
    <w:rsid w:val="02243EC2"/>
    <w:rsid w:val="0227DAEC"/>
    <w:rsid w:val="023096FB"/>
    <w:rsid w:val="0240F509"/>
    <w:rsid w:val="02438E82"/>
    <w:rsid w:val="02488EEA"/>
    <w:rsid w:val="024A04BC"/>
    <w:rsid w:val="0251D954"/>
    <w:rsid w:val="026BCF27"/>
    <w:rsid w:val="027A0A27"/>
    <w:rsid w:val="027F153D"/>
    <w:rsid w:val="02867B23"/>
    <w:rsid w:val="02890C30"/>
    <w:rsid w:val="028D458F"/>
    <w:rsid w:val="0297CFF3"/>
    <w:rsid w:val="029F13A8"/>
    <w:rsid w:val="02A0719C"/>
    <w:rsid w:val="02A326D8"/>
    <w:rsid w:val="02AE04BD"/>
    <w:rsid w:val="02AFC753"/>
    <w:rsid w:val="02B3FB96"/>
    <w:rsid w:val="02B67074"/>
    <w:rsid w:val="02B8FDB3"/>
    <w:rsid w:val="02C42740"/>
    <w:rsid w:val="02C938DB"/>
    <w:rsid w:val="02D46A66"/>
    <w:rsid w:val="02D4C6FE"/>
    <w:rsid w:val="02D629D1"/>
    <w:rsid w:val="02DF39A7"/>
    <w:rsid w:val="02FA2F47"/>
    <w:rsid w:val="0306238A"/>
    <w:rsid w:val="0307F1F4"/>
    <w:rsid w:val="030C4937"/>
    <w:rsid w:val="031A8179"/>
    <w:rsid w:val="031B589B"/>
    <w:rsid w:val="0325A25E"/>
    <w:rsid w:val="03269D44"/>
    <w:rsid w:val="032BC713"/>
    <w:rsid w:val="03524E2E"/>
    <w:rsid w:val="035A292C"/>
    <w:rsid w:val="035C98C0"/>
    <w:rsid w:val="035D64D4"/>
    <w:rsid w:val="035F2DC7"/>
    <w:rsid w:val="036221F2"/>
    <w:rsid w:val="0362AE97"/>
    <w:rsid w:val="03675FFD"/>
    <w:rsid w:val="036A20B7"/>
    <w:rsid w:val="036E845A"/>
    <w:rsid w:val="0371DA05"/>
    <w:rsid w:val="03727CFF"/>
    <w:rsid w:val="037AD911"/>
    <w:rsid w:val="037E2C1C"/>
    <w:rsid w:val="037FA947"/>
    <w:rsid w:val="03801B94"/>
    <w:rsid w:val="0380B683"/>
    <w:rsid w:val="038765EC"/>
    <w:rsid w:val="03A11A71"/>
    <w:rsid w:val="03A1B1E9"/>
    <w:rsid w:val="03A97776"/>
    <w:rsid w:val="03ABA2A9"/>
    <w:rsid w:val="03AD82C6"/>
    <w:rsid w:val="03B50BD7"/>
    <w:rsid w:val="03B74399"/>
    <w:rsid w:val="03BAE519"/>
    <w:rsid w:val="03BC9FE3"/>
    <w:rsid w:val="03C2B2C5"/>
    <w:rsid w:val="03C44342"/>
    <w:rsid w:val="03CEEA60"/>
    <w:rsid w:val="03D07EE7"/>
    <w:rsid w:val="03D21257"/>
    <w:rsid w:val="03D3A8BE"/>
    <w:rsid w:val="03E1DD2D"/>
    <w:rsid w:val="03E6C29D"/>
    <w:rsid w:val="03E75045"/>
    <w:rsid w:val="03E8E7E4"/>
    <w:rsid w:val="03EB572E"/>
    <w:rsid w:val="03F2B420"/>
    <w:rsid w:val="04035B00"/>
    <w:rsid w:val="0406A497"/>
    <w:rsid w:val="040D3A92"/>
    <w:rsid w:val="0424E1CF"/>
    <w:rsid w:val="04321AE4"/>
    <w:rsid w:val="043246DE"/>
    <w:rsid w:val="04356DB5"/>
    <w:rsid w:val="04371E1F"/>
    <w:rsid w:val="0437D9FF"/>
    <w:rsid w:val="045D7DBA"/>
    <w:rsid w:val="046344A6"/>
    <w:rsid w:val="0469A57F"/>
    <w:rsid w:val="046C3E24"/>
    <w:rsid w:val="046E75E0"/>
    <w:rsid w:val="0470C2A8"/>
    <w:rsid w:val="0474F448"/>
    <w:rsid w:val="0478F2A1"/>
    <w:rsid w:val="047A1438"/>
    <w:rsid w:val="047E13B3"/>
    <w:rsid w:val="048AD396"/>
    <w:rsid w:val="048E46FB"/>
    <w:rsid w:val="0495E2A2"/>
    <w:rsid w:val="04996514"/>
    <w:rsid w:val="049DBC2A"/>
    <w:rsid w:val="04A4B088"/>
    <w:rsid w:val="04AB69AF"/>
    <w:rsid w:val="04BA7217"/>
    <w:rsid w:val="04BB14FC"/>
    <w:rsid w:val="04C1BF96"/>
    <w:rsid w:val="04C50B15"/>
    <w:rsid w:val="04CCEAAF"/>
    <w:rsid w:val="04D79D01"/>
    <w:rsid w:val="04E37098"/>
    <w:rsid w:val="04E71913"/>
    <w:rsid w:val="04E9B443"/>
    <w:rsid w:val="04EEC28F"/>
    <w:rsid w:val="04F05EBB"/>
    <w:rsid w:val="04F2FB49"/>
    <w:rsid w:val="04F626F4"/>
    <w:rsid w:val="050DBB43"/>
    <w:rsid w:val="05119592"/>
    <w:rsid w:val="05221413"/>
    <w:rsid w:val="0523D5DE"/>
    <w:rsid w:val="052645C0"/>
    <w:rsid w:val="052BCAE9"/>
    <w:rsid w:val="05313D2D"/>
    <w:rsid w:val="0533E6F4"/>
    <w:rsid w:val="053C89C5"/>
    <w:rsid w:val="0541833B"/>
    <w:rsid w:val="05555853"/>
    <w:rsid w:val="0555A68F"/>
    <w:rsid w:val="0558F095"/>
    <w:rsid w:val="05597552"/>
    <w:rsid w:val="0562C737"/>
    <w:rsid w:val="05723B4D"/>
    <w:rsid w:val="0572C33F"/>
    <w:rsid w:val="057666ED"/>
    <w:rsid w:val="05767261"/>
    <w:rsid w:val="0576B864"/>
    <w:rsid w:val="05771B8C"/>
    <w:rsid w:val="0579577F"/>
    <w:rsid w:val="057A231C"/>
    <w:rsid w:val="057DF492"/>
    <w:rsid w:val="058E0519"/>
    <w:rsid w:val="058FA4B5"/>
    <w:rsid w:val="059466DF"/>
    <w:rsid w:val="059A3B69"/>
    <w:rsid w:val="059CB78B"/>
    <w:rsid w:val="059D389F"/>
    <w:rsid w:val="05A31B06"/>
    <w:rsid w:val="05A3BBFE"/>
    <w:rsid w:val="05A58AA9"/>
    <w:rsid w:val="05AD53BF"/>
    <w:rsid w:val="05B548A2"/>
    <w:rsid w:val="05BAD1DE"/>
    <w:rsid w:val="05BF8872"/>
    <w:rsid w:val="05C21A6B"/>
    <w:rsid w:val="05CA2DC4"/>
    <w:rsid w:val="05CDE1EE"/>
    <w:rsid w:val="05D2EE80"/>
    <w:rsid w:val="05D532F9"/>
    <w:rsid w:val="05D598BE"/>
    <w:rsid w:val="05D87E11"/>
    <w:rsid w:val="05DAC1DF"/>
    <w:rsid w:val="05DB42C8"/>
    <w:rsid w:val="05DB4619"/>
    <w:rsid w:val="05DCFA73"/>
    <w:rsid w:val="05E4F52E"/>
    <w:rsid w:val="05F40C81"/>
    <w:rsid w:val="05FD0AF6"/>
    <w:rsid w:val="06009850"/>
    <w:rsid w:val="06076C48"/>
    <w:rsid w:val="06192CD4"/>
    <w:rsid w:val="061FEA8D"/>
    <w:rsid w:val="062EE2A4"/>
    <w:rsid w:val="062FD091"/>
    <w:rsid w:val="0636D8D3"/>
    <w:rsid w:val="06381D66"/>
    <w:rsid w:val="063B65F6"/>
    <w:rsid w:val="063F8ABC"/>
    <w:rsid w:val="0643BB7E"/>
    <w:rsid w:val="06441257"/>
    <w:rsid w:val="06450DB2"/>
    <w:rsid w:val="0647EA6B"/>
    <w:rsid w:val="065F8050"/>
    <w:rsid w:val="066A13AE"/>
    <w:rsid w:val="066B2294"/>
    <w:rsid w:val="066FEB5C"/>
    <w:rsid w:val="06736D62"/>
    <w:rsid w:val="06784C9D"/>
    <w:rsid w:val="06829990"/>
    <w:rsid w:val="06882ED1"/>
    <w:rsid w:val="068B0583"/>
    <w:rsid w:val="068D1A47"/>
    <w:rsid w:val="0691EE05"/>
    <w:rsid w:val="0695A1E1"/>
    <w:rsid w:val="0695DE7C"/>
    <w:rsid w:val="06994063"/>
    <w:rsid w:val="06A98BA4"/>
    <w:rsid w:val="06B422F4"/>
    <w:rsid w:val="06B45B8F"/>
    <w:rsid w:val="06B88A99"/>
    <w:rsid w:val="06B8EB23"/>
    <w:rsid w:val="06C42A55"/>
    <w:rsid w:val="06C52807"/>
    <w:rsid w:val="06C68BDD"/>
    <w:rsid w:val="06CD7235"/>
    <w:rsid w:val="06D17EEA"/>
    <w:rsid w:val="06D44D9B"/>
    <w:rsid w:val="06DD2468"/>
    <w:rsid w:val="06E65BAD"/>
    <w:rsid w:val="06F4C70A"/>
    <w:rsid w:val="06F8167C"/>
    <w:rsid w:val="06FAB58C"/>
    <w:rsid w:val="06FBCE4D"/>
    <w:rsid w:val="06FBE25E"/>
    <w:rsid w:val="06FCB26E"/>
    <w:rsid w:val="06FEEDF4"/>
    <w:rsid w:val="070F5BF3"/>
    <w:rsid w:val="0711DA71"/>
    <w:rsid w:val="0716335D"/>
    <w:rsid w:val="071670AD"/>
    <w:rsid w:val="0726A0C4"/>
    <w:rsid w:val="0732E359"/>
    <w:rsid w:val="07366CF6"/>
    <w:rsid w:val="07396937"/>
    <w:rsid w:val="073AEFC8"/>
    <w:rsid w:val="07430BE6"/>
    <w:rsid w:val="074A9DBD"/>
    <w:rsid w:val="074D1780"/>
    <w:rsid w:val="07526A59"/>
    <w:rsid w:val="0752CDF3"/>
    <w:rsid w:val="075EE219"/>
    <w:rsid w:val="07604BFD"/>
    <w:rsid w:val="07670D61"/>
    <w:rsid w:val="0767DE73"/>
    <w:rsid w:val="077A13F3"/>
    <w:rsid w:val="077A8B72"/>
    <w:rsid w:val="078A779D"/>
    <w:rsid w:val="07932B62"/>
    <w:rsid w:val="07992714"/>
    <w:rsid w:val="079C0219"/>
    <w:rsid w:val="079FC29D"/>
    <w:rsid w:val="07A0591F"/>
    <w:rsid w:val="07A4C1E5"/>
    <w:rsid w:val="07B44ACA"/>
    <w:rsid w:val="07B47458"/>
    <w:rsid w:val="07B50A55"/>
    <w:rsid w:val="07B58942"/>
    <w:rsid w:val="07B9EB8F"/>
    <w:rsid w:val="07BA3BF8"/>
    <w:rsid w:val="07BCBBED"/>
    <w:rsid w:val="07BD1118"/>
    <w:rsid w:val="07C043D9"/>
    <w:rsid w:val="07C36145"/>
    <w:rsid w:val="07C7741A"/>
    <w:rsid w:val="07D2A08B"/>
    <w:rsid w:val="07D2A449"/>
    <w:rsid w:val="07D50B48"/>
    <w:rsid w:val="07DC7FF5"/>
    <w:rsid w:val="07E29A7D"/>
    <w:rsid w:val="07E9321C"/>
    <w:rsid w:val="07EEA88E"/>
    <w:rsid w:val="07F01EE6"/>
    <w:rsid w:val="07F30436"/>
    <w:rsid w:val="07FBAFD6"/>
    <w:rsid w:val="07FFC314"/>
    <w:rsid w:val="0802EE51"/>
    <w:rsid w:val="080B537B"/>
    <w:rsid w:val="0817DA32"/>
    <w:rsid w:val="081EC0A7"/>
    <w:rsid w:val="0827DC14"/>
    <w:rsid w:val="0828346A"/>
    <w:rsid w:val="082C68FE"/>
    <w:rsid w:val="083A04C5"/>
    <w:rsid w:val="0841F7E6"/>
    <w:rsid w:val="0843BE5D"/>
    <w:rsid w:val="0846CEC0"/>
    <w:rsid w:val="085312D1"/>
    <w:rsid w:val="08557809"/>
    <w:rsid w:val="0855CC04"/>
    <w:rsid w:val="0860C833"/>
    <w:rsid w:val="087173D3"/>
    <w:rsid w:val="087DA48A"/>
    <w:rsid w:val="08858621"/>
    <w:rsid w:val="08894659"/>
    <w:rsid w:val="0890976B"/>
    <w:rsid w:val="0891C1EB"/>
    <w:rsid w:val="089B6B17"/>
    <w:rsid w:val="089C72C2"/>
    <w:rsid w:val="08A83040"/>
    <w:rsid w:val="08A9EB93"/>
    <w:rsid w:val="08B4775C"/>
    <w:rsid w:val="08B92451"/>
    <w:rsid w:val="08BB5FB4"/>
    <w:rsid w:val="08BD948E"/>
    <w:rsid w:val="08C6E86E"/>
    <w:rsid w:val="08C90B8B"/>
    <w:rsid w:val="08D3298C"/>
    <w:rsid w:val="08D3FDAA"/>
    <w:rsid w:val="08DC3611"/>
    <w:rsid w:val="08DDEC7F"/>
    <w:rsid w:val="08EFD770"/>
    <w:rsid w:val="08F58145"/>
    <w:rsid w:val="08FFC976"/>
    <w:rsid w:val="0902FE14"/>
    <w:rsid w:val="090801A7"/>
    <w:rsid w:val="090A2DC2"/>
    <w:rsid w:val="0913E4D7"/>
    <w:rsid w:val="092736EF"/>
    <w:rsid w:val="092A172E"/>
    <w:rsid w:val="0931C9D5"/>
    <w:rsid w:val="0934A708"/>
    <w:rsid w:val="093AC2AC"/>
    <w:rsid w:val="093C2372"/>
    <w:rsid w:val="0942EAEE"/>
    <w:rsid w:val="094C6D7C"/>
    <w:rsid w:val="094D48E7"/>
    <w:rsid w:val="095793F3"/>
    <w:rsid w:val="0957C268"/>
    <w:rsid w:val="095FB5BA"/>
    <w:rsid w:val="09620D89"/>
    <w:rsid w:val="09662C97"/>
    <w:rsid w:val="09792F0C"/>
    <w:rsid w:val="097E818C"/>
    <w:rsid w:val="0987FB60"/>
    <w:rsid w:val="098A58E5"/>
    <w:rsid w:val="098BBB63"/>
    <w:rsid w:val="098CE0D0"/>
    <w:rsid w:val="09910D18"/>
    <w:rsid w:val="09997105"/>
    <w:rsid w:val="09A6E797"/>
    <w:rsid w:val="09A96BCF"/>
    <w:rsid w:val="09B470D7"/>
    <w:rsid w:val="09C074DC"/>
    <w:rsid w:val="09C51F79"/>
    <w:rsid w:val="09CD7769"/>
    <w:rsid w:val="09D9C06F"/>
    <w:rsid w:val="09E5DA16"/>
    <w:rsid w:val="09E79CBB"/>
    <w:rsid w:val="09E7DE34"/>
    <w:rsid w:val="09E9C162"/>
    <w:rsid w:val="09F1AA5B"/>
    <w:rsid w:val="09FC3589"/>
    <w:rsid w:val="0A0657F9"/>
    <w:rsid w:val="0A090386"/>
    <w:rsid w:val="0A0A324F"/>
    <w:rsid w:val="0A0BEE5D"/>
    <w:rsid w:val="0A1B127B"/>
    <w:rsid w:val="0A1BB0BC"/>
    <w:rsid w:val="0A1CE2EE"/>
    <w:rsid w:val="0A1E70C1"/>
    <w:rsid w:val="0A239A7A"/>
    <w:rsid w:val="0A277AD2"/>
    <w:rsid w:val="0A285C0D"/>
    <w:rsid w:val="0A2FD956"/>
    <w:rsid w:val="0A31CC95"/>
    <w:rsid w:val="0A3BE52A"/>
    <w:rsid w:val="0A4F67B6"/>
    <w:rsid w:val="0A53959B"/>
    <w:rsid w:val="0A547B65"/>
    <w:rsid w:val="0A56C8FC"/>
    <w:rsid w:val="0A57155C"/>
    <w:rsid w:val="0A57490A"/>
    <w:rsid w:val="0A5ADA30"/>
    <w:rsid w:val="0A5BD919"/>
    <w:rsid w:val="0A641FB7"/>
    <w:rsid w:val="0A699AA6"/>
    <w:rsid w:val="0A69FC4F"/>
    <w:rsid w:val="0A76D914"/>
    <w:rsid w:val="0A781F2E"/>
    <w:rsid w:val="0A7C18EC"/>
    <w:rsid w:val="0A7C3DE1"/>
    <w:rsid w:val="0A7D62B7"/>
    <w:rsid w:val="0A809585"/>
    <w:rsid w:val="0A884DB9"/>
    <w:rsid w:val="0A89E625"/>
    <w:rsid w:val="0A8B7355"/>
    <w:rsid w:val="0A983846"/>
    <w:rsid w:val="0A9A7F43"/>
    <w:rsid w:val="0A9C9C50"/>
    <w:rsid w:val="0A9FF0F7"/>
    <w:rsid w:val="0AA0FA93"/>
    <w:rsid w:val="0AA859FC"/>
    <w:rsid w:val="0AB2D2D8"/>
    <w:rsid w:val="0AB57D16"/>
    <w:rsid w:val="0AB9CEBE"/>
    <w:rsid w:val="0ABCDD52"/>
    <w:rsid w:val="0AC1D61A"/>
    <w:rsid w:val="0ACB90F0"/>
    <w:rsid w:val="0AD41D86"/>
    <w:rsid w:val="0ADB3ACC"/>
    <w:rsid w:val="0AEC5B17"/>
    <w:rsid w:val="0AFF9CC1"/>
    <w:rsid w:val="0B060F9B"/>
    <w:rsid w:val="0B07E5B2"/>
    <w:rsid w:val="0B0B19A9"/>
    <w:rsid w:val="0B0C7145"/>
    <w:rsid w:val="0B0D80D2"/>
    <w:rsid w:val="0B11E7C0"/>
    <w:rsid w:val="0B1A94F6"/>
    <w:rsid w:val="0B1EDEE3"/>
    <w:rsid w:val="0B256AB5"/>
    <w:rsid w:val="0B29C036"/>
    <w:rsid w:val="0B30554E"/>
    <w:rsid w:val="0B3608AC"/>
    <w:rsid w:val="0B3905AE"/>
    <w:rsid w:val="0B3C272D"/>
    <w:rsid w:val="0B4013F2"/>
    <w:rsid w:val="0B41582A"/>
    <w:rsid w:val="0B4290AC"/>
    <w:rsid w:val="0B46F8FA"/>
    <w:rsid w:val="0B560AB3"/>
    <w:rsid w:val="0B5744A8"/>
    <w:rsid w:val="0B577B3C"/>
    <w:rsid w:val="0B5F4449"/>
    <w:rsid w:val="0B62DAD9"/>
    <w:rsid w:val="0B640D0F"/>
    <w:rsid w:val="0B748513"/>
    <w:rsid w:val="0B77C0B5"/>
    <w:rsid w:val="0B792D25"/>
    <w:rsid w:val="0B86772F"/>
    <w:rsid w:val="0B8CA0D6"/>
    <w:rsid w:val="0B8FEC38"/>
    <w:rsid w:val="0B914D27"/>
    <w:rsid w:val="0B9185BA"/>
    <w:rsid w:val="0B9796BA"/>
    <w:rsid w:val="0B9AB6BA"/>
    <w:rsid w:val="0BABD0CE"/>
    <w:rsid w:val="0BABDF04"/>
    <w:rsid w:val="0BADB9F3"/>
    <w:rsid w:val="0BB3991E"/>
    <w:rsid w:val="0BB3F02A"/>
    <w:rsid w:val="0BB5454C"/>
    <w:rsid w:val="0BBD0F4F"/>
    <w:rsid w:val="0BBF86F9"/>
    <w:rsid w:val="0BD10903"/>
    <w:rsid w:val="0BD731E4"/>
    <w:rsid w:val="0BD8E87F"/>
    <w:rsid w:val="0BE36192"/>
    <w:rsid w:val="0BEA6A4E"/>
    <w:rsid w:val="0BEFFF46"/>
    <w:rsid w:val="0BF08392"/>
    <w:rsid w:val="0BFE2748"/>
    <w:rsid w:val="0C151046"/>
    <w:rsid w:val="0C201C05"/>
    <w:rsid w:val="0C29D680"/>
    <w:rsid w:val="0C29EFB5"/>
    <w:rsid w:val="0C2D5448"/>
    <w:rsid w:val="0C33E2CC"/>
    <w:rsid w:val="0C3A853F"/>
    <w:rsid w:val="0C3F4158"/>
    <w:rsid w:val="0C486D93"/>
    <w:rsid w:val="0C515857"/>
    <w:rsid w:val="0C53C203"/>
    <w:rsid w:val="0C5847CE"/>
    <w:rsid w:val="0C5925AF"/>
    <w:rsid w:val="0C59B349"/>
    <w:rsid w:val="0C5AC310"/>
    <w:rsid w:val="0C6F4FF2"/>
    <w:rsid w:val="0C7E2547"/>
    <w:rsid w:val="0C822FB4"/>
    <w:rsid w:val="0C8DCE4F"/>
    <w:rsid w:val="0C8E140B"/>
    <w:rsid w:val="0C94AA8D"/>
    <w:rsid w:val="0C974E4D"/>
    <w:rsid w:val="0CB13ED7"/>
    <w:rsid w:val="0CB4A4CB"/>
    <w:rsid w:val="0CBA4551"/>
    <w:rsid w:val="0CBD9046"/>
    <w:rsid w:val="0CBFF012"/>
    <w:rsid w:val="0CCB161C"/>
    <w:rsid w:val="0CDC74D3"/>
    <w:rsid w:val="0CE3B440"/>
    <w:rsid w:val="0CF8759F"/>
    <w:rsid w:val="0CFD7135"/>
    <w:rsid w:val="0D0DFD93"/>
    <w:rsid w:val="0D0EBA18"/>
    <w:rsid w:val="0D0F88A6"/>
    <w:rsid w:val="0D18DCAF"/>
    <w:rsid w:val="0D1F8057"/>
    <w:rsid w:val="0D2387B1"/>
    <w:rsid w:val="0D264032"/>
    <w:rsid w:val="0D27EF6E"/>
    <w:rsid w:val="0D34EF9B"/>
    <w:rsid w:val="0D36871B"/>
    <w:rsid w:val="0D36D012"/>
    <w:rsid w:val="0D3C7D22"/>
    <w:rsid w:val="0D3FD867"/>
    <w:rsid w:val="0D414A94"/>
    <w:rsid w:val="0D4AE031"/>
    <w:rsid w:val="0D525041"/>
    <w:rsid w:val="0D58A75D"/>
    <w:rsid w:val="0D5DF0C5"/>
    <w:rsid w:val="0D5F1B94"/>
    <w:rsid w:val="0D615DC4"/>
    <w:rsid w:val="0D63FA57"/>
    <w:rsid w:val="0D6C5236"/>
    <w:rsid w:val="0D6FF200"/>
    <w:rsid w:val="0D715A5E"/>
    <w:rsid w:val="0D75143E"/>
    <w:rsid w:val="0D766EB3"/>
    <w:rsid w:val="0D769CA8"/>
    <w:rsid w:val="0D7A7F0A"/>
    <w:rsid w:val="0D7AD555"/>
    <w:rsid w:val="0D7FE53B"/>
    <w:rsid w:val="0D7FEDB6"/>
    <w:rsid w:val="0D808EBC"/>
    <w:rsid w:val="0D83E131"/>
    <w:rsid w:val="0D91384B"/>
    <w:rsid w:val="0D91D4F9"/>
    <w:rsid w:val="0D932F5C"/>
    <w:rsid w:val="0D962AF4"/>
    <w:rsid w:val="0D99250D"/>
    <w:rsid w:val="0D994A06"/>
    <w:rsid w:val="0D9CC257"/>
    <w:rsid w:val="0D9F3D47"/>
    <w:rsid w:val="0DA0C752"/>
    <w:rsid w:val="0DB246AC"/>
    <w:rsid w:val="0DB408C8"/>
    <w:rsid w:val="0DB82523"/>
    <w:rsid w:val="0DB90295"/>
    <w:rsid w:val="0DBEE258"/>
    <w:rsid w:val="0DC24A6D"/>
    <w:rsid w:val="0DC4F319"/>
    <w:rsid w:val="0DCB8BE9"/>
    <w:rsid w:val="0DCDCD7E"/>
    <w:rsid w:val="0DDA5C4B"/>
    <w:rsid w:val="0DDD20EC"/>
    <w:rsid w:val="0DE0AAA3"/>
    <w:rsid w:val="0DE5EDEB"/>
    <w:rsid w:val="0DF0138A"/>
    <w:rsid w:val="0DFC43CA"/>
    <w:rsid w:val="0E041B3A"/>
    <w:rsid w:val="0E07571A"/>
    <w:rsid w:val="0E0B5536"/>
    <w:rsid w:val="0E0D2238"/>
    <w:rsid w:val="0E10166B"/>
    <w:rsid w:val="0E187D3F"/>
    <w:rsid w:val="0E191451"/>
    <w:rsid w:val="0E1DE16C"/>
    <w:rsid w:val="0E20F733"/>
    <w:rsid w:val="0E223BC5"/>
    <w:rsid w:val="0E22FFEF"/>
    <w:rsid w:val="0E29E46C"/>
    <w:rsid w:val="0E2CB806"/>
    <w:rsid w:val="0E3333FF"/>
    <w:rsid w:val="0E3472BB"/>
    <w:rsid w:val="0E39B62A"/>
    <w:rsid w:val="0E4432DC"/>
    <w:rsid w:val="0E49544C"/>
    <w:rsid w:val="0E498882"/>
    <w:rsid w:val="0E4A4BBB"/>
    <w:rsid w:val="0E5B7115"/>
    <w:rsid w:val="0E5B8427"/>
    <w:rsid w:val="0E5F5BF5"/>
    <w:rsid w:val="0E606986"/>
    <w:rsid w:val="0E62F966"/>
    <w:rsid w:val="0E63A55C"/>
    <w:rsid w:val="0E7266AD"/>
    <w:rsid w:val="0E775467"/>
    <w:rsid w:val="0E82BD09"/>
    <w:rsid w:val="0E834A8E"/>
    <w:rsid w:val="0E865A10"/>
    <w:rsid w:val="0E889F34"/>
    <w:rsid w:val="0E8F7332"/>
    <w:rsid w:val="0E985400"/>
    <w:rsid w:val="0EAD111B"/>
    <w:rsid w:val="0EB00FFC"/>
    <w:rsid w:val="0EB576F4"/>
    <w:rsid w:val="0EB66737"/>
    <w:rsid w:val="0EBD9650"/>
    <w:rsid w:val="0EC025FF"/>
    <w:rsid w:val="0EC55105"/>
    <w:rsid w:val="0ECFBBA1"/>
    <w:rsid w:val="0ED0F227"/>
    <w:rsid w:val="0ED1A874"/>
    <w:rsid w:val="0ED422C8"/>
    <w:rsid w:val="0EE7C229"/>
    <w:rsid w:val="0EED8643"/>
    <w:rsid w:val="0EF00272"/>
    <w:rsid w:val="0EF83AEE"/>
    <w:rsid w:val="0F01C80C"/>
    <w:rsid w:val="0F048BD8"/>
    <w:rsid w:val="0F136C7A"/>
    <w:rsid w:val="0F191762"/>
    <w:rsid w:val="0F26CBE1"/>
    <w:rsid w:val="0F2BABF1"/>
    <w:rsid w:val="0F30E2AC"/>
    <w:rsid w:val="0F31AF29"/>
    <w:rsid w:val="0F3487F9"/>
    <w:rsid w:val="0F3554FA"/>
    <w:rsid w:val="0F3730F9"/>
    <w:rsid w:val="0F384195"/>
    <w:rsid w:val="0F3FAAA7"/>
    <w:rsid w:val="0F4A522F"/>
    <w:rsid w:val="0F550152"/>
    <w:rsid w:val="0F59D79D"/>
    <w:rsid w:val="0F5B6DE5"/>
    <w:rsid w:val="0F5EE478"/>
    <w:rsid w:val="0F618705"/>
    <w:rsid w:val="0F62AC55"/>
    <w:rsid w:val="0F6566B1"/>
    <w:rsid w:val="0F679050"/>
    <w:rsid w:val="0F68A779"/>
    <w:rsid w:val="0F7186AF"/>
    <w:rsid w:val="0F71DB1C"/>
    <w:rsid w:val="0F726853"/>
    <w:rsid w:val="0F78205C"/>
    <w:rsid w:val="0F79856D"/>
    <w:rsid w:val="0F80C07F"/>
    <w:rsid w:val="0F81BE4C"/>
    <w:rsid w:val="0F8FD400"/>
    <w:rsid w:val="0F9E4D6C"/>
    <w:rsid w:val="0FA53B93"/>
    <w:rsid w:val="0FAA9EB6"/>
    <w:rsid w:val="0FAACF56"/>
    <w:rsid w:val="0FAEE5EB"/>
    <w:rsid w:val="0FBB5E44"/>
    <w:rsid w:val="0FBD98C5"/>
    <w:rsid w:val="0FC1428D"/>
    <w:rsid w:val="0FC2F0A8"/>
    <w:rsid w:val="0FC3AF96"/>
    <w:rsid w:val="0FCDC991"/>
    <w:rsid w:val="0FD00D94"/>
    <w:rsid w:val="0FD69C10"/>
    <w:rsid w:val="0FE9C96C"/>
    <w:rsid w:val="0FF0D7F1"/>
    <w:rsid w:val="0FF65032"/>
    <w:rsid w:val="0FFE7E59"/>
    <w:rsid w:val="10187FE1"/>
    <w:rsid w:val="1018F7A5"/>
    <w:rsid w:val="1018FC49"/>
    <w:rsid w:val="101967F0"/>
    <w:rsid w:val="101A0695"/>
    <w:rsid w:val="101BFE34"/>
    <w:rsid w:val="1021F241"/>
    <w:rsid w:val="10270C5A"/>
    <w:rsid w:val="10307072"/>
    <w:rsid w:val="1031D705"/>
    <w:rsid w:val="103794B9"/>
    <w:rsid w:val="1039F6EB"/>
    <w:rsid w:val="103A1B4F"/>
    <w:rsid w:val="10460F4D"/>
    <w:rsid w:val="10468940"/>
    <w:rsid w:val="1054EFA3"/>
    <w:rsid w:val="1058DEB5"/>
    <w:rsid w:val="105ACF76"/>
    <w:rsid w:val="105D6D43"/>
    <w:rsid w:val="105DD452"/>
    <w:rsid w:val="10721ED6"/>
    <w:rsid w:val="10750572"/>
    <w:rsid w:val="107C36E8"/>
    <w:rsid w:val="107FBBB3"/>
    <w:rsid w:val="10889AF2"/>
    <w:rsid w:val="108A026D"/>
    <w:rsid w:val="108FCE75"/>
    <w:rsid w:val="10921128"/>
    <w:rsid w:val="10A0B2EF"/>
    <w:rsid w:val="10A1DE2D"/>
    <w:rsid w:val="10A867A0"/>
    <w:rsid w:val="10AE9B43"/>
    <w:rsid w:val="10B18028"/>
    <w:rsid w:val="10C4FDE2"/>
    <w:rsid w:val="10D268B8"/>
    <w:rsid w:val="10D46971"/>
    <w:rsid w:val="10DA893E"/>
    <w:rsid w:val="10DF732E"/>
    <w:rsid w:val="10DFD5C7"/>
    <w:rsid w:val="10EC9B9A"/>
    <w:rsid w:val="10F2E1CA"/>
    <w:rsid w:val="10F6ACF7"/>
    <w:rsid w:val="10F921E1"/>
    <w:rsid w:val="1100BD01"/>
    <w:rsid w:val="11067417"/>
    <w:rsid w:val="1109F91D"/>
    <w:rsid w:val="110D86E9"/>
    <w:rsid w:val="1110C98F"/>
    <w:rsid w:val="1114A455"/>
    <w:rsid w:val="11166DE7"/>
    <w:rsid w:val="1117B5BF"/>
    <w:rsid w:val="111863AE"/>
    <w:rsid w:val="1119AFF5"/>
    <w:rsid w:val="111D8EAD"/>
    <w:rsid w:val="111FAD1A"/>
    <w:rsid w:val="112599AA"/>
    <w:rsid w:val="112D2431"/>
    <w:rsid w:val="113AEA5B"/>
    <w:rsid w:val="11644BB7"/>
    <w:rsid w:val="116691DC"/>
    <w:rsid w:val="117BDFDC"/>
    <w:rsid w:val="117D4297"/>
    <w:rsid w:val="117ECED5"/>
    <w:rsid w:val="1182510A"/>
    <w:rsid w:val="11845AF9"/>
    <w:rsid w:val="1188002E"/>
    <w:rsid w:val="11884821"/>
    <w:rsid w:val="1189BDC5"/>
    <w:rsid w:val="1189C24A"/>
    <w:rsid w:val="118B096E"/>
    <w:rsid w:val="118B73AF"/>
    <w:rsid w:val="1190A83A"/>
    <w:rsid w:val="1193B602"/>
    <w:rsid w:val="119B87BD"/>
    <w:rsid w:val="119BD811"/>
    <w:rsid w:val="11A2C3F2"/>
    <w:rsid w:val="11A38966"/>
    <w:rsid w:val="11A67D4F"/>
    <w:rsid w:val="11A9822C"/>
    <w:rsid w:val="11A9F1F3"/>
    <w:rsid w:val="11AE0A7C"/>
    <w:rsid w:val="11B26220"/>
    <w:rsid w:val="11B5770E"/>
    <w:rsid w:val="11BC0899"/>
    <w:rsid w:val="11C40897"/>
    <w:rsid w:val="11CAAE96"/>
    <w:rsid w:val="11D30E64"/>
    <w:rsid w:val="11DAC919"/>
    <w:rsid w:val="11DDFD56"/>
    <w:rsid w:val="11DE07EE"/>
    <w:rsid w:val="11E16EB6"/>
    <w:rsid w:val="11F48883"/>
    <w:rsid w:val="11F72D45"/>
    <w:rsid w:val="12011C44"/>
    <w:rsid w:val="1205D47F"/>
    <w:rsid w:val="120C3CB3"/>
    <w:rsid w:val="120CD1DF"/>
    <w:rsid w:val="121D5321"/>
    <w:rsid w:val="1229FE30"/>
    <w:rsid w:val="122ECB64"/>
    <w:rsid w:val="12328CB7"/>
    <w:rsid w:val="123ADD26"/>
    <w:rsid w:val="123F3024"/>
    <w:rsid w:val="12437EC6"/>
    <w:rsid w:val="124869E3"/>
    <w:rsid w:val="124B98C8"/>
    <w:rsid w:val="124DB2A0"/>
    <w:rsid w:val="12558D3B"/>
    <w:rsid w:val="12578078"/>
    <w:rsid w:val="1257ADF5"/>
    <w:rsid w:val="125F70EE"/>
    <w:rsid w:val="125F77BC"/>
    <w:rsid w:val="1260BF08"/>
    <w:rsid w:val="1269B824"/>
    <w:rsid w:val="126BD871"/>
    <w:rsid w:val="126CAD51"/>
    <w:rsid w:val="126F67E1"/>
    <w:rsid w:val="12772D8D"/>
    <w:rsid w:val="1279F941"/>
    <w:rsid w:val="127EAF38"/>
    <w:rsid w:val="1282D363"/>
    <w:rsid w:val="128E545B"/>
    <w:rsid w:val="12955143"/>
    <w:rsid w:val="12971633"/>
    <w:rsid w:val="129ABAD8"/>
    <w:rsid w:val="129DB77C"/>
    <w:rsid w:val="129E01BA"/>
    <w:rsid w:val="12A3122B"/>
    <w:rsid w:val="12A547D2"/>
    <w:rsid w:val="12A78FD7"/>
    <w:rsid w:val="12AD451F"/>
    <w:rsid w:val="12B174AF"/>
    <w:rsid w:val="12B3D3FC"/>
    <w:rsid w:val="12B86141"/>
    <w:rsid w:val="12BAA188"/>
    <w:rsid w:val="12CCD214"/>
    <w:rsid w:val="12DD1C03"/>
    <w:rsid w:val="12DDD617"/>
    <w:rsid w:val="12E4041C"/>
    <w:rsid w:val="12E4FD28"/>
    <w:rsid w:val="12ED8DD2"/>
    <w:rsid w:val="12F81220"/>
    <w:rsid w:val="12FE1C98"/>
    <w:rsid w:val="13060A1E"/>
    <w:rsid w:val="1306A071"/>
    <w:rsid w:val="1307C1CF"/>
    <w:rsid w:val="13111725"/>
    <w:rsid w:val="13115694"/>
    <w:rsid w:val="13162B8E"/>
    <w:rsid w:val="131AE51D"/>
    <w:rsid w:val="1323AED6"/>
    <w:rsid w:val="132611BD"/>
    <w:rsid w:val="132A7D85"/>
    <w:rsid w:val="132CE83E"/>
    <w:rsid w:val="132D24EC"/>
    <w:rsid w:val="1330B91E"/>
    <w:rsid w:val="1337459B"/>
    <w:rsid w:val="13447BF3"/>
    <w:rsid w:val="13465F68"/>
    <w:rsid w:val="134D6F28"/>
    <w:rsid w:val="134F92E6"/>
    <w:rsid w:val="135B3CC5"/>
    <w:rsid w:val="136E3DC3"/>
    <w:rsid w:val="13753656"/>
    <w:rsid w:val="13798180"/>
    <w:rsid w:val="137B81B2"/>
    <w:rsid w:val="137E28E8"/>
    <w:rsid w:val="1387C3AD"/>
    <w:rsid w:val="1389B260"/>
    <w:rsid w:val="138E461F"/>
    <w:rsid w:val="1393B066"/>
    <w:rsid w:val="1394FB36"/>
    <w:rsid w:val="13976355"/>
    <w:rsid w:val="139C677C"/>
    <w:rsid w:val="139EB45C"/>
    <w:rsid w:val="13A00F17"/>
    <w:rsid w:val="13A2A6E0"/>
    <w:rsid w:val="13A6B226"/>
    <w:rsid w:val="13B4C956"/>
    <w:rsid w:val="13BDB138"/>
    <w:rsid w:val="13C4D8B6"/>
    <w:rsid w:val="13C51297"/>
    <w:rsid w:val="13C73251"/>
    <w:rsid w:val="13CBFDBE"/>
    <w:rsid w:val="13CCF499"/>
    <w:rsid w:val="13D4646F"/>
    <w:rsid w:val="13D7BBDB"/>
    <w:rsid w:val="13D8B72E"/>
    <w:rsid w:val="13DD461D"/>
    <w:rsid w:val="13E3DB60"/>
    <w:rsid w:val="13EB3070"/>
    <w:rsid w:val="13EC21A7"/>
    <w:rsid w:val="13EE9E22"/>
    <w:rsid w:val="13EF2A64"/>
    <w:rsid w:val="13F82C98"/>
    <w:rsid w:val="140093F5"/>
    <w:rsid w:val="140743A4"/>
    <w:rsid w:val="140A1F21"/>
    <w:rsid w:val="140BF5E9"/>
    <w:rsid w:val="140E6225"/>
    <w:rsid w:val="141102C4"/>
    <w:rsid w:val="14140EEF"/>
    <w:rsid w:val="14199246"/>
    <w:rsid w:val="141DAAC9"/>
    <w:rsid w:val="14202D7B"/>
    <w:rsid w:val="142111F9"/>
    <w:rsid w:val="1422DB9C"/>
    <w:rsid w:val="14242F4A"/>
    <w:rsid w:val="142710BC"/>
    <w:rsid w:val="14361E3F"/>
    <w:rsid w:val="143698CE"/>
    <w:rsid w:val="1441670E"/>
    <w:rsid w:val="144272FE"/>
    <w:rsid w:val="1442ABCA"/>
    <w:rsid w:val="144F9DAA"/>
    <w:rsid w:val="145431A2"/>
    <w:rsid w:val="1455CA73"/>
    <w:rsid w:val="1456E3C9"/>
    <w:rsid w:val="14581E5D"/>
    <w:rsid w:val="145D0281"/>
    <w:rsid w:val="14608481"/>
    <w:rsid w:val="147238A0"/>
    <w:rsid w:val="147302D1"/>
    <w:rsid w:val="1478AEFB"/>
    <w:rsid w:val="147EAB3D"/>
    <w:rsid w:val="1489AAED"/>
    <w:rsid w:val="148C99CB"/>
    <w:rsid w:val="148D2163"/>
    <w:rsid w:val="14A1DA7F"/>
    <w:rsid w:val="14A29218"/>
    <w:rsid w:val="14A2D5C7"/>
    <w:rsid w:val="14A7283A"/>
    <w:rsid w:val="14A93034"/>
    <w:rsid w:val="14A9B3A6"/>
    <w:rsid w:val="14AA40A6"/>
    <w:rsid w:val="14B12393"/>
    <w:rsid w:val="14B4A2DF"/>
    <w:rsid w:val="14BD7F58"/>
    <w:rsid w:val="14C29988"/>
    <w:rsid w:val="14C6D1B5"/>
    <w:rsid w:val="14C7D4BE"/>
    <w:rsid w:val="14C848FC"/>
    <w:rsid w:val="14CBB428"/>
    <w:rsid w:val="14CFE8B9"/>
    <w:rsid w:val="14D36B23"/>
    <w:rsid w:val="14D4ADD0"/>
    <w:rsid w:val="14D9D8B6"/>
    <w:rsid w:val="14DE0750"/>
    <w:rsid w:val="14E807F9"/>
    <w:rsid w:val="14F12372"/>
    <w:rsid w:val="14F3A95B"/>
    <w:rsid w:val="14F54899"/>
    <w:rsid w:val="14F5D46A"/>
    <w:rsid w:val="14F91418"/>
    <w:rsid w:val="14FE7F7D"/>
    <w:rsid w:val="150121F3"/>
    <w:rsid w:val="1501C3C2"/>
    <w:rsid w:val="1503AEC4"/>
    <w:rsid w:val="15077F4B"/>
    <w:rsid w:val="150FDD79"/>
    <w:rsid w:val="1510C386"/>
    <w:rsid w:val="151205A5"/>
    <w:rsid w:val="15190F78"/>
    <w:rsid w:val="1519C6D4"/>
    <w:rsid w:val="151B2287"/>
    <w:rsid w:val="151BA831"/>
    <w:rsid w:val="151F3D3E"/>
    <w:rsid w:val="15312EC0"/>
    <w:rsid w:val="153251D8"/>
    <w:rsid w:val="154B10CF"/>
    <w:rsid w:val="154F2169"/>
    <w:rsid w:val="15530B78"/>
    <w:rsid w:val="15530FEB"/>
    <w:rsid w:val="15533EFC"/>
    <w:rsid w:val="155727EE"/>
    <w:rsid w:val="155A0C05"/>
    <w:rsid w:val="155DB7A0"/>
    <w:rsid w:val="157280E2"/>
    <w:rsid w:val="15798D33"/>
    <w:rsid w:val="1579FAF4"/>
    <w:rsid w:val="158347E5"/>
    <w:rsid w:val="1589E07A"/>
    <w:rsid w:val="158D2DFD"/>
    <w:rsid w:val="158FBC7D"/>
    <w:rsid w:val="158FE62F"/>
    <w:rsid w:val="1596ACE9"/>
    <w:rsid w:val="15970F4B"/>
    <w:rsid w:val="159CCF15"/>
    <w:rsid w:val="15A29F57"/>
    <w:rsid w:val="15A5680A"/>
    <w:rsid w:val="15A686FA"/>
    <w:rsid w:val="15B08E26"/>
    <w:rsid w:val="15B42FC7"/>
    <w:rsid w:val="15BB5920"/>
    <w:rsid w:val="15BD1EA6"/>
    <w:rsid w:val="15BDE45F"/>
    <w:rsid w:val="15C6A3CC"/>
    <w:rsid w:val="15D052B6"/>
    <w:rsid w:val="15E4E5E1"/>
    <w:rsid w:val="15E75C5A"/>
    <w:rsid w:val="15E8256C"/>
    <w:rsid w:val="15E8B665"/>
    <w:rsid w:val="15E98D25"/>
    <w:rsid w:val="15EE4D96"/>
    <w:rsid w:val="15F48C8F"/>
    <w:rsid w:val="16070939"/>
    <w:rsid w:val="161F5620"/>
    <w:rsid w:val="1620C10C"/>
    <w:rsid w:val="163462F6"/>
    <w:rsid w:val="1643CFF4"/>
    <w:rsid w:val="1645A4A8"/>
    <w:rsid w:val="164614C2"/>
    <w:rsid w:val="16472900"/>
    <w:rsid w:val="16483AD5"/>
    <w:rsid w:val="16542277"/>
    <w:rsid w:val="165E342C"/>
    <w:rsid w:val="166939C4"/>
    <w:rsid w:val="16845146"/>
    <w:rsid w:val="1688C23F"/>
    <w:rsid w:val="168B5172"/>
    <w:rsid w:val="1690989A"/>
    <w:rsid w:val="1697D9A3"/>
    <w:rsid w:val="16986E66"/>
    <w:rsid w:val="169DF045"/>
    <w:rsid w:val="16A66F9C"/>
    <w:rsid w:val="16A92069"/>
    <w:rsid w:val="16B32F5C"/>
    <w:rsid w:val="16BD30C6"/>
    <w:rsid w:val="16BD5704"/>
    <w:rsid w:val="16CAE556"/>
    <w:rsid w:val="16CE2239"/>
    <w:rsid w:val="16D268AF"/>
    <w:rsid w:val="16D410D6"/>
    <w:rsid w:val="16E12BB3"/>
    <w:rsid w:val="16E2680A"/>
    <w:rsid w:val="16EA7165"/>
    <w:rsid w:val="16EF6036"/>
    <w:rsid w:val="16F2BF32"/>
    <w:rsid w:val="16F4E7E3"/>
    <w:rsid w:val="16F67D28"/>
    <w:rsid w:val="1712564C"/>
    <w:rsid w:val="172148C1"/>
    <w:rsid w:val="17278E8A"/>
    <w:rsid w:val="172E5194"/>
    <w:rsid w:val="17317F0C"/>
    <w:rsid w:val="1735CC12"/>
    <w:rsid w:val="1737618D"/>
    <w:rsid w:val="174C146E"/>
    <w:rsid w:val="1755CAEF"/>
    <w:rsid w:val="1757AB41"/>
    <w:rsid w:val="175C24F1"/>
    <w:rsid w:val="175F6C5A"/>
    <w:rsid w:val="17646AA7"/>
    <w:rsid w:val="17677386"/>
    <w:rsid w:val="176F73BC"/>
    <w:rsid w:val="177B24CD"/>
    <w:rsid w:val="177CC6CF"/>
    <w:rsid w:val="177D044B"/>
    <w:rsid w:val="177E754B"/>
    <w:rsid w:val="177E826A"/>
    <w:rsid w:val="17820DA5"/>
    <w:rsid w:val="1785E7D5"/>
    <w:rsid w:val="1786CA89"/>
    <w:rsid w:val="178CE924"/>
    <w:rsid w:val="1799A916"/>
    <w:rsid w:val="179EB0F2"/>
    <w:rsid w:val="17AADDE6"/>
    <w:rsid w:val="17AE9AC3"/>
    <w:rsid w:val="17B0A9A2"/>
    <w:rsid w:val="17B32E8E"/>
    <w:rsid w:val="17B83432"/>
    <w:rsid w:val="17BF0135"/>
    <w:rsid w:val="17C90A1A"/>
    <w:rsid w:val="17CDD2DE"/>
    <w:rsid w:val="17CFF8A8"/>
    <w:rsid w:val="17D0286C"/>
    <w:rsid w:val="17D18DBB"/>
    <w:rsid w:val="17D1C922"/>
    <w:rsid w:val="17D2E7F2"/>
    <w:rsid w:val="17D4E8F7"/>
    <w:rsid w:val="17DC4DCE"/>
    <w:rsid w:val="17E0A3D5"/>
    <w:rsid w:val="17F08BE7"/>
    <w:rsid w:val="17F14A12"/>
    <w:rsid w:val="17F6F29C"/>
    <w:rsid w:val="180134AF"/>
    <w:rsid w:val="18050B9D"/>
    <w:rsid w:val="18158D61"/>
    <w:rsid w:val="181D41F1"/>
    <w:rsid w:val="181F68C0"/>
    <w:rsid w:val="1821EDB7"/>
    <w:rsid w:val="182ABE3C"/>
    <w:rsid w:val="1830387B"/>
    <w:rsid w:val="18325949"/>
    <w:rsid w:val="18389B47"/>
    <w:rsid w:val="183B0A77"/>
    <w:rsid w:val="183B19BF"/>
    <w:rsid w:val="183EE229"/>
    <w:rsid w:val="1844727A"/>
    <w:rsid w:val="184F7FB1"/>
    <w:rsid w:val="18543DB7"/>
    <w:rsid w:val="185B0375"/>
    <w:rsid w:val="185DBAC6"/>
    <w:rsid w:val="1861C2D8"/>
    <w:rsid w:val="18667A22"/>
    <w:rsid w:val="18692E3C"/>
    <w:rsid w:val="1869F29A"/>
    <w:rsid w:val="186CDD09"/>
    <w:rsid w:val="186F9F42"/>
    <w:rsid w:val="1877D46D"/>
    <w:rsid w:val="18785C0C"/>
    <w:rsid w:val="188B9E04"/>
    <w:rsid w:val="188CE38C"/>
    <w:rsid w:val="1894AEC1"/>
    <w:rsid w:val="189A0186"/>
    <w:rsid w:val="189EC681"/>
    <w:rsid w:val="18B58AF0"/>
    <w:rsid w:val="18B739B1"/>
    <w:rsid w:val="18BDF923"/>
    <w:rsid w:val="18C57F30"/>
    <w:rsid w:val="18C786F1"/>
    <w:rsid w:val="18DBC361"/>
    <w:rsid w:val="18DFBB53"/>
    <w:rsid w:val="18E0CE39"/>
    <w:rsid w:val="18E19502"/>
    <w:rsid w:val="18E3161B"/>
    <w:rsid w:val="18E50A59"/>
    <w:rsid w:val="18E6D068"/>
    <w:rsid w:val="18E6DE90"/>
    <w:rsid w:val="18ED3368"/>
    <w:rsid w:val="18F03916"/>
    <w:rsid w:val="18F25C93"/>
    <w:rsid w:val="18F510B7"/>
    <w:rsid w:val="18F5FE92"/>
    <w:rsid w:val="18FA81DF"/>
    <w:rsid w:val="19018FBA"/>
    <w:rsid w:val="1901B08F"/>
    <w:rsid w:val="19039D5A"/>
    <w:rsid w:val="1903A34C"/>
    <w:rsid w:val="19094349"/>
    <w:rsid w:val="1912F967"/>
    <w:rsid w:val="1917CC7D"/>
    <w:rsid w:val="191E837D"/>
    <w:rsid w:val="1920D29C"/>
    <w:rsid w:val="192A5A7F"/>
    <w:rsid w:val="1930D8E1"/>
    <w:rsid w:val="1930F2D7"/>
    <w:rsid w:val="19334775"/>
    <w:rsid w:val="19359CE5"/>
    <w:rsid w:val="193D3119"/>
    <w:rsid w:val="193F6FAF"/>
    <w:rsid w:val="193F78CE"/>
    <w:rsid w:val="1945427B"/>
    <w:rsid w:val="19473EB7"/>
    <w:rsid w:val="195091D6"/>
    <w:rsid w:val="1951B6C8"/>
    <w:rsid w:val="19578E0A"/>
    <w:rsid w:val="196080A7"/>
    <w:rsid w:val="1961B02D"/>
    <w:rsid w:val="1969D98F"/>
    <w:rsid w:val="1971213B"/>
    <w:rsid w:val="1976BD7B"/>
    <w:rsid w:val="198155CB"/>
    <w:rsid w:val="1984ACA9"/>
    <w:rsid w:val="19854ABD"/>
    <w:rsid w:val="1986EA5F"/>
    <w:rsid w:val="19876EF8"/>
    <w:rsid w:val="198D4FBC"/>
    <w:rsid w:val="198F6CDE"/>
    <w:rsid w:val="199DADB7"/>
    <w:rsid w:val="19AB3D02"/>
    <w:rsid w:val="19BF6C10"/>
    <w:rsid w:val="19C55B69"/>
    <w:rsid w:val="19C68279"/>
    <w:rsid w:val="19C94258"/>
    <w:rsid w:val="19D58D9E"/>
    <w:rsid w:val="19EF1468"/>
    <w:rsid w:val="19F2EE99"/>
    <w:rsid w:val="19FAC406"/>
    <w:rsid w:val="19FE9470"/>
    <w:rsid w:val="1A0778D7"/>
    <w:rsid w:val="1A07F450"/>
    <w:rsid w:val="1A08CA8B"/>
    <w:rsid w:val="1A159C59"/>
    <w:rsid w:val="1A17203D"/>
    <w:rsid w:val="1A1764ED"/>
    <w:rsid w:val="1A1B3D75"/>
    <w:rsid w:val="1A1FBA3B"/>
    <w:rsid w:val="1A21854A"/>
    <w:rsid w:val="1A3B4A51"/>
    <w:rsid w:val="1A4005F8"/>
    <w:rsid w:val="1A4443C7"/>
    <w:rsid w:val="1A49192F"/>
    <w:rsid w:val="1A59E5C6"/>
    <w:rsid w:val="1A5E963F"/>
    <w:rsid w:val="1A640D4A"/>
    <w:rsid w:val="1A6BA790"/>
    <w:rsid w:val="1A7BD751"/>
    <w:rsid w:val="1A7D8A86"/>
    <w:rsid w:val="1A8F2A7B"/>
    <w:rsid w:val="1AB093F4"/>
    <w:rsid w:val="1AB4AB45"/>
    <w:rsid w:val="1AB4E445"/>
    <w:rsid w:val="1ABEFFF2"/>
    <w:rsid w:val="1AD491B3"/>
    <w:rsid w:val="1AD84E1B"/>
    <w:rsid w:val="1ADA3569"/>
    <w:rsid w:val="1AE12D5F"/>
    <w:rsid w:val="1AE1A223"/>
    <w:rsid w:val="1AE38435"/>
    <w:rsid w:val="1AF24476"/>
    <w:rsid w:val="1B096CB2"/>
    <w:rsid w:val="1B0A5D60"/>
    <w:rsid w:val="1B0B4A4D"/>
    <w:rsid w:val="1B121CAC"/>
    <w:rsid w:val="1B128DDC"/>
    <w:rsid w:val="1B1E9C86"/>
    <w:rsid w:val="1B20C0D9"/>
    <w:rsid w:val="1B254FC7"/>
    <w:rsid w:val="1B27BA2A"/>
    <w:rsid w:val="1B29010D"/>
    <w:rsid w:val="1B29C98A"/>
    <w:rsid w:val="1B2F0891"/>
    <w:rsid w:val="1B324E91"/>
    <w:rsid w:val="1B35A8DA"/>
    <w:rsid w:val="1B3920FA"/>
    <w:rsid w:val="1B4871E0"/>
    <w:rsid w:val="1B48DE78"/>
    <w:rsid w:val="1B495938"/>
    <w:rsid w:val="1B530620"/>
    <w:rsid w:val="1B5B310F"/>
    <w:rsid w:val="1B5F9399"/>
    <w:rsid w:val="1B8318D9"/>
    <w:rsid w:val="1B8431CF"/>
    <w:rsid w:val="1B8898DE"/>
    <w:rsid w:val="1B8A1CE5"/>
    <w:rsid w:val="1B8F733E"/>
    <w:rsid w:val="1B939C17"/>
    <w:rsid w:val="1B97CA9F"/>
    <w:rsid w:val="1BA569E9"/>
    <w:rsid w:val="1BA7F908"/>
    <w:rsid w:val="1BA83ECE"/>
    <w:rsid w:val="1BB01F09"/>
    <w:rsid w:val="1BB312CC"/>
    <w:rsid w:val="1BBD9233"/>
    <w:rsid w:val="1BC1FF17"/>
    <w:rsid w:val="1BC388F8"/>
    <w:rsid w:val="1BC92254"/>
    <w:rsid w:val="1BD56FFF"/>
    <w:rsid w:val="1BD686D1"/>
    <w:rsid w:val="1BD8C33C"/>
    <w:rsid w:val="1BEDD62E"/>
    <w:rsid w:val="1BEE1FCE"/>
    <w:rsid w:val="1BEF4DA2"/>
    <w:rsid w:val="1BF31227"/>
    <w:rsid w:val="1BFAFFAD"/>
    <w:rsid w:val="1C042F1F"/>
    <w:rsid w:val="1C065E8E"/>
    <w:rsid w:val="1C0F4EF1"/>
    <w:rsid w:val="1C125589"/>
    <w:rsid w:val="1C211CCB"/>
    <w:rsid w:val="1C2553B4"/>
    <w:rsid w:val="1C2DDA6C"/>
    <w:rsid w:val="1C32DD7D"/>
    <w:rsid w:val="1C3A59EF"/>
    <w:rsid w:val="1C3C3A27"/>
    <w:rsid w:val="1C3D2327"/>
    <w:rsid w:val="1C4214E0"/>
    <w:rsid w:val="1C43C241"/>
    <w:rsid w:val="1C45C3D0"/>
    <w:rsid w:val="1C4718A0"/>
    <w:rsid w:val="1C5D6D30"/>
    <w:rsid w:val="1C604154"/>
    <w:rsid w:val="1C690588"/>
    <w:rsid w:val="1C702A01"/>
    <w:rsid w:val="1C705CC4"/>
    <w:rsid w:val="1C72A5AB"/>
    <w:rsid w:val="1C762969"/>
    <w:rsid w:val="1C81FDEE"/>
    <w:rsid w:val="1C832968"/>
    <w:rsid w:val="1C86D23F"/>
    <w:rsid w:val="1C89B0BF"/>
    <w:rsid w:val="1C8CCE39"/>
    <w:rsid w:val="1C8E14D7"/>
    <w:rsid w:val="1C90FBBF"/>
    <w:rsid w:val="1C954DCF"/>
    <w:rsid w:val="1C98F7C6"/>
    <w:rsid w:val="1CA14A7C"/>
    <w:rsid w:val="1CADA2AE"/>
    <w:rsid w:val="1CAE5E3D"/>
    <w:rsid w:val="1CB8D427"/>
    <w:rsid w:val="1CBCEB7F"/>
    <w:rsid w:val="1CC1C9A8"/>
    <w:rsid w:val="1CC23539"/>
    <w:rsid w:val="1CC2B0BB"/>
    <w:rsid w:val="1CCB7BCF"/>
    <w:rsid w:val="1CD03D85"/>
    <w:rsid w:val="1CD41E20"/>
    <w:rsid w:val="1CE1E1A5"/>
    <w:rsid w:val="1CE47BAB"/>
    <w:rsid w:val="1CEE7116"/>
    <w:rsid w:val="1CF24A84"/>
    <w:rsid w:val="1CF806C7"/>
    <w:rsid w:val="1CFC3CE7"/>
    <w:rsid w:val="1CFCB9C0"/>
    <w:rsid w:val="1D058458"/>
    <w:rsid w:val="1D1432C5"/>
    <w:rsid w:val="1D15193B"/>
    <w:rsid w:val="1D16D4D1"/>
    <w:rsid w:val="1D190B99"/>
    <w:rsid w:val="1D1EBB7E"/>
    <w:rsid w:val="1D41503C"/>
    <w:rsid w:val="1D491E8B"/>
    <w:rsid w:val="1D4BC1DB"/>
    <w:rsid w:val="1D4C31D3"/>
    <w:rsid w:val="1D4CB2C6"/>
    <w:rsid w:val="1D4EC0FF"/>
    <w:rsid w:val="1D552920"/>
    <w:rsid w:val="1D566EEB"/>
    <w:rsid w:val="1D5E5D4E"/>
    <w:rsid w:val="1D62D447"/>
    <w:rsid w:val="1D6A1C0F"/>
    <w:rsid w:val="1D6CD4C1"/>
    <w:rsid w:val="1D6D08C8"/>
    <w:rsid w:val="1D6EE003"/>
    <w:rsid w:val="1D7156D0"/>
    <w:rsid w:val="1D751DCF"/>
    <w:rsid w:val="1D7947AC"/>
    <w:rsid w:val="1D7F6871"/>
    <w:rsid w:val="1D967B3F"/>
    <w:rsid w:val="1D975079"/>
    <w:rsid w:val="1DA1BC89"/>
    <w:rsid w:val="1DAE5C0F"/>
    <w:rsid w:val="1DB1B2C2"/>
    <w:rsid w:val="1DB8EEED"/>
    <w:rsid w:val="1DB93CBC"/>
    <w:rsid w:val="1DBC5529"/>
    <w:rsid w:val="1DCBEABB"/>
    <w:rsid w:val="1DDF5483"/>
    <w:rsid w:val="1DE158E8"/>
    <w:rsid w:val="1DE173AB"/>
    <w:rsid w:val="1DE5D861"/>
    <w:rsid w:val="1DE5EC6F"/>
    <w:rsid w:val="1DE8A409"/>
    <w:rsid w:val="1DEF5697"/>
    <w:rsid w:val="1DF03155"/>
    <w:rsid w:val="1DF73D12"/>
    <w:rsid w:val="1DF7DE80"/>
    <w:rsid w:val="1E026DD0"/>
    <w:rsid w:val="1E0797D4"/>
    <w:rsid w:val="1E0E4015"/>
    <w:rsid w:val="1E1ECF52"/>
    <w:rsid w:val="1E29E538"/>
    <w:rsid w:val="1E34769F"/>
    <w:rsid w:val="1E36F132"/>
    <w:rsid w:val="1E3966F7"/>
    <w:rsid w:val="1E49F1FE"/>
    <w:rsid w:val="1E4B156E"/>
    <w:rsid w:val="1E58BBE0"/>
    <w:rsid w:val="1E59DB92"/>
    <w:rsid w:val="1E6214F9"/>
    <w:rsid w:val="1E673DA8"/>
    <w:rsid w:val="1E68B710"/>
    <w:rsid w:val="1E70D619"/>
    <w:rsid w:val="1E76088F"/>
    <w:rsid w:val="1E77564C"/>
    <w:rsid w:val="1E79BE0A"/>
    <w:rsid w:val="1E7E0C45"/>
    <w:rsid w:val="1E90A6C2"/>
    <w:rsid w:val="1E964918"/>
    <w:rsid w:val="1E97A110"/>
    <w:rsid w:val="1E9E3895"/>
    <w:rsid w:val="1E9E9DBE"/>
    <w:rsid w:val="1EA9A4E1"/>
    <w:rsid w:val="1EAC8BDD"/>
    <w:rsid w:val="1EADA766"/>
    <w:rsid w:val="1EB77C73"/>
    <w:rsid w:val="1EBE26CE"/>
    <w:rsid w:val="1EC32212"/>
    <w:rsid w:val="1ECA9E9F"/>
    <w:rsid w:val="1ECCCB86"/>
    <w:rsid w:val="1ECD91D8"/>
    <w:rsid w:val="1EE155EE"/>
    <w:rsid w:val="1EE1F85A"/>
    <w:rsid w:val="1EE8F1E2"/>
    <w:rsid w:val="1EEADCEC"/>
    <w:rsid w:val="1EF494DD"/>
    <w:rsid w:val="1EF79847"/>
    <w:rsid w:val="1EFB1AF4"/>
    <w:rsid w:val="1EFF36DC"/>
    <w:rsid w:val="1F07A903"/>
    <w:rsid w:val="1F16ED5D"/>
    <w:rsid w:val="1F1E9817"/>
    <w:rsid w:val="1F1F6CBF"/>
    <w:rsid w:val="1F2119CE"/>
    <w:rsid w:val="1F24CC74"/>
    <w:rsid w:val="1F350094"/>
    <w:rsid w:val="1F3AE535"/>
    <w:rsid w:val="1F3B96F1"/>
    <w:rsid w:val="1F4C85D7"/>
    <w:rsid w:val="1F4DA5A1"/>
    <w:rsid w:val="1F53857D"/>
    <w:rsid w:val="1F540B61"/>
    <w:rsid w:val="1F60E411"/>
    <w:rsid w:val="1F690FEB"/>
    <w:rsid w:val="1F6D5D34"/>
    <w:rsid w:val="1F7170FB"/>
    <w:rsid w:val="1F7A9A14"/>
    <w:rsid w:val="1F82B8D9"/>
    <w:rsid w:val="1F8724D9"/>
    <w:rsid w:val="1F951514"/>
    <w:rsid w:val="1F97BABF"/>
    <w:rsid w:val="1F9ECC53"/>
    <w:rsid w:val="1FA1E751"/>
    <w:rsid w:val="1FA6CEA4"/>
    <w:rsid w:val="1FA7CAC3"/>
    <w:rsid w:val="1FB9C360"/>
    <w:rsid w:val="1FBCCB5E"/>
    <w:rsid w:val="1FC2444F"/>
    <w:rsid w:val="1FC2C248"/>
    <w:rsid w:val="1FD63914"/>
    <w:rsid w:val="1FD74FC7"/>
    <w:rsid w:val="1FDCBECE"/>
    <w:rsid w:val="1FE48D26"/>
    <w:rsid w:val="1FE5FEFF"/>
    <w:rsid w:val="1FE96173"/>
    <w:rsid w:val="1FEA8D36"/>
    <w:rsid w:val="1FED4735"/>
    <w:rsid w:val="1FEDD56F"/>
    <w:rsid w:val="1FFB6594"/>
    <w:rsid w:val="2005E837"/>
    <w:rsid w:val="201017EA"/>
    <w:rsid w:val="20113223"/>
    <w:rsid w:val="2011C010"/>
    <w:rsid w:val="20142836"/>
    <w:rsid w:val="20266362"/>
    <w:rsid w:val="203437AC"/>
    <w:rsid w:val="203DD234"/>
    <w:rsid w:val="203E51DD"/>
    <w:rsid w:val="2040E945"/>
    <w:rsid w:val="2044F465"/>
    <w:rsid w:val="204B4A46"/>
    <w:rsid w:val="204D8905"/>
    <w:rsid w:val="205114CA"/>
    <w:rsid w:val="205727C1"/>
    <w:rsid w:val="2058163C"/>
    <w:rsid w:val="205C4017"/>
    <w:rsid w:val="206329E3"/>
    <w:rsid w:val="206909D7"/>
    <w:rsid w:val="206B9B35"/>
    <w:rsid w:val="2070D444"/>
    <w:rsid w:val="2071A5F5"/>
    <w:rsid w:val="207D264F"/>
    <w:rsid w:val="208240D9"/>
    <w:rsid w:val="2083FD9D"/>
    <w:rsid w:val="208661C1"/>
    <w:rsid w:val="2088065A"/>
    <w:rsid w:val="2089E682"/>
    <w:rsid w:val="208C8CFC"/>
    <w:rsid w:val="209B1246"/>
    <w:rsid w:val="209BC228"/>
    <w:rsid w:val="20A4291E"/>
    <w:rsid w:val="20A4749E"/>
    <w:rsid w:val="20A78970"/>
    <w:rsid w:val="20A81CD9"/>
    <w:rsid w:val="20A8654F"/>
    <w:rsid w:val="20ABEF07"/>
    <w:rsid w:val="20AC29FF"/>
    <w:rsid w:val="20AF59AB"/>
    <w:rsid w:val="20AFFADE"/>
    <w:rsid w:val="20BA0D80"/>
    <w:rsid w:val="20BCC189"/>
    <w:rsid w:val="20C35319"/>
    <w:rsid w:val="20C65908"/>
    <w:rsid w:val="20CDF6D0"/>
    <w:rsid w:val="20CEF13B"/>
    <w:rsid w:val="20D56C4A"/>
    <w:rsid w:val="20DDD1C3"/>
    <w:rsid w:val="20DE44A5"/>
    <w:rsid w:val="20DF4543"/>
    <w:rsid w:val="20E18652"/>
    <w:rsid w:val="20EAEA1A"/>
    <w:rsid w:val="20ED7CB7"/>
    <w:rsid w:val="20F2EA4F"/>
    <w:rsid w:val="21010809"/>
    <w:rsid w:val="2117FC7F"/>
    <w:rsid w:val="2119A388"/>
    <w:rsid w:val="211C9665"/>
    <w:rsid w:val="212BD8FE"/>
    <w:rsid w:val="212BE268"/>
    <w:rsid w:val="212EA291"/>
    <w:rsid w:val="2131571A"/>
    <w:rsid w:val="213382CD"/>
    <w:rsid w:val="21338B20"/>
    <w:rsid w:val="213E1B03"/>
    <w:rsid w:val="21400E5D"/>
    <w:rsid w:val="21450F24"/>
    <w:rsid w:val="214E3325"/>
    <w:rsid w:val="21574458"/>
    <w:rsid w:val="21598273"/>
    <w:rsid w:val="21681576"/>
    <w:rsid w:val="21710FD0"/>
    <w:rsid w:val="2172EDDE"/>
    <w:rsid w:val="217A0CB3"/>
    <w:rsid w:val="217A29B2"/>
    <w:rsid w:val="21805D87"/>
    <w:rsid w:val="218427A7"/>
    <w:rsid w:val="21863294"/>
    <w:rsid w:val="219280DD"/>
    <w:rsid w:val="21936E94"/>
    <w:rsid w:val="21A2CCA2"/>
    <w:rsid w:val="21B8E343"/>
    <w:rsid w:val="21BA3B79"/>
    <w:rsid w:val="21BDDFEA"/>
    <w:rsid w:val="21C1436C"/>
    <w:rsid w:val="21C247A4"/>
    <w:rsid w:val="21C3F73D"/>
    <w:rsid w:val="21D424A1"/>
    <w:rsid w:val="21D45FAA"/>
    <w:rsid w:val="21D8BA82"/>
    <w:rsid w:val="21DF195A"/>
    <w:rsid w:val="21E30DB3"/>
    <w:rsid w:val="21E3CDA6"/>
    <w:rsid w:val="21F12672"/>
    <w:rsid w:val="220350AE"/>
    <w:rsid w:val="2204AF1D"/>
    <w:rsid w:val="2204D61B"/>
    <w:rsid w:val="22066E28"/>
    <w:rsid w:val="220BED19"/>
    <w:rsid w:val="220D455B"/>
    <w:rsid w:val="220FA937"/>
    <w:rsid w:val="2224A395"/>
    <w:rsid w:val="22284143"/>
    <w:rsid w:val="222E8531"/>
    <w:rsid w:val="2232B560"/>
    <w:rsid w:val="22351192"/>
    <w:rsid w:val="22364023"/>
    <w:rsid w:val="2237DC10"/>
    <w:rsid w:val="22381C06"/>
    <w:rsid w:val="223B5C6B"/>
    <w:rsid w:val="22409290"/>
    <w:rsid w:val="2245A2B9"/>
    <w:rsid w:val="224E2466"/>
    <w:rsid w:val="225FDA3F"/>
    <w:rsid w:val="225FDB10"/>
    <w:rsid w:val="22630F57"/>
    <w:rsid w:val="22668650"/>
    <w:rsid w:val="22699C43"/>
    <w:rsid w:val="2270B8A3"/>
    <w:rsid w:val="227168F8"/>
    <w:rsid w:val="227357EB"/>
    <w:rsid w:val="2275238B"/>
    <w:rsid w:val="227990A7"/>
    <w:rsid w:val="2287DFC6"/>
    <w:rsid w:val="2294B5C2"/>
    <w:rsid w:val="2294BCBC"/>
    <w:rsid w:val="22AFA049"/>
    <w:rsid w:val="22B8A012"/>
    <w:rsid w:val="22BB968A"/>
    <w:rsid w:val="22BE7CFE"/>
    <w:rsid w:val="22CC1BAC"/>
    <w:rsid w:val="22D36B44"/>
    <w:rsid w:val="22D64148"/>
    <w:rsid w:val="22D98ECB"/>
    <w:rsid w:val="22DC2E88"/>
    <w:rsid w:val="22E4B205"/>
    <w:rsid w:val="22E7DB80"/>
    <w:rsid w:val="22F711B7"/>
    <w:rsid w:val="23050784"/>
    <w:rsid w:val="230B65C7"/>
    <w:rsid w:val="230D5201"/>
    <w:rsid w:val="230DBEA2"/>
    <w:rsid w:val="23122174"/>
    <w:rsid w:val="23258D47"/>
    <w:rsid w:val="23283811"/>
    <w:rsid w:val="232884E4"/>
    <w:rsid w:val="23307812"/>
    <w:rsid w:val="23395D59"/>
    <w:rsid w:val="233DEEB5"/>
    <w:rsid w:val="233E37D2"/>
    <w:rsid w:val="23460CFC"/>
    <w:rsid w:val="234774AF"/>
    <w:rsid w:val="234BC8F8"/>
    <w:rsid w:val="234E9188"/>
    <w:rsid w:val="2359A736"/>
    <w:rsid w:val="2359E27A"/>
    <w:rsid w:val="23658E4D"/>
    <w:rsid w:val="236642F4"/>
    <w:rsid w:val="23665460"/>
    <w:rsid w:val="2366D9CB"/>
    <w:rsid w:val="23672F80"/>
    <w:rsid w:val="23701C2F"/>
    <w:rsid w:val="23763288"/>
    <w:rsid w:val="237798D0"/>
    <w:rsid w:val="2379DF4C"/>
    <w:rsid w:val="2379FBE5"/>
    <w:rsid w:val="23841557"/>
    <w:rsid w:val="238B7938"/>
    <w:rsid w:val="238DC5D3"/>
    <w:rsid w:val="238F4507"/>
    <w:rsid w:val="23915CDF"/>
    <w:rsid w:val="2397B6CE"/>
    <w:rsid w:val="239E037F"/>
    <w:rsid w:val="23A28BA2"/>
    <w:rsid w:val="23A2A349"/>
    <w:rsid w:val="23A6C4E3"/>
    <w:rsid w:val="23A856BA"/>
    <w:rsid w:val="23A920C2"/>
    <w:rsid w:val="23A92CC9"/>
    <w:rsid w:val="23B8B6C1"/>
    <w:rsid w:val="23BA1DAE"/>
    <w:rsid w:val="23C64601"/>
    <w:rsid w:val="23CA9163"/>
    <w:rsid w:val="23D35969"/>
    <w:rsid w:val="23D4E2EB"/>
    <w:rsid w:val="23DCADBD"/>
    <w:rsid w:val="23E6CD24"/>
    <w:rsid w:val="23EA4934"/>
    <w:rsid w:val="23EE13EF"/>
    <w:rsid w:val="23EF2E81"/>
    <w:rsid w:val="23F09EDB"/>
    <w:rsid w:val="23F2CA0B"/>
    <w:rsid w:val="23F9AD70"/>
    <w:rsid w:val="23FCD686"/>
    <w:rsid w:val="23FE116E"/>
    <w:rsid w:val="23FE9F10"/>
    <w:rsid w:val="2401EF64"/>
    <w:rsid w:val="2409F1C2"/>
    <w:rsid w:val="240E4F6C"/>
    <w:rsid w:val="240F6EEC"/>
    <w:rsid w:val="2416E022"/>
    <w:rsid w:val="24180BD0"/>
    <w:rsid w:val="2419301F"/>
    <w:rsid w:val="241EA545"/>
    <w:rsid w:val="24241743"/>
    <w:rsid w:val="2424CB3B"/>
    <w:rsid w:val="242B8484"/>
    <w:rsid w:val="2432811F"/>
    <w:rsid w:val="243D5F04"/>
    <w:rsid w:val="243F8BE8"/>
    <w:rsid w:val="24466871"/>
    <w:rsid w:val="2447FC55"/>
    <w:rsid w:val="2450F204"/>
    <w:rsid w:val="245519CA"/>
    <w:rsid w:val="2455ECFB"/>
    <w:rsid w:val="245A2D97"/>
    <w:rsid w:val="24641664"/>
    <w:rsid w:val="24687029"/>
    <w:rsid w:val="246B2BE2"/>
    <w:rsid w:val="2476044D"/>
    <w:rsid w:val="247ECEB7"/>
    <w:rsid w:val="2483DA37"/>
    <w:rsid w:val="248CE205"/>
    <w:rsid w:val="248DCB07"/>
    <w:rsid w:val="24933404"/>
    <w:rsid w:val="24A9FDF8"/>
    <w:rsid w:val="24B24718"/>
    <w:rsid w:val="24B39480"/>
    <w:rsid w:val="24B98824"/>
    <w:rsid w:val="24C2CC8C"/>
    <w:rsid w:val="24C3A16E"/>
    <w:rsid w:val="24C3B752"/>
    <w:rsid w:val="24C7FD64"/>
    <w:rsid w:val="24CE02AE"/>
    <w:rsid w:val="24D5971C"/>
    <w:rsid w:val="24DAE676"/>
    <w:rsid w:val="24FAA626"/>
    <w:rsid w:val="25021355"/>
    <w:rsid w:val="250DE2BD"/>
    <w:rsid w:val="250E0482"/>
    <w:rsid w:val="25124690"/>
    <w:rsid w:val="2514B7FC"/>
    <w:rsid w:val="251C568E"/>
    <w:rsid w:val="251EE23C"/>
    <w:rsid w:val="251FBC75"/>
    <w:rsid w:val="25235F4A"/>
    <w:rsid w:val="25277072"/>
    <w:rsid w:val="2529CB1D"/>
    <w:rsid w:val="253632DC"/>
    <w:rsid w:val="2539BB3E"/>
    <w:rsid w:val="253DDE69"/>
    <w:rsid w:val="254404CB"/>
    <w:rsid w:val="2559D2E4"/>
    <w:rsid w:val="255E185F"/>
    <w:rsid w:val="255E6472"/>
    <w:rsid w:val="256124C7"/>
    <w:rsid w:val="2561D963"/>
    <w:rsid w:val="2562B788"/>
    <w:rsid w:val="256F0405"/>
    <w:rsid w:val="256F36EC"/>
    <w:rsid w:val="257100B9"/>
    <w:rsid w:val="2577FC72"/>
    <w:rsid w:val="257DD05B"/>
    <w:rsid w:val="25842F33"/>
    <w:rsid w:val="258826B0"/>
    <w:rsid w:val="258F16D8"/>
    <w:rsid w:val="258F96FB"/>
    <w:rsid w:val="25950A17"/>
    <w:rsid w:val="2598E765"/>
    <w:rsid w:val="259C2713"/>
    <w:rsid w:val="259D23CB"/>
    <w:rsid w:val="259DBD11"/>
    <w:rsid w:val="259E7D32"/>
    <w:rsid w:val="25A98201"/>
    <w:rsid w:val="25AA987F"/>
    <w:rsid w:val="25B0FA56"/>
    <w:rsid w:val="25B0FE70"/>
    <w:rsid w:val="25B6317B"/>
    <w:rsid w:val="25B65DA2"/>
    <w:rsid w:val="25BA4669"/>
    <w:rsid w:val="25CC3EC7"/>
    <w:rsid w:val="25D471FD"/>
    <w:rsid w:val="25FFBB27"/>
    <w:rsid w:val="260BEC75"/>
    <w:rsid w:val="2611C1F0"/>
    <w:rsid w:val="26149D6D"/>
    <w:rsid w:val="2618AEB4"/>
    <w:rsid w:val="26232838"/>
    <w:rsid w:val="2629D0E9"/>
    <w:rsid w:val="262CCEBE"/>
    <w:rsid w:val="26316151"/>
    <w:rsid w:val="2631C33C"/>
    <w:rsid w:val="263DA356"/>
    <w:rsid w:val="26409C3C"/>
    <w:rsid w:val="2642DA23"/>
    <w:rsid w:val="264405AC"/>
    <w:rsid w:val="264569B2"/>
    <w:rsid w:val="2645DE0D"/>
    <w:rsid w:val="26460722"/>
    <w:rsid w:val="265986CF"/>
    <w:rsid w:val="265B0A7E"/>
    <w:rsid w:val="265D19F9"/>
    <w:rsid w:val="2672EB7E"/>
    <w:rsid w:val="26784FDD"/>
    <w:rsid w:val="267A812F"/>
    <w:rsid w:val="26896482"/>
    <w:rsid w:val="269A462C"/>
    <w:rsid w:val="269DE3B6"/>
    <w:rsid w:val="26A0D2CC"/>
    <w:rsid w:val="26A5D2B5"/>
    <w:rsid w:val="26B3AC9C"/>
    <w:rsid w:val="26B40617"/>
    <w:rsid w:val="26C10D68"/>
    <w:rsid w:val="26C6A295"/>
    <w:rsid w:val="26D82040"/>
    <w:rsid w:val="26DB7641"/>
    <w:rsid w:val="26DF915F"/>
    <w:rsid w:val="26E4F806"/>
    <w:rsid w:val="26E7C5CD"/>
    <w:rsid w:val="26EA8B16"/>
    <w:rsid w:val="26FAC2B1"/>
    <w:rsid w:val="27010FB9"/>
    <w:rsid w:val="27066CAC"/>
    <w:rsid w:val="27179047"/>
    <w:rsid w:val="27196406"/>
    <w:rsid w:val="271F2740"/>
    <w:rsid w:val="27379763"/>
    <w:rsid w:val="273C6F51"/>
    <w:rsid w:val="2740E285"/>
    <w:rsid w:val="274B22E0"/>
    <w:rsid w:val="2759D1B0"/>
    <w:rsid w:val="275A2227"/>
    <w:rsid w:val="275BD524"/>
    <w:rsid w:val="276426D6"/>
    <w:rsid w:val="27693F47"/>
    <w:rsid w:val="277007A6"/>
    <w:rsid w:val="27721307"/>
    <w:rsid w:val="27744CAB"/>
    <w:rsid w:val="2774F9DE"/>
    <w:rsid w:val="277651A5"/>
    <w:rsid w:val="278D894F"/>
    <w:rsid w:val="27981AA9"/>
    <w:rsid w:val="279C6639"/>
    <w:rsid w:val="27A84DDD"/>
    <w:rsid w:val="27ABD044"/>
    <w:rsid w:val="27B01D72"/>
    <w:rsid w:val="27B29153"/>
    <w:rsid w:val="27BAFB27"/>
    <w:rsid w:val="27BB1EC4"/>
    <w:rsid w:val="27C749C4"/>
    <w:rsid w:val="27C8B714"/>
    <w:rsid w:val="27C9C805"/>
    <w:rsid w:val="27CAB4AF"/>
    <w:rsid w:val="27CC17E5"/>
    <w:rsid w:val="27D15987"/>
    <w:rsid w:val="27D2AAAE"/>
    <w:rsid w:val="27D3D6F2"/>
    <w:rsid w:val="27DD93DD"/>
    <w:rsid w:val="27DE3164"/>
    <w:rsid w:val="27E01FD5"/>
    <w:rsid w:val="27E5328E"/>
    <w:rsid w:val="27E8B653"/>
    <w:rsid w:val="27E9CE7A"/>
    <w:rsid w:val="27F42727"/>
    <w:rsid w:val="27F8442A"/>
    <w:rsid w:val="2805FDAF"/>
    <w:rsid w:val="2806DE60"/>
    <w:rsid w:val="2807253E"/>
    <w:rsid w:val="280AC64B"/>
    <w:rsid w:val="280DEE8E"/>
    <w:rsid w:val="280E97CF"/>
    <w:rsid w:val="280EF8EE"/>
    <w:rsid w:val="281EFA69"/>
    <w:rsid w:val="283E6CFB"/>
    <w:rsid w:val="28477B00"/>
    <w:rsid w:val="28478452"/>
    <w:rsid w:val="284867CB"/>
    <w:rsid w:val="284BAFE9"/>
    <w:rsid w:val="284DA500"/>
    <w:rsid w:val="28504A07"/>
    <w:rsid w:val="28568883"/>
    <w:rsid w:val="2859E9F8"/>
    <w:rsid w:val="285CBEB8"/>
    <w:rsid w:val="28600F76"/>
    <w:rsid w:val="28620C76"/>
    <w:rsid w:val="28636D3C"/>
    <w:rsid w:val="2863758F"/>
    <w:rsid w:val="286610A7"/>
    <w:rsid w:val="28711964"/>
    <w:rsid w:val="287174A2"/>
    <w:rsid w:val="2871B684"/>
    <w:rsid w:val="28746674"/>
    <w:rsid w:val="28753D46"/>
    <w:rsid w:val="28760EE7"/>
    <w:rsid w:val="2876B99F"/>
    <w:rsid w:val="2877E6A2"/>
    <w:rsid w:val="287C5721"/>
    <w:rsid w:val="2887793F"/>
    <w:rsid w:val="2888E3A3"/>
    <w:rsid w:val="288E218C"/>
    <w:rsid w:val="288FACEA"/>
    <w:rsid w:val="2890A124"/>
    <w:rsid w:val="28910236"/>
    <w:rsid w:val="2892048B"/>
    <w:rsid w:val="28978A42"/>
    <w:rsid w:val="2899D405"/>
    <w:rsid w:val="289F638A"/>
    <w:rsid w:val="28A20C00"/>
    <w:rsid w:val="28A447C1"/>
    <w:rsid w:val="28A81AC6"/>
    <w:rsid w:val="28AC0BA6"/>
    <w:rsid w:val="28B0E82E"/>
    <w:rsid w:val="28B5A502"/>
    <w:rsid w:val="28B897D9"/>
    <w:rsid w:val="28B9078A"/>
    <w:rsid w:val="28B95DB0"/>
    <w:rsid w:val="28BA71C1"/>
    <w:rsid w:val="28C3C3F2"/>
    <w:rsid w:val="28D25AFC"/>
    <w:rsid w:val="28D7ED4A"/>
    <w:rsid w:val="28D996CD"/>
    <w:rsid w:val="28DB1D16"/>
    <w:rsid w:val="28DC4C57"/>
    <w:rsid w:val="28E7F136"/>
    <w:rsid w:val="28EA9225"/>
    <w:rsid w:val="28FA28F8"/>
    <w:rsid w:val="28FE7ED4"/>
    <w:rsid w:val="290319BA"/>
    <w:rsid w:val="29039523"/>
    <w:rsid w:val="29101575"/>
    <w:rsid w:val="291DE7B1"/>
    <w:rsid w:val="2921A5AF"/>
    <w:rsid w:val="29303215"/>
    <w:rsid w:val="2939FC7E"/>
    <w:rsid w:val="294304CE"/>
    <w:rsid w:val="2944C3DE"/>
    <w:rsid w:val="295A6CC6"/>
    <w:rsid w:val="295E1E7A"/>
    <w:rsid w:val="2960F7B2"/>
    <w:rsid w:val="29616257"/>
    <w:rsid w:val="2966A527"/>
    <w:rsid w:val="296892CD"/>
    <w:rsid w:val="2969F822"/>
    <w:rsid w:val="296B2EC8"/>
    <w:rsid w:val="296F9742"/>
    <w:rsid w:val="297D4CCD"/>
    <w:rsid w:val="297E69E9"/>
    <w:rsid w:val="2983AD91"/>
    <w:rsid w:val="298FF246"/>
    <w:rsid w:val="29913EB2"/>
    <w:rsid w:val="2997E39D"/>
    <w:rsid w:val="299D92C2"/>
    <w:rsid w:val="299E863D"/>
    <w:rsid w:val="29ADD782"/>
    <w:rsid w:val="29B361BC"/>
    <w:rsid w:val="29B41D4B"/>
    <w:rsid w:val="29B765FA"/>
    <w:rsid w:val="29C18515"/>
    <w:rsid w:val="29C8F589"/>
    <w:rsid w:val="29C974A5"/>
    <w:rsid w:val="29CA0EB1"/>
    <w:rsid w:val="29D2F905"/>
    <w:rsid w:val="29D7996E"/>
    <w:rsid w:val="29DD05D3"/>
    <w:rsid w:val="29DDD049"/>
    <w:rsid w:val="29DE2F34"/>
    <w:rsid w:val="29DF6338"/>
    <w:rsid w:val="29E225A6"/>
    <w:rsid w:val="29EE4752"/>
    <w:rsid w:val="29F07319"/>
    <w:rsid w:val="29F243AF"/>
    <w:rsid w:val="2A01C005"/>
    <w:rsid w:val="2A06A19B"/>
    <w:rsid w:val="2A182782"/>
    <w:rsid w:val="2A1A1CFB"/>
    <w:rsid w:val="2A251F10"/>
    <w:rsid w:val="2A2CDC65"/>
    <w:rsid w:val="2A32FFB4"/>
    <w:rsid w:val="2A39763E"/>
    <w:rsid w:val="2A3AAB1B"/>
    <w:rsid w:val="2A49C432"/>
    <w:rsid w:val="2A4E9D46"/>
    <w:rsid w:val="2A56FE66"/>
    <w:rsid w:val="2A5C010F"/>
    <w:rsid w:val="2A63825C"/>
    <w:rsid w:val="2A6BC32B"/>
    <w:rsid w:val="2A7C8A4A"/>
    <w:rsid w:val="2A836C44"/>
    <w:rsid w:val="2A879AC1"/>
    <w:rsid w:val="2A8B8860"/>
    <w:rsid w:val="2A8BE448"/>
    <w:rsid w:val="2AABE5D6"/>
    <w:rsid w:val="2ABAC21A"/>
    <w:rsid w:val="2AC1DA3C"/>
    <w:rsid w:val="2ACAB67B"/>
    <w:rsid w:val="2ACB3791"/>
    <w:rsid w:val="2ACF3100"/>
    <w:rsid w:val="2AD26EF8"/>
    <w:rsid w:val="2AD37F85"/>
    <w:rsid w:val="2ADE3B90"/>
    <w:rsid w:val="2AE06FF7"/>
    <w:rsid w:val="2AE11681"/>
    <w:rsid w:val="2AE36C54"/>
    <w:rsid w:val="2AE88DFA"/>
    <w:rsid w:val="2AEF52D0"/>
    <w:rsid w:val="2AFD899A"/>
    <w:rsid w:val="2B04632E"/>
    <w:rsid w:val="2B0D0AAB"/>
    <w:rsid w:val="2B10FF5B"/>
    <w:rsid w:val="2B13D74F"/>
    <w:rsid w:val="2B1770F0"/>
    <w:rsid w:val="2B1872C0"/>
    <w:rsid w:val="2B1C451A"/>
    <w:rsid w:val="2B20958A"/>
    <w:rsid w:val="2B2AAD24"/>
    <w:rsid w:val="2B2EC9AE"/>
    <w:rsid w:val="2B30DC3B"/>
    <w:rsid w:val="2B321431"/>
    <w:rsid w:val="2B3609D6"/>
    <w:rsid w:val="2B3D07B3"/>
    <w:rsid w:val="2B3E1D08"/>
    <w:rsid w:val="2B42020A"/>
    <w:rsid w:val="2B47ACC8"/>
    <w:rsid w:val="2B4B01C6"/>
    <w:rsid w:val="2B6750C1"/>
    <w:rsid w:val="2B685FB7"/>
    <w:rsid w:val="2B727284"/>
    <w:rsid w:val="2B7559AC"/>
    <w:rsid w:val="2B7B51F8"/>
    <w:rsid w:val="2B8CA153"/>
    <w:rsid w:val="2B9129DB"/>
    <w:rsid w:val="2B9327CC"/>
    <w:rsid w:val="2B976A82"/>
    <w:rsid w:val="2B98574A"/>
    <w:rsid w:val="2B9C8B3D"/>
    <w:rsid w:val="2BAC582D"/>
    <w:rsid w:val="2BB16E00"/>
    <w:rsid w:val="2BB17F4E"/>
    <w:rsid w:val="2BB81E41"/>
    <w:rsid w:val="2BB84C99"/>
    <w:rsid w:val="2BB9B317"/>
    <w:rsid w:val="2BC015D6"/>
    <w:rsid w:val="2BC08465"/>
    <w:rsid w:val="2BD350FE"/>
    <w:rsid w:val="2BDA1C1A"/>
    <w:rsid w:val="2BDC09D4"/>
    <w:rsid w:val="2BEA7FB2"/>
    <w:rsid w:val="2BEEFB7D"/>
    <w:rsid w:val="2BFADE62"/>
    <w:rsid w:val="2BFD4629"/>
    <w:rsid w:val="2BFDE11B"/>
    <w:rsid w:val="2C015F12"/>
    <w:rsid w:val="2C05C328"/>
    <w:rsid w:val="2C05F764"/>
    <w:rsid w:val="2C13536F"/>
    <w:rsid w:val="2C141A08"/>
    <w:rsid w:val="2C169CE1"/>
    <w:rsid w:val="2C172AAF"/>
    <w:rsid w:val="2C1758C9"/>
    <w:rsid w:val="2C205D1E"/>
    <w:rsid w:val="2C21D137"/>
    <w:rsid w:val="2C28C51A"/>
    <w:rsid w:val="2C2AAB72"/>
    <w:rsid w:val="2C2F3938"/>
    <w:rsid w:val="2C3164DB"/>
    <w:rsid w:val="2C3844A9"/>
    <w:rsid w:val="2C414976"/>
    <w:rsid w:val="2C42E0D9"/>
    <w:rsid w:val="2C454BC3"/>
    <w:rsid w:val="2C4B1145"/>
    <w:rsid w:val="2C50770E"/>
    <w:rsid w:val="2C53A93F"/>
    <w:rsid w:val="2C53CBD4"/>
    <w:rsid w:val="2C552745"/>
    <w:rsid w:val="2C60DA11"/>
    <w:rsid w:val="2C61D20C"/>
    <w:rsid w:val="2C62CE5B"/>
    <w:rsid w:val="2C69BE77"/>
    <w:rsid w:val="2C6E7C97"/>
    <w:rsid w:val="2C6E927F"/>
    <w:rsid w:val="2C70ABDC"/>
    <w:rsid w:val="2C70F283"/>
    <w:rsid w:val="2C733A83"/>
    <w:rsid w:val="2C7B226B"/>
    <w:rsid w:val="2C7D6581"/>
    <w:rsid w:val="2C83758D"/>
    <w:rsid w:val="2C89E35B"/>
    <w:rsid w:val="2C91F22D"/>
    <w:rsid w:val="2C931ECD"/>
    <w:rsid w:val="2C99DAF3"/>
    <w:rsid w:val="2C9CFC1E"/>
    <w:rsid w:val="2C9D5C45"/>
    <w:rsid w:val="2CA0A47A"/>
    <w:rsid w:val="2CA49332"/>
    <w:rsid w:val="2CA55397"/>
    <w:rsid w:val="2CA97B72"/>
    <w:rsid w:val="2CA9CC0E"/>
    <w:rsid w:val="2CB1E8AF"/>
    <w:rsid w:val="2CB3FD26"/>
    <w:rsid w:val="2CBB136A"/>
    <w:rsid w:val="2CBEF3DE"/>
    <w:rsid w:val="2CCA354B"/>
    <w:rsid w:val="2CCA5E9F"/>
    <w:rsid w:val="2CD2FCE2"/>
    <w:rsid w:val="2CD3FF1F"/>
    <w:rsid w:val="2CD4D1CE"/>
    <w:rsid w:val="2CD66595"/>
    <w:rsid w:val="2CE41212"/>
    <w:rsid w:val="2CEBF3EC"/>
    <w:rsid w:val="2CF2B733"/>
    <w:rsid w:val="2CF32AD4"/>
    <w:rsid w:val="2CFAAE5D"/>
    <w:rsid w:val="2CFEA574"/>
    <w:rsid w:val="2D016362"/>
    <w:rsid w:val="2D02F39A"/>
    <w:rsid w:val="2D0DCCDD"/>
    <w:rsid w:val="2D0DD3CD"/>
    <w:rsid w:val="2D1461F3"/>
    <w:rsid w:val="2D18D1BA"/>
    <w:rsid w:val="2D1A9431"/>
    <w:rsid w:val="2D1C97AB"/>
    <w:rsid w:val="2D26DB7A"/>
    <w:rsid w:val="2D26E844"/>
    <w:rsid w:val="2D308A22"/>
    <w:rsid w:val="2D3106F6"/>
    <w:rsid w:val="2D317E74"/>
    <w:rsid w:val="2D331758"/>
    <w:rsid w:val="2D397155"/>
    <w:rsid w:val="2D3FB1A5"/>
    <w:rsid w:val="2D423411"/>
    <w:rsid w:val="2D4832B5"/>
    <w:rsid w:val="2D495CDB"/>
    <w:rsid w:val="2D4F3845"/>
    <w:rsid w:val="2D548B89"/>
    <w:rsid w:val="2D5B952E"/>
    <w:rsid w:val="2D5CEF14"/>
    <w:rsid w:val="2D5FE02E"/>
    <w:rsid w:val="2D7199CA"/>
    <w:rsid w:val="2D757D23"/>
    <w:rsid w:val="2D7FB1BD"/>
    <w:rsid w:val="2D95BD3E"/>
    <w:rsid w:val="2DB50EF0"/>
    <w:rsid w:val="2DB5B2FF"/>
    <w:rsid w:val="2DB9210D"/>
    <w:rsid w:val="2DC5225B"/>
    <w:rsid w:val="2DD3CD99"/>
    <w:rsid w:val="2DDEE7F3"/>
    <w:rsid w:val="2DE374BC"/>
    <w:rsid w:val="2DE763BC"/>
    <w:rsid w:val="2DE9CAE2"/>
    <w:rsid w:val="2DF33E4F"/>
    <w:rsid w:val="2DF5B340"/>
    <w:rsid w:val="2E0A4CF8"/>
    <w:rsid w:val="2E0AD515"/>
    <w:rsid w:val="2E0C7C3D"/>
    <w:rsid w:val="2E0CD081"/>
    <w:rsid w:val="2E120FD1"/>
    <w:rsid w:val="2E12433E"/>
    <w:rsid w:val="2E129CAE"/>
    <w:rsid w:val="2E1AB908"/>
    <w:rsid w:val="2E208CA4"/>
    <w:rsid w:val="2E22F300"/>
    <w:rsid w:val="2E2A10DE"/>
    <w:rsid w:val="2E36BBB1"/>
    <w:rsid w:val="2E3821A8"/>
    <w:rsid w:val="2E392CA6"/>
    <w:rsid w:val="2E445B76"/>
    <w:rsid w:val="2E45495D"/>
    <w:rsid w:val="2E4599B4"/>
    <w:rsid w:val="2E4676F3"/>
    <w:rsid w:val="2E52BED6"/>
    <w:rsid w:val="2E560188"/>
    <w:rsid w:val="2E5772A2"/>
    <w:rsid w:val="2E5869AE"/>
    <w:rsid w:val="2E596A55"/>
    <w:rsid w:val="2E5B0A6F"/>
    <w:rsid w:val="2E5EDB74"/>
    <w:rsid w:val="2E5F8215"/>
    <w:rsid w:val="2E5FB121"/>
    <w:rsid w:val="2E62764E"/>
    <w:rsid w:val="2E642BD1"/>
    <w:rsid w:val="2E690603"/>
    <w:rsid w:val="2E6AA013"/>
    <w:rsid w:val="2E6BC614"/>
    <w:rsid w:val="2E79CB19"/>
    <w:rsid w:val="2E9DC50B"/>
    <w:rsid w:val="2E9F6D06"/>
    <w:rsid w:val="2EA060DA"/>
    <w:rsid w:val="2EA29D24"/>
    <w:rsid w:val="2EA8DFF4"/>
    <w:rsid w:val="2EAAE8FF"/>
    <w:rsid w:val="2EAC9C25"/>
    <w:rsid w:val="2EAE6812"/>
    <w:rsid w:val="2EB4D085"/>
    <w:rsid w:val="2EB8F314"/>
    <w:rsid w:val="2EBD8158"/>
    <w:rsid w:val="2EBEA580"/>
    <w:rsid w:val="2ECB9C69"/>
    <w:rsid w:val="2ED366FB"/>
    <w:rsid w:val="2ED7D94B"/>
    <w:rsid w:val="2EDAF67F"/>
    <w:rsid w:val="2EDB0404"/>
    <w:rsid w:val="2EE31F5C"/>
    <w:rsid w:val="2EECD015"/>
    <w:rsid w:val="2EEE42D2"/>
    <w:rsid w:val="2F0004D5"/>
    <w:rsid w:val="2F06B42B"/>
    <w:rsid w:val="2F0D4C10"/>
    <w:rsid w:val="2F137245"/>
    <w:rsid w:val="2F153667"/>
    <w:rsid w:val="2F15B0AC"/>
    <w:rsid w:val="2F18E019"/>
    <w:rsid w:val="2F1E1243"/>
    <w:rsid w:val="2F246E5E"/>
    <w:rsid w:val="2F29D0E8"/>
    <w:rsid w:val="2F2F9BDC"/>
    <w:rsid w:val="2F31942A"/>
    <w:rsid w:val="2F3D028D"/>
    <w:rsid w:val="2F3EFD6C"/>
    <w:rsid w:val="2F45B08C"/>
    <w:rsid w:val="2F472496"/>
    <w:rsid w:val="2F496B89"/>
    <w:rsid w:val="2F54FF15"/>
    <w:rsid w:val="2F552956"/>
    <w:rsid w:val="2F557F0A"/>
    <w:rsid w:val="2F5953E6"/>
    <w:rsid w:val="2F636126"/>
    <w:rsid w:val="2F712465"/>
    <w:rsid w:val="2F7430DB"/>
    <w:rsid w:val="2F75BB15"/>
    <w:rsid w:val="2F7AB854"/>
    <w:rsid w:val="2F7D8152"/>
    <w:rsid w:val="2F861F69"/>
    <w:rsid w:val="2F8B44FF"/>
    <w:rsid w:val="2F9D1D7A"/>
    <w:rsid w:val="2FA4725E"/>
    <w:rsid w:val="2FA937DE"/>
    <w:rsid w:val="2FAF598F"/>
    <w:rsid w:val="2FB4E6B0"/>
    <w:rsid w:val="2FB7679C"/>
    <w:rsid w:val="2FBE626B"/>
    <w:rsid w:val="2FCB819E"/>
    <w:rsid w:val="2FCCA42B"/>
    <w:rsid w:val="2FCF172E"/>
    <w:rsid w:val="2FD1B83D"/>
    <w:rsid w:val="2FD427FE"/>
    <w:rsid w:val="2FD8CE6B"/>
    <w:rsid w:val="2FE8A5C2"/>
    <w:rsid w:val="2FEB9452"/>
    <w:rsid w:val="2FF4CFFB"/>
    <w:rsid w:val="2FF7E2C2"/>
    <w:rsid w:val="2FF9E9C7"/>
    <w:rsid w:val="30077235"/>
    <w:rsid w:val="300A6C83"/>
    <w:rsid w:val="301617B4"/>
    <w:rsid w:val="30167BAB"/>
    <w:rsid w:val="30181245"/>
    <w:rsid w:val="30189DF9"/>
    <w:rsid w:val="302B519E"/>
    <w:rsid w:val="30352A2C"/>
    <w:rsid w:val="303A2AF4"/>
    <w:rsid w:val="303A5153"/>
    <w:rsid w:val="3040EAC0"/>
    <w:rsid w:val="304A56F1"/>
    <w:rsid w:val="304B69A8"/>
    <w:rsid w:val="304D18B3"/>
    <w:rsid w:val="30526981"/>
    <w:rsid w:val="3052DA42"/>
    <w:rsid w:val="3055AD44"/>
    <w:rsid w:val="30582C1D"/>
    <w:rsid w:val="30597B0C"/>
    <w:rsid w:val="305CDFA3"/>
    <w:rsid w:val="3063A42F"/>
    <w:rsid w:val="3066C46C"/>
    <w:rsid w:val="306CEA7E"/>
    <w:rsid w:val="30725668"/>
    <w:rsid w:val="30728FA4"/>
    <w:rsid w:val="3078369B"/>
    <w:rsid w:val="3079B033"/>
    <w:rsid w:val="3080F50E"/>
    <w:rsid w:val="308A085F"/>
    <w:rsid w:val="308A45AC"/>
    <w:rsid w:val="308B8F64"/>
    <w:rsid w:val="3093F477"/>
    <w:rsid w:val="30958856"/>
    <w:rsid w:val="309780F0"/>
    <w:rsid w:val="30A1C0F0"/>
    <w:rsid w:val="30A31001"/>
    <w:rsid w:val="30AA3C22"/>
    <w:rsid w:val="30BD697D"/>
    <w:rsid w:val="30C85965"/>
    <w:rsid w:val="30CD9C35"/>
    <w:rsid w:val="30CF3FBF"/>
    <w:rsid w:val="30D8226F"/>
    <w:rsid w:val="30E75EBE"/>
    <w:rsid w:val="30E78B2B"/>
    <w:rsid w:val="30E8F0CC"/>
    <w:rsid w:val="30F4E01E"/>
    <w:rsid w:val="31026E01"/>
    <w:rsid w:val="31067FED"/>
    <w:rsid w:val="310749F6"/>
    <w:rsid w:val="310CB4CF"/>
    <w:rsid w:val="310EEE41"/>
    <w:rsid w:val="310EF1E2"/>
    <w:rsid w:val="31115C10"/>
    <w:rsid w:val="31123458"/>
    <w:rsid w:val="311D8A90"/>
    <w:rsid w:val="311E39B7"/>
    <w:rsid w:val="311EB481"/>
    <w:rsid w:val="3121CFF2"/>
    <w:rsid w:val="31344857"/>
    <w:rsid w:val="313D8C9D"/>
    <w:rsid w:val="314A3D70"/>
    <w:rsid w:val="31555264"/>
    <w:rsid w:val="31596003"/>
    <w:rsid w:val="315B2D49"/>
    <w:rsid w:val="3165ADEF"/>
    <w:rsid w:val="3169631B"/>
    <w:rsid w:val="31699B4E"/>
    <w:rsid w:val="316AAB1C"/>
    <w:rsid w:val="316AC2D1"/>
    <w:rsid w:val="316CD12C"/>
    <w:rsid w:val="316DEF7C"/>
    <w:rsid w:val="3172B1F2"/>
    <w:rsid w:val="3174984D"/>
    <w:rsid w:val="31774629"/>
    <w:rsid w:val="3180C148"/>
    <w:rsid w:val="31842708"/>
    <w:rsid w:val="318911FD"/>
    <w:rsid w:val="31A1870F"/>
    <w:rsid w:val="31A2EAC1"/>
    <w:rsid w:val="31A327EE"/>
    <w:rsid w:val="31AC74C0"/>
    <w:rsid w:val="31B32CD1"/>
    <w:rsid w:val="31B50744"/>
    <w:rsid w:val="31B737DB"/>
    <w:rsid w:val="31BC32C2"/>
    <w:rsid w:val="31C2C8DD"/>
    <w:rsid w:val="31D06B2D"/>
    <w:rsid w:val="31D6936A"/>
    <w:rsid w:val="31DBC86C"/>
    <w:rsid w:val="31DCF0CC"/>
    <w:rsid w:val="31E15211"/>
    <w:rsid w:val="31E6AB8F"/>
    <w:rsid w:val="31E78EAC"/>
    <w:rsid w:val="31EE39E2"/>
    <w:rsid w:val="31EE5A06"/>
    <w:rsid w:val="31FE69A8"/>
    <w:rsid w:val="320145BB"/>
    <w:rsid w:val="32025E22"/>
    <w:rsid w:val="3202B5B4"/>
    <w:rsid w:val="3203BFB6"/>
    <w:rsid w:val="3207B534"/>
    <w:rsid w:val="3208EEBC"/>
    <w:rsid w:val="32094ADA"/>
    <w:rsid w:val="3209EADB"/>
    <w:rsid w:val="32113193"/>
    <w:rsid w:val="321856E8"/>
    <w:rsid w:val="321F45D8"/>
    <w:rsid w:val="3237AC6F"/>
    <w:rsid w:val="3240D8A0"/>
    <w:rsid w:val="3249B6CB"/>
    <w:rsid w:val="324E92EF"/>
    <w:rsid w:val="32564472"/>
    <w:rsid w:val="3257F38A"/>
    <w:rsid w:val="326B1020"/>
    <w:rsid w:val="327800AC"/>
    <w:rsid w:val="327CA89A"/>
    <w:rsid w:val="328F4FCA"/>
    <w:rsid w:val="3295D33C"/>
    <w:rsid w:val="32A05F80"/>
    <w:rsid w:val="32B0C84D"/>
    <w:rsid w:val="32B25916"/>
    <w:rsid w:val="32B5D38C"/>
    <w:rsid w:val="32C092C5"/>
    <w:rsid w:val="32C70C31"/>
    <w:rsid w:val="32C8C050"/>
    <w:rsid w:val="32CB9A59"/>
    <w:rsid w:val="32DE684E"/>
    <w:rsid w:val="32E15818"/>
    <w:rsid w:val="32E891AF"/>
    <w:rsid w:val="32F56D7D"/>
    <w:rsid w:val="32F70C4D"/>
    <w:rsid w:val="32FD7CD5"/>
    <w:rsid w:val="3300431B"/>
    <w:rsid w:val="3300D4FC"/>
    <w:rsid w:val="330A8893"/>
    <w:rsid w:val="331AFB2B"/>
    <w:rsid w:val="331B9B56"/>
    <w:rsid w:val="33225969"/>
    <w:rsid w:val="33255E35"/>
    <w:rsid w:val="33289B3C"/>
    <w:rsid w:val="33297341"/>
    <w:rsid w:val="33391991"/>
    <w:rsid w:val="333B72A2"/>
    <w:rsid w:val="33424270"/>
    <w:rsid w:val="3343624B"/>
    <w:rsid w:val="33442286"/>
    <w:rsid w:val="334C5EDF"/>
    <w:rsid w:val="334C637E"/>
    <w:rsid w:val="334F956F"/>
    <w:rsid w:val="3355D7D2"/>
    <w:rsid w:val="33669AE0"/>
    <w:rsid w:val="3366AC04"/>
    <w:rsid w:val="336DD7A1"/>
    <w:rsid w:val="336DF690"/>
    <w:rsid w:val="3373719C"/>
    <w:rsid w:val="337B5F22"/>
    <w:rsid w:val="337BF7EC"/>
    <w:rsid w:val="3388F352"/>
    <w:rsid w:val="338FFFE2"/>
    <w:rsid w:val="33993060"/>
    <w:rsid w:val="33A1FA64"/>
    <w:rsid w:val="33A99014"/>
    <w:rsid w:val="33AB7D5F"/>
    <w:rsid w:val="33B2D2C6"/>
    <w:rsid w:val="33B4900F"/>
    <w:rsid w:val="33B63641"/>
    <w:rsid w:val="33BC7E0C"/>
    <w:rsid w:val="33C509BC"/>
    <w:rsid w:val="33C512A0"/>
    <w:rsid w:val="33C6714A"/>
    <w:rsid w:val="33D157F8"/>
    <w:rsid w:val="33D9423E"/>
    <w:rsid w:val="33DB88B8"/>
    <w:rsid w:val="33EC4E01"/>
    <w:rsid w:val="3407C9DF"/>
    <w:rsid w:val="340D26B4"/>
    <w:rsid w:val="340D27D9"/>
    <w:rsid w:val="340F578B"/>
    <w:rsid w:val="3420FF84"/>
    <w:rsid w:val="342CB057"/>
    <w:rsid w:val="34346E77"/>
    <w:rsid w:val="343DAD56"/>
    <w:rsid w:val="3444FAA9"/>
    <w:rsid w:val="344B2E5C"/>
    <w:rsid w:val="344CF6D1"/>
    <w:rsid w:val="344DE40C"/>
    <w:rsid w:val="34561C5A"/>
    <w:rsid w:val="345B6425"/>
    <w:rsid w:val="345E2C6D"/>
    <w:rsid w:val="34617415"/>
    <w:rsid w:val="3465CCAF"/>
    <w:rsid w:val="346B415A"/>
    <w:rsid w:val="346EE1BF"/>
    <w:rsid w:val="3471263D"/>
    <w:rsid w:val="34719021"/>
    <w:rsid w:val="34803EF4"/>
    <w:rsid w:val="34855692"/>
    <w:rsid w:val="348BE0D0"/>
    <w:rsid w:val="34A59171"/>
    <w:rsid w:val="34A8E58F"/>
    <w:rsid w:val="34AA12AE"/>
    <w:rsid w:val="34B64112"/>
    <w:rsid w:val="34B934E9"/>
    <w:rsid w:val="34BAE5A6"/>
    <w:rsid w:val="34BE5915"/>
    <w:rsid w:val="34C6B3D5"/>
    <w:rsid w:val="34CCF517"/>
    <w:rsid w:val="34DDD097"/>
    <w:rsid w:val="34E92675"/>
    <w:rsid w:val="34EB4DC8"/>
    <w:rsid w:val="34EE9365"/>
    <w:rsid w:val="34F14CBD"/>
    <w:rsid w:val="3509CB21"/>
    <w:rsid w:val="350B4B49"/>
    <w:rsid w:val="350B5F19"/>
    <w:rsid w:val="350CD317"/>
    <w:rsid w:val="3514B1C8"/>
    <w:rsid w:val="35172F83"/>
    <w:rsid w:val="352881BE"/>
    <w:rsid w:val="352A8C0C"/>
    <w:rsid w:val="352C601D"/>
    <w:rsid w:val="352E7EA1"/>
    <w:rsid w:val="35301ADA"/>
    <w:rsid w:val="353206A9"/>
    <w:rsid w:val="35385ACD"/>
    <w:rsid w:val="3538BEEB"/>
    <w:rsid w:val="35397D19"/>
    <w:rsid w:val="3556A098"/>
    <w:rsid w:val="3557BFDF"/>
    <w:rsid w:val="355EBBD7"/>
    <w:rsid w:val="355FD783"/>
    <w:rsid w:val="3565F4FF"/>
    <w:rsid w:val="3568D63A"/>
    <w:rsid w:val="3571FB8E"/>
    <w:rsid w:val="357846AA"/>
    <w:rsid w:val="35850378"/>
    <w:rsid w:val="3588B08C"/>
    <w:rsid w:val="358E98F9"/>
    <w:rsid w:val="35949635"/>
    <w:rsid w:val="3595EF23"/>
    <w:rsid w:val="359AA32D"/>
    <w:rsid w:val="35A139DE"/>
    <w:rsid w:val="35A21F2F"/>
    <w:rsid w:val="35AA5891"/>
    <w:rsid w:val="35ACF449"/>
    <w:rsid w:val="35B161C8"/>
    <w:rsid w:val="35B23AC9"/>
    <w:rsid w:val="35BA2BC2"/>
    <w:rsid w:val="35C15B9D"/>
    <w:rsid w:val="35CCFCA4"/>
    <w:rsid w:val="35CF6742"/>
    <w:rsid w:val="35DCE628"/>
    <w:rsid w:val="35DE9A7C"/>
    <w:rsid w:val="35E5DE7E"/>
    <w:rsid w:val="35E8951F"/>
    <w:rsid w:val="35E9F9D8"/>
    <w:rsid w:val="35EC892A"/>
    <w:rsid w:val="35FA8B85"/>
    <w:rsid w:val="35FB6B07"/>
    <w:rsid w:val="35FCAED5"/>
    <w:rsid w:val="3606B458"/>
    <w:rsid w:val="360A29FB"/>
    <w:rsid w:val="360CFB96"/>
    <w:rsid w:val="3615679D"/>
    <w:rsid w:val="361D0CB0"/>
    <w:rsid w:val="36237C41"/>
    <w:rsid w:val="36252642"/>
    <w:rsid w:val="3656C7AC"/>
    <w:rsid w:val="365901F3"/>
    <w:rsid w:val="365B063A"/>
    <w:rsid w:val="365CC7E6"/>
    <w:rsid w:val="365D70B4"/>
    <w:rsid w:val="365EDC53"/>
    <w:rsid w:val="36612F9D"/>
    <w:rsid w:val="36628436"/>
    <w:rsid w:val="36633C71"/>
    <w:rsid w:val="36684D3F"/>
    <w:rsid w:val="366A9DCD"/>
    <w:rsid w:val="367710B1"/>
    <w:rsid w:val="36806C2B"/>
    <w:rsid w:val="3681DF15"/>
    <w:rsid w:val="368512E0"/>
    <w:rsid w:val="36865432"/>
    <w:rsid w:val="368DB298"/>
    <w:rsid w:val="36980068"/>
    <w:rsid w:val="36A0B5C6"/>
    <w:rsid w:val="36A8CEFC"/>
    <w:rsid w:val="36AA7D15"/>
    <w:rsid w:val="36AC712B"/>
    <w:rsid w:val="36ADE9C1"/>
    <w:rsid w:val="36AFB9F5"/>
    <w:rsid w:val="36B070CD"/>
    <w:rsid w:val="36B5C0A4"/>
    <w:rsid w:val="36C75ACF"/>
    <w:rsid w:val="36C80E80"/>
    <w:rsid w:val="36D0A86B"/>
    <w:rsid w:val="36D877CF"/>
    <w:rsid w:val="36DDD133"/>
    <w:rsid w:val="36E2A8B6"/>
    <w:rsid w:val="36E38D0A"/>
    <w:rsid w:val="36EF8EBE"/>
    <w:rsid w:val="36F76BCB"/>
    <w:rsid w:val="36FAD0E8"/>
    <w:rsid w:val="36FEA2BC"/>
    <w:rsid w:val="37096A2A"/>
    <w:rsid w:val="37223A2F"/>
    <w:rsid w:val="3726DD55"/>
    <w:rsid w:val="3729A00C"/>
    <w:rsid w:val="372DA576"/>
    <w:rsid w:val="372F85F8"/>
    <w:rsid w:val="37429FD1"/>
    <w:rsid w:val="37437F77"/>
    <w:rsid w:val="37562000"/>
    <w:rsid w:val="375899DC"/>
    <w:rsid w:val="3764FA28"/>
    <w:rsid w:val="37660C56"/>
    <w:rsid w:val="3767796D"/>
    <w:rsid w:val="3769DBE9"/>
    <w:rsid w:val="3770D0E9"/>
    <w:rsid w:val="3777643F"/>
    <w:rsid w:val="378761AA"/>
    <w:rsid w:val="3788160D"/>
    <w:rsid w:val="378A5B12"/>
    <w:rsid w:val="378EA216"/>
    <w:rsid w:val="379304E7"/>
    <w:rsid w:val="37A5D08F"/>
    <w:rsid w:val="37A7F132"/>
    <w:rsid w:val="37BE44F0"/>
    <w:rsid w:val="37C19B79"/>
    <w:rsid w:val="37C30352"/>
    <w:rsid w:val="37C7D2CF"/>
    <w:rsid w:val="37D24619"/>
    <w:rsid w:val="37D4134E"/>
    <w:rsid w:val="37E6085F"/>
    <w:rsid w:val="37E8857B"/>
    <w:rsid w:val="37EA80E3"/>
    <w:rsid w:val="37EBA402"/>
    <w:rsid w:val="37EC4727"/>
    <w:rsid w:val="37ECAECB"/>
    <w:rsid w:val="37F30B95"/>
    <w:rsid w:val="37F4C26A"/>
    <w:rsid w:val="37F6F9FF"/>
    <w:rsid w:val="37FA7C69"/>
    <w:rsid w:val="380EA93A"/>
    <w:rsid w:val="381C2F56"/>
    <w:rsid w:val="3822F31A"/>
    <w:rsid w:val="3824E409"/>
    <w:rsid w:val="382B57A2"/>
    <w:rsid w:val="382F9B0C"/>
    <w:rsid w:val="38322E35"/>
    <w:rsid w:val="383CEB65"/>
    <w:rsid w:val="383DA71D"/>
    <w:rsid w:val="383DBB54"/>
    <w:rsid w:val="38400CE8"/>
    <w:rsid w:val="384ABA5A"/>
    <w:rsid w:val="384AFFED"/>
    <w:rsid w:val="38518BB2"/>
    <w:rsid w:val="385923F6"/>
    <w:rsid w:val="3863CA34"/>
    <w:rsid w:val="386737FA"/>
    <w:rsid w:val="38738059"/>
    <w:rsid w:val="3878728F"/>
    <w:rsid w:val="3880E446"/>
    <w:rsid w:val="3885E9C1"/>
    <w:rsid w:val="3889A6BC"/>
    <w:rsid w:val="388D0184"/>
    <w:rsid w:val="38912F7D"/>
    <w:rsid w:val="389201F1"/>
    <w:rsid w:val="3893310E"/>
    <w:rsid w:val="3896A149"/>
    <w:rsid w:val="389B7C05"/>
    <w:rsid w:val="38A14E83"/>
    <w:rsid w:val="38AFBAE9"/>
    <w:rsid w:val="38B26B32"/>
    <w:rsid w:val="38B2E46D"/>
    <w:rsid w:val="38B69B6A"/>
    <w:rsid w:val="38B8CF24"/>
    <w:rsid w:val="38C2566D"/>
    <w:rsid w:val="38C2E8AB"/>
    <w:rsid w:val="38C778F1"/>
    <w:rsid w:val="38C78FF6"/>
    <w:rsid w:val="38D892CA"/>
    <w:rsid w:val="38D974B3"/>
    <w:rsid w:val="38DEEC13"/>
    <w:rsid w:val="38DF2999"/>
    <w:rsid w:val="38E4FBA1"/>
    <w:rsid w:val="38E9DB8B"/>
    <w:rsid w:val="38ED4A5C"/>
    <w:rsid w:val="3907C277"/>
    <w:rsid w:val="390E30D6"/>
    <w:rsid w:val="39138B18"/>
    <w:rsid w:val="3916A412"/>
    <w:rsid w:val="391C0F62"/>
    <w:rsid w:val="391E06FB"/>
    <w:rsid w:val="391E81B5"/>
    <w:rsid w:val="39208806"/>
    <w:rsid w:val="39217498"/>
    <w:rsid w:val="39226986"/>
    <w:rsid w:val="3926BF5B"/>
    <w:rsid w:val="392CB328"/>
    <w:rsid w:val="39322C47"/>
    <w:rsid w:val="39394732"/>
    <w:rsid w:val="3939ABE5"/>
    <w:rsid w:val="393ABB7A"/>
    <w:rsid w:val="393B0410"/>
    <w:rsid w:val="39437BE8"/>
    <w:rsid w:val="395AEF91"/>
    <w:rsid w:val="396EA2A8"/>
    <w:rsid w:val="3986CCCF"/>
    <w:rsid w:val="3988A90E"/>
    <w:rsid w:val="398E18EF"/>
    <w:rsid w:val="3991A128"/>
    <w:rsid w:val="39A3621F"/>
    <w:rsid w:val="39B5EA38"/>
    <w:rsid w:val="39BBC657"/>
    <w:rsid w:val="39BD7CD6"/>
    <w:rsid w:val="39C741EE"/>
    <w:rsid w:val="39CA1184"/>
    <w:rsid w:val="39CB422A"/>
    <w:rsid w:val="39D546D3"/>
    <w:rsid w:val="39EB4FAC"/>
    <w:rsid w:val="39EB9FF0"/>
    <w:rsid w:val="39ED4DAF"/>
    <w:rsid w:val="39F0BF9E"/>
    <w:rsid w:val="39F13057"/>
    <w:rsid w:val="39F3E191"/>
    <w:rsid w:val="39FFAF42"/>
    <w:rsid w:val="3A015A78"/>
    <w:rsid w:val="3A030618"/>
    <w:rsid w:val="3A054A49"/>
    <w:rsid w:val="3A0CDE6D"/>
    <w:rsid w:val="3A15FD6A"/>
    <w:rsid w:val="3A1AF063"/>
    <w:rsid w:val="3A1CBF95"/>
    <w:rsid w:val="3A30837B"/>
    <w:rsid w:val="3A31EE5B"/>
    <w:rsid w:val="3A35CB81"/>
    <w:rsid w:val="3A3761D2"/>
    <w:rsid w:val="3A3A33D0"/>
    <w:rsid w:val="3A440F7D"/>
    <w:rsid w:val="3A4B3FDB"/>
    <w:rsid w:val="3A4D2834"/>
    <w:rsid w:val="3A4E555B"/>
    <w:rsid w:val="3A5931B9"/>
    <w:rsid w:val="3A5D80FD"/>
    <w:rsid w:val="3A60E88F"/>
    <w:rsid w:val="3A6D5FF7"/>
    <w:rsid w:val="3A770E5D"/>
    <w:rsid w:val="3A8D733B"/>
    <w:rsid w:val="3A921B5B"/>
    <w:rsid w:val="3A98E486"/>
    <w:rsid w:val="3A99E3FC"/>
    <w:rsid w:val="3A9E1E0E"/>
    <w:rsid w:val="3A9EB9A5"/>
    <w:rsid w:val="3AA0AEFF"/>
    <w:rsid w:val="3AA10D0C"/>
    <w:rsid w:val="3AA8475B"/>
    <w:rsid w:val="3AC4A2B8"/>
    <w:rsid w:val="3AC4E8F8"/>
    <w:rsid w:val="3AC5CC4C"/>
    <w:rsid w:val="3AC6793D"/>
    <w:rsid w:val="3ADC4D77"/>
    <w:rsid w:val="3AE53544"/>
    <w:rsid w:val="3AEBF6E6"/>
    <w:rsid w:val="3AF03206"/>
    <w:rsid w:val="3AF5E1D8"/>
    <w:rsid w:val="3B0913D7"/>
    <w:rsid w:val="3B0CFF07"/>
    <w:rsid w:val="3B11E881"/>
    <w:rsid w:val="3B132A09"/>
    <w:rsid w:val="3B1D2C50"/>
    <w:rsid w:val="3B22181F"/>
    <w:rsid w:val="3B27F229"/>
    <w:rsid w:val="3B3222BE"/>
    <w:rsid w:val="3B3E4C16"/>
    <w:rsid w:val="3B44EF21"/>
    <w:rsid w:val="3B510FA6"/>
    <w:rsid w:val="3B60E740"/>
    <w:rsid w:val="3B67361E"/>
    <w:rsid w:val="3B69A298"/>
    <w:rsid w:val="3B6B5A51"/>
    <w:rsid w:val="3B6BE1AC"/>
    <w:rsid w:val="3B6EC693"/>
    <w:rsid w:val="3B72DB23"/>
    <w:rsid w:val="3B7959AB"/>
    <w:rsid w:val="3B7BE1D9"/>
    <w:rsid w:val="3B8ED2D4"/>
    <w:rsid w:val="3B92A7FF"/>
    <w:rsid w:val="3B931CB7"/>
    <w:rsid w:val="3B931F64"/>
    <w:rsid w:val="3B9B7FA3"/>
    <w:rsid w:val="3B9C2F3E"/>
    <w:rsid w:val="3BA5CE1E"/>
    <w:rsid w:val="3BB4611C"/>
    <w:rsid w:val="3BBA7F08"/>
    <w:rsid w:val="3BC4CADF"/>
    <w:rsid w:val="3BD31CC7"/>
    <w:rsid w:val="3BE20A28"/>
    <w:rsid w:val="3BE6FCC6"/>
    <w:rsid w:val="3BEAD90E"/>
    <w:rsid w:val="3BEE006C"/>
    <w:rsid w:val="3BF3994B"/>
    <w:rsid w:val="3BFD9B7E"/>
    <w:rsid w:val="3BFED5D0"/>
    <w:rsid w:val="3C096653"/>
    <w:rsid w:val="3C0FA411"/>
    <w:rsid w:val="3C13D932"/>
    <w:rsid w:val="3C204933"/>
    <w:rsid w:val="3C211654"/>
    <w:rsid w:val="3C2809EA"/>
    <w:rsid w:val="3C2A6CCB"/>
    <w:rsid w:val="3C2F370C"/>
    <w:rsid w:val="3C3AE0B8"/>
    <w:rsid w:val="3C3B6635"/>
    <w:rsid w:val="3C3C15FA"/>
    <w:rsid w:val="3C447132"/>
    <w:rsid w:val="3C4EFCA1"/>
    <w:rsid w:val="3C5262C3"/>
    <w:rsid w:val="3C5A0A48"/>
    <w:rsid w:val="3C602B5C"/>
    <w:rsid w:val="3C6042A6"/>
    <w:rsid w:val="3C6732B5"/>
    <w:rsid w:val="3C6AAD9D"/>
    <w:rsid w:val="3C6B8903"/>
    <w:rsid w:val="3C6CFDAF"/>
    <w:rsid w:val="3C78C98A"/>
    <w:rsid w:val="3C7AEB96"/>
    <w:rsid w:val="3C83133F"/>
    <w:rsid w:val="3C84C5C7"/>
    <w:rsid w:val="3C8D2E3F"/>
    <w:rsid w:val="3C961CB0"/>
    <w:rsid w:val="3CA99464"/>
    <w:rsid w:val="3CB24530"/>
    <w:rsid w:val="3CB33745"/>
    <w:rsid w:val="3CB3BF99"/>
    <w:rsid w:val="3CB9C552"/>
    <w:rsid w:val="3CBB7761"/>
    <w:rsid w:val="3CBB8675"/>
    <w:rsid w:val="3CC933F3"/>
    <w:rsid w:val="3CE23C6F"/>
    <w:rsid w:val="3CEAAD63"/>
    <w:rsid w:val="3CEE1D46"/>
    <w:rsid w:val="3CF23CDC"/>
    <w:rsid w:val="3D1670FE"/>
    <w:rsid w:val="3D180CE5"/>
    <w:rsid w:val="3D1B8206"/>
    <w:rsid w:val="3D224168"/>
    <w:rsid w:val="3D27FBD5"/>
    <w:rsid w:val="3D2865D0"/>
    <w:rsid w:val="3D2B350F"/>
    <w:rsid w:val="3D2CDEE1"/>
    <w:rsid w:val="3D2D8F0F"/>
    <w:rsid w:val="3D2E67DD"/>
    <w:rsid w:val="3D3B8BC1"/>
    <w:rsid w:val="3D48D037"/>
    <w:rsid w:val="3D4FA461"/>
    <w:rsid w:val="3D586E51"/>
    <w:rsid w:val="3D5AB551"/>
    <w:rsid w:val="3D5BD4E4"/>
    <w:rsid w:val="3D6A126C"/>
    <w:rsid w:val="3D6B0BEA"/>
    <w:rsid w:val="3D6B875B"/>
    <w:rsid w:val="3D6C279C"/>
    <w:rsid w:val="3D6F9B45"/>
    <w:rsid w:val="3D767F81"/>
    <w:rsid w:val="3D80B30A"/>
    <w:rsid w:val="3D86DC40"/>
    <w:rsid w:val="3D89D0CD"/>
    <w:rsid w:val="3D901D3A"/>
    <w:rsid w:val="3DA717D0"/>
    <w:rsid w:val="3DABCEB9"/>
    <w:rsid w:val="3DAC846F"/>
    <w:rsid w:val="3DB74DAD"/>
    <w:rsid w:val="3DB9C1B6"/>
    <w:rsid w:val="3DD15DA2"/>
    <w:rsid w:val="3DD7E65B"/>
    <w:rsid w:val="3DD90896"/>
    <w:rsid w:val="3DE75DFA"/>
    <w:rsid w:val="3DEAB556"/>
    <w:rsid w:val="3DEB36AE"/>
    <w:rsid w:val="3DF11E9D"/>
    <w:rsid w:val="3DF5D173"/>
    <w:rsid w:val="3DF611F6"/>
    <w:rsid w:val="3DFA8D4F"/>
    <w:rsid w:val="3DFFAA6F"/>
    <w:rsid w:val="3E029D23"/>
    <w:rsid w:val="3E044B10"/>
    <w:rsid w:val="3E0BC353"/>
    <w:rsid w:val="3E0CFAA6"/>
    <w:rsid w:val="3E16B212"/>
    <w:rsid w:val="3E1C3DE6"/>
    <w:rsid w:val="3E1C60AB"/>
    <w:rsid w:val="3E219DB7"/>
    <w:rsid w:val="3E238464"/>
    <w:rsid w:val="3E29F0CC"/>
    <w:rsid w:val="3E382024"/>
    <w:rsid w:val="3E3E8ED6"/>
    <w:rsid w:val="3E40DA52"/>
    <w:rsid w:val="3E4D6C55"/>
    <w:rsid w:val="3E5756D6"/>
    <w:rsid w:val="3E5829D6"/>
    <w:rsid w:val="3E6BD44E"/>
    <w:rsid w:val="3E7A9C10"/>
    <w:rsid w:val="3E7B0CF9"/>
    <w:rsid w:val="3E7CF0ED"/>
    <w:rsid w:val="3E85FBAF"/>
    <w:rsid w:val="3E89484F"/>
    <w:rsid w:val="3E8E0F15"/>
    <w:rsid w:val="3E9B9597"/>
    <w:rsid w:val="3EA11914"/>
    <w:rsid w:val="3EA12D10"/>
    <w:rsid w:val="3EA70F92"/>
    <w:rsid w:val="3EA740B3"/>
    <w:rsid w:val="3EADCDDC"/>
    <w:rsid w:val="3EB10FA1"/>
    <w:rsid w:val="3EB42B87"/>
    <w:rsid w:val="3EB645EB"/>
    <w:rsid w:val="3EC01FB4"/>
    <w:rsid w:val="3EC0C171"/>
    <w:rsid w:val="3EC80377"/>
    <w:rsid w:val="3ED4CB5D"/>
    <w:rsid w:val="3ED4DA5A"/>
    <w:rsid w:val="3ED5E722"/>
    <w:rsid w:val="3ED8AF10"/>
    <w:rsid w:val="3EDBA4A8"/>
    <w:rsid w:val="3EDF7DC3"/>
    <w:rsid w:val="3EE445C1"/>
    <w:rsid w:val="3EE7D5B3"/>
    <w:rsid w:val="3EEA3B93"/>
    <w:rsid w:val="3EFAE324"/>
    <w:rsid w:val="3EFBD46D"/>
    <w:rsid w:val="3EFFF90C"/>
    <w:rsid w:val="3F021466"/>
    <w:rsid w:val="3F0DA4F3"/>
    <w:rsid w:val="3F125B78"/>
    <w:rsid w:val="3F1D5807"/>
    <w:rsid w:val="3F2CA908"/>
    <w:rsid w:val="3F309698"/>
    <w:rsid w:val="3F3C91AA"/>
    <w:rsid w:val="3F4AAE34"/>
    <w:rsid w:val="3F4B7753"/>
    <w:rsid w:val="3F4E4705"/>
    <w:rsid w:val="3F519596"/>
    <w:rsid w:val="3F51B7C2"/>
    <w:rsid w:val="3F575C60"/>
    <w:rsid w:val="3F61C384"/>
    <w:rsid w:val="3F640DBA"/>
    <w:rsid w:val="3F693111"/>
    <w:rsid w:val="3F6BA7C3"/>
    <w:rsid w:val="3F7668E1"/>
    <w:rsid w:val="3F8162A1"/>
    <w:rsid w:val="3F920C9D"/>
    <w:rsid w:val="3F9CEAE5"/>
    <w:rsid w:val="3F9D0ACA"/>
    <w:rsid w:val="3FA1ED9F"/>
    <w:rsid w:val="3FB01546"/>
    <w:rsid w:val="3FB0F46C"/>
    <w:rsid w:val="3FB27260"/>
    <w:rsid w:val="3FB83B37"/>
    <w:rsid w:val="3FBB0603"/>
    <w:rsid w:val="3FC083F8"/>
    <w:rsid w:val="3FC224CA"/>
    <w:rsid w:val="3FC83C0D"/>
    <w:rsid w:val="3FCA905D"/>
    <w:rsid w:val="3FCB42FF"/>
    <w:rsid w:val="3FCFC19C"/>
    <w:rsid w:val="3FD68F22"/>
    <w:rsid w:val="3FD7C10E"/>
    <w:rsid w:val="3FDC5705"/>
    <w:rsid w:val="3FDFDD5A"/>
    <w:rsid w:val="3FEC38E7"/>
    <w:rsid w:val="3FEF66C1"/>
    <w:rsid w:val="3FF0CC0E"/>
    <w:rsid w:val="3FF14D91"/>
    <w:rsid w:val="3FF195B8"/>
    <w:rsid w:val="401899D0"/>
    <w:rsid w:val="40194E20"/>
    <w:rsid w:val="401AE7BB"/>
    <w:rsid w:val="402570A2"/>
    <w:rsid w:val="40279A1B"/>
    <w:rsid w:val="40333D92"/>
    <w:rsid w:val="403D42CF"/>
    <w:rsid w:val="403E0AA6"/>
    <w:rsid w:val="403F4649"/>
    <w:rsid w:val="4047FE29"/>
    <w:rsid w:val="404ECC88"/>
    <w:rsid w:val="404EE3D0"/>
    <w:rsid w:val="405B6B3D"/>
    <w:rsid w:val="40653B8D"/>
    <w:rsid w:val="406BC313"/>
    <w:rsid w:val="4072D2B5"/>
    <w:rsid w:val="4074D32F"/>
    <w:rsid w:val="40769ABC"/>
    <w:rsid w:val="4079F06F"/>
    <w:rsid w:val="407B05C4"/>
    <w:rsid w:val="407F9683"/>
    <w:rsid w:val="40857907"/>
    <w:rsid w:val="40857E1A"/>
    <w:rsid w:val="40887CEB"/>
    <w:rsid w:val="408D64E2"/>
    <w:rsid w:val="408F553D"/>
    <w:rsid w:val="409C18AD"/>
    <w:rsid w:val="409E9CE9"/>
    <w:rsid w:val="40A61FBA"/>
    <w:rsid w:val="40AAE2D2"/>
    <w:rsid w:val="40B4AA66"/>
    <w:rsid w:val="40C35D1F"/>
    <w:rsid w:val="40CB550B"/>
    <w:rsid w:val="40CF0DC5"/>
    <w:rsid w:val="40CF1602"/>
    <w:rsid w:val="40D88E8B"/>
    <w:rsid w:val="40D97998"/>
    <w:rsid w:val="40EEF90D"/>
    <w:rsid w:val="40EF96FE"/>
    <w:rsid w:val="40EFADC2"/>
    <w:rsid w:val="411AB229"/>
    <w:rsid w:val="412089A3"/>
    <w:rsid w:val="412A7D26"/>
    <w:rsid w:val="412D458C"/>
    <w:rsid w:val="412D652C"/>
    <w:rsid w:val="412E172D"/>
    <w:rsid w:val="413079B5"/>
    <w:rsid w:val="413C25C3"/>
    <w:rsid w:val="413D0890"/>
    <w:rsid w:val="4145015D"/>
    <w:rsid w:val="4145999F"/>
    <w:rsid w:val="41474645"/>
    <w:rsid w:val="41516A51"/>
    <w:rsid w:val="415954F2"/>
    <w:rsid w:val="415EF758"/>
    <w:rsid w:val="41622F78"/>
    <w:rsid w:val="4164A996"/>
    <w:rsid w:val="4168667D"/>
    <w:rsid w:val="416E61CC"/>
    <w:rsid w:val="417091D7"/>
    <w:rsid w:val="41830B52"/>
    <w:rsid w:val="418D43EB"/>
    <w:rsid w:val="419167C0"/>
    <w:rsid w:val="41919CE3"/>
    <w:rsid w:val="4191D256"/>
    <w:rsid w:val="4192816B"/>
    <w:rsid w:val="419C084B"/>
    <w:rsid w:val="419D98B3"/>
    <w:rsid w:val="41A2A352"/>
    <w:rsid w:val="41A3037D"/>
    <w:rsid w:val="41A48313"/>
    <w:rsid w:val="41A5FB73"/>
    <w:rsid w:val="41A85496"/>
    <w:rsid w:val="41A937D2"/>
    <w:rsid w:val="41A9D8CA"/>
    <w:rsid w:val="41B69E37"/>
    <w:rsid w:val="41B8FD90"/>
    <w:rsid w:val="41BE5271"/>
    <w:rsid w:val="41C38686"/>
    <w:rsid w:val="41C88048"/>
    <w:rsid w:val="41D394D8"/>
    <w:rsid w:val="41D5ADD2"/>
    <w:rsid w:val="41DC2AE9"/>
    <w:rsid w:val="41DE682D"/>
    <w:rsid w:val="41DEB39D"/>
    <w:rsid w:val="41DECBC6"/>
    <w:rsid w:val="41E0C2B5"/>
    <w:rsid w:val="41E1CA72"/>
    <w:rsid w:val="41E48CA1"/>
    <w:rsid w:val="41F22115"/>
    <w:rsid w:val="41F3A304"/>
    <w:rsid w:val="41F55620"/>
    <w:rsid w:val="41F8D20E"/>
    <w:rsid w:val="41FF111B"/>
    <w:rsid w:val="4218F44A"/>
    <w:rsid w:val="421B51A7"/>
    <w:rsid w:val="421D4ADE"/>
    <w:rsid w:val="421DC3C9"/>
    <w:rsid w:val="422A7167"/>
    <w:rsid w:val="422AA1A0"/>
    <w:rsid w:val="422B7837"/>
    <w:rsid w:val="423BD395"/>
    <w:rsid w:val="42412E25"/>
    <w:rsid w:val="4242DDAF"/>
    <w:rsid w:val="42476D34"/>
    <w:rsid w:val="4248678D"/>
    <w:rsid w:val="424EF8C7"/>
    <w:rsid w:val="42603EC0"/>
    <w:rsid w:val="4262DA85"/>
    <w:rsid w:val="42630286"/>
    <w:rsid w:val="426CC95E"/>
    <w:rsid w:val="426E1754"/>
    <w:rsid w:val="4273A6FA"/>
    <w:rsid w:val="42774EA2"/>
    <w:rsid w:val="427DDA2B"/>
    <w:rsid w:val="4281C327"/>
    <w:rsid w:val="42854DEE"/>
    <w:rsid w:val="42866B10"/>
    <w:rsid w:val="42929FA1"/>
    <w:rsid w:val="42973ECC"/>
    <w:rsid w:val="42A498B5"/>
    <w:rsid w:val="42A62E34"/>
    <w:rsid w:val="42A81A0A"/>
    <w:rsid w:val="42AC3D5E"/>
    <w:rsid w:val="42B1096F"/>
    <w:rsid w:val="42C5A723"/>
    <w:rsid w:val="42C87CE0"/>
    <w:rsid w:val="42C9DB98"/>
    <w:rsid w:val="42E15F0F"/>
    <w:rsid w:val="42EFBCC0"/>
    <w:rsid w:val="42F6C39D"/>
    <w:rsid w:val="431C2E43"/>
    <w:rsid w:val="431C70D9"/>
    <w:rsid w:val="4321E772"/>
    <w:rsid w:val="4330E7FA"/>
    <w:rsid w:val="43351C73"/>
    <w:rsid w:val="43356165"/>
    <w:rsid w:val="43396D93"/>
    <w:rsid w:val="43477DAF"/>
    <w:rsid w:val="4348059B"/>
    <w:rsid w:val="43530E63"/>
    <w:rsid w:val="43554C9D"/>
    <w:rsid w:val="4357CFFE"/>
    <w:rsid w:val="435A2192"/>
    <w:rsid w:val="435BB423"/>
    <w:rsid w:val="435FA2AB"/>
    <w:rsid w:val="43601AF4"/>
    <w:rsid w:val="436AFA17"/>
    <w:rsid w:val="437B580D"/>
    <w:rsid w:val="437FA18D"/>
    <w:rsid w:val="438A5895"/>
    <w:rsid w:val="438A80CE"/>
    <w:rsid w:val="439265C7"/>
    <w:rsid w:val="4397AA70"/>
    <w:rsid w:val="43A0BD5F"/>
    <w:rsid w:val="43A1DD4B"/>
    <w:rsid w:val="43A5C800"/>
    <w:rsid w:val="43AA9DB4"/>
    <w:rsid w:val="43B59AA2"/>
    <w:rsid w:val="43BC5F3F"/>
    <w:rsid w:val="43BF823C"/>
    <w:rsid w:val="43C00C71"/>
    <w:rsid w:val="43C287AD"/>
    <w:rsid w:val="43C353C8"/>
    <w:rsid w:val="43C495DA"/>
    <w:rsid w:val="43C7F8C6"/>
    <w:rsid w:val="43D46A03"/>
    <w:rsid w:val="43D5E587"/>
    <w:rsid w:val="43DF8E84"/>
    <w:rsid w:val="43EB7C1C"/>
    <w:rsid w:val="43EC03B6"/>
    <w:rsid w:val="43ECBEDE"/>
    <w:rsid w:val="43ED7B11"/>
    <w:rsid w:val="43EDEFAE"/>
    <w:rsid w:val="43F5C7DE"/>
    <w:rsid w:val="43FDD5C6"/>
    <w:rsid w:val="43FFB27F"/>
    <w:rsid w:val="4402914B"/>
    <w:rsid w:val="44077DC1"/>
    <w:rsid w:val="440EECCF"/>
    <w:rsid w:val="440FE51E"/>
    <w:rsid w:val="44140B1A"/>
    <w:rsid w:val="441718A7"/>
    <w:rsid w:val="4421377C"/>
    <w:rsid w:val="44248C18"/>
    <w:rsid w:val="44252637"/>
    <w:rsid w:val="442C6F71"/>
    <w:rsid w:val="4431D248"/>
    <w:rsid w:val="4436783D"/>
    <w:rsid w:val="4438D3A9"/>
    <w:rsid w:val="443DC5F8"/>
    <w:rsid w:val="444BC131"/>
    <w:rsid w:val="444F0E21"/>
    <w:rsid w:val="445BF1CB"/>
    <w:rsid w:val="4465B2DC"/>
    <w:rsid w:val="446A1A65"/>
    <w:rsid w:val="4475BCF0"/>
    <w:rsid w:val="44792440"/>
    <w:rsid w:val="447984BA"/>
    <w:rsid w:val="447BE5E1"/>
    <w:rsid w:val="447EDD4F"/>
    <w:rsid w:val="44809439"/>
    <w:rsid w:val="44839BC1"/>
    <w:rsid w:val="448E6631"/>
    <w:rsid w:val="448FE0C8"/>
    <w:rsid w:val="44990092"/>
    <w:rsid w:val="44AC04C6"/>
    <w:rsid w:val="44B3BD01"/>
    <w:rsid w:val="44B60667"/>
    <w:rsid w:val="44C836F0"/>
    <w:rsid w:val="44C906C4"/>
    <w:rsid w:val="44CD685C"/>
    <w:rsid w:val="44D1A4AA"/>
    <w:rsid w:val="44D8FB04"/>
    <w:rsid w:val="44D9A2DC"/>
    <w:rsid w:val="44DDF1E5"/>
    <w:rsid w:val="44E12FA2"/>
    <w:rsid w:val="44E4458E"/>
    <w:rsid w:val="44E90A58"/>
    <w:rsid w:val="44FEEE31"/>
    <w:rsid w:val="45016709"/>
    <w:rsid w:val="4501DC10"/>
    <w:rsid w:val="4502C812"/>
    <w:rsid w:val="4506870B"/>
    <w:rsid w:val="450728C8"/>
    <w:rsid w:val="450F7D28"/>
    <w:rsid w:val="451D5A6E"/>
    <w:rsid w:val="45203264"/>
    <w:rsid w:val="4523DDED"/>
    <w:rsid w:val="45270C3D"/>
    <w:rsid w:val="452726ED"/>
    <w:rsid w:val="45373787"/>
    <w:rsid w:val="4539C0A2"/>
    <w:rsid w:val="4544E0F9"/>
    <w:rsid w:val="45466E15"/>
    <w:rsid w:val="454671FC"/>
    <w:rsid w:val="4547BA15"/>
    <w:rsid w:val="454AE5A9"/>
    <w:rsid w:val="45540478"/>
    <w:rsid w:val="455A6738"/>
    <w:rsid w:val="455E6D02"/>
    <w:rsid w:val="455EEC56"/>
    <w:rsid w:val="4560C248"/>
    <w:rsid w:val="45654A16"/>
    <w:rsid w:val="45665096"/>
    <w:rsid w:val="4566B520"/>
    <w:rsid w:val="456E08FA"/>
    <w:rsid w:val="456E6F6A"/>
    <w:rsid w:val="4573D3F6"/>
    <w:rsid w:val="457F5346"/>
    <w:rsid w:val="4583C27C"/>
    <w:rsid w:val="4585DBD9"/>
    <w:rsid w:val="4589D24E"/>
    <w:rsid w:val="458EE9B9"/>
    <w:rsid w:val="459A7E1F"/>
    <w:rsid w:val="45BE46F9"/>
    <w:rsid w:val="45C2F4CB"/>
    <w:rsid w:val="45CDEDB0"/>
    <w:rsid w:val="45DA9FB5"/>
    <w:rsid w:val="45DCA1D9"/>
    <w:rsid w:val="45E55409"/>
    <w:rsid w:val="45E6EC05"/>
    <w:rsid w:val="45F180A7"/>
    <w:rsid w:val="45F7B324"/>
    <w:rsid w:val="45FB6C53"/>
    <w:rsid w:val="460AE03F"/>
    <w:rsid w:val="461A2AF3"/>
    <w:rsid w:val="46209008"/>
    <w:rsid w:val="46235D99"/>
    <w:rsid w:val="46236EEE"/>
    <w:rsid w:val="4634FCFB"/>
    <w:rsid w:val="4638655E"/>
    <w:rsid w:val="4639EBD9"/>
    <w:rsid w:val="4640C24D"/>
    <w:rsid w:val="464426E4"/>
    <w:rsid w:val="464D1530"/>
    <w:rsid w:val="465141C2"/>
    <w:rsid w:val="4668D9DD"/>
    <w:rsid w:val="466FD446"/>
    <w:rsid w:val="4680FEBD"/>
    <w:rsid w:val="46934B82"/>
    <w:rsid w:val="46938B71"/>
    <w:rsid w:val="46A509ED"/>
    <w:rsid w:val="46A72958"/>
    <w:rsid w:val="46AD16A1"/>
    <w:rsid w:val="46C94DAF"/>
    <w:rsid w:val="46CC048A"/>
    <w:rsid w:val="46CE232B"/>
    <w:rsid w:val="46DC450A"/>
    <w:rsid w:val="46DEE05A"/>
    <w:rsid w:val="46DF54B7"/>
    <w:rsid w:val="46E4F186"/>
    <w:rsid w:val="46E849E4"/>
    <w:rsid w:val="46F2C80B"/>
    <w:rsid w:val="4701DF4B"/>
    <w:rsid w:val="470BD312"/>
    <w:rsid w:val="47103AB8"/>
    <w:rsid w:val="47103DF3"/>
    <w:rsid w:val="4718B6D8"/>
    <w:rsid w:val="4731D25E"/>
    <w:rsid w:val="473238BE"/>
    <w:rsid w:val="47338AD7"/>
    <w:rsid w:val="47339214"/>
    <w:rsid w:val="4736F4FC"/>
    <w:rsid w:val="4740EB8C"/>
    <w:rsid w:val="47417A7C"/>
    <w:rsid w:val="4747600B"/>
    <w:rsid w:val="474B0697"/>
    <w:rsid w:val="474FF7A0"/>
    <w:rsid w:val="47551C2F"/>
    <w:rsid w:val="47594A2C"/>
    <w:rsid w:val="4767B0DE"/>
    <w:rsid w:val="4767DA23"/>
    <w:rsid w:val="47698F4E"/>
    <w:rsid w:val="476B328E"/>
    <w:rsid w:val="476CAD42"/>
    <w:rsid w:val="4774DA36"/>
    <w:rsid w:val="4778D6F8"/>
    <w:rsid w:val="478B1E61"/>
    <w:rsid w:val="478E4B2E"/>
    <w:rsid w:val="478E4E55"/>
    <w:rsid w:val="47A48877"/>
    <w:rsid w:val="47A7080A"/>
    <w:rsid w:val="47AF492D"/>
    <w:rsid w:val="47B30FEE"/>
    <w:rsid w:val="47B37994"/>
    <w:rsid w:val="47BDD287"/>
    <w:rsid w:val="47C194C7"/>
    <w:rsid w:val="47C26402"/>
    <w:rsid w:val="47C3E76E"/>
    <w:rsid w:val="47C63505"/>
    <w:rsid w:val="47C8CDA4"/>
    <w:rsid w:val="47CED628"/>
    <w:rsid w:val="47D111FB"/>
    <w:rsid w:val="47DAF814"/>
    <w:rsid w:val="47E3755B"/>
    <w:rsid w:val="47E9347E"/>
    <w:rsid w:val="47ED394D"/>
    <w:rsid w:val="47EE4DA3"/>
    <w:rsid w:val="47FC58F0"/>
    <w:rsid w:val="47FE2123"/>
    <w:rsid w:val="47FFB3A2"/>
    <w:rsid w:val="48058EA1"/>
    <w:rsid w:val="480758A9"/>
    <w:rsid w:val="480C35D3"/>
    <w:rsid w:val="4813E3AA"/>
    <w:rsid w:val="481826D4"/>
    <w:rsid w:val="481B3E6B"/>
    <w:rsid w:val="482D13DE"/>
    <w:rsid w:val="4830E3CF"/>
    <w:rsid w:val="484007EB"/>
    <w:rsid w:val="4863DBB3"/>
    <w:rsid w:val="486B1AA6"/>
    <w:rsid w:val="486DD7D0"/>
    <w:rsid w:val="48728291"/>
    <w:rsid w:val="48801A26"/>
    <w:rsid w:val="48803443"/>
    <w:rsid w:val="48837D5B"/>
    <w:rsid w:val="4883BDB0"/>
    <w:rsid w:val="4883CDAF"/>
    <w:rsid w:val="488BD630"/>
    <w:rsid w:val="488EED45"/>
    <w:rsid w:val="4897FF33"/>
    <w:rsid w:val="4899CE42"/>
    <w:rsid w:val="489B89A6"/>
    <w:rsid w:val="48A1ED9E"/>
    <w:rsid w:val="48AD0B12"/>
    <w:rsid w:val="48B18CA3"/>
    <w:rsid w:val="48B9135F"/>
    <w:rsid w:val="48C1B184"/>
    <w:rsid w:val="48CE091F"/>
    <w:rsid w:val="48D9340F"/>
    <w:rsid w:val="48DCCB1B"/>
    <w:rsid w:val="48E29F5F"/>
    <w:rsid w:val="48E3E69B"/>
    <w:rsid w:val="48EFD907"/>
    <w:rsid w:val="48FF679A"/>
    <w:rsid w:val="49020443"/>
    <w:rsid w:val="49088047"/>
    <w:rsid w:val="490E2F83"/>
    <w:rsid w:val="4915E3DA"/>
    <w:rsid w:val="491926C2"/>
    <w:rsid w:val="491C6FCD"/>
    <w:rsid w:val="49205623"/>
    <w:rsid w:val="4921674E"/>
    <w:rsid w:val="492A0E59"/>
    <w:rsid w:val="4936F849"/>
    <w:rsid w:val="4938D7DC"/>
    <w:rsid w:val="493B061F"/>
    <w:rsid w:val="493F43AD"/>
    <w:rsid w:val="494B64DD"/>
    <w:rsid w:val="494F6444"/>
    <w:rsid w:val="495656D3"/>
    <w:rsid w:val="4960C503"/>
    <w:rsid w:val="4964604D"/>
    <w:rsid w:val="49747FE0"/>
    <w:rsid w:val="4976532A"/>
    <w:rsid w:val="497DA938"/>
    <w:rsid w:val="497E8FDB"/>
    <w:rsid w:val="498A38C7"/>
    <w:rsid w:val="4990D892"/>
    <w:rsid w:val="4995B035"/>
    <w:rsid w:val="49A42CAA"/>
    <w:rsid w:val="49A53C04"/>
    <w:rsid w:val="49AA674C"/>
    <w:rsid w:val="49AFF069"/>
    <w:rsid w:val="49B7E0FD"/>
    <w:rsid w:val="49BF08B1"/>
    <w:rsid w:val="49C3C2BF"/>
    <w:rsid w:val="49C6390F"/>
    <w:rsid w:val="49CBB919"/>
    <w:rsid w:val="49D1C9B2"/>
    <w:rsid w:val="49D25F0E"/>
    <w:rsid w:val="49D3F697"/>
    <w:rsid w:val="49DB4757"/>
    <w:rsid w:val="49E1643E"/>
    <w:rsid w:val="49E3C2A8"/>
    <w:rsid w:val="49E89936"/>
    <w:rsid w:val="49F807DC"/>
    <w:rsid w:val="49FC3CD3"/>
    <w:rsid w:val="4A00B6DB"/>
    <w:rsid w:val="4A00C566"/>
    <w:rsid w:val="4A057935"/>
    <w:rsid w:val="4A0F95C3"/>
    <w:rsid w:val="4A1755FD"/>
    <w:rsid w:val="4A19A8FF"/>
    <w:rsid w:val="4A1C8B01"/>
    <w:rsid w:val="4A1CA4F1"/>
    <w:rsid w:val="4A1E7881"/>
    <w:rsid w:val="4A242CDE"/>
    <w:rsid w:val="4A33A9AA"/>
    <w:rsid w:val="4A3898E1"/>
    <w:rsid w:val="4A3A0436"/>
    <w:rsid w:val="4A3AF4A1"/>
    <w:rsid w:val="4A3B2E99"/>
    <w:rsid w:val="4A3DBDFF"/>
    <w:rsid w:val="4A3FE288"/>
    <w:rsid w:val="4A43AC49"/>
    <w:rsid w:val="4A44CF6A"/>
    <w:rsid w:val="4A450A76"/>
    <w:rsid w:val="4A4DD15B"/>
    <w:rsid w:val="4A509230"/>
    <w:rsid w:val="4A6811D7"/>
    <w:rsid w:val="4A6F5452"/>
    <w:rsid w:val="4A72EC6C"/>
    <w:rsid w:val="4A731294"/>
    <w:rsid w:val="4A73493F"/>
    <w:rsid w:val="4A8152D9"/>
    <w:rsid w:val="4A817F7A"/>
    <w:rsid w:val="4A82AB18"/>
    <w:rsid w:val="4A8F645A"/>
    <w:rsid w:val="4A90E2A0"/>
    <w:rsid w:val="4A9280E4"/>
    <w:rsid w:val="4A9E8A6A"/>
    <w:rsid w:val="4A9EFC26"/>
    <w:rsid w:val="4AA1E58C"/>
    <w:rsid w:val="4AA3AB48"/>
    <w:rsid w:val="4AA79570"/>
    <w:rsid w:val="4AAA9B32"/>
    <w:rsid w:val="4AAC37C7"/>
    <w:rsid w:val="4ABE4B65"/>
    <w:rsid w:val="4AC56D9D"/>
    <w:rsid w:val="4AC5EBF0"/>
    <w:rsid w:val="4AC823CF"/>
    <w:rsid w:val="4ACD363A"/>
    <w:rsid w:val="4AE37F87"/>
    <w:rsid w:val="4AE92367"/>
    <w:rsid w:val="4AEC67B7"/>
    <w:rsid w:val="4AECFB14"/>
    <w:rsid w:val="4AF9F349"/>
    <w:rsid w:val="4AFAA65B"/>
    <w:rsid w:val="4B048B24"/>
    <w:rsid w:val="4B0AA48F"/>
    <w:rsid w:val="4B142B4C"/>
    <w:rsid w:val="4B18936B"/>
    <w:rsid w:val="4B1E5C64"/>
    <w:rsid w:val="4B1E7DDB"/>
    <w:rsid w:val="4B21F4E2"/>
    <w:rsid w:val="4B2395AC"/>
    <w:rsid w:val="4B25E8FB"/>
    <w:rsid w:val="4B2B90A8"/>
    <w:rsid w:val="4B362B11"/>
    <w:rsid w:val="4B4238C1"/>
    <w:rsid w:val="4B4F5EF1"/>
    <w:rsid w:val="4B56A1AD"/>
    <w:rsid w:val="4B58CAA9"/>
    <w:rsid w:val="4B620E12"/>
    <w:rsid w:val="4B627FF8"/>
    <w:rsid w:val="4B6882D1"/>
    <w:rsid w:val="4B6BCC0A"/>
    <w:rsid w:val="4B6E8C92"/>
    <w:rsid w:val="4B7031B7"/>
    <w:rsid w:val="4B790CFF"/>
    <w:rsid w:val="4B800A11"/>
    <w:rsid w:val="4B8F00F9"/>
    <w:rsid w:val="4B98720A"/>
    <w:rsid w:val="4B9A1C12"/>
    <w:rsid w:val="4B9A253F"/>
    <w:rsid w:val="4B9D8858"/>
    <w:rsid w:val="4BA5F67B"/>
    <w:rsid w:val="4BB3E475"/>
    <w:rsid w:val="4BB49F83"/>
    <w:rsid w:val="4BC10736"/>
    <w:rsid w:val="4BCCE667"/>
    <w:rsid w:val="4BD7E365"/>
    <w:rsid w:val="4BDC25B1"/>
    <w:rsid w:val="4BDEAFD4"/>
    <w:rsid w:val="4BE03C50"/>
    <w:rsid w:val="4BE2D4EA"/>
    <w:rsid w:val="4BEC8184"/>
    <w:rsid w:val="4BF1CDC5"/>
    <w:rsid w:val="4BF3F810"/>
    <w:rsid w:val="4BF512B6"/>
    <w:rsid w:val="4BF839B5"/>
    <w:rsid w:val="4BFAAD03"/>
    <w:rsid w:val="4BFD9649"/>
    <w:rsid w:val="4C070FE0"/>
    <w:rsid w:val="4C08F282"/>
    <w:rsid w:val="4C0D4E31"/>
    <w:rsid w:val="4C109C0D"/>
    <w:rsid w:val="4C1FED4E"/>
    <w:rsid w:val="4C28D87A"/>
    <w:rsid w:val="4C2B0389"/>
    <w:rsid w:val="4C3AFBA3"/>
    <w:rsid w:val="4C419C30"/>
    <w:rsid w:val="4C41EE2B"/>
    <w:rsid w:val="4C43DD0B"/>
    <w:rsid w:val="4C475205"/>
    <w:rsid w:val="4C506E9B"/>
    <w:rsid w:val="4C52A380"/>
    <w:rsid w:val="4C5480B0"/>
    <w:rsid w:val="4C58A650"/>
    <w:rsid w:val="4C5BCA38"/>
    <w:rsid w:val="4C5ECA39"/>
    <w:rsid w:val="4C619A72"/>
    <w:rsid w:val="4C61BC51"/>
    <w:rsid w:val="4C63149A"/>
    <w:rsid w:val="4C6529BF"/>
    <w:rsid w:val="4C677569"/>
    <w:rsid w:val="4C6CABF3"/>
    <w:rsid w:val="4C6EB530"/>
    <w:rsid w:val="4C7209BF"/>
    <w:rsid w:val="4C75BBE3"/>
    <w:rsid w:val="4C77F99A"/>
    <w:rsid w:val="4C7B89C7"/>
    <w:rsid w:val="4C920182"/>
    <w:rsid w:val="4CA1C13B"/>
    <w:rsid w:val="4CA438DC"/>
    <w:rsid w:val="4CA650DE"/>
    <w:rsid w:val="4CA76B51"/>
    <w:rsid w:val="4CAD56C6"/>
    <w:rsid w:val="4CAD6983"/>
    <w:rsid w:val="4CBC4894"/>
    <w:rsid w:val="4CBF006B"/>
    <w:rsid w:val="4CC1533C"/>
    <w:rsid w:val="4CCE3FDD"/>
    <w:rsid w:val="4CD19B2B"/>
    <w:rsid w:val="4CD1FB72"/>
    <w:rsid w:val="4CD5E810"/>
    <w:rsid w:val="4CE2BA10"/>
    <w:rsid w:val="4CF30F76"/>
    <w:rsid w:val="4D03308D"/>
    <w:rsid w:val="4D06CD0F"/>
    <w:rsid w:val="4D08880A"/>
    <w:rsid w:val="4D0BDAE2"/>
    <w:rsid w:val="4D0CA0BB"/>
    <w:rsid w:val="4D0D57D4"/>
    <w:rsid w:val="4D105071"/>
    <w:rsid w:val="4D114018"/>
    <w:rsid w:val="4D1DA1E8"/>
    <w:rsid w:val="4D20C1FA"/>
    <w:rsid w:val="4D234FCE"/>
    <w:rsid w:val="4D299595"/>
    <w:rsid w:val="4D2ADFA2"/>
    <w:rsid w:val="4D2E6DB9"/>
    <w:rsid w:val="4D38C322"/>
    <w:rsid w:val="4D3DBA76"/>
    <w:rsid w:val="4D45CE18"/>
    <w:rsid w:val="4D637F84"/>
    <w:rsid w:val="4D64EDBC"/>
    <w:rsid w:val="4D666EF7"/>
    <w:rsid w:val="4D68AA90"/>
    <w:rsid w:val="4D73977C"/>
    <w:rsid w:val="4D7AB90C"/>
    <w:rsid w:val="4D9650BB"/>
    <w:rsid w:val="4D99983A"/>
    <w:rsid w:val="4D9A3708"/>
    <w:rsid w:val="4D9B42C1"/>
    <w:rsid w:val="4D9C1789"/>
    <w:rsid w:val="4DA25C73"/>
    <w:rsid w:val="4DA4CA2F"/>
    <w:rsid w:val="4DA65D7E"/>
    <w:rsid w:val="4DAA184B"/>
    <w:rsid w:val="4DAB73A0"/>
    <w:rsid w:val="4DBA49C9"/>
    <w:rsid w:val="4DBB1AFC"/>
    <w:rsid w:val="4DCD77CF"/>
    <w:rsid w:val="4DCEBBA7"/>
    <w:rsid w:val="4DCF7D32"/>
    <w:rsid w:val="4DD02236"/>
    <w:rsid w:val="4DD0B65C"/>
    <w:rsid w:val="4DDC47C3"/>
    <w:rsid w:val="4DE8B539"/>
    <w:rsid w:val="4DE96BE0"/>
    <w:rsid w:val="4DE9C359"/>
    <w:rsid w:val="4DF0EFE6"/>
    <w:rsid w:val="4E00F2F7"/>
    <w:rsid w:val="4E024049"/>
    <w:rsid w:val="4E07F4E0"/>
    <w:rsid w:val="4E08CB45"/>
    <w:rsid w:val="4E139892"/>
    <w:rsid w:val="4E13C9FB"/>
    <w:rsid w:val="4E1B63F8"/>
    <w:rsid w:val="4E1D9094"/>
    <w:rsid w:val="4E225172"/>
    <w:rsid w:val="4E245C47"/>
    <w:rsid w:val="4E254E22"/>
    <w:rsid w:val="4E269FA0"/>
    <w:rsid w:val="4E2941DE"/>
    <w:rsid w:val="4E2C6ED7"/>
    <w:rsid w:val="4E3C2BE6"/>
    <w:rsid w:val="4E3C7797"/>
    <w:rsid w:val="4E43BE46"/>
    <w:rsid w:val="4E4CD705"/>
    <w:rsid w:val="4E50BB4D"/>
    <w:rsid w:val="4E58EBBC"/>
    <w:rsid w:val="4E5F8A2F"/>
    <w:rsid w:val="4E65BBA1"/>
    <w:rsid w:val="4E664B68"/>
    <w:rsid w:val="4E7EA663"/>
    <w:rsid w:val="4E896C56"/>
    <w:rsid w:val="4E8EAE9D"/>
    <w:rsid w:val="4E9F0703"/>
    <w:rsid w:val="4EA52370"/>
    <w:rsid w:val="4EAF0B1F"/>
    <w:rsid w:val="4EB1BAF5"/>
    <w:rsid w:val="4EB6B2E7"/>
    <w:rsid w:val="4EBBC197"/>
    <w:rsid w:val="4EC8C1F7"/>
    <w:rsid w:val="4ECC7F57"/>
    <w:rsid w:val="4ECCE4CE"/>
    <w:rsid w:val="4ECD371F"/>
    <w:rsid w:val="4ECFD8A1"/>
    <w:rsid w:val="4ED03957"/>
    <w:rsid w:val="4ED8F37D"/>
    <w:rsid w:val="4EEB8537"/>
    <w:rsid w:val="4EEEA1FA"/>
    <w:rsid w:val="4EEFD9F2"/>
    <w:rsid w:val="4EF36398"/>
    <w:rsid w:val="4EF61CF9"/>
    <w:rsid w:val="4EFA0987"/>
    <w:rsid w:val="4F00B5EB"/>
    <w:rsid w:val="4F045440"/>
    <w:rsid w:val="4F0BCE87"/>
    <w:rsid w:val="4F131F4C"/>
    <w:rsid w:val="4F16BD4C"/>
    <w:rsid w:val="4F1A1192"/>
    <w:rsid w:val="4F23E560"/>
    <w:rsid w:val="4F242246"/>
    <w:rsid w:val="4F36CBD4"/>
    <w:rsid w:val="4F43F300"/>
    <w:rsid w:val="4F4683B7"/>
    <w:rsid w:val="4F4A1B65"/>
    <w:rsid w:val="4F4F15B8"/>
    <w:rsid w:val="4F5FAC14"/>
    <w:rsid w:val="4F612E7F"/>
    <w:rsid w:val="4F64BCDA"/>
    <w:rsid w:val="4F689898"/>
    <w:rsid w:val="4F69CD32"/>
    <w:rsid w:val="4F6C0372"/>
    <w:rsid w:val="4F7BF600"/>
    <w:rsid w:val="4F7CC1AB"/>
    <w:rsid w:val="4F7FA8EA"/>
    <w:rsid w:val="4F8784F7"/>
    <w:rsid w:val="4F87AAC8"/>
    <w:rsid w:val="4F884E33"/>
    <w:rsid w:val="4F98B752"/>
    <w:rsid w:val="4F9E9E67"/>
    <w:rsid w:val="4FB11782"/>
    <w:rsid w:val="4FB47125"/>
    <w:rsid w:val="4FD39C00"/>
    <w:rsid w:val="4FDF43BA"/>
    <w:rsid w:val="4FE547AE"/>
    <w:rsid w:val="4FE77D9B"/>
    <w:rsid w:val="4FE806CB"/>
    <w:rsid w:val="4FE8F580"/>
    <w:rsid w:val="4FF031EA"/>
    <w:rsid w:val="4FF29828"/>
    <w:rsid w:val="4FF5C11C"/>
    <w:rsid w:val="4FF864EF"/>
    <w:rsid w:val="5005B8DB"/>
    <w:rsid w:val="5012ADDB"/>
    <w:rsid w:val="501A546F"/>
    <w:rsid w:val="501F2129"/>
    <w:rsid w:val="50277CF8"/>
    <w:rsid w:val="50378AF6"/>
    <w:rsid w:val="50387CC4"/>
    <w:rsid w:val="503B7761"/>
    <w:rsid w:val="504224FB"/>
    <w:rsid w:val="505098B3"/>
    <w:rsid w:val="50583526"/>
    <w:rsid w:val="50742227"/>
    <w:rsid w:val="5079D78F"/>
    <w:rsid w:val="508216FE"/>
    <w:rsid w:val="50885384"/>
    <w:rsid w:val="50899DBA"/>
    <w:rsid w:val="508E0968"/>
    <w:rsid w:val="50943029"/>
    <w:rsid w:val="50A004B8"/>
    <w:rsid w:val="50A58C8E"/>
    <w:rsid w:val="50AC786B"/>
    <w:rsid w:val="50B35262"/>
    <w:rsid w:val="50B5E68E"/>
    <w:rsid w:val="50B72894"/>
    <w:rsid w:val="50B94E2C"/>
    <w:rsid w:val="50C1452B"/>
    <w:rsid w:val="50C86AC7"/>
    <w:rsid w:val="50CCC369"/>
    <w:rsid w:val="50D3F0DA"/>
    <w:rsid w:val="50D7D119"/>
    <w:rsid w:val="50DA0DC4"/>
    <w:rsid w:val="50DAE7BE"/>
    <w:rsid w:val="50DB5B43"/>
    <w:rsid w:val="50DD3ED4"/>
    <w:rsid w:val="50E1A823"/>
    <w:rsid w:val="50E27F78"/>
    <w:rsid w:val="50E4B65B"/>
    <w:rsid w:val="50F41AB6"/>
    <w:rsid w:val="50F7877A"/>
    <w:rsid w:val="50F7D090"/>
    <w:rsid w:val="510B8319"/>
    <w:rsid w:val="510C7F57"/>
    <w:rsid w:val="510D62EE"/>
    <w:rsid w:val="5117A437"/>
    <w:rsid w:val="511A69DD"/>
    <w:rsid w:val="511D427B"/>
    <w:rsid w:val="51249D03"/>
    <w:rsid w:val="512E1176"/>
    <w:rsid w:val="513BEE3E"/>
    <w:rsid w:val="514287EC"/>
    <w:rsid w:val="514C7B86"/>
    <w:rsid w:val="514FCA7D"/>
    <w:rsid w:val="5150BF82"/>
    <w:rsid w:val="5155CB30"/>
    <w:rsid w:val="515A7381"/>
    <w:rsid w:val="516373E6"/>
    <w:rsid w:val="516C79EA"/>
    <w:rsid w:val="516D74C0"/>
    <w:rsid w:val="516F7180"/>
    <w:rsid w:val="516FAA67"/>
    <w:rsid w:val="5176696A"/>
    <w:rsid w:val="51816322"/>
    <w:rsid w:val="518236E2"/>
    <w:rsid w:val="5187D120"/>
    <w:rsid w:val="5187D7DB"/>
    <w:rsid w:val="519AF356"/>
    <w:rsid w:val="51A4A271"/>
    <w:rsid w:val="51A69463"/>
    <w:rsid w:val="51AA8012"/>
    <w:rsid w:val="51AE63CA"/>
    <w:rsid w:val="51BA813F"/>
    <w:rsid w:val="51BE9F73"/>
    <w:rsid w:val="51C9C624"/>
    <w:rsid w:val="51ECDC7E"/>
    <w:rsid w:val="51F4559F"/>
    <w:rsid w:val="51F496F8"/>
    <w:rsid w:val="51F63F28"/>
    <w:rsid w:val="51F78ADE"/>
    <w:rsid w:val="51F9CF7F"/>
    <w:rsid w:val="51FC7C7C"/>
    <w:rsid w:val="51FF66D2"/>
    <w:rsid w:val="52024F00"/>
    <w:rsid w:val="520B27E5"/>
    <w:rsid w:val="52104054"/>
    <w:rsid w:val="521D0815"/>
    <w:rsid w:val="521D7F6B"/>
    <w:rsid w:val="5222088F"/>
    <w:rsid w:val="52268704"/>
    <w:rsid w:val="522DA3FE"/>
    <w:rsid w:val="522FBC23"/>
    <w:rsid w:val="52302CC9"/>
    <w:rsid w:val="523136BA"/>
    <w:rsid w:val="5239725A"/>
    <w:rsid w:val="5239E473"/>
    <w:rsid w:val="523A8CD8"/>
    <w:rsid w:val="523D2F40"/>
    <w:rsid w:val="523DD910"/>
    <w:rsid w:val="524AB73F"/>
    <w:rsid w:val="524AD2A6"/>
    <w:rsid w:val="524B9757"/>
    <w:rsid w:val="525C5DF3"/>
    <w:rsid w:val="525ED2EE"/>
    <w:rsid w:val="52616B71"/>
    <w:rsid w:val="5266F329"/>
    <w:rsid w:val="526C58CB"/>
    <w:rsid w:val="527E2479"/>
    <w:rsid w:val="52809BFF"/>
    <w:rsid w:val="52888BA4"/>
    <w:rsid w:val="528FBE02"/>
    <w:rsid w:val="5291125F"/>
    <w:rsid w:val="52942982"/>
    <w:rsid w:val="52A5415D"/>
    <w:rsid w:val="52AACF58"/>
    <w:rsid w:val="52B1681D"/>
    <w:rsid w:val="52B69221"/>
    <w:rsid w:val="52B6FB74"/>
    <w:rsid w:val="52C9D234"/>
    <w:rsid w:val="52CADB91"/>
    <w:rsid w:val="52CAE587"/>
    <w:rsid w:val="52CCFF2A"/>
    <w:rsid w:val="52D22E65"/>
    <w:rsid w:val="52D4F191"/>
    <w:rsid w:val="52D67415"/>
    <w:rsid w:val="52D78147"/>
    <w:rsid w:val="52DB14D5"/>
    <w:rsid w:val="52DC0587"/>
    <w:rsid w:val="52DE934C"/>
    <w:rsid w:val="52E105B8"/>
    <w:rsid w:val="52F772BA"/>
    <w:rsid w:val="52F7D779"/>
    <w:rsid w:val="5302BBF5"/>
    <w:rsid w:val="531302AC"/>
    <w:rsid w:val="531D98E0"/>
    <w:rsid w:val="53279782"/>
    <w:rsid w:val="532EAF18"/>
    <w:rsid w:val="533046B4"/>
    <w:rsid w:val="5337BB31"/>
    <w:rsid w:val="533BEA0D"/>
    <w:rsid w:val="53411777"/>
    <w:rsid w:val="534186FA"/>
    <w:rsid w:val="534F3118"/>
    <w:rsid w:val="5357AE94"/>
    <w:rsid w:val="5358E3A6"/>
    <w:rsid w:val="535B3449"/>
    <w:rsid w:val="5369A493"/>
    <w:rsid w:val="536B497D"/>
    <w:rsid w:val="536D329D"/>
    <w:rsid w:val="53807048"/>
    <w:rsid w:val="53817C31"/>
    <w:rsid w:val="538449D6"/>
    <w:rsid w:val="53890AA2"/>
    <w:rsid w:val="538B1713"/>
    <w:rsid w:val="538C375C"/>
    <w:rsid w:val="538C91EA"/>
    <w:rsid w:val="539565A0"/>
    <w:rsid w:val="53993D2C"/>
    <w:rsid w:val="53997DDE"/>
    <w:rsid w:val="539C9CF7"/>
    <w:rsid w:val="53AC1B80"/>
    <w:rsid w:val="53B749EF"/>
    <w:rsid w:val="53B98396"/>
    <w:rsid w:val="53BAD060"/>
    <w:rsid w:val="53CF54FF"/>
    <w:rsid w:val="53D21F09"/>
    <w:rsid w:val="53D5B4D4"/>
    <w:rsid w:val="53D7690E"/>
    <w:rsid w:val="53DCBF88"/>
    <w:rsid w:val="53E8A9C0"/>
    <w:rsid w:val="53E9B30C"/>
    <w:rsid w:val="53F1C8D9"/>
    <w:rsid w:val="53F3DB4A"/>
    <w:rsid w:val="53F3F7F5"/>
    <w:rsid w:val="53F75D2D"/>
    <w:rsid w:val="53F8F775"/>
    <w:rsid w:val="53FA0B25"/>
    <w:rsid w:val="53FD22D6"/>
    <w:rsid w:val="53FECD81"/>
    <w:rsid w:val="53FF29B8"/>
    <w:rsid w:val="5401867D"/>
    <w:rsid w:val="5403425D"/>
    <w:rsid w:val="54171B56"/>
    <w:rsid w:val="541942A0"/>
    <w:rsid w:val="541B7745"/>
    <w:rsid w:val="541BCBF5"/>
    <w:rsid w:val="541C571D"/>
    <w:rsid w:val="5429BFDD"/>
    <w:rsid w:val="542B8E63"/>
    <w:rsid w:val="542FF210"/>
    <w:rsid w:val="5434781F"/>
    <w:rsid w:val="543E31A3"/>
    <w:rsid w:val="544010FE"/>
    <w:rsid w:val="54504482"/>
    <w:rsid w:val="547126F5"/>
    <w:rsid w:val="5473181C"/>
    <w:rsid w:val="54771BE1"/>
    <w:rsid w:val="54771E4B"/>
    <w:rsid w:val="5482414C"/>
    <w:rsid w:val="548C9E02"/>
    <w:rsid w:val="5497CB27"/>
    <w:rsid w:val="54A6EE17"/>
    <w:rsid w:val="54ADE959"/>
    <w:rsid w:val="54AF1790"/>
    <w:rsid w:val="54AF1850"/>
    <w:rsid w:val="54AFAF6E"/>
    <w:rsid w:val="54B952E9"/>
    <w:rsid w:val="54C2F6F9"/>
    <w:rsid w:val="54C6B4D3"/>
    <w:rsid w:val="54CA1250"/>
    <w:rsid w:val="54D41B67"/>
    <w:rsid w:val="54D49D35"/>
    <w:rsid w:val="54D4CA49"/>
    <w:rsid w:val="54DFCC03"/>
    <w:rsid w:val="54EB565C"/>
    <w:rsid w:val="54EB76B7"/>
    <w:rsid w:val="54ED4EE1"/>
    <w:rsid w:val="54EDE7E7"/>
    <w:rsid w:val="54F0C3CA"/>
    <w:rsid w:val="550C6615"/>
    <w:rsid w:val="5515A92D"/>
    <w:rsid w:val="5517D341"/>
    <w:rsid w:val="55232131"/>
    <w:rsid w:val="553CF5EA"/>
    <w:rsid w:val="554E79E7"/>
    <w:rsid w:val="5557A015"/>
    <w:rsid w:val="555E8389"/>
    <w:rsid w:val="555FD0CF"/>
    <w:rsid w:val="55629D07"/>
    <w:rsid w:val="55664A41"/>
    <w:rsid w:val="556AE9B2"/>
    <w:rsid w:val="556F9EAC"/>
    <w:rsid w:val="55722702"/>
    <w:rsid w:val="557CB22B"/>
    <w:rsid w:val="557EEC13"/>
    <w:rsid w:val="55811B24"/>
    <w:rsid w:val="55894CB6"/>
    <w:rsid w:val="558D6A4E"/>
    <w:rsid w:val="55A0348C"/>
    <w:rsid w:val="55A7DD68"/>
    <w:rsid w:val="55A8F1F1"/>
    <w:rsid w:val="55AB7FA5"/>
    <w:rsid w:val="55B0E7AE"/>
    <w:rsid w:val="55B5921E"/>
    <w:rsid w:val="55B8161D"/>
    <w:rsid w:val="55BAB905"/>
    <w:rsid w:val="55BEDB8D"/>
    <w:rsid w:val="55C403D2"/>
    <w:rsid w:val="55C98440"/>
    <w:rsid w:val="55CB41B3"/>
    <w:rsid w:val="55D29E3D"/>
    <w:rsid w:val="55D841FC"/>
    <w:rsid w:val="55DA678D"/>
    <w:rsid w:val="55E3C89D"/>
    <w:rsid w:val="55E52EC6"/>
    <w:rsid w:val="55E60F55"/>
    <w:rsid w:val="55EBE355"/>
    <w:rsid w:val="55ECF0DE"/>
    <w:rsid w:val="56024871"/>
    <w:rsid w:val="56055B74"/>
    <w:rsid w:val="56131A16"/>
    <w:rsid w:val="561C95B9"/>
    <w:rsid w:val="561DB120"/>
    <w:rsid w:val="5627E562"/>
    <w:rsid w:val="56334CAD"/>
    <w:rsid w:val="5634A0DE"/>
    <w:rsid w:val="563577BC"/>
    <w:rsid w:val="5639BCEB"/>
    <w:rsid w:val="564131A3"/>
    <w:rsid w:val="5642FAEE"/>
    <w:rsid w:val="5643D5B6"/>
    <w:rsid w:val="564E3808"/>
    <w:rsid w:val="566BACD3"/>
    <w:rsid w:val="566C46AF"/>
    <w:rsid w:val="566DA24B"/>
    <w:rsid w:val="567AE189"/>
    <w:rsid w:val="567F898C"/>
    <w:rsid w:val="568739E1"/>
    <w:rsid w:val="568855F0"/>
    <w:rsid w:val="56A08EBF"/>
    <w:rsid w:val="56A67B05"/>
    <w:rsid w:val="56ADAD10"/>
    <w:rsid w:val="56AF0D4C"/>
    <w:rsid w:val="56B9F1D4"/>
    <w:rsid w:val="56BF00F3"/>
    <w:rsid w:val="56C31D4F"/>
    <w:rsid w:val="56C58C62"/>
    <w:rsid w:val="56C9FDFF"/>
    <w:rsid w:val="56CC7C31"/>
    <w:rsid w:val="56CD5310"/>
    <w:rsid w:val="56CF1EF9"/>
    <w:rsid w:val="56D4A232"/>
    <w:rsid w:val="56DC7DD7"/>
    <w:rsid w:val="56E7ECC4"/>
    <w:rsid w:val="56EA2241"/>
    <w:rsid w:val="56F0DC02"/>
    <w:rsid w:val="56F6F5FD"/>
    <w:rsid w:val="56FB4824"/>
    <w:rsid w:val="56FF31D0"/>
    <w:rsid w:val="5700C076"/>
    <w:rsid w:val="57029FF7"/>
    <w:rsid w:val="5703B9DD"/>
    <w:rsid w:val="5708BCB8"/>
    <w:rsid w:val="5709D5D0"/>
    <w:rsid w:val="570FD6EF"/>
    <w:rsid w:val="57125A66"/>
    <w:rsid w:val="57139EB8"/>
    <w:rsid w:val="571DBEF8"/>
    <w:rsid w:val="57211B53"/>
    <w:rsid w:val="57259942"/>
    <w:rsid w:val="5725E8E5"/>
    <w:rsid w:val="572B48EA"/>
    <w:rsid w:val="572B4EE6"/>
    <w:rsid w:val="57330598"/>
    <w:rsid w:val="57357224"/>
    <w:rsid w:val="573C56E9"/>
    <w:rsid w:val="573DC451"/>
    <w:rsid w:val="5741F4F1"/>
    <w:rsid w:val="574C8058"/>
    <w:rsid w:val="575014DE"/>
    <w:rsid w:val="57518BB7"/>
    <w:rsid w:val="57531807"/>
    <w:rsid w:val="575B53C6"/>
    <w:rsid w:val="57626A3C"/>
    <w:rsid w:val="576939A3"/>
    <w:rsid w:val="576BA3F0"/>
    <w:rsid w:val="576C4064"/>
    <w:rsid w:val="576D9461"/>
    <w:rsid w:val="57777CD1"/>
    <w:rsid w:val="57794634"/>
    <w:rsid w:val="577F3791"/>
    <w:rsid w:val="57864F18"/>
    <w:rsid w:val="578A9FA4"/>
    <w:rsid w:val="579536A1"/>
    <w:rsid w:val="5799827D"/>
    <w:rsid w:val="579AB9E9"/>
    <w:rsid w:val="57A241A4"/>
    <w:rsid w:val="57A4A40E"/>
    <w:rsid w:val="57AACB2C"/>
    <w:rsid w:val="57AC8FE9"/>
    <w:rsid w:val="57AE287A"/>
    <w:rsid w:val="57B2DBA7"/>
    <w:rsid w:val="57B80291"/>
    <w:rsid w:val="57BC1316"/>
    <w:rsid w:val="57BDE857"/>
    <w:rsid w:val="57C0D481"/>
    <w:rsid w:val="57C11D3B"/>
    <w:rsid w:val="57C88615"/>
    <w:rsid w:val="57C9A6E5"/>
    <w:rsid w:val="57E3D7D6"/>
    <w:rsid w:val="57E8C615"/>
    <w:rsid w:val="57F2FBF6"/>
    <w:rsid w:val="57F41839"/>
    <w:rsid w:val="57FD898D"/>
    <w:rsid w:val="580163A5"/>
    <w:rsid w:val="5803220F"/>
    <w:rsid w:val="58064F2F"/>
    <w:rsid w:val="5809CEC1"/>
    <w:rsid w:val="580A5F5C"/>
    <w:rsid w:val="58142009"/>
    <w:rsid w:val="581FA48D"/>
    <w:rsid w:val="581FB62B"/>
    <w:rsid w:val="5820199C"/>
    <w:rsid w:val="5820DD63"/>
    <w:rsid w:val="58305C88"/>
    <w:rsid w:val="583BA976"/>
    <w:rsid w:val="583E1180"/>
    <w:rsid w:val="5849C853"/>
    <w:rsid w:val="585DED1C"/>
    <w:rsid w:val="585FA15D"/>
    <w:rsid w:val="5861C1C0"/>
    <w:rsid w:val="58645141"/>
    <w:rsid w:val="5864DAC5"/>
    <w:rsid w:val="586CBD28"/>
    <w:rsid w:val="5870C056"/>
    <w:rsid w:val="5870EB4D"/>
    <w:rsid w:val="587275C4"/>
    <w:rsid w:val="587B0A44"/>
    <w:rsid w:val="58815B41"/>
    <w:rsid w:val="58839E79"/>
    <w:rsid w:val="588FC3F2"/>
    <w:rsid w:val="5891EE40"/>
    <w:rsid w:val="589499E9"/>
    <w:rsid w:val="5896339F"/>
    <w:rsid w:val="58998115"/>
    <w:rsid w:val="589CE1D1"/>
    <w:rsid w:val="58A6AD7B"/>
    <w:rsid w:val="58A87F17"/>
    <w:rsid w:val="58AAAC76"/>
    <w:rsid w:val="58AB2FA1"/>
    <w:rsid w:val="58ABF2A9"/>
    <w:rsid w:val="58AC1312"/>
    <w:rsid w:val="58AEBF18"/>
    <w:rsid w:val="58B16956"/>
    <w:rsid w:val="58C71F47"/>
    <w:rsid w:val="58D71A61"/>
    <w:rsid w:val="58D87A2B"/>
    <w:rsid w:val="58DDE05C"/>
    <w:rsid w:val="58DEB7D3"/>
    <w:rsid w:val="58DFC2D4"/>
    <w:rsid w:val="58E726AF"/>
    <w:rsid w:val="590143BE"/>
    <w:rsid w:val="5905316E"/>
    <w:rsid w:val="590F0928"/>
    <w:rsid w:val="59117DFE"/>
    <w:rsid w:val="5912084F"/>
    <w:rsid w:val="591A972B"/>
    <w:rsid w:val="592140C2"/>
    <w:rsid w:val="592491A0"/>
    <w:rsid w:val="592AB18B"/>
    <w:rsid w:val="592C2B36"/>
    <w:rsid w:val="592E6151"/>
    <w:rsid w:val="5931E366"/>
    <w:rsid w:val="594FC273"/>
    <w:rsid w:val="595198AE"/>
    <w:rsid w:val="5954234C"/>
    <w:rsid w:val="595AE010"/>
    <w:rsid w:val="595BEBFC"/>
    <w:rsid w:val="59629CAC"/>
    <w:rsid w:val="59640B70"/>
    <w:rsid w:val="596ECD37"/>
    <w:rsid w:val="596F967F"/>
    <w:rsid w:val="597A838E"/>
    <w:rsid w:val="597AB6EF"/>
    <w:rsid w:val="597F5528"/>
    <w:rsid w:val="598A91CA"/>
    <w:rsid w:val="5994648E"/>
    <w:rsid w:val="5999A625"/>
    <w:rsid w:val="599D570C"/>
    <w:rsid w:val="59A59F22"/>
    <w:rsid w:val="59AE123D"/>
    <w:rsid w:val="59B66049"/>
    <w:rsid w:val="59B7FAFF"/>
    <w:rsid w:val="59B8D594"/>
    <w:rsid w:val="59BAC6D7"/>
    <w:rsid w:val="59BF172C"/>
    <w:rsid w:val="59C0136A"/>
    <w:rsid w:val="59C20BCD"/>
    <w:rsid w:val="59C89D76"/>
    <w:rsid w:val="59D3022B"/>
    <w:rsid w:val="59D3A6DE"/>
    <w:rsid w:val="59DB68CB"/>
    <w:rsid w:val="59E9EF18"/>
    <w:rsid w:val="59ED2D14"/>
    <w:rsid w:val="59ED5DF8"/>
    <w:rsid w:val="59EED134"/>
    <w:rsid w:val="59FE5C6A"/>
    <w:rsid w:val="59FF88AA"/>
    <w:rsid w:val="5A0478CA"/>
    <w:rsid w:val="5A07011D"/>
    <w:rsid w:val="5A0FD0E7"/>
    <w:rsid w:val="5A13AF5A"/>
    <w:rsid w:val="5A1A78CE"/>
    <w:rsid w:val="5A1AD297"/>
    <w:rsid w:val="5A1ADDE8"/>
    <w:rsid w:val="5A306A4A"/>
    <w:rsid w:val="5A355635"/>
    <w:rsid w:val="5A402527"/>
    <w:rsid w:val="5A4E8E04"/>
    <w:rsid w:val="5A50F62C"/>
    <w:rsid w:val="5A61D852"/>
    <w:rsid w:val="5A6D3BFC"/>
    <w:rsid w:val="5A6D68DA"/>
    <w:rsid w:val="5A6E03CE"/>
    <w:rsid w:val="5A74DCC1"/>
    <w:rsid w:val="5A7875E9"/>
    <w:rsid w:val="5A7B5960"/>
    <w:rsid w:val="5A8D8647"/>
    <w:rsid w:val="5A921D62"/>
    <w:rsid w:val="5A97CE1E"/>
    <w:rsid w:val="5A9AE62B"/>
    <w:rsid w:val="5AA099E8"/>
    <w:rsid w:val="5AA5E766"/>
    <w:rsid w:val="5ABF630C"/>
    <w:rsid w:val="5AC0158A"/>
    <w:rsid w:val="5AC1B46C"/>
    <w:rsid w:val="5AC28150"/>
    <w:rsid w:val="5ACB2241"/>
    <w:rsid w:val="5AD1233F"/>
    <w:rsid w:val="5AD88E61"/>
    <w:rsid w:val="5AE2052D"/>
    <w:rsid w:val="5AE3FD40"/>
    <w:rsid w:val="5AE5ED01"/>
    <w:rsid w:val="5AEF459E"/>
    <w:rsid w:val="5AF182D0"/>
    <w:rsid w:val="5AF3F2FD"/>
    <w:rsid w:val="5AF421DD"/>
    <w:rsid w:val="5B04F580"/>
    <w:rsid w:val="5B0E7495"/>
    <w:rsid w:val="5B158B09"/>
    <w:rsid w:val="5B1B7898"/>
    <w:rsid w:val="5B1BAC19"/>
    <w:rsid w:val="5B252027"/>
    <w:rsid w:val="5B2719AB"/>
    <w:rsid w:val="5B28AB61"/>
    <w:rsid w:val="5B2F4FAE"/>
    <w:rsid w:val="5B2FABE9"/>
    <w:rsid w:val="5B331FF3"/>
    <w:rsid w:val="5B3585DD"/>
    <w:rsid w:val="5B3637DA"/>
    <w:rsid w:val="5B387594"/>
    <w:rsid w:val="5B390F24"/>
    <w:rsid w:val="5B39276D"/>
    <w:rsid w:val="5B3E1379"/>
    <w:rsid w:val="5B3E65B5"/>
    <w:rsid w:val="5B416F83"/>
    <w:rsid w:val="5B4411F4"/>
    <w:rsid w:val="5B4B1B84"/>
    <w:rsid w:val="5B4E52AC"/>
    <w:rsid w:val="5B55958E"/>
    <w:rsid w:val="5B5A97E0"/>
    <w:rsid w:val="5B747659"/>
    <w:rsid w:val="5B7BCE59"/>
    <w:rsid w:val="5B8E3FB4"/>
    <w:rsid w:val="5B941825"/>
    <w:rsid w:val="5B996D34"/>
    <w:rsid w:val="5B9AFC97"/>
    <w:rsid w:val="5B9DDF42"/>
    <w:rsid w:val="5BA2603F"/>
    <w:rsid w:val="5BACE9F7"/>
    <w:rsid w:val="5BB6E0C7"/>
    <w:rsid w:val="5BB7253B"/>
    <w:rsid w:val="5BC9E70B"/>
    <w:rsid w:val="5BCBF511"/>
    <w:rsid w:val="5BCCE799"/>
    <w:rsid w:val="5BCCF611"/>
    <w:rsid w:val="5BD1F5C5"/>
    <w:rsid w:val="5BDE43A5"/>
    <w:rsid w:val="5BE1574C"/>
    <w:rsid w:val="5BE21FF0"/>
    <w:rsid w:val="5BF022D1"/>
    <w:rsid w:val="5BF50BFA"/>
    <w:rsid w:val="5C036AE1"/>
    <w:rsid w:val="5C0A7508"/>
    <w:rsid w:val="5C0A7A1E"/>
    <w:rsid w:val="5C0AE678"/>
    <w:rsid w:val="5C0F7610"/>
    <w:rsid w:val="5C10C53F"/>
    <w:rsid w:val="5C1960A7"/>
    <w:rsid w:val="5C20688A"/>
    <w:rsid w:val="5C301F4D"/>
    <w:rsid w:val="5C32F215"/>
    <w:rsid w:val="5C3368E9"/>
    <w:rsid w:val="5C3383C7"/>
    <w:rsid w:val="5C38376C"/>
    <w:rsid w:val="5C405670"/>
    <w:rsid w:val="5C432D5F"/>
    <w:rsid w:val="5C433762"/>
    <w:rsid w:val="5C499230"/>
    <w:rsid w:val="5C4D27C3"/>
    <w:rsid w:val="5C551E36"/>
    <w:rsid w:val="5C557300"/>
    <w:rsid w:val="5C5DAA8C"/>
    <w:rsid w:val="5C63CA3E"/>
    <w:rsid w:val="5C685A6A"/>
    <w:rsid w:val="5C6A3FD3"/>
    <w:rsid w:val="5C6EB34B"/>
    <w:rsid w:val="5C6FF6AF"/>
    <w:rsid w:val="5C737BC8"/>
    <w:rsid w:val="5C73FE19"/>
    <w:rsid w:val="5C858753"/>
    <w:rsid w:val="5C86F27B"/>
    <w:rsid w:val="5C8C3702"/>
    <w:rsid w:val="5C8D5331"/>
    <w:rsid w:val="5C9B541C"/>
    <w:rsid w:val="5CA30DAB"/>
    <w:rsid w:val="5CAD5063"/>
    <w:rsid w:val="5CB82D71"/>
    <w:rsid w:val="5CBA31AD"/>
    <w:rsid w:val="5CBEBE35"/>
    <w:rsid w:val="5CC070B7"/>
    <w:rsid w:val="5CC5C2F4"/>
    <w:rsid w:val="5CC78442"/>
    <w:rsid w:val="5CC79240"/>
    <w:rsid w:val="5CCDA24D"/>
    <w:rsid w:val="5CCEF6DF"/>
    <w:rsid w:val="5CCFBE84"/>
    <w:rsid w:val="5CD41D25"/>
    <w:rsid w:val="5CD92500"/>
    <w:rsid w:val="5CE49CF2"/>
    <w:rsid w:val="5CE577DF"/>
    <w:rsid w:val="5CE8D3E2"/>
    <w:rsid w:val="5CEB3892"/>
    <w:rsid w:val="5CEB440C"/>
    <w:rsid w:val="5CED85C6"/>
    <w:rsid w:val="5CEDF54E"/>
    <w:rsid w:val="5CF1FE99"/>
    <w:rsid w:val="5CFA206A"/>
    <w:rsid w:val="5CFCF6AD"/>
    <w:rsid w:val="5D0A8091"/>
    <w:rsid w:val="5D0CAA2D"/>
    <w:rsid w:val="5D100E8E"/>
    <w:rsid w:val="5D177553"/>
    <w:rsid w:val="5D1C856A"/>
    <w:rsid w:val="5D219C70"/>
    <w:rsid w:val="5D27ED3A"/>
    <w:rsid w:val="5D2AC277"/>
    <w:rsid w:val="5D32D806"/>
    <w:rsid w:val="5D3A9E03"/>
    <w:rsid w:val="5D3C75AD"/>
    <w:rsid w:val="5D43416B"/>
    <w:rsid w:val="5D46FDEE"/>
    <w:rsid w:val="5D52C399"/>
    <w:rsid w:val="5D542754"/>
    <w:rsid w:val="5D55FE09"/>
    <w:rsid w:val="5D586123"/>
    <w:rsid w:val="5D667A43"/>
    <w:rsid w:val="5D68DE75"/>
    <w:rsid w:val="5D6A7575"/>
    <w:rsid w:val="5D6F497E"/>
    <w:rsid w:val="5D733AD8"/>
    <w:rsid w:val="5D7F2200"/>
    <w:rsid w:val="5D7FA5C6"/>
    <w:rsid w:val="5D80AF80"/>
    <w:rsid w:val="5D886FBA"/>
    <w:rsid w:val="5D8944A4"/>
    <w:rsid w:val="5D96276C"/>
    <w:rsid w:val="5D9CDE46"/>
    <w:rsid w:val="5DABB5C6"/>
    <w:rsid w:val="5DAE01F4"/>
    <w:rsid w:val="5DB20834"/>
    <w:rsid w:val="5DBBB057"/>
    <w:rsid w:val="5DC2BB03"/>
    <w:rsid w:val="5DC518C1"/>
    <w:rsid w:val="5DC51C50"/>
    <w:rsid w:val="5DC70449"/>
    <w:rsid w:val="5DCCEA81"/>
    <w:rsid w:val="5DCFDBA0"/>
    <w:rsid w:val="5DD5893C"/>
    <w:rsid w:val="5DF1A45F"/>
    <w:rsid w:val="5DF1D2DC"/>
    <w:rsid w:val="5DF75CAD"/>
    <w:rsid w:val="5DFB2E0B"/>
    <w:rsid w:val="5E03D7E8"/>
    <w:rsid w:val="5E05253F"/>
    <w:rsid w:val="5E0842B8"/>
    <w:rsid w:val="5E0C8760"/>
    <w:rsid w:val="5E0CA0CE"/>
    <w:rsid w:val="5E0CBC83"/>
    <w:rsid w:val="5E1C53B2"/>
    <w:rsid w:val="5E20E561"/>
    <w:rsid w:val="5E22F9C3"/>
    <w:rsid w:val="5E2C24FB"/>
    <w:rsid w:val="5E407336"/>
    <w:rsid w:val="5E4855C1"/>
    <w:rsid w:val="5E498BE4"/>
    <w:rsid w:val="5E57EA70"/>
    <w:rsid w:val="5E5BDA2C"/>
    <w:rsid w:val="5E60BEAA"/>
    <w:rsid w:val="5E6530A0"/>
    <w:rsid w:val="5E7EEB09"/>
    <w:rsid w:val="5E85F36E"/>
    <w:rsid w:val="5E8722B4"/>
    <w:rsid w:val="5E9238A2"/>
    <w:rsid w:val="5E991FD6"/>
    <w:rsid w:val="5EA39E37"/>
    <w:rsid w:val="5EA63503"/>
    <w:rsid w:val="5EA65773"/>
    <w:rsid w:val="5EA87A8E"/>
    <w:rsid w:val="5EC1487D"/>
    <w:rsid w:val="5EC41017"/>
    <w:rsid w:val="5EC9BB6D"/>
    <w:rsid w:val="5ECB938F"/>
    <w:rsid w:val="5ECD200D"/>
    <w:rsid w:val="5ECEA867"/>
    <w:rsid w:val="5ED6860B"/>
    <w:rsid w:val="5EDA0A59"/>
    <w:rsid w:val="5EE49C41"/>
    <w:rsid w:val="5EE7AA39"/>
    <w:rsid w:val="5EEA1F6F"/>
    <w:rsid w:val="5EF1E243"/>
    <w:rsid w:val="5EF295D8"/>
    <w:rsid w:val="5EF4273E"/>
    <w:rsid w:val="5EF5AF94"/>
    <w:rsid w:val="5F05BB96"/>
    <w:rsid w:val="5F099687"/>
    <w:rsid w:val="5F1E5E85"/>
    <w:rsid w:val="5F20D0E2"/>
    <w:rsid w:val="5F25DEC7"/>
    <w:rsid w:val="5F282977"/>
    <w:rsid w:val="5F391296"/>
    <w:rsid w:val="5F396128"/>
    <w:rsid w:val="5F39939D"/>
    <w:rsid w:val="5F453CAC"/>
    <w:rsid w:val="5F476FA4"/>
    <w:rsid w:val="5F530CEC"/>
    <w:rsid w:val="5F653059"/>
    <w:rsid w:val="5F666621"/>
    <w:rsid w:val="5F6D6DC5"/>
    <w:rsid w:val="5F708819"/>
    <w:rsid w:val="5F775249"/>
    <w:rsid w:val="5F781CEC"/>
    <w:rsid w:val="5F7AF9DE"/>
    <w:rsid w:val="5F8218D5"/>
    <w:rsid w:val="5F85FB95"/>
    <w:rsid w:val="5F894802"/>
    <w:rsid w:val="5F91AEDD"/>
    <w:rsid w:val="5F97B420"/>
    <w:rsid w:val="5F9B2021"/>
    <w:rsid w:val="5FA2ACB4"/>
    <w:rsid w:val="5FA3FD55"/>
    <w:rsid w:val="5FA490C0"/>
    <w:rsid w:val="5FA5ED3A"/>
    <w:rsid w:val="5FA9FAAC"/>
    <w:rsid w:val="5FAAA48C"/>
    <w:rsid w:val="5FAAB7FD"/>
    <w:rsid w:val="5FB11F1D"/>
    <w:rsid w:val="5FC38955"/>
    <w:rsid w:val="5FC4359E"/>
    <w:rsid w:val="5FCC6EC1"/>
    <w:rsid w:val="5FD0C951"/>
    <w:rsid w:val="5FD4F3C2"/>
    <w:rsid w:val="5FDB94F0"/>
    <w:rsid w:val="5FDE0BED"/>
    <w:rsid w:val="5FE17522"/>
    <w:rsid w:val="5FE302CC"/>
    <w:rsid w:val="5FED4B80"/>
    <w:rsid w:val="5FF80352"/>
    <w:rsid w:val="5FF9708C"/>
    <w:rsid w:val="5FFCEABC"/>
    <w:rsid w:val="6008F690"/>
    <w:rsid w:val="60110705"/>
    <w:rsid w:val="6011A08F"/>
    <w:rsid w:val="60146DCD"/>
    <w:rsid w:val="6016EA21"/>
    <w:rsid w:val="60178832"/>
    <w:rsid w:val="6021AC3C"/>
    <w:rsid w:val="6025ADB7"/>
    <w:rsid w:val="6025F777"/>
    <w:rsid w:val="60286111"/>
    <w:rsid w:val="6029CF1D"/>
    <w:rsid w:val="602C4B0C"/>
    <w:rsid w:val="602D9830"/>
    <w:rsid w:val="6036D6B2"/>
    <w:rsid w:val="604630F2"/>
    <w:rsid w:val="6049182C"/>
    <w:rsid w:val="604D261E"/>
    <w:rsid w:val="604D901C"/>
    <w:rsid w:val="604DD400"/>
    <w:rsid w:val="605274AD"/>
    <w:rsid w:val="605B5983"/>
    <w:rsid w:val="605BE7EE"/>
    <w:rsid w:val="605BFD75"/>
    <w:rsid w:val="6063C8FD"/>
    <w:rsid w:val="60658E56"/>
    <w:rsid w:val="606C8B08"/>
    <w:rsid w:val="608ECF0A"/>
    <w:rsid w:val="60992628"/>
    <w:rsid w:val="609E6BD7"/>
    <w:rsid w:val="60AC933B"/>
    <w:rsid w:val="60BF66EE"/>
    <w:rsid w:val="60C3C045"/>
    <w:rsid w:val="60C497FD"/>
    <w:rsid w:val="60C74AD0"/>
    <w:rsid w:val="60C7B4FC"/>
    <w:rsid w:val="60CA4F9E"/>
    <w:rsid w:val="60D37D9C"/>
    <w:rsid w:val="60E429E0"/>
    <w:rsid w:val="60EED108"/>
    <w:rsid w:val="60F61314"/>
    <w:rsid w:val="60FDB6B4"/>
    <w:rsid w:val="60FDE655"/>
    <w:rsid w:val="61006568"/>
    <w:rsid w:val="610829DA"/>
    <w:rsid w:val="61119EB4"/>
    <w:rsid w:val="61123516"/>
    <w:rsid w:val="611322AA"/>
    <w:rsid w:val="61140220"/>
    <w:rsid w:val="61215BC6"/>
    <w:rsid w:val="612937E4"/>
    <w:rsid w:val="6133C8BE"/>
    <w:rsid w:val="61382840"/>
    <w:rsid w:val="613B28CA"/>
    <w:rsid w:val="61465E95"/>
    <w:rsid w:val="6149766F"/>
    <w:rsid w:val="614E952B"/>
    <w:rsid w:val="614FAA9C"/>
    <w:rsid w:val="615171B2"/>
    <w:rsid w:val="61535A2D"/>
    <w:rsid w:val="61583D07"/>
    <w:rsid w:val="615976FD"/>
    <w:rsid w:val="6160B6BF"/>
    <w:rsid w:val="616115BF"/>
    <w:rsid w:val="6167A4C8"/>
    <w:rsid w:val="616D5377"/>
    <w:rsid w:val="6175E418"/>
    <w:rsid w:val="6176C99D"/>
    <w:rsid w:val="617B1487"/>
    <w:rsid w:val="617C89EA"/>
    <w:rsid w:val="617F23A0"/>
    <w:rsid w:val="61883915"/>
    <w:rsid w:val="618F135E"/>
    <w:rsid w:val="61975A81"/>
    <w:rsid w:val="619E3253"/>
    <w:rsid w:val="619E4E06"/>
    <w:rsid w:val="61A1E86E"/>
    <w:rsid w:val="61A83BBB"/>
    <w:rsid w:val="61B17321"/>
    <w:rsid w:val="61B82DD2"/>
    <w:rsid w:val="61BC97DF"/>
    <w:rsid w:val="61BF6E2E"/>
    <w:rsid w:val="61D12889"/>
    <w:rsid w:val="61D31278"/>
    <w:rsid w:val="61D86214"/>
    <w:rsid w:val="61DD7993"/>
    <w:rsid w:val="61E2D3E6"/>
    <w:rsid w:val="61E3F481"/>
    <w:rsid w:val="61F1D7A7"/>
    <w:rsid w:val="61FCBEA6"/>
    <w:rsid w:val="62023FDE"/>
    <w:rsid w:val="6219362A"/>
    <w:rsid w:val="621AFE0C"/>
    <w:rsid w:val="622D5056"/>
    <w:rsid w:val="623B7C2F"/>
    <w:rsid w:val="624F0CCB"/>
    <w:rsid w:val="625AD600"/>
    <w:rsid w:val="625BBD42"/>
    <w:rsid w:val="6263E01F"/>
    <w:rsid w:val="62645A3E"/>
    <w:rsid w:val="6266E134"/>
    <w:rsid w:val="626C87A1"/>
    <w:rsid w:val="62704EAA"/>
    <w:rsid w:val="627A731C"/>
    <w:rsid w:val="627E7D0F"/>
    <w:rsid w:val="6282D71D"/>
    <w:rsid w:val="62833E6C"/>
    <w:rsid w:val="6286BA1D"/>
    <w:rsid w:val="628AA169"/>
    <w:rsid w:val="628C10B7"/>
    <w:rsid w:val="6295B7A0"/>
    <w:rsid w:val="62982EC6"/>
    <w:rsid w:val="629A31E5"/>
    <w:rsid w:val="629C913B"/>
    <w:rsid w:val="629CA9C4"/>
    <w:rsid w:val="62A00D91"/>
    <w:rsid w:val="62A84FC6"/>
    <w:rsid w:val="62A9699D"/>
    <w:rsid w:val="62AA0354"/>
    <w:rsid w:val="62B26CA8"/>
    <w:rsid w:val="62B6A0BF"/>
    <w:rsid w:val="62B7276D"/>
    <w:rsid w:val="62B9E5BE"/>
    <w:rsid w:val="62C15519"/>
    <w:rsid w:val="62C3AFC5"/>
    <w:rsid w:val="62C8FC74"/>
    <w:rsid w:val="62D3D0D5"/>
    <w:rsid w:val="62DF682A"/>
    <w:rsid w:val="62E2F5FF"/>
    <w:rsid w:val="62E4E229"/>
    <w:rsid w:val="62E64E6A"/>
    <w:rsid w:val="62EE284F"/>
    <w:rsid w:val="62F26032"/>
    <w:rsid w:val="62F64E68"/>
    <w:rsid w:val="62FDF867"/>
    <w:rsid w:val="6306CBFA"/>
    <w:rsid w:val="631622F2"/>
    <w:rsid w:val="631CC18E"/>
    <w:rsid w:val="631DC845"/>
    <w:rsid w:val="63269E04"/>
    <w:rsid w:val="632CA49C"/>
    <w:rsid w:val="632CC557"/>
    <w:rsid w:val="632F102B"/>
    <w:rsid w:val="632F3E27"/>
    <w:rsid w:val="633C98D8"/>
    <w:rsid w:val="6341CB12"/>
    <w:rsid w:val="6343A0C5"/>
    <w:rsid w:val="634B9107"/>
    <w:rsid w:val="634E0FD0"/>
    <w:rsid w:val="6350B3A5"/>
    <w:rsid w:val="6355CD98"/>
    <w:rsid w:val="6358C050"/>
    <w:rsid w:val="6359522A"/>
    <w:rsid w:val="63655BEB"/>
    <w:rsid w:val="6368541A"/>
    <w:rsid w:val="636ECD2F"/>
    <w:rsid w:val="638478A3"/>
    <w:rsid w:val="63894F79"/>
    <w:rsid w:val="638B8DF8"/>
    <w:rsid w:val="638F4819"/>
    <w:rsid w:val="639D885D"/>
    <w:rsid w:val="639E0FED"/>
    <w:rsid w:val="63A854E7"/>
    <w:rsid w:val="63BA5ECF"/>
    <w:rsid w:val="63C18018"/>
    <w:rsid w:val="63C5F4F3"/>
    <w:rsid w:val="63C66FCC"/>
    <w:rsid w:val="63CE4B17"/>
    <w:rsid w:val="63CFD02D"/>
    <w:rsid w:val="63D48FDE"/>
    <w:rsid w:val="63D5BBC7"/>
    <w:rsid w:val="63DECF86"/>
    <w:rsid w:val="63E9F973"/>
    <w:rsid w:val="63F0A3B8"/>
    <w:rsid w:val="63F1ABEA"/>
    <w:rsid w:val="63FFBFDE"/>
    <w:rsid w:val="640518B1"/>
    <w:rsid w:val="6408D854"/>
    <w:rsid w:val="640D0705"/>
    <w:rsid w:val="640ED7AD"/>
    <w:rsid w:val="6411DB03"/>
    <w:rsid w:val="6414CE1C"/>
    <w:rsid w:val="6415E385"/>
    <w:rsid w:val="641FD74B"/>
    <w:rsid w:val="64269843"/>
    <w:rsid w:val="6427BD42"/>
    <w:rsid w:val="642DFADD"/>
    <w:rsid w:val="642EA88A"/>
    <w:rsid w:val="6433E0B0"/>
    <w:rsid w:val="6435D28A"/>
    <w:rsid w:val="6437CE5F"/>
    <w:rsid w:val="64408ED0"/>
    <w:rsid w:val="6444EAE3"/>
    <w:rsid w:val="644A4B92"/>
    <w:rsid w:val="644F4895"/>
    <w:rsid w:val="6452F078"/>
    <w:rsid w:val="645589F8"/>
    <w:rsid w:val="64582DAB"/>
    <w:rsid w:val="645B32A8"/>
    <w:rsid w:val="645E40D7"/>
    <w:rsid w:val="6460A002"/>
    <w:rsid w:val="64669D62"/>
    <w:rsid w:val="646A38B6"/>
    <w:rsid w:val="646A72D1"/>
    <w:rsid w:val="646FB5B5"/>
    <w:rsid w:val="6476759E"/>
    <w:rsid w:val="6485204F"/>
    <w:rsid w:val="648B442D"/>
    <w:rsid w:val="648C6B31"/>
    <w:rsid w:val="648D33FD"/>
    <w:rsid w:val="648D34D7"/>
    <w:rsid w:val="648E3093"/>
    <w:rsid w:val="64986516"/>
    <w:rsid w:val="64A77ABF"/>
    <w:rsid w:val="64A80D44"/>
    <w:rsid w:val="64AD278B"/>
    <w:rsid w:val="64B1A4D7"/>
    <w:rsid w:val="64B7344E"/>
    <w:rsid w:val="64B7A1BA"/>
    <w:rsid w:val="64BBCD84"/>
    <w:rsid w:val="64BF355B"/>
    <w:rsid w:val="64CA4864"/>
    <w:rsid w:val="64CF0F6C"/>
    <w:rsid w:val="64CF2540"/>
    <w:rsid w:val="64D0B62F"/>
    <w:rsid w:val="64D1BAB9"/>
    <w:rsid w:val="64D8B6A2"/>
    <w:rsid w:val="64D99766"/>
    <w:rsid w:val="64DBB1C1"/>
    <w:rsid w:val="64DCC291"/>
    <w:rsid w:val="64E8BD56"/>
    <w:rsid w:val="64E8E571"/>
    <w:rsid w:val="64EAF896"/>
    <w:rsid w:val="64EB35AF"/>
    <w:rsid w:val="64EDB918"/>
    <w:rsid w:val="64F4E5D7"/>
    <w:rsid w:val="65064228"/>
    <w:rsid w:val="650D17AF"/>
    <w:rsid w:val="650E37A1"/>
    <w:rsid w:val="6511A87B"/>
    <w:rsid w:val="6519305F"/>
    <w:rsid w:val="6521A841"/>
    <w:rsid w:val="6527D32D"/>
    <w:rsid w:val="652C3F66"/>
    <w:rsid w:val="652E2935"/>
    <w:rsid w:val="6531FE62"/>
    <w:rsid w:val="65386B58"/>
    <w:rsid w:val="65388C51"/>
    <w:rsid w:val="653F4C88"/>
    <w:rsid w:val="654E49D4"/>
    <w:rsid w:val="65550040"/>
    <w:rsid w:val="65567F70"/>
    <w:rsid w:val="65588E89"/>
    <w:rsid w:val="6559E48D"/>
    <w:rsid w:val="655D2CD4"/>
    <w:rsid w:val="656EE151"/>
    <w:rsid w:val="6574F08E"/>
    <w:rsid w:val="65768F75"/>
    <w:rsid w:val="6577CE39"/>
    <w:rsid w:val="6587BDD4"/>
    <w:rsid w:val="658D9BED"/>
    <w:rsid w:val="658FB931"/>
    <w:rsid w:val="6597A302"/>
    <w:rsid w:val="65A2386E"/>
    <w:rsid w:val="65A62FC9"/>
    <w:rsid w:val="65B10A54"/>
    <w:rsid w:val="65B9F5F7"/>
    <w:rsid w:val="65C1C528"/>
    <w:rsid w:val="65C26693"/>
    <w:rsid w:val="65C5F467"/>
    <w:rsid w:val="65C792E7"/>
    <w:rsid w:val="65C7E202"/>
    <w:rsid w:val="65C7ED9D"/>
    <w:rsid w:val="65CAED0D"/>
    <w:rsid w:val="65CE9E53"/>
    <w:rsid w:val="65D09C92"/>
    <w:rsid w:val="65D43E94"/>
    <w:rsid w:val="65D50F8C"/>
    <w:rsid w:val="65D583CF"/>
    <w:rsid w:val="65DA6221"/>
    <w:rsid w:val="65E5DE8A"/>
    <w:rsid w:val="65E6DF37"/>
    <w:rsid w:val="65F3FE0C"/>
    <w:rsid w:val="65F9C59E"/>
    <w:rsid w:val="65FEB6E1"/>
    <w:rsid w:val="6605C511"/>
    <w:rsid w:val="660967B4"/>
    <w:rsid w:val="660D32D1"/>
    <w:rsid w:val="6610AD52"/>
    <w:rsid w:val="6610D897"/>
    <w:rsid w:val="6612ED0E"/>
    <w:rsid w:val="6618F5F1"/>
    <w:rsid w:val="661B2E39"/>
    <w:rsid w:val="661DE589"/>
    <w:rsid w:val="66265FD0"/>
    <w:rsid w:val="662700D1"/>
    <w:rsid w:val="66291B86"/>
    <w:rsid w:val="662ED0D8"/>
    <w:rsid w:val="66304F11"/>
    <w:rsid w:val="6631CE93"/>
    <w:rsid w:val="66334F6D"/>
    <w:rsid w:val="663CAA3C"/>
    <w:rsid w:val="663D43BC"/>
    <w:rsid w:val="66442570"/>
    <w:rsid w:val="6646A90A"/>
    <w:rsid w:val="6659D7AE"/>
    <w:rsid w:val="665BC2C7"/>
    <w:rsid w:val="666471E0"/>
    <w:rsid w:val="6667DE6C"/>
    <w:rsid w:val="666BCBCF"/>
    <w:rsid w:val="6670617D"/>
    <w:rsid w:val="667EAEF5"/>
    <w:rsid w:val="6681BAA7"/>
    <w:rsid w:val="668A671E"/>
    <w:rsid w:val="66911F9B"/>
    <w:rsid w:val="66980BBB"/>
    <w:rsid w:val="669C6746"/>
    <w:rsid w:val="669D044D"/>
    <w:rsid w:val="66A71710"/>
    <w:rsid w:val="66ABD337"/>
    <w:rsid w:val="66B60F38"/>
    <w:rsid w:val="66B8A911"/>
    <w:rsid w:val="66BAEB5F"/>
    <w:rsid w:val="66BC7C04"/>
    <w:rsid w:val="66BF36D8"/>
    <w:rsid w:val="66C45984"/>
    <w:rsid w:val="66C565FA"/>
    <w:rsid w:val="66C600D2"/>
    <w:rsid w:val="66C9BC50"/>
    <w:rsid w:val="66CB1F5F"/>
    <w:rsid w:val="66CB2E3B"/>
    <w:rsid w:val="66CB9E81"/>
    <w:rsid w:val="66CBCB3D"/>
    <w:rsid w:val="66CF9407"/>
    <w:rsid w:val="66CFDD22"/>
    <w:rsid w:val="66D542A9"/>
    <w:rsid w:val="66D58899"/>
    <w:rsid w:val="66D79387"/>
    <w:rsid w:val="66D9FBE8"/>
    <w:rsid w:val="66DBF8F1"/>
    <w:rsid w:val="66E35A62"/>
    <w:rsid w:val="66E4861E"/>
    <w:rsid w:val="66EC825A"/>
    <w:rsid w:val="66F23156"/>
    <w:rsid w:val="66F25A06"/>
    <w:rsid w:val="66F4DD10"/>
    <w:rsid w:val="66F76641"/>
    <w:rsid w:val="670D8A07"/>
    <w:rsid w:val="67105891"/>
    <w:rsid w:val="67159A20"/>
    <w:rsid w:val="67162818"/>
    <w:rsid w:val="671AF642"/>
    <w:rsid w:val="671DFFF7"/>
    <w:rsid w:val="672B6195"/>
    <w:rsid w:val="672CA2DD"/>
    <w:rsid w:val="672F2B65"/>
    <w:rsid w:val="67365226"/>
    <w:rsid w:val="673807CE"/>
    <w:rsid w:val="673AEE75"/>
    <w:rsid w:val="673B6DFD"/>
    <w:rsid w:val="673DD094"/>
    <w:rsid w:val="673E2B99"/>
    <w:rsid w:val="6744CCE0"/>
    <w:rsid w:val="6745AF34"/>
    <w:rsid w:val="67550993"/>
    <w:rsid w:val="67674EB6"/>
    <w:rsid w:val="6771386B"/>
    <w:rsid w:val="67744C39"/>
    <w:rsid w:val="6774A42A"/>
    <w:rsid w:val="67781C70"/>
    <w:rsid w:val="67796933"/>
    <w:rsid w:val="677BB092"/>
    <w:rsid w:val="677DE583"/>
    <w:rsid w:val="677E62B0"/>
    <w:rsid w:val="677F210D"/>
    <w:rsid w:val="6782FEFD"/>
    <w:rsid w:val="678C9C61"/>
    <w:rsid w:val="67906AF0"/>
    <w:rsid w:val="67957F19"/>
    <w:rsid w:val="679C35DE"/>
    <w:rsid w:val="67A0F8DB"/>
    <w:rsid w:val="67A8ED88"/>
    <w:rsid w:val="67A9D93E"/>
    <w:rsid w:val="67ABDF9B"/>
    <w:rsid w:val="67AD5DF3"/>
    <w:rsid w:val="67B9B5EA"/>
    <w:rsid w:val="67BE0B3F"/>
    <w:rsid w:val="67C5D155"/>
    <w:rsid w:val="67CF1FCE"/>
    <w:rsid w:val="67D229CD"/>
    <w:rsid w:val="67D7043A"/>
    <w:rsid w:val="67D785D9"/>
    <w:rsid w:val="67D791D2"/>
    <w:rsid w:val="67E66B2B"/>
    <w:rsid w:val="67E7223B"/>
    <w:rsid w:val="67F3DFA2"/>
    <w:rsid w:val="67F51603"/>
    <w:rsid w:val="67F5D1AB"/>
    <w:rsid w:val="67FAAC4D"/>
    <w:rsid w:val="67FE8D0D"/>
    <w:rsid w:val="6800049C"/>
    <w:rsid w:val="6804AC5D"/>
    <w:rsid w:val="680AF2F8"/>
    <w:rsid w:val="680C9831"/>
    <w:rsid w:val="6810F9AB"/>
    <w:rsid w:val="6814799A"/>
    <w:rsid w:val="681712EE"/>
    <w:rsid w:val="68176473"/>
    <w:rsid w:val="68195B06"/>
    <w:rsid w:val="6819F90F"/>
    <w:rsid w:val="6821BEBB"/>
    <w:rsid w:val="6825042F"/>
    <w:rsid w:val="6829097C"/>
    <w:rsid w:val="682CC34D"/>
    <w:rsid w:val="682DF9EC"/>
    <w:rsid w:val="683E2184"/>
    <w:rsid w:val="683EA9F6"/>
    <w:rsid w:val="6843F92C"/>
    <w:rsid w:val="6845841C"/>
    <w:rsid w:val="6848E547"/>
    <w:rsid w:val="68496A4A"/>
    <w:rsid w:val="684FB035"/>
    <w:rsid w:val="68505827"/>
    <w:rsid w:val="68529789"/>
    <w:rsid w:val="68691779"/>
    <w:rsid w:val="6871668F"/>
    <w:rsid w:val="68719366"/>
    <w:rsid w:val="6872AB15"/>
    <w:rsid w:val="6873EFF3"/>
    <w:rsid w:val="687DD60F"/>
    <w:rsid w:val="688D6199"/>
    <w:rsid w:val="688D9D10"/>
    <w:rsid w:val="68919594"/>
    <w:rsid w:val="6893DB06"/>
    <w:rsid w:val="689AE670"/>
    <w:rsid w:val="689ED004"/>
    <w:rsid w:val="68AA91FC"/>
    <w:rsid w:val="68AABDB3"/>
    <w:rsid w:val="68AD4FC3"/>
    <w:rsid w:val="68BB5871"/>
    <w:rsid w:val="68BC1002"/>
    <w:rsid w:val="68C0FAF0"/>
    <w:rsid w:val="68C3AAD3"/>
    <w:rsid w:val="68D722F5"/>
    <w:rsid w:val="68DECB6C"/>
    <w:rsid w:val="68E65D21"/>
    <w:rsid w:val="68E7FDC7"/>
    <w:rsid w:val="68F1B7BA"/>
    <w:rsid w:val="68F86595"/>
    <w:rsid w:val="6900D168"/>
    <w:rsid w:val="6904C731"/>
    <w:rsid w:val="6907F3D9"/>
    <w:rsid w:val="6910748B"/>
    <w:rsid w:val="6926146A"/>
    <w:rsid w:val="69264044"/>
    <w:rsid w:val="693809C7"/>
    <w:rsid w:val="693EE047"/>
    <w:rsid w:val="693F556A"/>
    <w:rsid w:val="693FCDBC"/>
    <w:rsid w:val="6941852A"/>
    <w:rsid w:val="694722DC"/>
    <w:rsid w:val="6949B168"/>
    <w:rsid w:val="6952212B"/>
    <w:rsid w:val="6957FA83"/>
    <w:rsid w:val="6959F301"/>
    <w:rsid w:val="695AC917"/>
    <w:rsid w:val="695BB81C"/>
    <w:rsid w:val="6963F459"/>
    <w:rsid w:val="6964CB50"/>
    <w:rsid w:val="6965E119"/>
    <w:rsid w:val="696B864C"/>
    <w:rsid w:val="696E1A3D"/>
    <w:rsid w:val="696ECFF1"/>
    <w:rsid w:val="69798F09"/>
    <w:rsid w:val="6984FE70"/>
    <w:rsid w:val="6986B0D5"/>
    <w:rsid w:val="69915DE1"/>
    <w:rsid w:val="6997976C"/>
    <w:rsid w:val="699DCD0E"/>
    <w:rsid w:val="69A02120"/>
    <w:rsid w:val="69A5460D"/>
    <w:rsid w:val="69AA5A34"/>
    <w:rsid w:val="69B048C8"/>
    <w:rsid w:val="69B1F4FE"/>
    <w:rsid w:val="69BC39E4"/>
    <w:rsid w:val="69C063E0"/>
    <w:rsid w:val="69CBE5ED"/>
    <w:rsid w:val="69DAEA5D"/>
    <w:rsid w:val="69E00B6D"/>
    <w:rsid w:val="69E80717"/>
    <w:rsid w:val="69F3EA65"/>
    <w:rsid w:val="6A13EFA9"/>
    <w:rsid w:val="6A164BE2"/>
    <w:rsid w:val="6A1A4853"/>
    <w:rsid w:val="6A265510"/>
    <w:rsid w:val="6A3294C1"/>
    <w:rsid w:val="6A38C6E2"/>
    <w:rsid w:val="6A3EDE3B"/>
    <w:rsid w:val="6A4D696C"/>
    <w:rsid w:val="6A511E27"/>
    <w:rsid w:val="6A53ECEF"/>
    <w:rsid w:val="6A565FCA"/>
    <w:rsid w:val="6A5666F4"/>
    <w:rsid w:val="6A5B118F"/>
    <w:rsid w:val="6A5C9222"/>
    <w:rsid w:val="6A618A50"/>
    <w:rsid w:val="6A6286CB"/>
    <w:rsid w:val="6A6E67B1"/>
    <w:rsid w:val="6A757156"/>
    <w:rsid w:val="6A8F8F4F"/>
    <w:rsid w:val="6A937D5B"/>
    <w:rsid w:val="6AA9FE54"/>
    <w:rsid w:val="6AAD72A6"/>
    <w:rsid w:val="6AB252AB"/>
    <w:rsid w:val="6AB3EE03"/>
    <w:rsid w:val="6AB5BD88"/>
    <w:rsid w:val="6AB61851"/>
    <w:rsid w:val="6ABE1768"/>
    <w:rsid w:val="6AC76F2F"/>
    <w:rsid w:val="6ACD5252"/>
    <w:rsid w:val="6AD60C32"/>
    <w:rsid w:val="6AE33A64"/>
    <w:rsid w:val="6AE4EA90"/>
    <w:rsid w:val="6AEC3740"/>
    <w:rsid w:val="6AED44D1"/>
    <w:rsid w:val="6AEFAC61"/>
    <w:rsid w:val="6B092569"/>
    <w:rsid w:val="6B0DEA02"/>
    <w:rsid w:val="6B19B7A4"/>
    <w:rsid w:val="6B1AD670"/>
    <w:rsid w:val="6B1D6DDE"/>
    <w:rsid w:val="6B2D47EF"/>
    <w:rsid w:val="6B3A720A"/>
    <w:rsid w:val="6B45BAA9"/>
    <w:rsid w:val="6B579542"/>
    <w:rsid w:val="6B5ADCE9"/>
    <w:rsid w:val="6B6ADA5E"/>
    <w:rsid w:val="6B73F9B1"/>
    <w:rsid w:val="6B76FA6C"/>
    <w:rsid w:val="6B7AF8C2"/>
    <w:rsid w:val="6B827D15"/>
    <w:rsid w:val="6B87F8E9"/>
    <w:rsid w:val="6B8E29BE"/>
    <w:rsid w:val="6B9741FD"/>
    <w:rsid w:val="6BA0CC98"/>
    <w:rsid w:val="6BA86357"/>
    <w:rsid w:val="6BAB146C"/>
    <w:rsid w:val="6BABB61F"/>
    <w:rsid w:val="6BACF059"/>
    <w:rsid w:val="6BB059A6"/>
    <w:rsid w:val="6BB6F749"/>
    <w:rsid w:val="6BB8B9F7"/>
    <w:rsid w:val="6BBED68B"/>
    <w:rsid w:val="6BC69D5F"/>
    <w:rsid w:val="6BCAF20C"/>
    <w:rsid w:val="6BCDC2E1"/>
    <w:rsid w:val="6BD52AB4"/>
    <w:rsid w:val="6BEFB9E4"/>
    <w:rsid w:val="6BF4D501"/>
    <w:rsid w:val="6BFBA465"/>
    <w:rsid w:val="6BFF537D"/>
    <w:rsid w:val="6BFF6BF0"/>
    <w:rsid w:val="6C03CD76"/>
    <w:rsid w:val="6C0AF2D5"/>
    <w:rsid w:val="6C0E7EE7"/>
    <w:rsid w:val="6C0F084B"/>
    <w:rsid w:val="6C0FEFC9"/>
    <w:rsid w:val="6C145F03"/>
    <w:rsid w:val="6C152956"/>
    <w:rsid w:val="6C17B134"/>
    <w:rsid w:val="6C1A63F1"/>
    <w:rsid w:val="6C218B8C"/>
    <w:rsid w:val="6C268232"/>
    <w:rsid w:val="6C312F39"/>
    <w:rsid w:val="6C36D46B"/>
    <w:rsid w:val="6C3F110C"/>
    <w:rsid w:val="6C3F318C"/>
    <w:rsid w:val="6C3F6C2A"/>
    <w:rsid w:val="6C40214D"/>
    <w:rsid w:val="6C417F33"/>
    <w:rsid w:val="6C4BA7A5"/>
    <w:rsid w:val="6C50A151"/>
    <w:rsid w:val="6C52AA60"/>
    <w:rsid w:val="6C55D551"/>
    <w:rsid w:val="6C576EB0"/>
    <w:rsid w:val="6C5C593A"/>
    <w:rsid w:val="6C73E725"/>
    <w:rsid w:val="6C747994"/>
    <w:rsid w:val="6C862798"/>
    <w:rsid w:val="6C880BB7"/>
    <w:rsid w:val="6C8982F1"/>
    <w:rsid w:val="6C8DB487"/>
    <w:rsid w:val="6C9193C3"/>
    <w:rsid w:val="6C980541"/>
    <w:rsid w:val="6C9A6FE9"/>
    <w:rsid w:val="6CA356E1"/>
    <w:rsid w:val="6CA7E730"/>
    <w:rsid w:val="6CACE93C"/>
    <w:rsid w:val="6CAE79CB"/>
    <w:rsid w:val="6CB55E84"/>
    <w:rsid w:val="6CC9FDF0"/>
    <w:rsid w:val="6CCB5BCF"/>
    <w:rsid w:val="6CD01C0B"/>
    <w:rsid w:val="6CD405AD"/>
    <w:rsid w:val="6CD9E987"/>
    <w:rsid w:val="6CE08913"/>
    <w:rsid w:val="6CE0F3FB"/>
    <w:rsid w:val="6CF0EBCE"/>
    <w:rsid w:val="6CF33585"/>
    <w:rsid w:val="6CF433BF"/>
    <w:rsid w:val="6CF60310"/>
    <w:rsid w:val="6CFECB4F"/>
    <w:rsid w:val="6D00D05E"/>
    <w:rsid w:val="6D03C6FB"/>
    <w:rsid w:val="6D0821F6"/>
    <w:rsid w:val="6D08F1D5"/>
    <w:rsid w:val="6D0EE8F3"/>
    <w:rsid w:val="6D0EFFF0"/>
    <w:rsid w:val="6D11DC8A"/>
    <w:rsid w:val="6D22DC64"/>
    <w:rsid w:val="6D23C94A"/>
    <w:rsid w:val="6D2A8497"/>
    <w:rsid w:val="6D333AD1"/>
    <w:rsid w:val="6D3597E0"/>
    <w:rsid w:val="6D36141D"/>
    <w:rsid w:val="6D36E72F"/>
    <w:rsid w:val="6D3ED6E1"/>
    <w:rsid w:val="6D42AA3C"/>
    <w:rsid w:val="6D4717F5"/>
    <w:rsid w:val="6D48201C"/>
    <w:rsid w:val="6D4A6EE2"/>
    <w:rsid w:val="6D4C1C91"/>
    <w:rsid w:val="6D4CF0C2"/>
    <w:rsid w:val="6D4E0B15"/>
    <w:rsid w:val="6D52693F"/>
    <w:rsid w:val="6D6A8B75"/>
    <w:rsid w:val="6D6E5793"/>
    <w:rsid w:val="6D759826"/>
    <w:rsid w:val="6D7E1B4C"/>
    <w:rsid w:val="6DA1E1E6"/>
    <w:rsid w:val="6DAEC79A"/>
    <w:rsid w:val="6DB34360"/>
    <w:rsid w:val="6DB5D584"/>
    <w:rsid w:val="6DBDC6BB"/>
    <w:rsid w:val="6DC4D945"/>
    <w:rsid w:val="6DCE150E"/>
    <w:rsid w:val="6DD5F96A"/>
    <w:rsid w:val="6DDA4361"/>
    <w:rsid w:val="6DDBFB20"/>
    <w:rsid w:val="6DDC5C94"/>
    <w:rsid w:val="6DE06ADB"/>
    <w:rsid w:val="6DE4151C"/>
    <w:rsid w:val="6DE62F4E"/>
    <w:rsid w:val="6DE9FDD8"/>
    <w:rsid w:val="6DEB9840"/>
    <w:rsid w:val="6DEC7EEC"/>
    <w:rsid w:val="6DEDE57A"/>
    <w:rsid w:val="6DEEF3CA"/>
    <w:rsid w:val="6DF9D6ED"/>
    <w:rsid w:val="6DFAD3FF"/>
    <w:rsid w:val="6DFD978E"/>
    <w:rsid w:val="6DFF0FF1"/>
    <w:rsid w:val="6E0A7FE7"/>
    <w:rsid w:val="6E0F9EB7"/>
    <w:rsid w:val="6E101CD9"/>
    <w:rsid w:val="6E1A2727"/>
    <w:rsid w:val="6E1B6640"/>
    <w:rsid w:val="6E258C46"/>
    <w:rsid w:val="6E26D551"/>
    <w:rsid w:val="6E2D6C0E"/>
    <w:rsid w:val="6E33FA9A"/>
    <w:rsid w:val="6E34A718"/>
    <w:rsid w:val="6E352055"/>
    <w:rsid w:val="6E3AD5FB"/>
    <w:rsid w:val="6E3ADF8C"/>
    <w:rsid w:val="6E40D205"/>
    <w:rsid w:val="6E417038"/>
    <w:rsid w:val="6E4618B3"/>
    <w:rsid w:val="6E4FCF0E"/>
    <w:rsid w:val="6E50BE18"/>
    <w:rsid w:val="6E585ABE"/>
    <w:rsid w:val="6E5AF3B8"/>
    <w:rsid w:val="6E621B92"/>
    <w:rsid w:val="6E649A35"/>
    <w:rsid w:val="6E671231"/>
    <w:rsid w:val="6E68F293"/>
    <w:rsid w:val="6E6B43D6"/>
    <w:rsid w:val="6E6CB8EF"/>
    <w:rsid w:val="6E7BB747"/>
    <w:rsid w:val="6E7C6EE1"/>
    <w:rsid w:val="6E843D7F"/>
    <w:rsid w:val="6E8F2926"/>
    <w:rsid w:val="6E903C09"/>
    <w:rsid w:val="6E9071D5"/>
    <w:rsid w:val="6E929058"/>
    <w:rsid w:val="6E96C80C"/>
    <w:rsid w:val="6E9E1284"/>
    <w:rsid w:val="6EA35769"/>
    <w:rsid w:val="6EA4ACAD"/>
    <w:rsid w:val="6EA94F2C"/>
    <w:rsid w:val="6EAC0872"/>
    <w:rsid w:val="6ED38469"/>
    <w:rsid w:val="6ED38ED5"/>
    <w:rsid w:val="6ED8F3B4"/>
    <w:rsid w:val="6ED98C04"/>
    <w:rsid w:val="6EDFC6C7"/>
    <w:rsid w:val="6EDFDF37"/>
    <w:rsid w:val="6EE071EA"/>
    <w:rsid w:val="6EEF46CB"/>
    <w:rsid w:val="6EFA02D0"/>
    <w:rsid w:val="6EFD433B"/>
    <w:rsid w:val="6EFE3E21"/>
    <w:rsid w:val="6F0CAD02"/>
    <w:rsid w:val="6F12F3D2"/>
    <w:rsid w:val="6F1425E5"/>
    <w:rsid w:val="6F1429FF"/>
    <w:rsid w:val="6F170541"/>
    <w:rsid w:val="6F172480"/>
    <w:rsid w:val="6F173B99"/>
    <w:rsid w:val="6F2B7B4F"/>
    <w:rsid w:val="6F336AB1"/>
    <w:rsid w:val="6F3DC0B5"/>
    <w:rsid w:val="6F3F1F82"/>
    <w:rsid w:val="6F42692F"/>
    <w:rsid w:val="6F44D55E"/>
    <w:rsid w:val="6F4A8EDC"/>
    <w:rsid w:val="6F4F7DAE"/>
    <w:rsid w:val="6F531894"/>
    <w:rsid w:val="6F5E4FAE"/>
    <w:rsid w:val="6F5ED678"/>
    <w:rsid w:val="6F66DBE2"/>
    <w:rsid w:val="6F7537BF"/>
    <w:rsid w:val="6F774B48"/>
    <w:rsid w:val="6F7A4EE5"/>
    <w:rsid w:val="6F7BEDE0"/>
    <w:rsid w:val="6F7E200C"/>
    <w:rsid w:val="6F7F93BA"/>
    <w:rsid w:val="6F865631"/>
    <w:rsid w:val="6F91770B"/>
    <w:rsid w:val="6F943EAA"/>
    <w:rsid w:val="6FB8D1F7"/>
    <w:rsid w:val="6FBC8AC1"/>
    <w:rsid w:val="6FC6604E"/>
    <w:rsid w:val="6FC756BD"/>
    <w:rsid w:val="6FC8379D"/>
    <w:rsid w:val="6FCB3095"/>
    <w:rsid w:val="6FCC030C"/>
    <w:rsid w:val="6FD4C66D"/>
    <w:rsid w:val="6FEAE30E"/>
    <w:rsid w:val="6FF0D83E"/>
    <w:rsid w:val="6FF30904"/>
    <w:rsid w:val="6FF5D811"/>
    <w:rsid w:val="6FF6B2E5"/>
    <w:rsid w:val="7000A2BD"/>
    <w:rsid w:val="7001798D"/>
    <w:rsid w:val="7003372A"/>
    <w:rsid w:val="7003C8FB"/>
    <w:rsid w:val="70088FCE"/>
    <w:rsid w:val="7009FA4F"/>
    <w:rsid w:val="701119CA"/>
    <w:rsid w:val="701FE3BF"/>
    <w:rsid w:val="70205AB5"/>
    <w:rsid w:val="7021BC86"/>
    <w:rsid w:val="7022C2F8"/>
    <w:rsid w:val="7032986D"/>
    <w:rsid w:val="7032EE10"/>
    <w:rsid w:val="7037D532"/>
    <w:rsid w:val="7041465C"/>
    <w:rsid w:val="70479A52"/>
    <w:rsid w:val="7051FC81"/>
    <w:rsid w:val="7053EFF8"/>
    <w:rsid w:val="70555F94"/>
    <w:rsid w:val="70562AB8"/>
    <w:rsid w:val="705681C6"/>
    <w:rsid w:val="705DA4EA"/>
    <w:rsid w:val="70606F79"/>
    <w:rsid w:val="70640493"/>
    <w:rsid w:val="70663E57"/>
    <w:rsid w:val="7067CC01"/>
    <w:rsid w:val="706CAF7B"/>
    <w:rsid w:val="70720833"/>
    <w:rsid w:val="70821889"/>
    <w:rsid w:val="70858111"/>
    <w:rsid w:val="708AF71A"/>
    <w:rsid w:val="708BD5E0"/>
    <w:rsid w:val="7099139C"/>
    <w:rsid w:val="709CA73B"/>
    <w:rsid w:val="70AD38E8"/>
    <w:rsid w:val="70B310EB"/>
    <w:rsid w:val="70C15520"/>
    <w:rsid w:val="70CD2C4D"/>
    <w:rsid w:val="70CEFCAC"/>
    <w:rsid w:val="70E83576"/>
    <w:rsid w:val="70EAABE3"/>
    <w:rsid w:val="70EDD6E2"/>
    <w:rsid w:val="70EF52B5"/>
    <w:rsid w:val="70F3EADB"/>
    <w:rsid w:val="70FAF1AD"/>
    <w:rsid w:val="70FB677A"/>
    <w:rsid w:val="7103A6C8"/>
    <w:rsid w:val="710570DD"/>
    <w:rsid w:val="710CCD0A"/>
    <w:rsid w:val="711003A0"/>
    <w:rsid w:val="7113C507"/>
    <w:rsid w:val="71152BAD"/>
    <w:rsid w:val="71200D2E"/>
    <w:rsid w:val="71202996"/>
    <w:rsid w:val="71233902"/>
    <w:rsid w:val="7124D386"/>
    <w:rsid w:val="71269C6C"/>
    <w:rsid w:val="71273B35"/>
    <w:rsid w:val="71350341"/>
    <w:rsid w:val="71394023"/>
    <w:rsid w:val="713AAF43"/>
    <w:rsid w:val="71454DB6"/>
    <w:rsid w:val="715994CF"/>
    <w:rsid w:val="715A4E1B"/>
    <w:rsid w:val="715D2D08"/>
    <w:rsid w:val="7165890B"/>
    <w:rsid w:val="716CD56A"/>
    <w:rsid w:val="717667E0"/>
    <w:rsid w:val="7176C09D"/>
    <w:rsid w:val="717ABBE3"/>
    <w:rsid w:val="718ED965"/>
    <w:rsid w:val="71916A27"/>
    <w:rsid w:val="719531AD"/>
    <w:rsid w:val="7195E003"/>
    <w:rsid w:val="71A1E542"/>
    <w:rsid w:val="71A586CF"/>
    <w:rsid w:val="71B1B202"/>
    <w:rsid w:val="71B49B50"/>
    <w:rsid w:val="71B6A9B3"/>
    <w:rsid w:val="71C18508"/>
    <w:rsid w:val="71C18D5B"/>
    <w:rsid w:val="71C7AAD3"/>
    <w:rsid w:val="71C7FE92"/>
    <w:rsid w:val="71C83C15"/>
    <w:rsid w:val="71C85805"/>
    <w:rsid w:val="71C9B9C6"/>
    <w:rsid w:val="71CA4366"/>
    <w:rsid w:val="71CEF6D2"/>
    <w:rsid w:val="71D234AA"/>
    <w:rsid w:val="71DB5D57"/>
    <w:rsid w:val="71E069B8"/>
    <w:rsid w:val="71E1BD2C"/>
    <w:rsid w:val="71F1413B"/>
    <w:rsid w:val="71FAC039"/>
    <w:rsid w:val="71FB0D66"/>
    <w:rsid w:val="720099CC"/>
    <w:rsid w:val="72022AFC"/>
    <w:rsid w:val="721C86F5"/>
    <w:rsid w:val="721CF528"/>
    <w:rsid w:val="721D8DAC"/>
    <w:rsid w:val="7220E149"/>
    <w:rsid w:val="72270F0F"/>
    <w:rsid w:val="72283BB2"/>
    <w:rsid w:val="722E7730"/>
    <w:rsid w:val="72310F1F"/>
    <w:rsid w:val="72320B07"/>
    <w:rsid w:val="7235D6F8"/>
    <w:rsid w:val="72407AD8"/>
    <w:rsid w:val="72414F79"/>
    <w:rsid w:val="7241CEFC"/>
    <w:rsid w:val="724A591A"/>
    <w:rsid w:val="724E7588"/>
    <w:rsid w:val="72526D21"/>
    <w:rsid w:val="72530AA7"/>
    <w:rsid w:val="726A3F50"/>
    <w:rsid w:val="7270D439"/>
    <w:rsid w:val="727746BD"/>
    <w:rsid w:val="72797C64"/>
    <w:rsid w:val="727E47C4"/>
    <w:rsid w:val="7281DFC8"/>
    <w:rsid w:val="729F2F6B"/>
    <w:rsid w:val="72A1705F"/>
    <w:rsid w:val="72A5DED4"/>
    <w:rsid w:val="72A7D4A7"/>
    <w:rsid w:val="72A9D3E5"/>
    <w:rsid w:val="72B209AC"/>
    <w:rsid w:val="72BD3043"/>
    <w:rsid w:val="72C783DC"/>
    <w:rsid w:val="72CA931B"/>
    <w:rsid w:val="72DE594B"/>
    <w:rsid w:val="72DE9AA6"/>
    <w:rsid w:val="72E12212"/>
    <w:rsid w:val="72E65D41"/>
    <w:rsid w:val="72E81A3F"/>
    <w:rsid w:val="72EAAEA9"/>
    <w:rsid w:val="72F1EA3F"/>
    <w:rsid w:val="72F2C15E"/>
    <w:rsid w:val="72F42B83"/>
    <w:rsid w:val="72F8ACFE"/>
    <w:rsid w:val="73029FC5"/>
    <w:rsid w:val="73075ECC"/>
    <w:rsid w:val="73076780"/>
    <w:rsid w:val="7309EB5A"/>
    <w:rsid w:val="730B8598"/>
    <w:rsid w:val="73160B64"/>
    <w:rsid w:val="732CCBAB"/>
    <w:rsid w:val="732CE77D"/>
    <w:rsid w:val="732E29D9"/>
    <w:rsid w:val="732E9859"/>
    <w:rsid w:val="733C9C6B"/>
    <w:rsid w:val="733D9088"/>
    <w:rsid w:val="73450CB7"/>
    <w:rsid w:val="734F5A3C"/>
    <w:rsid w:val="73541D61"/>
    <w:rsid w:val="7359A256"/>
    <w:rsid w:val="735C3ACC"/>
    <w:rsid w:val="736A392F"/>
    <w:rsid w:val="736A8E53"/>
    <w:rsid w:val="737B5FC9"/>
    <w:rsid w:val="7389D38F"/>
    <w:rsid w:val="7396D0BB"/>
    <w:rsid w:val="7397E5ED"/>
    <w:rsid w:val="739ACE1B"/>
    <w:rsid w:val="73A003DA"/>
    <w:rsid w:val="73A7EA3D"/>
    <w:rsid w:val="73AE3C95"/>
    <w:rsid w:val="73AF2718"/>
    <w:rsid w:val="73B413D6"/>
    <w:rsid w:val="73B8C589"/>
    <w:rsid w:val="73C13A17"/>
    <w:rsid w:val="73C9F948"/>
    <w:rsid w:val="73D2B734"/>
    <w:rsid w:val="73D73C21"/>
    <w:rsid w:val="73DD3146"/>
    <w:rsid w:val="73DD684D"/>
    <w:rsid w:val="73E4811C"/>
    <w:rsid w:val="73EEDB08"/>
    <w:rsid w:val="73F60ACE"/>
    <w:rsid w:val="7402E3FF"/>
    <w:rsid w:val="740E7F74"/>
    <w:rsid w:val="74218EB8"/>
    <w:rsid w:val="7430FA94"/>
    <w:rsid w:val="7431D2A5"/>
    <w:rsid w:val="74369316"/>
    <w:rsid w:val="743880F1"/>
    <w:rsid w:val="7440FD18"/>
    <w:rsid w:val="7441E692"/>
    <w:rsid w:val="74471BF1"/>
    <w:rsid w:val="744A7E0F"/>
    <w:rsid w:val="744AA70C"/>
    <w:rsid w:val="744C9A3F"/>
    <w:rsid w:val="744E00EF"/>
    <w:rsid w:val="7452FBE4"/>
    <w:rsid w:val="745320B0"/>
    <w:rsid w:val="745B73F9"/>
    <w:rsid w:val="745EB818"/>
    <w:rsid w:val="7461F69A"/>
    <w:rsid w:val="7464C64C"/>
    <w:rsid w:val="7465BF81"/>
    <w:rsid w:val="746B3D09"/>
    <w:rsid w:val="747A6BB3"/>
    <w:rsid w:val="747AA749"/>
    <w:rsid w:val="747E9635"/>
    <w:rsid w:val="747F9106"/>
    <w:rsid w:val="7486973F"/>
    <w:rsid w:val="7492D7EA"/>
    <w:rsid w:val="74931986"/>
    <w:rsid w:val="74955211"/>
    <w:rsid w:val="74958C80"/>
    <w:rsid w:val="74965DFF"/>
    <w:rsid w:val="7498C66C"/>
    <w:rsid w:val="749B0962"/>
    <w:rsid w:val="74A0E3AE"/>
    <w:rsid w:val="74A45C54"/>
    <w:rsid w:val="74AFF539"/>
    <w:rsid w:val="74B72E2C"/>
    <w:rsid w:val="74BDB9F1"/>
    <w:rsid w:val="74C1C125"/>
    <w:rsid w:val="74C31494"/>
    <w:rsid w:val="74CFA92E"/>
    <w:rsid w:val="74D004A3"/>
    <w:rsid w:val="74D0E446"/>
    <w:rsid w:val="74D2B6C9"/>
    <w:rsid w:val="74D78958"/>
    <w:rsid w:val="74D8C8F0"/>
    <w:rsid w:val="74E344A4"/>
    <w:rsid w:val="74EC959E"/>
    <w:rsid w:val="7502A3A7"/>
    <w:rsid w:val="7507FC36"/>
    <w:rsid w:val="7517EA39"/>
    <w:rsid w:val="751C7B23"/>
    <w:rsid w:val="7520F7C0"/>
    <w:rsid w:val="7522596F"/>
    <w:rsid w:val="7525C623"/>
    <w:rsid w:val="75263114"/>
    <w:rsid w:val="7531C148"/>
    <w:rsid w:val="7535A943"/>
    <w:rsid w:val="75372DF8"/>
    <w:rsid w:val="7541909F"/>
    <w:rsid w:val="754E5112"/>
    <w:rsid w:val="754F6A27"/>
    <w:rsid w:val="7551EA9A"/>
    <w:rsid w:val="755A6345"/>
    <w:rsid w:val="755AAFB4"/>
    <w:rsid w:val="755E97E4"/>
    <w:rsid w:val="75631CC4"/>
    <w:rsid w:val="7564DBB1"/>
    <w:rsid w:val="756674BF"/>
    <w:rsid w:val="7567C800"/>
    <w:rsid w:val="7568795A"/>
    <w:rsid w:val="75700C28"/>
    <w:rsid w:val="7570B16B"/>
    <w:rsid w:val="7572A32E"/>
    <w:rsid w:val="75797060"/>
    <w:rsid w:val="7581036A"/>
    <w:rsid w:val="7581800B"/>
    <w:rsid w:val="7589DC0D"/>
    <w:rsid w:val="75995F23"/>
    <w:rsid w:val="75A43851"/>
    <w:rsid w:val="75A5DC67"/>
    <w:rsid w:val="75A70BA7"/>
    <w:rsid w:val="75A88F3B"/>
    <w:rsid w:val="75B13728"/>
    <w:rsid w:val="75B6EFF1"/>
    <w:rsid w:val="75C25D82"/>
    <w:rsid w:val="75CBBCB4"/>
    <w:rsid w:val="75CD2613"/>
    <w:rsid w:val="75D2C798"/>
    <w:rsid w:val="75DBB18C"/>
    <w:rsid w:val="75ECA546"/>
    <w:rsid w:val="75F2B358"/>
    <w:rsid w:val="75F6E519"/>
    <w:rsid w:val="75F80DC9"/>
    <w:rsid w:val="76011D76"/>
    <w:rsid w:val="76030597"/>
    <w:rsid w:val="760AD337"/>
    <w:rsid w:val="760BF32C"/>
    <w:rsid w:val="760E79E8"/>
    <w:rsid w:val="7613FF01"/>
    <w:rsid w:val="761448E4"/>
    <w:rsid w:val="7615FC56"/>
    <w:rsid w:val="76162B76"/>
    <w:rsid w:val="76224F9D"/>
    <w:rsid w:val="762765AB"/>
    <w:rsid w:val="7631E736"/>
    <w:rsid w:val="763E698D"/>
    <w:rsid w:val="764100C8"/>
    <w:rsid w:val="764299DD"/>
    <w:rsid w:val="7642E897"/>
    <w:rsid w:val="764D079F"/>
    <w:rsid w:val="76521DDE"/>
    <w:rsid w:val="76529029"/>
    <w:rsid w:val="76598A52"/>
    <w:rsid w:val="765DDBCA"/>
    <w:rsid w:val="76612FA8"/>
    <w:rsid w:val="7662109F"/>
    <w:rsid w:val="766866F8"/>
    <w:rsid w:val="766FBC1E"/>
    <w:rsid w:val="76746CFE"/>
    <w:rsid w:val="7676A80A"/>
    <w:rsid w:val="7683573E"/>
    <w:rsid w:val="76880C73"/>
    <w:rsid w:val="76896F9F"/>
    <w:rsid w:val="768B7A53"/>
    <w:rsid w:val="768BA09B"/>
    <w:rsid w:val="769013A5"/>
    <w:rsid w:val="76908933"/>
    <w:rsid w:val="76979753"/>
    <w:rsid w:val="76981C44"/>
    <w:rsid w:val="769B722E"/>
    <w:rsid w:val="769D071A"/>
    <w:rsid w:val="76A2AB81"/>
    <w:rsid w:val="76A716B6"/>
    <w:rsid w:val="76AE8F72"/>
    <w:rsid w:val="76AED7A9"/>
    <w:rsid w:val="76B4551E"/>
    <w:rsid w:val="76B4803C"/>
    <w:rsid w:val="76C2BE20"/>
    <w:rsid w:val="76C587D5"/>
    <w:rsid w:val="76C882DC"/>
    <w:rsid w:val="76CFD17C"/>
    <w:rsid w:val="76D06999"/>
    <w:rsid w:val="76D4C0E5"/>
    <w:rsid w:val="76F3D308"/>
    <w:rsid w:val="76FA4B97"/>
    <w:rsid w:val="76FEBE77"/>
    <w:rsid w:val="7708396D"/>
    <w:rsid w:val="7717014D"/>
    <w:rsid w:val="7717F1AF"/>
    <w:rsid w:val="77188B49"/>
    <w:rsid w:val="771CF59A"/>
    <w:rsid w:val="772EB418"/>
    <w:rsid w:val="7730F279"/>
    <w:rsid w:val="77339537"/>
    <w:rsid w:val="77349E45"/>
    <w:rsid w:val="773514C9"/>
    <w:rsid w:val="773BB835"/>
    <w:rsid w:val="77471A3D"/>
    <w:rsid w:val="774D400C"/>
    <w:rsid w:val="775BE447"/>
    <w:rsid w:val="775F8670"/>
    <w:rsid w:val="7762ABF2"/>
    <w:rsid w:val="77660E96"/>
    <w:rsid w:val="776D6F76"/>
    <w:rsid w:val="7771C373"/>
    <w:rsid w:val="777D1885"/>
    <w:rsid w:val="778142E1"/>
    <w:rsid w:val="77834BA3"/>
    <w:rsid w:val="778CDDB2"/>
    <w:rsid w:val="778E83B9"/>
    <w:rsid w:val="778FDF28"/>
    <w:rsid w:val="779BE00A"/>
    <w:rsid w:val="779EFDD7"/>
    <w:rsid w:val="77A4E364"/>
    <w:rsid w:val="77A67501"/>
    <w:rsid w:val="77A8770F"/>
    <w:rsid w:val="77AEC446"/>
    <w:rsid w:val="77AF59A0"/>
    <w:rsid w:val="77B0A103"/>
    <w:rsid w:val="77B0E4BA"/>
    <w:rsid w:val="77B1F219"/>
    <w:rsid w:val="77B5DD4D"/>
    <w:rsid w:val="77BDC851"/>
    <w:rsid w:val="77C6ACB1"/>
    <w:rsid w:val="77D1D0E6"/>
    <w:rsid w:val="77D2993E"/>
    <w:rsid w:val="77E20F79"/>
    <w:rsid w:val="77E27256"/>
    <w:rsid w:val="77F130B2"/>
    <w:rsid w:val="77F8CA9A"/>
    <w:rsid w:val="77FD1FD6"/>
    <w:rsid w:val="78011D4C"/>
    <w:rsid w:val="780455B7"/>
    <w:rsid w:val="7805C805"/>
    <w:rsid w:val="780F1620"/>
    <w:rsid w:val="78145D0D"/>
    <w:rsid w:val="7819DD4F"/>
    <w:rsid w:val="781B0D90"/>
    <w:rsid w:val="781F827A"/>
    <w:rsid w:val="782A0905"/>
    <w:rsid w:val="783093BD"/>
    <w:rsid w:val="7830E46D"/>
    <w:rsid w:val="78439F52"/>
    <w:rsid w:val="78469EB9"/>
    <w:rsid w:val="7849D352"/>
    <w:rsid w:val="78578AFB"/>
    <w:rsid w:val="7862C484"/>
    <w:rsid w:val="7865B4E8"/>
    <w:rsid w:val="78667BF1"/>
    <w:rsid w:val="78679861"/>
    <w:rsid w:val="786F2110"/>
    <w:rsid w:val="78792546"/>
    <w:rsid w:val="787E8AE7"/>
    <w:rsid w:val="787EE56A"/>
    <w:rsid w:val="788B359D"/>
    <w:rsid w:val="788D66A8"/>
    <w:rsid w:val="78A3CC7E"/>
    <w:rsid w:val="78A59F05"/>
    <w:rsid w:val="78AEB9D6"/>
    <w:rsid w:val="78AF45D9"/>
    <w:rsid w:val="78AF5A8D"/>
    <w:rsid w:val="78B2DFB3"/>
    <w:rsid w:val="78B8F7C0"/>
    <w:rsid w:val="78C2DB56"/>
    <w:rsid w:val="78C393D3"/>
    <w:rsid w:val="78C8B1BE"/>
    <w:rsid w:val="78C97BF1"/>
    <w:rsid w:val="78CD7001"/>
    <w:rsid w:val="78CF0398"/>
    <w:rsid w:val="78DA6B83"/>
    <w:rsid w:val="78DDA421"/>
    <w:rsid w:val="78E0421D"/>
    <w:rsid w:val="78E68841"/>
    <w:rsid w:val="78E6FD05"/>
    <w:rsid w:val="78EA5704"/>
    <w:rsid w:val="78ED0B91"/>
    <w:rsid w:val="78EDE396"/>
    <w:rsid w:val="78EFDC73"/>
    <w:rsid w:val="78F37AD2"/>
    <w:rsid w:val="78F75A65"/>
    <w:rsid w:val="7902F26F"/>
    <w:rsid w:val="79039EED"/>
    <w:rsid w:val="79046BB7"/>
    <w:rsid w:val="7909C595"/>
    <w:rsid w:val="790B235A"/>
    <w:rsid w:val="7914B309"/>
    <w:rsid w:val="7919E788"/>
    <w:rsid w:val="791AEDFD"/>
    <w:rsid w:val="791B25AC"/>
    <w:rsid w:val="791B2FFC"/>
    <w:rsid w:val="791D44F9"/>
    <w:rsid w:val="791D9414"/>
    <w:rsid w:val="791EE2B8"/>
    <w:rsid w:val="7922683F"/>
    <w:rsid w:val="7925BA33"/>
    <w:rsid w:val="7932F039"/>
    <w:rsid w:val="793742D1"/>
    <w:rsid w:val="793B3EDD"/>
    <w:rsid w:val="793CACFB"/>
    <w:rsid w:val="793FEF4D"/>
    <w:rsid w:val="794A94A7"/>
    <w:rsid w:val="7957851D"/>
    <w:rsid w:val="795988F4"/>
    <w:rsid w:val="79655B30"/>
    <w:rsid w:val="79668AA9"/>
    <w:rsid w:val="79756409"/>
    <w:rsid w:val="798369CD"/>
    <w:rsid w:val="7989BEA0"/>
    <w:rsid w:val="7995269D"/>
    <w:rsid w:val="799AB4F4"/>
    <w:rsid w:val="79A042EF"/>
    <w:rsid w:val="79A0EB1C"/>
    <w:rsid w:val="79A191CA"/>
    <w:rsid w:val="79A3F1AF"/>
    <w:rsid w:val="79A4CD2D"/>
    <w:rsid w:val="79A72F28"/>
    <w:rsid w:val="79AAA75B"/>
    <w:rsid w:val="79AC0DC0"/>
    <w:rsid w:val="79BFAD35"/>
    <w:rsid w:val="79C75DBB"/>
    <w:rsid w:val="79C8B040"/>
    <w:rsid w:val="79C927EB"/>
    <w:rsid w:val="79CAB0CF"/>
    <w:rsid w:val="79CC5984"/>
    <w:rsid w:val="79DBEF7A"/>
    <w:rsid w:val="79E4BF5C"/>
    <w:rsid w:val="79E5A3B3"/>
    <w:rsid w:val="79E9C76D"/>
    <w:rsid w:val="79EC5095"/>
    <w:rsid w:val="79F22EAE"/>
    <w:rsid w:val="79F253C3"/>
    <w:rsid w:val="79FBCE4A"/>
    <w:rsid w:val="79FBEC98"/>
    <w:rsid w:val="7A03A1D1"/>
    <w:rsid w:val="7A054A86"/>
    <w:rsid w:val="7A0BABB1"/>
    <w:rsid w:val="7A0C8FA0"/>
    <w:rsid w:val="7A286944"/>
    <w:rsid w:val="7A2A7C87"/>
    <w:rsid w:val="7A2E1710"/>
    <w:rsid w:val="7A304C87"/>
    <w:rsid w:val="7A344283"/>
    <w:rsid w:val="7A34B736"/>
    <w:rsid w:val="7A3DE0C3"/>
    <w:rsid w:val="7A411192"/>
    <w:rsid w:val="7A428FB1"/>
    <w:rsid w:val="7A50A888"/>
    <w:rsid w:val="7A5431B5"/>
    <w:rsid w:val="7A5B786A"/>
    <w:rsid w:val="7A5C42B3"/>
    <w:rsid w:val="7A72622B"/>
    <w:rsid w:val="7A72BCAE"/>
    <w:rsid w:val="7A8A2871"/>
    <w:rsid w:val="7A8CB32A"/>
    <w:rsid w:val="7A8DAE3D"/>
    <w:rsid w:val="7A902BB0"/>
    <w:rsid w:val="7A9B2BDE"/>
    <w:rsid w:val="7A9BBD6D"/>
    <w:rsid w:val="7A9E20D2"/>
    <w:rsid w:val="7AAD93A2"/>
    <w:rsid w:val="7AB0D5EE"/>
    <w:rsid w:val="7AC46826"/>
    <w:rsid w:val="7AD0C1B6"/>
    <w:rsid w:val="7AD176D5"/>
    <w:rsid w:val="7AD58FD7"/>
    <w:rsid w:val="7AD7A833"/>
    <w:rsid w:val="7ADAF5EC"/>
    <w:rsid w:val="7AE5C2F8"/>
    <w:rsid w:val="7AE66508"/>
    <w:rsid w:val="7AE7CD37"/>
    <w:rsid w:val="7AE8857C"/>
    <w:rsid w:val="7AEDD7B9"/>
    <w:rsid w:val="7AEF4AA1"/>
    <w:rsid w:val="7AF84F57"/>
    <w:rsid w:val="7AF8D0DC"/>
    <w:rsid w:val="7AFF8D65"/>
    <w:rsid w:val="7B079BBF"/>
    <w:rsid w:val="7B0E8095"/>
    <w:rsid w:val="7B25AA55"/>
    <w:rsid w:val="7B266FB0"/>
    <w:rsid w:val="7B3243E6"/>
    <w:rsid w:val="7B3B050F"/>
    <w:rsid w:val="7B3F4627"/>
    <w:rsid w:val="7B4469DF"/>
    <w:rsid w:val="7B4589B9"/>
    <w:rsid w:val="7B460BF4"/>
    <w:rsid w:val="7B4BB861"/>
    <w:rsid w:val="7B4E7E44"/>
    <w:rsid w:val="7B50AEC1"/>
    <w:rsid w:val="7B552C7E"/>
    <w:rsid w:val="7B5F1A32"/>
    <w:rsid w:val="7B5FAE35"/>
    <w:rsid w:val="7B616101"/>
    <w:rsid w:val="7B66516C"/>
    <w:rsid w:val="7B674328"/>
    <w:rsid w:val="7B683F47"/>
    <w:rsid w:val="7B6EDBA4"/>
    <w:rsid w:val="7B7567B7"/>
    <w:rsid w:val="7B7A2B76"/>
    <w:rsid w:val="7B7CA9CE"/>
    <w:rsid w:val="7B7E7A7A"/>
    <w:rsid w:val="7B8E9D7D"/>
    <w:rsid w:val="7B917114"/>
    <w:rsid w:val="7B98123B"/>
    <w:rsid w:val="7B9E5AE8"/>
    <w:rsid w:val="7B9FFBBC"/>
    <w:rsid w:val="7BA65B96"/>
    <w:rsid w:val="7BB4BAD6"/>
    <w:rsid w:val="7BCB932F"/>
    <w:rsid w:val="7BCD99C1"/>
    <w:rsid w:val="7BCF4338"/>
    <w:rsid w:val="7BDA8B50"/>
    <w:rsid w:val="7BE1037C"/>
    <w:rsid w:val="7BE2150C"/>
    <w:rsid w:val="7BE6EE1D"/>
    <w:rsid w:val="7BE7D56B"/>
    <w:rsid w:val="7BF0D724"/>
    <w:rsid w:val="7BF2A9C2"/>
    <w:rsid w:val="7BF3F506"/>
    <w:rsid w:val="7C0294F3"/>
    <w:rsid w:val="7C096A41"/>
    <w:rsid w:val="7C0FD0EA"/>
    <w:rsid w:val="7C14EEC4"/>
    <w:rsid w:val="7C18566F"/>
    <w:rsid w:val="7C187E41"/>
    <w:rsid w:val="7C217CE3"/>
    <w:rsid w:val="7C2DC093"/>
    <w:rsid w:val="7C2E4BC3"/>
    <w:rsid w:val="7C2F0DD2"/>
    <w:rsid w:val="7C34CD7E"/>
    <w:rsid w:val="7C3B226F"/>
    <w:rsid w:val="7C3ECFDD"/>
    <w:rsid w:val="7C4AC9D5"/>
    <w:rsid w:val="7C4CA64F"/>
    <w:rsid w:val="7C52D0BE"/>
    <w:rsid w:val="7C56D1B6"/>
    <w:rsid w:val="7C603AFD"/>
    <w:rsid w:val="7C6C043C"/>
    <w:rsid w:val="7C7061C8"/>
    <w:rsid w:val="7C70C22E"/>
    <w:rsid w:val="7C7A05C0"/>
    <w:rsid w:val="7C7B27A1"/>
    <w:rsid w:val="7C7F70D9"/>
    <w:rsid w:val="7C8A3055"/>
    <w:rsid w:val="7C8DEDBA"/>
    <w:rsid w:val="7C90BF84"/>
    <w:rsid w:val="7C91A461"/>
    <w:rsid w:val="7C9E2B6B"/>
    <w:rsid w:val="7C9E51AD"/>
    <w:rsid w:val="7CAFE5D2"/>
    <w:rsid w:val="7CB37EA4"/>
    <w:rsid w:val="7CB4817B"/>
    <w:rsid w:val="7CB5641B"/>
    <w:rsid w:val="7CBF7051"/>
    <w:rsid w:val="7CC3C968"/>
    <w:rsid w:val="7CC8C2BC"/>
    <w:rsid w:val="7CCCC7BB"/>
    <w:rsid w:val="7CCCD14D"/>
    <w:rsid w:val="7CCE1447"/>
    <w:rsid w:val="7CD475A8"/>
    <w:rsid w:val="7CD92CB1"/>
    <w:rsid w:val="7CE8DA80"/>
    <w:rsid w:val="7CEA847C"/>
    <w:rsid w:val="7CEC2EAB"/>
    <w:rsid w:val="7CF81E78"/>
    <w:rsid w:val="7D0AAE3D"/>
    <w:rsid w:val="7D120E71"/>
    <w:rsid w:val="7D150CB0"/>
    <w:rsid w:val="7D17F809"/>
    <w:rsid w:val="7D26545D"/>
    <w:rsid w:val="7D2FDF03"/>
    <w:rsid w:val="7D3172AA"/>
    <w:rsid w:val="7D39ED14"/>
    <w:rsid w:val="7D3BF67E"/>
    <w:rsid w:val="7D44EF6A"/>
    <w:rsid w:val="7D4E636C"/>
    <w:rsid w:val="7D536714"/>
    <w:rsid w:val="7D5E6A35"/>
    <w:rsid w:val="7D65D0F2"/>
    <w:rsid w:val="7D6EC7A8"/>
    <w:rsid w:val="7D777C40"/>
    <w:rsid w:val="7D790409"/>
    <w:rsid w:val="7D79BF8B"/>
    <w:rsid w:val="7D7A3FD7"/>
    <w:rsid w:val="7D7DA40E"/>
    <w:rsid w:val="7D864D69"/>
    <w:rsid w:val="7D9028E3"/>
    <w:rsid w:val="7D903DC3"/>
    <w:rsid w:val="7D923BFD"/>
    <w:rsid w:val="7D97841F"/>
    <w:rsid w:val="7D9C22E1"/>
    <w:rsid w:val="7D9D3921"/>
    <w:rsid w:val="7DA072D4"/>
    <w:rsid w:val="7DA6EC4F"/>
    <w:rsid w:val="7DAFC6D0"/>
    <w:rsid w:val="7DB0C3A1"/>
    <w:rsid w:val="7DB1B998"/>
    <w:rsid w:val="7DBD2743"/>
    <w:rsid w:val="7DBEF095"/>
    <w:rsid w:val="7DC4AE4D"/>
    <w:rsid w:val="7DCFE8B0"/>
    <w:rsid w:val="7DD6C92D"/>
    <w:rsid w:val="7DD95A32"/>
    <w:rsid w:val="7DDDDC2A"/>
    <w:rsid w:val="7DE4CAE1"/>
    <w:rsid w:val="7DE56534"/>
    <w:rsid w:val="7DE5C409"/>
    <w:rsid w:val="7DE60129"/>
    <w:rsid w:val="7DE8207B"/>
    <w:rsid w:val="7DE9B2AC"/>
    <w:rsid w:val="7DEC5A09"/>
    <w:rsid w:val="7DEE517E"/>
    <w:rsid w:val="7DF20A4F"/>
    <w:rsid w:val="7DF500D5"/>
    <w:rsid w:val="7DFDC163"/>
    <w:rsid w:val="7DFF726B"/>
    <w:rsid w:val="7E0BC883"/>
    <w:rsid w:val="7E1E94C5"/>
    <w:rsid w:val="7E25203A"/>
    <w:rsid w:val="7E26DB18"/>
    <w:rsid w:val="7E2DDE89"/>
    <w:rsid w:val="7E30461F"/>
    <w:rsid w:val="7E33E647"/>
    <w:rsid w:val="7E3BC5E1"/>
    <w:rsid w:val="7E3E627D"/>
    <w:rsid w:val="7E41580F"/>
    <w:rsid w:val="7E4422BA"/>
    <w:rsid w:val="7E471BEC"/>
    <w:rsid w:val="7E4876D9"/>
    <w:rsid w:val="7E4EA5FC"/>
    <w:rsid w:val="7E50D9C3"/>
    <w:rsid w:val="7E542715"/>
    <w:rsid w:val="7E596B4F"/>
    <w:rsid w:val="7E5DA269"/>
    <w:rsid w:val="7E5FEB34"/>
    <w:rsid w:val="7E6045EF"/>
    <w:rsid w:val="7E6309EF"/>
    <w:rsid w:val="7E6FA59D"/>
    <w:rsid w:val="7E7DC3CB"/>
    <w:rsid w:val="7E831430"/>
    <w:rsid w:val="7E887B0B"/>
    <w:rsid w:val="7E904BA3"/>
    <w:rsid w:val="7E93740B"/>
    <w:rsid w:val="7E95D307"/>
    <w:rsid w:val="7EA0ABCB"/>
    <w:rsid w:val="7EA25117"/>
    <w:rsid w:val="7EA38CA5"/>
    <w:rsid w:val="7EB181FB"/>
    <w:rsid w:val="7EB2241F"/>
    <w:rsid w:val="7EB662C0"/>
    <w:rsid w:val="7EBC15E5"/>
    <w:rsid w:val="7EBDB5B5"/>
    <w:rsid w:val="7ECC50AB"/>
    <w:rsid w:val="7ED44E29"/>
    <w:rsid w:val="7EDE6294"/>
    <w:rsid w:val="7EDF704A"/>
    <w:rsid w:val="7EE00086"/>
    <w:rsid w:val="7EE52F5C"/>
    <w:rsid w:val="7EE9D9BE"/>
    <w:rsid w:val="7EF8DDB8"/>
    <w:rsid w:val="7EF9C9B9"/>
    <w:rsid w:val="7F027313"/>
    <w:rsid w:val="7F0B740A"/>
    <w:rsid w:val="7F1D2E57"/>
    <w:rsid w:val="7F1E2284"/>
    <w:rsid w:val="7F1EE82A"/>
    <w:rsid w:val="7F29FD0F"/>
    <w:rsid w:val="7F2EFEA9"/>
    <w:rsid w:val="7F3A3A6F"/>
    <w:rsid w:val="7F46E8CE"/>
    <w:rsid w:val="7F55D3A2"/>
    <w:rsid w:val="7F59769D"/>
    <w:rsid w:val="7F63BCEE"/>
    <w:rsid w:val="7F64F165"/>
    <w:rsid w:val="7F71E0E1"/>
    <w:rsid w:val="7F76FA24"/>
    <w:rsid w:val="7F777B79"/>
    <w:rsid w:val="7F79EEFB"/>
    <w:rsid w:val="7F809B42"/>
    <w:rsid w:val="7F871AB6"/>
    <w:rsid w:val="7F8B2A36"/>
    <w:rsid w:val="7F906D7E"/>
    <w:rsid w:val="7F95FAEF"/>
    <w:rsid w:val="7F9BCCF0"/>
    <w:rsid w:val="7FA0233F"/>
    <w:rsid w:val="7FADDF13"/>
    <w:rsid w:val="7FAE9DA3"/>
    <w:rsid w:val="7FB20746"/>
    <w:rsid w:val="7FB4CDF6"/>
    <w:rsid w:val="7FB517E7"/>
    <w:rsid w:val="7FB9D62B"/>
    <w:rsid w:val="7FBD051F"/>
    <w:rsid w:val="7FC1A735"/>
    <w:rsid w:val="7FD0AE3D"/>
    <w:rsid w:val="7FD45F65"/>
    <w:rsid w:val="7FD67772"/>
    <w:rsid w:val="7FDAC5D7"/>
    <w:rsid w:val="7FE9B854"/>
    <w:rsid w:val="7FF4534D"/>
    <w:rsid w:val="7FF574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AEF"/>
    <w:pPr>
      <w:jc w:val="both"/>
    </w:pPr>
    <w:rPr>
      <w:rFonts w:ascii="Calibri" w:hAnsi="Calibri"/>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35"/>
    <w:unhideWhenUsed/>
    <w:rsid w:val="00124A51"/>
    <w:pPr>
      <w:spacing w:after="200"/>
    </w:pPr>
    <w:rPr>
      <w:b/>
      <w:bCs/>
      <w:color w:val="4F81BD" w:themeColor="accent1"/>
      <w:sz w:val="18"/>
      <w:szCs w:val="18"/>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sz w:val="24"/>
      <w:szCs w:val="24"/>
      <w:lang w:val="en-GB" w:eastAsia="zh-CN"/>
    </w:rPr>
  </w:style>
  <w:style w:type="paragraph" w:styleId="ListParagraph">
    <w:name w:val="List Paragraph"/>
    <w:aliases w:val="Body Text Bullet Points,Numbered para,BulletPoints,List Paragraph1,Bullet point,List Paragraph11,Recommendation,Section heading,Footnote,ES Paragraph,PBAC ES Paragraph,PBAC normal points,Table Legend,Bullet1,Bullet 1,Section 5,Styl moj,L"/>
    <w:next w:val="ListBullet"/>
    <w:link w:val="ListParagraphChar"/>
    <w:uiPriority w:val="34"/>
    <w:qFormat/>
    <w:rsid w:val="00375571"/>
    <w:pPr>
      <w:numPr>
        <w:numId w:val="8"/>
      </w:numPr>
      <w:spacing w:after="120"/>
      <w:ind w:left="1134"/>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375571"/>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sz w:val="22"/>
      <w:szCs w:val="24"/>
      <w:lang w:val="en-GB"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B2AEF"/>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4B2AEF"/>
    <w:rPr>
      <w:rFonts w:ascii="Calibri" w:hAnsi="Calibri"/>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snapToGrid w:val="0"/>
      <w:szCs w:val="24"/>
      <w:lang w:val="en-GB" w:eastAsia="zh-CN"/>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75757F"/>
    <w:pPr>
      <w:shd w:val="clear" w:color="auto" w:fill="FFFFFF" w:themeFill="background1"/>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aliases w:val="Comment Text Char1 Char,Comment Text Char Char Char"/>
    <w:basedOn w:val="Normal"/>
    <w:link w:val="CommentTextChar"/>
    <w:uiPriority w:val="99"/>
    <w:rsid w:val="00FD2100"/>
    <w:rPr>
      <w:sz w:val="20"/>
    </w:rPr>
  </w:style>
  <w:style w:type="character" w:customStyle="1" w:styleId="CommentTextChar">
    <w:name w:val="Comment Text Char"/>
    <w:aliases w:val="Comment Text Char1 Char Char,Comment Text Char Char Char Char"/>
    <w:basedOn w:val="DefaultParagraphFont"/>
    <w:link w:val="CommentText"/>
    <w:uiPriority w:val="99"/>
    <w:rsid w:val="00FD2100"/>
    <w:rPr>
      <w:szCs w:val="24"/>
      <w:lang w:val="en-GB" w:eastAsia="zh-CN"/>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szCs w:val="24"/>
      <w:lang w:val="en-GB"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snapToGrid w:val="0"/>
      <w:szCs w:val="24"/>
      <w:lang w:val="en-GB" w:eastAsia="zh-CN"/>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4B2AEF"/>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napToGrid w:val="0"/>
      <w:szCs w:val="24"/>
      <w:lang w:val="en-US" w:eastAsia="zh-CN"/>
    </w:rPr>
  </w:style>
  <w:style w:type="paragraph" w:customStyle="1" w:styleId="GeneralHeading">
    <w:name w:val="General Heading"/>
    <w:qFormat/>
    <w:rsid w:val="004B2AEF"/>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B2AEF"/>
    <w:pPr>
      <w:keepNext/>
    </w:pPr>
    <w:rPr>
      <w:rFonts w:ascii="Arial Narrow" w:eastAsiaTheme="majorEastAsia" w:hAnsi="Arial Narrow"/>
      <w:b/>
      <w:szCs w:val="24"/>
      <w:lang w:val="en-US"/>
    </w:rPr>
  </w:style>
  <w:style w:type="paragraph" w:customStyle="1" w:styleId="2-SectionHeading">
    <w:name w:val="2-Section Heading"/>
    <w:qFormat/>
    <w:rsid w:val="004B2AEF"/>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B2AE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B2AE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B2AEF"/>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B2AEF"/>
    <w:rPr>
      <w:rFonts w:ascii="Arial Narrow" w:eastAsiaTheme="majorEastAsia" w:hAnsi="Arial Narrow" w:cstheme="majorBidi"/>
      <w:b/>
      <w:bCs/>
      <w:szCs w:val="24"/>
    </w:rPr>
  </w:style>
  <w:style w:type="paragraph" w:customStyle="1" w:styleId="3-BodyText">
    <w:name w:val="3-Body Text"/>
    <w:link w:val="3-BodyTextChar"/>
    <w:qFormat/>
    <w:rsid w:val="004B2AEF"/>
    <w:pPr>
      <w:numPr>
        <w:ilvl w:val="1"/>
        <w:numId w:val="9"/>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B2AEF"/>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B2AEF"/>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B2AEF"/>
    <w:rPr>
      <w:rFonts w:ascii="Calibri" w:hAnsi="Calibri" w:cs="Arial"/>
      <w:b/>
      <w:sz w:val="24"/>
      <w:szCs w:val="24"/>
    </w:rPr>
  </w:style>
  <w:style w:type="paragraph" w:customStyle="1" w:styleId="TableFigureFooter">
    <w:name w:val="Table/Figure Footer"/>
    <w:basedOn w:val="Normal"/>
    <w:link w:val="TableFigureFooterChar"/>
    <w:qFormat/>
    <w:rsid w:val="004B2AEF"/>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B2AEF"/>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B2AEF"/>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B2AEF"/>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B2AEF"/>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B2AEF"/>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4B2AEF"/>
    <w:rPr>
      <w:rFonts w:ascii="Arial Narrow" w:eastAsiaTheme="majorEastAsia" w:hAnsi="Arial Narrow" w:cstheme="majorBidi"/>
      <w:bCs/>
      <w:szCs w:val="24"/>
    </w:rPr>
  </w:style>
  <w:style w:type="character" w:customStyle="1" w:styleId="Mention1">
    <w:name w:val="Mention1"/>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EA6679"/>
    <w:rPr>
      <w:vertAlign w:val="superscript"/>
    </w:rPr>
  </w:style>
  <w:style w:type="character" w:customStyle="1" w:styleId="FootnoteTextChar">
    <w:name w:val="Footnote Text Char"/>
    <w:basedOn w:val="DefaultParagraphFont"/>
    <w:link w:val="FootnoteText"/>
    <w:uiPriority w:val="99"/>
    <w:semiHidden/>
    <w:rsid w:val="00EA6679"/>
    <w:rPr>
      <w:lang w:val="en-GB" w:eastAsia="zh-CN"/>
    </w:rPr>
  </w:style>
  <w:style w:type="paragraph" w:styleId="FootnoteText">
    <w:name w:val="footnote text"/>
    <w:basedOn w:val="Normal"/>
    <w:link w:val="FootnoteTextChar"/>
    <w:uiPriority w:val="99"/>
    <w:semiHidden/>
    <w:unhideWhenUsed/>
    <w:rsid w:val="00EA6679"/>
    <w:rPr>
      <w:sz w:val="20"/>
      <w:szCs w:val="20"/>
    </w:rPr>
  </w:style>
  <w:style w:type="character" w:customStyle="1" w:styleId="FootnoteTextChar1">
    <w:name w:val="Footnote Text Char1"/>
    <w:basedOn w:val="DefaultParagraphFont"/>
    <w:semiHidden/>
    <w:rsid w:val="00EA6679"/>
    <w:rPr>
      <w:rFonts w:ascii="Calibri" w:hAnsi="Calibri" w:cs="Arial"/>
    </w:rPr>
  </w:style>
  <w:style w:type="paragraph" w:customStyle="1" w:styleId="EndNoteBibliography">
    <w:name w:val="EndNote Bibliography"/>
    <w:basedOn w:val="Normal"/>
    <w:link w:val="EndNoteBibliographyChar"/>
    <w:rsid w:val="00EA6679"/>
    <w:pPr>
      <w:spacing w:before="120" w:after="120"/>
    </w:pPr>
    <w:rPr>
      <w:rFonts w:eastAsia="Calibri" w:cs="Calibri"/>
      <w:noProof/>
      <w:sz w:val="22"/>
      <w:szCs w:val="22"/>
      <w:lang w:eastAsia="en-US"/>
    </w:rPr>
  </w:style>
  <w:style w:type="character" w:customStyle="1" w:styleId="EndNoteBibliographyChar">
    <w:name w:val="EndNote Bibliography Char"/>
    <w:link w:val="EndNoteBibliography"/>
    <w:rsid w:val="00EA6679"/>
    <w:rPr>
      <w:rFonts w:eastAsia="Calibri" w:cs="Calibri"/>
      <w:noProof/>
      <w:sz w:val="22"/>
      <w:szCs w:val="22"/>
      <w:lang w:val="en-GB" w:eastAsia="en-US"/>
    </w:rPr>
  </w:style>
  <w:style w:type="paragraph" w:customStyle="1" w:styleId="BulletList">
    <w:name w:val="Bullet List"/>
    <w:basedOn w:val="BodyText"/>
    <w:link w:val="BulletListChar"/>
    <w:rsid w:val="00955C21"/>
    <w:pPr>
      <w:numPr>
        <w:numId w:val="4"/>
      </w:numPr>
      <w:suppressAutoHyphens/>
      <w:spacing w:after="240" w:line="264" w:lineRule="auto"/>
      <w:contextualSpacing/>
    </w:pPr>
    <w:rPr>
      <w:rFonts w:eastAsia="SimSun"/>
      <w:szCs w:val="20"/>
      <w:lang w:eastAsia="en-US"/>
    </w:rPr>
  </w:style>
  <w:style w:type="character" w:customStyle="1" w:styleId="BulletListChar">
    <w:name w:val="Bullet List Char"/>
    <w:link w:val="BulletList"/>
    <w:locked/>
    <w:rsid w:val="00EA6679"/>
    <w:rPr>
      <w:rFonts w:ascii="Calibri" w:eastAsia="SimSun" w:hAnsi="Calibri"/>
      <w:sz w:val="24"/>
      <w:lang w:eastAsia="en-US"/>
    </w:rPr>
  </w:style>
  <w:style w:type="paragraph" w:customStyle="1" w:styleId="TableorfigureAbbreviationsandSource">
    <w:name w:val="Table or figure Abbreviations and Source"/>
    <w:next w:val="Normal"/>
    <w:rsid w:val="00EA6679"/>
    <w:pPr>
      <w:spacing w:after="240"/>
      <w:contextualSpacing/>
    </w:pPr>
    <w:rPr>
      <w:rFonts w:ascii="Calibri" w:eastAsia="Calibri" w:hAnsi="Calibri"/>
      <w:sz w:val="16"/>
      <w:szCs w:val="22"/>
      <w:lang w:eastAsia="zh-CN"/>
    </w:rPr>
  </w:style>
  <w:style w:type="character" w:customStyle="1" w:styleId="UnresolvedMention1">
    <w:name w:val="Unresolved Mention1"/>
    <w:basedOn w:val="DefaultParagraphFont"/>
    <w:uiPriority w:val="99"/>
    <w:unhideWhenUsed/>
    <w:rsid w:val="00F61434"/>
    <w:rPr>
      <w:color w:val="605E5C"/>
      <w:shd w:val="clear" w:color="auto" w:fill="E1DFDD"/>
    </w:rPr>
  </w:style>
  <w:style w:type="character" w:customStyle="1" w:styleId="normaltextrun">
    <w:name w:val="normaltextrun"/>
    <w:basedOn w:val="DefaultParagraphFont"/>
    <w:rsid w:val="00982B13"/>
  </w:style>
  <w:style w:type="character" w:customStyle="1" w:styleId="eop">
    <w:name w:val="eop"/>
    <w:basedOn w:val="DefaultParagraphFont"/>
    <w:rsid w:val="00982B13"/>
  </w:style>
  <w:style w:type="paragraph" w:customStyle="1" w:styleId="paragraph">
    <w:name w:val="paragraph"/>
    <w:basedOn w:val="Normal"/>
    <w:rsid w:val="00D73C43"/>
    <w:pPr>
      <w:spacing w:before="100" w:beforeAutospacing="1" w:after="100" w:afterAutospacing="1"/>
    </w:pPr>
  </w:style>
  <w:style w:type="character" w:customStyle="1" w:styleId="findhit">
    <w:name w:val="findhit"/>
    <w:basedOn w:val="DefaultParagraphFont"/>
    <w:rsid w:val="007073B5"/>
  </w:style>
  <w:style w:type="character" w:customStyle="1" w:styleId="Mention2">
    <w:name w:val="Mention2"/>
    <w:basedOn w:val="DefaultParagraphFont"/>
    <w:uiPriority w:val="99"/>
    <w:unhideWhenUsed/>
    <w:rsid w:val="0093459F"/>
    <w:rPr>
      <w:color w:val="2B579A"/>
      <w:shd w:val="clear" w:color="auto" w:fill="E6E6E6"/>
    </w:rPr>
  </w:style>
  <w:style w:type="character" w:customStyle="1" w:styleId="UnresolvedMention2">
    <w:name w:val="Unresolved Mention2"/>
    <w:basedOn w:val="DefaultParagraphFont"/>
    <w:uiPriority w:val="99"/>
    <w:semiHidden/>
    <w:unhideWhenUsed/>
    <w:rsid w:val="0046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789125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3244157">
      <w:bodyDiv w:val="1"/>
      <w:marLeft w:val="0"/>
      <w:marRight w:val="0"/>
      <w:marTop w:val="0"/>
      <w:marBottom w:val="0"/>
      <w:divBdr>
        <w:top w:val="none" w:sz="0" w:space="0" w:color="auto"/>
        <w:left w:val="none" w:sz="0" w:space="0" w:color="auto"/>
        <w:bottom w:val="none" w:sz="0" w:space="0" w:color="auto"/>
        <w:right w:val="none" w:sz="0" w:space="0" w:color="auto"/>
      </w:divBdr>
    </w:div>
    <w:div w:id="439758040">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
    <w:div w:id="449714080">
      <w:bodyDiv w:val="1"/>
      <w:marLeft w:val="0"/>
      <w:marRight w:val="0"/>
      <w:marTop w:val="0"/>
      <w:marBottom w:val="0"/>
      <w:divBdr>
        <w:top w:val="none" w:sz="0" w:space="0" w:color="auto"/>
        <w:left w:val="none" w:sz="0" w:space="0" w:color="auto"/>
        <w:bottom w:val="none" w:sz="0" w:space="0" w:color="auto"/>
        <w:right w:val="none" w:sz="0" w:space="0" w:color="auto"/>
      </w:divBdr>
    </w:div>
    <w:div w:id="541794018">
      <w:bodyDiv w:val="1"/>
      <w:marLeft w:val="0"/>
      <w:marRight w:val="0"/>
      <w:marTop w:val="0"/>
      <w:marBottom w:val="0"/>
      <w:divBdr>
        <w:top w:val="none" w:sz="0" w:space="0" w:color="auto"/>
        <w:left w:val="none" w:sz="0" w:space="0" w:color="auto"/>
        <w:bottom w:val="none" w:sz="0" w:space="0" w:color="auto"/>
        <w:right w:val="none" w:sz="0" w:space="0" w:color="auto"/>
      </w:divBdr>
    </w:div>
    <w:div w:id="565577340">
      <w:bodyDiv w:val="1"/>
      <w:marLeft w:val="0"/>
      <w:marRight w:val="0"/>
      <w:marTop w:val="0"/>
      <w:marBottom w:val="0"/>
      <w:divBdr>
        <w:top w:val="none" w:sz="0" w:space="0" w:color="auto"/>
        <w:left w:val="none" w:sz="0" w:space="0" w:color="auto"/>
        <w:bottom w:val="none" w:sz="0" w:space="0" w:color="auto"/>
        <w:right w:val="none" w:sz="0" w:space="0" w:color="auto"/>
      </w:divBdr>
    </w:div>
    <w:div w:id="581913027">
      <w:bodyDiv w:val="1"/>
      <w:marLeft w:val="0"/>
      <w:marRight w:val="0"/>
      <w:marTop w:val="0"/>
      <w:marBottom w:val="0"/>
      <w:divBdr>
        <w:top w:val="none" w:sz="0" w:space="0" w:color="auto"/>
        <w:left w:val="none" w:sz="0" w:space="0" w:color="auto"/>
        <w:bottom w:val="none" w:sz="0" w:space="0" w:color="auto"/>
        <w:right w:val="none" w:sz="0" w:space="0" w:color="auto"/>
      </w:divBdr>
    </w:div>
    <w:div w:id="722026456">
      <w:bodyDiv w:val="1"/>
      <w:marLeft w:val="0"/>
      <w:marRight w:val="0"/>
      <w:marTop w:val="0"/>
      <w:marBottom w:val="0"/>
      <w:divBdr>
        <w:top w:val="none" w:sz="0" w:space="0" w:color="auto"/>
        <w:left w:val="none" w:sz="0" w:space="0" w:color="auto"/>
        <w:bottom w:val="none" w:sz="0" w:space="0" w:color="auto"/>
        <w:right w:val="none" w:sz="0" w:space="0" w:color="auto"/>
      </w:divBdr>
    </w:div>
    <w:div w:id="733234207">
      <w:bodyDiv w:val="1"/>
      <w:marLeft w:val="0"/>
      <w:marRight w:val="0"/>
      <w:marTop w:val="0"/>
      <w:marBottom w:val="0"/>
      <w:divBdr>
        <w:top w:val="none" w:sz="0" w:space="0" w:color="auto"/>
        <w:left w:val="none" w:sz="0" w:space="0" w:color="auto"/>
        <w:bottom w:val="none" w:sz="0" w:space="0" w:color="auto"/>
        <w:right w:val="none" w:sz="0" w:space="0" w:color="auto"/>
      </w:divBdr>
    </w:div>
    <w:div w:id="865026535">
      <w:bodyDiv w:val="1"/>
      <w:marLeft w:val="0"/>
      <w:marRight w:val="0"/>
      <w:marTop w:val="0"/>
      <w:marBottom w:val="0"/>
      <w:divBdr>
        <w:top w:val="none" w:sz="0" w:space="0" w:color="auto"/>
        <w:left w:val="none" w:sz="0" w:space="0" w:color="auto"/>
        <w:bottom w:val="none" w:sz="0" w:space="0" w:color="auto"/>
        <w:right w:val="none" w:sz="0" w:space="0" w:color="auto"/>
      </w:divBdr>
    </w:div>
    <w:div w:id="929005528">
      <w:bodyDiv w:val="1"/>
      <w:marLeft w:val="0"/>
      <w:marRight w:val="0"/>
      <w:marTop w:val="0"/>
      <w:marBottom w:val="0"/>
      <w:divBdr>
        <w:top w:val="none" w:sz="0" w:space="0" w:color="auto"/>
        <w:left w:val="none" w:sz="0" w:space="0" w:color="auto"/>
        <w:bottom w:val="none" w:sz="0" w:space="0" w:color="auto"/>
        <w:right w:val="none" w:sz="0" w:space="0" w:color="auto"/>
      </w:divBdr>
    </w:div>
    <w:div w:id="938217043">
      <w:bodyDiv w:val="1"/>
      <w:marLeft w:val="0"/>
      <w:marRight w:val="0"/>
      <w:marTop w:val="0"/>
      <w:marBottom w:val="0"/>
      <w:divBdr>
        <w:top w:val="none" w:sz="0" w:space="0" w:color="auto"/>
        <w:left w:val="none" w:sz="0" w:space="0" w:color="auto"/>
        <w:bottom w:val="none" w:sz="0" w:space="0" w:color="auto"/>
        <w:right w:val="none" w:sz="0" w:space="0" w:color="auto"/>
      </w:divBdr>
    </w:div>
    <w:div w:id="970743535">
      <w:bodyDiv w:val="1"/>
      <w:marLeft w:val="0"/>
      <w:marRight w:val="0"/>
      <w:marTop w:val="0"/>
      <w:marBottom w:val="0"/>
      <w:divBdr>
        <w:top w:val="none" w:sz="0" w:space="0" w:color="auto"/>
        <w:left w:val="none" w:sz="0" w:space="0" w:color="auto"/>
        <w:bottom w:val="none" w:sz="0" w:space="0" w:color="auto"/>
        <w:right w:val="none" w:sz="0" w:space="0" w:color="auto"/>
      </w:divBdr>
    </w:div>
    <w:div w:id="974221019">
      <w:bodyDiv w:val="1"/>
      <w:marLeft w:val="0"/>
      <w:marRight w:val="0"/>
      <w:marTop w:val="0"/>
      <w:marBottom w:val="0"/>
      <w:divBdr>
        <w:top w:val="none" w:sz="0" w:space="0" w:color="auto"/>
        <w:left w:val="none" w:sz="0" w:space="0" w:color="auto"/>
        <w:bottom w:val="none" w:sz="0" w:space="0" w:color="auto"/>
        <w:right w:val="none" w:sz="0" w:space="0" w:color="auto"/>
      </w:divBdr>
    </w:div>
    <w:div w:id="975373487">
      <w:bodyDiv w:val="1"/>
      <w:marLeft w:val="0"/>
      <w:marRight w:val="0"/>
      <w:marTop w:val="0"/>
      <w:marBottom w:val="0"/>
      <w:divBdr>
        <w:top w:val="none" w:sz="0" w:space="0" w:color="auto"/>
        <w:left w:val="none" w:sz="0" w:space="0" w:color="auto"/>
        <w:bottom w:val="none" w:sz="0" w:space="0" w:color="auto"/>
        <w:right w:val="none" w:sz="0" w:space="0" w:color="auto"/>
      </w:divBdr>
    </w:div>
    <w:div w:id="993530731">
      <w:bodyDiv w:val="1"/>
      <w:marLeft w:val="0"/>
      <w:marRight w:val="0"/>
      <w:marTop w:val="0"/>
      <w:marBottom w:val="0"/>
      <w:divBdr>
        <w:top w:val="none" w:sz="0" w:space="0" w:color="auto"/>
        <w:left w:val="none" w:sz="0" w:space="0" w:color="auto"/>
        <w:bottom w:val="none" w:sz="0" w:space="0" w:color="auto"/>
        <w:right w:val="none" w:sz="0" w:space="0" w:color="auto"/>
      </w:divBdr>
    </w:div>
    <w:div w:id="1000474398">
      <w:bodyDiv w:val="1"/>
      <w:marLeft w:val="0"/>
      <w:marRight w:val="0"/>
      <w:marTop w:val="0"/>
      <w:marBottom w:val="0"/>
      <w:divBdr>
        <w:top w:val="none" w:sz="0" w:space="0" w:color="auto"/>
        <w:left w:val="none" w:sz="0" w:space="0" w:color="auto"/>
        <w:bottom w:val="none" w:sz="0" w:space="0" w:color="auto"/>
        <w:right w:val="none" w:sz="0" w:space="0" w:color="auto"/>
      </w:divBdr>
      <w:divsChild>
        <w:div w:id="33237473">
          <w:marLeft w:val="0"/>
          <w:marRight w:val="0"/>
          <w:marTop w:val="0"/>
          <w:marBottom w:val="0"/>
          <w:divBdr>
            <w:top w:val="none" w:sz="0" w:space="0" w:color="auto"/>
            <w:left w:val="none" w:sz="0" w:space="0" w:color="auto"/>
            <w:bottom w:val="none" w:sz="0" w:space="0" w:color="auto"/>
            <w:right w:val="none" w:sz="0" w:space="0" w:color="auto"/>
          </w:divBdr>
          <w:divsChild>
            <w:div w:id="1268583018">
              <w:marLeft w:val="0"/>
              <w:marRight w:val="0"/>
              <w:marTop w:val="0"/>
              <w:marBottom w:val="0"/>
              <w:divBdr>
                <w:top w:val="none" w:sz="0" w:space="0" w:color="auto"/>
                <w:left w:val="none" w:sz="0" w:space="0" w:color="auto"/>
                <w:bottom w:val="none" w:sz="0" w:space="0" w:color="auto"/>
                <w:right w:val="none" w:sz="0" w:space="0" w:color="auto"/>
              </w:divBdr>
            </w:div>
          </w:divsChild>
        </w:div>
        <w:div w:id="44989815">
          <w:marLeft w:val="0"/>
          <w:marRight w:val="0"/>
          <w:marTop w:val="0"/>
          <w:marBottom w:val="0"/>
          <w:divBdr>
            <w:top w:val="none" w:sz="0" w:space="0" w:color="auto"/>
            <w:left w:val="none" w:sz="0" w:space="0" w:color="auto"/>
            <w:bottom w:val="none" w:sz="0" w:space="0" w:color="auto"/>
            <w:right w:val="none" w:sz="0" w:space="0" w:color="auto"/>
          </w:divBdr>
          <w:divsChild>
            <w:div w:id="680158939">
              <w:marLeft w:val="0"/>
              <w:marRight w:val="0"/>
              <w:marTop w:val="0"/>
              <w:marBottom w:val="0"/>
              <w:divBdr>
                <w:top w:val="none" w:sz="0" w:space="0" w:color="auto"/>
                <w:left w:val="none" w:sz="0" w:space="0" w:color="auto"/>
                <w:bottom w:val="none" w:sz="0" w:space="0" w:color="auto"/>
                <w:right w:val="none" w:sz="0" w:space="0" w:color="auto"/>
              </w:divBdr>
            </w:div>
          </w:divsChild>
        </w:div>
        <w:div w:id="63843488">
          <w:marLeft w:val="0"/>
          <w:marRight w:val="0"/>
          <w:marTop w:val="0"/>
          <w:marBottom w:val="0"/>
          <w:divBdr>
            <w:top w:val="none" w:sz="0" w:space="0" w:color="auto"/>
            <w:left w:val="none" w:sz="0" w:space="0" w:color="auto"/>
            <w:bottom w:val="none" w:sz="0" w:space="0" w:color="auto"/>
            <w:right w:val="none" w:sz="0" w:space="0" w:color="auto"/>
          </w:divBdr>
          <w:divsChild>
            <w:div w:id="1834419123">
              <w:marLeft w:val="0"/>
              <w:marRight w:val="0"/>
              <w:marTop w:val="0"/>
              <w:marBottom w:val="0"/>
              <w:divBdr>
                <w:top w:val="none" w:sz="0" w:space="0" w:color="auto"/>
                <w:left w:val="none" w:sz="0" w:space="0" w:color="auto"/>
                <w:bottom w:val="none" w:sz="0" w:space="0" w:color="auto"/>
                <w:right w:val="none" w:sz="0" w:space="0" w:color="auto"/>
              </w:divBdr>
            </w:div>
          </w:divsChild>
        </w:div>
        <w:div w:id="135488761">
          <w:marLeft w:val="0"/>
          <w:marRight w:val="0"/>
          <w:marTop w:val="0"/>
          <w:marBottom w:val="0"/>
          <w:divBdr>
            <w:top w:val="none" w:sz="0" w:space="0" w:color="auto"/>
            <w:left w:val="none" w:sz="0" w:space="0" w:color="auto"/>
            <w:bottom w:val="none" w:sz="0" w:space="0" w:color="auto"/>
            <w:right w:val="none" w:sz="0" w:space="0" w:color="auto"/>
          </w:divBdr>
          <w:divsChild>
            <w:div w:id="808523437">
              <w:marLeft w:val="0"/>
              <w:marRight w:val="0"/>
              <w:marTop w:val="0"/>
              <w:marBottom w:val="0"/>
              <w:divBdr>
                <w:top w:val="none" w:sz="0" w:space="0" w:color="auto"/>
                <w:left w:val="none" w:sz="0" w:space="0" w:color="auto"/>
                <w:bottom w:val="none" w:sz="0" w:space="0" w:color="auto"/>
                <w:right w:val="none" w:sz="0" w:space="0" w:color="auto"/>
              </w:divBdr>
            </w:div>
          </w:divsChild>
        </w:div>
        <w:div w:id="379986267">
          <w:marLeft w:val="0"/>
          <w:marRight w:val="0"/>
          <w:marTop w:val="0"/>
          <w:marBottom w:val="0"/>
          <w:divBdr>
            <w:top w:val="none" w:sz="0" w:space="0" w:color="auto"/>
            <w:left w:val="none" w:sz="0" w:space="0" w:color="auto"/>
            <w:bottom w:val="none" w:sz="0" w:space="0" w:color="auto"/>
            <w:right w:val="none" w:sz="0" w:space="0" w:color="auto"/>
          </w:divBdr>
          <w:divsChild>
            <w:div w:id="2033410489">
              <w:marLeft w:val="0"/>
              <w:marRight w:val="0"/>
              <w:marTop w:val="0"/>
              <w:marBottom w:val="0"/>
              <w:divBdr>
                <w:top w:val="none" w:sz="0" w:space="0" w:color="auto"/>
                <w:left w:val="none" w:sz="0" w:space="0" w:color="auto"/>
                <w:bottom w:val="none" w:sz="0" w:space="0" w:color="auto"/>
                <w:right w:val="none" w:sz="0" w:space="0" w:color="auto"/>
              </w:divBdr>
            </w:div>
          </w:divsChild>
        </w:div>
        <w:div w:id="578053807">
          <w:marLeft w:val="0"/>
          <w:marRight w:val="0"/>
          <w:marTop w:val="0"/>
          <w:marBottom w:val="0"/>
          <w:divBdr>
            <w:top w:val="none" w:sz="0" w:space="0" w:color="auto"/>
            <w:left w:val="none" w:sz="0" w:space="0" w:color="auto"/>
            <w:bottom w:val="none" w:sz="0" w:space="0" w:color="auto"/>
            <w:right w:val="none" w:sz="0" w:space="0" w:color="auto"/>
          </w:divBdr>
          <w:divsChild>
            <w:div w:id="631131422">
              <w:marLeft w:val="0"/>
              <w:marRight w:val="0"/>
              <w:marTop w:val="0"/>
              <w:marBottom w:val="0"/>
              <w:divBdr>
                <w:top w:val="none" w:sz="0" w:space="0" w:color="auto"/>
                <w:left w:val="none" w:sz="0" w:space="0" w:color="auto"/>
                <w:bottom w:val="none" w:sz="0" w:space="0" w:color="auto"/>
                <w:right w:val="none" w:sz="0" w:space="0" w:color="auto"/>
              </w:divBdr>
            </w:div>
          </w:divsChild>
        </w:div>
        <w:div w:id="688874829">
          <w:marLeft w:val="0"/>
          <w:marRight w:val="0"/>
          <w:marTop w:val="0"/>
          <w:marBottom w:val="0"/>
          <w:divBdr>
            <w:top w:val="none" w:sz="0" w:space="0" w:color="auto"/>
            <w:left w:val="none" w:sz="0" w:space="0" w:color="auto"/>
            <w:bottom w:val="none" w:sz="0" w:space="0" w:color="auto"/>
            <w:right w:val="none" w:sz="0" w:space="0" w:color="auto"/>
          </w:divBdr>
          <w:divsChild>
            <w:div w:id="97920023">
              <w:marLeft w:val="0"/>
              <w:marRight w:val="0"/>
              <w:marTop w:val="0"/>
              <w:marBottom w:val="0"/>
              <w:divBdr>
                <w:top w:val="none" w:sz="0" w:space="0" w:color="auto"/>
                <w:left w:val="none" w:sz="0" w:space="0" w:color="auto"/>
                <w:bottom w:val="none" w:sz="0" w:space="0" w:color="auto"/>
                <w:right w:val="none" w:sz="0" w:space="0" w:color="auto"/>
              </w:divBdr>
            </w:div>
          </w:divsChild>
        </w:div>
        <w:div w:id="725494903">
          <w:marLeft w:val="0"/>
          <w:marRight w:val="0"/>
          <w:marTop w:val="0"/>
          <w:marBottom w:val="0"/>
          <w:divBdr>
            <w:top w:val="none" w:sz="0" w:space="0" w:color="auto"/>
            <w:left w:val="none" w:sz="0" w:space="0" w:color="auto"/>
            <w:bottom w:val="none" w:sz="0" w:space="0" w:color="auto"/>
            <w:right w:val="none" w:sz="0" w:space="0" w:color="auto"/>
          </w:divBdr>
          <w:divsChild>
            <w:div w:id="1938052937">
              <w:marLeft w:val="0"/>
              <w:marRight w:val="0"/>
              <w:marTop w:val="0"/>
              <w:marBottom w:val="0"/>
              <w:divBdr>
                <w:top w:val="none" w:sz="0" w:space="0" w:color="auto"/>
                <w:left w:val="none" w:sz="0" w:space="0" w:color="auto"/>
                <w:bottom w:val="none" w:sz="0" w:space="0" w:color="auto"/>
                <w:right w:val="none" w:sz="0" w:space="0" w:color="auto"/>
              </w:divBdr>
            </w:div>
          </w:divsChild>
        </w:div>
        <w:div w:id="804352014">
          <w:marLeft w:val="0"/>
          <w:marRight w:val="0"/>
          <w:marTop w:val="0"/>
          <w:marBottom w:val="0"/>
          <w:divBdr>
            <w:top w:val="none" w:sz="0" w:space="0" w:color="auto"/>
            <w:left w:val="none" w:sz="0" w:space="0" w:color="auto"/>
            <w:bottom w:val="none" w:sz="0" w:space="0" w:color="auto"/>
            <w:right w:val="none" w:sz="0" w:space="0" w:color="auto"/>
          </w:divBdr>
          <w:divsChild>
            <w:div w:id="723987447">
              <w:marLeft w:val="0"/>
              <w:marRight w:val="0"/>
              <w:marTop w:val="0"/>
              <w:marBottom w:val="0"/>
              <w:divBdr>
                <w:top w:val="none" w:sz="0" w:space="0" w:color="auto"/>
                <w:left w:val="none" w:sz="0" w:space="0" w:color="auto"/>
                <w:bottom w:val="none" w:sz="0" w:space="0" w:color="auto"/>
                <w:right w:val="none" w:sz="0" w:space="0" w:color="auto"/>
              </w:divBdr>
            </w:div>
          </w:divsChild>
        </w:div>
        <w:div w:id="806320296">
          <w:marLeft w:val="0"/>
          <w:marRight w:val="0"/>
          <w:marTop w:val="0"/>
          <w:marBottom w:val="0"/>
          <w:divBdr>
            <w:top w:val="none" w:sz="0" w:space="0" w:color="auto"/>
            <w:left w:val="none" w:sz="0" w:space="0" w:color="auto"/>
            <w:bottom w:val="none" w:sz="0" w:space="0" w:color="auto"/>
            <w:right w:val="none" w:sz="0" w:space="0" w:color="auto"/>
          </w:divBdr>
          <w:divsChild>
            <w:div w:id="313458759">
              <w:marLeft w:val="0"/>
              <w:marRight w:val="0"/>
              <w:marTop w:val="0"/>
              <w:marBottom w:val="0"/>
              <w:divBdr>
                <w:top w:val="none" w:sz="0" w:space="0" w:color="auto"/>
                <w:left w:val="none" w:sz="0" w:space="0" w:color="auto"/>
                <w:bottom w:val="none" w:sz="0" w:space="0" w:color="auto"/>
                <w:right w:val="none" w:sz="0" w:space="0" w:color="auto"/>
              </w:divBdr>
            </w:div>
          </w:divsChild>
        </w:div>
        <w:div w:id="989677813">
          <w:marLeft w:val="0"/>
          <w:marRight w:val="0"/>
          <w:marTop w:val="0"/>
          <w:marBottom w:val="0"/>
          <w:divBdr>
            <w:top w:val="none" w:sz="0" w:space="0" w:color="auto"/>
            <w:left w:val="none" w:sz="0" w:space="0" w:color="auto"/>
            <w:bottom w:val="none" w:sz="0" w:space="0" w:color="auto"/>
            <w:right w:val="none" w:sz="0" w:space="0" w:color="auto"/>
          </w:divBdr>
          <w:divsChild>
            <w:div w:id="1616473754">
              <w:marLeft w:val="0"/>
              <w:marRight w:val="0"/>
              <w:marTop w:val="0"/>
              <w:marBottom w:val="0"/>
              <w:divBdr>
                <w:top w:val="none" w:sz="0" w:space="0" w:color="auto"/>
                <w:left w:val="none" w:sz="0" w:space="0" w:color="auto"/>
                <w:bottom w:val="none" w:sz="0" w:space="0" w:color="auto"/>
                <w:right w:val="none" w:sz="0" w:space="0" w:color="auto"/>
              </w:divBdr>
            </w:div>
          </w:divsChild>
        </w:div>
        <w:div w:id="1012103291">
          <w:marLeft w:val="0"/>
          <w:marRight w:val="0"/>
          <w:marTop w:val="0"/>
          <w:marBottom w:val="0"/>
          <w:divBdr>
            <w:top w:val="none" w:sz="0" w:space="0" w:color="auto"/>
            <w:left w:val="none" w:sz="0" w:space="0" w:color="auto"/>
            <w:bottom w:val="none" w:sz="0" w:space="0" w:color="auto"/>
            <w:right w:val="none" w:sz="0" w:space="0" w:color="auto"/>
          </w:divBdr>
          <w:divsChild>
            <w:div w:id="1261066675">
              <w:marLeft w:val="0"/>
              <w:marRight w:val="0"/>
              <w:marTop w:val="0"/>
              <w:marBottom w:val="0"/>
              <w:divBdr>
                <w:top w:val="none" w:sz="0" w:space="0" w:color="auto"/>
                <w:left w:val="none" w:sz="0" w:space="0" w:color="auto"/>
                <w:bottom w:val="none" w:sz="0" w:space="0" w:color="auto"/>
                <w:right w:val="none" w:sz="0" w:space="0" w:color="auto"/>
              </w:divBdr>
            </w:div>
          </w:divsChild>
        </w:div>
        <w:div w:id="1016418878">
          <w:marLeft w:val="0"/>
          <w:marRight w:val="0"/>
          <w:marTop w:val="0"/>
          <w:marBottom w:val="0"/>
          <w:divBdr>
            <w:top w:val="none" w:sz="0" w:space="0" w:color="auto"/>
            <w:left w:val="none" w:sz="0" w:space="0" w:color="auto"/>
            <w:bottom w:val="none" w:sz="0" w:space="0" w:color="auto"/>
            <w:right w:val="none" w:sz="0" w:space="0" w:color="auto"/>
          </w:divBdr>
          <w:divsChild>
            <w:div w:id="62029464">
              <w:marLeft w:val="0"/>
              <w:marRight w:val="0"/>
              <w:marTop w:val="0"/>
              <w:marBottom w:val="0"/>
              <w:divBdr>
                <w:top w:val="none" w:sz="0" w:space="0" w:color="auto"/>
                <w:left w:val="none" w:sz="0" w:space="0" w:color="auto"/>
                <w:bottom w:val="none" w:sz="0" w:space="0" w:color="auto"/>
                <w:right w:val="none" w:sz="0" w:space="0" w:color="auto"/>
              </w:divBdr>
            </w:div>
          </w:divsChild>
        </w:div>
        <w:div w:id="1069155335">
          <w:marLeft w:val="0"/>
          <w:marRight w:val="0"/>
          <w:marTop w:val="0"/>
          <w:marBottom w:val="0"/>
          <w:divBdr>
            <w:top w:val="none" w:sz="0" w:space="0" w:color="auto"/>
            <w:left w:val="none" w:sz="0" w:space="0" w:color="auto"/>
            <w:bottom w:val="none" w:sz="0" w:space="0" w:color="auto"/>
            <w:right w:val="none" w:sz="0" w:space="0" w:color="auto"/>
          </w:divBdr>
          <w:divsChild>
            <w:div w:id="325013821">
              <w:marLeft w:val="0"/>
              <w:marRight w:val="0"/>
              <w:marTop w:val="0"/>
              <w:marBottom w:val="0"/>
              <w:divBdr>
                <w:top w:val="none" w:sz="0" w:space="0" w:color="auto"/>
                <w:left w:val="none" w:sz="0" w:space="0" w:color="auto"/>
                <w:bottom w:val="none" w:sz="0" w:space="0" w:color="auto"/>
                <w:right w:val="none" w:sz="0" w:space="0" w:color="auto"/>
              </w:divBdr>
            </w:div>
          </w:divsChild>
        </w:div>
        <w:div w:id="1085151088">
          <w:marLeft w:val="0"/>
          <w:marRight w:val="0"/>
          <w:marTop w:val="0"/>
          <w:marBottom w:val="0"/>
          <w:divBdr>
            <w:top w:val="none" w:sz="0" w:space="0" w:color="auto"/>
            <w:left w:val="none" w:sz="0" w:space="0" w:color="auto"/>
            <w:bottom w:val="none" w:sz="0" w:space="0" w:color="auto"/>
            <w:right w:val="none" w:sz="0" w:space="0" w:color="auto"/>
          </w:divBdr>
          <w:divsChild>
            <w:div w:id="67658874">
              <w:marLeft w:val="0"/>
              <w:marRight w:val="0"/>
              <w:marTop w:val="0"/>
              <w:marBottom w:val="0"/>
              <w:divBdr>
                <w:top w:val="none" w:sz="0" w:space="0" w:color="auto"/>
                <w:left w:val="none" w:sz="0" w:space="0" w:color="auto"/>
                <w:bottom w:val="none" w:sz="0" w:space="0" w:color="auto"/>
                <w:right w:val="none" w:sz="0" w:space="0" w:color="auto"/>
              </w:divBdr>
            </w:div>
          </w:divsChild>
        </w:div>
        <w:div w:id="1104808882">
          <w:marLeft w:val="0"/>
          <w:marRight w:val="0"/>
          <w:marTop w:val="0"/>
          <w:marBottom w:val="0"/>
          <w:divBdr>
            <w:top w:val="none" w:sz="0" w:space="0" w:color="auto"/>
            <w:left w:val="none" w:sz="0" w:space="0" w:color="auto"/>
            <w:bottom w:val="none" w:sz="0" w:space="0" w:color="auto"/>
            <w:right w:val="none" w:sz="0" w:space="0" w:color="auto"/>
          </w:divBdr>
          <w:divsChild>
            <w:div w:id="557323427">
              <w:marLeft w:val="0"/>
              <w:marRight w:val="0"/>
              <w:marTop w:val="0"/>
              <w:marBottom w:val="0"/>
              <w:divBdr>
                <w:top w:val="none" w:sz="0" w:space="0" w:color="auto"/>
                <w:left w:val="none" w:sz="0" w:space="0" w:color="auto"/>
                <w:bottom w:val="none" w:sz="0" w:space="0" w:color="auto"/>
                <w:right w:val="none" w:sz="0" w:space="0" w:color="auto"/>
              </w:divBdr>
            </w:div>
          </w:divsChild>
        </w:div>
        <w:div w:id="1105686920">
          <w:marLeft w:val="0"/>
          <w:marRight w:val="0"/>
          <w:marTop w:val="0"/>
          <w:marBottom w:val="0"/>
          <w:divBdr>
            <w:top w:val="none" w:sz="0" w:space="0" w:color="auto"/>
            <w:left w:val="none" w:sz="0" w:space="0" w:color="auto"/>
            <w:bottom w:val="none" w:sz="0" w:space="0" w:color="auto"/>
            <w:right w:val="none" w:sz="0" w:space="0" w:color="auto"/>
          </w:divBdr>
          <w:divsChild>
            <w:div w:id="948590553">
              <w:marLeft w:val="0"/>
              <w:marRight w:val="0"/>
              <w:marTop w:val="0"/>
              <w:marBottom w:val="0"/>
              <w:divBdr>
                <w:top w:val="none" w:sz="0" w:space="0" w:color="auto"/>
                <w:left w:val="none" w:sz="0" w:space="0" w:color="auto"/>
                <w:bottom w:val="none" w:sz="0" w:space="0" w:color="auto"/>
                <w:right w:val="none" w:sz="0" w:space="0" w:color="auto"/>
              </w:divBdr>
            </w:div>
          </w:divsChild>
        </w:div>
        <w:div w:id="1215458965">
          <w:marLeft w:val="0"/>
          <w:marRight w:val="0"/>
          <w:marTop w:val="0"/>
          <w:marBottom w:val="0"/>
          <w:divBdr>
            <w:top w:val="none" w:sz="0" w:space="0" w:color="auto"/>
            <w:left w:val="none" w:sz="0" w:space="0" w:color="auto"/>
            <w:bottom w:val="none" w:sz="0" w:space="0" w:color="auto"/>
            <w:right w:val="none" w:sz="0" w:space="0" w:color="auto"/>
          </w:divBdr>
          <w:divsChild>
            <w:div w:id="1499535167">
              <w:marLeft w:val="0"/>
              <w:marRight w:val="0"/>
              <w:marTop w:val="0"/>
              <w:marBottom w:val="0"/>
              <w:divBdr>
                <w:top w:val="none" w:sz="0" w:space="0" w:color="auto"/>
                <w:left w:val="none" w:sz="0" w:space="0" w:color="auto"/>
                <w:bottom w:val="none" w:sz="0" w:space="0" w:color="auto"/>
                <w:right w:val="none" w:sz="0" w:space="0" w:color="auto"/>
              </w:divBdr>
            </w:div>
          </w:divsChild>
        </w:div>
        <w:div w:id="1229726115">
          <w:marLeft w:val="0"/>
          <w:marRight w:val="0"/>
          <w:marTop w:val="0"/>
          <w:marBottom w:val="0"/>
          <w:divBdr>
            <w:top w:val="none" w:sz="0" w:space="0" w:color="auto"/>
            <w:left w:val="none" w:sz="0" w:space="0" w:color="auto"/>
            <w:bottom w:val="none" w:sz="0" w:space="0" w:color="auto"/>
            <w:right w:val="none" w:sz="0" w:space="0" w:color="auto"/>
          </w:divBdr>
          <w:divsChild>
            <w:div w:id="261761122">
              <w:marLeft w:val="0"/>
              <w:marRight w:val="0"/>
              <w:marTop w:val="0"/>
              <w:marBottom w:val="0"/>
              <w:divBdr>
                <w:top w:val="none" w:sz="0" w:space="0" w:color="auto"/>
                <w:left w:val="none" w:sz="0" w:space="0" w:color="auto"/>
                <w:bottom w:val="none" w:sz="0" w:space="0" w:color="auto"/>
                <w:right w:val="none" w:sz="0" w:space="0" w:color="auto"/>
              </w:divBdr>
            </w:div>
          </w:divsChild>
        </w:div>
        <w:div w:id="1429277363">
          <w:marLeft w:val="0"/>
          <w:marRight w:val="0"/>
          <w:marTop w:val="0"/>
          <w:marBottom w:val="0"/>
          <w:divBdr>
            <w:top w:val="none" w:sz="0" w:space="0" w:color="auto"/>
            <w:left w:val="none" w:sz="0" w:space="0" w:color="auto"/>
            <w:bottom w:val="none" w:sz="0" w:space="0" w:color="auto"/>
            <w:right w:val="none" w:sz="0" w:space="0" w:color="auto"/>
          </w:divBdr>
          <w:divsChild>
            <w:div w:id="2091392945">
              <w:marLeft w:val="0"/>
              <w:marRight w:val="0"/>
              <w:marTop w:val="0"/>
              <w:marBottom w:val="0"/>
              <w:divBdr>
                <w:top w:val="none" w:sz="0" w:space="0" w:color="auto"/>
                <w:left w:val="none" w:sz="0" w:space="0" w:color="auto"/>
                <w:bottom w:val="none" w:sz="0" w:space="0" w:color="auto"/>
                <w:right w:val="none" w:sz="0" w:space="0" w:color="auto"/>
              </w:divBdr>
            </w:div>
          </w:divsChild>
        </w:div>
        <w:div w:id="1436752066">
          <w:marLeft w:val="0"/>
          <w:marRight w:val="0"/>
          <w:marTop w:val="0"/>
          <w:marBottom w:val="0"/>
          <w:divBdr>
            <w:top w:val="none" w:sz="0" w:space="0" w:color="auto"/>
            <w:left w:val="none" w:sz="0" w:space="0" w:color="auto"/>
            <w:bottom w:val="none" w:sz="0" w:space="0" w:color="auto"/>
            <w:right w:val="none" w:sz="0" w:space="0" w:color="auto"/>
          </w:divBdr>
          <w:divsChild>
            <w:div w:id="906185599">
              <w:marLeft w:val="0"/>
              <w:marRight w:val="0"/>
              <w:marTop w:val="0"/>
              <w:marBottom w:val="0"/>
              <w:divBdr>
                <w:top w:val="none" w:sz="0" w:space="0" w:color="auto"/>
                <w:left w:val="none" w:sz="0" w:space="0" w:color="auto"/>
                <w:bottom w:val="none" w:sz="0" w:space="0" w:color="auto"/>
                <w:right w:val="none" w:sz="0" w:space="0" w:color="auto"/>
              </w:divBdr>
            </w:div>
          </w:divsChild>
        </w:div>
        <w:div w:id="1510486667">
          <w:marLeft w:val="0"/>
          <w:marRight w:val="0"/>
          <w:marTop w:val="0"/>
          <w:marBottom w:val="0"/>
          <w:divBdr>
            <w:top w:val="none" w:sz="0" w:space="0" w:color="auto"/>
            <w:left w:val="none" w:sz="0" w:space="0" w:color="auto"/>
            <w:bottom w:val="none" w:sz="0" w:space="0" w:color="auto"/>
            <w:right w:val="none" w:sz="0" w:space="0" w:color="auto"/>
          </w:divBdr>
          <w:divsChild>
            <w:div w:id="1981878392">
              <w:marLeft w:val="0"/>
              <w:marRight w:val="0"/>
              <w:marTop w:val="0"/>
              <w:marBottom w:val="0"/>
              <w:divBdr>
                <w:top w:val="none" w:sz="0" w:space="0" w:color="auto"/>
                <w:left w:val="none" w:sz="0" w:space="0" w:color="auto"/>
                <w:bottom w:val="none" w:sz="0" w:space="0" w:color="auto"/>
                <w:right w:val="none" w:sz="0" w:space="0" w:color="auto"/>
              </w:divBdr>
            </w:div>
          </w:divsChild>
        </w:div>
        <w:div w:id="1522892780">
          <w:marLeft w:val="0"/>
          <w:marRight w:val="0"/>
          <w:marTop w:val="0"/>
          <w:marBottom w:val="0"/>
          <w:divBdr>
            <w:top w:val="none" w:sz="0" w:space="0" w:color="auto"/>
            <w:left w:val="none" w:sz="0" w:space="0" w:color="auto"/>
            <w:bottom w:val="none" w:sz="0" w:space="0" w:color="auto"/>
            <w:right w:val="none" w:sz="0" w:space="0" w:color="auto"/>
          </w:divBdr>
          <w:divsChild>
            <w:div w:id="1083604179">
              <w:marLeft w:val="0"/>
              <w:marRight w:val="0"/>
              <w:marTop w:val="0"/>
              <w:marBottom w:val="0"/>
              <w:divBdr>
                <w:top w:val="none" w:sz="0" w:space="0" w:color="auto"/>
                <w:left w:val="none" w:sz="0" w:space="0" w:color="auto"/>
                <w:bottom w:val="none" w:sz="0" w:space="0" w:color="auto"/>
                <w:right w:val="none" w:sz="0" w:space="0" w:color="auto"/>
              </w:divBdr>
            </w:div>
          </w:divsChild>
        </w:div>
        <w:div w:id="1574243020">
          <w:marLeft w:val="0"/>
          <w:marRight w:val="0"/>
          <w:marTop w:val="0"/>
          <w:marBottom w:val="0"/>
          <w:divBdr>
            <w:top w:val="none" w:sz="0" w:space="0" w:color="auto"/>
            <w:left w:val="none" w:sz="0" w:space="0" w:color="auto"/>
            <w:bottom w:val="none" w:sz="0" w:space="0" w:color="auto"/>
            <w:right w:val="none" w:sz="0" w:space="0" w:color="auto"/>
          </w:divBdr>
          <w:divsChild>
            <w:div w:id="405885994">
              <w:marLeft w:val="0"/>
              <w:marRight w:val="0"/>
              <w:marTop w:val="0"/>
              <w:marBottom w:val="0"/>
              <w:divBdr>
                <w:top w:val="none" w:sz="0" w:space="0" w:color="auto"/>
                <w:left w:val="none" w:sz="0" w:space="0" w:color="auto"/>
                <w:bottom w:val="none" w:sz="0" w:space="0" w:color="auto"/>
                <w:right w:val="none" w:sz="0" w:space="0" w:color="auto"/>
              </w:divBdr>
            </w:div>
          </w:divsChild>
        </w:div>
        <w:div w:id="1673869566">
          <w:marLeft w:val="0"/>
          <w:marRight w:val="0"/>
          <w:marTop w:val="0"/>
          <w:marBottom w:val="0"/>
          <w:divBdr>
            <w:top w:val="none" w:sz="0" w:space="0" w:color="auto"/>
            <w:left w:val="none" w:sz="0" w:space="0" w:color="auto"/>
            <w:bottom w:val="none" w:sz="0" w:space="0" w:color="auto"/>
            <w:right w:val="none" w:sz="0" w:space="0" w:color="auto"/>
          </w:divBdr>
          <w:divsChild>
            <w:div w:id="1563785741">
              <w:marLeft w:val="0"/>
              <w:marRight w:val="0"/>
              <w:marTop w:val="0"/>
              <w:marBottom w:val="0"/>
              <w:divBdr>
                <w:top w:val="none" w:sz="0" w:space="0" w:color="auto"/>
                <w:left w:val="none" w:sz="0" w:space="0" w:color="auto"/>
                <w:bottom w:val="none" w:sz="0" w:space="0" w:color="auto"/>
                <w:right w:val="none" w:sz="0" w:space="0" w:color="auto"/>
              </w:divBdr>
            </w:div>
          </w:divsChild>
        </w:div>
        <w:div w:id="1721517691">
          <w:marLeft w:val="0"/>
          <w:marRight w:val="0"/>
          <w:marTop w:val="0"/>
          <w:marBottom w:val="0"/>
          <w:divBdr>
            <w:top w:val="none" w:sz="0" w:space="0" w:color="auto"/>
            <w:left w:val="none" w:sz="0" w:space="0" w:color="auto"/>
            <w:bottom w:val="none" w:sz="0" w:space="0" w:color="auto"/>
            <w:right w:val="none" w:sz="0" w:space="0" w:color="auto"/>
          </w:divBdr>
          <w:divsChild>
            <w:div w:id="1035035184">
              <w:marLeft w:val="0"/>
              <w:marRight w:val="0"/>
              <w:marTop w:val="0"/>
              <w:marBottom w:val="0"/>
              <w:divBdr>
                <w:top w:val="none" w:sz="0" w:space="0" w:color="auto"/>
                <w:left w:val="none" w:sz="0" w:space="0" w:color="auto"/>
                <w:bottom w:val="none" w:sz="0" w:space="0" w:color="auto"/>
                <w:right w:val="none" w:sz="0" w:space="0" w:color="auto"/>
              </w:divBdr>
            </w:div>
          </w:divsChild>
        </w:div>
        <w:div w:id="1795755720">
          <w:marLeft w:val="0"/>
          <w:marRight w:val="0"/>
          <w:marTop w:val="0"/>
          <w:marBottom w:val="0"/>
          <w:divBdr>
            <w:top w:val="none" w:sz="0" w:space="0" w:color="auto"/>
            <w:left w:val="none" w:sz="0" w:space="0" w:color="auto"/>
            <w:bottom w:val="none" w:sz="0" w:space="0" w:color="auto"/>
            <w:right w:val="none" w:sz="0" w:space="0" w:color="auto"/>
          </w:divBdr>
          <w:divsChild>
            <w:div w:id="653073449">
              <w:marLeft w:val="0"/>
              <w:marRight w:val="0"/>
              <w:marTop w:val="0"/>
              <w:marBottom w:val="0"/>
              <w:divBdr>
                <w:top w:val="none" w:sz="0" w:space="0" w:color="auto"/>
                <w:left w:val="none" w:sz="0" w:space="0" w:color="auto"/>
                <w:bottom w:val="none" w:sz="0" w:space="0" w:color="auto"/>
                <w:right w:val="none" w:sz="0" w:space="0" w:color="auto"/>
              </w:divBdr>
            </w:div>
          </w:divsChild>
        </w:div>
        <w:div w:id="1880970262">
          <w:marLeft w:val="0"/>
          <w:marRight w:val="0"/>
          <w:marTop w:val="0"/>
          <w:marBottom w:val="0"/>
          <w:divBdr>
            <w:top w:val="none" w:sz="0" w:space="0" w:color="auto"/>
            <w:left w:val="none" w:sz="0" w:space="0" w:color="auto"/>
            <w:bottom w:val="none" w:sz="0" w:space="0" w:color="auto"/>
            <w:right w:val="none" w:sz="0" w:space="0" w:color="auto"/>
          </w:divBdr>
          <w:divsChild>
            <w:div w:id="477384272">
              <w:marLeft w:val="0"/>
              <w:marRight w:val="0"/>
              <w:marTop w:val="0"/>
              <w:marBottom w:val="0"/>
              <w:divBdr>
                <w:top w:val="none" w:sz="0" w:space="0" w:color="auto"/>
                <w:left w:val="none" w:sz="0" w:space="0" w:color="auto"/>
                <w:bottom w:val="none" w:sz="0" w:space="0" w:color="auto"/>
                <w:right w:val="none" w:sz="0" w:space="0" w:color="auto"/>
              </w:divBdr>
            </w:div>
          </w:divsChild>
        </w:div>
        <w:div w:id="1890267007">
          <w:marLeft w:val="0"/>
          <w:marRight w:val="0"/>
          <w:marTop w:val="0"/>
          <w:marBottom w:val="0"/>
          <w:divBdr>
            <w:top w:val="none" w:sz="0" w:space="0" w:color="auto"/>
            <w:left w:val="none" w:sz="0" w:space="0" w:color="auto"/>
            <w:bottom w:val="none" w:sz="0" w:space="0" w:color="auto"/>
            <w:right w:val="none" w:sz="0" w:space="0" w:color="auto"/>
          </w:divBdr>
          <w:divsChild>
            <w:div w:id="2007780323">
              <w:marLeft w:val="0"/>
              <w:marRight w:val="0"/>
              <w:marTop w:val="0"/>
              <w:marBottom w:val="0"/>
              <w:divBdr>
                <w:top w:val="none" w:sz="0" w:space="0" w:color="auto"/>
                <w:left w:val="none" w:sz="0" w:space="0" w:color="auto"/>
                <w:bottom w:val="none" w:sz="0" w:space="0" w:color="auto"/>
                <w:right w:val="none" w:sz="0" w:space="0" w:color="auto"/>
              </w:divBdr>
            </w:div>
          </w:divsChild>
        </w:div>
        <w:div w:id="1898007343">
          <w:marLeft w:val="0"/>
          <w:marRight w:val="0"/>
          <w:marTop w:val="0"/>
          <w:marBottom w:val="0"/>
          <w:divBdr>
            <w:top w:val="none" w:sz="0" w:space="0" w:color="auto"/>
            <w:left w:val="none" w:sz="0" w:space="0" w:color="auto"/>
            <w:bottom w:val="none" w:sz="0" w:space="0" w:color="auto"/>
            <w:right w:val="none" w:sz="0" w:space="0" w:color="auto"/>
          </w:divBdr>
          <w:divsChild>
            <w:div w:id="805244965">
              <w:marLeft w:val="0"/>
              <w:marRight w:val="0"/>
              <w:marTop w:val="0"/>
              <w:marBottom w:val="0"/>
              <w:divBdr>
                <w:top w:val="none" w:sz="0" w:space="0" w:color="auto"/>
                <w:left w:val="none" w:sz="0" w:space="0" w:color="auto"/>
                <w:bottom w:val="none" w:sz="0" w:space="0" w:color="auto"/>
                <w:right w:val="none" w:sz="0" w:space="0" w:color="auto"/>
              </w:divBdr>
            </w:div>
          </w:divsChild>
        </w:div>
        <w:div w:id="2048218704">
          <w:marLeft w:val="0"/>
          <w:marRight w:val="0"/>
          <w:marTop w:val="0"/>
          <w:marBottom w:val="0"/>
          <w:divBdr>
            <w:top w:val="none" w:sz="0" w:space="0" w:color="auto"/>
            <w:left w:val="none" w:sz="0" w:space="0" w:color="auto"/>
            <w:bottom w:val="none" w:sz="0" w:space="0" w:color="auto"/>
            <w:right w:val="none" w:sz="0" w:space="0" w:color="auto"/>
          </w:divBdr>
          <w:divsChild>
            <w:div w:id="1606158239">
              <w:marLeft w:val="0"/>
              <w:marRight w:val="0"/>
              <w:marTop w:val="0"/>
              <w:marBottom w:val="0"/>
              <w:divBdr>
                <w:top w:val="none" w:sz="0" w:space="0" w:color="auto"/>
                <w:left w:val="none" w:sz="0" w:space="0" w:color="auto"/>
                <w:bottom w:val="none" w:sz="0" w:space="0" w:color="auto"/>
                <w:right w:val="none" w:sz="0" w:space="0" w:color="auto"/>
              </w:divBdr>
            </w:div>
          </w:divsChild>
        </w:div>
        <w:div w:id="2070032209">
          <w:marLeft w:val="0"/>
          <w:marRight w:val="0"/>
          <w:marTop w:val="0"/>
          <w:marBottom w:val="0"/>
          <w:divBdr>
            <w:top w:val="none" w:sz="0" w:space="0" w:color="auto"/>
            <w:left w:val="none" w:sz="0" w:space="0" w:color="auto"/>
            <w:bottom w:val="none" w:sz="0" w:space="0" w:color="auto"/>
            <w:right w:val="none" w:sz="0" w:space="0" w:color="auto"/>
          </w:divBdr>
          <w:divsChild>
            <w:div w:id="18483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9532">
      <w:bodyDiv w:val="1"/>
      <w:marLeft w:val="0"/>
      <w:marRight w:val="0"/>
      <w:marTop w:val="0"/>
      <w:marBottom w:val="0"/>
      <w:divBdr>
        <w:top w:val="none" w:sz="0" w:space="0" w:color="auto"/>
        <w:left w:val="none" w:sz="0" w:space="0" w:color="auto"/>
        <w:bottom w:val="none" w:sz="0" w:space="0" w:color="auto"/>
        <w:right w:val="none" w:sz="0" w:space="0" w:color="auto"/>
      </w:divBdr>
      <w:divsChild>
        <w:div w:id="1168523011">
          <w:marLeft w:val="0"/>
          <w:marRight w:val="0"/>
          <w:marTop w:val="0"/>
          <w:marBottom w:val="0"/>
          <w:divBdr>
            <w:top w:val="none" w:sz="0" w:space="0" w:color="auto"/>
            <w:left w:val="none" w:sz="0" w:space="0" w:color="auto"/>
            <w:bottom w:val="none" w:sz="0" w:space="0" w:color="auto"/>
            <w:right w:val="none" w:sz="0" w:space="0" w:color="auto"/>
          </w:divBdr>
          <w:divsChild>
            <w:div w:id="342127255">
              <w:marLeft w:val="0"/>
              <w:marRight w:val="0"/>
              <w:marTop w:val="30"/>
              <w:marBottom w:val="30"/>
              <w:divBdr>
                <w:top w:val="none" w:sz="0" w:space="0" w:color="auto"/>
                <w:left w:val="none" w:sz="0" w:space="0" w:color="auto"/>
                <w:bottom w:val="none" w:sz="0" w:space="0" w:color="auto"/>
                <w:right w:val="none" w:sz="0" w:space="0" w:color="auto"/>
              </w:divBdr>
              <w:divsChild>
                <w:div w:id="24404851">
                  <w:marLeft w:val="0"/>
                  <w:marRight w:val="0"/>
                  <w:marTop w:val="0"/>
                  <w:marBottom w:val="0"/>
                  <w:divBdr>
                    <w:top w:val="none" w:sz="0" w:space="0" w:color="auto"/>
                    <w:left w:val="none" w:sz="0" w:space="0" w:color="auto"/>
                    <w:bottom w:val="none" w:sz="0" w:space="0" w:color="auto"/>
                    <w:right w:val="none" w:sz="0" w:space="0" w:color="auto"/>
                  </w:divBdr>
                  <w:divsChild>
                    <w:div w:id="143862357">
                      <w:marLeft w:val="0"/>
                      <w:marRight w:val="0"/>
                      <w:marTop w:val="0"/>
                      <w:marBottom w:val="0"/>
                      <w:divBdr>
                        <w:top w:val="none" w:sz="0" w:space="0" w:color="auto"/>
                        <w:left w:val="none" w:sz="0" w:space="0" w:color="auto"/>
                        <w:bottom w:val="none" w:sz="0" w:space="0" w:color="auto"/>
                        <w:right w:val="none" w:sz="0" w:space="0" w:color="auto"/>
                      </w:divBdr>
                    </w:div>
                  </w:divsChild>
                </w:div>
                <w:div w:id="317224471">
                  <w:marLeft w:val="0"/>
                  <w:marRight w:val="0"/>
                  <w:marTop w:val="0"/>
                  <w:marBottom w:val="0"/>
                  <w:divBdr>
                    <w:top w:val="none" w:sz="0" w:space="0" w:color="auto"/>
                    <w:left w:val="none" w:sz="0" w:space="0" w:color="auto"/>
                    <w:bottom w:val="none" w:sz="0" w:space="0" w:color="auto"/>
                    <w:right w:val="none" w:sz="0" w:space="0" w:color="auto"/>
                  </w:divBdr>
                  <w:divsChild>
                    <w:div w:id="804739175">
                      <w:marLeft w:val="0"/>
                      <w:marRight w:val="0"/>
                      <w:marTop w:val="0"/>
                      <w:marBottom w:val="0"/>
                      <w:divBdr>
                        <w:top w:val="none" w:sz="0" w:space="0" w:color="auto"/>
                        <w:left w:val="none" w:sz="0" w:space="0" w:color="auto"/>
                        <w:bottom w:val="none" w:sz="0" w:space="0" w:color="auto"/>
                        <w:right w:val="none" w:sz="0" w:space="0" w:color="auto"/>
                      </w:divBdr>
                    </w:div>
                  </w:divsChild>
                </w:div>
                <w:div w:id="347028748">
                  <w:marLeft w:val="0"/>
                  <w:marRight w:val="0"/>
                  <w:marTop w:val="0"/>
                  <w:marBottom w:val="0"/>
                  <w:divBdr>
                    <w:top w:val="none" w:sz="0" w:space="0" w:color="auto"/>
                    <w:left w:val="none" w:sz="0" w:space="0" w:color="auto"/>
                    <w:bottom w:val="none" w:sz="0" w:space="0" w:color="auto"/>
                    <w:right w:val="none" w:sz="0" w:space="0" w:color="auto"/>
                  </w:divBdr>
                  <w:divsChild>
                    <w:div w:id="1472794172">
                      <w:marLeft w:val="0"/>
                      <w:marRight w:val="0"/>
                      <w:marTop w:val="0"/>
                      <w:marBottom w:val="0"/>
                      <w:divBdr>
                        <w:top w:val="none" w:sz="0" w:space="0" w:color="auto"/>
                        <w:left w:val="none" w:sz="0" w:space="0" w:color="auto"/>
                        <w:bottom w:val="none" w:sz="0" w:space="0" w:color="auto"/>
                        <w:right w:val="none" w:sz="0" w:space="0" w:color="auto"/>
                      </w:divBdr>
                    </w:div>
                  </w:divsChild>
                </w:div>
                <w:div w:id="357200380">
                  <w:marLeft w:val="0"/>
                  <w:marRight w:val="0"/>
                  <w:marTop w:val="0"/>
                  <w:marBottom w:val="0"/>
                  <w:divBdr>
                    <w:top w:val="none" w:sz="0" w:space="0" w:color="auto"/>
                    <w:left w:val="none" w:sz="0" w:space="0" w:color="auto"/>
                    <w:bottom w:val="none" w:sz="0" w:space="0" w:color="auto"/>
                    <w:right w:val="none" w:sz="0" w:space="0" w:color="auto"/>
                  </w:divBdr>
                  <w:divsChild>
                    <w:div w:id="1166021690">
                      <w:marLeft w:val="0"/>
                      <w:marRight w:val="0"/>
                      <w:marTop w:val="0"/>
                      <w:marBottom w:val="0"/>
                      <w:divBdr>
                        <w:top w:val="none" w:sz="0" w:space="0" w:color="auto"/>
                        <w:left w:val="none" w:sz="0" w:space="0" w:color="auto"/>
                        <w:bottom w:val="none" w:sz="0" w:space="0" w:color="auto"/>
                        <w:right w:val="none" w:sz="0" w:space="0" w:color="auto"/>
                      </w:divBdr>
                    </w:div>
                  </w:divsChild>
                </w:div>
                <w:div w:id="470831767">
                  <w:marLeft w:val="0"/>
                  <w:marRight w:val="0"/>
                  <w:marTop w:val="0"/>
                  <w:marBottom w:val="0"/>
                  <w:divBdr>
                    <w:top w:val="none" w:sz="0" w:space="0" w:color="auto"/>
                    <w:left w:val="none" w:sz="0" w:space="0" w:color="auto"/>
                    <w:bottom w:val="none" w:sz="0" w:space="0" w:color="auto"/>
                    <w:right w:val="none" w:sz="0" w:space="0" w:color="auto"/>
                  </w:divBdr>
                  <w:divsChild>
                    <w:div w:id="1045444969">
                      <w:marLeft w:val="0"/>
                      <w:marRight w:val="0"/>
                      <w:marTop w:val="0"/>
                      <w:marBottom w:val="0"/>
                      <w:divBdr>
                        <w:top w:val="none" w:sz="0" w:space="0" w:color="auto"/>
                        <w:left w:val="none" w:sz="0" w:space="0" w:color="auto"/>
                        <w:bottom w:val="none" w:sz="0" w:space="0" w:color="auto"/>
                        <w:right w:val="none" w:sz="0" w:space="0" w:color="auto"/>
                      </w:divBdr>
                    </w:div>
                  </w:divsChild>
                </w:div>
                <w:div w:id="608901809">
                  <w:marLeft w:val="0"/>
                  <w:marRight w:val="0"/>
                  <w:marTop w:val="0"/>
                  <w:marBottom w:val="0"/>
                  <w:divBdr>
                    <w:top w:val="none" w:sz="0" w:space="0" w:color="auto"/>
                    <w:left w:val="none" w:sz="0" w:space="0" w:color="auto"/>
                    <w:bottom w:val="none" w:sz="0" w:space="0" w:color="auto"/>
                    <w:right w:val="none" w:sz="0" w:space="0" w:color="auto"/>
                  </w:divBdr>
                  <w:divsChild>
                    <w:div w:id="187257025">
                      <w:marLeft w:val="0"/>
                      <w:marRight w:val="0"/>
                      <w:marTop w:val="0"/>
                      <w:marBottom w:val="0"/>
                      <w:divBdr>
                        <w:top w:val="none" w:sz="0" w:space="0" w:color="auto"/>
                        <w:left w:val="none" w:sz="0" w:space="0" w:color="auto"/>
                        <w:bottom w:val="none" w:sz="0" w:space="0" w:color="auto"/>
                        <w:right w:val="none" w:sz="0" w:space="0" w:color="auto"/>
                      </w:divBdr>
                    </w:div>
                  </w:divsChild>
                </w:div>
                <w:div w:id="750542056">
                  <w:marLeft w:val="0"/>
                  <w:marRight w:val="0"/>
                  <w:marTop w:val="0"/>
                  <w:marBottom w:val="0"/>
                  <w:divBdr>
                    <w:top w:val="none" w:sz="0" w:space="0" w:color="auto"/>
                    <w:left w:val="none" w:sz="0" w:space="0" w:color="auto"/>
                    <w:bottom w:val="none" w:sz="0" w:space="0" w:color="auto"/>
                    <w:right w:val="none" w:sz="0" w:space="0" w:color="auto"/>
                  </w:divBdr>
                  <w:divsChild>
                    <w:div w:id="617955434">
                      <w:marLeft w:val="0"/>
                      <w:marRight w:val="0"/>
                      <w:marTop w:val="0"/>
                      <w:marBottom w:val="0"/>
                      <w:divBdr>
                        <w:top w:val="none" w:sz="0" w:space="0" w:color="auto"/>
                        <w:left w:val="none" w:sz="0" w:space="0" w:color="auto"/>
                        <w:bottom w:val="none" w:sz="0" w:space="0" w:color="auto"/>
                        <w:right w:val="none" w:sz="0" w:space="0" w:color="auto"/>
                      </w:divBdr>
                    </w:div>
                  </w:divsChild>
                </w:div>
                <w:div w:id="753625740">
                  <w:marLeft w:val="0"/>
                  <w:marRight w:val="0"/>
                  <w:marTop w:val="0"/>
                  <w:marBottom w:val="0"/>
                  <w:divBdr>
                    <w:top w:val="none" w:sz="0" w:space="0" w:color="auto"/>
                    <w:left w:val="none" w:sz="0" w:space="0" w:color="auto"/>
                    <w:bottom w:val="none" w:sz="0" w:space="0" w:color="auto"/>
                    <w:right w:val="none" w:sz="0" w:space="0" w:color="auto"/>
                  </w:divBdr>
                  <w:divsChild>
                    <w:div w:id="1868904269">
                      <w:marLeft w:val="0"/>
                      <w:marRight w:val="0"/>
                      <w:marTop w:val="0"/>
                      <w:marBottom w:val="0"/>
                      <w:divBdr>
                        <w:top w:val="none" w:sz="0" w:space="0" w:color="auto"/>
                        <w:left w:val="none" w:sz="0" w:space="0" w:color="auto"/>
                        <w:bottom w:val="none" w:sz="0" w:space="0" w:color="auto"/>
                        <w:right w:val="none" w:sz="0" w:space="0" w:color="auto"/>
                      </w:divBdr>
                    </w:div>
                  </w:divsChild>
                </w:div>
                <w:div w:id="771359442">
                  <w:marLeft w:val="0"/>
                  <w:marRight w:val="0"/>
                  <w:marTop w:val="0"/>
                  <w:marBottom w:val="0"/>
                  <w:divBdr>
                    <w:top w:val="none" w:sz="0" w:space="0" w:color="auto"/>
                    <w:left w:val="none" w:sz="0" w:space="0" w:color="auto"/>
                    <w:bottom w:val="none" w:sz="0" w:space="0" w:color="auto"/>
                    <w:right w:val="none" w:sz="0" w:space="0" w:color="auto"/>
                  </w:divBdr>
                  <w:divsChild>
                    <w:div w:id="193884466">
                      <w:marLeft w:val="0"/>
                      <w:marRight w:val="0"/>
                      <w:marTop w:val="0"/>
                      <w:marBottom w:val="0"/>
                      <w:divBdr>
                        <w:top w:val="none" w:sz="0" w:space="0" w:color="auto"/>
                        <w:left w:val="none" w:sz="0" w:space="0" w:color="auto"/>
                        <w:bottom w:val="none" w:sz="0" w:space="0" w:color="auto"/>
                        <w:right w:val="none" w:sz="0" w:space="0" w:color="auto"/>
                      </w:divBdr>
                    </w:div>
                  </w:divsChild>
                </w:div>
                <w:div w:id="1099250312">
                  <w:marLeft w:val="0"/>
                  <w:marRight w:val="0"/>
                  <w:marTop w:val="0"/>
                  <w:marBottom w:val="0"/>
                  <w:divBdr>
                    <w:top w:val="none" w:sz="0" w:space="0" w:color="auto"/>
                    <w:left w:val="none" w:sz="0" w:space="0" w:color="auto"/>
                    <w:bottom w:val="none" w:sz="0" w:space="0" w:color="auto"/>
                    <w:right w:val="none" w:sz="0" w:space="0" w:color="auto"/>
                  </w:divBdr>
                  <w:divsChild>
                    <w:div w:id="376318767">
                      <w:marLeft w:val="0"/>
                      <w:marRight w:val="0"/>
                      <w:marTop w:val="0"/>
                      <w:marBottom w:val="0"/>
                      <w:divBdr>
                        <w:top w:val="none" w:sz="0" w:space="0" w:color="auto"/>
                        <w:left w:val="none" w:sz="0" w:space="0" w:color="auto"/>
                        <w:bottom w:val="none" w:sz="0" w:space="0" w:color="auto"/>
                        <w:right w:val="none" w:sz="0" w:space="0" w:color="auto"/>
                      </w:divBdr>
                    </w:div>
                  </w:divsChild>
                </w:div>
                <w:div w:id="1191144539">
                  <w:marLeft w:val="0"/>
                  <w:marRight w:val="0"/>
                  <w:marTop w:val="0"/>
                  <w:marBottom w:val="0"/>
                  <w:divBdr>
                    <w:top w:val="none" w:sz="0" w:space="0" w:color="auto"/>
                    <w:left w:val="none" w:sz="0" w:space="0" w:color="auto"/>
                    <w:bottom w:val="none" w:sz="0" w:space="0" w:color="auto"/>
                    <w:right w:val="none" w:sz="0" w:space="0" w:color="auto"/>
                  </w:divBdr>
                  <w:divsChild>
                    <w:div w:id="8800790">
                      <w:marLeft w:val="0"/>
                      <w:marRight w:val="0"/>
                      <w:marTop w:val="0"/>
                      <w:marBottom w:val="0"/>
                      <w:divBdr>
                        <w:top w:val="none" w:sz="0" w:space="0" w:color="auto"/>
                        <w:left w:val="none" w:sz="0" w:space="0" w:color="auto"/>
                        <w:bottom w:val="none" w:sz="0" w:space="0" w:color="auto"/>
                        <w:right w:val="none" w:sz="0" w:space="0" w:color="auto"/>
                      </w:divBdr>
                    </w:div>
                  </w:divsChild>
                </w:div>
                <w:div w:id="1609510072">
                  <w:marLeft w:val="0"/>
                  <w:marRight w:val="0"/>
                  <w:marTop w:val="0"/>
                  <w:marBottom w:val="0"/>
                  <w:divBdr>
                    <w:top w:val="none" w:sz="0" w:space="0" w:color="auto"/>
                    <w:left w:val="none" w:sz="0" w:space="0" w:color="auto"/>
                    <w:bottom w:val="none" w:sz="0" w:space="0" w:color="auto"/>
                    <w:right w:val="none" w:sz="0" w:space="0" w:color="auto"/>
                  </w:divBdr>
                  <w:divsChild>
                    <w:div w:id="3981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2370">
          <w:marLeft w:val="0"/>
          <w:marRight w:val="0"/>
          <w:marTop w:val="0"/>
          <w:marBottom w:val="0"/>
          <w:divBdr>
            <w:top w:val="none" w:sz="0" w:space="0" w:color="auto"/>
            <w:left w:val="none" w:sz="0" w:space="0" w:color="auto"/>
            <w:bottom w:val="none" w:sz="0" w:space="0" w:color="auto"/>
            <w:right w:val="none" w:sz="0" w:space="0" w:color="auto"/>
          </w:divBdr>
        </w:div>
      </w:divsChild>
    </w:div>
    <w:div w:id="116728764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78710">
      <w:bodyDiv w:val="1"/>
      <w:marLeft w:val="0"/>
      <w:marRight w:val="0"/>
      <w:marTop w:val="0"/>
      <w:marBottom w:val="0"/>
      <w:divBdr>
        <w:top w:val="none" w:sz="0" w:space="0" w:color="auto"/>
        <w:left w:val="none" w:sz="0" w:space="0" w:color="auto"/>
        <w:bottom w:val="none" w:sz="0" w:space="0" w:color="auto"/>
        <w:right w:val="none" w:sz="0" w:space="0" w:color="auto"/>
      </w:divBdr>
    </w:div>
    <w:div w:id="1256402378">
      <w:bodyDiv w:val="1"/>
      <w:marLeft w:val="0"/>
      <w:marRight w:val="0"/>
      <w:marTop w:val="0"/>
      <w:marBottom w:val="0"/>
      <w:divBdr>
        <w:top w:val="none" w:sz="0" w:space="0" w:color="auto"/>
        <w:left w:val="none" w:sz="0" w:space="0" w:color="auto"/>
        <w:bottom w:val="none" w:sz="0" w:space="0" w:color="auto"/>
        <w:right w:val="none" w:sz="0" w:space="0" w:color="auto"/>
      </w:divBdr>
    </w:div>
    <w:div w:id="1359502031">
      <w:bodyDiv w:val="1"/>
      <w:marLeft w:val="0"/>
      <w:marRight w:val="0"/>
      <w:marTop w:val="0"/>
      <w:marBottom w:val="0"/>
      <w:divBdr>
        <w:top w:val="none" w:sz="0" w:space="0" w:color="auto"/>
        <w:left w:val="none" w:sz="0" w:space="0" w:color="auto"/>
        <w:bottom w:val="none" w:sz="0" w:space="0" w:color="auto"/>
        <w:right w:val="none" w:sz="0" w:space="0" w:color="auto"/>
      </w:divBdr>
      <w:divsChild>
        <w:div w:id="1156187916">
          <w:marLeft w:val="0"/>
          <w:marRight w:val="0"/>
          <w:marTop w:val="0"/>
          <w:marBottom w:val="0"/>
          <w:divBdr>
            <w:top w:val="none" w:sz="0" w:space="0" w:color="auto"/>
            <w:left w:val="none" w:sz="0" w:space="0" w:color="auto"/>
            <w:bottom w:val="none" w:sz="0" w:space="0" w:color="auto"/>
            <w:right w:val="none" w:sz="0" w:space="0" w:color="auto"/>
          </w:divBdr>
        </w:div>
        <w:div w:id="1234193919">
          <w:marLeft w:val="0"/>
          <w:marRight w:val="0"/>
          <w:marTop w:val="0"/>
          <w:marBottom w:val="0"/>
          <w:divBdr>
            <w:top w:val="none" w:sz="0" w:space="0" w:color="auto"/>
            <w:left w:val="none" w:sz="0" w:space="0" w:color="auto"/>
            <w:bottom w:val="none" w:sz="0" w:space="0" w:color="auto"/>
            <w:right w:val="none" w:sz="0" w:space="0" w:color="auto"/>
          </w:divBdr>
        </w:div>
      </w:divsChild>
    </w:div>
    <w:div w:id="1411806257">
      <w:bodyDiv w:val="1"/>
      <w:marLeft w:val="0"/>
      <w:marRight w:val="0"/>
      <w:marTop w:val="0"/>
      <w:marBottom w:val="0"/>
      <w:divBdr>
        <w:top w:val="none" w:sz="0" w:space="0" w:color="auto"/>
        <w:left w:val="none" w:sz="0" w:space="0" w:color="auto"/>
        <w:bottom w:val="none" w:sz="0" w:space="0" w:color="auto"/>
        <w:right w:val="none" w:sz="0" w:space="0" w:color="auto"/>
      </w:divBdr>
    </w:div>
    <w:div w:id="1450736180">
      <w:bodyDiv w:val="1"/>
      <w:marLeft w:val="0"/>
      <w:marRight w:val="0"/>
      <w:marTop w:val="0"/>
      <w:marBottom w:val="0"/>
      <w:divBdr>
        <w:top w:val="none" w:sz="0" w:space="0" w:color="auto"/>
        <w:left w:val="none" w:sz="0" w:space="0" w:color="auto"/>
        <w:bottom w:val="none" w:sz="0" w:space="0" w:color="auto"/>
        <w:right w:val="none" w:sz="0" w:space="0" w:color="auto"/>
      </w:divBdr>
    </w:div>
    <w:div w:id="1457335191">
      <w:bodyDiv w:val="1"/>
      <w:marLeft w:val="0"/>
      <w:marRight w:val="0"/>
      <w:marTop w:val="0"/>
      <w:marBottom w:val="0"/>
      <w:divBdr>
        <w:top w:val="none" w:sz="0" w:space="0" w:color="auto"/>
        <w:left w:val="none" w:sz="0" w:space="0" w:color="auto"/>
        <w:bottom w:val="none" w:sz="0" w:space="0" w:color="auto"/>
        <w:right w:val="none" w:sz="0" w:space="0" w:color="auto"/>
      </w:divBdr>
    </w:div>
    <w:div w:id="1590964792">
      <w:bodyDiv w:val="1"/>
      <w:marLeft w:val="0"/>
      <w:marRight w:val="0"/>
      <w:marTop w:val="0"/>
      <w:marBottom w:val="0"/>
      <w:divBdr>
        <w:top w:val="none" w:sz="0" w:space="0" w:color="auto"/>
        <w:left w:val="none" w:sz="0" w:space="0" w:color="auto"/>
        <w:bottom w:val="none" w:sz="0" w:space="0" w:color="auto"/>
        <w:right w:val="none" w:sz="0" w:space="0" w:color="auto"/>
      </w:divBdr>
    </w:div>
    <w:div w:id="1612204112">
      <w:bodyDiv w:val="1"/>
      <w:marLeft w:val="0"/>
      <w:marRight w:val="0"/>
      <w:marTop w:val="0"/>
      <w:marBottom w:val="0"/>
      <w:divBdr>
        <w:top w:val="none" w:sz="0" w:space="0" w:color="auto"/>
        <w:left w:val="none" w:sz="0" w:space="0" w:color="auto"/>
        <w:bottom w:val="none" w:sz="0" w:space="0" w:color="auto"/>
        <w:right w:val="none" w:sz="0" w:space="0" w:color="auto"/>
      </w:divBdr>
      <w:divsChild>
        <w:div w:id="428623719">
          <w:marLeft w:val="0"/>
          <w:marRight w:val="0"/>
          <w:marTop w:val="0"/>
          <w:marBottom w:val="0"/>
          <w:divBdr>
            <w:top w:val="none" w:sz="0" w:space="0" w:color="auto"/>
            <w:left w:val="none" w:sz="0" w:space="0" w:color="auto"/>
            <w:bottom w:val="none" w:sz="0" w:space="0" w:color="auto"/>
            <w:right w:val="none" w:sz="0" w:space="0" w:color="auto"/>
          </w:divBdr>
          <w:divsChild>
            <w:div w:id="825584741">
              <w:marLeft w:val="-75"/>
              <w:marRight w:val="0"/>
              <w:marTop w:val="30"/>
              <w:marBottom w:val="30"/>
              <w:divBdr>
                <w:top w:val="none" w:sz="0" w:space="0" w:color="auto"/>
                <w:left w:val="none" w:sz="0" w:space="0" w:color="auto"/>
                <w:bottom w:val="none" w:sz="0" w:space="0" w:color="auto"/>
                <w:right w:val="none" w:sz="0" w:space="0" w:color="auto"/>
              </w:divBdr>
              <w:divsChild>
                <w:div w:id="6103559">
                  <w:marLeft w:val="0"/>
                  <w:marRight w:val="0"/>
                  <w:marTop w:val="0"/>
                  <w:marBottom w:val="0"/>
                  <w:divBdr>
                    <w:top w:val="none" w:sz="0" w:space="0" w:color="auto"/>
                    <w:left w:val="none" w:sz="0" w:space="0" w:color="auto"/>
                    <w:bottom w:val="none" w:sz="0" w:space="0" w:color="auto"/>
                    <w:right w:val="none" w:sz="0" w:space="0" w:color="auto"/>
                  </w:divBdr>
                  <w:divsChild>
                    <w:div w:id="1919829280">
                      <w:marLeft w:val="0"/>
                      <w:marRight w:val="0"/>
                      <w:marTop w:val="0"/>
                      <w:marBottom w:val="0"/>
                      <w:divBdr>
                        <w:top w:val="none" w:sz="0" w:space="0" w:color="auto"/>
                        <w:left w:val="none" w:sz="0" w:space="0" w:color="auto"/>
                        <w:bottom w:val="none" w:sz="0" w:space="0" w:color="auto"/>
                        <w:right w:val="none" w:sz="0" w:space="0" w:color="auto"/>
                      </w:divBdr>
                    </w:div>
                  </w:divsChild>
                </w:div>
                <w:div w:id="18090214">
                  <w:marLeft w:val="0"/>
                  <w:marRight w:val="0"/>
                  <w:marTop w:val="0"/>
                  <w:marBottom w:val="0"/>
                  <w:divBdr>
                    <w:top w:val="none" w:sz="0" w:space="0" w:color="auto"/>
                    <w:left w:val="none" w:sz="0" w:space="0" w:color="auto"/>
                    <w:bottom w:val="none" w:sz="0" w:space="0" w:color="auto"/>
                    <w:right w:val="none" w:sz="0" w:space="0" w:color="auto"/>
                  </w:divBdr>
                  <w:divsChild>
                    <w:div w:id="950815763">
                      <w:marLeft w:val="0"/>
                      <w:marRight w:val="0"/>
                      <w:marTop w:val="0"/>
                      <w:marBottom w:val="0"/>
                      <w:divBdr>
                        <w:top w:val="none" w:sz="0" w:space="0" w:color="auto"/>
                        <w:left w:val="none" w:sz="0" w:space="0" w:color="auto"/>
                        <w:bottom w:val="none" w:sz="0" w:space="0" w:color="auto"/>
                        <w:right w:val="none" w:sz="0" w:space="0" w:color="auto"/>
                      </w:divBdr>
                    </w:div>
                  </w:divsChild>
                </w:div>
                <w:div w:id="64034601">
                  <w:marLeft w:val="0"/>
                  <w:marRight w:val="0"/>
                  <w:marTop w:val="0"/>
                  <w:marBottom w:val="0"/>
                  <w:divBdr>
                    <w:top w:val="none" w:sz="0" w:space="0" w:color="auto"/>
                    <w:left w:val="none" w:sz="0" w:space="0" w:color="auto"/>
                    <w:bottom w:val="none" w:sz="0" w:space="0" w:color="auto"/>
                    <w:right w:val="none" w:sz="0" w:space="0" w:color="auto"/>
                  </w:divBdr>
                  <w:divsChild>
                    <w:div w:id="782653733">
                      <w:marLeft w:val="0"/>
                      <w:marRight w:val="0"/>
                      <w:marTop w:val="0"/>
                      <w:marBottom w:val="0"/>
                      <w:divBdr>
                        <w:top w:val="none" w:sz="0" w:space="0" w:color="auto"/>
                        <w:left w:val="none" w:sz="0" w:space="0" w:color="auto"/>
                        <w:bottom w:val="none" w:sz="0" w:space="0" w:color="auto"/>
                        <w:right w:val="none" w:sz="0" w:space="0" w:color="auto"/>
                      </w:divBdr>
                    </w:div>
                  </w:divsChild>
                </w:div>
                <w:div w:id="69692147">
                  <w:marLeft w:val="0"/>
                  <w:marRight w:val="0"/>
                  <w:marTop w:val="0"/>
                  <w:marBottom w:val="0"/>
                  <w:divBdr>
                    <w:top w:val="none" w:sz="0" w:space="0" w:color="auto"/>
                    <w:left w:val="none" w:sz="0" w:space="0" w:color="auto"/>
                    <w:bottom w:val="none" w:sz="0" w:space="0" w:color="auto"/>
                    <w:right w:val="none" w:sz="0" w:space="0" w:color="auto"/>
                  </w:divBdr>
                  <w:divsChild>
                    <w:div w:id="141508716">
                      <w:marLeft w:val="0"/>
                      <w:marRight w:val="0"/>
                      <w:marTop w:val="0"/>
                      <w:marBottom w:val="0"/>
                      <w:divBdr>
                        <w:top w:val="none" w:sz="0" w:space="0" w:color="auto"/>
                        <w:left w:val="none" w:sz="0" w:space="0" w:color="auto"/>
                        <w:bottom w:val="none" w:sz="0" w:space="0" w:color="auto"/>
                        <w:right w:val="none" w:sz="0" w:space="0" w:color="auto"/>
                      </w:divBdr>
                    </w:div>
                  </w:divsChild>
                </w:div>
                <w:div w:id="100492299">
                  <w:marLeft w:val="0"/>
                  <w:marRight w:val="0"/>
                  <w:marTop w:val="0"/>
                  <w:marBottom w:val="0"/>
                  <w:divBdr>
                    <w:top w:val="none" w:sz="0" w:space="0" w:color="auto"/>
                    <w:left w:val="none" w:sz="0" w:space="0" w:color="auto"/>
                    <w:bottom w:val="none" w:sz="0" w:space="0" w:color="auto"/>
                    <w:right w:val="none" w:sz="0" w:space="0" w:color="auto"/>
                  </w:divBdr>
                  <w:divsChild>
                    <w:div w:id="2117871035">
                      <w:marLeft w:val="0"/>
                      <w:marRight w:val="0"/>
                      <w:marTop w:val="0"/>
                      <w:marBottom w:val="0"/>
                      <w:divBdr>
                        <w:top w:val="none" w:sz="0" w:space="0" w:color="auto"/>
                        <w:left w:val="none" w:sz="0" w:space="0" w:color="auto"/>
                        <w:bottom w:val="none" w:sz="0" w:space="0" w:color="auto"/>
                        <w:right w:val="none" w:sz="0" w:space="0" w:color="auto"/>
                      </w:divBdr>
                    </w:div>
                  </w:divsChild>
                </w:div>
                <w:div w:id="126435321">
                  <w:marLeft w:val="0"/>
                  <w:marRight w:val="0"/>
                  <w:marTop w:val="0"/>
                  <w:marBottom w:val="0"/>
                  <w:divBdr>
                    <w:top w:val="none" w:sz="0" w:space="0" w:color="auto"/>
                    <w:left w:val="none" w:sz="0" w:space="0" w:color="auto"/>
                    <w:bottom w:val="none" w:sz="0" w:space="0" w:color="auto"/>
                    <w:right w:val="none" w:sz="0" w:space="0" w:color="auto"/>
                  </w:divBdr>
                  <w:divsChild>
                    <w:div w:id="431365963">
                      <w:marLeft w:val="0"/>
                      <w:marRight w:val="0"/>
                      <w:marTop w:val="0"/>
                      <w:marBottom w:val="0"/>
                      <w:divBdr>
                        <w:top w:val="none" w:sz="0" w:space="0" w:color="auto"/>
                        <w:left w:val="none" w:sz="0" w:space="0" w:color="auto"/>
                        <w:bottom w:val="none" w:sz="0" w:space="0" w:color="auto"/>
                        <w:right w:val="none" w:sz="0" w:space="0" w:color="auto"/>
                      </w:divBdr>
                    </w:div>
                  </w:divsChild>
                </w:div>
                <w:div w:id="157961033">
                  <w:marLeft w:val="0"/>
                  <w:marRight w:val="0"/>
                  <w:marTop w:val="0"/>
                  <w:marBottom w:val="0"/>
                  <w:divBdr>
                    <w:top w:val="none" w:sz="0" w:space="0" w:color="auto"/>
                    <w:left w:val="none" w:sz="0" w:space="0" w:color="auto"/>
                    <w:bottom w:val="none" w:sz="0" w:space="0" w:color="auto"/>
                    <w:right w:val="none" w:sz="0" w:space="0" w:color="auto"/>
                  </w:divBdr>
                  <w:divsChild>
                    <w:div w:id="1653412649">
                      <w:marLeft w:val="0"/>
                      <w:marRight w:val="0"/>
                      <w:marTop w:val="0"/>
                      <w:marBottom w:val="0"/>
                      <w:divBdr>
                        <w:top w:val="none" w:sz="0" w:space="0" w:color="auto"/>
                        <w:left w:val="none" w:sz="0" w:space="0" w:color="auto"/>
                        <w:bottom w:val="none" w:sz="0" w:space="0" w:color="auto"/>
                        <w:right w:val="none" w:sz="0" w:space="0" w:color="auto"/>
                      </w:divBdr>
                    </w:div>
                  </w:divsChild>
                </w:div>
                <w:div w:id="219949368">
                  <w:marLeft w:val="0"/>
                  <w:marRight w:val="0"/>
                  <w:marTop w:val="0"/>
                  <w:marBottom w:val="0"/>
                  <w:divBdr>
                    <w:top w:val="none" w:sz="0" w:space="0" w:color="auto"/>
                    <w:left w:val="none" w:sz="0" w:space="0" w:color="auto"/>
                    <w:bottom w:val="none" w:sz="0" w:space="0" w:color="auto"/>
                    <w:right w:val="none" w:sz="0" w:space="0" w:color="auto"/>
                  </w:divBdr>
                  <w:divsChild>
                    <w:div w:id="1675914605">
                      <w:marLeft w:val="0"/>
                      <w:marRight w:val="0"/>
                      <w:marTop w:val="0"/>
                      <w:marBottom w:val="0"/>
                      <w:divBdr>
                        <w:top w:val="none" w:sz="0" w:space="0" w:color="auto"/>
                        <w:left w:val="none" w:sz="0" w:space="0" w:color="auto"/>
                        <w:bottom w:val="none" w:sz="0" w:space="0" w:color="auto"/>
                        <w:right w:val="none" w:sz="0" w:space="0" w:color="auto"/>
                      </w:divBdr>
                    </w:div>
                  </w:divsChild>
                </w:div>
                <w:div w:id="283267972">
                  <w:marLeft w:val="0"/>
                  <w:marRight w:val="0"/>
                  <w:marTop w:val="0"/>
                  <w:marBottom w:val="0"/>
                  <w:divBdr>
                    <w:top w:val="none" w:sz="0" w:space="0" w:color="auto"/>
                    <w:left w:val="none" w:sz="0" w:space="0" w:color="auto"/>
                    <w:bottom w:val="none" w:sz="0" w:space="0" w:color="auto"/>
                    <w:right w:val="none" w:sz="0" w:space="0" w:color="auto"/>
                  </w:divBdr>
                  <w:divsChild>
                    <w:div w:id="1984390101">
                      <w:marLeft w:val="0"/>
                      <w:marRight w:val="0"/>
                      <w:marTop w:val="0"/>
                      <w:marBottom w:val="0"/>
                      <w:divBdr>
                        <w:top w:val="none" w:sz="0" w:space="0" w:color="auto"/>
                        <w:left w:val="none" w:sz="0" w:space="0" w:color="auto"/>
                        <w:bottom w:val="none" w:sz="0" w:space="0" w:color="auto"/>
                        <w:right w:val="none" w:sz="0" w:space="0" w:color="auto"/>
                      </w:divBdr>
                    </w:div>
                  </w:divsChild>
                </w:div>
                <w:div w:id="283344794">
                  <w:marLeft w:val="0"/>
                  <w:marRight w:val="0"/>
                  <w:marTop w:val="0"/>
                  <w:marBottom w:val="0"/>
                  <w:divBdr>
                    <w:top w:val="none" w:sz="0" w:space="0" w:color="auto"/>
                    <w:left w:val="none" w:sz="0" w:space="0" w:color="auto"/>
                    <w:bottom w:val="none" w:sz="0" w:space="0" w:color="auto"/>
                    <w:right w:val="none" w:sz="0" w:space="0" w:color="auto"/>
                  </w:divBdr>
                  <w:divsChild>
                    <w:div w:id="1287931959">
                      <w:marLeft w:val="0"/>
                      <w:marRight w:val="0"/>
                      <w:marTop w:val="0"/>
                      <w:marBottom w:val="0"/>
                      <w:divBdr>
                        <w:top w:val="none" w:sz="0" w:space="0" w:color="auto"/>
                        <w:left w:val="none" w:sz="0" w:space="0" w:color="auto"/>
                        <w:bottom w:val="none" w:sz="0" w:space="0" w:color="auto"/>
                        <w:right w:val="none" w:sz="0" w:space="0" w:color="auto"/>
                      </w:divBdr>
                    </w:div>
                  </w:divsChild>
                </w:div>
                <w:div w:id="320699559">
                  <w:marLeft w:val="0"/>
                  <w:marRight w:val="0"/>
                  <w:marTop w:val="0"/>
                  <w:marBottom w:val="0"/>
                  <w:divBdr>
                    <w:top w:val="none" w:sz="0" w:space="0" w:color="auto"/>
                    <w:left w:val="none" w:sz="0" w:space="0" w:color="auto"/>
                    <w:bottom w:val="none" w:sz="0" w:space="0" w:color="auto"/>
                    <w:right w:val="none" w:sz="0" w:space="0" w:color="auto"/>
                  </w:divBdr>
                  <w:divsChild>
                    <w:div w:id="127162578">
                      <w:marLeft w:val="0"/>
                      <w:marRight w:val="0"/>
                      <w:marTop w:val="0"/>
                      <w:marBottom w:val="0"/>
                      <w:divBdr>
                        <w:top w:val="none" w:sz="0" w:space="0" w:color="auto"/>
                        <w:left w:val="none" w:sz="0" w:space="0" w:color="auto"/>
                        <w:bottom w:val="none" w:sz="0" w:space="0" w:color="auto"/>
                        <w:right w:val="none" w:sz="0" w:space="0" w:color="auto"/>
                      </w:divBdr>
                    </w:div>
                  </w:divsChild>
                </w:div>
                <w:div w:id="323627069">
                  <w:marLeft w:val="0"/>
                  <w:marRight w:val="0"/>
                  <w:marTop w:val="0"/>
                  <w:marBottom w:val="0"/>
                  <w:divBdr>
                    <w:top w:val="none" w:sz="0" w:space="0" w:color="auto"/>
                    <w:left w:val="none" w:sz="0" w:space="0" w:color="auto"/>
                    <w:bottom w:val="none" w:sz="0" w:space="0" w:color="auto"/>
                    <w:right w:val="none" w:sz="0" w:space="0" w:color="auto"/>
                  </w:divBdr>
                  <w:divsChild>
                    <w:div w:id="129174849">
                      <w:marLeft w:val="0"/>
                      <w:marRight w:val="0"/>
                      <w:marTop w:val="0"/>
                      <w:marBottom w:val="0"/>
                      <w:divBdr>
                        <w:top w:val="none" w:sz="0" w:space="0" w:color="auto"/>
                        <w:left w:val="none" w:sz="0" w:space="0" w:color="auto"/>
                        <w:bottom w:val="none" w:sz="0" w:space="0" w:color="auto"/>
                        <w:right w:val="none" w:sz="0" w:space="0" w:color="auto"/>
                      </w:divBdr>
                    </w:div>
                  </w:divsChild>
                </w:div>
                <w:div w:id="350617900">
                  <w:marLeft w:val="0"/>
                  <w:marRight w:val="0"/>
                  <w:marTop w:val="0"/>
                  <w:marBottom w:val="0"/>
                  <w:divBdr>
                    <w:top w:val="none" w:sz="0" w:space="0" w:color="auto"/>
                    <w:left w:val="none" w:sz="0" w:space="0" w:color="auto"/>
                    <w:bottom w:val="none" w:sz="0" w:space="0" w:color="auto"/>
                    <w:right w:val="none" w:sz="0" w:space="0" w:color="auto"/>
                  </w:divBdr>
                  <w:divsChild>
                    <w:div w:id="145167342">
                      <w:marLeft w:val="0"/>
                      <w:marRight w:val="0"/>
                      <w:marTop w:val="0"/>
                      <w:marBottom w:val="0"/>
                      <w:divBdr>
                        <w:top w:val="none" w:sz="0" w:space="0" w:color="auto"/>
                        <w:left w:val="none" w:sz="0" w:space="0" w:color="auto"/>
                        <w:bottom w:val="none" w:sz="0" w:space="0" w:color="auto"/>
                        <w:right w:val="none" w:sz="0" w:space="0" w:color="auto"/>
                      </w:divBdr>
                    </w:div>
                    <w:div w:id="812210153">
                      <w:marLeft w:val="0"/>
                      <w:marRight w:val="0"/>
                      <w:marTop w:val="0"/>
                      <w:marBottom w:val="0"/>
                      <w:divBdr>
                        <w:top w:val="none" w:sz="0" w:space="0" w:color="auto"/>
                        <w:left w:val="none" w:sz="0" w:space="0" w:color="auto"/>
                        <w:bottom w:val="none" w:sz="0" w:space="0" w:color="auto"/>
                        <w:right w:val="none" w:sz="0" w:space="0" w:color="auto"/>
                      </w:divBdr>
                    </w:div>
                  </w:divsChild>
                </w:div>
                <w:div w:id="375354653">
                  <w:marLeft w:val="0"/>
                  <w:marRight w:val="0"/>
                  <w:marTop w:val="0"/>
                  <w:marBottom w:val="0"/>
                  <w:divBdr>
                    <w:top w:val="none" w:sz="0" w:space="0" w:color="auto"/>
                    <w:left w:val="none" w:sz="0" w:space="0" w:color="auto"/>
                    <w:bottom w:val="none" w:sz="0" w:space="0" w:color="auto"/>
                    <w:right w:val="none" w:sz="0" w:space="0" w:color="auto"/>
                  </w:divBdr>
                  <w:divsChild>
                    <w:div w:id="1415201113">
                      <w:marLeft w:val="0"/>
                      <w:marRight w:val="0"/>
                      <w:marTop w:val="0"/>
                      <w:marBottom w:val="0"/>
                      <w:divBdr>
                        <w:top w:val="none" w:sz="0" w:space="0" w:color="auto"/>
                        <w:left w:val="none" w:sz="0" w:space="0" w:color="auto"/>
                        <w:bottom w:val="none" w:sz="0" w:space="0" w:color="auto"/>
                        <w:right w:val="none" w:sz="0" w:space="0" w:color="auto"/>
                      </w:divBdr>
                    </w:div>
                  </w:divsChild>
                </w:div>
                <w:div w:id="433135063">
                  <w:marLeft w:val="0"/>
                  <w:marRight w:val="0"/>
                  <w:marTop w:val="0"/>
                  <w:marBottom w:val="0"/>
                  <w:divBdr>
                    <w:top w:val="none" w:sz="0" w:space="0" w:color="auto"/>
                    <w:left w:val="none" w:sz="0" w:space="0" w:color="auto"/>
                    <w:bottom w:val="none" w:sz="0" w:space="0" w:color="auto"/>
                    <w:right w:val="none" w:sz="0" w:space="0" w:color="auto"/>
                  </w:divBdr>
                  <w:divsChild>
                    <w:div w:id="1408577630">
                      <w:marLeft w:val="0"/>
                      <w:marRight w:val="0"/>
                      <w:marTop w:val="0"/>
                      <w:marBottom w:val="0"/>
                      <w:divBdr>
                        <w:top w:val="none" w:sz="0" w:space="0" w:color="auto"/>
                        <w:left w:val="none" w:sz="0" w:space="0" w:color="auto"/>
                        <w:bottom w:val="none" w:sz="0" w:space="0" w:color="auto"/>
                        <w:right w:val="none" w:sz="0" w:space="0" w:color="auto"/>
                      </w:divBdr>
                    </w:div>
                  </w:divsChild>
                </w:div>
                <w:div w:id="438530286">
                  <w:marLeft w:val="0"/>
                  <w:marRight w:val="0"/>
                  <w:marTop w:val="0"/>
                  <w:marBottom w:val="0"/>
                  <w:divBdr>
                    <w:top w:val="none" w:sz="0" w:space="0" w:color="auto"/>
                    <w:left w:val="none" w:sz="0" w:space="0" w:color="auto"/>
                    <w:bottom w:val="none" w:sz="0" w:space="0" w:color="auto"/>
                    <w:right w:val="none" w:sz="0" w:space="0" w:color="auto"/>
                  </w:divBdr>
                  <w:divsChild>
                    <w:div w:id="1650088183">
                      <w:marLeft w:val="0"/>
                      <w:marRight w:val="0"/>
                      <w:marTop w:val="0"/>
                      <w:marBottom w:val="0"/>
                      <w:divBdr>
                        <w:top w:val="none" w:sz="0" w:space="0" w:color="auto"/>
                        <w:left w:val="none" w:sz="0" w:space="0" w:color="auto"/>
                        <w:bottom w:val="none" w:sz="0" w:space="0" w:color="auto"/>
                        <w:right w:val="none" w:sz="0" w:space="0" w:color="auto"/>
                      </w:divBdr>
                    </w:div>
                  </w:divsChild>
                </w:div>
                <w:div w:id="438841350">
                  <w:marLeft w:val="0"/>
                  <w:marRight w:val="0"/>
                  <w:marTop w:val="0"/>
                  <w:marBottom w:val="0"/>
                  <w:divBdr>
                    <w:top w:val="none" w:sz="0" w:space="0" w:color="auto"/>
                    <w:left w:val="none" w:sz="0" w:space="0" w:color="auto"/>
                    <w:bottom w:val="none" w:sz="0" w:space="0" w:color="auto"/>
                    <w:right w:val="none" w:sz="0" w:space="0" w:color="auto"/>
                  </w:divBdr>
                  <w:divsChild>
                    <w:div w:id="580215682">
                      <w:marLeft w:val="0"/>
                      <w:marRight w:val="0"/>
                      <w:marTop w:val="0"/>
                      <w:marBottom w:val="0"/>
                      <w:divBdr>
                        <w:top w:val="none" w:sz="0" w:space="0" w:color="auto"/>
                        <w:left w:val="none" w:sz="0" w:space="0" w:color="auto"/>
                        <w:bottom w:val="none" w:sz="0" w:space="0" w:color="auto"/>
                        <w:right w:val="none" w:sz="0" w:space="0" w:color="auto"/>
                      </w:divBdr>
                    </w:div>
                  </w:divsChild>
                </w:div>
                <w:div w:id="451094544">
                  <w:marLeft w:val="0"/>
                  <w:marRight w:val="0"/>
                  <w:marTop w:val="0"/>
                  <w:marBottom w:val="0"/>
                  <w:divBdr>
                    <w:top w:val="none" w:sz="0" w:space="0" w:color="auto"/>
                    <w:left w:val="none" w:sz="0" w:space="0" w:color="auto"/>
                    <w:bottom w:val="none" w:sz="0" w:space="0" w:color="auto"/>
                    <w:right w:val="none" w:sz="0" w:space="0" w:color="auto"/>
                  </w:divBdr>
                  <w:divsChild>
                    <w:div w:id="783966065">
                      <w:marLeft w:val="0"/>
                      <w:marRight w:val="0"/>
                      <w:marTop w:val="0"/>
                      <w:marBottom w:val="0"/>
                      <w:divBdr>
                        <w:top w:val="none" w:sz="0" w:space="0" w:color="auto"/>
                        <w:left w:val="none" w:sz="0" w:space="0" w:color="auto"/>
                        <w:bottom w:val="none" w:sz="0" w:space="0" w:color="auto"/>
                        <w:right w:val="none" w:sz="0" w:space="0" w:color="auto"/>
                      </w:divBdr>
                    </w:div>
                  </w:divsChild>
                </w:div>
                <w:div w:id="469203411">
                  <w:marLeft w:val="0"/>
                  <w:marRight w:val="0"/>
                  <w:marTop w:val="0"/>
                  <w:marBottom w:val="0"/>
                  <w:divBdr>
                    <w:top w:val="none" w:sz="0" w:space="0" w:color="auto"/>
                    <w:left w:val="none" w:sz="0" w:space="0" w:color="auto"/>
                    <w:bottom w:val="none" w:sz="0" w:space="0" w:color="auto"/>
                    <w:right w:val="none" w:sz="0" w:space="0" w:color="auto"/>
                  </w:divBdr>
                  <w:divsChild>
                    <w:div w:id="681861755">
                      <w:marLeft w:val="0"/>
                      <w:marRight w:val="0"/>
                      <w:marTop w:val="0"/>
                      <w:marBottom w:val="0"/>
                      <w:divBdr>
                        <w:top w:val="none" w:sz="0" w:space="0" w:color="auto"/>
                        <w:left w:val="none" w:sz="0" w:space="0" w:color="auto"/>
                        <w:bottom w:val="none" w:sz="0" w:space="0" w:color="auto"/>
                        <w:right w:val="none" w:sz="0" w:space="0" w:color="auto"/>
                      </w:divBdr>
                    </w:div>
                  </w:divsChild>
                </w:div>
                <w:div w:id="496311836">
                  <w:marLeft w:val="0"/>
                  <w:marRight w:val="0"/>
                  <w:marTop w:val="0"/>
                  <w:marBottom w:val="0"/>
                  <w:divBdr>
                    <w:top w:val="none" w:sz="0" w:space="0" w:color="auto"/>
                    <w:left w:val="none" w:sz="0" w:space="0" w:color="auto"/>
                    <w:bottom w:val="none" w:sz="0" w:space="0" w:color="auto"/>
                    <w:right w:val="none" w:sz="0" w:space="0" w:color="auto"/>
                  </w:divBdr>
                  <w:divsChild>
                    <w:div w:id="197789544">
                      <w:marLeft w:val="0"/>
                      <w:marRight w:val="0"/>
                      <w:marTop w:val="0"/>
                      <w:marBottom w:val="0"/>
                      <w:divBdr>
                        <w:top w:val="none" w:sz="0" w:space="0" w:color="auto"/>
                        <w:left w:val="none" w:sz="0" w:space="0" w:color="auto"/>
                        <w:bottom w:val="none" w:sz="0" w:space="0" w:color="auto"/>
                        <w:right w:val="none" w:sz="0" w:space="0" w:color="auto"/>
                      </w:divBdr>
                    </w:div>
                  </w:divsChild>
                </w:div>
                <w:div w:id="521667770">
                  <w:marLeft w:val="0"/>
                  <w:marRight w:val="0"/>
                  <w:marTop w:val="0"/>
                  <w:marBottom w:val="0"/>
                  <w:divBdr>
                    <w:top w:val="none" w:sz="0" w:space="0" w:color="auto"/>
                    <w:left w:val="none" w:sz="0" w:space="0" w:color="auto"/>
                    <w:bottom w:val="none" w:sz="0" w:space="0" w:color="auto"/>
                    <w:right w:val="none" w:sz="0" w:space="0" w:color="auto"/>
                  </w:divBdr>
                  <w:divsChild>
                    <w:div w:id="797142992">
                      <w:marLeft w:val="0"/>
                      <w:marRight w:val="0"/>
                      <w:marTop w:val="0"/>
                      <w:marBottom w:val="0"/>
                      <w:divBdr>
                        <w:top w:val="none" w:sz="0" w:space="0" w:color="auto"/>
                        <w:left w:val="none" w:sz="0" w:space="0" w:color="auto"/>
                        <w:bottom w:val="none" w:sz="0" w:space="0" w:color="auto"/>
                        <w:right w:val="none" w:sz="0" w:space="0" w:color="auto"/>
                      </w:divBdr>
                    </w:div>
                  </w:divsChild>
                </w:div>
                <w:div w:id="579364669">
                  <w:marLeft w:val="0"/>
                  <w:marRight w:val="0"/>
                  <w:marTop w:val="0"/>
                  <w:marBottom w:val="0"/>
                  <w:divBdr>
                    <w:top w:val="none" w:sz="0" w:space="0" w:color="auto"/>
                    <w:left w:val="none" w:sz="0" w:space="0" w:color="auto"/>
                    <w:bottom w:val="none" w:sz="0" w:space="0" w:color="auto"/>
                    <w:right w:val="none" w:sz="0" w:space="0" w:color="auto"/>
                  </w:divBdr>
                  <w:divsChild>
                    <w:div w:id="161315045">
                      <w:marLeft w:val="0"/>
                      <w:marRight w:val="0"/>
                      <w:marTop w:val="0"/>
                      <w:marBottom w:val="0"/>
                      <w:divBdr>
                        <w:top w:val="none" w:sz="0" w:space="0" w:color="auto"/>
                        <w:left w:val="none" w:sz="0" w:space="0" w:color="auto"/>
                        <w:bottom w:val="none" w:sz="0" w:space="0" w:color="auto"/>
                        <w:right w:val="none" w:sz="0" w:space="0" w:color="auto"/>
                      </w:divBdr>
                    </w:div>
                  </w:divsChild>
                </w:div>
                <w:div w:id="584609868">
                  <w:marLeft w:val="0"/>
                  <w:marRight w:val="0"/>
                  <w:marTop w:val="0"/>
                  <w:marBottom w:val="0"/>
                  <w:divBdr>
                    <w:top w:val="none" w:sz="0" w:space="0" w:color="auto"/>
                    <w:left w:val="none" w:sz="0" w:space="0" w:color="auto"/>
                    <w:bottom w:val="none" w:sz="0" w:space="0" w:color="auto"/>
                    <w:right w:val="none" w:sz="0" w:space="0" w:color="auto"/>
                  </w:divBdr>
                  <w:divsChild>
                    <w:div w:id="159202797">
                      <w:marLeft w:val="0"/>
                      <w:marRight w:val="0"/>
                      <w:marTop w:val="0"/>
                      <w:marBottom w:val="0"/>
                      <w:divBdr>
                        <w:top w:val="none" w:sz="0" w:space="0" w:color="auto"/>
                        <w:left w:val="none" w:sz="0" w:space="0" w:color="auto"/>
                        <w:bottom w:val="none" w:sz="0" w:space="0" w:color="auto"/>
                        <w:right w:val="none" w:sz="0" w:space="0" w:color="auto"/>
                      </w:divBdr>
                    </w:div>
                    <w:div w:id="1134445884">
                      <w:marLeft w:val="0"/>
                      <w:marRight w:val="0"/>
                      <w:marTop w:val="0"/>
                      <w:marBottom w:val="0"/>
                      <w:divBdr>
                        <w:top w:val="none" w:sz="0" w:space="0" w:color="auto"/>
                        <w:left w:val="none" w:sz="0" w:space="0" w:color="auto"/>
                        <w:bottom w:val="none" w:sz="0" w:space="0" w:color="auto"/>
                        <w:right w:val="none" w:sz="0" w:space="0" w:color="auto"/>
                      </w:divBdr>
                    </w:div>
                  </w:divsChild>
                </w:div>
                <w:div w:id="597056851">
                  <w:marLeft w:val="0"/>
                  <w:marRight w:val="0"/>
                  <w:marTop w:val="0"/>
                  <w:marBottom w:val="0"/>
                  <w:divBdr>
                    <w:top w:val="none" w:sz="0" w:space="0" w:color="auto"/>
                    <w:left w:val="none" w:sz="0" w:space="0" w:color="auto"/>
                    <w:bottom w:val="none" w:sz="0" w:space="0" w:color="auto"/>
                    <w:right w:val="none" w:sz="0" w:space="0" w:color="auto"/>
                  </w:divBdr>
                  <w:divsChild>
                    <w:div w:id="962149789">
                      <w:marLeft w:val="0"/>
                      <w:marRight w:val="0"/>
                      <w:marTop w:val="0"/>
                      <w:marBottom w:val="0"/>
                      <w:divBdr>
                        <w:top w:val="none" w:sz="0" w:space="0" w:color="auto"/>
                        <w:left w:val="none" w:sz="0" w:space="0" w:color="auto"/>
                        <w:bottom w:val="none" w:sz="0" w:space="0" w:color="auto"/>
                        <w:right w:val="none" w:sz="0" w:space="0" w:color="auto"/>
                      </w:divBdr>
                    </w:div>
                    <w:div w:id="1031102218">
                      <w:marLeft w:val="0"/>
                      <w:marRight w:val="0"/>
                      <w:marTop w:val="0"/>
                      <w:marBottom w:val="0"/>
                      <w:divBdr>
                        <w:top w:val="none" w:sz="0" w:space="0" w:color="auto"/>
                        <w:left w:val="none" w:sz="0" w:space="0" w:color="auto"/>
                        <w:bottom w:val="none" w:sz="0" w:space="0" w:color="auto"/>
                        <w:right w:val="none" w:sz="0" w:space="0" w:color="auto"/>
                      </w:divBdr>
                    </w:div>
                  </w:divsChild>
                </w:div>
                <w:div w:id="644553440">
                  <w:marLeft w:val="0"/>
                  <w:marRight w:val="0"/>
                  <w:marTop w:val="0"/>
                  <w:marBottom w:val="0"/>
                  <w:divBdr>
                    <w:top w:val="none" w:sz="0" w:space="0" w:color="auto"/>
                    <w:left w:val="none" w:sz="0" w:space="0" w:color="auto"/>
                    <w:bottom w:val="none" w:sz="0" w:space="0" w:color="auto"/>
                    <w:right w:val="none" w:sz="0" w:space="0" w:color="auto"/>
                  </w:divBdr>
                  <w:divsChild>
                    <w:div w:id="130024526">
                      <w:marLeft w:val="0"/>
                      <w:marRight w:val="0"/>
                      <w:marTop w:val="0"/>
                      <w:marBottom w:val="0"/>
                      <w:divBdr>
                        <w:top w:val="none" w:sz="0" w:space="0" w:color="auto"/>
                        <w:left w:val="none" w:sz="0" w:space="0" w:color="auto"/>
                        <w:bottom w:val="none" w:sz="0" w:space="0" w:color="auto"/>
                        <w:right w:val="none" w:sz="0" w:space="0" w:color="auto"/>
                      </w:divBdr>
                    </w:div>
                  </w:divsChild>
                </w:div>
                <w:div w:id="652564599">
                  <w:marLeft w:val="0"/>
                  <w:marRight w:val="0"/>
                  <w:marTop w:val="0"/>
                  <w:marBottom w:val="0"/>
                  <w:divBdr>
                    <w:top w:val="none" w:sz="0" w:space="0" w:color="auto"/>
                    <w:left w:val="none" w:sz="0" w:space="0" w:color="auto"/>
                    <w:bottom w:val="none" w:sz="0" w:space="0" w:color="auto"/>
                    <w:right w:val="none" w:sz="0" w:space="0" w:color="auto"/>
                  </w:divBdr>
                  <w:divsChild>
                    <w:div w:id="203372494">
                      <w:marLeft w:val="0"/>
                      <w:marRight w:val="0"/>
                      <w:marTop w:val="0"/>
                      <w:marBottom w:val="0"/>
                      <w:divBdr>
                        <w:top w:val="none" w:sz="0" w:space="0" w:color="auto"/>
                        <w:left w:val="none" w:sz="0" w:space="0" w:color="auto"/>
                        <w:bottom w:val="none" w:sz="0" w:space="0" w:color="auto"/>
                        <w:right w:val="none" w:sz="0" w:space="0" w:color="auto"/>
                      </w:divBdr>
                    </w:div>
                    <w:div w:id="1988388548">
                      <w:marLeft w:val="0"/>
                      <w:marRight w:val="0"/>
                      <w:marTop w:val="0"/>
                      <w:marBottom w:val="0"/>
                      <w:divBdr>
                        <w:top w:val="none" w:sz="0" w:space="0" w:color="auto"/>
                        <w:left w:val="none" w:sz="0" w:space="0" w:color="auto"/>
                        <w:bottom w:val="none" w:sz="0" w:space="0" w:color="auto"/>
                        <w:right w:val="none" w:sz="0" w:space="0" w:color="auto"/>
                      </w:divBdr>
                    </w:div>
                  </w:divsChild>
                </w:div>
                <w:div w:id="678773521">
                  <w:marLeft w:val="0"/>
                  <w:marRight w:val="0"/>
                  <w:marTop w:val="0"/>
                  <w:marBottom w:val="0"/>
                  <w:divBdr>
                    <w:top w:val="none" w:sz="0" w:space="0" w:color="auto"/>
                    <w:left w:val="none" w:sz="0" w:space="0" w:color="auto"/>
                    <w:bottom w:val="none" w:sz="0" w:space="0" w:color="auto"/>
                    <w:right w:val="none" w:sz="0" w:space="0" w:color="auto"/>
                  </w:divBdr>
                  <w:divsChild>
                    <w:div w:id="967778431">
                      <w:marLeft w:val="0"/>
                      <w:marRight w:val="0"/>
                      <w:marTop w:val="0"/>
                      <w:marBottom w:val="0"/>
                      <w:divBdr>
                        <w:top w:val="none" w:sz="0" w:space="0" w:color="auto"/>
                        <w:left w:val="none" w:sz="0" w:space="0" w:color="auto"/>
                        <w:bottom w:val="none" w:sz="0" w:space="0" w:color="auto"/>
                        <w:right w:val="none" w:sz="0" w:space="0" w:color="auto"/>
                      </w:divBdr>
                    </w:div>
                  </w:divsChild>
                </w:div>
                <w:div w:id="678972603">
                  <w:marLeft w:val="0"/>
                  <w:marRight w:val="0"/>
                  <w:marTop w:val="0"/>
                  <w:marBottom w:val="0"/>
                  <w:divBdr>
                    <w:top w:val="none" w:sz="0" w:space="0" w:color="auto"/>
                    <w:left w:val="none" w:sz="0" w:space="0" w:color="auto"/>
                    <w:bottom w:val="none" w:sz="0" w:space="0" w:color="auto"/>
                    <w:right w:val="none" w:sz="0" w:space="0" w:color="auto"/>
                  </w:divBdr>
                  <w:divsChild>
                    <w:div w:id="410203317">
                      <w:marLeft w:val="0"/>
                      <w:marRight w:val="0"/>
                      <w:marTop w:val="0"/>
                      <w:marBottom w:val="0"/>
                      <w:divBdr>
                        <w:top w:val="none" w:sz="0" w:space="0" w:color="auto"/>
                        <w:left w:val="none" w:sz="0" w:space="0" w:color="auto"/>
                        <w:bottom w:val="none" w:sz="0" w:space="0" w:color="auto"/>
                        <w:right w:val="none" w:sz="0" w:space="0" w:color="auto"/>
                      </w:divBdr>
                    </w:div>
                  </w:divsChild>
                </w:div>
                <w:div w:id="856578645">
                  <w:marLeft w:val="0"/>
                  <w:marRight w:val="0"/>
                  <w:marTop w:val="0"/>
                  <w:marBottom w:val="0"/>
                  <w:divBdr>
                    <w:top w:val="none" w:sz="0" w:space="0" w:color="auto"/>
                    <w:left w:val="none" w:sz="0" w:space="0" w:color="auto"/>
                    <w:bottom w:val="none" w:sz="0" w:space="0" w:color="auto"/>
                    <w:right w:val="none" w:sz="0" w:space="0" w:color="auto"/>
                  </w:divBdr>
                  <w:divsChild>
                    <w:div w:id="396129139">
                      <w:marLeft w:val="0"/>
                      <w:marRight w:val="0"/>
                      <w:marTop w:val="0"/>
                      <w:marBottom w:val="0"/>
                      <w:divBdr>
                        <w:top w:val="none" w:sz="0" w:space="0" w:color="auto"/>
                        <w:left w:val="none" w:sz="0" w:space="0" w:color="auto"/>
                        <w:bottom w:val="none" w:sz="0" w:space="0" w:color="auto"/>
                        <w:right w:val="none" w:sz="0" w:space="0" w:color="auto"/>
                      </w:divBdr>
                    </w:div>
                  </w:divsChild>
                </w:div>
                <w:div w:id="966201911">
                  <w:marLeft w:val="0"/>
                  <w:marRight w:val="0"/>
                  <w:marTop w:val="0"/>
                  <w:marBottom w:val="0"/>
                  <w:divBdr>
                    <w:top w:val="none" w:sz="0" w:space="0" w:color="auto"/>
                    <w:left w:val="none" w:sz="0" w:space="0" w:color="auto"/>
                    <w:bottom w:val="none" w:sz="0" w:space="0" w:color="auto"/>
                    <w:right w:val="none" w:sz="0" w:space="0" w:color="auto"/>
                  </w:divBdr>
                  <w:divsChild>
                    <w:div w:id="607931512">
                      <w:marLeft w:val="0"/>
                      <w:marRight w:val="0"/>
                      <w:marTop w:val="0"/>
                      <w:marBottom w:val="0"/>
                      <w:divBdr>
                        <w:top w:val="none" w:sz="0" w:space="0" w:color="auto"/>
                        <w:left w:val="none" w:sz="0" w:space="0" w:color="auto"/>
                        <w:bottom w:val="none" w:sz="0" w:space="0" w:color="auto"/>
                        <w:right w:val="none" w:sz="0" w:space="0" w:color="auto"/>
                      </w:divBdr>
                    </w:div>
                  </w:divsChild>
                </w:div>
                <w:div w:id="985622731">
                  <w:marLeft w:val="0"/>
                  <w:marRight w:val="0"/>
                  <w:marTop w:val="0"/>
                  <w:marBottom w:val="0"/>
                  <w:divBdr>
                    <w:top w:val="none" w:sz="0" w:space="0" w:color="auto"/>
                    <w:left w:val="none" w:sz="0" w:space="0" w:color="auto"/>
                    <w:bottom w:val="none" w:sz="0" w:space="0" w:color="auto"/>
                    <w:right w:val="none" w:sz="0" w:space="0" w:color="auto"/>
                  </w:divBdr>
                  <w:divsChild>
                    <w:div w:id="615873309">
                      <w:marLeft w:val="0"/>
                      <w:marRight w:val="0"/>
                      <w:marTop w:val="0"/>
                      <w:marBottom w:val="0"/>
                      <w:divBdr>
                        <w:top w:val="none" w:sz="0" w:space="0" w:color="auto"/>
                        <w:left w:val="none" w:sz="0" w:space="0" w:color="auto"/>
                        <w:bottom w:val="none" w:sz="0" w:space="0" w:color="auto"/>
                        <w:right w:val="none" w:sz="0" w:space="0" w:color="auto"/>
                      </w:divBdr>
                    </w:div>
                  </w:divsChild>
                </w:div>
                <w:div w:id="993069245">
                  <w:marLeft w:val="0"/>
                  <w:marRight w:val="0"/>
                  <w:marTop w:val="0"/>
                  <w:marBottom w:val="0"/>
                  <w:divBdr>
                    <w:top w:val="none" w:sz="0" w:space="0" w:color="auto"/>
                    <w:left w:val="none" w:sz="0" w:space="0" w:color="auto"/>
                    <w:bottom w:val="none" w:sz="0" w:space="0" w:color="auto"/>
                    <w:right w:val="none" w:sz="0" w:space="0" w:color="auto"/>
                  </w:divBdr>
                  <w:divsChild>
                    <w:div w:id="1244878745">
                      <w:marLeft w:val="0"/>
                      <w:marRight w:val="0"/>
                      <w:marTop w:val="0"/>
                      <w:marBottom w:val="0"/>
                      <w:divBdr>
                        <w:top w:val="none" w:sz="0" w:space="0" w:color="auto"/>
                        <w:left w:val="none" w:sz="0" w:space="0" w:color="auto"/>
                        <w:bottom w:val="none" w:sz="0" w:space="0" w:color="auto"/>
                        <w:right w:val="none" w:sz="0" w:space="0" w:color="auto"/>
                      </w:divBdr>
                    </w:div>
                  </w:divsChild>
                </w:div>
                <w:div w:id="1017081126">
                  <w:marLeft w:val="0"/>
                  <w:marRight w:val="0"/>
                  <w:marTop w:val="0"/>
                  <w:marBottom w:val="0"/>
                  <w:divBdr>
                    <w:top w:val="none" w:sz="0" w:space="0" w:color="auto"/>
                    <w:left w:val="none" w:sz="0" w:space="0" w:color="auto"/>
                    <w:bottom w:val="none" w:sz="0" w:space="0" w:color="auto"/>
                    <w:right w:val="none" w:sz="0" w:space="0" w:color="auto"/>
                  </w:divBdr>
                  <w:divsChild>
                    <w:div w:id="831094678">
                      <w:marLeft w:val="0"/>
                      <w:marRight w:val="0"/>
                      <w:marTop w:val="0"/>
                      <w:marBottom w:val="0"/>
                      <w:divBdr>
                        <w:top w:val="none" w:sz="0" w:space="0" w:color="auto"/>
                        <w:left w:val="none" w:sz="0" w:space="0" w:color="auto"/>
                        <w:bottom w:val="none" w:sz="0" w:space="0" w:color="auto"/>
                        <w:right w:val="none" w:sz="0" w:space="0" w:color="auto"/>
                      </w:divBdr>
                    </w:div>
                  </w:divsChild>
                </w:div>
                <w:div w:id="1040402065">
                  <w:marLeft w:val="0"/>
                  <w:marRight w:val="0"/>
                  <w:marTop w:val="0"/>
                  <w:marBottom w:val="0"/>
                  <w:divBdr>
                    <w:top w:val="none" w:sz="0" w:space="0" w:color="auto"/>
                    <w:left w:val="none" w:sz="0" w:space="0" w:color="auto"/>
                    <w:bottom w:val="none" w:sz="0" w:space="0" w:color="auto"/>
                    <w:right w:val="none" w:sz="0" w:space="0" w:color="auto"/>
                  </w:divBdr>
                  <w:divsChild>
                    <w:div w:id="1218198133">
                      <w:marLeft w:val="0"/>
                      <w:marRight w:val="0"/>
                      <w:marTop w:val="0"/>
                      <w:marBottom w:val="0"/>
                      <w:divBdr>
                        <w:top w:val="none" w:sz="0" w:space="0" w:color="auto"/>
                        <w:left w:val="none" w:sz="0" w:space="0" w:color="auto"/>
                        <w:bottom w:val="none" w:sz="0" w:space="0" w:color="auto"/>
                        <w:right w:val="none" w:sz="0" w:space="0" w:color="auto"/>
                      </w:divBdr>
                    </w:div>
                  </w:divsChild>
                </w:div>
                <w:div w:id="1040402949">
                  <w:marLeft w:val="0"/>
                  <w:marRight w:val="0"/>
                  <w:marTop w:val="0"/>
                  <w:marBottom w:val="0"/>
                  <w:divBdr>
                    <w:top w:val="none" w:sz="0" w:space="0" w:color="auto"/>
                    <w:left w:val="none" w:sz="0" w:space="0" w:color="auto"/>
                    <w:bottom w:val="none" w:sz="0" w:space="0" w:color="auto"/>
                    <w:right w:val="none" w:sz="0" w:space="0" w:color="auto"/>
                  </w:divBdr>
                  <w:divsChild>
                    <w:div w:id="2057580459">
                      <w:marLeft w:val="0"/>
                      <w:marRight w:val="0"/>
                      <w:marTop w:val="0"/>
                      <w:marBottom w:val="0"/>
                      <w:divBdr>
                        <w:top w:val="none" w:sz="0" w:space="0" w:color="auto"/>
                        <w:left w:val="none" w:sz="0" w:space="0" w:color="auto"/>
                        <w:bottom w:val="none" w:sz="0" w:space="0" w:color="auto"/>
                        <w:right w:val="none" w:sz="0" w:space="0" w:color="auto"/>
                      </w:divBdr>
                    </w:div>
                  </w:divsChild>
                </w:div>
                <w:div w:id="1052197786">
                  <w:marLeft w:val="0"/>
                  <w:marRight w:val="0"/>
                  <w:marTop w:val="0"/>
                  <w:marBottom w:val="0"/>
                  <w:divBdr>
                    <w:top w:val="none" w:sz="0" w:space="0" w:color="auto"/>
                    <w:left w:val="none" w:sz="0" w:space="0" w:color="auto"/>
                    <w:bottom w:val="none" w:sz="0" w:space="0" w:color="auto"/>
                    <w:right w:val="none" w:sz="0" w:space="0" w:color="auto"/>
                  </w:divBdr>
                  <w:divsChild>
                    <w:div w:id="801267643">
                      <w:marLeft w:val="0"/>
                      <w:marRight w:val="0"/>
                      <w:marTop w:val="0"/>
                      <w:marBottom w:val="0"/>
                      <w:divBdr>
                        <w:top w:val="none" w:sz="0" w:space="0" w:color="auto"/>
                        <w:left w:val="none" w:sz="0" w:space="0" w:color="auto"/>
                        <w:bottom w:val="none" w:sz="0" w:space="0" w:color="auto"/>
                        <w:right w:val="none" w:sz="0" w:space="0" w:color="auto"/>
                      </w:divBdr>
                    </w:div>
                  </w:divsChild>
                </w:div>
                <w:div w:id="1063868675">
                  <w:marLeft w:val="0"/>
                  <w:marRight w:val="0"/>
                  <w:marTop w:val="0"/>
                  <w:marBottom w:val="0"/>
                  <w:divBdr>
                    <w:top w:val="none" w:sz="0" w:space="0" w:color="auto"/>
                    <w:left w:val="none" w:sz="0" w:space="0" w:color="auto"/>
                    <w:bottom w:val="none" w:sz="0" w:space="0" w:color="auto"/>
                    <w:right w:val="none" w:sz="0" w:space="0" w:color="auto"/>
                  </w:divBdr>
                  <w:divsChild>
                    <w:div w:id="424693393">
                      <w:marLeft w:val="0"/>
                      <w:marRight w:val="0"/>
                      <w:marTop w:val="0"/>
                      <w:marBottom w:val="0"/>
                      <w:divBdr>
                        <w:top w:val="none" w:sz="0" w:space="0" w:color="auto"/>
                        <w:left w:val="none" w:sz="0" w:space="0" w:color="auto"/>
                        <w:bottom w:val="none" w:sz="0" w:space="0" w:color="auto"/>
                        <w:right w:val="none" w:sz="0" w:space="0" w:color="auto"/>
                      </w:divBdr>
                    </w:div>
                  </w:divsChild>
                </w:div>
                <w:div w:id="1064529230">
                  <w:marLeft w:val="0"/>
                  <w:marRight w:val="0"/>
                  <w:marTop w:val="0"/>
                  <w:marBottom w:val="0"/>
                  <w:divBdr>
                    <w:top w:val="none" w:sz="0" w:space="0" w:color="auto"/>
                    <w:left w:val="none" w:sz="0" w:space="0" w:color="auto"/>
                    <w:bottom w:val="none" w:sz="0" w:space="0" w:color="auto"/>
                    <w:right w:val="none" w:sz="0" w:space="0" w:color="auto"/>
                  </w:divBdr>
                  <w:divsChild>
                    <w:div w:id="161239508">
                      <w:marLeft w:val="0"/>
                      <w:marRight w:val="0"/>
                      <w:marTop w:val="0"/>
                      <w:marBottom w:val="0"/>
                      <w:divBdr>
                        <w:top w:val="none" w:sz="0" w:space="0" w:color="auto"/>
                        <w:left w:val="none" w:sz="0" w:space="0" w:color="auto"/>
                        <w:bottom w:val="none" w:sz="0" w:space="0" w:color="auto"/>
                        <w:right w:val="none" w:sz="0" w:space="0" w:color="auto"/>
                      </w:divBdr>
                    </w:div>
                    <w:div w:id="1720857407">
                      <w:marLeft w:val="0"/>
                      <w:marRight w:val="0"/>
                      <w:marTop w:val="0"/>
                      <w:marBottom w:val="0"/>
                      <w:divBdr>
                        <w:top w:val="none" w:sz="0" w:space="0" w:color="auto"/>
                        <w:left w:val="none" w:sz="0" w:space="0" w:color="auto"/>
                        <w:bottom w:val="none" w:sz="0" w:space="0" w:color="auto"/>
                        <w:right w:val="none" w:sz="0" w:space="0" w:color="auto"/>
                      </w:divBdr>
                    </w:div>
                  </w:divsChild>
                </w:div>
                <w:div w:id="1076825300">
                  <w:marLeft w:val="0"/>
                  <w:marRight w:val="0"/>
                  <w:marTop w:val="0"/>
                  <w:marBottom w:val="0"/>
                  <w:divBdr>
                    <w:top w:val="none" w:sz="0" w:space="0" w:color="auto"/>
                    <w:left w:val="none" w:sz="0" w:space="0" w:color="auto"/>
                    <w:bottom w:val="none" w:sz="0" w:space="0" w:color="auto"/>
                    <w:right w:val="none" w:sz="0" w:space="0" w:color="auto"/>
                  </w:divBdr>
                  <w:divsChild>
                    <w:div w:id="1153958216">
                      <w:marLeft w:val="0"/>
                      <w:marRight w:val="0"/>
                      <w:marTop w:val="0"/>
                      <w:marBottom w:val="0"/>
                      <w:divBdr>
                        <w:top w:val="none" w:sz="0" w:space="0" w:color="auto"/>
                        <w:left w:val="none" w:sz="0" w:space="0" w:color="auto"/>
                        <w:bottom w:val="none" w:sz="0" w:space="0" w:color="auto"/>
                        <w:right w:val="none" w:sz="0" w:space="0" w:color="auto"/>
                      </w:divBdr>
                    </w:div>
                  </w:divsChild>
                </w:div>
                <w:div w:id="1077288739">
                  <w:marLeft w:val="0"/>
                  <w:marRight w:val="0"/>
                  <w:marTop w:val="0"/>
                  <w:marBottom w:val="0"/>
                  <w:divBdr>
                    <w:top w:val="none" w:sz="0" w:space="0" w:color="auto"/>
                    <w:left w:val="none" w:sz="0" w:space="0" w:color="auto"/>
                    <w:bottom w:val="none" w:sz="0" w:space="0" w:color="auto"/>
                    <w:right w:val="none" w:sz="0" w:space="0" w:color="auto"/>
                  </w:divBdr>
                  <w:divsChild>
                    <w:div w:id="976033418">
                      <w:marLeft w:val="0"/>
                      <w:marRight w:val="0"/>
                      <w:marTop w:val="0"/>
                      <w:marBottom w:val="0"/>
                      <w:divBdr>
                        <w:top w:val="none" w:sz="0" w:space="0" w:color="auto"/>
                        <w:left w:val="none" w:sz="0" w:space="0" w:color="auto"/>
                        <w:bottom w:val="none" w:sz="0" w:space="0" w:color="auto"/>
                        <w:right w:val="none" w:sz="0" w:space="0" w:color="auto"/>
                      </w:divBdr>
                    </w:div>
                  </w:divsChild>
                </w:div>
                <w:div w:id="1107651431">
                  <w:marLeft w:val="0"/>
                  <w:marRight w:val="0"/>
                  <w:marTop w:val="0"/>
                  <w:marBottom w:val="0"/>
                  <w:divBdr>
                    <w:top w:val="none" w:sz="0" w:space="0" w:color="auto"/>
                    <w:left w:val="none" w:sz="0" w:space="0" w:color="auto"/>
                    <w:bottom w:val="none" w:sz="0" w:space="0" w:color="auto"/>
                    <w:right w:val="none" w:sz="0" w:space="0" w:color="auto"/>
                  </w:divBdr>
                  <w:divsChild>
                    <w:div w:id="1902716005">
                      <w:marLeft w:val="0"/>
                      <w:marRight w:val="0"/>
                      <w:marTop w:val="0"/>
                      <w:marBottom w:val="0"/>
                      <w:divBdr>
                        <w:top w:val="none" w:sz="0" w:space="0" w:color="auto"/>
                        <w:left w:val="none" w:sz="0" w:space="0" w:color="auto"/>
                        <w:bottom w:val="none" w:sz="0" w:space="0" w:color="auto"/>
                        <w:right w:val="none" w:sz="0" w:space="0" w:color="auto"/>
                      </w:divBdr>
                    </w:div>
                  </w:divsChild>
                </w:div>
                <w:div w:id="1167675595">
                  <w:marLeft w:val="0"/>
                  <w:marRight w:val="0"/>
                  <w:marTop w:val="0"/>
                  <w:marBottom w:val="0"/>
                  <w:divBdr>
                    <w:top w:val="none" w:sz="0" w:space="0" w:color="auto"/>
                    <w:left w:val="none" w:sz="0" w:space="0" w:color="auto"/>
                    <w:bottom w:val="none" w:sz="0" w:space="0" w:color="auto"/>
                    <w:right w:val="none" w:sz="0" w:space="0" w:color="auto"/>
                  </w:divBdr>
                  <w:divsChild>
                    <w:div w:id="148795515">
                      <w:marLeft w:val="0"/>
                      <w:marRight w:val="0"/>
                      <w:marTop w:val="0"/>
                      <w:marBottom w:val="0"/>
                      <w:divBdr>
                        <w:top w:val="none" w:sz="0" w:space="0" w:color="auto"/>
                        <w:left w:val="none" w:sz="0" w:space="0" w:color="auto"/>
                        <w:bottom w:val="none" w:sz="0" w:space="0" w:color="auto"/>
                        <w:right w:val="none" w:sz="0" w:space="0" w:color="auto"/>
                      </w:divBdr>
                    </w:div>
                  </w:divsChild>
                </w:div>
                <w:div w:id="1268809397">
                  <w:marLeft w:val="0"/>
                  <w:marRight w:val="0"/>
                  <w:marTop w:val="0"/>
                  <w:marBottom w:val="0"/>
                  <w:divBdr>
                    <w:top w:val="none" w:sz="0" w:space="0" w:color="auto"/>
                    <w:left w:val="none" w:sz="0" w:space="0" w:color="auto"/>
                    <w:bottom w:val="none" w:sz="0" w:space="0" w:color="auto"/>
                    <w:right w:val="none" w:sz="0" w:space="0" w:color="auto"/>
                  </w:divBdr>
                  <w:divsChild>
                    <w:div w:id="342561034">
                      <w:marLeft w:val="0"/>
                      <w:marRight w:val="0"/>
                      <w:marTop w:val="0"/>
                      <w:marBottom w:val="0"/>
                      <w:divBdr>
                        <w:top w:val="none" w:sz="0" w:space="0" w:color="auto"/>
                        <w:left w:val="none" w:sz="0" w:space="0" w:color="auto"/>
                        <w:bottom w:val="none" w:sz="0" w:space="0" w:color="auto"/>
                        <w:right w:val="none" w:sz="0" w:space="0" w:color="auto"/>
                      </w:divBdr>
                    </w:div>
                  </w:divsChild>
                </w:div>
                <w:div w:id="1283533186">
                  <w:marLeft w:val="0"/>
                  <w:marRight w:val="0"/>
                  <w:marTop w:val="0"/>
                  <w:marBottom w:val="0"/>
                  <w:divBdr>
                    <w:top w:val="none" w:sz="0" w:space="0" w:color="auto"/>
                    <w:left w:val="none" w:sz="0" w:space="0" w:color="auto"/>
                    <w:bottom w:val="none" w:sz="0" w:space="0" w:color="auto"/>
                    <w:right w:val="none" w:sz="0" w:space="0" w:color="auto"/>
                  </w:divBdr>
                  <w:divsChild>
                    <w:div w:id="1731146440">
                      <w:marLeft w:val="0"/>
                      <w:marRight w:val="0"/>
                      <w:marTop w:val="0"/>
                      <w:marBottom w:val="0"/>
                      <w:divBdr>
                        <w:top w:val="none" w:sz="0" w:space="0" w:color="auto"/>
                        <w:left w:val="none" w:sz="0" w:space="0" w:color="auto"/>
                        <w:bottom w:val="none" w:sz="0" w:space="0" w:color="auto"/>
                        <w:right w:val="none" w:sz="0" w:space="0" w:color="auto"/>
                      </w:divBdr>
                    </w:div>
                  </w:divsChild>
                </w:div>
                <w:div w:id="1288318107">
                  <w:marLeft w:val="0"/>
                  <w:marRight w:val="0"/>
                  <w:marTop w:val="0"/>
                  <w:marBottom w:val="0"/>
                  <w:divBdr>
                    <w:top w:val="none" w:sz="0" w:space="0" w:color="auto"/>
                    <w:left w:val="none" w:sz="0" w:space="0" w:color="auto"/>
                    <w:bottom w:val="none" w:sz="0" w:space="0" w:color="auto"/>
                    <w:right w:val="none" w:sz="0" w:space="0" w:color="auto"/>
                  </w:divBdr>
                  <w:divsChild>
                    <w:div w:id="878006953">
                      <w:marLeft w:val="0"/>
                      <w:marRight w:val="0"/>
                      <w:marTop w:val="0"/>
                      <w:marBottom w:val="0"/>
                      <w:divBdr>
                        <w:top w:val="none" w:sz="0" w:space="0" w:color="auto"/>
                        <w:left w:val="none" w:sz="0" w:space="0" w:color="auto"/>
                        <w:bottom w:val="none" w:sz="0" w:space="0" w:color="auto"/>
                        <w:right w:val="none" w:sz="0" w:space="0" w:color="auto"/>
                      </w:divBdr>
                    </w:div>
                  </w:divsChild>
                </w:div>
                <w:div w:id="1324312466">
                  <w:marLeft w:val="0"/>
                  <w:marRight w:val="0"/>
                  <w:marTop w:val="0"/>
                  <w:marBottom w:val="0"/>
                  <w:divBdr>
                    <w:top w:val="none" w:sz="0" w:space="0" w:color="auto"/>
                    <w:left w:val="none" w:sz="0" w:space="0" w:color="auto"/>
                    <w:bottom w:val="none" w:sz="0" w:space="0" w:color="auto"/>
                    <w:right w:val="none" w:sz="0" w:space="0" w:color="auto"/>
                  </w:divBdr>
                  <w:divsChild>
                    <w:div w:id="1919437618">
                      <w:marLeft w:val="0"/>
                      <w:marRight w:val="0"/>
                      <w:marTop w:val="0"/>
                      <w:marBottom w:val="0"/>
                      <w:divBdr>
                        <w:top w:val="none" w:sz="0" w:space="0" w:color="auto"/>
                        <w:left w:val="none" w:sz="0" w:space="0" w:color="auto"/>
                        <w:bottom w:val="none" w:sz="0" w:space="0" w:color="auto"/>
                        <w:right w:val="none" w:sz="0" w:space="0" w:color="auto"/>
                      </w:divBdr>
                    </w:div>
                  </w:divsChild>
                </w:div>
                <w:div w:id="1346395829">
                  <w:marLeft w:val="0"/>
                  <w:marRight w:val="0"/>
                  <w:marTop w:val="0"/>
                  <w:marBottom w:val="0"/>
                  <w:divBdr>
                    <w:top w:val="none" w:sz="0" w:space="0" w:color="auto"/>
                    <w:left w:val="none" w:sz="0" w:space="0" w:color="auto"/>
                    <w:bottom w:val="none" w:sz="0" w:space="0" w:color="auto"/>
                    <w:right w:val="none" w:sz="0" w:space="0" w:color="auto"/>
                  </w:divBdr>
                  <w:divsChild>
                    <w:div w:id="1035427462">
                      <w:marLeft w:val="0"/>
                      <w:marRight w:val="0"/>
                      <w:marTop w:val="0"/>
                      <w:marBottom w:val="0"/>
                      <w:divBdr>
                        <w:top w:val="none" w:sz="0" w:space="0" w:color="auto"/>
                        <w:left w:val="none" w:sz="0" w:space="0" w:color="auto"/>
                        <w:bottom w:val="none" w:sz="0" w:space="0" w:color="auto"/>
                        <w:right w:val="none" w:sz="0" w:space="0" w:color="auto"/>
                      </w:divBdr>
                    </w:div>
                  </w:divsChild>
                </w:div>
                <w:div w:id="1385299975">
                  <w:marLeft w:val="0"/>
                  <w:marRight w:val="0"/>
                  <w:marTop w:val="0"/>
                  <w:marBottom w:val="0"/>
                  <w:divBdr>
                    <w:top w:val="none" w:sz="0" w:space="0" w:color="auto"/>
                    <w:left w:val="none" w:sz="0" w:space="0" w:color="auto"/>
                    <w:bottom w:val="none" w:sz="0" w:space="0" w:color="auto"/>
                    <w:right w:val="none" w:sz="0" w:space="0" w:color="auto"/>
                  </w:divBdr>
                  <w:divsChild>
                    <w:div w:id="1179584134">
                      <w:marLeft w:val="0"/>
                      <w:marRight w:val="0"/>
                      <w:marTop w:val="0"/>
                      <w:marBottom w:val="0"/>
                      <w:divBdr>
                        <w:top w:val="none" w:sz="0" w:space="0" w:color="auto"/>
                        <w:left w:val="none" w:sz="0" w:space="0" w:color="auto"/>
                        <w:bottom w:val="none" w:sz="0" w:space="0" w:color="auto"/>
                        <w:right w:val="none" w:sz="0" w:space="0" w:color="auto"/>
                      </w:divBdr>
                    </w:div>
                  </w:divsChild>
                </w:div>
                <w:div w:id="1404185498">
                  <w:marLeft w:val="0"/>
                  <w:marRight w:val="0"/>
                  <w:marTop w:val="0"/>
                  <w:marBottom w:val="0"/>
                  <w:divBdr>
                    <w:top w:val="none" w:sz="0" w:space="0" w:color="auto"/>
                    <w:left w:val="none" w:sz="0" w:space="0" w:color="auto"/>
                    <w:bottom w:val="none" w:sz="0" w:space="0" w:color="auto"/>
                    <w:right w:val="none" w:sz="0" w:space="0" w:color="auto"/>
                  </w:divBdr>
                  <w:divsChild>
                    <w:div w:id="162597310">
                      <w:marLeft w:val="0"/>
                      <w:marRight w:val="0"/>
                      <w:marTop w:val="0"/>
                      <w:marBottom w:val="0"/>
                      <w:divBdr>
                        <w:top w:val="none" w:sz="0" w:space="0" w:color="auto"/>
                        <w:left w:val="none" w:sz="0" w:space="0" w:color="auto"/>
                        <w:bottom w:val="none" w:sz="0" w:space="0" w:color="auto"/>
                        <w:right w:val="none" w:sz="0" w:space="0" w:color="auto"/>
                      </w:divBdr>
                    </w:div>
                  </w:divsChild>
                </w:div>
                <w:div w:id="1409618943">
                  <w:marLeft w:val="0"/>
                  <w:marRight w:val="0"/>
                  <w:marTop w:val="0"/>
                  <w:marBottom w:val="0"/>
                  <w:divBdr>
                    <w:top w:val="none" w:sz="0" w:space="0" w:color="auto"/>
                    <w:left w:val="none" w:sz="0" w:space="0" w:color="auto"/>
                    <w:bottom w:val="none" w:sz="0" w:space="0" w:color="auto"/>
                    <w:right w:val="none" w:sz="0" w:space="0" w:color="auto"/>
                  </w:divBdr>
                  <w:divsChild>
                    <w:div w:id="1416052612">
                      <w:marLeft w:val="0"/>
                      <w:marRight w:val="0"/>
                      <w:marTop w:val="0"/>
                      <w:marBottom w:val="0"/>
                      <w:divBdr>
                        <w:top w:val="none" w:sz="0" w:space="0" w:color="auto"/>
                        <w:left w:val="none" w:sz="0" w:space="0" w:color="auto"/>
                        <w:bottom w:val="none" w:sz="0" w:space="0" w:color="auto"/>
                        <w:right w:val="none" w:sz="0" w:space="0" w:color="auto"/>
                      </w:divBdr>
                    </w:div>
                  </w:divsChild>
                </w:div>
                <w:div w:id="1431047055">
                  <w:marLeft w:val="0"/>
                  <w:marRight w:val="0"/>
                  <w:marTop w:val="0"/>
                  <w:marBottom w:val="0"/>
                  <w:divBdr>
                    <w:top w:val="none" w:sz="0" w:space="0" w:color="auto"/>
                    <w:left w:val="none" w:sz="0" w:space="0" w:color="auto"/>
                    <w:bottom w:val="none" w:sz="0" w:space="0" w:color="auto"/>
                    <w:right w:val="none" w:sz="0" w:space="0" w:color="auto"/>
                  </w:divBdr>
                  <w:divsChild>
                    <w:div w:id="1166361233">
                      <w:marLeft w:val="0"/>
                      <w:marRight w:val="0"/>
                      <w:marTop w:val="0"/>
                      <w:marBottom w:val="0"/>
                      <w:divBdr>
                        <w:top w:val="none" w:sz="0" w:space="0" w:color="auto"/>
                        <w:left w:val="none" w:sz="0" w:space="0" w:color="auto"/>
                        <w:bottom w:val="none" w:sz="0" w:space="0" w:color="auto"/>
                        <w:right w:val="none" w:sz="0" w:space="0" w:color="auto"/>
                      </w:divBdr>
                    </w:div>
                  </w:divsChild>
                </w:div>
                <w:div w:id="1456368898">
                  <w:marLeft w:val="0"/>
                  <w:marRight w:val="0"/>
                  <w:marTop w:val="0"/>
                  <w:marBottom w:val="0"/>
                  <w:divBdr>
                    <w:top w:val="none" w:sz="0" w:space="0" w:color="auto"/>
                    <w:left w:val="none" w:sz="0" w:space="0" w:color="auto"/>
                    <w:bottom w:val="none" w:sz="0" w:space="0" w:color="auto"/>
                    <w:right w:val="none" w:sz="0" w:space="0" w:color="auto"/>
                  </w:divBdr>
                  <w:divsChild>
                    <w:div w:id="58133003">
                      <w:marLeft w:val="0"/>
                      <w:marRight w:val="0"/>
                      <w:marTop w:val="0"/>
                      <w:marBottom w:val="0"/>
                      <w:divBdr>
                        <w:top w:val="none" w:sz="0" w:space="0" w:color="auto"/>
                        <w:left w:val="none" w:sz="0" w:space="0" w:color="auto"/>
                        <w:bottom w:val="none" w:sz="0" w:space="0" w:color="auto"/>
                        <w:right w:val="none" w:sz="0" w:space="0" w:color="auto"/>
                      </w:divBdr>
                    </w:div>
                  </w:divsChild>
                </w:div>
                <w:div w:id="1467315326">
                  <w:marLeft w:val="0"/>
                  <w:marRight w:val="0"/>
                  <w:marTop w:val="0"/>
                  <w:marBottom w:val="0"/>
                  <w:divBdr>
                    <w:top w:val="none" w:sz="0" w:space="0" w:color="auto"/>
                    <w:left w:val="none" w:sz="0" w:space="0" w:color="auto"/>
                    <w:bottom w:val="none" w:sz="0" w:space="0" w:color="auto"/>
                    <w:right w:val="none" w:sz="0" w:space="0" w:color="auto"/>
                  </w:divBdr>
                  <w:divsChild>
                    <w:div w:id="1678730893">
                      <w:marLeft w:val="0"/>
                      <w:marRight w:val="0"/>
                      <w:marTop w:val="0"/>
                      <w:marBottom w:val="0"/>
                      <w:divBdr>
                        <w:top w:val="none" w:sz="0" w:space="0" w:color="auto"/>
                        <w:left w:val="none" w:sz="0" w:space="0" w:color="auto"/>
                        <w:bottom w:val="none" w:sz="0" w:space="0" w:color="auto"/>
                        <w:right w:val="none" w:sz="0" w:space="0" w:color="auto"/>
                      </w:divBdr>
                    </w:div>
                    <w:div w:id="1696693075">
                      <w:marLeft w:val="0"/>
                      <w:marRight w:val="0"/>
                      <w:marTop w:val="0"/>
                      <w:marBottom w:val="0"/>
                      <w:divBdr>
                        <w:top w:val="none" w:sz="0" w:space="0" w:color="auto"/>
                        <w:left w:val="none" w:sz="0" w:space="0" w:color="auto"/>
                        <w:bottom w:val="none" w:sz="0" w:space="0" w:color="auto"/>
                        <w:right w:val="none" w:sz="0" w:space="0" w:color="auto"/>
                      </w:divBdr>
                    </w:div>
                  </w:divsChild>
                </w:div>
                <w:div w:id="1472092777">
                  <w:marLeft w:val="0"/>
                  <w:marRight w:val="0"/>
                  <w:marTop w:val="0"/>
                  <w:marBottom w:val="0"/>
                  <w:divBdr>
                    <w:top w:val="none" w:sz="0" w:space="0" w:color="auto"/>
                    <w:left w:val="none" w:sz="0" w:space="0" w:color="auto"/>
                    <w:bottom w:val="none" w:sz="0" w:space="0" w:color="auto"/>
                    <w:right w:val="none" w:sz="0" w:space="0" w:color="auto"/>
                  </w:divBdr>
                  <w:divsChild>
                    <w:div w:id="935793698">
                      <w:marLeft w:val="0"/>
                      <w:marRight w:val="0"/>
                      <w:marTop w:val="0"/>
                      <w:marBottom w:val="0"/>
                      <w:divBdr>
                        <w:top w:val="none" w:sz="0" w:space="0" w:color="auto"/>
                        <w:left w:val="none" w:sz="0" w:space="0" w:color="auto"/>
                        <w:bottom w:val="none" w:sz="0" w:space="0" w:color="auto"/>
                        <w:right w:val="none" w:sz="0" w:space="0" w:color="auto"/>
                      </w:divBdr>
                    </w:div>
                  </w:divsChild>
                </w:div>
                <w:div w:id="1485972143">
                  <w:marLeft w:val="0"/>
                  <w:marRight w:val="0"/>
                  <w:marTop w:val="0"/>
                  <w:marBottom w:val="0"/>
                  <w:divBdr>
                    <w:top w:val="none" w:sz="0" w:space="0" w:color="auto"/>
                    <w:left w:val="none" w:sz="0" w:space="0" w:color="auto"/>
                    <w:bottom w:val="none" w:sz="0" w:space="0" w:color="auto"/>
                    <w:right w:val="none" w:sz="0" w:space="0" w:color="auto"/>
                  </w:divBdr>
                  <w:divsChild>
                    <w:div w:id="1653023605">
                      <w:marLeft w:val="0"/>
                      <w:marRight w:val="0"/>
                      <w:marTop w:val="0"/>
                      <w:marBottom w:val="0"/>
                      <w:divBdr>
                        <w:top w:val="none" w:sz="0" w:space="0" w:color="auto"/>
                        <w:left w:val="none" w:sz="0" w:space="0" w:color="auto"/>
                        <w:bottom w:val="none" w:sz="0" w:space="0" w:color="auto"/>
                        <w:right w:val="none" w:sz="0" w:space="0" w:color="auto"/>
                      </w:divBdr>
                    </w:div>
                  </w:divsChild>
                </w:div>
                <w:div w:id="1494564780">
                  <w:marLeft w:val="0"/>
                  <w:marRight w:val="0"/>
                  <w:marTop w:val="0"/>
                  <w:marBottom w:val="0"/>
                  <w:divBdr>
                    <w:top w:val="none" w:sz="0" w:space="0" w:color="auto"/>
                    <w:left w:val="none" w:sz="0" w:space="0" w:color="auto"/>
                    <w:bottom w:val="none" w:sz="0" w:space="0" w:color="auto"/>
                    <w:right w:val="none" w:sz="0" w:space="0" w:color="auto"/>
                  </w:divBdr>
                  <w:divsChild>
                    <w:div w:id="1626961153">
                      <w:marLeft w:val="0"/>
                      <w:marRight w:val="0"/>
                      <w:marTop w:val="0"/>
                      <w:marBottom w:val="0"/>
                      <w:divBdr>
                        <w:top w:val="none" w:sz="0" w:space="0" w:color="auto"/>
                        <w:left w:val="none" w:sz="0" w:space="0" w:color="auto"/>
                        <w:bottom w:val="none" w:sz="0" w:space="0" w:color="auto"/>
                        <w:right w:val="none" w:sz="0" w:space="0" w:color="auto"/>
                      </w:divBdr>
                    </w:div>
                  </w:divsChild>
                </w:div>
                <w:div w:id="1526863221">
                  <w:marLeft w:val="0"/>
                  <w:marRight w:val="0"/>
                  <w:marTop w:val="0"/>
                  <w:marBottom w:val="0"/>
                  <w:divBdr>
                    <w:top w:val="none" w:sz="0" w:space="0" w:color="auto"/>
                    <w:left w:val="none" w:sz="0" w:space="0" w:color="auto"/>
                    <w:bottom w:val="none" w:sz="0" w:space="0" w:color="auto"/>
                    <w:right w:val="none" w:sz="0" w:space="0" w:color="auto"/>
                  </w:divBdr>
                  <w:divsChild>
                    <w:div w:id="385834203">
                      <w:marLeft w:val="0"/>
                      <w:marRight w:val="0"/>
                      <w:marTop w:val="0"/>
                      <w:marBottom w:val="0"/>
                      <w:divBdr>
                        <w:top w:val="none" w:sz="0" w:space="0" w:color="auto"/>
                        <w:left w:val="none" w:sz="0" w:space="0" w:color="auto"/>
                        <w:bottom w:val="none" w:sz="0" w:space="0" w:color="auto"/>
                        <w:right w:val="none" w:sz="0" w:space="0" w:color="auto"/>
                      </w:divBdr>
                    </w:div>
                  </w:divsChild>
                </w:div>
                <w:div w:id="1533230806">
                  <w:marLeft w:val="0"/>
                  <w:marRight w:val="0"/>
                  <w:marTop w:val="0"/>
                  <w:marBottom w:val="0"/>
                  <w:divBdr>
                    <w:top w:val="none" w:sz="0" w:space="0" w:color="auto"/>
                    <w:left w:val="none" w:sz="0" w:space="0" w:color="auto"/>
                    <w:bottom w:val="none" w:sz="0" w:space="0" w:color="auto"/>
                    <w:right w:val="none" w:sz="0" w:space="0" w:color="auto"/>
                  </w:divBdr>
                  <w:divsChild>
                    <w:div w:id="1702512981">
                      <w:marLeft w:val="0"/>
                      <w:marRight w:val="0"/>
                      <w:marTop w:val="0"/>
                      <w:marBottom w:val="0"/>
                      <w:divBdr>
                        <w:top w:val="none" w:sz="0" w:space="0" w:color="auto"/>
                        <w:left w:val="none" w:sz="0" w:space="0" w:color="auto"/>
                        <w:bottom w:val="none" w:sz="0" w:space="0" w:color="auto"/>
                        <w:right w:val="none" w:sz="0" w:space="0" w:color="auto"/>
                      </w:divBdr>
                    </w:div>
                  </w:divsChild>
                </w:div>
                <w:div w:id="1533953020">
                  <w:marLeft w:val="0"/>
                  <w:marRight w:val="0"/>
                  <w:marTop w:val="0"/>
                  <w:marBottom w:val="0"/>
                  <w:divBdr>
                    <w:top w:val="none" w:sz="0" w:space="0" w:color="auto"/>
                    <w:left w:val="none" w:sz="0" w:space="0" w:color="auto"/>
                    <w:bottom w:val="none" w:sz="0" w:space="0" w:color="auto"/>
                    <w:right w:val="none" w:sz="0" w:space="0" w:color="auto"/>
                  </w:divBdr>
                  <w:divsChild>
                    <w:div w:id="1177648576">
                      <w:marLeft w:val="0"/>
                      <w:marRight w:val="0"/>
                      <w:marTop w:val="0"/>
                      <w:marBottom w:val="0"/>
                      <w:divBdr>
                        <w:top w:val="none" w:sz="0" w:space="0" w:color="auto"/>
                        <w:left w:val="none" w:sz="0" w:space="0" w:color="auto"/>
                        <w:bottom w:val="none" w:sz="0" w:space="0" w:color="auto"/>
                        <w:right w:val="none" w:sz="0" w:space="0" w:color="auto"/>
                      </w:divBdr>
                    </w:div>
                  </w:divsChild>
                </w:div>
                <w:div w:id="1534537300">
                  <w:marLeft w:val="0"/>
                  <w:marRight w:val="0"/>
                  <w:marTop w:val="0"/>
                  <w:marBottom w:val="0"/>
                  <w:divBdr>
                    <w:top w:val="none" w:sz="0" w:space="0" w:color="auto"/>
                    <w:left w:val="none" w:sz="0" w:space="0" w:color="auto"/>
                    <w:bottom w:val="none" w:sz="0" w:space="0" w:color="auto"/>
                    <w:right w:val="none" w:sz="0" w:space="0" w:color="auto"/>
                  </w:divBdr>
                  <w:divsChild>
                    <w:div w:id="1203443379">
                      <w:marLeft w:val="0"/>
                      <w:marRight w:val="0"/>
                      <w:marTop w:val="0"/>
                      <w:marBottom w:val="0"/>
                      <w:divBdr>
                        <w:top w:val="none" w:sz="0" w:space="0" w:color="auto"/>
                        <w:left w:val="none" w:sz="0" w:space="0" w:color="auto"/>
                        <w:bottom w:val="none" w:sz="0" w:space="0" w:color="auto"/>
                        <w:right w:val="none" w:sz="0" w:space="0" w:color="auto"/>
                      </w:divBdr>
                    </w:div>
                  </w:divsChild>
                </w:div>
                <w:div w:id="1613589581">
                  <w:marLeft w:val="0"/>
                  <w:marRight w:val="0"/>
                  <w:marTop w:val="0"/>
                  <w:marBottom w:val="0"/>
                  <w:divBdr>
                    <w:top w:val="none" w:sz="0" w:space="0" w:color="auto"/>
                    <w:left w:val="none" w:sz="0" w:space="0" w:color="auto"/>
                    <w:bottom w:val="none" w:sz="0" w:space="0" w:color="auto"/>
                    <w:right w:val="none" w:sz="0" w:space="0" w:color="auto"/>
                  </w:divBdr>
                  <w:divsChild>
                    <w:div w:id="1225607145">
                      <w:marLeft w:val="0"/>
                      <w:marRight w:val="0"/>
                      <w:marTop w:val="0"/>
                      <w:marBottom w:val="0"/>
                      <w:divBdr>
                        <w:top w:val="none" w:sz="0" w:space="0" w:color="auto"/>
                        <w:left w:val="none" w:sz="0" w:space="0" w:color="auto"/>
                        <w:bottom w:val="none" w:sz="0" w:space="0" w:color="auto"/>
                        <w:right w:val="none" w:sz="0" w:space="0" w:color="auto"/>
                      </w:divBdr>
                    </w:div>
                  </w:divsChild>
                </w:div>
                <w:div w:id="1689286603">
                  <w:marLeft w:val="0"/>
                  <w:marRight w:val="0"/>
                  <w:marTop w:val="0"/>
                  <w:marBottom w:val="0"/>
                  <w:divBdr>
                    <w:top w:val="none" w:sz="0" w:space="0" w:color="auto"/>
                    <w:left w:val="none" w:sz="0" w:space="0" w:color="auto"/>
                    <w:bottom w:val="none" w:sz="0" w:space="0" w:color="auto"/>
                    <w:right w:val="none" w:sz="0" w:space="0" w:color="auto"/>
                  </w:divBdr>
                  <w:divsChild>
                    <w:div w:id="187984931">
                      <w:marLeft w:val="0"/>
                      <w:marRight w:val="0"/>
                      <w:marTop w:val="0"/>
                      <w:marBottom w:val="0"/>
                      <w:divBdr>
                        <w:top w:val="none" w:sz="0" w:space="0" w:color="auto"/>
                        <w:left w:val="none" w:sz="0" w:space="0" w:color="auto"/>
                        <w:bottom w:val="none" w:sz="0" w:space="0" w:color="auto"/>
                        <w:right w:val="none" w:sz="0" w:space="0" w:color="auto"/>
                      </w:divBdr>
                    </w:div>
                    <w:div w:id="794953217">
                      <w:marLeft w:val="0"/>
                      <w:marRight w:val="0"/>
                      <w:marTop w:val="0"/>
                      <w:marBottom w:val="0"/>
                      <w:divBdr>
                        <w:top w:val="none" w:sz="0" w:space="0" w:color="auto"/>
                        <w:left w:val="none" w:sz="0" w:space="0" w:color="auto"/>
                        <w:bottom w:val="none" w:sz="0" w:space="0" w:color="auto"/>
                        <w:right w:val="none" w:sz="0" w:space="0" w:color="auto"/>
                      </w:divBdr>
                    </w:div>
                  </w:divsChild>
                </w:div>
                <w:div w:id="1695763953">
                  <w:marLeft w:val="0"/>
                  <w:marRight w:val="0"/>
                  <w:marTop w:val="0"/>
                  <w:marBottom w:val="0"/>
                  <w:divBdr>
                    <w:top w:val="none" w:sz="0" w:space="0" w:color="auto"/>
                    <w:left w:val="none" w:sz="0" w:space="0" w:color="auto"/>
                    <w:bottom w:val="none" w:sz="0" w:space="0" w:color="auto"/>
                    <w:right w:val="none" w:sz="0" w:space="0" w:color="auto"/>
                  </w:divBdr>
                  <w:divsChild>
                    <w:div w:id="1599211339">
                      <w:marLeft w:val="0"/>
                      <w:marRight w:val="0"/>
                      <w:marTop w:val="0"/>
                      <w:marBottom w:val="0"/>
                      <w:divBdr>
                        <w:top w:val="none" w:sz="0" w:space="0" w:color="auto"/>
                        <w:left w:val="none" w:sz="0" w:space="0" w:color="auto"/>
                        <w:bottom w:val="none" w:sz="0" w:space="0" w:color="auto"/>
                        <w:right w:val="none" w:sz="0" w:space="0" w:color="auto"/>
                      </w:divBdr>
                    </w:div>
                  </w:divsChild>
                </w:div>
                <w:div w:id="1708067954">
                  <w:marLeft w:val="0"/>
                  <w:marRight w:val="0"/>
                  <w:marTop w:val="0"/>
                  <w:marBottom w:val="0"/>
                  <w:divBdr>
                    <w:top w:val="none" w:sz="0" w:space="0" w:color="auto"/>
                    <w:left w:val="none" w:sz="0" w:space="0" w:color="auto"/>
                    <w:bottom w:val="none" w:sz="0" w:space="0" w:color="auto"/>
                    <w:right w:val="none" w:sz="0" w:space="0" w:color="auto"/>
                  </w:divBdr>
                  <w:divsChild>
                    <w:div w:id="277105362">
                      <w:marLeft w:val="0"/>
                      <w:marRight w:val="0"/>
                      <w:marTop w:val="0"/>
                      <w:marBottom w:val="0"/>
                      <w:divBdr>
                        <w:top w:val="none" w:sz="0" w:space="0" w:color="auto"/>
                        <w:left w:val="none" w:sz="0" w:space="0" w:color="auto"/>
                        <w:bottom w:val="none" w:sz="0" w:space="0" w:color="auto"/>
                        <w:right w:val="none" w:sz="0" w:space="0" w:color="auto"/>
                      </w:divBdr>
                    </w:div>
                  </w:divsChild>
                </w:div>
                <w:div w:id="1722440490">
                  <w:marLeft w:val="0"/>
                  <w:marRight w:val="0"/>
                  <w:marTop w:val="0"/>
                  <w:marBottom w:val="0"/>
                  <w:divBdr>
                    <w:top w:val="none" w:sz="0" w:space="0" w:color="auto"/>
                    <w:left w:val="none" w:sz="0" w:space="0" w:color="auto"/>
                    <w:bottom w:val="none" w:sz="0" w:space="0" w:color="auto"/>
                    <w:right w:val="none" w:sz="0" w:space="0" w:color="auto"/>
                  </w:divBdr>
                  <w:divsChild>
                    <w:div w:id="565074085">
                      <w:marLeft w:val="0"/>
                      <w:marRight w:val="0"/>
                      <w:marTop w:val="0"/>
                      <w:marBottom w:val="0"/>
                      <w:divBdr>
                        <w:top w:val="none" w:sz="0" w:space="0" w:color="auto"/>
                        <w:left w:val="none" w:sz="0" w:space="0" w:color="auto"/>
                        <w:bottom w:val="none" w:sz="0" w:space="0" w:color="auto"/>
                        <w:right w:val="none" w:sz="0" w:space="0" w:color="auto"/>
                      </w:divBdr>
                    </w:div>
                  </w:divsChild>
                </w:div>
                <w:div w:id="1742143669">
                  <w:marLeft w:val="0"/>
                  <w:marRight w:val="0"/>
                  <w:marTop w:val="0"/>
                  <w:marBottom w:val="0"/>
                  <w:divBdr>
                    <w:top w:val="none" w:sz="0" w:space="0" w:color="auto"/>
                    <w:left w:val="none" w:sz="0" w:space="0" w:color="auto"/>
                    <w:bottom w:val="none" w:sz="0" w:space="0" w:color="auto"/>
                    <w:right w:val="none" w:sz="0" w:space="0" w:color="auto"/>
                  </w:divBdr>
                  <w:divsChild>
                    <w:div w:id="1679967950">
                      <w:marLeft w:val="0"/>
                      <w:marRight w:val="0"/>
                      <w:marTop w:val="0"/>
                      <w:marBottom w:val="0"/>
                      <w:divBdr>
                        <w:top w:val="none" w:sz="0" w:space="0" w:color="auto"/>
                        <w:left w:val="none" w:sz="0" w:space="0" w:color="auto"/>
                        <w:bottom w:val="none" w:sz="0" w:space="0" w:color="auto"/>
                        <w:right w:val="none" w:sz="0" w:space="0" w:color="auto"/>
                      </w:divBdr>
                    </w:div>
                  </w:divsChild>
                </w:div>
                <w:div w:id="1753503173">
                  <w:marLeft w:val="0"/>
                  <w:marRight w:val="0"/>
                  <w:marTop w:val="0"/>
                  <w:marBottom w:val="0"/>
                  <w:divBdr>
                    <w:top w:val="none" w:sz="0" w:space="0" w:color="auto"/>
                    <w:left w:val="none" w:sz="0" w:space="0" w:color="auto"/>
                    <w:bottom w:val="none" w:sz="0" w:space="0" w:color="auto"/>
                    <w:right w:val="none" w:sz="0" w:space="0" w:color="auto"/>
                  </w:divBdr>
                  <w:divsChild>
                    <w:div w:id="377903496">
                      <w:marLeft w:val="0"/>
                      <w:marRight w:val="0"/>
                      <w:marTop w:val="0"/>
                      <w:marBottom w:val="0"/>
                      <w:divBdr>
                        <w:top w:val="none" w:sz="0" w:space="0" w:color="auto"/>
                        <w:left w:val="none" w:sz="0" w:space="0" w:color="auto"/>
                        <w:bottom w:val="none" w:sz="0" w:space="0" w:color="auto"/>
                        <w:right w:val="none" w:sz="0" w:space="0" w:color="auto"/>
                      </w:divBdr>
                    </w:div>
                  </w:divsChild>
                </w:div>
                <w:div w:id="1768307829">
                  <w:marLeft w:val="0"/>
                  <w:marRight w:val="0"/>
                  <w:marTop w:val="0"/>
                  <w:marBottom w:val="0"/>
                  <w:divBdr>
                    <w:top w:val="none" w:sz="0" w:space="0" w:color="auto"/>
                    <w:left w:val="none" w:sz="0" w:space="0" w:color="auto"/>
                    <w:bottom w:val="none" w:sz="0" w:space="0" w:color="auto"/>
                    <w:right w:val="none" w:sz="0" w:space="0" w:color="auto"/>
                  </w:divBdr>
                  <w:divsChild>
                    <w:div w:id="649166162">
                      <w:marLeft w:val="0"/>
                      <w:marRight w:val="0"/>
                      <w:marTop w:val="0"/>
                      <w:marBottom w:val="0"/>
                      <w:divBdr>
                        <w:top w:val="none" w:sz="0" w:space="0" w:color="auto"/>
                        <w:left w:val="none" w:sz="0" w:space="0" w:color="auto"/>
                        <w:bottom w:val="none" w:sz="0" w:space="0" w:color="auto"/>
                        <w:right w:val="none" w:sz="0" w:space="0" w:color="auto"/>
                      </w:divBdr>
                    </w:div>
                  </w:divsChild>
                </w:div>
                <w:div w:id="1789666928">
                  <w:marLeft w:val="0"/>
                  <w:marRight w:val="0"/>
                  <w:marTop w:val="0"/>
                  <w:marBottom w:val="0"/>
                  <w:divBdr>
                    <w:top w:val="none" w:sz="0" w:space="0" w:color="auto"/>
                    <w:left w:val="none" w:sz="0" w:space="0" w:color="auto"/>
                    <w:bottom w:val="none" w:sz="0" w:space="0" w:color="auto"/>
                    <w:right w:val="none" w:sz="0" w:space="0" w:color="auto"/>
                  </w:divBdr>
                  <w:divsChild>
                    <w:div w:id="517894718">
                      <w:marLeft w:val="0"/>
                      <w:marRight w:val="0"/>
                      <w:marTop w:val="0"/>
                      <w:marBottom w:val="0"/>
                      <w:divBdr>
                        <w:top w:val="none" w:sz="0" w:space="0" w:color="auto"/>
                        <w:left w:val="none" w:sz="0" w:space="0" w:color="auto"/>
                        <w:bottom w:val="none" w:sz="0" w:space="0" w:color="auto"/>
                        <w:right w:val="none" w:sz="0" w:space="0" w:color="auto"/>
                      </w:divBdr>
                    </w:div>
                  </w:divsChild>
                </w:div>
                <w:div w:id="1794204272">
                  <w:marLeft w:val="0"/>
                  <w:marRight w:val="0"/>
                  <w:marTop w:val="0"/>
                  <w:marBottom w:val="0"/>
                  <w:divBdr>
                    <w:top w:val="none" w:sz="0" w:space="0" w:color="auto"/>
                    <w:left w:val="none" w:sz="0" w:space="0" w:color="auto"/>
                    <w:bottom w:val="none" w:sz="0" w:space="0" w:color="auto"/>
                    <w:right w:val="none" w:sz="0" w:space="0" w:color="auto"/>
                  </w:divBdr>
                  <w:divsChild>
                    <w:div w:id="83655141">
                      <w:marLeft w:val="0"/>
                      <w:marRight w:val="0"/>
                      <w:marTop w:val="0"/>
                      <w:marBottom w:val="0"/>
                      <w:divBdr>
                        <w:top w:val="none" w:sz="0" w:space="0" w:color="auto"/>
                        <w:left w:val="none" w:sz="0" w:space="0" w:color="auto"/>
                        <w:bottom w:val="none" w:sz="0" w:space="0" w:color="auto"/>
                        <w:right w:val="none" w:sz="0" w:space="0" w:color="auto"/>
                      </w:divBdr>
                    </w:div>
                    <w:div w:id="1618171410">
                      <w:marLeft w:val="0"/>
                      <w:marRight w:val="0"/>
                      <w:marTop w:val="0"/>
                      <w:marBottom w:val="0"/>
                      <w:divBdr>
                        <w:top w:val="none" w:sz="0" w:space="0" w:color="auto"/>
                        <w:left w:val="none" w:sz="0" w:space="0" w:color="auto"/>
                        <w:bottom w:val="none" w:sz="0" w:space="0" w:color="auto"/>
                        <w:right w:val="none" w:sz="0" w:space="0" w:color="auto"/>
                      </w:divBdr>
                    </w:div>
                  </w:divsChild>
                </w:div>
                <w:div w:id="1794211367">
                  <w:marLeft w:val="0"/>
                  <w:marRight w:val="0"/>
                  <w:marTop w:val="0"/>
                  <w:marBottom w:val="0"/>
                  <w:divBdr>
                    <w:top w:val="none" w:sz="0" w:space="0" w:color="auto"/>
                    <w:left w:val="none" w:sz="0" w:space="0" w:color="auto"/>
                    <w:bottom w:val="none" w:sz="0" w:space="0" w:color="auto"/>
                    <w:right w:val="none" w:sz="0" w:space="0" w:color="auto"/>
                  </w:divBdr>
                  <w:divsChild>
                    <w:div w:id="1825510934">
                      <w:marLeft w:val="0"/>
                      <w:marRight w:val="0"/>
                      <w:marTop w:val="0"/>
                      <w:marBottom w:val="0"/>
                      <w:divBdr>
                        <w:top w:val="none" w:sz="0" w:space="0" w:color="auto"/>
                        <w:left w:val="none" w:sz="0" w:space="0" w:color="auto"/>
                        <w:bottom w:val="none" w:sz="0" w:space="0" w:color="auto"/>
                        <w:right w:val="none" w:sz="0" w:space="0" w:color="auto"/>
                      </w:divBdr>
                    </w:div>
                  </w:divsChild>
                </w:div>
                <w:div w:id="1799882387">
                  <w:marLeft w:val="0"/>
                  <w:marRight w:val="0"/>
                  <w:marTop w:val="0"/>
                  <w:marBottom w:val="0"/>
                  <w:divBdr>
                    <w:top w:val="none" w:sz="0" w:space="0" w:color="auto"/>
                    <w:left w:val="none" w:sz="0" w:space="0" w:color="auto"/>
                    <w:bottom w:val="none" w:sz="0" w:space="0" w:color="auto"/>
                    <w:right w:val="none" w:sz="0" w:space="0" w:color="auto"/>
                  </w:divBdr>
                  <w:divsChild>
                    <w:div w:id="330639392">
                      <w:marLeft w:val="0"/>
                      <w:marRight w:val="0"/>
                      <w:marTop w:val="0"/>
                      <w:marBottom w:val="0"/>
                      <w:divBdr>
                        <w:top w:val="none" w:sz="0" w:space="0" w:color="auto"/>
                        <w:left w:val="none" w:sz="0" w:space="0" w:color="auto"/>
                        <w:bottom w:val="none" w:sz="0" w:space="0" w:color="auto"/>
                        <w:right w:val="none" w:sz="0" w:space="0" w:color="auto"/>
                      </w:divBdr>
                    </w:div>
                  </w:divsChild>
                </w:div>
                <w:div w:id="1896156551">
                  <w:marLeft w:val="0"/>
                  <w:marRight w:val="0"/>
                  <w:marTop w:val="0"/>
                  <w:marBottom w:val="0"/>
                  <w:divBdr>
                    <w:top w:val="none" w:sz="0" w:space="0" w:color="auto"/>
                    <w:left w:val="none" w:sz="0" w:space="0" w:color="auto"/>
                    <w:bottom w:val="none" w:sz="0" w:space="0" w:color="auto"/>
                    <w:right w:val="none" w:sz="0" w:space="0" w:color="auto"/>
                  </w:divBdr>
                  <w:divsChild>
                    <w:div w:id="888224251">
                      <w:marLeft w:val="0"/>
                      <w:marRight w:val="0"/>
                      <w:marTop w:val="0"/>
                      <w:marBottom w:val="0"/>
                      <w:divBdr>
                        <w:top w:val="none" w:sz="0" w:space="0" w:color="auto"/>
                        <w:left w:val="none" w:sz="0" w:space="0" w:color="auto"/>
                        <w:bottom w:val="none" w:sz="0" w:space="0" w:color="auto"/>
                        <w:right w:val="none" w:sz="0" w:space="0" w:color="auto"/>
                      </w:divBdr>
                    </w:div>
                    <w:div w:id="1917545341">
                      <w:marLeft w:val="0"/>
                      <w:marRight w:val="0"/>
                      <w:marTop w:val="0"/>
                      <w:marBottom w:val="0"/>
                      <w:divBdr>
                        <w:top w:val="none" w:sz="0" w:space="0" w:color="auto"/>
                        <w:left w:val="none" w:sz="0" w:space="0" w:color="auto"/>
                        <w:bottom w:val="none" w:sz="0" w:space="0" w:color="auto"/>
                        <w:right w:val="none" w:sz="0" w:space="0" w:color="auto"/>
                      </w:divBdr>
                    </w:div>
                  </w:divsChild>
                </w:div>
                <w:div w:id="1900702318">
                  <w:marLeft w:val="0"/>
                  <w:marRight w:val="0"/>
                  <w:marTop w:val="0"/>
                  <w:marBottom w:val="0"/>
                  <w:divBdr>
                    <w:top w:val="none" w:sz="0" w:space="0" w:color="auto"/>
                    <w:left w:val="none" w:sz="0" w:space="0" w:color="auto"/>
                    <w:bottom w:val="none" w:sz="0" w:space="0" w:color="auto"/>
                    <w:right w:val="none" w:sz="0" w:space="0" w:color="auto"/>
                  </w:divBdr>
                  <w:divsChild>
                    <w:div w:id="291640504">
                      <w:marLeft w:val="0"/>
                      <w:marRight w:val="0"/>
                      <w:marTop w:val="0"/>
                      <w:marBottom w:val="0"/>
                      <w:divBdr>
                        <w:top w:val="none" w:sz="0" w:space="0" w:color="auto"/>
                        <w:left w:val="none" w:sz="0" w:space="0" w:color="auto"/>
                        <w:bottom w:val="none" w:sz="0" w:space="0" w:color="auto"/>
                        <w:right w:val="none" w:sz="0" w:space="0" w:color="auto"/>
                      </w:divBdr>
                    </w:div>
                    <w:div w:id="1962762931">
                      <w:marLeft w:val="0"/>
                      <w:marRight w:val="0"/>
                      <w:marTop w:val="0"/>
                      <w:marBottom w:val="0"/>
                      <w:divBdr>
                        <w:top w:val="none" w:sz="0" w:space="0" w:color="auto"/>
                        <w:left w:val="none" w:sz="0" w:space="0" w:color="auto"/>
                        <w:bottom w:val="none" w:sz="0" w:space="0" w:color="auto"/>
                        <w:right w:val="none" w:sz="0" w:space="0" w:color="auto"/>
                      </w:divBdr>
                    </w:div>
                  </w:divsChild>
                </w:div>
                <w:div w:id="1929070038">
                  <w:marLeft w:val="0"/>
                  <w:marRight w:val="0"/>
                  <w:marTop w:val="0"/>
                  <w:marBottom w:val="0"/>
                  <w:divBdr>
                    <w:top w:val="none" w:sz="0" w:space="0" w:color="auto"/>
                    <w:left w:val="none" w:sz="0" w:space="0" w:color="auto"/>
                    <w:bottom w:val="none" w:sz="0" w:space="0" w:color="auto"/>
                    <w:right w:val="none" w:sz="0" w:space="0" w:color="auto"/>
                  </w:divBdr>
                  <w:divsChild>
                    <w:div w:id="875702751">
                      <w:marLeft w:val="0"/>
                      <w:marRight w:val="0"/>
                      <w:marTop w:val="0"/>
                      <w:marBottom w:val="0"/>
                      <w:divBdr>
                        <w:top w:val="none" w:sz="0" w:space="0" w:color="auto"/>
                        <w:left w:val="none" w:sz="0" w:space="0" w:color="auto"/>
                        <w:bottom w:val="none" w:sz="0" w:space="0" w:color="auto"/>
                        <w:right w:val="none" w:sz="0" w:space="0" w:color="auto"/>
                      </w:divBdr>
                    </w:div>
                    <w:div w:id="1056587131">
                      <w:marLeft w:val="0"/>
                      <w:marRight w:val="0"/>
                      <w:marTop w:val="0"/>
                      <w:marBottom w:val="0"/>
                      <w:divBdr>
                        <w:top w:val="none" w:sz="0" w:space="0" w:color="auto"/>
                        <w:left w:val="none" w:sz="0" w:space="0" w:color="auto"/>
                        <w:bottom w:val="none" w:sz="0" w:space="0" w:color="auto"/>
                        <w:right w:val="none" w:sz="0" w:space="0" w:color="auto"/>
                      </w:divBdr>
                    </w:div>
                  </w:divsChild>
                </w:div>
                <w:div w:id="1962297400">
                  <w:marLeft w:val="0"/>
                  <w:marRight w:val="0"/>
                  <w:marTop w:val="0"/>
                  <w:marBottom w:val="0"/>
                  <w:divBdr>
                    <w:top w:val="none" w:sz="0" w:space="0" w:color="auto"/>
                    <w:left w:val="none" w:sz="0" w:space="0" w:color="auto"/>
                    <w:bottom w:val="none" w:sz="0" w:space="0" w:color="auto"/>
                    <w:right w:val="none" w:sz="0" w:space="0" w:color="auto"/>
                  </w:divBdr>
                  <w:divsChild>
                    <w:div w:id="603614324">
                      <w:marLeft w:val="0"/>
                      <w:marRight w:val="0"/>
                      <w:marTop w:val="0"/>
                      <w:marBottom w:val="0"/>
                      <w:divBdr>
                        <w:top w:val="none" w:sz="0" w:space="0" w:color="auto"/>
                        <w:left w:val="none" w:sz="0" w:space="0" w:color="auto"/>
                        <w:bottom w:val="none" w:sz="0" w:space="0" w:color="auto"/>
                        <w:right w:val="none" w:sz="0" w:space="0" w:color="auto"/>
                      </w:divBdr>
                    </w:div>
                    <w:div w:id="1448155074">
                      <w:marLeft w:val="0"/>
                      <w:marRight w:val="0"/>
                      <w:marTop w:val="0"/>
                      <w:marBottom w:val="0"/>
                      <w:divBdr>
                        <w:top w:val="none" w:sz="0" w:space="0" w:color="auto"/>
                        <w:left w:val="none" w:sz="0" w:space="0" w:color="auto"/>
                        <w:bottom w:val="none" w:sz="0" w:space="0" w:color="auto"/>
                        <w:right w:val="none" w:sz="0" w:space="0" w:color="auto"/>
                      </w:divBdr>
                    </w:div>
                  </w:divsChild>
                </w:div>
                <w:div w:id="2035110020">
                  <w:marLeft w:val="0"/>
                  <w:marRight w:val="0"/>
                  <w:marTop w:val="0"/>
                  <w:marBottom w:val="0"/>
                  <w:divBdr>
                    <w:top w:val="none" w:sz="0" w:space="0" w:color="auto"/>
                    <w:left w:val="none" w:sz="0" w:space="0" w:color="auto"/>
                    <w:bottom w:val="none" w:sz="0" w:space="0" w:color="auto"/>
                    <w:right w:val="none" w:sz="0" w:space="0" w:color="auto"/>
                  </w:divBdr>
                  <w:divsChild>
                    <w:div w:id="1805076618">
                      <w:marLeft w:val="0"/>
                      <w:marRight w:val="0"/>
                      <w:marTop w:val="0"/>
                      <w:marBottom w:val="0"/>
                      <w:divBdr>
                        <w:top w:val="none" w:sz="0" w:space="0" w:color="auto"/>
                        <w:left w:val="none" w:sz="0" w:space="0" w:color="auto"/>
                        <w:bottom w:val="none" w:sz="0" w:space="0" w:color="auto"/>
                        <w:right w:val="none" w:sz="0" w:space="0" w:color="auto"/>
                      </w:divBdr>
                    </w:div>
                  </w:divsChild>
                </w:div>
                <w:div w:id="2054889248">
                  <w:marLeft w:val="0"/>
                  <w:marRight w:val="0"/>
                  <w:marTop w:val="0"/>
                  <w:marBottom w:val="0"/>
                  <w:divBdr>
                    <w:top w:val="none" w:sz="0" w:space="0" w:color="auto"/>
                    <w:left w:val="none" w:sz="0" w:space="0" w:color="auto"/>
                    <w:bottom w:val="none" w:sz="0" w:space="0" w:color="auto"/>
                    <w:right w:val="none" w:sz="0" w:space="0" w:color="auto"/>
                  </w:divBdr>
                  <w:divsChild>
                    <w:div w:id="1878394466">
                      <w:marLeft w:val="0"/>
                      <w:marRight w:val="0"/>
                      <w:marTop w:val="0"/>
                      <w:marBottom w:val="0"/>
                      <w:divBdr>
                        <w:top w:val="none" w:sz="0" w:space="0" w:color="auto"/>
                        <w:left w:val="none" w:sz="0" w:space="0" w:color="auto"/>
                        <w:bottom w:val="none" w:sz="0" w:space="0" w:color="auto"/>
                        <w:right w:val="none" w:sz="0" w:space="0" w:color="auto"/>
                      </w:divBdr>
                    </w:div>
                  </w:divsChild>
                </w:div>
                <w:div w:id="2137751498">
                  <w:marLeft w:val="0"/>
                  <w:marRight w:val="0"/>
                  <w:marTop w:val="0"/>
                  <w:marBottom w:val="0"/>
                  <w:divBdr>
                    <w:top w:val="none" w:sz="0" w:space="0" w:color="auto"/>
                    <w:left w:val="none" w:sz="0" w:space="0" w:color="auto"/>
                    <w:bottom w:val="none" w:sz="0" w:space="0" w:color="auto"/>
                    <w:right w:val="none" w:sz="0" w:space="0" w:color="auto"/>
                  </w:divBdr>
                  <w:divsChild>
                    <w:div w:id="1122386705">
                      <w:marLeft w:val="0"/>
                      <w:marRight w:val="0"/>
                      <w:marTop w:val="0"/>
                      <w:marBottom w:val="0"/>
                      <w:divBdr>
                        <w:top w:val="none" w:sz="0" w:space="0" w:color="auto"/>
                        <w:left w:val="none" w:sz="0" w:space="0" w:color="auto"/>
                        <w:bottom w:val="none" w:sz="0" w:space="0" w:color="auto"/>
                        <w:right w:val="none" w:sz="0" w:space="0" w:color="auto"/>
                      </w:divBdr>
                    </w:div>
                  </w:divsChild>
                </w:div>
                <w:div w:id="2142532140">
                  <w:marLeft w:val="0"/>
                  <w:marRight w:val="0"/>
                  <w:marTop w:val="0"/>
                  <w:marBottom w:val="0"/>
                  <w:divBdr>
                    <w:top w:val="none" w:sz="0" w:space="0" w:color="auto"/>
                    <w:left w:val="none" w:sz="0" w:space="0" w:color="auto"/>
                    <w:bottom w:val="none" w:sz="0" w:space="0" w:color="auto"/>
                    <w:right w:val="none" w:sz="0" w:space="0" w:color="auto"/>
                  </w:divBdr>
                  <w:divsChild>
                    <w:div w:id="47457092">
                      <w:marLeft w:val="0"/>
                      <w:marRight w:val="0"/>
                      <w:marTop w:val="0"/>
                      <w:marBottom w:val="0"/>
                      <w:divBdr>
                        <w:top w:val="none" w:sz="0" w:space="0" w:color="auto"/>
                        <w:left w:val="none" w:sz="0" w:space="0" w:color="auto"/>
                        <w:bottom w:val="none" w:sz="0" w:space="0" w:color="auto"/>
                        <w:right w:val="none" w:sz="0" w:space="0" w:color="auto"/>
                      </w:divBdr>
                    </w:div>
                  </w:divsChild>
                </w:div>
                <w:div w:id="2146703787">
                  <w:marLeft w:val="0"/>
                  <w:marRight w:val="0"/>
                  <w:marTop w:val="0"/>
                  <w:marBottom w:val="0"/>
                  <w:divBdr>
                    <w:top w:val="none" w:sz="0" w:space="0" w:color="auto"/>
                    <w:left w:val="none" w:sz="0" w:space="0" w:color="auto"/>
                    <w:bottom w:val="none" w:sz="0" w:space="0" w:color="auto"/>
                    <w:right w:val="none" w:sz="0" w:space="0" w:color="auto"/>
                  </w:divBdr>
                  <w:divsChild>
                    <w:div w:id="8286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42685">
          <w:marLeft w:val="0"/>
          <w:marRight w:val="0"/>
          <w:marTop w:val="0"/>
          <w:marBottom w:val="0"/>
          <w:divBdr>
            <w:top w:val="none" w:sz="0" w:space="0" w:color="auto"/>
            <w:left w:val="none" w:sz="0" w:space="0" w:color="auto"/>
            <w:bottom w:val="none" w:sz="0" w:space="0" w:color="auto"/>
            <w:right w:val="none" w:sz="0" w:space="0" w:color="auto"/>
          </w:divBdr>
        </w:div>
        <w:div w:id="959149238">
          <w:marLeft w:val="0"/>
          <w:marRight w:val="0"/>
          <w:marTop w:val="0"/>
          <w:marBottom w:val="0"/>
          <w:divBdr>
            <w:top w:val="none" w:sz="0" w:space="0" w:color="auto"/>
            <w:left w:val="none" w:sz="0" w:space="0" w:color="auto"/>
            <w:bottom w:val="none" w:sz="0" w:space="0" w:color="auto"/>
            <w:right w:val="none" w:sz="0" w:space="0" w:color="auto"/>
          </w:divBdr>
        </w:div>
        <w:div w:id="1198742517">
          <w:marLeft w:val="0"/>
          <w:marRight w:val="0"/>
          <w:marTop w:val="0"/>
          <w:marBottom w:val="0"/>
          <w:divBdr>
            <w:top w:val="none" w:sz="0" w:space="0" w:color="auto"/>
            <w:left w:val="none" w:sz="0" w:space="0" w:color="auto"/>
            <w:bottom w:val="none" w:sz="0" w:space="0" w:color="auto"/>
            <w:right w:val="none" w:sz="0" w:space="0" w:color="auto"/>
          </w:divBdr>
        </w:div>
        <w:div w:id="1692996493">
          <w:marLeft w:val="0"/>
          <w:marRight w:val="0"/>
          <w:marTop w:val="0"/>
          <w:marBottom w:val="0"/>
          <w:divBdr>
            <w:top w:val="none" w:sz="0" w:space="0" w:color="auto"/>
            <w:left w:val="none" w:sz="0" w:space="0" w:color="auto"/>
            <w:bottom w:val="none" w:sz="0" w:space="0" w:color="auto"/>
            <w:right w:val="none" w:sz="0" w:space="0" w:color="auto"/>
          </w:divBdr>
        </w:div>
      </w:divsChild>
    </w:div>
    <w:div w:id="1670794336">
      <w:bodyDiv w:val="1"/>
      <w:marLeft w:val="0"/>
      <w:marRight w:val="0"/>
      <w:marTop w:val="0"/>
      <w:marBottom w:val="0"/>
      <w:divBdr>
        <w:top w:val="none" w:sz="0" w:space="0" w:color="auto"/>
        <w:left w:val="none" w:sz="0" w:space="0" w:color="auto"/>
        <w:bottom w:val="none" w:sz="0" w:space="0" w:color="auto"/>
        <w:right w:val="none" w:sz="0" w:space="0" w:color="auto"/>
      </w:divBdr>
      <w:divsChild>
        <w:div w:id="240599854">
          <w:marLeft w:val="0"/>
          <w:marRight w:val="0"/>
          <w:marTop w:val="0"/>
          <w:marBottom w:val="0"/>
          <w:divBdr>
            <w:top w:val="none" w:sz="0" w:space="0" w:color="auto"/>
            <w:left w:val="none" w:sz="0" w:space="0" w:color="auto"/>
            <w:bottom w:val="none" w:sz="0" w:space="0" w:color="auto"/>
            <w:right w:val="none" w:sz="0" w:space="0" w:color="auto"/>
          </w:divBdr>
        </w:div>
        <w:div w:id="276257565">
          <w:marLeft w:val="0"/>
          <w:marRight w:val="0"/>
          <w:marTop w:val="0"/>
          <w:marBottom w:val="0"/>
          <w:divBdr>
            <w:top w:val="none" w:sz="0" w:space="0" w:color="auto"/>
            <w:left w:val="none" w:sz="0" w:space="0" w:color="auto"/>
            <w:bottom w:val="none" w:sz="0" w:space="0" w:color="auto"/>
            <w:right w:val="none" w:sz="0" w:space="0" w:color="auto"/>
          </w:divBdr>
        </w:div>
      </w:divsChild>
    </w:div>
    <w:div w:id="1777601082">
      <w:bodyDiv w:val="1"/>
      <w:marLeft w:val="0"/>
      <w:marRight w:val="0"/>
      <w:marTop w:val="0"/>
      <w:marBottom w:val="0"/>
      <w:divBdr>
        <w:top w:val="none" w:sz="0" w:space="0" w:color="auto"/>
        <w:left w:val="none" w:sz="0" w:space="0" w:color="auto"/>
        <w:bottom w:val="none" w:sz="0" w:space="0" w:color="auto"/>
        <w:right w:val="none" w:sz="0" w:space="0" w:color="auto"/>
      </w:divBdr>
    </w:div>
    <w:div w:id="1790201772">
      <w:bodyDiv w:val="1"/>
      <w:marLeft w:val="0"/>
      <w:marRight w:val="0"/>
      <w:marTop w:val="0"/>
      <w:marBottom w:val="0"/>
      <w:divBdr>
        <w:top w:val="none" w:sz="0" w:space="0" w:color="auto"/>
        <w:left w:val="none" w:sz="0" w:space="0" w:color="auto"/>
        <w:bottom w:val="none" w:sz="0" w:space="0" w:color="auto"/>
        <w:right w:val="none" w:sz="0" w:space="0" w:color="auto"/>
      </w:divBdr>
    </w:div>
    <w:div w:id="1799253014">
      <w:bodyDiv w:val="1"/>
      <w:marLeft w:val="0"/>
      <w:marRight w:val="0"/>
      <w:marTop w:val="0"/>
      <w:marBottom w:val="0"/>
      <w:divBdr>
        <w:top w:val="none" w:sz="0" w:space="0" w:color="auto"/>
        <w:left w:val="none" w:sz="0" w:space="0" w:color="auto"/>
        <w:bottom w:val="none" w:sz="0" w:space="0" w:color="auto"/>
        <w:right w:val="none" w:sz="0" w:space="0" w:color="auto"/>
      </w:divBdr>
      <w:divsChild>
        <w:div w:id="1402170008">
          <w:marLeft w:val="0"/>
          <w:marRight w:val="0"/>
          <w:marTop w:val="0"/>
          <w:marBottom w:val="0"/>
          <w:divBdr>
            <w:top w:val="none" w:sz="0" w:space="0" w:color="auto"/>
            <w:left w:val="none" w:sz="0" w:space="0" w:color="auto"/>
            <w:bottom w:val="none" w:sz="0" w:space="0" w:color="auto"/>
            <w:right w:val="none" w:sz="0" w:space="0" w:color="auto"/>
          </w:divBdr>
        </w:div>
        <w:div w:id="1644577122">
          <w:marLeft w:val="0"/>
          <w:marRight w:val="0"/>
          <w:marTop w:val="0"/>
          <w:marBottom w:val="0"/>
          <w:divBdr>
            <w:top w:val="none" w:sz="0" w:space="0" w:color="auto"/>
            <w:left w:val="none" w:sz="0" w:space="0" w:color="auto"/>
            <w:bottom w:val="none" w:sz="0" w:space="0" w:color="auto"/>
            <w:right w:val="none" w:sz="0" w:space="0" w:color="auto"/>
          </w:divBdr>
        </w:div>
        <w:div w:id="2010985588">
          <w:marLeft w:val="0"/>
          <w:marRight w:val="0"/>
          <w:marTop w:val="0"/>
          <w:marBottom w:val="0"/>
          <w:divBdr>
            <w:top w:val="none" w:sz="0" w:space="0" w:color="auto"/>
            <w:left w:val="none" w:sz="0" w:space="0" w:color="auto"/>
            <w:bottom w:val="none" w:sz="0" w:space="0" w:color="auto"/>
            <w:right w:val="none" w:sz="0" w:space="0" w:color="auto"/>
          </w:divBdr>
        </w:div>
      </w:divsChild>
    </w:div>
    <w:div w:id="1854757670">
      <w:bodyDiv w:val="1"/>
      <w:marLeft w:val="0"/>
      <w:marRight w:val="0"/>
      <w:marTop w:val="0"/>
      <w:marBottom w:val="0"/>
      <w:divBdr>
        <w:top w:val="none" w:sz="0" w:space="0" w:color="auto"/>
        <w:left w:val="none" w:sz="0" w:space="0" w:color="auto"/>
        <w:bottom w:val="none" w:sz="0" w:space="0" w:color="auto"/>
        <w:right w:val="none" w:sz="0" w:space="0" w:color="auto"/>
      </w:divBdr>
    </w:div>
    <w:div w:id="19011645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5111612">
      <w:bodyDiv w:val="1"/>
      <w:marLeft w:val="0"/>
      <w:marRight w:val="0"/>
      <w:marTop w:val="0"/>
      <w:marBottom w:val="0"/>
      <w:divBdr>
        <w:top w:val="none" w:sz="0" w:space="0" w:color="auto"/>
        <w:left w:val="none" w:sz="0" w:space="0" w:color="auto"/>
        <w:bottom w:val="none" w:sz="0" w:space="0" w:color="auto"/>
        <w:right w:val="none" w:sz="0" w:space="0" w:color="auto"/>
      </w:divBdr>
      <w:divsChild>
        <w:div w:id="570625483">
          <w:marLeft w:val="0"/>
          <w:marRight w:val="0"/>
          <w:marTop w:val="0"/>
          <w:marBottom w:val="0"/>
          <w:divBdr>
            <w:top w:val="none" w:sz="0" w:space="0" w:color="auto"/>
            <w:left w:val="none" w:sz="0" w:space="0" w:color="auto"/>
            <w:bottom w:val="none" w:sz="0" w:space="0" w:color="auto"/>
            <w:right w:val="none" w:sz="0" w:space="0" w:color="auto"/>
          </w:divBdr>
        </w:div>
        <w:div w:id="667712653">
          <w:marLeft w:val="0"/>
          <w:marRight w:val="0"/>
          <w:marTop w:val="0"/>
          <w:marBottom w:val="0"/>
          <w:divBdr>
            <w:top w:val="none" w:sz="0" w:space="0" w:color="auto"/>
            <w:left w:val="none" w:sz="0" w:space="0" w:color="auto"/>
            <w:bottom w:val="none" w:sz="0" w:space="0" w:color="auto"/>
            <w:right w:val="none" w:sz="0" w:space="0" w:color="auto"/>
          </w:divBdr>
        </w:div>
        <w:div w:id="696934284">
          <w:marLeft w:val="0"/>
          <w:marRight w:val="0"/>
          <w:marTop w:val="0"/>
          <w:marBottom w:val="0"/>
          <w:divBdr>
            <w:top w:val="none" w:sz="0" w:space="0" w:color="auto"/>
            <w:left w:val="none" w:sz="0" w:space="0" w:color="auto"/>
            <w:bottom w:val="none" w:sz="0" w:space="0" w:color="auto"/>
            <w:right w:val="none" w:sz="0" w:space="0" w:color="auto"/>
          </w:divBdr>
          <w:divsChild>
            <w:div w:id="1814904821">
              <w:marLeft w:val="0"/>
              <w:marRight w:val="0"/>
              <w:marTop w:val="30"/>
              <w:marBottom w:val="30"/>
              <w:divBdr>
                <w:top w:val="none" w:sz="0" w:space="0" w:color="auto"/>
                <w:left w:val="none" w:sz="0" w:space="0" w:color="auto"/>
                <w:bottom w:val="none" w:sz="0" w:space="0" w:color="auto"/>
                <w:right w:val="none" w:sz="0" w:space="0" w:color="auto"/>
              </w:divBdr>
              <w:divsChild>
                <w:div w:id="35395223">
                  <w:marLeft w:val="0"/>
                  <w:marRight w:val="0"/>
                  <w:marTop w:val="0"/>
                  <w:marBottom w:val="0"/>
                  <w:divBdr>
                    <w:top w:val="none" w:sz="0" w:space="0" w:color="auto"/>
                    <w:left w:val="none" w:sz="0" w:space="0" w:color="auto"/>
                    <w:bottom w:val="none" w:sz="0" w:space="0" w:color="auto"/>
                    <w:right w:val="none" w:sz="0" w:space="0" w:color="auto"/>
                  </w:divBdr>
                  <w:divsChild>
                    <w:div w:id="340817128">
                      <w:marLeft w:val="0"/>
                      <w:marRight w:val="0"/>
                      <w:marTop w:val="0"/>
                      <w:marBottom w:val="0"/>
                      <w:divBdr>
                        <w:top w:val="none" w:sz="0" w:space="0" w:color="auto"/>
                        <w:left w:val="none" w:sz="0" w:space="0" w:color="auto"/>
                        <w:bottom w:val="none" w:sz="0" w:space="0" w:color="auto"/>
                        <w:right w:val="none" w:sz="0" w:space="0" w:color="auto"/>
                      </w:divBdr>
                    </w:div>
                  </w:divsChild>
                </w:div>
                <w:div w:id="63257920">
                  <w:marLeft w:val="0"/>
                  <w:marRight w:val="0"/>
                  <w:marTop w:val="0"/>
                  <w:marBottom w:val="0"/>
                  <w:divBdr>
                    <w:top w:val="none" w:sz="0" w:space="0" w:color="auto"/>
                    <w:left w:val="none" w:sz="0" w:space="0" w:color="auto"/>
                    <w:bottom w:val="none" w:sz="0" w:space="0" w:color="auto"/>
                    <w:right w:val="none" w:sz="0" w:space="0" w:color="auto"/>
                  </w:divBdr>
                  <w:divsChild>
                    <w:div w:id="309604095">
                      <w:marLeft w:val="0"/>
                      <w:marRight w:val="0"/>
                      <w:marTop w:val="0"/>
                      <w:marBottom w:val="0"/>
                      <w:divBdr>
                        <w:top w:val="none" w:sz="0" w:space="0" w:color="auto"/>
                        <w:left w:val="none" w:sz="0" w:space="0" w:color="auto"/>
                        <w:bottom w:val="none" w:sz="0" w:space="0" w:color="auto"/>
                        <w:right w:val="none" w:sz="0" w:space="0" w:color="auto"/>
                      </w:divBdr>
                    </w:div>
                  </w:divsChild>
                </w:div>
                <w:div w:id="72314387">
                  <w:marLeft w:val="0"/>
                  <w:marRight w:val="0"/>
                  <w:marTop w:val="0"/>
                  <w:marBottom w:val="0"/>
                  <w:divBdr>
                    <w:top w:val="none" w:sz="0" w:space="0" w:color="auto"/>
                    <w:left w:val="none" w:sz="0" w:space="0" w:color="auto"/>
                    <w:bottom w:val="none" w:sz="0" w:space="0" w:color="auto"/>
                    <w:right w:val="none" w:sz="0" w:space="0" w:color="auto"/>
                  </w:divBdr>
                  <w:divsChild>
                    <w:div w:id="1794128773">
                      <w:marLeft w:val="0"/>
                      <w:marRight w:val="0"/>
                      <w:marTop w:val="0"/>
                      <w:marBottom w:val="0"/>
                      <w:divBdr>
                        <w:top w:val="none" w:sz="0" w:space="0" w:color="auto"/>
                        <w:left w:val="none" w:sz="0" w:space="0" w:color="auto"/>
                        <w:bottom w:val="none" w:sz="0" w:space="0" w:color="auto"/>
                        <w:right w:val="none" w:sz="0" w:space="0" w:color="auto"/>
                      </w:divBdr>
                    </w:div>
                  </w:divsChild>
                </w:div>
                <w:div w:id="134875611">
                  <w:marLeft w:val="0"/>
                  <w:marRight w:val="0"/>
                  <w:marTop w:val="0"/>
                  <w:marBottom w:val="0"/>
                  <w:divBdr>
                    <w:top w:val="none" w:sz="0" w:space="0" w:color="auto"/>
                    <w:left w:val="none" w:sz="0" w:space="0" w:color="auto"/>
                    <w:bottom w:val="none" w:sz="0" w:space="0" w:color="auto"/>
                    <w:right w:val="none" w:sz="0" w:space="0" w:color="auto"/>
                  </w:divBdr>
                  <w:divsChild>
                    <w:div w:id="1233856778">
                      <w:marLeft w:val="0"/>
                      <w:marRight w:val="0"/>
                      <w:marTop w:val="0"/>
                      <w:marBottom w:val="0"/>
                      <w:divBdr>
                        <w:top w:val="none" w:sz="0" w:space="0" w:color="auto"/>
                        <w:left w:val="none" w:sz="0" w:space="0" w:color="auto"/>
                        <w:bottom w:val="none" w:sz="0" w:space="0" w:color="auto"/>
                        <w:right w:val="none" w:sz="0" w:space="0" w:color="auto"/>
                      </w:divBdr>
                    </w:div>
                  </w:divsChild>
                </w:div>
                <w:div w:id="146093020">
                  <w:marLeft w:val="0"/>
                  <w:marRight w:val="0"/>
                  <w:marTop w:val="0"/>
                  <w:marBottom w:val="0"/>
                  <w:divBdr>
                    <w:top w:val="none" w:sz="0" w:space="0" w:color="auto"/>
                    <w:left w:val="none" w:sz="0" w:space="0" w:color="auto"/>
                    <w:bottom w:val="none" w:sz="0" w:space="0" w:color="auto"/>
                    <w:right w:val="none" w:sz="0" w:space="0" w:color="auto"/>
                  </w:divBdr>
                  <w:divsChild>
                    <w:div w:id="1109931509">
                      <w:marLeft w:val="0"/>
                      <w:marRight w:val="0"/>
                      <w:marTop w:val="0"/>
                      <w:marBottom w:val="0"/>
                      <w:divBdr>
                        <w:top w:val="none" w:sz="0" w:space="0" w:color="auto"/>
                        <w:left w:val="none" w:sz="0" w:space="0" w:color="auto"/>
                        <w:bottom w:val="none" w:sz="0" w:space="0" w:color="auto"/>
                        <w:right w:val="none" w:sz="0" w:space="0" w:color="auto"/>
                      </w:divBdr>
                    </w:div>
                  </w:divsChild>
                </w:div>
                <w:div w:id="229577558">
                  <w:marLeft w:val="0"/>
                  <w:marRight w:val="0"/>
                  <w:marTop w:val="0"/>
                  <w:marBottom w:val="0"/>
                  <w:divBdr>
                    <w:top w:val="none" w:sz="0" w:space="0" w:color="auto"/>
                    <w:left w:val="none" w:sz="0" w:space="0" w:color="auto"/>
                    <w:bottom w:val="none" w:sz="0" w:space="0" w:color="auto"/>
                    <w:right w:val="none" w:sz="0" w:space="0" w:color="auto"/>
                  </w:divBdr>
                  <w:divsChild>
                    <w:div w:id="756361566">
                      <w:marLeft w:val="0"/>
                      <w:marRight w:val="0"/>
                      <w:marTop w:val="0"/>
                      <w:marBottom w:val="0"/>
                      <w:divBdr>
                        <w:top w:val="none" w:sz="0" w:space="0" w:color="auto"/>
                        <w:left w:val="none" w:sz="0" w:space="0" w:color="auto"/>
                        <w:bottom w:val="none" w:sz="0" w:space="0" w:color="auto"/>
                        <w:right w:val="none" w:sz="0" w:space="0" w:color="auto"/>
                      </w:divBdr>
                    </w:div>
                  </w:divsChild>
                </w:div>
                <w:div w:id="377048076">
                  <w:marLeft w:val="0"/>
                  <w:marRight w:val="0"/>
                  <w:marTop w:val="0"/>
                  <w:marBottom w:val="0"/>
                  <w:divBdr>
                    <w:top w:val="none" w:sz="0" w:space="0" w:color="auto"/>
                    <w:left w:val="none" w:sz="0" w:space="0" w:color="auto"/>
                    <w:bottom w:val="none" w:sz="0" w:space="0" w:color="auto"/>
                    <w:right w:val="none" w:sz="0" w:space="0" w:color="auto"/>
                  </w:divBdr>
                  <w:divsChild>
                    <w:div w:id="142936255">
                      <w:marLeft w:val="0"/>
                      <w:marRight w:val="0"/>
                      <w:marTop w:val="0"/>
                      <w:marBottom w:val="0"/>
                      <w:divBdr>
                        <w:top w:val="none" w:sz="0" w:space="0" w:color="auto"/>
                        <w:left w:val="none" w:sz="0" w:space="0" w:color="auto"/>
                        <w:bottom w:val="none" w:sz="0" w:space="0" w:color="auto"/>
                        <w:right w:val="none" w:sz="0" w:space="0" w:color="auto"/>
                      </w:divBdr>
                    </w:div>
                  </w:divsChild>
                </w:div>
                <w:div w:id="665518718">
                  <w:marLeft w:val="0"/>
                  <w:marRight w:val="0"/>
                  <w:marTop w:val="0"/>
                  <w:marBottom w:val="0"/>
                  <w:divBdr>
                    <w:top w:val="none" w:sz="0" w:space="0" w:color="auto"/>
                    <w:left w:val="none" w:sz="0" w:space="0" w:color="auto"/>
                    <w:bottom w:val="none" w:sz="0" w:space="0" w:color="auto"/>
                    <w:right w:val="none" w:sz="0" w:space="0" w:color="auto"/>
                  </w:divBdr>
                  <w:divsChild>
                    <w:div w:id="445318802">
                      <w:marLeft w:val="0"/>
                      <w:marRight w:val="0"/>
                      <w:marTop w:val="0"/>
                      <w:marBottom w:val="0"/>
                      <w:divBdr>
                        <w:top w:val="none" w:sz="0" w:space="0" w:color="auto"/>
                        <w:left w:val="none" w:sz="0" w:space="0" w:color="auto"/>
                        <w:bottom w:val="none" w:sz="0" w:space="0" w:color="auto"/>
                        <w:right w:val="none" w:sz="0" w:space="0" w:color="auto"/>
                      </w:divBdr>
                    </w:div>
                  </w:divsChild>
                </w:div>
                <w:div w:id="694307172">
                  <w:marLeft w:val="0"/>
                  <w:marRight w:val="0"/>
                  <w:marTop w:val="0"/>
                  <w:marBottom w:val="0"/>
                  <w:divBdr>
                    <w:top w:val="none" w:sz="0" w:space="0" w:color="auto"/>
                    <w:left w:val="none" w:sz="0" w:space="0" w:color="auto"/>
                    <w:bottom w:val="none" w:sz="0" w:space="0" w:color="auto"/>
                    <w:right w:val="none" w:sz="0" w:space="0" w:color="auto"/>
                  </w:divBdr>
                  <w:divsChild>
                    <w:div w:id="1678265644">
                      <w:marLeft w:val="0"/>
                      <w:marRight w:val="0"/>
                      <w:marTop w:val="0"/>
                      <w:marBottom w:val="0"/>
                      <w:divBdr>
                        <w:top w:val="none" w:sz="0" w:space="0" w:color="auto"/>
                        <w:left w:val="none" w:sz="0" w:space="0" w:color="auto"/>
                        <w:bottom w:val="none" w:sz="0" w:space="0" w:color="auto"/>
                        <w:right w:val="none" w:sz="0" w:space="0" w:color="auto"/>
                      </w:divBdr>
                    </w:div>
                  </w:divsChild>
                </w:div>
                <w:div w:id="755636237">
                  <w:marLeft w:val="0"/>
                  <w:marRight w:val="0"/>
                  <w:marTop w:val="0"/>
                  <w:marBottom w:val="0"/>
                  <w:divBdr>
                    <w:top w:val="none" w:sz="0" w:space="0" w:color="auto"/>
                    <w:left w:val="none" w:sz="0" w:space="0" w:color="auto"/>
                    <w:bottom w:val="none" w:sz="0" w:space="0" w:color="auto"/>
                    <w:right w:val="none" w:sz="0" w:space="0" w:color="auto"/>
                  </w:divBdr>
                  <w:divsChild>
                    <w:div w:id="860314525">
                      <w:marLeft w:val="0"/>
                      <w:marRight w:val="0"/>
                      <w:marTop w:val="0"/>
                      <w:marBottom w:val="0"/>
                      <w:divBdr>
                        <w:top w:val="none" w:sz="0" w:space="0" w:color="auto"/>
                        <w:left w:val="none" w:sz="0" w:space="0" w:color="auto"/>
                        <w:bottom w:val="none" w:sz="0" w:space="0" w:color="auto"/>
                        <w:right w:val="none" w:sz="0" w:space="0" w:color="auto"/>
                      </w:divBdr>
                    </w:div>
                  </w:divsChild>
                </w:div>
                <w:div w:id="819923365">
                  <w:marLeft w:val="0"/>
                  <w:marRight w:val="0"/>
                  <w:marTop w:val="0"/>
                  <w:marBottom w:val="0"/>
                  <w:divBdr>
                    <w:top w:val="none" w:sz="0" w:space="0" w:color="auto"/>
                    <w:left w:val="none" w:sz="0" w:space="0" w:color="auto"/>
                    <w:bottom w:val="none" w:sz="0" w:space="0" w:color="auto"/>
                    <w:right w:val="none" w:sz="0" w:space="0" w:color="auto"/>
                  </w:divBdr>
                  <w:divsChild>
                    <w:div w:id="541525480">
                      <w:marLeft w:val="0"/>
                      <w:marRight w:val="0"/>
                      <w:marTop w:val="0"/>
                      <w:marBottom w:val="0"/>
                      <w:divBdr>
                        <w:top w:val="none" w:sz="0" w:space="0" w:color="auto"/>
                        <w:left w:val="none" w:sz="0" w:space="0" w:color="auto"/>
                        <w:bottom w:val="none" w:sz="0" w:space="0" w:color="auto"/>
                        <w:right w:val="none" w:sz="0" w:space="0" w:color="auto"/>
                      </w:divBdr>
                    </w:div>
                  </w:divsChild>
                </w:div>
                <w:div w:id="831455302">
                  <w:marLeft w:val="0"/>
                  <w:marRight w:val="0"/>
                  <w:marTop w:val="0"/>
                  <w:marBottom w:val="0"/>
                  <w:divBdr>
                    <w:top w:val="none" w:sz="0" w:space="0" w:color="auto"/>
                    <w:left w:val="none" w:sz="0" w:space="0" w:color="auto"/>
                    <w:bottom w:val="none" w:sz="0" w:space="0" w:color="auto"/>
                    <w:right w:val="none" w:sz="0" w:space="0" w:color="auto"/>
                  </w:divBdr>
                  <w:divsChild>
                    <w:div w:id="328290114">
                      <w:marLeft w:val="0"/>
                      <w:marRight w:val="0"/>
                      <w:marTop w:val="0"/>
                      <w:marBottom w:val="0"/>
                      <w:divBdr>
                        <w:top w:val="none" w:sz="0" w:space="0" w:color="auto"/>
                        <w:left w:val="none" w:sz="0" w:space="0" w:color="auto"/>
                        <w:bottom w:val="none" w:sz="0" w:space="0" w:color="auto"/>
                        <w:right w:val="none" w:sz="0" w:space="0" w:color="auto"/>
                      </w:divBdr>
                    </w:div>
                  </w:divsChild>
                </w:div>
                <w:div w:id="926185678">
                  <w:marLeft w:val="0"/>
                  <w:marRight w:val="0"/>
                  <w:marTop w:val="0"/>
                  <w:marBottom w:val="0"/>
                  <w:divBdr>
                    <w:top w:val="none" w:sz="0" w:space="0" w:color="auto"/>
                    <w:left w:val="none" w:sz="0" w:space="0" w:color="auto"/>
                    <w:bottom w:val="none" w:sz="0" w:space="0" w:color="auto"/>
                    <w:right w:val="none" w:sz="0" w:space="0" w:color="auto"/>
                  </w:divBdr>
                  <w:divsChild>
                    <w:div w:id="1626735761">
                      <w:marLeft w:val="0"/>
                      <w:marRight w:val="0"/>
                      <w:marTop w:val="0"/>
                      <w:marBottom w:val="0"/>
                      <w:divBdr>
                        <w:top w:val="none" w:sz="0" w:space="0" w:color="auto"/>
                        <w:left w:val="none" w:sz="0" w:space="0" w:color="auto"/>
                        <w:bottom w:val="none" w:sz="0" w:space="0" w:color="auto"/>
                        <w:right w:val="none" w:sz="0" w:space="0" w:color="auto"/>
                      </w:divBdr>
                    </w:div>
                  </w:divsChild>
                </w:div>
                <w:div w:id="953832620">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
                  </w:divsChild>
                </w:div>
                <w:div w:id="1115709801">
                  <w:marLeft w:val="0"/>
                  <w:marRight w:val="0"/>
                  <w:marTop w:val="0"/>
                  <w:marBottom w:val="0"/>
                  <w:divBdr>
                    <w:top w:val="none" w:sz="0" w:space="0" w:color="auto"/>
                    <w:left w:val="none" w:sz="0" w:space="0" w:color="auto"/>
                    <w:bottom w:val="none" w:sz="0" w:space="0" w:color="auto"/>
                    <w:right w:val="none" w:sz="0" w:space="0" w:color="auto"/>
                  </w:divBdr>
                  <w:divsChild>
                    <w:div w:id="729576288">
                      <w:marLeft w:val="0"/>
                      <w:marRight w:val="0"/>
                      <w:marTop w:val="0"/>
                      <w:marBottom w:val="0"/>
                      <w:divBdr>
                        <w:top w:val="none" w:sz="0" w:space="0" w:color="auto"/>
                        <w:left w:val="none" w:sz="0" w:space="0" w:color="auto"/>
                        <w:bottom w:val="none" w:sz="0" w:space="0" w:color="auto"/>
                        <w:right w:val="none" w:sz="0" w:space="0" w:color="auto"/>
                      </w:divBdr>
                    </w:div>
                  </w:divsChild>
                </w:div>
                <w:div w:id="1183981171">
                  <w:marLeft w:val="0"/>
                  <w:marRight w:val="0"/>
                  <w:marTop w:val="0"/>
                  <w:marBottom w:val="0"/>
                  <w:divBdr>
                    <w:top w:val="none" w:sz="0" w:space="0" w:color="auto"/>
                    <w:left w:val="none" w:sz="0" w:space="0" w:color="auto"/>
                    <w:bottom w:val="none" w:sz="0" w:space="0" w:color="auto"/>
                    <w:right w:val="none" w:sz="0" w:space="0" w:color="auto"/>
                  </w:divBdr>
                  <w:divsChild>
                    <w:div w:id="1313750489">
                      <w:marLeft w:val="0"/>
                      <w:marRight w:val="0"/>
                      <w:marTop w:val="0"/>
                      <w:marBottom w:val="0"/>
                      <w:divBdr>
                        <w:top w:val="none" w:sz="0" w:space="0" w:color="auto"/>
                        <w:left w:val="none" w:sz="0" w:space="0" w:color="auto"/>
                        <w:bottom w:val="none" w:sz="0" w:space="0" w:color="auto"/>
                        <w:right w:val="none" w:sz="0" w:space="0" w:color="auto"/>
                      </w:divBdr>
                    </w:div>
                  </w:divsChild>
                </w:div>
                <w:div w:id="1222908800">
                  <w:marLeft w:val="0"/>
                  <w:marRight w:val="0"/>
                  <w:marTop w:val="0"/>
                  <w:marBottom w:val="0"/>
                  <w:divBdr>
                    <w:top w:val="none" w:sz="0" w:space="0" w:color="auto"/>
                    <w:left w:val="none" w:sz="0" w:space="0" w:color="auto"/>
                    <w:bottom w:val="none" w:sz="0" w:space="0" w:color="auto"/>
                    <w:right w:val="none" w:sz="0" w:space="0" w:color="auto"/>
                  </w:divBdr>
                  <w:divsChild>
                    <w:div w:id="140662952">
                      <w:marLeft w:val="0"/>
                      <w:marRight w:val="0"/>
                      <w:marTop w:val="0"/>
                      <w:marBottom w:val="0"/>
                      <w:divBdr>
                        <w:top w:val="none" w:sz="0" w:space="0" w:color="auto"/>
                        <w:left w:val="none" w:sz="0" w:space="0" w:color="auto"/>
                        <w:bottom w:val="none" w:sz="0" w:space="0" w:color="auto"/>
                        <w:right w:val="none" w:sz="0" w:space="0" w:color="auto"/>
                      </w:divBdr>
                    </w:div>
                  </w:divsChild>
                </w:div>
                <w:div w:id="1349521022">
                  <w:marLeft w:val="0"/>
                  <w:marRight w:val="0"/>
                  <w:marTop w:val="0"/>
                  <w:marBottom w:val="0"/>
                  <w:divBdr>
                    <w:top w:val="none" w:sz="0" w:space="0" w:color="auto"/>
                    <w:left w:val="none" w:sz="0" w:space="0" w:color="auto"/>
                    <w:bottom w:val="none" w:sz="0" w:space="0" w:color="auto"/>
                    <w:right w:val="none" w:sz="0" w:space="0" w:color="auto"/>
                  </w:divBdr>
                  <w:divsChild>
                    <w:div w:id="140538973">
                      <w:marLeft w:val="0"/>
                      <w:marRight w:val="0"/>
                      <w:marTop w:val="0"/>
                      <w:marBottom w:val="0"/>
                      <w:divBdr>
                        <w:top w:val="none" w:sz="0" w:space="0" w:color="auto"/>
                        <w:left w:val="none" w:sz="0" w:space="0" w:color="auto"/>
                        <w:bottom w:val="none" w:sz="0" w:space="0" w:color="auto"/>
                        <w:right w:val="none" w:sz="0" w:space="0" w:color="auto"/>
                      </w:divBdr>
                    </w:div>
                  </w:divsChild>
                </w:div>
                <w:div w:id="1365978559">
                  <w:marLeft w:val="0"/>
                  <w:marRight w:val="0"/>
                  <w:marTop w:val="0"/>
                  <w:marBottom w:val="0"/>
                  <w:divBdr>
                    <w:top w:val="none" w:sz="0" w:space="0" w:color="auto"/>
                    <w:left w:val="none" w:sz="0" w:space="0" w:color="auto"/>
                    <w:bottom w:val="none" w:sz="0" w:space="0" w:color="auto"/>
                    <w:right w:val="none" w:sz="0" w:space="0" w:color="auto"/>
                  </w:divBdr>
                  <w:divsChild>
                    <w:div w:id="733164863">
                      <w:marLeft w:val="0"/>
                      <w:marRight w:val="0"/>
                      <w:marTop w:val="0"/>
                      <w:marBottom w:val="0"/>
                      <w:divBdr>
                        <w:top w:val="none" w:sz="0" w:space="0" w:color="auto"/>
                        <w:left w:val="none" w:sz="0" w:space="0" w:color="auto"/>
                        <w:bottom w:val="none" w:sz="0" w:space="0" w:color="auto"/>
                        <w:right w:val="none" w:sz="0" w:space="0" w:color="auto"/>
                      </w:divBdr>
                    </w:div>
                  </w:divsChild>
                </w:div>
                <w:div w:id="1367100440">
                  <w:marLeft w:val="0"/>
                  <w:marRight w:val="0"/>
                  <w:marTop w:val="0"/>
                  <w:marBottom w:val="0"/>
                  <w:divBdr>
                    <w:top w:val="none" w:sz="0" w:space="0" w:color="auto"/>
                    <w:left w:val="none" w:sz="0" w:space="0" w:color="auto"/>
                    <w:bottom w:val="none" w:sz="0" w:space="0" w:color="auto"/>
                    <w:right w:val="none" w:sz="0" w:space="0" w:color="auto"/>
                  </w:divBdr>
                  <w:divsChild>
                    <w:div w:id="1355695868">
                      <w:marLeft w:val="0"/>
                      <w:marRight w:val="0"/>
                      <w:marTop w:val="0"/>
                      <w:marBottom w:val="0"/>
                      <w:divBdr>
                        <w:top w:val="none" w:sz="0" w:space="0" w:color="auto"/>
                        <w:left w:val="none" w:sz="0" w:space="0" w:color="auto"/>
                        <w:bottom w:val="none" w:sz="0" w:space="0" w:color="auto"/>
                        <w:right w:val="none" w:sz="0" w:space="0" w:color="auto"/>
                      </w:divBdr>
                    </w:div>
                  </w:divsChild>
                </w:div>
                <w:div w:id="1618223152">
                  <w:marLeft w:val="0"/>
                  <w:marRight w:val="0"/>
                  <w:marTop w:val="0"/>
                  <w:marBottom w:val="0"/>
                  <w:divBdr>
                    <w:top w:val="none" w:sz="0" w:space="0" w:color="auto"/>
                    <w:left w:val="none" w:sz="0" w:space="0" w:color="auto"/>
                    <w:bottom w:val="none" w:sz="0" w:space="0" w:color="auto"/>
                    <w:right w:val="none" w:sz="0" w:space="0" w:color="auto"/>
                  </w:divBdr>
                  <w:divsChild>
                    <w:div w:id="969936659">
                      <w:marLeft w:val="0"/>
                      <w:marRight w:val="0"/>
                      <w:marTop w:val="0"/>
                      <w:marBottom w:val="0"/>
                      <w:divBdr>
                        <w:top w:val="none" w:sz="0" w:space="0" w:color="auto"/>
                        <w:left w:val="none" w:sz="0" w:space="0" w:color="auto"/>
                        <w:bottom w:val="none" w:sz="0" w:space="0" w:color="auto"/>
                        <w:right w:val="none" w:sz="0" w:space="0" w:color="auto"/>
                      </w:divBdr>
                    </w:div>
                  </w:divsChild>
                </w:div>
                <w:div w:id="1634825091">
                  <w:marLeft w:val="0"/>
                  <w:marRight w:val="0"/>
                  <w:marTop w:val="0"/>
                  <w:marBottom w:val="0"/>
                  <w:divBdr>
                    <w:top w:val="none" w:sz="0" w:space="0" w:color="auto"/>
                    <w:left w:val="none" w:sz="0" w:space="0" w:color="auto"/>
                    <w:bottom w:val="none" w:sz="0" w:space="0" w:color="auto"/>
                    <w:right w:val="none" w:sz="0" w:space="0" w:color="auto"/>
                  </w:divBdr>
                  <w:divsChild>
                    <w:div w:id="1855220793">
                      <w:marLeft w:val="0"/>
                      <w:marRight w:val="0"/>
                      <w:marTop w:val="0"/>
                      <w:marBottom w:val="0"/>
                      <w:divBdr>
                        <w:top w:val="none" w:sz="0" w:space="0" w:color="auto"/>
                        <w:left w:val="none" w:sz="0" w:space="0" w:color="auto"/>
                        <w:bottom w:val="none" w:sz="0" w:space="0" w:color="auto"/>
                        <w:right w:val="none" w:sz="0" w:space="0" w:color="auto"/>
                      </w:divBdr>
                    </w:div>
                  </w:divsChild>
                </w:div>
                <w:div w:id="1732845858">
                  <w:marLeft w:val="0"/>
                  <w:marRight w:val="0"/>
                  <w:marTop w:val="0"/>
                  <w:marBottom w:val="0"/>
                  <w:divBdr>
                    <w:top w:val="none" w:sz="0" w:space="0" w:color="auto"/>
                    <w:left w:val="none" w:sz="0" w:space="0" w:color="auto"/>
                    <w:bottom w:val="none" w:sz="0" w:space="0" w:color="auto"/>
                    <w:right w:val="none" w:sz="0" w:space="0" w:color="auto"/>
                  </w:divBdr>
                  <w:divsChild>
                    <w:div w:id="437331816">
                      <w:marLeft w:val="0"/>
                      <w:marRight w:val="0"/>
                      <w:marTop w:val="0"/>
                      <w:marBottom w:val="0"/>
                      <w:divBdr>
                        <w:top w:val="none" w:sz="0" w:space="0" w:color="auto"/>
                        <w:left w:val="none" w:sz="0" w:space="0" w:color="auto"/>
                        <w:bottom w:val="none" w:sz="0" w:space="0" w:color="auto"/>
                        <w:right w:val="none" w:sz="0" w:space="0" w:color="auto"/>
                      </w:divBdr>
                    </w:div>
                  </w:divsChild>
                </w:div>
                <w:div w:id="1786118668">
                  <w:marLeft w:val="0"/>
                  <w:marRight w:val="0"/>
                  <w:marTop w:val="0"/>
                  <w:marBottom w:val="0"/>
                  <w:divBdr>
                    <w:top w:val="none" w:sz="0" w:space="0" w:color="auto"/>
                    <w:left w:val="none" w:sz="0" w:space="0" w:color="auto"/>
                    <w:bottom w:val="none" w:sz="0" w:space="0" w:color="auto"/>
                    <w:right w:val="none" w:sz="0" w:space="0" w:color="auto"/>
                  </w:divBdr>
                  <w:divsChild>
                    <w:div w:id="912470956">
                      <w:marLeft w:val="0"/>
                      <w:marRight w:val="0"/>
                      <w:marTop w:val="0"/>
                      <w:marBottom w:val="0"/>
                      <w:divBdr>
                        <w:top w:val="none" w:sz="0" w:space="0" w:color="auto"/>
                        <w:left w:val="none" w:sz="0" w:space="0" w:color="auto"/>
                        <w:bottom w:val="none" w:sz="0" w:space="0" w:color="auto"/>
                        <w:right w:val="none" w:sz="0" w:space="0" w:color="auto"/>
                      </w:divBdr>
                    </w:div>
                  </w:divsChild>
                </w:div>
                <w:div w:id="1810780044">
                  <w:marLeft w:val="0"/>
                  <w:marRight w:val="0"/>
                  <w:marTop w:val="0"/>
                  <w:marBottom w:val="0"/>
                  <w:divBdr>
                    <w:top w:val="none" w:sz="0" w:space="0" w:color="auto"/>
                    <w:left w:val="none" w:sz="0" w:space="0" w:color="auto"/>
                    <w:bottom w:val="none" w:sz="0" w:space="0" w:color="auto"/>
                    <w:right w:val="none" w:sz="0" w:space="0" w:color="auto"/>
                  </w:divBdr>
                  <w:divsChild>
                    <w:div w:id="2129079969">
                      <w:marLeft w:val="0"/>
                      <w:marRight w:val="0"/>
                      <w:marTop w:val="0"/>
                      <w:marBottom w:val="0"/>
                      <w:divBdr>
                        <w:top w:val="none" w:sz="0" w:space="0" w:color="auto"/>
                        <w:left w:val="none" w:sz="0" w:space="0" w:color="auto"/>
                        <w:bottom w:val="none" w:sz="0" w:space="0" w:color="auto"/>
                        <w:right w:val="none" w:sz="0" w:space="0" w:color="auto"/>
                      </w:divBdr>
                    </w:div>
                  </w:divsChild>
                </w:div>
                <w:div w:id="1821574745">
                  <w:marLeft w:val="0"/>
                  <w:marRight w:val="0"/>
                  <w:marTop w:val="0"/>
                  <w:marBottom w:val="0"/>
                  <w:divBdr>
                    <w:top w:val="none" w:sz="0" w:space="0" w:color="auto"/>
                    <w:left w:val="none" w:sz="0" w:space="0" w:color="auto"/>
                    <w:bottom w:val="none" w:sz="0" w:space="0" w:color="auto"/>
                    <w:right w:val="none" w:sz="0" w:space="0" w:color="auto"/>
                  </w:divBdr>
                  <w:divsChild>
                    <w:div w:id="1025252697">
                      <w:marLeft w:val="0"/>
                      <w:marRight w:val="0"/>
                      <w:marTop w:val="0"/>
                      <w:marBottom w:val="0"/>
                      <w:divBdr>
                        <w:top w:val="none" w:sz="0" w:space="0" w:color="auto"/>
                        <w:left w:val="none" w:sz="0" w:space="0" w:color="auto"/>
                        <w:bottom w:val="none" w:sz="0" w:space="0" w:color="auto"/>
                        <w:right w:val="none" w:sz="0" w:space="0" w:color="auto"/>
                      </w:divBdr>
                    </w:div>
                  </w:divsChild>
                </w:div>
                <w:div w:id="1852837500">
                  <w:marLeft w:val="0"/>
                  <w:marRight w:val="0"/>
                  <w:marTop w:val="0"/>
                  <w:marBottom w:val="0"/>
                  <w:divBdr>
                    <w:top w:val="none" w:sz="0" w:space="0" w:color="auto"/>
                    <w:left w:val="none" w:sz="0" w:space="0" w:color="auto"/>
                    <w:bottom w:val="none" w:sz="0" w:space="0" w:color="auto"/>
                    <w:right w:val="none" w:sz="0" w:space="0" w:color="auto"/>
                  </w:divBdr>
                  <w:divsChild>
                    <w:div w:id="601256233">
                      <w:marLeft w:val="0"/>
                      <w:marRight w:val="0"/>
                      <w:marTop w:val="0"/>
                      <w:marBottom w:val="0"/>
                      <w:divBdr>
                        <w:top w:val="none" w:sz="0" w:space="0" w:color="auto"/>
                        <w:left w:val="none" w:sz="0" w:space="0" w:color="auto"/>
                        <w:bottom w:val="none" w:sz="0" w:space="0" w:color="auto"/>
                        <w:right w:val="none" w:sz="0" w:space="0" w:color="auto"/>
                      </w:divBdr>
                    </w:div>
                  </w:divsChild>
                </w:div>
                <w:div w:id="1873299706">
                  <w:marLeft w:val="0"/>
                  <w:marRight w:val="0"/>
                  <w:marTop w:val="0"/>
                  <w:marBottom w:val="0"/>
                  <w:divBdr>
                    <w:top w:val="none" w:sz="0" w:space="0" w:color="auto"/>
                    <w:left w:val="none" w:sz="0" w:space="0" w:color="auto"/>
                    <w:bottom w:val="none" w:sz="0" w:space="0" w:color="auto"/>
                    <w:right w:val="none" w:sz="0" w:space="0" w:color="auto"/>
                  </w:divBdr>
                  <w:divsChild>
                    <w:div w:id="1839271600">
                      <w:marLeft w:val="0"/>
                      <w:marRight w:val="0"/>
                      <w:marTop w:val="0"/>
                      <w:marBottom w:val="0"/>
                      <w:divBdr>
                        <w:top w:val="none" w:sz="0" w:space="0" w:color="auto"/>
                        <w:left w:val="none" w:sz="0" w:space="0" w:color="auto"/>
                        <w:bottom w:val="none" w:sz="0" w:space="0" w:color="auto"/>
                        <w:right w:val="none" w:sz="0" w:space="0" w:color="auto"/>
                      </w:divBdr>
                    </w:div>
                  </w:divsChild>
                </w:div>
                <w:div w:id="1984844688">
                  <w:marLeft w:val="0"/>
                  <w:marRight w:val="0"/>
                  <w:marTop w:val="0"/>
                  <w:marBottom w:val="0"/>
                  <w:divBdr>
                    <w:top w:val="none" w:sz="0" w:space="0" w:color="auto"/>
                    <w:left w:val="none" w:sz="0" w:space="0" w:color="auto"/>
                    <w:bottom w:val="none" w:sz="0" w:space="0" w:color="auto"/>
                    <w:right w:val="none" w:sz="0" w:space="0" w:color="auto"/>
                  </w:divBdr>
                  <w:divsChild>
                    <w:div w:id="576288502">
                      <w:marLeft w:val="0"/>
                      <w:marRight w:val="0"/>
                      <w:marTop w:val="0"/>
                      <w:marBottom w:val="0"/>
                      <w:divBdr>
                        <w:top w:val="none" w:sz="0" w:space="0" w:color="auto"/>
                        <w:left w:val="none" w:sz="0" w:space="0" w:color="auto"/>
                        <w:bottom w:val="none" w:sz="0" w:space="0" w:color="auto"/>
                        <w:right w:val="none" w:sz="0" w:space="0" w:color="auto"/>
                      </w:divBdr>
                    </w:div>
                  </w:divsChild>
                </w:div>
                <w:div w:id="2044938149">
                  <w:marLeft w:val="0"/>
                  <w:marRight w:val="0"/>
                  <w:marTop w:val="0"/>
                  <w:marBottom w:val="0"/>
                  <w:divBdr>
                    <w:top w:val="none" w:sz="0" w:space="0" w:color="auto"/>
                    <w:left w:val="none" w:sz="0" w:space="0" w:color="auto"/>
                    <w:bottom w:val="none" w:sz="0" w:space="0" w:color="auto"/>
                    <w:right w:val="none" w:sz="0" w:space="0" w:color="auto"/>
                  </w:divBdr>
                  <w:divsChild>
                    <w:div w:id="2075664983">
                      <w:marLeft w:val="0"/>
                      <w:marRight w:val="0"/>
                      <w:marTop w:val="0"/>
                      <w:marBottom w:val="0"/>
                      <w:divBdr>
                        <w:top w:val="none" w:sz="0" w:space="0" w:color="auto"/>
                        <w:left w:val="none" w:sz="0" w:space="0" w:color="auto"/>
                        <w:bottom w:val="none" w:sz="0" w:space="0" w:color="auto"/>
                        <w:right w:val="none" w:sz="0" w:space="0" w:color="auto"/>
                      </w:divBdr>
                    </w:div>
                  </w:divsChild>
                </w:div>
                <w:div w:id="2049796268">
                  <w:marLeft w:val="0"/>
                  <w:marRight w:val="0"/>
                  <w:marTop w:val="0"/>
                  <w:marBottom w:val="0"/>
                  <w:divBdr>
                    <w:top w:val="none" w:sz="0" w:space="0" w:color="auto"/>
                    <w:left w:val="none" w:sz="0" w:space="0" w:color="auto"/>
                    <w:bottom w:val="none" w:sz="0" w:space="0" w:color="auto"/>
                    <w:right w:val="none" w:sz="0" w:space="0" w:color="auto"/>
                  </w:divBdr>
                  <w:divsChild>
                    <w:div w:id="757362525">
                      <w:marLeft w:val="0"/>
                      <w:marRight w:val="0"/>
                      <w:marTop w:val="0"/>
                      <w:marBottom w:val="0"/>
                      <w:divBdr>
                        <w:top w:val="none" w:sz="0" w:space="0" w:color="auto"/>
                        <w:left w:val="none" w:sz="0" w:space="0" w:color="auto"/>
                        <w:bottom w:val="none" w:sz="0" w:space="0" w:color="auto"/>
                        <w:right w:val="none" w:sz="0" w:space="0" w:color="auto"/>
                      </w:divBdr>
                    </w:div>
                  </w:divsChild>
                </w:div>
                <w:div w:id="2049866004">
                  <w:marLeft w:val="0"/>
                  <w:marRight w:val="0"/>
                  <w:marTop w:val="0"/>
                  <w:marBottom w:val="0"/>
                  <w:divBdr>
                    <w:top w:val="none" w:sz="0" w:space="0" w:color="auto"/>
                    <w:left w:val="none" w:sz="0" w:space="0" w:color="auto"/>
                    <w:bottom w:val="none" w:sz="0" w:space="0" w:color="auto"/>
                    <w:right w:val="none" w:sz="0" w:space="0" w:color="auto"/>
                  </w:divBdr>
                  <w:divsChild>
                    <w:div w:id="5681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9688">
          <w:marLeft w:val="0"/>
          <w:marRight w:val="0"/>
          <w:marTop w:val="0"/>
          <w:marBottom w:val="0"/>
          <w:divBdr>
            <w:top w:val="none" w:sz="0" w:space="0" w:color="auto"/>
            <w:left w:val="none" w:sz="0" w:space="0" w:color="auto"/>
            <w:bottom w:val="none" w:sz="0" w:space="0" w:color="auto"/>
            <w:right w:val="none" w:sz="0" w:space="0" w:color="auto"/>
          </w:divBdr>
        </w:div>
        <w:div w:id="936447090">
          <w:marLeft w:val="0"/>
          <w:marRight w:val="0"/>
          <w:marTop w:val="0"/>
          <w:marBottom w:val="0"/>
          <w:divBdr>
            <w:top w:val="none" w:sz="0" w:space="0" w:color="auto"/>
            <w:left w:val="none" w:sz="0" w:space="0" w:color="auto"/>
            <w:bottom w:val="none" w:sz="0" w:space="0" w:color="auto"/>
            <w:right w:val="none" w:sz="0" w:space="0" w:color="auto"/>
          </w:divBdr>
        </w:div>
        <w:div w:id="1689284377">
          <w:marLeft w:val="0"/>
          <w:marRight w:val="0"/>
          <w:marTop w:val="0"/>
          <w:marBottom w:val="0"/>
          <w:divBdr>
            <w:top w:val="none" w:sz="0" w:space="0" w:color="auto"/>
            <w:left w:val="none" w:sz="0" w:space="0" w:color="auto"/>
            <w:bottom w:val="none" w:sz="0" w:space="0" w:color="auto"/>
            <w:right w:val="none" w:sz="0" w:space="0" w:color="auto"/>
          </w:divBdr>
        </w:div>
      </w:divsChild>
    </w:div>
    <w:div w:id="2041315632">
      <w:bodyDiv w:val="1"/>
      <w:marLeft w:val="0"/>
      <w:marRight w:val="0"/>
      <w:marTop w:val="0"/>
      <w:marBottom w:val="0"/>
      <w:divBdr>
        <w:top w:val="none" w:sz="0" w:space="0" w:color="auto"/>
        <w:left w:val="none" w:sz="0" w:space="0" w:color="auto"/>
        <w:bottom w:val="none" w:sz="0" w:space="0" w:color="auto"/>
        <w:right w:val="none" w:sz="0" w:space="0" w:color="auto"/>
      </w:divBdr>
    </w:div>
    <w:div w:id="20482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9B73-11B6-4E4E-86BA-E7A7B535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8991</Words>
  <Characters>50186</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59059</CharactersWithSpaces>
  <SharedDoc>false</SharedDoc>
  <HLinks>
    <vt:vector size="420" baseType="variant">
      <vt:variant>
        <vt:i4>1179703</vt:i4>
      </vt:variant>
      <vt:variant>
        <vt:i4>404</vt:i4>
      </vt:variant>
      <vt:variant>
        <vt:i4>0</vt:i4>
      </vt:variant>
      <vt:variant>
        <vt:i4>5</vt:i4>
      </vt:variant>
      <vt:variant>
        <vt:lpwstr/>
      </vt:variant>
      <vt:variant>
        <vt:lpwstr>_Toc89860379</vt:lpwstr>
      </vt:variant>
      <vt:variant>
        <vt:i4>1245239</vt:i4>
      </vt:variant>
      <vt:variant>
        <vt:i4>398</vt:i4>
      </vt:variant>
      <vt:variant>
        <vt:i4>0</vt:i4>
      </vt:variant>
      <vt:variant>
        <vt:i4>5</vt:i4>
      </vt:variant>
      <vt:variant>
        <vt:lpwstr/>
      </vt:variant>
      <vt:variant>
        <vt:lpwstr>_Toc89860378</vt:lpwstr>
      </vt:variant>
      <vt:variant>
        <vt:i4>1835063</vt:i4>
      </vt:variant>
      <vt:variant>
        <vt:i4>392</vt:i4>
      </vt:variant>
      <vt:variant>
        <vt:i4>0</vt:i4>
      </vt:variant>
      <vt:variant>
        <vt:i4>5</vt:i4>
      </vt:variant>
      <vt:variant>
        <vt:lpwstr/>
      </vt:variant>
      <vt:variant>
        <vt:lpwstr>_Toc89860377</vt:lpwstr>
      </vt:variant>
      <vt:variant>
        <vt:i4>1900599</vt:i4>
      </vt:variant>
      <vt:variant>
        <vt:i4>386</vt:i4>
      </vt:variant>
      <vt:variant>
        <vt:i4>0</vt:i4>
      </vt:variant>
      <vt:variant>
        <vt:i4>5</vt:i4>
      </vt:variant>
      <vt:variant>
        <vt:lpwstr/>
      </vt:variant>
      <vt:variant>
        <vt:lpwstr>_Toc89860376</vt:lpwstr>
      </vt:variant>
      <vt:variant>
        <vt:i4>1966135</vt:i4>
      </vt:variant>
      <vt:variant>
        <vt:i4>380</vt:i4>
      </vt:variant>
      <vt:variant>
        <vt:i4>0</vt:i4>
      </vt:variant>
      <vt:variant>
        <vt:i4>5</vt:i4>
      </vt:variant>
      <vt:variant>
        <vt:lpwstr/>
      </vt:variant>
      <vt:variant>
        <vt:lpwstr>_Toc89860375</vt:lpwstr>
      </vt:variant>
      <vt:variant>
        <vt:i4>2031671</vt:i4>
      </vt:variant>
      <vt:variant>
        <vt:i4>374</vt:i4>
      </vt:variant>
      <vt:variant>
        <vt:i4>0</vt:i4>
      </vt:variant>
      <vt:variant>
        <vt:i4>5</vt:i4>
      </vt:variant>
      <vt:variant>
        <vt:lpwstr/>
      </vt:variant>
      <vt:variant>
        <vt:lpwstr>_Toc89860374</vt:lpwstr>
      </vt:variant>
      <vt:variant>
        <vt:i4>1572919</vt:i4>
      </vt:variant>
      <vt:variant>
        <vt:i4>368</vt:i4>
      </vt:variant>
      <vt:variant>
        <vt:i4>0</vt:i4>
      </vt:variant>
      <vt:variant>
        <vt:i4>5</vt:i4>
      </vt:variant>
      <vt:variant>
        <vt:lpwstr/>
      </vt:variant>
      <vt:variant>
        <vt:lpwstr>_Toc89860373</vt:lpwstr>
      </vt:variant>
      <vt:variant>
        <vt:i4>1638455</vt:i4>
      </vt:variant>
      <vt:variant>
        <vt:i4>362</vt:i4>
      </vt:variant>
      <vt:variant>
        <vt:i4>0</vt:i4>
      </vt:variant>
      <vt:variant>
        <vt:i4>5</vt:i4>
      </vt:variant>
      <vt:variant>
        <vt:lpwstr/>
      </vt:variant>
      <vt:variant>
        <vt:lpwstr>_Toc89860372</vt:lpwstr>
      </vt:variant>
      <vt:variant>
        <vt:i4>1703991</vt:i4>
      </vt:variant>
      <vt:variant>
        <vt:i4>356</vt:i4>
      </vt:variant>
      <vt:variant>
        <vt:i4>0</vt:i4>
      </vt:variant>
      <vt:variant>
        <vt:i4>5</vt:i4>
      </vt:variant>
      <vt:variant>
        <vt:lpwstr/>
      </vt:variant>
      <vt:variant>
        <vt:lpwstr>_Toc89860371</vt:lpwstr>
      </vt:variant>
      <vt:variant>
        <vt:i4>1769527</vt:i4>
      </vt:variant>
      <vt:variant>
        <vt:i4>350</vt:i4>
      </vt:variant>
      <vt:variant>
        <vt:i4>0</vt:i4>
      </vt:variant>
      <vt:variant>
        <vt:i4>5</vt:i4>
      </vt:variant>
      <vt:variant>
        <vt:lpwstr/>
      </vt:variant>
      <vt:variant>
        <vt:lpwstr>_Toc89860370</vt:lpwstr>
      </vt:variant>
      <vt:variant>
        <vt:i4>1179702</vt:i4>
      </vt:variant>
      <vt:variant>
        <vt:i4>344</vt:i4>
      </vt:variant>
      <vt:variant>
        <vt:i4>0</vt:i4>
      </vt:variant>
      <vt:variant>
        <vt:i4>5</vt:i4>
      </vt:variant>
      <vt:variant>
        <vt:lpwstr/>
      </vt:variant>
      <vt:variant>
        <vt:lpwstr>_Toc89860369</vt:lpwstr>
      </vt:variant>
      <vt:variant>
        <vt:i4>1245238</vt:i4>
      </vt:variant>
      <vt:variant>
        <vt:i4>338</vt:i4>
      </vt:variant>
      <vt:variant>
        <vt:i4>0</vt:i4>
      </vt:variant>
      <vt:variant>
        <vt:i4>5</vt:i4>
      </vt:variant>
      <vt:variant>
        <vt:lpwstr/>
      </vt:variant>
      <vt:variant>
        <vt:lpwstr>_Toc89860368</vt:lpwstr>
      </vt:variant>
      <vt:variant>
        <vt:i4>1835062</vt:i4>
      </vt:variant>
      <vt:variant>
        <vt:i4>332</vt:i4>
      </vt:variant>
      <vt:variant>
        <vt:i4>0</vt:i4>
      </vt:variant>
      <vt:variant>
        <vt:i4>5</vt:i4>
      </vt:variant>
      <vt:variant>
        <vt:lpwstr/>
      </vt:variant>
      <vt:variant>
        <vt:lpwstr>_Toc89860367</vt:lpwstr>
      </vt:variant>
      <vt:variant>
        <vt:i4>1900598</vt:i4>
      </vt:variant>
      <vt:variant>
        <vt:i4>326</vt:i4>
      </vt:variant>
      <vt:variant>
        <vt:i4>0</vt:i4>
      </vt:variant>
      <vt:variant>
        <vt:i4>5</vt:i4>
      </vt:variant>
      <vt:variant>
        <vt:lpwstr/>
      </vt:variant>
      <vt:variant>
        <vt:lpwstr>_Toc89860366</vt:lpwstr>
      </vt:variant>
      <vt:variant>
        <vt:i4>1966134</vt:i4>
      </vt:variant>
      <vt:variant>
        <vt:i4>320</vt:i4>
      </vt:variant>
      <vt:variant>
        <vt:i4>0</vt:i4>
      </vt:variant>
      <vt:variant>
        <vt:i4>5</vt:i4>
      </vt:variant>
      <vt:variant>
        <vt:lpwstr/>
      </vt:variant>
      <vt:variant>
        <vt:lpwstr>_Toc89860365</vt:lpwstr>
      </vt:variant>
      <vt:variant>
        <vt:i4>2031670</vt:i4>
      </vt:variant>
      <vt:variant>
        <vt:i4>314</vt:i4>
      </vt:variant>
      <vt:variant>
        <vt:i4>0</vt:i4>
      </vt:variant>
      <vt:variant>
        <vt:i4>5</vt:i4>
      </vt:variant>
      <vt:variant>
        <vt:lpwstr/>
      </vt:variant>
      <vt:variant>
        <vt:lpwstr>_Toc89860364</vt:lpwstr>
      </vt:variant>
      <vt:variant>
        <vt:i4>1572918</vt:i4>
      </vt:variant>
      <vt:variant>
        <vt:i4>308</vt:i4>
      </vt:variant>
      <vt:variant>
        <vt:i4>0</vt:i4>
      </vt:variant>
      <vt:variant>
        <vt:i4>5</vt:i4>
      </vt:variant>
      <vt:variant>
        <vt:lpwstr/>
      </vt:variant>
      <vt:variant>
        <vt:lpwstr>_Toc89860363</vt:lpwstr>
      </vt:variant>
      <vt:variant>
        <vt:i4>1638454</vt:i4>
      </vt:variant>
      <vt:variant>
        <vt:i4>302</vt:i4>
      </vt:variant>
      <vt:variant>
        <vt:i4>0</vt:i4>
      </vt:variant>
      <vt:variant>
        <vt:i4>5</vt:i4>
      </vt:variant>
      <vt:variant>
        <vt:lpwstr/>
      </vt:variant>
      <vt:variant>
        <vt:lpwstr>_Toc89860362</vt:lpwstr>
      </vt:variant>
      <vt:variant>
        <vt:i4>1703990</vt:i4>
      </vt:variant>
      <vt:variant>
        <vt:i4>296</vt:i4>
      </vt:variant>
      <vt:variant>
        <vt:i4>0</vt:i4>
      </vt:variant>
      <vt:variant>
        <vt:i4>5</vt:i4>
      </vt:variant>
      <vt:variant>
        <vt:lpwstr/>
      </vt:variant>
      <vt:variant>
        <vt:lpwstr>_Toc89860361</vt:lpwstr>
      </vt:variant>
      <vt:variant>
        <vt:i4>1769526</vt:i4>
      </vt:variant>
      <vt:variant>
        <vt:i4>290</vt:i4>
      </vt:variant>
      <vt:variant>
        <vt:i4>0</vt:i4>
      </vt:variant>
      <vt:variant>
        <vt:i4>5</vt:i4>
      </vt:variant>
      <vt:variant>
        <vt:lpwstr/>
      </vt:variant>
      <vt:variant>
        <vt:lpwstr>_Toc89860360</vt:lpwstr>
      </vt:variant>
      <vt:variant>
        <vt:i4>1179701</vt:i4>
      </vt:variant>
      <vt:variant>
        <vt:i4>284</vt:i4>
      </vt:variant>
      <vt:variant>
        <vt:i4>0</vt:i4>
      </vt:variant>
      <vt:variant>
        <vt:i4>5</vt:i4>
      </vt:variant>
      <vt:variant>
        <vt:lpwstr/>
      </vt:variant>
      <vt:variant>
        <vt:lpwstr>_Toc89860359</vt:lpwstr>
      </vt:variant>
      <vt:variant>
        <vt:i4>1245237</vt:i4>
      </vt:variant>
      <vt:variant>
        <vt:i4>278</vt:i4>
      </vt:variant>
      <vt:variant>
        <vt:i4>0</vt:i4>
      </vt:variant>
      <vt:variant>
        <vt:i4>5</vt:i4>
      </vt:variant>
      <vt:variant>
        <vt:lpwstr/>
      </vt:variant>
      <vt:variant>
        <vt:lpwstr>_Toc89860358</vt:lpwstr>
      </vt:variant>
      <vt:variant>
        <vt:i4>1835061</vt:i4>
      </vt:variant>
      <vt:variant>
        <vt:i4>272</vt:i4>
      </vt:variant>
      <vt:variant>
        <vt:i4>0</vt:i4>
      </vt:variant>
      <vt:variant>
        <vt:i4>5</vt:i4>
      </vt:variant>
      <vt:variant>
        <vt:lpwstr/>
      </vt:variant>
      <vt:variant>
        <vt:lpwstr>_Toc89860357</vt:lpwstr>
      </vt:variant>
      <vt:variant>
        <vt:i4>1900597</vt:i4>
      </vt:variant>
      <vt:variant>
        <vt:i4>266</vt:i4>
      </vt:variant>
      <vt:variant>
        <vt:i4>0</vt:i4>
      </vt:variant>
      <vt:variant>
        <vt:i4>5</vt:i4>
      </vt:variant>
      <vt:variant>
        <vt:lpwstr/>
      </vt:variant>
      <vt:variant>
        <vt:lpwstr>_Toc89860356</vt:lpwstr>
      </vt:variant>
      <vt:variant>
        <vt:i4>1966133</vt:i4>
      </vt:variant>
      <vt:variant>
        <vt:i4>260</vt:i4>
      </vt:variant>
      <vt:variant>
        <vt:i4>0</vt:i4>
      </vt:variant>
      <vt:variant>
        <vt:i4>5</vt:i4>
      </vt:variant>
      <vt:variant>
        <vt:lpwstr/>
      </vt:variant>
      <vt:variant>
        <vt:lpwstr>_Toc89860355</vt:lpwstr>
      </vt:variant>
      <vt:variant>
        <vt:i4>2031669</vt:i4>
      </vt:variant>
      <vt:variant>
        <vt:i4>254</vt:i4>
      </vt:variant>
      <vt:variant>
        <vt:i4>0</vt:i4>
      </vt:variant>
      <vt:variant>
        <vt:i4>5</vt:i4>
      </vt:variant>
      <vt:variant>
        <vt:lpwstr/>
      </vt:variant>
      <vt:variant>
        <vt:lpwstr>_Toc89860354</vt:lpwstr>
      </vt:variant>
      <vt:variant>
        <vt:i4>1572917</vt:i4>
      </vt:variant>
      <vt:variant>
        <vt:i4>248</vt:i4>
      </vt:variant>
      <vt:variant>
        <vt:i4>0</vt:i4>
      </vt:variant>
      <vt:variant>
        <vt:i4>5</vt:i4>
      </vt:variant>
      <vt:variant>
        <vt:lpwstr/>
      </vt:variant>
      <vt:variant>
        <vt:lpwstr>_Toc89860353</vt:lpwstr>
      </vt:variant>
      <vt:variant>
        <vt:i4>1638453</vt:i4>
      </vt:variant>
      <vt:variant>
        <vt:i4>242</vt:i4>
      </vt:variant>
      <vt:variant>
        <vt:i4>0</vt:i4>
      </vt:variant>
      <vt:variant>
        <vt:i4>5</vt:i4>
      </vt:variant>
      <vt:variant>
        <vt:lpwstr/>
      </vt:variant>
      <vt:variant>
        <vt:lpwstr>_Toc89860352</vt:lpwstr>
      </vt:variant>
      <vt:variant>
        <vt:i4>1703989</vt:i4>
      </vt:variant>
      <vt:variant>
        <vt:i4>236</vt:i4>
      </vt:variant>
      <vt:variant>
        <vt:i4>0</vt:i4>
      </vt:variant>
      <vt:variant>
        <vt:i4>5</vt:i4>
      </vt:variant>
      <vt:variant>
        <vt:lpwstr/>
      </vt:variant>
      <vt:variant>
        <vt:lpwstr>_Toc89860351</vt:lpwstr>
      </vt:variant>
      <vt:variant>
        <vt:i4>1769525</vt:i4>
      </vt:variant>
      <vt:variant>
        <vt:i4>230</vt:i4>
      </vt:variant>
      <vt:variant>
        <vt:i4>0</vt:i4>
      </vt:variant>
      <vt:variant>
        <vt:i4>5</vt:i4>
      </vt:variant>
      <vt:variant>
        <vt:lpwstr/>
      </vt:variant>
      <vt:variant>
        <vt:lpwstr>_Toc89860350</vt:lpwstr>
      </vt:variant>
      <vt:variant>
        <vt:i4>1179700</vt:i4>
      </vt:variant>
      <vt:variant>
        <vt:i4>224</vt:i4>
      </vt:variant>
      <vt:variant>
        <vt:i4>0</vt:i4>
      </vt:variant>
      <vt:variant>
        <vt:i4>5</vt:i4>
      </vt:variant>
      <vt:variant>
        <vt:lpwstr/>
      </vt:variant>
      <vt:variant>
        <vt:lpwstr>_Toc89860349</vt:lpwstr>
      </vt:variant>
      <vt:variant>
        <vt:i4>1245236</vt:i4>
      </vt:variant>
      <vt:variant>
        <vt:i4>218</vt:i4>
      </vt:variant>
      <vt:variant>
        <vt:i4>0</vt:i4>
      </vt:variant>
      <vt:variant>
        <vt:i4>5</vt:i4>
      </vt:variant>
      <vt:variant>
        <vt:lpwstr/>
      </vt:variant>
      <vt:variant>
        <vt:lpwstr>_Toc89860348</vt:lpwstr>
      </vt:variant>
      <vt:variant>
        <vt:i4>1900596</vt:i4>
      </vt:variant>
      <vt:variant>
        <vt:i4>212</vt:i4>
      </vt:variant>
      <vt:variant>
        <vt:i4>0</vt:i4>
      </vt:variant>
      <vt:variant>
        <vt:i4>5</vt:i4>
      </vt:variant>
      <vt:variant>
        <vt:lpwstr/>
      </vt:variant>
      <vt:variant>
        <vt:lpwstr>_Toc89860346</vt:lpwstr>
      </vt:variant>
      <vt:variant>
        <vt:i4>1966132</vt:i4>
      </vt:variant>
      <vt:variant>
        <vt:i4>206</vt:i4>
      </vt:variant>
      <vt:variant>
        <vt:i4>0</vt:i4>
      </vt:variant>
      <vt:variant>
        <vt:i4>5</vt:i4>
      </vt:variant>
      <vt:variant>
        <vt:lpwstr/>
      </vt:variant>
      <vt:variant>
        <vt:lpwstr>_Toc89860345</vt:lpwstr>
      </vt:variant>
      <vt:variant>
        <vt:i4>2031668</vt:i4>
      </vt:variant>
      <vt:variant>
        <vt:i4>200</vt:i4>
      </vt:variant>
      <vt:variant>
        <vt:i4>0</vt:i4>
      </vt:variant>
      <vt:variant>
        <vt:i4>5</vt:i4>
      </vt:variant>
      <vt:variant>
        <vt:lpwstr/>
      </vt:variant>
      <vt:variant>
        <vt:lpwstr>_Toc89860344</vt:lpwstr>
      </vt:variant>
      <vt:variant>
        <vt:i4>1572916</vt:i4>
      </vt:variant>
      <vt:variant>
        <vt:i4>194</vt:i4>
      </vt:variant>
      <vt:variant>
        <vt:i4>0</vt:i4>
      </vt:variant>
      <vt:variant>
        <vt:i4>5</vt:i4>
      </vt:variant>
      <vt:variant>
        <vt:lpwstr/>
      </vt:variant>
      <vt:variant>
        <vt:lpwstr>_Toc89860343</vt:lpwstr>
      </vt:variant>
      <vt:variant>
        <vt:i4>1638452</vt:i4>
      </vt:variant>
      <vt:variant>
        <vt:i4>188</vt:i4>
      </vt:variant>
      <vt:variant>
        <vt:i4>0</vt:i4>
      </vt:variant>
      <vt:variant>
        <vt:i4>5</vt:i4>
      </vt:variant>
      <vt:variant>
        <vt:lpwstr/>
      </vt:variant>
      <vt:variant>
        <vt:lpwstr>_Toc89860342</vt:lpwstr>
      </vt:variant>
      <vt:variant>
        <vt:i4>1703988</vt:i4>
      </vt:variant>
      <vt:variant>
        <vt:i4>182</vt:i4>
      </vt:variant>
      <vt:variant>
        <vt:i4>0</vt:i4>
      </vt:variant>
      <vt:variant>
        <vt:i4>5</vt:i4>
      </vt:variant>
      <vt:variant>
        <vt:lpwstr/>
      </vt:variant>
      <vt:variant>
        <vt:lpwstr>_Toc89860341</vt:lpwstr>
      </vt:variant>
      <vt:variant>
        <vt:i4>1769524</vt:i4>
      </vt:variant>
      <vt:variant>
        <vt:i4>176</vt:i4>
      </vt:variant>
      <vt:variant>
        <vt:i4>0</vt:i4>
      </vt:variant>
      <vt:variant>
        <vt:i4>5</vt:i4>
      </vt:variant>
      <vt:variant>
        <vt:lpwstr/>
      </vt:variant>
      <vt:variant>
        <vt:lpwstr>_Toc89860340</vt:lpwstr>
      </vt:variant>
      <vt:variant>
        <vt:i4>1179699</vt:i4>
      </vt:variant>
      <vt:variant>
        <vt:i4>170</vt:i4>
      </vt:variant>
      <vt:variant>
        <vt:i4>0</vt:i4>
      </vt:variant>
      <vt:variant>
        <vt:i4>5</vt:i4>
      </vt:variant>
      <vt:variant>
        <vt:lpwstr/>
      </vt:variant>
      <vt:variant>
        <vt:lpwstr>_Toc89860339</vt:lpwstr>
      </vt:variant>
      <vt:variant>
        <vt:i4>1245235</vt:i4>
      </vt:variant>
      <vt:variant>
        <vt:i4>164</vt:i4>
      </vt:variant>
      <vt:variant>
        <vt:i4>0</vt:i4>
      </vt:variant>
      <vt:variant>
        <vt:i4>5</vt:i4>
      </vt:variant>
      <vt:variant>
        <vt:lpwstr/>
      </vt:variant>
      <vt:variant>
        <vt:lpwstr>_Toc89860338</vt:lpwstr>
      </vt:variant>
      <vt:variant>
        <vt:i4>1835059</vt:i4>
      </vt:variant>
      <vt:variant>
        <vt:i4>158</vt:i4>
      </vt:variant>
      <vt:variant>
        <vt:i4>0</vt:i4>
      </vt:variant>
      <vt:variant>
        <vt:i4>5</vt:i4>
      </vt:variant>
      <vt:variant>
        <vt:lpwstr/>
      </vt:variant>
      <vt:variant>
        <vt:lpwstr>_Toc89860337</vt:lpwstr>
      </vt:variant>
      <vt:variant>
        <vt:i4>1900595</vt:i4>
      </vt:variant>
      <vt:variant>
        <vt:i4>152</vt:i4>
      </vt:variant>
      <vt:variant>
        <vt:i4>0</vt:i4>
      </vt:variant>
      <vt:variant>
        <vt:i4>5</vt:i4>
      </vt:variant>
      <vt:variant>
        <vt:lpwstr/>
      </vt:variant>
      <vt:variant>
        <vt:lpwstr>_Toc89860336</vt:lpwstr>
      </vt:variant>
      <vt:variant>
        <vt:i4>1966131</vt:i4>
      </vt:variant>
      <vt:variant>
        <vt:i4>146</vt:i4>
      </vt:variant>
      <vt:variant>
        <vt:i4>0</vt:i4>
      </vt:variant>
      <vt:variant>
        <vt:i4>5</vt:i4>
      </vt:variant>
      <vt:variant>
        <vt:lpwstr/>
      </vt:variant>
      <vt:variant>
        <vt:lpwstr>_Toc89860335</vt:lpwstr>
      </vt:variant>
      <vt:variant>
        <vt:i4>2031667</vt:i4>
      </vt:variant>
      <vt:variant>
        <vt:i4>140</vt:i4>
      </vt:variant>
      <vt:variant>
        <vt:i4>0</vt:i4>
      </vt:variant>
      <vt:variant>
        <vt:i4>5</vt:i4>
      </vt:variant>
      <vt:variant>
        <vt:lpwstr/>
      </vt:variant>
      <vt:variant>
        <vt:lpwstr>_Toc89860334</vt:lpwstr>
      </vt:variant>
      <vt:variant>
        <vt:i4>1572915</vt:i4>
      </vt:variant>
      <vt:variant>
        <vt:i4>134</vt:i4>
      </vt:variant>
      <vt:variant>
        <vt:i4>0</vt:i4>
      </vt:variant>
      <vt:variant>
        <vt:i4>5</vt:i4>
      </vt:variant>
      <vt:variant>
        <vt:lpwstr/>
      </vt:variant>
      <vt:variant>
        <vt:lpwstr>_Toc89860333</vt:lpwstr>
      </vt:variant>
      <vt:variant>
        <vt:i4>1638451</vt:i4>
      </vt:variant>
      <vt:variant>
        <vt:i4>128</vt:i4>
      </vt:variant>
      <vt:variant>
        <vt:i4>0</vt:i4>
      </vt:variant>
      <vt:variant>
        <vt:i4>5</vt:i4>
      </vt:variant>
      <vt:variant>
        <vt:lpwstr/>
      </vt:variant>
      <vt:variant>
        <vt:lpwstr>_Toc89860332</vt:lpwstr>
      </vt:variant>
      <vt:variant>
        <vt:i4>1703987</vt:i4>
      </vt:variant>
      <vt:variant>
        <vt:i4>122</vt:i4>
      </vt:variant>
      <vt:variant>
        <vt:i4>0</vt:i4>
      </vt:variant>
      <vt:variant>
        <vt:i4>5</vt:i4>
      </vt:variant>
      <vt:variant>
        <vt:lpwstr/>
      </vt:variant>
      <vt:variant>
        <vt:lpwstr>_Toc89860331</vt:lpwstr>
      </vt:variant>
      <vt:variant>
        <vt:i4>1769523</vt:i4>
      </vt:variant>
      <vt:variant>
        <vt:i4>116</vt:i4>
      </vt:variant>
      <vt:variant>
        <vt:i4>0</vt:i4>
      </vt:variant>
      <vt:variant>
        <vt:i4>5</vt:i4>
      </vt:variant>
      <vt:variant>
        <vt:lpwstr/>
      </vt:variant>
      <vt:variant>
        <vt:lpwstr>_Toc89860330</vt:lpwstr>
      </vt:variant>
      <vt:variant>
        <vt:i4>1179698</vt:i4>
      </vt:variant>
      <vt:variant>
        <vt:i4>110</vt:i4>
      </vt:variant>
      <vt:variant>
        <vt:i4>0</vt:i4>
      </vt:variant>
      <vt:variant>
        <vt:i4>5</vt:i4>
      </vt:variant>
      <vt:variant>
        <vt:lpwstr/>
      </vt:variant>
      <vt:variant>
        <vt:lpwstr>_Toc89860329</vt:lpwstr>
      </vt:variant>
      <vt:variant>
        <vt:i4>1245234</vt:i4>
      </vt:variant>
      <vt:variant>
        <vt:i4>104</vt:i4>
      </vt:variant>
      <vt:variant>
        <vt:i4>0</vt:i4>
      </vt:variant>
      <vt:variant>
        <vt:i4>5</vt:i4>
      </vt:variant>
      <vt:variant>
        <vt:lpwstr/>
      </vt:variant>
      <vt:variant>
        <vt:lpwstr>_Toc89860328</vt:lpwstr>
      </vt:variant>
      <vt:variant>
        <vt:i4>1835058</vt:i4>
      </vt:variant>
      <vt:variant>
        <vt:i4>98</vt:i4>
      </vt:variant>
      <vt:variant>
        <vt:i4>0</vt:i4>
      </vt:variant>
      <vt:variant>
        <vt:i4>5</vt:i4>
      </vt:variant>
      <vt:variant>
        <vt:lpwstr/>
      </vt:variant>
      <vt:variant>
        <vt:lpwstr>_Toc89860327</vt:lpwstr>
      </vt:variant>
      <vt:variant>
        <vt:i4>1900594</vt:i4>
      </vt:variant>
      <vt:variant>
        <vt:i4>92</vt:i4>
      </vt:variant>
      <vt:variant>
        <vt:i4>0</vt:i4>
      </vt:variant>
      <vt:variant>
        <vt:i4>5</vt:i4>
      </vt:variant>
      <vt:variant>
        <vt:lpwstr/>
      </vt:variant>
      <vt:variant>
        <vt:lpwstr>_Toc89860326</vt:lpwstr>
      </vt:variant>
      <vt:variant>
        <vt:i4>1966130</vt:i4>
      </vt:variant>
      <vt:variant>
        <vt:i4>86</vt:i4>
      </vt:variant>
      <vt:variant>
        <vt:i4>0</vt:i4>
      </vt:variant>
      <vt:variant>
        <vt:i4>5</vt:i4>
      </vt:variant>
      <vt:variant>
        <vt:lpwstr/>
      </vt:variant>
      <vt:variant>
        <vt:lpwstr>_Toc89860325</vt:lpwstr>
      </vt:variant>
      <vt:variant>
        <vt:i4>2031666</vt:i4>
      </vt:variant>
      <vt:variant>
        <vt:i4>80</vt:i4>
      </vt:variant>
      <vt:variant>
        <vt:i4>0</vt:i4>
      </vt:variant>
      <vt:variant>
        <vt:i4>5</vt:i4>
      </vt:variant>
      <vt:variant>
        <vt:lpwstr/>
      </vt:variant>
      <vt:variant>
        <vt:lpwstr>_Toc89860324</vt:lpwstr>
      </vt:variant>
      <vt:variant>
        <vt:i4>1572914</vt:i4>
      </vt:variant>
      <vt:variant>
        <vt:i4>74</vt:i4>
      </vt:variant>
      <vt:variant>
        <vt:i4>0</vt:i4>
      </vt:variant>
      <vt:variant>
        <vt:i4>5</vt:i4>
      </vt:variant>
      <vt:variant>
        <vt:lpwstr/>
      </vt:variant>
      <vt:variant>
        <vt:lpwstr>_Toc89860323</vt:lpwstr>
      </vt:variant>
      <vt:variant>
        <vt:i4>1638450</vt:i4>
      </vt:variant>
      <vt:variant>
        <vt:i4>68</vt:i4>
      </vt:variant>
      <vt:variant>
        <vt:i4>0</vt:i4>
      </vt:variant>
      <vt:variant>
        <vt:i4>5</vt:i4>
      </vt:variant>
      <vt:variant>
        <vt:lpwstr/>
      </vt:variant>
      <vt:variant>
        <vt:lpwstr>_Toc89860322</vt:lpwstr>
      </vt:variant>
      <vt:variant>
        <vt:i4>1703986</vt:i4>
      </vt:variant>
      <vt:variant>
        <vt:i4>62</vt:i4>
      </vt:variant>
      <vt:variant>
        <vt:i4>0</vt:i4>
      </vt:variant>
      <vt:variant>
        <vt:i4>5</vt:i4>
      </vt:variant>
      <vt:variant>
        <vt:lpwstr/>
      </vt:variant>
      <vt:variant>
        <vt:lpwstr>_Toc89860321</vt:lpwstr>
      </vt:variant>
      <vt:variant>
        <vt:i4>1769522</vt:i4>
      </vt:variant>
      <vt:variant>
        <vt:i4>56</vt:i4>
      </vt:variant>
      <vt:variant>
        <vt:i4>0</vt:i4>
      </vt:variant>
      <vt:variant>
        <vt:i4>5</vt:i4>
      </vt:variant>
      <vt:variant>
        <vt:lpwstr/>
      </vt:variant>
      <vt:variant>
        <vt:lpwstr>_Toc89860320</vt:lpwstr>
      </vt:variant>
      <vt:variant>
        <vt:i4>1179697</vt:i4>
      </vt:variant>
      <vt:variant>
        <vt:i4>50</vt:i4>
      </vt:variant>
      <vt:variant>
        <vt:i4>0</vt:i4>
      </vt:variant>
      <vt:variant>
        <vt:i4>5</vt:i4>
      </vt:variant>
      <vt:variant>
        <vt:lpwstr/>
      </vt:variant>
      <vt:variant>
        <vt:lpwstr>_Toc89860319</vt:lpwstr>
      </vt:variant>
      <vt:variant>
        <vt:i4>1245233</vt:i4>
      </vt:variant>
      <vt:variant>
        <vt:i4>44</vt:i4>
      </vt:variant>
      <vt:variant>
        <vt:i4>0</vt:i4>
      </vt:variant>
      <vt:variant>
        <vt:i4>5</vt:i4>
      </vt:variant>
      <vt:variant>
        <vt:lpwstr/>
      </vt:variant>
      <vt:variant>
        <vt:lpwstr>_Toc89860318</vt:lpwstr>
      </vt:variant>
      <vt:variant>
        <vt:i4>1835057</vt:i4>
      </vt:variant>
      <vt:variant>
        <vt:i4>38</vt:i4>
      </vt:variant>
      <vt:variant>
        <vt:i4>0</vt:i4>
      </vt:variant>
      <vt:variant>
        <vt:i4>5</vt:i4>
      </vt:variant>
      <vt:variant>
        <vt:lpwstr/>
      </vt:variant>
      <vt:variant>
        <vt:lpwstr>_Toc89860317</vt:lpwstr>
      </vt:variant>
      <vt:variant>
        <vt:i4>1900593</vt:i4>
      </vt:variant>
      <vt:variant>
        <vt:i4>32</vt:i4>
      </vt:variant>
      <vt:variant>
        <vt:i4>0</vt:i4>
      </vt:variant>
      <vt:variant>
        <vt:i4>5</vt:i4>
      </vt:variant>
      <vt:variant>
        <vt:lpwstr/>
      </vt:variant>
      <vt:variant>
        <vt:lpwstr>_Toc89860316</vt:lpwstr>
      </vt:variant>
      <vt:variant>
        <vt:i4>1966129</vt:i4>
      </vt:variant>
      <vt:variant>
        <vt:i4>26</vt:i4>
      </vt:variant>
      <vt:variant>
        <vt:i4>0</vt:i4>
      </vt:variant>
      <vt:variant>
        <vt:i4>5</vt:i4>
      </vt:variant>
      <vt:variant>
        <vt:lpwstr/>
      </vt:variant>
      <vt:variant>
        <vt:lpwstr>_Toc89860315</vt:lpwstr>
      </vt:variant>
      <vt:variant>
        <vt:i4>2031665</vt:i4>
      </vt:variant>
      <vt:variant>
        <vt:i4>20</vt:i4>
      </vt:variant>
      <vt:variant>
        <vt:i4>0</vt:i4>
      </vt:variant>
      <vt:variant>
        <vt:i4>5</vt:i4>
      </vt:variant>
      <vt:variant>
        <vt:lpwstr/>
      </vt:variant>
      <vt:variant>
        <vt:lpwstr>_Toc89860314</vt:lpwstr>
      </vt:variant>
      <vt:variant>
        <vt:i4>1572913</vt:i4>
      </vt:variant>
      <vt:variant>
        <vt:i4>14</vt:i4>
      </vt:variant>
      <vt:variant>
        <vt:i4>0</vt:i4>
      </vt:variant>
      <vt:variant>
        <vt:i4>5</vt:i4>
      </vt:variant>
      <vt:variant>
        <vt:lpwstr/>
      </vt:variant>
      <vt:variant>
        <vt:lpwstr>_Toc89860313</vt:lpwstr>
      </vt:variant>
      <vt:variant>
        <vt:i4>1638449</vt:i4>
      </vt:variant>
      <vt:variant>
        <vt:i4>8</vt:i4>
      </vt:variant>
      <vt:variant>
        <vt:i4>0</vt:i4>
      </vt:variant>
      <vt:variant>
        <vt:i4>5</vt:i4>
      </vt:variant>
      <vt:variant>
        <vt:lpwstr/>
      </vt:variant>
      <vt:variant>
        <vt:lpwstr>_Toc89860312</vt:lpwstr>
      </vt:variant>
      <vt:variant>
        <vt:i4>1703985</vt:i4>
      </vt:variant>
      <vt:variant>
        <vt:i4>2</vt:i4>
      </vt:variant>
      <vt:variant>
        <vt:i4>0</vt:i4>
      </vt:variant>
      <vt:variant>
        <vt:i4>5</vt:i4>
      </vt:variant>
      <vt:variant>
        <vt:lpwstr/>
      </vt:variant>
      <vt:variant>
        <vt:lpwstr>_Toc89860311</vt:lpwstr>
      </vt:variant>
      <vt:variant>
        <vt:i4>524305</vt:i4>
      </vt:variant>
      <vt:variant>
        <vt:i4>3</vt:i4>
      </vt:variant>
      <vt:variant>
        <vt:i4>0</vt:i4>
      </vt:variant>
      <vt:variant>
        <vt:i4>5</vt:i4>
      </vt:variant>
      <vt:variant>
        <vt:lpwstr>https://www.pbs.gov.au/info/general/changes-to-certain-s100-programs</vt:lpwstr>
      </vt:variant>
      <vt:variant>
        <vt:lpwstr/>
      </vt:variant>
      <vt:variant>
        <vt:i4>524305</vt:i4>
      </vt:variant>
      <vt:variant>
        <vt:i4>0</vt:i4>
      </vt:variant>
      <vt:variant>
        <vt:i4>0</vt:i4>
      </vt:variant>
      <vt:variant>
        <vt:i4>5</vt:i4>
      </vt:variant>
      <vt:variant>
        <vt:lpwstr>https://www.pbs.gov.au/info/general/changes-to-certain-s100-programs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2022-06-28T02:10:00Z</dcterms:created>
  <dcterms:modified xsi:type="dcterms:W3CDTF">2022-06-28T02:10:00Z</dcterms:modified>
</cp:coreProperties>
</file>