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F1087" w14:textId="1526CD1F" w:rsidR="006B3342" w:rsidRPr="000B52C6" w:rsidRDefault="00D204F0" w:rsidP="005340C3">
      <w:pPr>
        <w:pStyle w:val="1-MainHeading"/>
      </w:pPr>
      <w:bookmarkStart w:id="0" w:name="_Toc93429913"/>
      <w:bookmarkStart w:id="1" w:name="_Toc90291092"/>
      <w:r w:rsidRPr="000B52C6">
        <w:t>7</w:t>
      </w:r>
      <w:r w:rsidR="006B3342" w:rsidRPr="000B52C6">
        <w:t>.</w:t>
      </w:r>
      <w:r w:rsidRPr="000B52C6">
        <w:t>10</w:t>
      </w:r>
      <w:r w:rsidR="006B3342" w:rsidRPr="000B52C6">
        <w:tab/>
        <w:t>SELINEXOR,</w:t>
      </w:r>
      <w:r w:rsidR="006B3342" w:rsidRPr="000B52C6">
        <w:br/>
        <w:t>Tablet 20 mg,</w:t>
      </w:r>
      <w:r w:rsidR="005340C3" w:rsidRPr="000B52C6">
        <w:br/>
      </w:r>
      <w:proofErr w:type="spellStart"/>
      <w:r w:rsidR="005340C3" w:rsidRPr="000B52C6">
        <w:t>Xpovio</w:t>
      </w:r>
      <w:proofErr w:type="spellEnd"/>
      <w:r w:rsidR="005340C3" w:rsidRPr="000B52C6">
        <w:rPr>
          <w:vertAlign w:val="superscript"/>
        </w:rPr>
        <w:t>®</w:t>
      </w:r>
      <w:r w:rsidR="005340C3" w:rsidRPr="000B52C6">
        <w:t>,</w:t>
      </w:r>
      <w:r w:rsidR="005340C3" w:rsidRPr="000B52C6">
        <w:br/>
      </w:r>
      <w:proofErr w:type="spellStart"/>
      <w:r w:rsidR="005340C3" w:rsidRPr="000B52C6">
        <w:t>Antengene</w:t>
      </w:r>
      <w:proofErr w:type="spellEnd"/>
      <w:r w:rsidR="005340C3" w:rsidRPr="000B52C6">
        <w:t xml:space="preserve"> (</w:t>
      </w:r>
      <w:proofErr w:type="spellStart"/>
      <w:r w:rsidR="005340C3" w:rsidRPr="000B52C6">
        <w:t>Aus</w:t>
      </w:r>
      <w:proofErr w:type="spellEnd"/>
      <w:r w:rsidR="005340C3" w:rsidRPr="000B52C6">
        <w:t>) Pty. Ltd</w:t>
      </w:r>
      <w:r w:rsidR="006B3342" w:rsidRPr="000B52C6">
        <w:t>.</w:t>
      </w:r>
      <w:bookmarkEnd w:id="0"/>
    </w:p>
    <w:p w14:paraId="04E86CC8" w14:textId="77777777" w:rsidR="006B3342" w:rsidRPr="000B52C6" w:rsidRDefault="006B3342" w:rsidP="006B3342">
      <w:pPr>
        <w:pStyle w:val="2-SectionHeading"/>
        <w:numPr>
          <w:ilvl w:val="0"/>
          <w:numId w:val="1"/>
        </w:numPr>
      </w:pPr>
      <w:bookmarkStart w:id="2" w:name="_Toc93429915"/>
      <w:r w:rsidRPr="000B52C6">
        <w:t>Purpose of submission</w:t>
      </w:r>
      <w:bookmarkEnd w:id="2"/>
    </w:p>
    <w:p w14:paraId="63A1DAA5" w14:textId="256C55BD" w:rsidR="006B3342" w:rsidRPr="000B52C6" w:rsidRDefault="006B3342" w:rsidP="006B3342">
      <w:pPr>
        <w:pStyle w:val="3-BodyText"/>
        <w:ind w:left="720" w:hanging="720"/>
      </w:pPr>
      <w:r w:rsidRPr="000B52C6">
        <w:t xml:space="preserve">The </w:t>
      </w:r>
      <w:r w:rsidR="00676810" w:rsidRPr="000B52C6">
        <w:t xml:space="preserve">standard re-entry </w:t>
      </w:r>
      <w:r w:rsidRPr="000B52C6">
        <w:t xml:space="preserve">resubmission requested a Section 100 (Highly Specialised Drug), Authority Required (Telephone, Electronic) listing of </w:t>
      </w:r>
      <w:proofErr w:type="spellStart"/>
      <w:r w:rsidRPr="000B52C6">
        <w:t>selinexor</w:t>
      </w:r>
      <w:proofErr w:type="spellEnd"/>
      <w:r w:rsidRPr="000B52C6">
        <w:t xml:space="preserve"> in combination with bortezomib and dexamethasone (</w:t>
      </w:r>
      <w:proofErr w:type="spellStart"/>
      <w:r w:rsidRPr="000B52C6">
        <w:t>SBd</w:t>
      </w:r>
      <w:proofErr w:type="spellEnd"/>
      <w:r w:rsidRPr="000B52C6">
        <w:t xml:space="preserve">) for the treatment of adult patients with relapsed and/or refractory multiple myeloma (RRMM) who have received at least one prior therapy. </w:t>
      </w:r>
    </w:p>
    <w:p w14:paraId="534DC94D" w14:textId="77777777" w:rsidR="006B3342" w:rsidRPr="000B52C6" w:rsidRDefault="006B3342" w:rsidP="006B3342">
      <w:pPr>
        <w:pStyle w:val="3-BodyText"/>
        <w:ind w:left="720" w:hanging="720"/>
      </w:pPr>
      <w:r w:rsidRPr="000B52C6">
        <w:t xml:space="preserve">Listing was requested </w:t>
      </w:r>
      <w:proofErr w:type="gramStart"/>
      <w:r w:rsidRPr="000B52C6">
        <w:t>on the basis of</w:t>
      </w:r>
      <w:proofErr w:type="gramEnd"/>
      <w:r w:rsidRPr="000B52C6">
        <w:t xml:space="preserve"> a cost-minimisation analysis (CMA) versus carfilzomib + dexamethasone (Cd). </w:t>
      </w:r>
    </w:p>
    <w:p w14:paraId="6A30753F" w14:textId="6B3D6760" w:rsidR="006B3342" w:rsidRPr="000B52C6" w:rsidRDefault="006B3342" w:rsidP="006B3342">
      <w:pPr>
        <w:pStyle w:val="TableFigureHeading"/>
        <w:rPr>
          <w:rStyle w:val="CommentReference"/>
          <w:b/>
          <w:bCs w:val="0"/>
          <w:szCs w:val="24"/>
        </w:rPr>
      </w:pPr>
      <w:r w:rsidRPr="000B52C6">
        <w:rPr>
          <w:rStyle w:val="CommentReference"/>
          <w:b/>
          <w:bCs w:val="0"/>
          <w:szCs w:val="24"/>
        </w:rPr>
        <w:t xml:space="preserve">Table </w:t>
      </w:r>
      <w:r w:rsidRPr="000B52C6">
        <w:rPr>
          <w:rStyle w:val="CommentReference"/>
          <w:b/>
          <w:bCs w:val="0"/>
          <w:szCs w:val="24"/>
        </w:rPr>
        <w:fldChar w:fldCharType="begin"/>
      </w:r>
      <w:r w:rsidRPr="000B52C6">
        <w:rPr>
          <w:rStyle w:val="CommentReference"/>
          <w:b/>
          <w:bCs w:val="0"/>
          <w:szCs w:val="24"/>
        </w:rPr>
        <w:instrText xml:space="preserve"> SEQ Table \* ARABIC </w:instrText>
      </w:r>
      <w:r w:rsidRPr="000B52C6">
        <w:rPr>
          <w:rStyle w:val="CommentReference"/>
          <w:b/>
          <w:bCs w:val="0"/>
          <w:szCs w:val="24"/>
        </w:rPr>
        <w:fldChar w:fldCharType="separate"/>
      </w:r>
      <w:r w:rsidR="00FF5725">
        <w:rPr>
          <w:rStyle w:val="CommentReference"/>
          <w:b/>
          <w:bCs w:val="0"/>
          <w:noProof/>
          <w:szCs w:val="24"/>
        </w:rPr>
        <w:t>1</w:t>
      </w:r>
      <w:r w:rsidRPr="000B52C6">
        <w:rPr>
          <w:rStyle w:val="CommentReference"/>
          <w:b/>
          <w:bCs w:val="0"/>
          <w:szCs w:val="24"/>
        </w:rPr>
        <w:fldChar w:fldCharType="end"/>
      </w:r>
      <w:r w:rsidRPr="000B52C6">
        <w:rPr>
          <w:rStyle w:val="CommentReference"/>
          <w:b/>
          <w:bCs w:val="0"/>
          <w:szCs w:val="24"/>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7708"/>
      </w:tblGrid>
      <w:tr w:rsidR="006B3342" w:rsidRPr="000B52C6" w14:paraId="01EDC953" w14:textId="77777777" w:rsidTr="00363E6D">
        <w:tc>
          <w:tcPr>
            <w:tcW w:w="726" w:type="pct"/>
            <w:shd w:val="clear" w:color="auto" w:fill="auto"/>
          </w:tcPr>
          <w:p w14:paraId="600EEFC4" w14:textId="77777777" w:rsidR="006B3342" w:rsidRPr="000B52C6" w:rsidRDefault="006B3342" w:rsidP="003D4675">
            <w:pPr>
              <w:pStyle w:val="In-tableHeading"/>
              <w:rPr>
                <w:lang w:val="en-AU"/>
              </w:rPr>
            </w:pPr>
            <w:r w:rsidRPr="000B52C6">
              <w:rPr>
                <w:lang w:val="en-AU"/>
              </w:rPr>
              <w:t>Component</w:t>
            </w:r>
          </w:p>
        </w:tc>
        <w:tc>
          <w:tcPr>
            <w:tcW w:w="4274" w:type="pct"/>
            <w:shd w:val="clear" w:color="auto" w:fill="auto"/>
          </w:tcPr>
          <w:p w14:paraId="3811120A" w14:textId="77777777" w:rsidR="006B3342" w:rsidRPr="000B52C6" w:rsidRDefault="006B3342" w:rsidP="003D4675">
            <w:pPr>
              <w:pStyle w:val="In-tableHeading"/>
              <w:rPr>
                <w:lang w:val="en-AU"/>
              </w:rPr>
            </w:pPr>
            <w:r w:rsidRPr="000B52C6">
              <w:rPr>
                <w:lang w:val="en-AU"/>
              </w:rPr>
              <w:t>Description</w:t>
            </w:r>
          </w:p>
        </w:tc>
      </w:tr>
      <w:tr w:rsidR="006B3342" w:rsidRPr="000B52C6" w14:paraId="633AF533" w14:textId="77777777" w:rsidTr="00363E6D">
        <w:tc>
          <w:tcPr>
            <w:tcW w:w="726" w:type="pct"/>
            <w:shd w:val="clear" w:color="auto" w:fill="C6D9F1" w:themeFill="text2" w:themeFillTint="33"/>
          </w:tcPr>
          <w:p w14:paraId="1A5137C4" w14:textId="77777777" w:rsidR="006B3342" w:rsidRPr="000B52C6" w:rsidRDefault="006B3342" w:rsidP="003D4675">
            <w:pPr>
              <w:pStyle w:val="TableText0"/>
            </w:pPr>
            <w:r w:rsidRPr="000B52C6">
              <w:t>Population</w:t>
            </w:r>
          </w:p>
        </w:tc>
        <w:tc>
          <w:tcPr>
            <w:tcW w:w="4274" w:type="pct"/>
            <w:shd w:val="clear" w:color="auto" w:fill="C6D9F1" w:themeFill="text2" w:themeFillTint="33"/>
          </w:tcPr>
          <w:p w14:paraId="38D5200A" w14:textId="77777777" w:rsidR="006B3342" w:rsidRPr="000B52C6" w:rsidRDefault="006B3342" w:rsidP="003D4675">
            <w:pPr>
              <w:pStyle w:val="TableText0"/>
            </w:pPr>
            <w:r w:rsidRPr="000B52C6">
              <w:t>Adult patients with relapsed and/or refractory multiple myeloma who have received at least one prior therapy</w:t>
            </w:r>
          </w:p>
        </w:tc>
      </w:tr>
      <w:tr w:rsidR="006B3342" w:rsidRPr="000B52C6" w14:paraId="67F7C767" w14:textId="77777777" w:rsidTr="00363E6D">
        <w:tc>
          <w:tcPr>
            <w:tcW w:w="726" w:type="pct"/>
            <w:shd w:val="clear" w:color="auto" w:fill="C6D9F1" w:themeFill="text2" w:themeFillTint="33"/>
          </w:tcPr>
          <w:p w14:paraId="67DD9000" w14:textId="77777777" w:rsidR="006B3342" w:rsidRPr="000B52C6" w:rsidRDefault="006B3342" w:rsidP="003D4675">
            <w:pPr>
              <w:pStyle w:val="TableText0"/>
            </w:pPr>
            <w:r w:rsidRPr="000B52C6">
              <w:t>Intervention</w:t>
            </w:r>
          </w:p>
        </w:tc>
        <w:tc>
          <w:tcPr>
            <w:tcW w:w="4274" w:type="pct"/>
            <w:shd w:val="clear" w:color="auto" w:fill="C6D9F1" w:themeFill="text2" w:themeFillTint="33"/>
          </w:tcPr>
          <w:p w14:paraId="39EA2E1C" w14:textId="77777777" w:rsidR="006B3342" w:rsidRPr="000B52C6" w:rsidRDefault="006B3342" w:rsidP="003D4675">
            <w:pPr>
              <w:pStyle w:val="TableText0"/>
            </w:pPr>
            <w:r w:rsidRPr="000B52C6">
              <w:t>Selinexor in combination with bortezomib and dexamethasone (</w:t>
            </w:r>
            <w:proofErr w:type="spellStart"/>
            <w:r w:rsidRPr="000B52C6">
              <w:t>SBd</w:t>
            </w:r>
            <w:proofErr w:type="spellEnd"/>
            <w:r w:rsidRPr="000B52C6">
              <w:t>)</w:t>
            </w:r>
          </w:p>
        </w:tc>
      </w:tr>
      <w:tr w:rsidR="006B3342" w:rsidRPr="000B52C6" w14:paraId="17C57AB8" w14:textId="77777777" w:rsidTr="00363E6D">
        <w:tc>
          <w:tcPr>
            <w:tcW w:w="726" w:type="pct"/>
            <w:shd w:val="clear" w:color="auto" w:fill="auto"/>
          </w:tcPr>
          <w:p w14:paraId="27A9B574" w14:textId="3A4180A4" w:rsidR="006B3342" w:rsidRPr="000B52C6" w:rsidRDefault="006B3342" w:rsidP="003D4675">
            <w:pPr>
              <w:pStyle w:val="TableText0"/>
            </w:pPr>
            <w:proofErr w:type="spellStart"/>
            <w:r w:rsidRPr="000B52C6">
              <w:t>Comparator</w:t>
            </w:r>
            <w:r w:rsidR="00941658" w:rsidRPr="000B52C6">
              <w:rPr>
                <w:vertAlign w:val="superscript"/>
              </w:rPr>
              <w:t>a</w:t>
            </w:r>
            <w:proofErr w:type="spellEnd"/>
          </w:p>
        </w:tc>
        <w:tc>
          <w:tcPr>
            <w:tcW w:w="4274" w:type="pct"/>
            <w:shd w:val="clear" w:color="auto" w:fill="auto"/>
          </w:tcPr>
          <w:p w14:paraId="6785EC41" w14:textId="432A79FB" w:rsidR="006B3342" w:rsidRPr="000B52C6" w:rsidRDefault="006B3342" w:rsidP="00363E6D">
            <w:pPr>
              <w:pStyle w:val="TableText0"/>
            </w:pPr>
            <w:r w:rsidRPr="000B52C6">
              <w:t xml:space="preserve">Main </w:t>
            </w:r>
            <w:r w:rsidRPr="000B52C6" w:rsidDel="00091F49">
              <w:t>comparator</w:t>
            </w:r>
            <w:r w:rsidRPr="000B52C6">
              <w:t>:</w:t>
            </w:r>
            <w:r w:rsidRPr="000B52C6" w:rsidDel="00091F49">
              <w:t xml:space="preserve"> </w:t>
            </w:r>
            <w:r w:rsidR="00363E6D" w:rsidRPr="000B52C6">
              <w:t>c</w:t>
            </w:r>
            <w:r w:rsidRPr="000B52C6">
              <w:t>arfilzomib + dexamethasone (Cd)</w:t>
            </w:r>
          </w:p>
        </w:tc>
      </w:tr>
      <w:tr w:rsidR="006B3342" w:rsidRPr="000B52C6" w14:paraId="6F0AA71D" w14:textId="77777777" w:rsidTr="00363E6D">
        <w:tc>
          <w:tcPr>
            <w:tcW w:w="726" w:type="pct"/>
            <w:shd w:val="clear" w:color="auto" w:fill="C6D9F1" w:themeFill="text2" w:themeFillTint="33"/>
          </w:tcPr>
          <w:p w14:paraId="0E01970D" w14:textId="77777777" w:rsidR="006B3342" w:rsidRPr="000B52C6" w:rsidRDefault="006B3342" w:rsidP="003D4675">
            <w:pPr>
              <w:pStyle w:val="TableText0"/>
            </w:pPr>
            <w:r w:rsidRPr="000B52C6">
              <w:t>Outcomes</w:t>
            </w:r>
          </w:p>
        </w:tc>
        <w:tc>
          <w:tcPr>
            <w:tcW w:w="4274" w:type="pct"/>
            <w:shd w:val="clear" w:color="auto" w:fill="C6D9F1" w:themeFill="text2" w:themeFillTint="33"/>
          </w:tcPr>
          <w:p w14:paraId="6E0C75A8" w14:textId="77777777" w:rsidR="006B3342" w:rsidRPr="000B52C6" w:rsidRDefault="006B3342" w:rsidP="003D4675">
            <w:pPr>
              <w:pStyle w:val="Tabletext"/>
              <w:widowControl w:val="0"/>
            </w:pPr>
            <w:r w:rsidRPr="000B52C6">
              <w:t>PFS; Safety</w:t>
            </w:r>
          </w:p>
        </w:tc>
      </w:tr>
      <w:tr w:rsidR="006B3342" w:rsidRPr="000B52C6" w14:paraId="0BA69F62" w14:textId="77777777" w:rsidTr="00363E6D">
        <w:tc>
          <w:tcPr>
            <w:tcW w:w="726" w:type="pct"/>
            <w:shd w:val="clear" w:color="auto" w:fill="auto"/>
          </w:tcPr>
          <w:p w14:paraId="06B9F1C2" w14:textId="3F805ADE" w:rsidR="006B3342" w:rsidRPr="000B52C6" w:rsidRDefault="006B3342" w:rsidP="003D4675">
            <w:pPr>
              <w:pStyle w:val="TableText0"/>
            </w:pPr>
            <w:r w:rsidRPr="000B52C6">
              <w:t xml:space="preserve">Clinical </w:t>
            </w:r>
            <w:proofErr w:type="spellStart"/>
            <w:r w:rsidRPr="000B52C6">
              <w:t>claim</w:t>
            </w:r>
            <w:r w:rsidR="00941658" w:rsidRPr="000B52C6">
              <w:rPr>
                <w:vertAlign w:val="superscript"/>
              </w:rPr>
              <w:t>b</w:t>
            </w:r>
            <w:proofErr w:type="spellEnd"/>
          </w:p>
        </w:tc>
        <w:tc>
          <w:tcPr>
            <w:tcW w:w="4274" w:type="pct"/>
            <w:shd w:val="clear" w:color="auto" w:fill="auto"/>
          </w:tcPr>
          <w:p w14:paraId="267C5A72" w14:textId="77777777" w:rsidR="006B3342" w:rsidRPr="000B52C6" w:rsidRDefault="006B3342" w:rsidP="003D4675">
            <w:pPr>
              <w:pStyle w:val="TableText0"/>
            </w:pPr>
            <w:r w:rsidRPr="000B52C6">
              <w:t xml:space="preserve">In patients with MM who have received at least one prior therapy, treatment with </w:t>
            </w:r>
            <w:proofErr w:type="spellStart"/>
            <w:r w:rsidRPr="000B52C6">
              <w:t>selinexor</w:t>
            </w:r>
            <w:proofErr w:type="spellEnd"/>
            <w:r w:rsidRPr="000B52C6">
              <w:t xml:space="preserve"> in combination with bortezomib and dexamethasone is non-inferior compared to Cd with respect to efficacy with a different safety profile.</w:t>
            </w:r>
          </w:p>
        </w:tc>
      </w:tr>
    </w:tbl>
    <w:p w14:paraId="123D2F85" w14:textId="77777777" w:rsidR="006B3342" w:rsidRPr="000B52C6" w:rsidRDefault="006B3342" w:rsidP="006B3342">
      <w:pPr>
        <w:pStyle w:val="TableFigureFooter"/>
      </w:pPr>
      <w:r w:rsidRPr="000B52C6">
        <w:t>Source: Table 1-2, p29 of the resubmission.</w:t>
      </w:r>
    </w:p>
    <w:p w14:paraId="5054CEA4" w14:textId="77777777" w:rsidR="006B3342" w:rsidRPr="000B52C6" w:rsidRDefault="006B3342" w:rsidP="006B3342">
      <w:pPr>
        <w:pStyle w:val="TableFigureFooter"/>
      </w:pPr>
      <w:r w:rsidRPr="000B52C6">
        <w:t xml:space="preserve">Abbreviations: Cd = carfilzomib + dexamethasone; MM = multiple myeloma; PFS = progression free survival; </w:t>
      </w:r>
      <w:proofErr w:type="spellStart"/>
      <w:r w:rsidRPr="000B52C6">
        <w:t>SBd</w:t>
      </w:r>
      <w:proofErr w:type="spellEnd"/>
      <w:r w:rsidRPr="000B52C6">
        <w:t xml:space="preserve"> = </w:t>
      </w:r>
      <w:proofErr w:type="spellStart"/>
      <w:r w:rsidRPr="000B52C6">
        <w:t>selinexor</w:t>
      </w:r>
      <w:proofErr w:type="spellEnd"/>
      <w:r w:rsidRPr="000B52C6">
        <w:t xml:space="preserve"> + bortezomib + dexamethasone.</w:t>
      </w:r>
    </w:p>
    <w:p w14:paraId="37175D06" w14:textId="08B4B743" w:rsidR="00363E6D" w:rsidRPr="000B52C6" w:rsidRDefault="00363E6D" w:rsidP="006B3342">
      <w:pPr>
        <w:pStyle w:val="TableFigureFooter"/>
        <w:rPr>
          <w:iCs/>
        </w:rPr>
      </w:pPr>
      <w:r w:rsidRPr="000B52C6">
        <w:t>a.</w:t>
      </w:r>
      <w:r w:rsidR="006B3342" w:rsidRPr="000B52C6">
        <w:t xml:space="preserve"> </w:t>
      </w:r>
      <w:r w:rsidRPr="000B52C6">
        <w:rPr>
          <w:iCs/>
        </w:rPr>
        <w:t>The July 2021</w:t>
      </w:r>
      <w:r w:rsidR="006B3342" w:rsidRPr="000B52C6">
        <w:rPr>
          <w:iCs/>
        </w:rPr>
        <w:t xml:space="preserve"> submission </w:t>
      </w:r>
      <w:r w:rsidRPr="000B52C6">
        <w:rPr>
          <w:iCs/>
        </w:rPr>
        <w:t>nominated</w:t>
      </w:r>
      <w:r w:rsidR="006B3342" w:rsidRPr="000B52C6">
        <w:rPr>
          <w:iCs/>
        </w:rPr>
        <w:t xml:space="preserve"> Bd as primary comparator and Cd as secondary comparator. </w:t>
      </w:r>
    </w:p>
    <w:p w14:paraId="608854CD" w14:textId="7F8629C2" w:rsidR="006B3342" w:rsidRPr="000B52C6" w:rsidRDefault="00363E6D" w:rsidP="006B3342">
      <w:pPr>
        <w:pStyle w:val="TableFigureFooter"/>
        <w:rPr>
          <w:iCs/>
        </w:rPr>
      </w:pPr>
      <w:r w:rsidRPr="000B52C6">
        <w:rPr>
          <w:iCs/>
        </w:rPr>
        <w:t xml:space="preserve">b. The July 2021 submission </w:t>
      </w:r>
      <w:r w:rsidR="00941658" w:rsidRPr="000B52C6">
        <w:rPr>
          <w:iCs/>
        </w:rPr>
        <w:t>claimed com</w:t>
      </w:r>
      <w:r w:rsidR="006B3342" w:rsidRPr="000B52C6">
        <w:rPr>
          <w:iCs/>
        </w:rPr>
        <w:t>parable effectiveness</w:t>
      </w:r>
      <w:r w:rsidR="006B3342" w:rsidRPr="000B52C6">
        <w:rPr>
          <w:rFonts w:eastAsia="Calibri"/>
          <w:iCs/>
        </w:rPr>
        <w:t xml:space="preserve"> and different safety profile </w:t>
      </w:r>
      <w:r w:rsidR="006B3342" w:rsidRPr="000B52C6">
        <w:rPr>
          <w:iCs/>
        </w:rPr>
        <w:t xml:space="preserve">of </w:t>
      </w:r>
      <w:proofErr w:type="spellStart"/>
      <w:r w:rsidR="006B3342" w:rsidRPr="000B52C6">
        <w:rPr>
          <w:iCs/>
        </w:rPr>
        <w:t>SBd</w:t>
      </w:r>
      <w:proofErr w:type="spellEnd"/>
      <w:r w:rsidR="006B3342" w:rsidRPr="000B52C6">
        <w:rPr>
          <w:iCs/>
        </w:rPr>
        <w:t xml:space="preserve"> compared with Cd.</w:t>
      </w:r>
    </w:p>
    <w:p w14:paraId="692A138A" w14:textId="77777777" w:rsidR="006B3342" w:rsidRPr="000B52C6" w:rsidRDefault="006B3342" w:rsidP="006B3342">
      <w:pPr>
        <w:pStyle w:val="TableFigureFooter"/>
        <w:rPr>
          <w:bCs/>
          <w:iCs/>
          <w:szCs w:val="18"/>
        </w:rPr>
      </w:pPr>
      <w:r w:rsidRPr="000B52C6">
        <w:rPr>
          <w:rStyle w:val="CommentReference"/>
          <w:b w:val="0"/>
          <w:bCs/>
          <w:iCs/>
          <w:sz w:val="18"/>
          <w:szCs w:val="18"/>
          <w:shd w:val="clear" w:color="auto" w:fill="C6D9F1" w:themeFill="text2" w:themeFillTint="33"/>
        </w:rPr>
        <w:t>Blue shading</w:t>
      </w:r>
      <w:r w:rsidRPr="000B52C6">
        <w:rPr>
          <w:rStyle w:val="CommentReference"/>
          <w:b w:val="0"/>
          <w:bCs/>
          <w:iCs/>
          <w:sz w:val="18"/>
          <w:szCs w:val="18"/>
        </w:rPr>
        <w:t xml:space="preserve"> indicates data previously seen by the PBAC. </w:t>
      </w:r>
    </w:p>
    <w:p w14:paraId="0E3C7186" w14:textId="77777777" w:rsidR="006B3342" w:rsidRPr="000B52C6" w:rsidRDefault="006B3342" w:rsidP="005640E7">
      <w:pPr>
        <w:pStyle w:val="2-SectionHeading"/>
        <w:keepLines/>
        <w:numPr>
          <w:ilvl w:val="0"/>
          <w:numId w:val="1"/>
        </w:numPr>
      </w:pPr>
      <w:bookmarkStart w:id="3" w:name="_Toc93429916"/>
      <w:r w:rsidRPr="000B52C6">
        <w:t>Background</w:t>
      </w:r>
      <w:bookmarkEnd w:id="3"/>
    </w:p>
    <w:p w14:paraId="3FDBD3BB" w14:textId="77777777" w:rsidR="006B3342" w:rsidRPr="000B52C6" w:rsidRDefault="006B3342" w:rsidP="005640E7">
      <w:pPr>
        <w:pStyle w:val="4-SubsectionHeading"/>
        <w:keepLines/>
      </w:pPr>
      <w:bookmarkStart w:id="4" w:name="_Toc22897638"/>
      <w:bookmarkStart w:id="5" w:name="_Toc93429917"/>
      <w:r w:rsidRPr="000B52C6">
        <w:t>Registration status</w:t>
      </w:r>
      <w:bookmarkEnd w:id="4"/>
      <w:bookmarkEnd w:id="5"/>
    </w:p>
    <w:p w14:paraId="39513A16" w14:textId="77777777" w:rsidR="001B0C03" w:rsidRPr="000B52C6" w:rsidRDefault="001B0C03" w:rsidP="005640E7">
      <w:pPr>
        <w:pStyle w:val="ListParagraph"/>
        <w:keepNext/>
        <w:keepLines/>
        <w:numPr>
          <w:ilvl w:val="1"/>
          <w:numId w:val="1"/>
        </w:numPr>
        <w:spacing w:after="160"/>
        <w:ind w:left="720" w:hanging="720"/>
      </w:pPr>
      <w:r w:rsidRPr="000B52C6">
        <w:t xml:space="preserve">Selinexor was TGA registered on 8 March 2022 for the following indication: </w:t>
      </w:r>
    </w:p>
    <w:p w14:paraId="2D771EB1" w14:textId="1CADEC3C" w:rsidR="001B0C03" w:rsidRPr="000B52C6" w:rsidRDefault="001B0C03" w:rsidP="005640E7">
      <w:pPr>
        <w:pStyle w:val="ListBullet"/>
        <w:keepNext/>
        <w:keepLines/>
        <w:tabs>
          <w:tab w:val="clear" w:pos="-436"/>
          <w:tab w:val="num" w:pos="1080"/>
        </w:tabs>
        <w:spacing w:after="120"/>
        <w:ind w:left="1077" w:hanging="357"/>
      </w:pPr>
      <w:r w:rsidRPr="000B52C6">
        <w:t>In combination with bortezomib and dexamethasone for the treatment of adult patients with multiple myeloma who have received at least one prior therapy</w:t>
      </w:r>
      <w:r w:rsidR="00521842" w:rsidRPr="000B52C6">
        <w:t>.</w:t>
      </w:r>
    </w:p>
    <w:p w14:paraId="2DB67E2D" w14:textId="17DCAEAA" w:rsidR="00CB0602" w:rsidRPr="000B52C6" w:rsidRDefault="00CB0602" w:rsidP="002E49CA">
      <w:pPr>
        <w:pStyle w:val="3-BodyText"/>
        <w:ind w:left="720" w:hanging="720"/>
        <w:rPr>
          <w:iCs/>
        </w:rPr>
      </w:pPr>
      <w:r w:rsidRPr="000B52C6">
        <w:rPr>
          <w:iCs/>
        </w:rPr>
        <w:t xml:space="preserve">The </w:t>
      </w:r>
      <w:r w:rsidR="004765ED" w:rsidRPr="000B52C6">
        <w:rPr>
          <w:iCs/>
        </w:rPr>
        <w:t xml:space="preserve">requested PBS restriction is consistent with the </w:t>
      </w:r>
      <w:r w:rsidRPr="000B52C6">
        <w:rPr>
          <w:iCs/>
        </w:rPr>
        <w:t>T</w:t>
      </w:r>
      <w:r w:rsidR="004765ED" w:rsidRPr="000B52C6">
        <w:rPr>
          <w:iCs/>
        </w:rPr>
        <w:t>GA indication</w:t>
      </w:r>
      <w:r w:rsidRPr="000B52C6">
        <w:rPr>
          <w:iCs/>
        </w:rPr>
        <w:t>.</w:t>
      </w:r>
    </w:p>
    <w:p w14:paraId="254DB1AE" w14:textId="77777777" w:rsidR="006B3342" w:rsidRPr="000B52C6" w:rsidRDefault="006B3342" w:rsidP="006B3342">
      <w:pPr>
        <w:pStyle w:val="4-SubsectionHeading"/>
      </w:pPr>
      <w:bookmarkStart w:id="6" w:name="_Toc22897639"/>
      <w:bookmarkStart w:id="7" w:name="_Toc93429918"/>
      <w:r w:rsidRPr="000B52C6">
        <w:t>Previous PBAC consideration</w:t>
      </w:r>
      <w:bookmarkEnd w:id="6"/>
      <w:bookmarkEnd w:id="7"/>
    </w:p>
    <w:p w14:paraId="4E8646E1" w14:textId="5380870F" w:rsidR="00B70AC2" w:rsidRPr="000B52C6" w:rsidRDefault="00941658" w:rsidP="009F0481">
      <w:pPr>
        <w:pStyle w:val="3-BodyText"/>
        <w:ind w:left="720" w:hanging="720"/>
      </w:pPr>
      <w:r w:rsidRPr="000B52C6">
        <w:t>A s</w:t>
      </w:r>
      <w:r w:rsidR="006B3342" w:rsidRPr="000B52C6">
        <w:t xml:space="preserve">ummary of the key matters of concern from the previous PBAC consideration is presented in </w:t>
      </w:r>
      <w:r w:rsidR="006B3342" w:rsidRPr="000B52C6">
        <w:fldChar w:fldCharType="begin"/>
      </w:r>
      <w:r w:rsidR="006B3342" w:rsidRPr="000B52C6">
        <w:instrText xml:space="preserve"> REF _Ref90369772 \h  \* MERGEFORMAT </w:instrText>
      </w:r>
      <w:r w:rsidR="006B3342" w:rsidRPr="000B52C6">
        <w:fldChar w:fldCharType="separate"/>
      </w:r>
      <w:r w:rsidR="00FF5725" w:rsidRPr="00FF5725">
        <w:t>Table 2</w:t>
      </w:r>
      <w:r w:rsidR="006B3342" w:rsidRPr="000B52C6">
        <w:fldChar w:fldCharType="end"/>
      </w:r>
      <w:r w:rsidR="006B3342" w:rsidRPr="000B52C6">
        <w:t xml:space="preserve">. As distinct from the July </w:t>
      </w:r>
      <w:r w:rsidR="006B3342" w:rsidRPr="000B52C6">
        <w:lastRenderedPageBreak/>
        <w:t xml:space="preserve">2021 submission, the resubmission did not include bortezomib + dexamethasone (Bd) as a comparator and did not </w:t>
      </w:r>
      <w:r w:rsidR="006B3342" w:rsidRPr="000B52C6">
        <w:rPr>
          <w:iCs/>
        </w:rPr>
        <w:t xml:space="preserve">make a clinical claim or present evidence of the cost-effectiveness of </w:t>
      </w:r>
      <w:proofErr w:type="spellStart"/>
      <w:r w:rsidR="006B3342" w:rsidRPr="000B52C6">
        <w:rPr>
          <w:iCs/>
        </w:rPr>
        <w:t>SBd</w:t>
      </w:r>
      <w:proofErr w:type="spellEnd"/>
      <w:r w:rsidR="006B3342" w:rsidRPr="000B52C6">
        <w:rPr>
          <w:iCs/>
        </w:rPr>
        <w:t xml:space="preserve"> relative to Bd. </w:t>
      </w:r>
    </w:p>
    <w:p w14:paraId="728F8798" w14:textId="4534FAC6" w:rsidR="006B3342" w:rsidRPr="000B52C6" w:rsidRDefault="006B3342" w:rsidP="005640E7">
      <w:pPr>
        <w:pStyle w:val="TableFigureHeading"/>
        <w:rPr>
          <w:rStyle w:val="CommentReference"/>
          <w:b/>
          <w:bCs w:val="0"/>
          <w:szCs w:val="24"/>
        </w:rPr>
      </w:pPr>
      <w:bookmarkStart w:id="8" w:name="_Ref90369772"/>
      <w:r w:rsidRPr="000B52C6">
        <w:rPr>
          <w:rStyle w:val="CommentReference"/>
          <w:b/>
          <w:bCs w:val="0"/>
          <w:szCs w:val="24"/>
        </w:rPr>
        <w:t xml:space="preserve">Table </w:t>
      </w:r>
      <w:r w:rsidRPr="000B52C6">
        <w:rPr>
          <w:rStyle w:val="CommentReference"/>
          <w:b/>
          <w:bCs w:val="0"/>
          <w:szCs w:val="24"/>
        </w:rPr>
        <w:fldChar w:fldCharType="begin"/>
      </w:r>
      <w:r w:rsidRPr="000B52C6">
        <w:rPr>
          <w:rStyle w:val="CommentReference"/>
          <w:b/>
          <w:bCs w:val="0"/>
          <w:szCs w:val="24"/>
        </w:rPr>
        <w:instrText xml:space="preserve"> SEQ Table \* ARABIC </w:instrText>
      </w:r>
      <w:r w:rsidRPr="000B52C6">
        <w:rPr>
          <w:rStyle w:val="CommentReference"/>
          <w:b/>
          <w:bCs w:val="0"/>
          <w:szCs w:val="24"/>
        </w:rPr>
        <w:fldChar w:fldCharType="separate"/>
      </w:r>
      <w:r w:rsidR="00FF5725">
        <w:rPr>
          <w:rStyle w:val="CommentReference"/>
          <w:b/>
          <w:bCs w:val="0"/>
          <w:noProof/>
          <w:szCs w:val="24"/>
        </w:rPr>
        <w:t>2</w:t>
      </w:r>
      <w:r w:rsidRPr="000B52C6">
        <w:rPr>
          <w:rStyle w:val="CommentReference"/>
          <w:b/>
          <w:bCs w:val="0"/>
          <w:szCs w:val="24"/>
        </w:rPr>
        <w:fldChar w:fldCharType="end"/>
      </w:r>
      <w:bookmarkEnd w:id="8"/>
      <w:r w:rsidRPr="000B52C6">
        <w:rPr>
          <w:rStyle w:val="CommentReference"/>
          <w:b/>
          <w:bCs w:val="0"/>
          <w:szCs w:val="24"/>
        </w:rPr>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112"/>
        <w:gridCol w:w="3776"/>
      </w:tblGrid>
      <w:tr w:rsidR="006B3342" w:rsidRPr="000B52C6" w14:paraId="1E967C7C" w14:textId="77777777" w:rsidTr="005640E7">
        <w:trPr>
          <w:cantSplit/>
          <w:tblHeader/>
        </w:trPr>
        <w:tc>
          <w:tcPr>
            <w:tcW w:w="626" w:type="pct"/>
            <w:tcMar>
              <w:left w:w="28" w:type="dxa"/>
              <w:right w:w="28" w:type="dxa"/>
            </w:tcMar>
            <w:vAlign w:val="center"/>
          </w:tcPr>
          <w:p w14:paraId="0751B6A0" w14:textId="77777777" w:rsidR="006B3342" w:rsidRPr="000B52C6" w:rsidRDefault="006B3342" w:rsidP="005640E7">
            <w:pPr>
              <w:pStyle w:val="In-tableHeading"/>
              <w:rPr>
                <w:lang w:val="en-AU"/>
              </w:rPr>
            </w:pPr>
            <w:r w:rsidRPr="000B52C6">
              <w:rPr>
                <w:lang w:val="en-AU"/>
              </w:rPr>
              <w:t>Component</w:t>
            </w:r>
          </w:p>
        </w:tc>
        <w:tc>
          <w:tcPr>
            <w:tcW w:w="2280" w:type="pct"/>
            <w:tcMar>
              <w:left w:w="28" w:type="dxa"/>
              <w:right w:w="28" w:type="dxa"/>
            </w:tcMar>
            <w:vAlign w:val="center"/>
          </w:tcPr>
          <w:p w14:paraId="64D7DAE2" w14:textId="77777777" w:rsidR="006B3342" w:rsidRPr="000B52C6" w:rsidRDefault="006B3342" w:rsidP="005640E7">
            <w:pPr>
              <w:pStyle w:val="In-tableHeading"/>
              <w:rPr>
                <w:lang w:val="en-AU"/>
              </w:rPr>
            </w:pPr>
            <w:r w:rsidRPr="000B52C6">
              <w:rPr>
                <w:lang w:val="en-AU"/>
              </w:rPr>
              <w:t>Matter of concern</w:t>
            </w:r>
          </w:p>
        </w:tc>
        <w:tc>
          <w:tcPr>
            <w:tcW w:w="2094" w:type="pct"/>
            <w:tcMar>
              <w:left w:w="28" w:type="dxa"/>
              <w:right w:w="28" w:type="dxa"/>
            </w:tcMar>
            <w:vAlign w:val="center"/>
          </w:tcPr>
          <w:p w14:paraId="47F50A3C" w14:textId="77777777" w:rsidR="006B3342" w:rsidRPr="000B52C6" w:rsidRDefault="006B3342" w:rsidP="005640E7">
            <w:pPr>
              <w:pStyle w:val="In-tableHeading"/>
              <w:rPr>
                <w:lang w:val="en-AU"/>
              </w:rPr>
            </w:pPr>
            <w:r w:rsidRPr="000B52C6">
              <w:rPr>
                <w:lang w:val="en-AU"/>
              </w:rPr>
              <w:t>How the resubmission addresses it</w:t>
            </w:r>
          </w:p>
        </w:tc>
      </w:tr>
      <w:tr w:rsidR="006B3342" w:rsidRPr="000B52C6" w14:paraId="6DDE29CB" w14:textId="77777777" w:rsidTr="005640E7">
        <w:trPr>
          <w:cantSplit/>
        </w:trPr>
        <w:tc>
          <w:tcPr>
            <w:tcW w:w="626" w:type="pct"/>
            <w:tcMar>
              <w:left w:w="28" w:type="dxa"/>
              <w:right w:w="28" w:type="dxa"/>
            </w:tcMar>
          </w:tcPr>
          <w:p w14:paraId="0E326EFA" w14:textId="77777777" w:rsidR="006B3342" w:rsidRPr="000B52C6" w:rsidRDefault="006B3342" w:rsidP="005640E7">
            <w:pPr>
              <w:pStyle w:val="TableText0"/>
            </w:pPr>
            <w:r w:rsidRPr="000B52C6">
              <w:t>Comparator</w:t>
            </w:r>
          </w:p>
        </w:tc>
        <w:tc>
          <w:tcPr>
            <w:tcW w:w="2280" w:type="pct"/>
            <w:tcMar>
              <w:left w:w="28" w:type="dxa"/>
              <w:right w:w="28" w:type="dxa"/>
            </w:tcMar>
          </w:tcPr>
          <w:p w14:paraId="3FD81CB3" w14:textId="609C5171" w:rsidR="006B3342" w:rsidRPr="000B52C6" w:rsidRDefault="00E04546" w:rsidP="005640E7">
            <w:pPr>
              <w:pStyle w:val="TableText0"/>
              <w:rPr>
                <w:szCs w:val="20"/>
              </w:rPr>
            </w:pPr>
            <w:r w:rsidRPr="000B52C6">
              <w:rPr>
                <w:rFonts w:eastAsia="Times New Roman" w:cs="Arial"/>
                <w:bCs w:val="0"/>
                <w:snapToGrid w:val="0"/>
                <w:szCs w:val="20"/>
              </w:rPr>
              <w:t xml:space="preserve">The submission nominated Bd as the primary comparator and Cd as a secondary comparator. However, PBAC considered that </w:t>
            </w:r>
            <w:proofErr w:type="spellStart"/>
            <w:r w:rsidR="006B3342" w:rsidRPr="000B52C6">
              <w:rPr>
                <w:rFonts w:eastAsia="Times New Roman" w:cs="Arial"/>
                <w:bCs w:val="0"/>
                <w:snapToGrid w:val="0"/>
                <w:szCs w:val="20"/>
              </w:rPr>
              <w:t>SBd</w:t>
            </w:r>
            <w:proofErr w:type="spellEnd"/>
            <w:r w:rsidR="006B3342" w:rsidRPr="000B52C6">
              <w:rPr>
                <w:rFonts w:eastAsia="Times New Roman" w:cs="Arial"/>
                <w:bCs w:val="0"/>
                <w:snapToGrid w:val="0"/>
                <w:szCs w:val="20"/>
              </w:rPr>
              <w:t xml:space="preserve"> was most likely to replace and/or displace Cd, lenalidomide plus dexamethasone, pomalidomide plus dexamethasone and some bortezomib-based regimens including Bd (para 7.3, July 2021 PBAC </w:t>
            </w:r>
            <w:r w:rsidR="004D5578">
              <w:rPr>
                <w:rFonts w:eastAsia="Times New Roman" w:cs="Arial"/>
                <w:bCs w:val="0"/>
                <w:snapToGrid w:val="0"/>
                <w:szCs w:val="20"/>
              </w:rPr>
              <w:t>PSD</w:t>
            </w:r>
            <w:r w:rsidR="006B3342" w:rsidRPr="000B52C6">
              <w:rPr>
                <w:rFonts w:eastAsia="Times New Roman" w:cs="Arial"/>
                <w:bCs w:val="0"/>
                <w:snapToGrid w:val="0"/>
                <w:szCs w:val="20"/>
              </w:rPr>
              <w:t xml:space="preserve">). </w:t>
            </w:r>
          </w:p>
        </w:tc>
        <w:tc>
          <w:tcPr>
            <w:tcW w:w="2094" w:type="pct"/>
            <w:tcMar>
              <w:left w:w="28" w:type="dxa"/>
              <w:right w:w="28" w:type="dxa"/>
            </w:tcMar>
            <w:vAlign w:val="center"/>
          </w:tcPr>
          <w:p w14:paraId="60D1DB7D" w14:textId="67ED3F7A" w:rsidR="006B3342" w:rsidRPr="000B52C6" w:rsidRDefault="006B3342" w:rsidP="005640E7">
            <w:pPr>
              <w:pStyle w:val="TableText0"/>
            </w:pPr>
            <w:r w:rsidRPr="000B52C6">
              <w:t xml:space="preserve">The resubmission nominated Cd as the primary comparator. </w:t>
            </w:r>
            <w:r w:rsidR="00E04546" w:rsidRPr="000B52C6">
              <w:t xml:space="preserve">The resubmission did not include Bd as a comparator and did not make a clinical claim or present evidence of the cost-effectiveness of </w:t>
            </w:r>
            <w:proofErr w:type="spellStart"/>
            <w:r w:rsidR="00E04546" w:rsidRPr="000B52C6">
              <w:t>SBd</w:t>
            </w:r>
            <w:proofErr w:type="spellEnd"/>
            <w:r w:rsidR="00E04546" w:rsidRPr="000B52C6">
              <w:t xml:space="preserve"> relative to Bd. </w:t>
            </w:r>
            <w:r w:rsidRPr="000B52C6">
              <w:t xml:space="preserve">The resubmission did not adequately justify the exclusion of Bd as a comparator </w:t>
            </w:r>
            <w:proofErr w:type="gramStart"/>
            <w:r w:rsidRPr="000B52C6">
              <w:t>and also</w:t>
            </w:r>
            <w:proofErr w:type="gramEnd"/>
            <w:r w:rsidRPr="000B52C6">
              <w:t xml:space="preserve"> did not address the potential for </w:t>
            </w:r>
            <w:proofErr w:type="spellStart"/>
            <w:r w:rsidRPr="000B52C6">
              <w:t>SBd</w:t>
            </w:r>
            <w:proofErr w:type="spellEnd"/>
            <w:r w:rsidRPr="000B52C6">
              <w:t xml:space="preserve"> to substitute </w:t>
            </w:r>
            <w:proofErr w:type="spellStart"/>
            <w:r w:rsidRPr="000B52C6">
              <w:t>Ld</w:t>
            </w:r>
            <w:proofErr w:type="spellEnd"/>
            <w:r w:rsidRPr="000B52C6">
              <w:t xml:space="preserve">, Pd, </w:t>
            </w:r>
            <w:proofErr w:type="spellStart"/>
            <w:r w:rsidRPr="000B52C6">
              <w:t>ELd</w:t>
            </w:r>
            <w:proofErr w:type="spellEnd"/>
            <w:r w:rsidRPr="000B52C6">
              <w:t xml:space="preserve"> and </w:t>
            </w:r>
            <w:proofErr w:type="spellStart"/>
            <w:r w:rsidRPr="000B52C6">
              <w:t>PBd</w:t>
            </w:r>
            <w:proofErr w:type="spellEnd"/>
            <w:r w:rsidRPr="000B52C6">
              <w:t xml:space="preserve">. </w:t>
            </w:r>
          </w:p>
        </w:tc>
      </w:tr>
      <w:tr w:rsidR="006B3342" w:rsidRPr="000B52C6" w14:paraId="45C6C820" w14:textId="77777777" w:rsidTr="005640E7">
        <w:trPr>
          <w:cantSplit/>
        </w:trPr>
        <w:tc>
          <w:tcPr>
            <w:tcW w:w="626" w:type="pct"/>
            <w:tcMar>
              <w:left w:w="28" w:type="dxa"/>
              <w:right w:w="28" w:type="dxa"/>
            </w:tcMar>
            <w:vAlign w:val="center"/>
          </w:tcPr>
          <w:p w14:paraId="7EF63359" w14:textId="77777777" w:rsidR="006B3342" w:rsidRPr="000B52C6" w:rsidRDefault="006B3342" w:rsidP="005640E7">
            <w:pPr>
              <w:pStyle w:val="TableText0"/>
            </w:pPr>
            <w:r w:rsidRPr="000B52C6">
              <w:t>Clinical place in therapy</w:t>
            </w:r>
          </w:p>
        </w:tc>
        <w:tc>
          <w:tcPr>
            <w:tcW w:w="2280" w:type="pct"/>
            <w:tcMar>
              <w:left w:w="28" w:type="dxa"/>
              <w:right w:w="28" w:type="dxa"/>
            </w:tcMar>
          </w:tcPr>
          <w:p w14:paraId="461CDF08" w14:textId="13A92CF3" w:rsidR="006B3342" w:rsidRPr="000B52C6" w:rsidRDefault="006B3342" w:rsidP="005640E7">
            <w:pPr>
              <w:pStyle w:val="TableText0"/>
              <w:rPr>
                <w:rFonts w:eastAsia="Times New Roman" w:cs="Arial"/>
                <w:bCs w:val="0"/>
                <w:snapToGrid w:val="0"/>
                <w:szCs w:val="20"/>
              </w:rPr>
            </w:pPr>
            <w:proofErr w:type="spellStart"/>
            <w:r w:rsidRPr="000B52C6">
              <w:rPr>
                <w:rFonts w:eastAsia="Times New Roman" w:cs="Arial"/>
                <w:bCs w:val="0"/>
                <w:snapToGrid w:val="0"/>
                <w:szCs w:val="20"/>
              </w:rPr>
              <w:t>DBd</w:t>
            </w:r>
            <w:proofErr w:type="spellEnd"/>
            <w:r w:rsidRPr="000B52C6">
              <w:rPr>
                <w:rFonts w:eastAsia="Times New Roman" w:cs="Arial"/>
                <w:bCs w:val="0"/>
                <w:snapToGrid w:val="0"/>
                <w:szCs w:val="20"/>
              </w:rPr>
              <w:t xml:space="preserve"> was available on the PBS as a second line treatment only, </w:t>
            </w:r>
            <w:proofErr w:type="spellStart"/>
            <w:r w:rsidRPr="000B52C6">
              <w:rPr>
                <w:rFonts w:eastAsia="Times New Roman" w:cs="Arial"/>
                <w:bCs w:val="0"/>
                <w:snapToGrid w:val="0"/>
                <w:szCs w:val="20"/>
              </w:rPr>
              <w:t>SBd</w:t>
            </w:r>
            <w:proofErr w:type="spellEnd"/>
            <w:r w:rsidRPr="000B52C6">
              <w:rPr>
                <w:rFonts w:eastAsia="Times New Roman" w:cs="Arial"/>
                <w:bCs w:val="0"/>
                <w:snapToGrid w:val="0"/>
                <w:szCs w:val="20"/>
              </w:rPr>
              <w:t xml:space="preserve"> would likely be used as a third or later line treatment (para 7.3, July 2021 PBAC </w:t>
            </w:r>
            <w:r w:rsidR="00251F38">
              <w:rPr>
                <w:rFonts w:eastAsia="Times New Roman" w:cs="Arial"/>
                <w:bCs w:val="0"/>
                <w:snapToGrid w:val="0"/>
                <w:szCs w:val="20"/>
              </w:rPr>
              <w:t>PSD</w:t>
            </w:r>
            <w:r w:rsidRPr="000B52C6">
              <w:rPr>
                <w:rFonts w:eastAsia="Times New Roman" w:cs="Arial"/>
                <w:bCs w:val="0"/>
                <w:snapToGrid w:val="0"/>
                <w:szCs w:val="20"/>
              </w:rPr>
              <w:t>).</w:t>
            </w:r>
          </w:p>
        </w:tc>
        <w:tc>
          <w:tcPr>
            <w:tcW w:w="2094" w:type="pct"/>
            <w:tcMar>
              <w:left w:w="28" w:type="dxa"/>
              <w:right w:w="28" w:type="dxa"/>
            </w:tcMar>
          </w:tcPr>
          <w:p w14:paraId="5CA51FEE" w14:textId="5C2E22E5" w:rsidR="00107C70" w:rsidRPr="000B52C6" w:rsidRDefault="00407A6A" w:rsidP="005640E7">
            <w:pPr>
              <w:pStyle w:val="TableText0"/>
              <w:rPr>
                <w:rFonts w:eastAsia="Times New Roman" w:cs="Arial"/>
                <w:bCs w:val="0"/>
                <w:i/>
                <w:iCs/>
                <w:snapToGrid w:val="0"/>
                <w:szCs w:val="20"/>
              </w:rPr>
            </w:pPr>
            <w:r w:rsidRPr="000B52C6">
              <w:rPr>
                <w:rFonts w:eastAsia="Times New Roman" w:cs="Arial"/>
                <w:bCs w:val="0"/>
                <w:iCs/>
                <w:snapToGrid w:val="0"/>
                <w:szCs w:val="20"/>
              </w:rPr>
              <w:t>T</w:t>
            </w:r>
            <w:r w:rsidR="006B3342" w:rsidRPr="000B52C6">
              <w:rPr>
                <w:rFonts w:eastAsia="Times New Roman" w:cs="Arial"/>
                <w:bCs w:val="0"/>
                <w:iCs/>
                <w:snapToGrid w:val="0"/>
                <w:szCs w:val="20"/>
              </w:rPr>
              <w:t xml:space="preserve">he clinical management algorithm remained </w:t>
            </w:r>
            <w:proofErr w:type="gramStart"/>
            <w:r w:rsidR="006B3342" w:rsidRPr="000B52C6">
              <w:rPr>
                <w:rFonts w:eastAsia="Times New Roman" w:cs="Arial"/>
                <w:bCs w:val="0"/>
                <w:iCs/>
                <w:snapToGrid w:val="0"/>
                <w:szCs w:val="20"/>
              </w:rPr>
              <w:t>unchanged</w:t>
            </w:r>
            <w:r w:rsidR="00107C70" w:rsidRPr="000B52C6">
              <w:rPr>
                <w:rFonts w:eastAsia="Times New Roman" w:cs="Arial"/>
                <w:bCs w:val="0"/>
                <w:iCs/>
                <w:snapToGrid w:val="0"/>
                <w:szCs w:val="20"/>
              </w:rPr>
              <w:t>, and</w:t>
            </w:r>
            <w:proofErr w:type="gramEnd"/>
            <w:r w:rsidR="00107C70" w:rsidRPr="000B52C6">
              <w:rPr>
                <w:rFonts w:eastAsia="Times New Roman" w:cs="Arial"/>
                <w:bCs w:val="0"/>
                <w:iCs/>
                <w:snapToGrid w:val="0"/>
                <w:szCs w:val="20"/>
              </w:rPr>
              <w:t xml:space="preserve"> presented </w:t>
            </w:r>
            <w:proofErr w:type="spellStart"/>
            <w:r w:rsidR="00107C70" w:rsidRPr="000B52C6">
              <w:rPr>
                <w:rFonts w:eastAsia="Times New Roman" w:cs="Arial"/>
                <w:bCs w:val="0"/>
                <w:iCs/>
                <w:snapToGrid w:val="0"/>
                <w:szCs w:val="20"/>
              </w:rPr>
              <w:t>SBd</w:t>
            </w:r>
            <w:proofErr w:type="spellEnd"/>
            <w:r w:rsidR="00107C70" w:rsidRPr="000B52C6">
              <w:rPr>
                <w:rFonts w:eastAsia="Times New Roman" w:cs="Arial"/>
                <w:bCs w:val="0"/>
                <w:iCs/>
                <w:snapToGrid w:val="0"/>
                <w:szCs w:val="20"/>
              </w:rPr>
              <w:t xml:space="preserve"> as a second or third line therapy</w:t>
            </w:r>
            <w:r w:rsidR="006B3342" w:rsidRPr="000B52C6">
              <w:rPr>
                <w:rFonts w:eastAsia="Times New Roman" w:cs="Arial"/>
                <w:bCs w:val="0"/>
                <w:iCs/>
                <w:snapToGrid w:val="0"/>
                <w:szCs w:val="20"/>
              </w:rPr>
              <w:t>.</w:t>
            </w:r>
          </w:p>
        </w:tc>
      </w:tr>
      <w:tr w:rsidR="006B3342" w:rsidRPr="000B52C6" w14:paraId="2F105077" w14:textId="77777777" w:rsidTr="005640E7">
        <w:trPr>
          <w:cantSplit/>
        </w:trPr>
        <w:tc>
          <w:tcPr>
            <w:tcW w:w="626" w:type="pct"/>
            <w:tcMar>
              <w:left w:w="28" w:type="dxa"/>
              <w:right w:w="28" w:type="dxa"/>
            </w:tcMar>
            <w:vAlign w:val="center"/>
          </w:tcPr>
          <w:p w14:paraId="75F84538" w14:textId="77777777" w:rsidR="006B3342" w:rsidRPr="000B52C6" w:rsidRDefault="006B3342" w:rsidP="005640E7">
            <w:pPr>
              <w:pStyle w:val="TableText0"/>
            </w:pPr>
            <w:r w:rsidRPr="000B52C6">
              <w:t>Clinical effectiveness</w:t>
            </w:r>
          </w:p>
        </w:tc>
        <w:tc>
          <w:tcPr>
            <w:tcW w:w="2280" w:type="pct"/>
            <w:tcMar>
              <w:left w:w="28" w:type="dxa"/>
              <w:right w:w="28" w:type="dxa"/>
            </w:tcMar>
          </w:tcPr>
          <w:p w14:paraId="50846E21" w14:textId="70FD8301" w:rsidR="006B3342" w:rsidRPr="000B52C6" w:rsidRDefault="006B3342" w:rsidP="005640E7">
            <w:pPr>
              <w:pStyle w:val="TableText0"/>
              <w:numPr>
                <w:ilvl w:val="0"/>
                <w:numId w:val="51"/>
              </w:numPr>
              <w:rPr>
                <w:rFonts w:eastAsia="Times New Roman" w:cs="Arial"/>
                <w:bCs w:val="0"/>
                <w:snapToGrid w:val="0"/>
                <w:szCs w:val="20"/>
              </w:rPr>
            </w:pPr>
            <w:r w:rsidRPr="000B52C6">
              <w:rPr>
                <w:rFonts w:eastAsia="Times New Roman" w:cs="Arial"/>
                <w:bCs w:val="0"/>
                <w:snapToGrid w:val="0"/>
                <w:szCs w:val="20"/>
              </w:rPr>
              <w:t xml:space="preserve">There were differences that might have impacted the transitivity of BOSTON and ENDEAVOR trials (para 7.9, July 2021 PBAC </w:t>
            </w:r>
            <w:r w:rsidR="00251F38">
              <w:rPr>
                <w:rFonts w:eastAsia="Times New Roman" w:cs="Arial"/>
                <w:bCs w:val="0"/>
                <w:snapToGrid w:val="0"/>
                <w:szCs w:val="20"/>
              </w:rPr>
              <w:t>PSD</w:t>
            </w:r>
            <w:r w:rsidRPr="000B52C6">
              <w:rPr>
                <w:rFonts w:eastAsia="Times New Roman" w:cs="Arial"/>
                <w:bCs w:val="0"/>
                <w:snapToGrid w:val="0"/>
                <w:szCs w:val="20"/>
              </w:rPr>
              <w:t>).</w:t>
            </w:r>
          </w:p>
          <w:p w14:paraId="0381BA57" w14:textId="4897B912" w:rsidR="006B3342" w:rsidRPr="000B52C6" w:rsidRDefault="006B3342" w:rsidP="005640E7">
            <w:pPr>
              <w:pStyle w:val="TableText0"/>
              <w:numPr>
                <w:ilvl w:val="0"/>
                <w:numId w:val="51"/>
              </w:numPr>
              <w:rPr>
                <w:rFonts w:eastAsia="Times New Roman" w:cs="Arial"/>
                <w:bCs w:val="0"/>
                <w:snapToGrid w:val="0"/>
                <w:szCs w:val="20"/>
              </w:rPr>
            </w:pPr>
            <w:r w:rsidRPr="000B52C6">
              <w:rPr>
                <w:rFonts w:eastAsia="Times New Roman" w:cs="Arial"/>
                <w:bCs w:val="0"/>
                <w:snapToGrid w:val="0"/>
                <w:szCs w:val="20"/>
              </w:rPr>
              <w:t xml:space="preserve">The claim that </w:t>
            </w:r>
            <w:proofErr w:type="spellStart"/>
            <w:r w:rsidRPr="000B52C6">
              <w:rPr>
                <w:rFonts w:eastAsia="Times New Roman" w:cs="Arial"/>
                <w:bCs w:val="0"/>
                <w:snapToGrid w:val="0"/>
                <w:szCs w:val="20"/>
              </w:rPr>
              <w:t>SBd</w:t>
            </w:r>
            <w:proofErr w:type="spellEnd"/>
            <w:r w:rsidRPr="000B52C6">
              <w:rPr>
                <w:rFonts w:eastAsia="Times New Roman" w:cs="Arial"/>
                <w:bCs w:val="0"/>
                <w:snapToGrid w:val="0"/>
                <w:szCs w:val="20"/>
              </w:rPr>
              <w:t xml:space="preserve"> was non-inferior compared to Cd in terms of efficacy was not supported given the numerically superior PFS results for Cd versus Bd and the lack of a significant gain in OS for </w:t>
            </w:r>
            <w:proofErr w:type="spellStart"/>
            <w:r w:rsidRPr="000B52C6">
              <w:rPr>
                <w:rFonts w:eastAsia="Times New Roman" w:cs="Arial"/>
                <w:bCs w:val="0"/>
                <w:snapToGrid w:val="0"/>
                <w:szCs w:val="20"/>
              </w:rPr>
              <w:t>SBd</w:t>
            </w:r>
            <w:proofErr w:type="spellEnd"/>
            <w:r w:rsidRPr="000B52C6">
              <w:rPr>
                <w:rFonts w:eastAsia="Times New Roman" w:cs="Arial"/>
                <w:bCs w:val="0"/>
                <w:snapToGrid w:val="0"/>
                <w:szCs w:val="20"/>
              </w:rPr>
              <w:t xml:space="preserve"> versus Bd (para 7.11, July 2021 PBAC </w:t>
            </w:r>
            <w:r w:rsidR="00251F38">
              <w:rPr>
                <w:rFonts w:eastAsia="Times New Roman" w:cs="Arial"/>
                <w:bCs w:val="0"/>
                <w:snapToGrid w:val="0"/>
                <w:szCs w:val="20"/>
              </w:rPr>
              <w:t>PSD</w:t>
            </w:r>
            <w:r w:rsidR="00251F38" w:rsidRPr="000B52C6">
              <w:rPr>
                <w:rFonts w:eastAsia="Times New Roman" w:cs="Arial"/>
                <w:bCs w:val="0"/>
                <w:snapToGrid w:val="0"/>
                <w:szCs w:val="20"/>
              </w:rPr>
              <w:t>).</w:t>
            </w:r>
            <w:r w:rsidR="00251F38">
              <w:rPr>
                <w:rFonts w:eastAsia="Times New Roman" w:cs="Arial"/>
                <w:bCs w:val="0"/>
                <w:snapToGrid w:val="0"/>
                <w:szCs w:val="20"/>
              </w:rPr>
              <w:t xml:space="preserve">        </w:t>
            </w:r>
          </w:p>
        </w:tc>
        <w:tc>
          <w:tcPr>
            <w:tcW w:w="2094" w:type="pct"/>
            <w:tcMar>
              <w:left w:w="28" w:type="dxa"/>
              <w:right w:w="28" w:type="dxa"/>
            </w:tcMar>
          </w:tcPr>
          <w:p w14:paraId="22D6409F" w14:textId="77777777" w:rsidR="006B3342" w:rsidRPr="000B52C6" w:rsidRDefault="006B3342" w:rsidP="005640E7">
            <w:pPr>
              <w:pStyle w:val="TableText0"/>
              <w:numPr>
                <w:ilvl w:val="0"/>
                <w:numId w:val="51"/>
              </w:numPr>
              <w:rPr>
                <w:rFonts w:eastAsia="Times New Roman" w:cs="Arial"/>
                <w:bCs w:val="0"/>
                <w:snapToGrid w:val="0"/>
                <w:szCs w:val="20"/>
              </w:rPr>
            </w:pPr>
            <w:r w:rsidRPr="000B52C6">
              <w:t xml:space="preserve">An adjusted ITC and STC which accounted for differences between trials in terms of ECOG status and age was presented. However, differences that may have impacted the transitivity of the trials remained. </w:t>
            </w:r>
          </w:p>
          <w:p w14:paraId="1079E344" w14:textId="63D0125B" w:rsidR="006B3342" w:rsidRPr="000B52C6" w:rsidRDefault="006B3342" w:rsidP="005640E7">
            <w:pPr>
              <w:pStyle w:val="TableText0"/>
              <w:numPr>
                <w:ilvl w:val="0"/>
                <w:numId w:val="51"/>
              </w:numPr>
              <w:rPr>
                <w:rFonts w:eastAsia="Times New Roman" w:cs="Arial"/>
                <w:bCs w:val="0"/>
                <w:i/>
                <w:iCs/>
                <w:snapToGrid w:val="0"/>
                <w:szCs w:val="20"/>
              </w:rPr>
            </w:pPr>
            <w:r w:rsidRPr="000B52C6">
              <w:rPr>
                <w:iCs/>
                <w:snapToGrid w:val="0"/>
              </w:rPr>
              <w:t xml:space="preserve">Not addressed. No new trials were identified, and the results from the BOSTON updated data cut-off (February 2021) showed no significant OS gain for </w:t>
            </w:r>
            <w:proofErr w:type="spellStart"/>
            <w:r w:rsidRPr="000B52C6">
              <w:rPr>
                <w:iCs/>
                <w:snapToGrid w:val="0"/>
              </w:rPr>
              <w:t>SBd</w:t>
            </w:r>
            <w:proofErr w:type="spellEnd"/>
            <w:r w:rsidRPr="000B52C6">
              <w:rPr>
                <w:iCs/>
                <w:snapToGrid w:val="0"/>
              </w:rPr>
              <w:t xml:space="preserve"> versus Bd. </w:t>
            </w:r>
          </w:p>
        </w:tc>
      </w:tr>
      <w:tr w:rsidR="006B3342" w:rsidRPr="000B52C6" w14:paraId="3A45F37D" w14:textId="77777777" w:rsidTr="005640E7">
        <w:trPr>
          <w:cantSplit/>
        </w:trPr>
        <w:tc>
          <w:tcPr>
            <w:tcW w:w="626" w:type="pct"/>
            <w:tcMar>
              <w:left w:w="28" w:type="dxa"/>
              <w:right w:w="28" w:type="dxa"/>
            </w:tcMar>
            <w:vAlign w:val="center"/>
          </w:tcPr>
          <w:p w14:paraId="1FEBB7E1" w14:textId="77777777" w:rsidR="006B3342" w:rsidRPr="000B52C6" w:rsidRDefault="006B3342" w:rsidP="005640E7">
            <w:pPr>
              <w:pStyle w:val="TableText0"/>
            </w:pPr>
            <w:r w:rsidRPr="000B52C6">
              <w:t>Safety</w:t>
            </w:r>
          </w:p>
        </w:tc>
        <w:tc>
          <w:tcPr>
            <w:tcW w:w="2280" w:type="pct"/>
            <w:tcMar>
              <w:left w:w="28" w:type="dxa"/>
              <w:right w:w="28" w:type="dxa"/>
            </w:tcMar>
          </w:tcPr>
          <w:p w14:paraId="30F9F3A1" w14:textId="7FA3BD2E" w:rsidR="006B3342" w:rsidRPr="000B52C6" w:rsidRDefault="006B3342" w:rsidP="005640E7">
            <w:pPr>
              <w:pStyle w:val="TableText0"/>
              <w:rPr>
                <w:rFonts w:eastAsia="Times New Roman" w:cs="Arial"/>
                <w:bCs w:val="0"/>
                <w:snapToGrid w:val="0"/>
                <w:color w:val="0066FF"/>
                <w:szCs w:val="20"/>
              </w:rPr>
            </w:pPr>
            <w:r w:rsidRPr="000B52C6">
              <w:rPr>
                <w:rFonts w:eastAsia="Times New Roman" w:cs="Arial"/>
                <w:bCs w:val="0"/>
                <w:snapToGrid w:val="0"/>
                <w:szCs w:val="20"/>
              </w:rPr>
              <w:t xml:space="preserve">The comparison </w:t>
            </w:r>
            <w:r w:rsidR="009F2746" w:rsidRPr="000B52C6">
              <w:rPr>
                <w:rFonts w:eastAsia="Times New Roman" w:cs="Arial"/>
                <w:bCs w:val="0"/>
                <w:snapToGrid w:val="0"/>
                <w:szCs w:val="20"/>
              </w:rPr>
              <w:t xml:space="preserve">between </w:t>
            </w:r>
            <w:proofErr w:type="spellStart"/>
            <w:r w:rsidR="009F2746" w:rsidRPr="000B52C6">
              <w:rPr>
                <w:rFonts w:eastAsia="Times New Roman" w:cs="Arial"/>
                <w:bCs w:val="0"/>
                <w:snapToGrid w:val="0"/>
                <w:szCs w:val="20"/>
              </w:rPr>
              <w:t>SBd</w:t>
            </w:r>
            <w:proofErr w:type="spellEnd"/>
            <w:r w:rsidR="009F2746" w:rsidRPr="000B52C6">
              <w:rPr>
                <w:rFonts w:eastAsia="Times New Roman" w:cs="Arial"/>
                <w:bCs w:val="0"/>
                <w:snapToGrid w:val="0"/>
                <w:szCs w:val="20"/>
              </w:rPr>
              <w:t xml:space="preserve"> and Cd </w:t>
            </w:r>
            <w:r w:rsidRPr="000B52C6">
              <w:rPr>
                <w:rFonts w:eastAsia="Times New Roman" w:cs="Arial"/>
                <w:bCs w:val="0"/>
                <w:snapToGrid w:val="0"/>
                <w:szCs w:val="20"/>
              </w:rPr>
              <w:t xml:space="preserve">was difficult to interpret due to the transitivity issues between the trials and the absence of data presented for the Bd common reference arms (para 7.10, July 2021 PBAC </w:t>
            </w:r>
            <w:r w:rsidR="00251F38">
              <w:rPr>
                <w:rFonts w:eastAsia="Times New Roman" w:cs="Arial"/>
                <w:bCs w:val="0"/>
                <w:snapToGrid w:val="0"/>
                <w:szCs w:val="20"/>
              </w:rPr>
              <w:t>PSD</w:t>
            </w:r>
            <w:r w:rsidRPr="000B52C6">
              <w:rPr>
                <w:rFonts w:eastAsia="Times New Roman" w:cs="Arial"/>
                <w:bCs w:val="0"/>
                <w:snapToGrid w:val="0"/>
                <w:szCs w:val="20"/>
              </w:rPr>
              <w:t>)</w:t>
            </w:r>
          </w:p>
        </w:tc>
        <w:tc>
          <w:tcPr>
            <w:tcW w:w="2094" w:type="pct"/>
            <w:tcMar>
              <w:left w:w="28" w:type="dxa"/>
              <w:right w:w="28" w:type="dxa"/>
            </w:tcMar>
          </w:tcPr>
          <w:p w14:paraId="00042682" w14:textId="13472B82" w:rsidR="006B3342" w:rsidRPr="000B52C6" w:rsidRDefault="006B3342" w:rsidP="005640E7">
            <w:pPr>
              <w:pStyle w:val="TableText0"/>
              <w:rPr>
                <w:rFonts w:eastAsia="Times New Roman" w:cs="Arial"/>
                <w:bCs w:val="0"/>
                <w:snapToGrid w:val="0"/>
                <w:color w:val="0066FF"/>
                <w:szCs w:val="20"/>
              </w:rPr>
            </w:pPr>
            <w:r w:rsidRPr="000B52C6">
              <w:t xml:space="preserve">Not adequately addressed. </w:t>
            </w:r>
            <w:r w:rsidR="009F2746" w:rsidRPr="000B52C6">
              <w:t>The resubmission provided a</w:t>
            </w:r>
            <w:r w:rsidRPr="000B52C6">
              <w:t xml:space="preserve"> formal ITC for </w:t>
            </w:r>
            <w:proofErr w:type="spellStart"/>
            <w:r w:rsidRPr="000B52C6">
              <w:t>SBd</w:t>
            </w:r>
            <w:proofErr w:type="spellEnd"/>
            <w:r w:rsidRPr="000B52C6">
              <w:t xml:space="preserve"> versus Cd, via Bd, for key safety outcomes. However, the unadjusted ITC presented was </w:t>
            </w:r>
            <w:r w:rsidRPr="000B52C6">
              <w:rPr>
                <w:iCs/>
              </w:rPr>
              <w:t>confounded by the underlying transitivity issues between the studies.</w:t>
            </w:r>
          </w:p>
        </w:tc>
      </w:tr>
      <w:tr w:rsidR="006B3342" w:rsidRPr="000B52C6" w14:paraId="2E3F150A" w14:textId="77777777" w:rsidTr="005640E7">
        <w:trPr>
          <w:cantSplit/>
        </w:trPr>
        <w:tc>
          <w:tcPr>
            <w:tcW w:w="626" w:type="pct"/>
            <w:tcMar>
              <w:left w:w="28" w:type="dxa"/>
              <w:right w:w="28" w:type="dxa"/>
            </w:tcMar>
            <w:vAlign w:val="center"/>
          </w:tcPr>
          <w:p w14:paraId="289AC6F9" w14:textId="77777777" w:rsidR="006B3342" w:rsidRPr="000B52C6" w:rsidRDefault="006B3342" w:rsidP="005640E7">
            <w:pPr>
              <w:pStyle w:val="TableText0"/>
            </w:pPr>
            <w:r w:rsidRPr="000B52C6">
              <w:t>Economic evaluation (CUA)</w:t>
            </w:r>
          </w:p>
        </w:tc>
        <w:tc>
          <w:tcPr>
            <w:tcW w:w="2280" w:type="pct"/>
            <w:tcMar>
              <w:left w:w="28" w:type="dxa"/>
              <w:right w:w="28" w:type="dxa"/>
            </w:tcMar>
          </w:tcPr>
          <w:p w14:paraId="54D00783" w14:textId="479D7F27" w:rsidR="006B3342" w:rsidRPr="000B52C6" w:rsidRDefault="009F2746" w:rsidP="005640E7">
            <w:pPr>
              <w:pStyle w:val="TableText0"/>
              <w:rPr>
                <w:rFonts w:eastAsia="Times New Roman" w:cs="Arial"/>
                <w:bCs w:val="0"/>
                <w:snapToGrid w:val="0"/>
                <w:szCs w:val="20"/>
              </w:rPr>
            </w:pPr>
            <w:r w:rsidRPr="000B52C6">
              <w:rPr>
                <w:rFonts w:eastAsia="Times New Roman" w:cs="Arial"/>
                <w:bCs w:val="0"/>
                <w:snapToGrid w:val="0"/>
                <w:szCs w:val="20"/>
              </w:rPr>
              <w:t xml:space="preserve">In the CUA comparing </w:t>
            </w:r>
            <w:proofErr w:type="spellStart"/>
            <w:r w:rsidRPr="000B52C6">
              <w:rPr>
                <w:rFonts w:eastAsia="Times New Roman" w:cs="Arial"/>
                <w:bCs w:val="0"/>
                <w:snapToGrid w:val="0"/>
                <w:szCs w:val="20"/>
              </w:rPr>
              <w:t>SBd</w:t>
            </w:r>
            <w:proofErr w:type="spellEnd"/>
            <w:r w:rsidRPr="000B52C6">
              <w:rPr>
                <w:rFonts w:eastAsia="Times New Roman" w:cs="Arial"/>
                <w:bCs w:val="0"/>
                <w:snapToGrid w:val="0"/>
                <w:szCs w:val="20"/>
              </w:rPr>
              <w:t xml:space="preserve"> to Bd, t</w:t>
            </w:r>
            <w:r w:rsidR="006B3342" w:rsidRPr="000B52C6">
              <w:rPr>
                <w:rFonts w:eastAsia="Times New Roman" w:cs="Arial"/>
                <w:bCs w:val="0"/>
                <w:snapToGrid w:val="0"/>
                <w:szCs w:val="20"/>
              </w:rPr>
              <w:t xml:space="preserve">he ICER was likely underestimated, and the </w:t>
            </w:r>
            <w:r w:rsidRPr="000B52C6">
              <w:rPr>
                <w:rFonts w:eastAsia="Times New Roman" w:cs="Arial"/>
                <w:bCs w:val="0"/>
                <w:snapToGrid w:val="0"/>
                <w:szCs w:val="20"/>
              </w:rPr>
              <w:t xml:space="preserve">PBAC considered the </w:t>
            </w:r>
            <w:r w:rsidR="006B3342" w:rsidRPr="000B52C6">
              <w:rPr>
                <w:rFonts w:eastAsia="Times New Roman" w:cs="Arial"/>
                <w:bCs w:val="0"/>
                <w:snapToGrid w:val="0"/>
                <w:szCs w:val="20"/>
              </w:rPr>
              <w:t xml:space="preserve">economic model should conservatively estimate any survival advantage for </w:t>
            </w:r>
            <w:proofErr w:type="spellStart"/>
            <w:r w:rsidR="006B3342" w:rsidRPr="000B52C6">
              <w:rPr>
                <w:rFonts w:eastAsia="Times New Roman" w:cs="Arial"/>
                <w:bCs w:val="0"/>
                <w:snapToGrid w:val="0"/>
                <w:szCs w:val="20"/>
              </w:rPr>
              <w:t>SBd</w:t>
            </w:r>
            <w:proofErr w:type="spellEnd"/>
            <w:r w:rsidR="006B3342" w:rsidRPr="000B52C6">
              <w:rPr>
                <w:rFonts w:eastAsia="Times New Roman" w:cs="Arial"/>
                <w:bCs w:val="0"/>
                <w:snapToGrid w:val="0"/>
                <w:szCs w:val="20"/>
              </w:rPr>
              <w:t xml:space="preserve"> due to the lack of demonstrated OS benefit in the clinical trial (para. 7.13, July 2021 PBAC </w:t>
            </w:r>
            <w:r w:rsidR="00251F38">
              <w:rPr>
                <w:rFonts w:eastAsia="Times New Roman" w:cs="Arial"/>
                <w:bCs w:val="0"/>
                <w:snapToGrid w:val="0"/>
                <w:szCs w:val="20"/>
              </w:rPr>
              <w:t>PSD</w:t>
            </w:r>
            <w:r w:rsidR="006B3342" w:rsidRPr="000B52C6">
              <w:rPr>
                <w:rFonts w:eastAsia="Times New Roman" w:cs="Arial"/>
                <w:bCs w:val="0"/>
                <w:snapToGrid w:val="0"/>
                <w:szCs w:val="20"/>
              </w:rPr>
              <w:t xml:space="preserve">). </w:t>
            </w:r>
          </w:p>
        </w:tc>
        <w:tc>
          <w:tcPr>
            <w:tcW w:w="2094" w:type="pct"/>
            <w:tcMar>
              <w:left w:w="28" w:type="dxa"/>
              <w:right w:w="28" w:type="dxa"/>
            </w:tcMar>
          </w:tcPr>
          <w:p w14:paraId="4BBD0A40" w14:textId="77777777" w:rsidR="006B3342" w:rsidRPr="000B52C6" w:rsidRDefault="006B3342" w:rsidP="005640E7">
            <w:pPr>
              <w:pStyle w:val="TableText0"/>
            </w:pPr>
            <w:r w:rsidRPr="000B52C6">
              <w:t>Not addressed. CUA versus Bd has been removed from the resubmission.</w:t>
            </w:r>
          </w:p>
        </w:tc>
      </w:tr>
      <w:tr w:rsidR="006B3342" w:rsidRPr="000B52C6" w14:paraId="2E8D1982" w14:textId="77777777" w:rsidTr="005640E7">
        <w:trPr>
          <w:cantSplit/>
        </w:trPr>
        <w:tc>
          <w:tcPr>
            <w:tcW w:w="626" w:type="pct"/>
            <w:tcMar>
              <w:left w:w="28" w:type="dxa"/>
              <w:right w:w="28" w:type="dxa"/>
            </w:tcMar>
            <w:vAlign w:val="center"/>
          </w:tcPr>
          <w:p w14:paraId="4516E7AA" w14:textId="77777777" w:rsidR="006B3342" w:rsidRPr="000B52C6" w:rsidRDefault="006B3342" w:rsidP="0090369A">
            <w:pPr>
              <w:pStyle w:val="TableText0"/>
              <w:keepNext w:val="0"/>
            </w:pPr>
            <w:r w:rsidRPr="000B52C6">
              <w:t>Economic evaluation (CMA)</w:t>
            </w:r>
          </w:p>
        </w:tc>
        <w:tc>
          <w:tcPr>
            <w:tcW w:w="2280" w:type="pct"/>
            <w:tcMar>
              <w:left w:w="28" w:type="dxa"/>
              <w:right w:w="28" w:type="dxa"/>
            </w:tcMar>
          </w:tcPr>
          <w:p w14:paraId="1AC24618" w14:textId="0023D550" w:rsidR="006B3342" w:rsidRPr="000B52C6" w:rsidRDefault="006B3342" w:rsidP="0090369A">
            <w:pPr>
              <w:pStyle w:val="TableText0"/>
              <w:keepNext w:val="0"/>
              <w:numPr>
                <w:ilvl w:val="0"/>
                <w:numId w:val="52"/>
              </w:numPr>
              <w:rPr>
                <w:rFonts w:eastAsia="Times New Roman" w:cs="Arial"/>
                <w:bCs w:val="0"/>
                <w:snapToGrid w:val="0"/>
                <w:szCs w:val="20"/>
              </w:rPr>
            </w:pPr>
            <w:r w:rsidRPr="000B52C6">
              <w:rPr>
                <w:rFonts w:eastAsia="Times New Roman" w:cs="Arial"/>
                <w:bCs w:val="0"/>
                <w:snapToGrid w:val="0"/>
                <w:szCs w:val="20"/>
              </w:rPr>
              <w:t xml:space="preserve">The CMA should incorporate adverse event costs, particularly haematological events related to </w:t>
            </w:r>
            <w:proofErr w:type="spellStart"/>
            <w:r w:rsidRPr="000B52C6">
              <w:rPr>
                <w:rFonts w:eastAsia="Times New Roman" w:cs="Arial"/>
                <w:bCs w:val="0"/>
                <w:snapToGrid w:val="0"/>
                <w:szCs w:val="20"/>
              </w:rPr>
              <w:t>SBd</w:t>
            </w:r>
            <w:proofErr w:type="spellEnd"/>
            <w:r w:rsidRPr="000B52C6">
              <w:rPr>
                <w:rFonts w:eastAsia="Times New Roman" w:cs="Arial"/>
                <w:bCs w:val="0"/>
                <w:snapToGrid w:val="0"/>
                <w:szCs w:val="20"/>
              </w:rPr>
              <w:t xml:space="preserve"> use (para 7.15, July 2021 PBAC </w:t>
            </w:r>
            <w:r w:rsidR="00251F38">
              <w:rPr>
                <w:rFonts w:eastAsia="Times New Roman" w:cs="Arial"/>
                <w:bCs w:val="0"/>
                <w:snapToGrid w:val="0"/>
                <w:szCs w:val="20"/>
              </w:rPr>
              <w:t>PSD</w:t>
            </w:r>
            <w:r w:rsidRPr="000B52C6">
              <w:rPr>
                <w:rFonts w:eastAsia="Times New Roman" w:cs="Arial"/>
                <w:bCs w:val="0"/>
                <w:snapToGrid w:val="0"/>
                <w:szCs w:val="20"/>
              </w:rPr>
              <w:t xml:space="preserve">). </w:t>
            </w:r>
          </w:p>
          <w:p w14:paraId="61A5B0B8" w14:textId="79BAFEE1" w:rsidR="006B3342" w:rsidRPr="000B52C6" w:rsidRDefault="006B3342" w:rsidP="0090369A">
            <w:pPr>
              <w:pStyle w:val="TableText0"/>
              <w:keepNext w:val="0"/>
              <w:numPr>
                <w:ilvl w:val="0"/>
                <w:numId w:val="52"/>
              </w:numPr>
              <w:rPr>
                <w:rFonts w:eastAsia="Times New Roman" w:cs="Arial"/>
                <w:bCs w:val="0"/>
                <w:snapToGrid w:val="0"/>
                <w:szCs w:val="20"/>
              </w:rPr>
            </w:pPr>
            <w:r w:rsidRPr="000B52C6">
              <w:rPr>
                <w:rFonts w:eastAsia="Times New Roman" w:cs="Arial"/>
                <w:bCs w:val="0"/>
                <w:snapToGrid w:val="0"/>
                <w:szCs w:val="20"/>
              </w:rPr>
              <w:t xml:space="preserve">Within the CMA the duration of treatment of </w:t>
            </w:r>
            <w:proofErr w:type="spellStart"/>
            <w:r w:rsidRPr="000B52C6">
              <w:rPr>
                <w:rFonts w:eastAsia="Times New Roman" w:cs="Arial"/>
                <w:bCs w:val="0"/>
                <w:snapToGrid w:val="0"/>
                <w:szCs w:val="20"/>
              </w:rPr>
              <w:t>SBd</w:t>
            </w:r>
            <w:proofErr w:type="spellEnd"/>
            <w:r w:rsidRPr="000B52C6">
              <w:rPr>
                <w:rFonts w:eastAsia="Times New Roman" w:cs="Arial"/>
                <w:bCs w:val="0"/>
                <w:snapToGrid w:val="0"/>
                <w:szCs w:val="20"/>
              </w:rPr>
              <w:t xml:space="preserve"> was made equivalent to that of Cd (9.18 months of treatment, </w:t>
            </w:r>
            <w:proofErr w:type="gramStart"/>
            <w:r w:rsidRPr="000B52C6">
              <w:rPr>
                <w:rFonts w:eastAsia="Times New Roman" w:cs="Arial"/>
                <w:bCs w:val="0"/>
                <w:snapToGrid w:val="0"/>
                <w:szCs w:val="20"/>
              </w:rPr>
              <w:t>i.e.</w:t>
            </w:r>
            <w:proofErr w:type="gramEnd"/>
            <w:r w:rsidRPr="000B52C6">
              <w:rPr>
                <w:rFonts w:eastAsia="Times New Roman" w:cs="Arial"/>
                <w:bCs w:val="0"/>
                <w:snapToGrid w:val="0"/>
                <w:szCs w:val="20"/>
              </w:rPr>
              <w:t xml:space="preserve"> 7.98 </w:t>
            </w:r>
            <w:proofErr w:type="spellStart"/>
            <w:r w:rsidRPr="000B52C6">
              <w:rPr>
                <w:rFonts w:eastAsia="Times New Roman" w:cs="Arial"/>
                <w:bCs w:val="0"/>
                <w:snapToGrid w:val="0"/>
                <w:szCs w:val="20"/>
              </w:rPr>
              <w:t>SBd</w:t>
            </w:r>
            <w:proofErr w:type="spellEnd"/>
            <w:r w:rsidRPr="000B52C6">
              <w:rPr>
                <w:rFonts w:eastAsia="Times New Roman" w:cs="Arial"/>
                <w:bCs w:val="0"/>
                <w:snapToGrid w:val="0"/>
                <w:szCs w:val="20"/>
              </w:rPr>
              <w:t xml:space="preserve"> cycles and 9.98 Cd cycles)” (para 7.1</w:t>
            </w:r>
            <w:r w:rsidR="00B854CA" w:rsidRPr="000B52C6">
              <w:rPr>
                <w:rFonts w:eastAsia="Times New Roman" w:cs="Arial"/>
                <w:bCs w:val="0"/>
                <w:snapToGrid w:val="0"/>
                <w:szCs w:val="20"/>
              </w:rPr>
              <w:t>5</w:t>
            </w:r>
            <w:r w:rsidRPr="000B52C6">
              <w:rPr>
                <w:rFonts w:eastAsia="Times New Roman" w:cs="Arial"/>
                <w:bCs w:val="0"/>
                <w:snapToGrid w:val="0"/>
                <w:szCs w:val="20"/>
              </w:rPr>
              <w:t xml:space="preserve">, July 2021 PBAC </w:t>
            </w:r>
            <w:r w:rsidR="00251F38">
              <w:rPr>
                <w:rFonts w:eastAsia="Times New Roman" w:cs="Arial"/>
                <w:bCs w:val="0"/>
                <w:snapToGrid w:val="0"/>
                <w:szCs w:val="20"/>
              </w:rPr>
              <w:t>PSD</w:t>
            </w:r>
            <w:r w:rsidRPr="000B52C6">
              <w:rPr>
                <w:rFonts w:eastAsia="Times New Roman" w:cs="Arial"/>
                <w:bCs w:val="0"/>
                <w:snapToGrid w:val="0"/>
                <w:szCs w:val="20"/>
              </w:rPr>
              <w:t xml:space="preserve">). </w:t>
            </w:r>
          </w:p>
          <w:p w14:paraId="2A07B853" w14:textId="15D0ED03" w:rsidR="00B854CA" w:rsidRPr="000B52C6" w:rsidRDefault="00B854CA" w:rsidP="0090369A">
            <w:pPr>
              <w:pStyle w:val="TableText0"/>
              <w:keepNext w:val="0"/>
              <w:numPr>
                <w:ilvl w:val="0"/>
                <w:numId w:val="52"/>
              </w:numPr>
              <w:rPr>
                <w:rFonts w:eastAsia="Times New Roman" w:cs="Arial"/>
                <w:bCs w:val="0"/>
                <w:snapToGrid w:val="0"/>
                <w:szCs w:val="20"/>
              </w:rPr>
            </w:pPr>
            <w:r w:rsidRPr="000B52C6">
              <w:rPr>
                <w:rFonts w:eastAsia="Times New Roman" w:cs="Arial"/>
                <w:bCs w:val="0"/>
                <w:snapToGrid w:val="0"/>
                <w:szCs w:val="20"/>
              </w:rPr>
              <w:t xml:space="preserve">The duration of </w:t>
            </w:r>
            <w:proofErr w:type="spellStart"/>
            <w:r w:rsidRPr="000B52C6">
              <w:rPr>
                <w:rFonts w:eastAsia="Times New Roman" w:cs="Arial"/>
                <w:bCs w:val="0"/>
                <w:snapToGrid w:val="0"/>
                <w:szCs w:val="20"/>
              </w:rPr>
              <w:t>SBd</w:t>
            </w:r>
            <w:proofErr w:type="spellEnd"/>
            <w:r w:rsidRPr="000B52C6">
              <w:rPr>
                <w:rFonts w:eastAsia="Times New Roman" w:cs="Arial"/>
                <w:bCs w:val="0"/>
                <w:snapToGrid w:val="0"/>
                <w:szCs w:val="20"/>
              </w:rPr>
              <w:t xml:space="preserve"> treatment applied in the CMA (7.98 cycles) was considerably higher than that observed in the BOSTON trial (6.67 cycles) (para 7.1</w:t>
            </w:r>
            <w:r w:rsidR="00103110" w:rsidRPr="000B52C6">
              <w:rPr>
                <w:rFonts w:eastAsia="Times New Roman" w:cs="Arial"/>
                <w:bCs w:val="0"/>
                <w:snapToGrid w:val="0"/>
                <w:szCs w:val="20"/>
              </w:rPr>
              <w:t>6</w:t>
            </w:r>
            <w:r w:rsidRPr="000B52C6">
              <w:rPr>
                <w:rFonts w:eastAsia="Times New Roman" w:cs="Arial"/>
                <w:bCs w:val="0"/>
                <w:snapToGrid w:val="0"/>
                <w:szCs w:val="20"/>
              </w:rPr>
              <w:t xml:space="preserve">, July 2021 PBAC </w:t>
            </w:r>
            <w:r w:rsidR="00251F38">
              <w:rPr>
                <w:rFonts w:eastAsia="Times New Roman" w:cs="Arial"/>
                <w:bCs w:val="0"/>
                <w:snapToGrid w:val="0"/>
                <w:szCs w:val="20"/>
              </w:rPr>
              <w:t>PSD</w:t>
            </w:r>
            <w:r w:rsidRPr="000B52C6">
              <w:rPr>
                <w:rFonts w:eastAsia="Times New Roman" w:cs="Arial"/>
                <w:bCs w:val="0"/>
                <w:snapToGrid w:val="0"/>
                <w:szCs w:val="20"/>
              </w:rPr>
              <w:t>).</w:t>
            </w:r>
          </w:p>
        </w:tc>
        <w:tc>
          <w:tcPr>
            <w:tcW w:w="2094" w:type="pct"/>
            <w:tcMar>
              <w:left w:w="28" w:type="dxa"/>
              <w:right w:w="28" w:type="dxa"/>
            </w:tcMar>
          </w:tcPr>
          <w:p w14:paraId="05370513" w14:textId="77777777" w:rsidR="006B3342" w:rsidRPr="000B52C6" w:rsidRDefault="006B3342" w:rsidP="0090369A">
            <w:pPr>
              <w:pStyle w:val="TableText0"/>
              <w:keepNext w:val="0"/>
              <w:numPr>
                <w:ilvl w:val="0"/>
                <w:numId w:val="53"/>
              </w:numPr>
              <w:ind w:left="432"/>
              <w:rPr>
                <w:rFonts w:eastAsia="Times New Roman" w:cs="Arial"/>
                <w:bCs w:val="0"/>
                <w:snapToGrid w:val="0"/>
                <w:szCs w:val="20"/>
              </w:rPr>
            </w:pPr>
            <w:r w:rsidRPr="000B52C6">
              <w:t xml:space="preserve">Addressed. Cost of haematological AEs was included in the CMA. </w:t>
            </w:r>
          </w:p>
          <w:p w14:paraId="254561F2" w14:textId="2EDDA8EC" w:rsidR="009F0481" w:rsidRPr="000B52C6" w:rsidRDefault="00934BE2" w:rsidP="0090369A">
            <w:pPr>
              <w:pStyle w:val="TableText0"/>
              <w:keepNext w:val="0"/>
              <w:numPr>
                <w:ilvl w:val="0"/>
                <w:numId w:val="53"/>
              </w:numPr>
              <w:ind w:left="432"/>
              <w:rPr>
                <w:rFonts w:eastAsia="Times New Roman" w:cs="Arial"/>
                <w:bCs w:val="0"/>
                <w:strike/>
                <w:snapToGrid w:val="0"/>
                <w:szCs w:val="20"/>
              </w:rPr>
            </w:pPr>
            <w:r w:rsidRPr="000B52C6">
              <w:t>Unchanged</w:t>
            </w:r>
            <w:r w:rsidR="006B3342" w:rsidRPr="000B52C6">
              <w:t xml:space="preserve">. The treatment duration was similar between </w:t>
            </w:r>
            <w:proofErr w:type="spellStart"/>
            <w:r w:rsidR="006B3342" w:rsidRPr="000B52C6">
              <w:t>SBd</w:t>
            </w:r>
            <w:proofErr w:type="spellEnd"/>
            <w:r w:rsidR="006B3342" w:rsidRPr="000B52C6">
              <w:t xml:space="preserve"> and Cd.</w:t>
            </w:r>
            <w:r w:rsidR="009F0481" w:rsidRPr="000B52C6">
              <w:t xml:space="preserve">  </w:t>
            </w:r>
          </w:p>
          <w:p w14:paraId="2ACA50DE" w14:textId="02068EFE" w:rsidR="00020CF8" w:rsidRPr="000B52C6" w:rsidRDefault="00E644D7" w:rsidP="00941658">
            <w:pPr>
              <w:pStyle w:val="TableText0"/>
              <w:keepNext w:val="0"/>
              <w:numPr>
                <w:ilvl w:val="0"/>
                <w:numId w:val="53"/>
              </w:numPr>
              <w:ind w:left="432"/>
              <w:rPr>
                <w:rFonts w:eastAsia="Times New Roman" w:cs="Arial"/>
                <w:bCs w:val="0"/>
                <w:i/>
                <w:snapToGrid w:val="0"/>
                <w:szCs w:val="20"/>
              </w:rPr>
            </w:pPr>
            <w:r w:rsidRPr="000B52C6">
              <w:rPr>
                <w:rFonts w:eastAsia="Times New Roman" w:cs="Arial"/>
                <w:bCs w:val="0"/>
                <w:iCs/>
                <w:snapToGrid w:val="0"/>
                <w:szCs w:val="20"/>
              </w:rPr>
              <w:t xml:space="preserve">The duration of </w:t>
            </w:r>
            <w:proofErr w:type="spellStart"/>
            <w:r w:rsidRPr="000B52C6">
              <w:rPr>
                <w:rFonts w:eastAsia="Times New Roman" w:cs="Arial"/>
                <w:bCs w:val="0"/>
                <w:iCs/>
                <w:snapToGrid w:val="0"/>
                <w:szCs w:val="20"/>
              </w:rPr>
              <w:t>SBd</w:t>
            </w:r>
            <w:proofErr w:type="spellEnd"/>
            <w:r w:rsidRPr="000B52C6">
              <w:rPr>
                <w:rFonts w:eastAsia="Times New Roman" w:cs="Arial"/>
                <w:bCs w:val="0"/>
                <w:iCs/>
                <w:snapToGrid w:val="0"/>
                <w:szCs w:val="20"/>
              </w:rPr>
              <w:t xml:space="preserve"> treatment of 9.87 </w:t>
            </w:r>
            <w:r w:rsidR="007B53CF" w:rsidRPr="000B52C6">
              <w:rPr>
                <w:rFonts w:eastAsia="Times New Roman" w:cs="Arial"/>
                <w:bCs w:val="0"/>
                <w:iCs/>
                <w:snapToGrid w:val="0"/>
                <w:szCs w:val="20"/>
              </w:rPr>
              <w:t>cycles</w:t>
            </w:r>
            <w:r w:rsidRPr="000B52C6">
              <w:rPr>
                <w:rFonts w:eastAsia="Times New Roman" w:cs="Arial"/>
                <w:bCs w:val="0"/>
                <w:iCs/>
                <w:snapToGrid w:val="0"/>
                <w:szCs w:val="20"/>
              </w:rPr>
              <w:t xml:space="preserve"> was still considerably higher than that observed in BOSTON. </w:t>
            </w:r>
            <w:r w:rsidR="00934BE2" w:rsidRPr="000B52C6">
              <w:rPr>
                <w:rFonts w:eastAsia="Times New Roman" w:cs="Arial"/>
                <w:bCs w:val="0"/>
                <w:iCs/>
                <w:snapToGrid w:val="0"/>
                <w:szCs w:val="20"/>
              </w:rPr>
              <w:t xml:space="preserve"> </w:t>
            </w:r>
          </w:p>
        </w:tc>
      </w:tr>
      <w:tr w:rsidR="006B3342" w:rsidRPr="000B52C6" w14:paraId="389706D1" w14:textId="77777777" w:rsidTr="005640E7">
        <w:trPr>
          <w:cantSplit/>
        </w:trPr>
        <w:tc>
          <w:tcPr>
            <w:tcW w:w="626" w:type="pct"/>
            <w:tcMar>
              <w:left w:w="28" w:type="dxa"/>
              <w:right w:w="28" w:type="dxa"/>
            </w:tcMar>
            <w:vAlign w:val="center"/>
          </w:tcPr>
          <w:p w14:paraId="7618674A" w14:textId="77777777" w:rsidR="006B3342" w:rsidRPr="000B52C6" w:rsidRDefault="006B3342" w:rsidP="0090369A">
            <w:pPr>
              <w:pStyle w:val="TableText0"/>
              <w:keepNext w:val="0"/>
            </w:pPr>
            <w:r w:rsidRPr="000B52C6">
              <w:t xml:space="preserve">Predicted use of the medicine in practice </w:t>
            </w:r>
          </w:p>
        </w:tc>
        <w:tc>
          <w:tcPr>
            <w:tcW w:w="2280" w:type="pct"/>
            <w:tcMar>
              <w:left w:w="28" w:type="dxa"/>
              <w:right w:w="28" w:type="dxa"/>
            </w:tcMar>
          </w:tcPr>
          <w:p w14:paraId="213F84A3" w14:textId="0B2143EA" w:rsidR="006B3342" w:rsidRPr="000B52C6" w:rsidRDefault="006B3342" w:rsidP="0090369A">
            <w:pPr>
              <w:pStyle w:val="TableText0"/>
              <w:keepNext w:val="0"/>
              <w:numPr>
                <w:ilvl w:val="0"/>
                <w:numId w:val="54"/>
              </w:numPr>
              <w:ind w:left="410"/>
              <w:rPr>
                <w:rFonts w:eastAsia="Times New Roman" w:cs="Arial"/>
                <w:bCs w:val="0"/>
                <w:snapToGrid w:val="0"/>
                <w:szCs w:val="20"/>
              </w:rPr>
            </w:pPr>
            <w:r w:rsidRPr="000B52C6">
              <w:rPr>
                <w:rFonts w:eastAsia="Times New Roman" w:cs="Arial"/>
                <w:bCs w:val="0"/>
                <w:snapToGrid w:val="0"/>
                <w:szCs w:val="20"/>
              </w:rPr>
              <w:t xml:space="preserve">A market share approach may have been more appropriate to estimate market size (para 6.84, July 2021 PBAC </w:t>
            </w:r>
            <w:r w:rsidR="00251F38">
              <w:rPr>
                <w:rFonts w:eastAsia="Times New Roman" w:cs="Arial"/>
                <w:bCs w:val="0"/>
                <w:snapToGrid w:val="0"/>
                <w:szCs w:val="20"/>
              </w:rPr>
              <w:t>PSD</w:t>
            </w:r>
            <w:r w:rsidRPr="000B52C6">
              <w:rPr>
                <w:rFonts w:eastAsia="Times New Roman" w:cs="Arial"/>
                <w:bCs w:val="0"/>
                <w:snapToGrid w:val="0"/>
                <w:szCs w:val="20"/>
              </w:rPr>
              <w:t>).</w:t>
            </w:r>
          </w:p>
          <w:p w14:paraId="1CD01358" w14:textId="163727D9" w:rsidR="006B3342" w:rsidRPr="000B52C6" w:rsidRDefault="006B3342" w:rsidP="0090369A">
            <w:pPr>
              <w:pStyle w:val="TableText0"/>
              <w:keepNext w:val="0"/>
              <w:numPr>
                <w:ilvl w:val="0"/>
                <w:numId w:val="54"/>
              </w:numPr>
              <w:ind w:left="410"/>
              <w:rPr>
                <w:rFonts w:eastAsia="Times New Roman" w:cs="Arial"/>
                <w:bCs w:val="0"/>
                <w:snapToGrid w:val="0"/>
                <w:szCs w:val="20"/>
              </w:rPr>
            </w:pPr>
            <w:r w:rsidRPr="000B52C6">
              <w:rPr>
                <w:rFonts w:eastAsia="Times New Roman" w:cs="Arial"/>
                <w:bCs w:val="0"/>
                <w:snapToGrid w:val="0"/>
                <w:szCs w:val="20"/>
              </w:rPr>
              <w:t xml:space="preserve">The utilisation estimates for </w:t>
            </w:r>
            <w:proofErr w:type="spellStart"/>
            <w:r w:rsidRPr="000B52C6">
              <w:rPr>
                <w:rFonts w:eastAsia="Times New Roman" w:cs="Arial"/>
                <w:bCs w:val="0"/>
                <w:snapToGrid w:val="0"/>
                <w:szCs w:val="20"/>
              </w:rPr>
              <w:t>SBd</w:t>
            </w:r>
            <w:proofErr w:type="spellEnd"/>
            <w:r w:rsidRPr="000B52C6">
              <w:rPr>
                <w:rFonts w:eastAsia="Times New Roman" w:cs="Arial"/>
                <w:bCs w:val="0"/>
                <w:snapToGrid w:val="0"/>
                <w:szCs w:val="20"/>
              </w:rPr>
              <w:t xml:space="preserve"> were overestimated (para 7.17, July 2021 PBAC </w:t>
            </w:r>
            <w:r w:rsidR="00251F38">
              <w:rPr>
                <w:rFonts w:eastAsia="Times New Roman" w:cs="Arial"/>
                <w:bCs w:val="0"/>
                <w:snapToGrid w:val="0"/>
                <w:szCs w:val="20"/>
              </w:rPr>
              <w:t>PSD</w:t>
            </w:r>
            <w:r w:rsidRPr="000B52C6">
              <w:rPr>
                <w:rFonts w:eastAsia="Times New Roman" w:cs="Arial"/>
                <w:bCs w:val="0"/>
                <w:snapToGrid w:val="0"/>
                <w:szCs w:val="20"/>
              </w:rPr>
              <w:t>).</w:t>
            </w:r>
          </w:p>
        </w:tc>
        <w:tc>
          <w:tcPr>
            <w:tcW w:w="2094" w:type="pct"/>
            <w:tcMar>
              <w:left w:w="28" w:type="dxa"/>
              <w:right w:w="28" w:type="dxa"/>
            </w:tcMar>
          </w:tcPr>
          <w:p w14:paraId="7582DE4C" w14:textId="77777777" w:rsidR="006B3342" w:rsidRPr="000B52C6" w:rsidRDefault="006B3342" w:rsidP="0090369A">
            <w:pPr>
              <w:pStyle w:val="TableText0"/>
              <w:keepNext w:val="0"/>
              <w:rPr>
                <w:rFonts w:eastAsia="Times New Roman" w:cs="Arial"/>
                <w:bCs w:val="0"/>
                <w:snapToGrid w:val="0"/>
                <w:szCs w:val="20"/>
              </w:rPr>
            </w:pPr>
            <w:r w:rsidRPr="000B52C6">
              <w:t xml:space="preserve">Addressed. The resubmission adopted a market share approach to estimate the market size. The utilisation estimates may be overestimated given the uncertain efficacy and toxicity of </w:t>
            </w:r>
            <w:proofErr w:type="spellStart"/>
            <w:r w:rsidRPr="000B52C6">
              <w:t>SBd</w:t>
            </w:r>
            <w:proofErr w:type="spellEnd"/>
            <w:r w:rsidRPr="000B52C6">
              <w:t xml:space="preserve"> compared to existing treatment regimens.  </w:t>
            </w:r>
          </w:p>
        </w:tc>
      </w:tr>
    </w:tbl>
    <w:p w14:paraId="14ED477C" w14:textId="77777777" w:rsidR="006B3342" w:rsidRPr="000B52C6" w:rsidRDefault="006B3342" w:rsidP="006B3342">
      <w:pPr>
        <w:pStyle w:val="TableFigureFooter"/>
      </w:pPr>
      <w:r w:rsidRPr="000B52C6">
        <w:t>Source: Table E.1, pp13-14 of the resubmission.</w:t>
      </w:r>
    </w:p>
    <w:p w14:paraId="6DDC256E" w14:textId="5D008061" w:rsidR="006B3342" w:rsidRPr="000B52C6" w:rsidRDefault="006B3342" w:rsidP="006B3342">
      <w:pPr>
        <w:pStyle w:val="TableFigureFooter"/>
      </w:pPr>
      <w:r w:rsidRPr="000B52C6">
        <w:lastRenderedPageBreak/>
        <w:t xml:space="preserve">Abbreviations: AEs = adverse events; Bd = bortezomib + dexamethasone; Cd = carfilzomib + dexamethasone; CUA = cost utility analysis; CMA = cost minimisation analysis; </w:t>
      </w:r>
      <w:proofErr w:type="spellStart"/>
      <w:r w:rsidRPr="000B52C6">
        <w:t>DBd</w:t>
      </w:r>
      <w:proofErr w:type="spellEnd"/>
      <w:r w:rsidRPr="000B52C6">
        <w:t xml:space="preserve"> = daratumumab in combination with bortezomib and dexamethasone; ECOG = Eastern Cooperative </w:t>
      </w:r>
      <w:r w:rsidR="007B53CF" w:rsidRPr="000B52C6">
        <w:t xml:space="preserve">Oncology Group; </w:t>
      </w:r>
      <w:proofErr w:type="spellStart"/>
      <w:r w:rsidR="007B53CF" w:rsidRPr="000B52C6">
        <w:t>EL</w:t>
      </w:r>
      <w:r w:rsidRPr="000B52C6">
        <w:t>d</w:t>
      </w:r>
      <w:proofErr w:type="spellEnd"/>
      <w:r w:rsidRPr="000B52C6">
        <w:t xml:space="preserve"> = </w:t>
      </w:r>
      <w:proofErr w:type="spellStart"/>
      <w:r w:rsidRPr="000B52C6">
        <w:t>Elotuzumab</w:t>
      </w:r>
      <w:proofErr w:type="spellEnd"/>
      <w:r w:rsidRPr="000B52C6">
        <w:t xml:space="preserve"> + lenalidomide + dexamethasone; ICER = incremental cost-effectiveness ratio; ITC = indirect treatment comparison; </w:t>
      </w:r>
      <w:proofErr w:type="spellStart"/>
      <w:r w:rsidRPr="000B52C6">
        <w:t>Ld</w:t>
      </w:r>
      <w:proofErr w:type="spellEnd"/>
      <w:r w:rsidRPr="000B52C6">
        <w:t xml:space="preserve"> = lenalidomide + dexamethasone; mg = milligrams; OS = overall survival; PFS = progression free survival; Pd = pomalidomide + dexamethasone; </w:t>
      </w:r>
      <w:proofErr w:type="spellStart"/>
      <w:r w:rsidRPr="000B52C6">
        <w:t>PBd</w:t>
      </w:r>
      <w:proofErr w:type="spellEnd"/>
      <w:r w:rsidRPr="000B52C6">
        <w:t xml:space="preserve"> = pomalidomide + bortezomib + dexamethasone; PBAC = pharmaceutical benefits advisory committee;</w:t>
      </w:r>
      <w:r w:rsidR="00251F38">
        <w:t xml:space="preserve"> PSD = Public Summary Document;</w:t>
      </w:r>
      <w:r w:rsidRPr="000B52C6">
        <w:t xml:space="preserve"> </w:t>
      </w:r>
      <w:proofErr w:type="spellStart"/>
      <w:r w:rsidRPr="000B52C6">
        <w:t>SBd</w:t>
      </w:r>
      <w:proofErr w:type="spellEnd"/>
      <w:r w:rsidRPr="000B52C6">
        <w:t xml:space="preserve"> = </w:t>
      </w:r>
      <w:proofErr w:type="spellStart"/>
      <w:r w:rsidRPr="000B52C6">
        <w:t>selinexor</w:t>
      </w:r>
      <w:proofErr w:type="spellEnd"/>
      <w:r w:rsidRPr="000B52C6">
        <w:t xml:space="preserve"> + bortezomib+ dexamethasone; STC = simulated treatment comparison. </w:t>
      </w:r>
    </w:p>
    <w:p w14:paraId="6F478CB9" w14:textId="6D8332B2" w:rsidR="00F41DB3" w:rsidRPr="000B52C6" w:rsidRDefault="00F41DB3" w:rsidP="00F41DB3">
      <w:pPr>
        <w:pStyle w:val="3-BodyText"/>
        <w:ind w:left="720" w:hanging="720"/>
      </w:pPr>
      <w:r w:rsidRPr="000B52C6">
        <w:t xml:space="preserve">A submission seeking listing of </w:t>
      </w:r>
      <w:proofErr w:type="spellStart"/>
      <w:r w:rsidRPr="000B52C6">
        <w:t>selinexor</w:t>
      </w:r>
      <w:proofErr w:type="spellEnd"/>
      <w:r w:rsidRPr="000B52C6">
        <w:t xml:space="preserve"> plus dexamethasone (Sd) for use in adult patients who have received at least four prior lines of therapy and whose disease is refractory to at least two proteasome inhibitors (PIs), at least two immunomodulatory agents (</w:t>
      </w:r>
      <w:proofErr w:type="spellStart"/>
      <w:r w:rsidRPr="000B52C6">
        <w:t>IMiDs</w:t>
      </w:r>
      <w:proofErr w:type="spellEnd"/>
      <w:r w:rsidRPr="000B52C6">
        <w:t>) and an anti</w:t>
      </w:r>
      <w:r w:rsidRPr="000B52C6">
        <w:noBreakHyphen/>
        <w:t>CD38 monoclonal antibody (</w:t>
      </w:r>
      <w:proofErr w:type="spellStart"/>
      <w:r w:rsidRPr="000B52C6">
        <w:t>mAb</w:t>
      </w:r>
      <w:proofErr w:type="spellEnd"/>
      <w:r w:rsidRPr="000B52C6">
        <w:t>); described as triple-class-refractory and penta-refractory multiple myeloma (TCR/PR MM) was also considered at the March 2022 PBAC meeting.</w:t>
      </w:r>
    </w:p>
    <w:p w14:paraId="3FEA76D5" w14:textId="0B544441" w:rsidR="00845BD2" w:rsidRPr="005640E7" w:rsidRDefault="00845BD2" w:rsidP="005640E7">
      <w:pPr>
        <w:ind w:firstLine="709"/>
        <w:rPr>
          <w:rFonts w:asciiTheme="minorHAnsi" w:hAnsiTheme="minorHAnsi"/>
          <w:i/>
        </w:rPr>
      </w:pPr>
      <w:bookmarkStart w:id="9" w:name="_Hlk76375324"/>
      <w:bookmarkStart w:id="10" w:name="_Toc93429919"/>
      <w:r w:rsidRPr="000B52C6">
        <w:rPr>
          <w:rFonts w:asciiTheme="minorHAnsi" w:hAnsiTheme="minorHAnsi"/>
          <w:i/>
        </w:rPr>
        <w:t>For more detail on PBAC’s view, see section 7 PBAC outcome.</w:t>
      </w:r>
      <w:bookmarkEnd w:id="9"/>
    </w:p>
    <w:p w14:paraId="3194CE72" w14:textId="613D7694" w:rsidR="006B3342" w:rsidRPr="000B52C6" w:rsidRDefault="006B3342" w:rsidP="006B3342">
      <w:pPr>
        <w:pStyle w:val="2-SectionHeading"/>
        <w:numPr>
          <w:ilvl w:val="0"/>
          <w:numId w:val="1"/>
        </w:numPr>
      </w:pPr>
      <w:r w:rsidRPr="000B52C6">
        <w:t>Requested listing</w:t>
      </w:r>
      <w:bookmarkEnd w:id="10"/>
    </w:p>
    <w:p w14:paraId="1A61C405" w14:textId="77777777" w:rsidR="00483B4B" w:rsidRPr="000B52C6" w:rsidRDefault="00483B4B" w:rsidP="00483B4B">
      <w:pPr>
        <w:pStyle w:val="ListParagraph"/>
        <w:numPr>
          <w:ilvl w:val="1"/>
          <w:numId w:val="1"/>
        </w:numPr>
        <w:ind w:left="720" w:hanging="720"/>
        <w:rPr>
          <w:rFonts w:cs="Calibri"/>
          <w:bCs/>
        </w:rPr>
      </w:pPr>
      <w:r w:rsidRPr="000B52C6">
        <w:rPr>
          <w:rFonts w:cstheme="minorHAnsi"/>
          <w:iCs/>
        </w:rPr>
        <w:t>Suggestions and additions propose by the Secretariat are added in italics and suggested deletions are crossed out with strikethrough.</w:t>
      </w:r>
    </w:p>
    <w:tbl>
      <w:tblPr>
        <w:tblW w:w="4977" w:type="pct"/>
        <w:tblInd w:w="28" w:type="dxa"/>
        <w:tblCellMar>
          <w:left w:w="28" w:type="dxa"/>
          <w:right w:w="28" w:type="dxa"/>
        </w:tblCellMar>
        <w:tblLook w:val="04A0" w:firstRow="1" w:lastRow="0" w:firstColumn="1" w:lastColumn="0" w:noHBand="0" w:noVBand="1"/>
      </w:tblPr>
      <w:tblGrid>
        <w:gridCol w:w="2949"/>
        <w:gridCol w:w="1276"/>
        <w:gridCol w:w="1096"/>
        <w:gridCol w:w="1518"/>
        <w:gridCol w:w="2146"/>
      </w:tblGrid>
      <w:tr w:rsidR="006B3342" w:rsidRPr="000B52C6" w14:paraId="654C7D36" w14:textId="77777777" w:rsidTr="00513E25">
        <w:trPr>
          <w:cantSplit/>
          <w:trHeight w:val="463"/>
        </w:trPr>
        <w:tc>
          <w:tcPr>
            <w:tcW w:w="1641" w:type="pct"/>
            <w:tcBorders>
              <w:top w:val="single" w:sz="4" w:space="0" w:color="auto"/>
              <w:left w:val="nil"/>
              <w:bottom w:val="single" w:sz="4" w:space="0" w:color="auto"/>
              <w:right w:val="nil"/>
            </w:tcBorders>
            <w:shd w:val="clear" w:color="auto" w:fill="C6D9F1" w:themeFill="text2" w:themeFillTint="33"/>
            <w:vAlign w:val="center"/>
            <w:hideMark/>
          </w:tcPr>
          <w:p w14:paraId="34C0AB07" w14:textId="77777777" w:rsidR="006B3342" w:rsidRPr="000B52C6" w:rsidRDefault="006B3342" w:rsidP="00513E25">
            <w:pPr>
              <w:keepNext/>
              <w:jc w:val="left"/>
              <w:rPr>
                <w:rFonts w:ascii="Arial Narrow" w:hAnsi="Arial Narrow"/>
                <w:b/>
                <w:sz w:val="20"/>
              </w:rPr>
            </w:pPr>
            <w:r w:rsidRPr="000B52C6">
              <w:rPr>
                <w:rFonts w:ascii="Arial Narrow" w:hAnsi="Arial Narrow"/>
                <w:b/>
                <w:sz w:val="20"/>
              </w:rPr>
              <w:t>Name, Restriction,</w:t>
            </w:r>
          </w:p>
          <w:p w14:paraId="5E6E0D8C" w14:textId="77777777" w:rsidR="006B3342" w:rsidRPr="000B52C6" w:rsidRDefault="006B3342" w:rsidP="00513E25">
            <w:pPr>
              <w:keepNext/>
              <w:jc w:val="left"/>
              <w:rPr>
                <w:rFonts w:ascii="Arial Narrow" w:hAnsi="Arial Narrow"/>
                <w:b/>
                <w:sz w:val="20"/>
              </w:rPr>
            </w:pPr>
            <w:r w:rsidRPr="000B52C6">
              <w:rPr>
                <w:rFonts w:ascii="Arial Narrow" w:hAnsi="Arial Narrow"/>
                <w:b/>
                <w:sz w:val="20"/>
              </w:rPr>
              <w:t>Manner of administration and form</w:t>
            </w:r>
          </w:p>
        </w:tc>
        <w:tc>
          <w:tcPr>
            <w:tcW w:w="710" w:type="pct"/>
            <w:tcBorders>
              <w:top w:val="single" w:sz="4" w:space="0" w:color="auto"/>
              <w:left w:val="nil"/>
              <w:bottom w:val="single" w:sz="4" w:space="0" w:color="auto"/>
              <w:right w:val="nil"/>
            </w:tcBorders>
            <w:shd w:val="clear" w:color="auto" w:fill="C6D9F1" w:themeFill="text2" w:themeFillTint="33"/>
            <w:vAlign w:val="center"/>
            <w:hideMark/>
          </w:tcPr>
          <w:p w14:paraId="3F0AA42D" w14:textId="77777777" w:rsidR="006B3342" w:rsidRPr="000B52C6" w:rsidRDefault="006B3342" w:rsidP="00513E25">
            <w:pPr>
              <w:keepNext/>
              <w:jc w:val="center"/>
              <w:rPr>
                <w:rFonts w:ascii="Arial Narrow" w:hAnsi="Arial Narrow"/>
                <w:b/>
                <w:sz w:val="20"/>
              </w:rPr>
            </w:pPr>
            <w:r w:rsidRPr="000B52C6">
              <w:rPr>
                <w:rFonts w:ascii="Arial Narrow" w:hAnsi="Arial Narrow"/>
                <w:b/>
                <w:sz w:val="20"/>
              </w:rPr>
              <w:t>Max.</w:t>
            </w:r>
          </w:p>
          <w:p w14:paraId="164936E7" w14:textId="77777777" w:rsidR="006B3342" w:rsidRPr="000B52C6" w:rsidRDefault="006B3342" w:rsidP="00513E25">
            <w:pPr>
              <w:keepNext/>
              <w:jc w:val="center"/>
              <w:rPr>
                <w:rFonts w:ascii="Arial Narrow" w:hAnsi="Arial Narrow"/>
                <w:b/>
                <w:sz w:val="20"/>
              </w:rPr>
            </w:pPr>
            <w:r w:rsidRPr="000B52C6">
              <w:rPr>
                <w:rFonts w:ascii="Arial Narrow" w:hAnsi="Arial Narrow"/>
                <w:b/>
                <w:sz w:val="20"/>
              </w:rPr>
              <w:t xml:space="preserve">Qty </w:t>
            </w:r>
          </w:p>
        </w:tc>
        <w:tc>
          <w:tcPr>
            <w:tcW w:w="610" w:type="pct"/>
            <w:tcBorders>
              <w:top w:val="single" w:sz="4" w:space="0" w:color="auto"/>
              <w:left w:val="nil"/>
              <w:bottom w:val="single" w:sz="4" w:space="0" w:color="auto"/>
              <w:right w:val="nil"/>
            </w:tcBorders>
            <w:shd w:val="clear" w:color="auto" w:fill="C6D9F1" w:themeFill="text2" w:themeFillTint="33"/>
            <w:vAlign w:val="center"/>
            <w:hideMark/>
          </w:tcPr>
          <w:p w14:paraId="11CC0C9E" w14:textId="77777777" w:rsidR="006B3342" w:rsidRPr="000B52C6" w:rsidRDefault="006B3342" w:rsidP="00513E25">
            <w:pPr>
              <w:keepNext/>
              <w:jc w:val="center"/>
              <w:rPr>
                <w:rFonts w:ascii="Arial Narrow" w:hAnsi="Arial Narrow"/>
                <w:b/>
                <w:sz w:val="20"/>
              </w:rPr>
            </w:pPr>
            <w:r w:rsidRPr="000B52C6">
              <w:rPr>
                <w:rFonts w:ascii="Arial Narrow" w:hAnsi="Arial Narrow"/>
                <w:b/>
                <w:sz w:val="20"/>
              </w:rPr>
              <w:t>No. of</w:t>
            </w:r>
          </w:p>
          <w:p w14:paraId="5C0CD4ED" w14:textId="77777777" w:rsidR="006B3342" w:rsidRPr="000B52C6" w:rsidRDefault="006B3342" w:rsidP="00513E25">
            <w:pPr>
              <w:keepNext/>
              <w:jc w:val="center"/>
              <w:rPr>
                <w:rFonts w:ascii="Arial Narrow" w:hAnsi="Arial Narrow"/>
                <w:b/>
                <w:sz w:val="20"/>
              </w:rPr>
            </w:pPr>
            <w:r w:rsidRPr="000B52C6">
              <w:rPr>
                <w:rFonts w:ascii="Arial Narrow" w:hAnsi="Arial Narrow"/>
                <w:b/>
                <w:sz w:val="20"/>
              </w:rPr>
              <w:t>Repeats</w:t>
            </w:r>
          </w:p>
        </w:tc>
        <w:tc>
          <w:tcPr>
            <w:tcW w:w="845" w:type="pct"/>
            <w:tcBorders>
              <w:top w:val="single" w:sz="4" w:space="0" w:color="auto"/>
              <w:left w:val="nil"/>
              <w:bottom w:val="single" w:sz="4" w:space="0" w:color="auto"/>
              <w:right w:val="nil"/>
            </w:tcBorders>
            <w:vAlign w:val="center"/>
            <w:hideMark/>
          </w:tcPr>
          <w:p w14:paraId="73516588" w14:textId="77777777" w:rsidR="006B3342" w:rsidRPr="000B52C6" w:rsidRDefault="006B3342" w:rsidP="00513E25">
            <w:pPr>
              <w:keepNext/>
              <w:jc w:val="center"/>
              <w:rPr>
                <w:rFonts w:ascii="Arial Narrow" w:hAnsi="Arial Narrow"/>
                <w:b/>
                <w:sz w:val="20"/>
              </w:rPr>
            </w:pPr>
            <w:r w:rsidRPr="000B52C6">
              <w:rPr>
                <w:rFonts w:ascii="Arial Narrow" w:hAnsi="Arial Narrow"/>
                <w:b/>
                <w:sz w:val="20"/>
              </w:rPr>
              <w:t>DPMQ</w:t>
            </w:r>
          </w:p>
        </w:tc>
        <w:tc>
          <w:tcPr>
            <w:tcW w:w="1194" w:type="pct"/>
            <w:tcBorders>
              <w:top w:val="single" w:sz="4" w:space="0" w:color="auto"/>
              <w:left w:val="nil"/>
              <w:bottom w:val="single" w:sz="4" w:space="0" w:color="auto"/>
              <w:right w:val="nil"/>
            </w:tcBorders>
            <w:shd w:val="clear" w:color="auto" w:fill="C6D9F1" w:themeFill="text2" w:themeFillTint="33"/>
            <w:vAlign w:val="center"/>
            <w:hideMark/>
          </w:tcPr>
          <w:p w14:paraId="14B0FFA8" w14:textId="77777777" w:rsidR="006B3342" w:rsidRPr="000B52C6" w:rsidRDefault="006B3342" w:rsidP="00513E25">
            <w:pPr>
              <w:keepNext/>
              <w:jc w:val="center"/>
              <w:rPr>
                <w:rFonts w:ascii="Arial Narrow" w:hAnsi="Arial Narrow"/>
                <w:b/>
                <w:sz w:val="20"/>
              </w:rPr>
            </w:pPr>
            <w:r w:rsidRPr="000B52C6">
              <w:rPr>
                <w:rFonts w:ascii="Arial Narrow" w:hAnsi="Arial Narrow"/>
                <w:b/>
                <w:sz w:val="20"/>
              </w:rPr>
              <w:t>Proprietary Name and Manufacturer</w:t>
            </w:r>
          </w:p>
        </w:tc>
      </w:tr>
      <w:tr w:rsidR="006B3342" w:rsidRPr="000B52C6" w14:paraId="510B8B37" w14:textId="77777777" w:rsidTr="00513E25">
        <w:trPr>
          <w:cantSplit/>
          <w:trHeight w:val="567"/>
        </w:trPr>
        <w:tc>
          <w:tcPr>
            <w:tcW w:w="1641" w:type="pct"/>
            <w:tcBorders>
              <w:top w:val="single" w:sz="4" w:space="0" w:color="auto"/>
              <w:left w:val="nil"/>
              <w:bottom w:val="single" w:sz="4" w:space="0" w:color="auto"/>
              <w:right w:val="nil"/>
            </w:tcBorders>
            <w:shd w:val="clear" w:color="auto" w:fill="C6D9F1" w:themeFill="text2" w:themeFillTint="33"/>
            <w:vAlign w:val="center"/>
            <w:hideMark/>
          </w:tcPr>
          <w:p w14:paraId="426C6EC3" w14:textId="77777777" w:rsidR="006B3342" w:rsidRPr="000B52C6" w:rsidRDefault="006B3342" w:rsidP="00513E25">
            <w:pPr>
              <w:keepNext/>
              <w:jc w:val="left"/>
              <w:rPr>
                <w:rFonts w:ascii="Arial Narrow" w:hAnsi="Arial Narrow"/>
                <w:smallCaps/>
                <w:sz w:val="20"/>
              </w:rPr>
            </w:pPr>
            <w:r w:rsidRPr="000B52C6">
              <w:rPr>
                <w:rFonts w:ascii="Arial Narrow" w:hAnsi="Arial Narrow"/>
                <w:smallCaps/>
                <w:sz w:val="20"/>
              </w:rPr>
              <w:t>SELINEXOR,</w:t>
            </w:r>
          </w:p>
          <w:p w14:paraId="54E20921" w14:textId="77777777" w:rsidR="006B3342" w:rsidRPr="000B52C6" w:rsidRDefault="006B3342" w:rsidP="00513E25">
            <w:pPr>
              <w:keepNext/>
              <w:jc w:val="left"/>
              <w:rPr>
                <w:rFonts w:ascii="Arial Narrow" w:hAnsi="Arial Narrow"/>
                <w:sz w:val="20"/>
              </w:rPr>
            </w:pPr>
            <w:r w:rsidRPr="000B52C6">
              <w:rPr>
                <w:rFonts w:ascii="Arial Narrow" w:hAnsi="Arial Narrow"/>
                <w:smallCaps/>
                <w:sz w:val="20"/>
              </w:rPr>
              <w:t>tablets, 20</w:t>
            </w:r>
            <w:r w:rsidRPr="000B52C6">
              <w:t xml:space="preserve"> </w:t>
            </w:r>
            <w:r w:rsidRPr="000B52C6">
              <w:rPr>
                <w:rFonts w:ascii="Arial Narrow" w:hAnsi="Arial Narrow"/>
                <w:sz w:val="20"/>
              </w:rPr>
              <w:t xml:space="preserve">mg </w:t>
            </w:r>
          </w:p>
        </w:tc>
        <w:tc>
          <w:tcPr>
            <w:tcW w:w="710" w:type="pct"/>
            <w:tcBorders>
              <w:top w:val="single" w:sz="4" w:space="0" w:color="auto"/>
              <w:left w:val="nil"/>
              <w:bottom w:val="single" w:sz="4" w:space="0" w:color="auto"/>
              <w:right w:val="nil"/>
            </w:tcBorders>
            <w:shd w:val="clear" w:color="auto" w:fill="C6D9F1" w:themeFill="text2" w:themeFillTint="33"/>
            <w:vAlign w:val="center"/>
            <w:hideMark/>
          </w:tcPr>
          <w:p w14:paraId="7E850C1A" w14:textId="77777777" w:rsidR="006B3342" w:rsidRPr="000B52C6" w:rsidRDefault="006B3342" w:rsidP="00513E25">
            <w:pPr>
              <w:keepNext/>
              <w:jc w:val="center"/>
              <w:rPr>
                <w:rFonts w:ascii="Arial Narrow" w:hAnsi="Arial Narrow"/>
                <w:sz w:val="20"/>
              </w:rPr>
            </w:pPr>
            <w:r w:rsidRPr="000B52C6">
              <w:rPr>
                <w:rFonts w:ascii="Arial Narrow" w:hAnsi="Arial Narrow"/>
                <w:sz w:val="20"/>
              </w:rPr>
              <w:t>16</w:t>
            </w:r>
          </w:p>
        </w:tc>
        <w:tc>
          <w:tcPr>
            <w:tcW w:w="610" w:type="pct"/>
            <w:tcBorders>
              <w:top w:val="single" w:sz="4" w:space="0" w:color="auto"/>
              <w:left w:val="nil"/>
              <w:bottom w:val="single" w:sz="4" w:space="0" w:color="auto"/>
              <w:right w:val="nil"/>
            </w:tcBorders>
            <w:shd w:val="clear" w:color="auto" w:fill="C6D9F1" w:themeFill="text2" w:themeFillTint="33"/>
            <w:vAlign w:val="center"/>
            <w:hideMark/>
          </w:tcPr>
          <w:p w14:paraId="512E4ED6" w14:textId="77777777" w:rsidR="006B3342" w:rsidRPr="000B52C6" w:rsidRDefault="006B3342" w:rsidP="00513E25">
            <w:pPr>
              <w:keepNext/>
              <w:jc w:val="center"/>
              <w:rPr>
                <w:rFonts w:ascii="Arial Narrow" w:hAnsi="Arial Narrow"/>
                <w:sz w:val="20"/>
              </w:rPr>
            </w:pPr>
            <w:r w:rsidRPr="000B52C6">
              <w:rPr>
                <w:rFonts w:ascii="Arial Narrow" w:hAnsi="Arial Narrow"/>
                <w:sz w:val="20"/>
              </w:rPr>
              <w:t>2</w:t>
            </w:r>
          </w:p>
        </w:tc>
        <w:tc>
          <w:tcPr>
            <w:tcW w:w="845" w:type="pct"/>
            <w:tcBorders>
              <w:top w:val="single" w:sz="4" w:space="0" w:color="auto"/>
              <w:left w:val="nil"/>
              <w:bottom w:val="single" w:sz="4" w:space="0" w:color="auto"/>
              <w:right w:val="nil"/>
            </w:tcBorders>
            <w:vAlign w:val="center"/>
            <w:hideMark/>
          </w:tcPr>
          <w:p w14:paraId="78933849" w14:textId="77777777" w:rsidR="006B3342" w:rsidRPr="000B52C6" w:rsidRDefault="006B3342" w:rsidP="00513E25">
            <w:pPr>
              <w:pStyle w:val="Tabletext"/>
              <w:rPr>
                <w:u w:val="single"/>
              </w:rPr>
            </w:pPr>
            <w:r w:rsidRPr="000B52C6">
              <w:rPr>
                <w:u w:val="single"/>
              </w:rPr>
              <w:t>Published price:</w:t>
            </w:r>
          </w:p>
          <w:p w14:paraId="42E352D6" w14:textId="77777777" w:rsidR="006B3342" w:rsidRPr="000B52C6" w:rsidRDefault="006B3342" w:rsidP="00513E25">
            <w:pPr>
              <w:pStyle w:val="Tabletext"/>
            </w:pPr>
            <w:r w:rsidRPr="000B52C6">
              <w:t>$11,525.44 (HSD Public)</w:t>
            </w:r>
          </w:p>
          <w:p w14:paraId="25EDC192" w14:textId="77777777" w:rsidR="006B3342" w:rsidRPr="000B52C6" w:rsidRDefault="006B3342" w:rsidP="00513E25">
            <w:pPr>
              <w:pStyle w:val="Tabletext"/>
            </w:pPr>
            <w:r w:rsidRPr="000B52C6">
              <w:t>$11,573.22 (HSD Private)</w:t>
            </w:r>
          </w:p>
          <w:p w14:paraId="6BB44E5E" w14:textId="6E923545" w:rsidR="006B3342" w:rsidRPr="000B52C6" w:rsidRDefault="005640E7" w:rsidP="00513E25">
            <w:pPr>
              <w:pStyle w:val="Tabletext"/>
              <w:rPr>
                <w:u w:val="single"/>
              </w:rPr>
            </w:pPr>
            <w:r>
              <w:rPr>
                <w:u w:val="single"/>
              </w:rPr>
              <w:t>E</w:t>
            </w:r>
            <w:r w:rsidR="006B3342" w:rsidRPr="000B52C6">
              <w:rPr>
                <w:u w:val="single"/>
              </w:rPr>
              <w:t xml:space="preserve">ffective price: </w:t>
            </w:r>
          </w:p>
          <w:p w14:paraId="7F2F4FF3" w14:textId="77777777" w:rsidR="006B3342" w:rsidRPr="000B52C6" w:rsidRDefault="006B3342" w:rsidP="00513E25">
            <w:pPr>
              <w:pStyle w:val="Tabletext"/>
            </w:pPr>
            <w:r w:rsidRPr="000B52C6">
              <w:t>TBC</w:t>
            </w:r>
          </w:p>
        </w:tc>
        <w:tc>
          <w:tcPr>
            <w:tcW w:w="1194" w:type="pct"/>
            <w:tcBorders>
              <w:top w:val="single" w:sz="4" w:space="0" w:color="auto"/>
              <w:left w:val="nil"/>
              <w:bottom w:val="single" w:sz="4" w:space="0" w:color="auto"/>
              <w:right w:val="nil"/>
            </w:tcBorders>
            <w:shd w:val="clear" w:color="auto" w:fill="C6D9F1" w:themeFill="text2" w:themeFillTint="33"/>
            <w:vAlign w:val="center"/>
          </w:tcPr>
          <w:p w14:paraId="551B1B61" w14:textId="3460D860" w:rsidR="006B3342" w:rsidRPr="000B52C6" w:rsidRDefault="006B3342" w:rsidP="00513E25">
            <w:pPr>
              <w:keepNext/>
              <w:jc w:val="center"/>
              <w:rPr>
                <w:rFonts w:ascii="Arial Narrow" w:hAnsi="Arial Narrow"/>
                <w:sz w:val="20"/>
              </w:rPr>
            </w:pPr>
            <w:r w:rsidRPr="000B52C6">
              <w:rPr>
                <w:rFonts w:ascii="Arial Narrow" w:hAnsi="Arial Narrow"/>
                <w:sz w:val="20"/>
              </w:rPr>
              <w:t xml:space="preserve">XPOVIO </w:t>
            </w:r>
          </w:p>
          <w:p w14:paraId="0BF64D0E" w14:textId="77777777" w:rsidR="006B3342" w:rsidRPr="000B52C6" w:rsidRDefault="006B3342" w:rsidP="00513E25">
            <w:pPr>
              <w:keepNext/>
              <w:jc w:val="center"/>
              <w:rPr>
                <w:rFonts w:ascii="Arial Narrow" w:hAnsi="Arial Narrow"/>
                <w:sz w:val="20"/>
              </w:rPr>
            </w:pPr>
            <w:r w:rsidRPr="000B52C6">
              <w:rPr>
                <w:rFonts w:ascii="Arial Narrow" w:hAnsi="Arial Narrow"/>
                <w:sz w:val="20"/>
              </w:rPr>
              <w:t>ANTENGENE Pty Ltd</w:t>
            </w:r>
          </w:p>
          <w:p w14:paraId="02F6CC62" w14:textId="77777777" w:rsidR="006B3342" w:rsidRPr="000B52C6" w:rsidRDefault="006B3342" w:rsidP="00513E25">
            <w:pPr>
              <w:keepNext/>
              <w:jc w:val="center"/>
              <w:rPr>
                <w:rFonts w:ascii="Arial Narrow" w:hAnsi="Arial Narrow"/>
                <w:sz w:val="20"/>
              </w:rPr>
            </w:pPr>
          </w:p>
        </w:tc>
      </w:tr>
      <w:tr w:rsidR="006B3342" w:rsidRPr="000B52C6" w14:paraId="5BC5B867" w14:textId="77777777" w:rsidTr="00513E25">
        <w:trPr>
          <w:cantSplit/>
          <w:trHeight w:val="567"/>
        </w:trPr>
        <w:tc>
          <w:tcPr>
            <w:tcW w:w="1641" w:type="pct"/>
            <w:tcBorders>
              <w:top w:val="single" w:sz="4" w:space="0" w:color="auto"/>
              <w:left w:val="nil"/>
              <w:bottom w:val="nil"/>
              <w:right w:val="nil"/>
            </w:tcBorders>
            <w:shd w:val="clear" w:color="auto" w:fill="C6D9F1" w:themeFill="text2" w:themeFillTint="33"/>
            <w:vAlign w:val="center"/>
            <w:hideMark/>
          </w:tcPr>
          <w:p w14:paraId="42E89EFD" w14:textId="77777777" w:rsidR="006B3342" w:rsidRPr="000B52C6" w:rsidRDefault="006B3342" w:rsidP="00513E25">
            <w:pPr>
              <w:keepNext/>
              <w:jc w:val="left"/>
              <w:rPr>
                <w:rFonts w:ascii="Arial Narrow" w:hAnsi="Arial Narrow"/>
                <w:smallCaps/>
                <w:sz w:val="20"/>
              </w:rPr>
            </w:pPr>
            <w:r w:rsidRPr="000B52C6">
              <w:rPr>
                <w:rFonts w:ascii="Arial Narrow" w:hAnsi="Arial Narrow"/>
                <w:smallCaps/>
                <w:sz w:val="20"/>
              </w:rPr>
              <w:t>SELINEXOR,</w:t>
            </w:r>
          </w:p>
          <w:p w14:paraId="712830DD" w14:textId="77777777" w:rsidR="006B3342" w:rsidRPr="000B52C6" w:rsidRDefault="006B3342" w:rsidP="00513E25">
            <w:pPr>
              <w:keepNext/>
              <w:jc w:val="left"/>
              <w:rPr>
                <w:rFonts w:ascii="Arial Narrow" w:hAnsi="Arial Narrow"/>
                <w:smallCaps/>
                <w:sz w:val="20"/>
              </w:rPr>
            </w:pPr>
            <w:r w:rsidRPr="000B52C6">
              <w:rPr>
                <w:rFonts w:ascii="Arial Narrow" w:hAnsi="Arial Narrow"/>
                <w:smallCaps/>
                <w:sz w:val="20"/>
              </w:rPr>
              <w:t>tablets, 20</w:t>
            </w:r>
            <w:r w:rsidRPr="000B52C6">
              <w:t xml:space="preserve"> </w:t>
            </w:r>
            <w:r w:rsidRPr="000B52C6">
              <w:rPr>
                <w:rFonts w:ascii="Arial Narrow" w:hAnsi="Arial Narrow"/>
                <w:sz w:val="20"/>
              </w:rPr>
              <w:t>mg</w:t>
            </w:r>
          </w:p>
        </w:tc>
        <w:tc>
          <w:tcPr>
            <w:tcW w:w="710" w:type="pct"/>
            <w:tcBorders>
              <w:top w:val="single" w:sz="4" w:space="0" w:color="auto"/>
              <w:left w:val="nil"/>
              <w:bottom w:val="nil"/>
              <w:right w:val="nil"/>
            </w:tcBorders>
            <w:shd w:val="clear" w:color="auto" w:fill="C6D9F1" w:themeFill="text2" w:themeFillTint="33"/>
            <w:vAlign w:val="center"/>
            <w:hideMark/>
          </w:tcPr>
          <w:p w14:paraId="2DE79023" w14:textId="77777777" w:rsidR="006B3342" w:rsidRPr="000B52C6" w:rsidRDefault="006B3342" w:rsidP="00513E25">
            <w:pPr>
              <w:keepNext/>
              <w:jc w:val="center"/>
              <w:rPr>
                <w:rFonts w:ascii="Arial Narrow" w:hAnsi="Arial Narrow"/>
                <w:sz w:val="20"/>
              </w:rPr>
            </w:pPr>
            <w:r w:rsidRPr="000B52C6">
              <w:rPr>
                <w:rFonts w:ascii="Arial Narrow" w:hAnsi="Arial Narrow"/>
                <w:sz w:val="20"/>
              </w:rPr>
              <w:t>20</w:t>
            </w:r>
          </w:p>
        </w:tc>
        <w:tc>
          <w:tcPr>
            <w:tcW w:w="610" w:type="pct"/>
            <w:tcBorders>
              <w:top w:val="single" w:sz="4" w:space="0" w:color="auto"/>
              <w:left w:val="nil"/>
              <w:bottom w:val="nil"/>
              <w:right w:val="nil"/>
            </w:tcBorders>
            <w:shd w:val="clear" w:color="auto" w:fill="C6D9F1" w:themeFill="text2" w:themeFillTint="33"/>
            <w:vAlign w:val="center"/>
            <w:hideMark/>
          </w:tcPr>
          <w:p w14:paraId="27916050" w14:textId="77777777" w:rsidR="006B3342" w:rsidRPr="000B52C6" w:rsidRDefault="006B3342" w:rsidP="00513E25">
            <w:pPr>
              <w:keepNext/>
              <w:jc w:val="center"/>
              <w:rPr>
                <w:rFonts w:ascii="Arial Narrow" w:hAnsi="Arial Narrow"/>
                <w:sz w:val="20"/>
              </w:rPr>
            </w:pPr>
            <w:r w:rsidRPr="000B52C6">
              <w:rPr>
                <w:rFonts w:ascii="Arial Narrow" w:hAnsi="Arial Narrow"/>
                <w:sz w:val="20"/>
              </w:rPr>
              <w:t>2</w:t>
            </w:r>
          </w:p>
        </w:tc>
        <w:tc>
          <w:tcPr>
            <w:tcW w:w="845" w:type="pct"/>
            <w:tcBorders>
              <w:top w:val="single" w:sz="4" w:space="0" w:color="auto"/>
              <w:left w:val="nil"/>
              <w:bottom w:val="nil"/>
              <w:right w:val="nil"/>
            </w:tcBorders>
            <w:vAlign w:val="center"/>
            <w:hideMark/>
          </w:tcPr>
          <w:p w14:paraId="0F28AF7D" w14:textId="77777777" w:rsidR="006B3342" w:rsidRPr="000B52C6" w:rsidRDefault="006B3342" w:rsidP="00513E25">
            <w:pPr>
              <w:pStyle w:val="Tabletext"/>
              <w:rPr>
                <w:u w:val="single"/>
              </w:rPr>
            </w:pPr>
            <w:r w:rsidRPr="000B52C6">
              <w:rPr>
                <w:u w:val="single"/>
              </w:rPr>
              <w:t>Published price:</w:t>
            </w:r>
          </w:p>
          <w:p w14:paraId="26E0FA65" w14:textId="77777777" w:rsidR="006B3342" w:rsidRPr="000B52C6" w:rsidRDefault="006B3342" w:rsidP="00513E25">
            <w:pPr>
              <w:pStyle w:val="Tabletext"/>
            </w:pPr>
            <w:r w:rsidRPr="000B52C6">
              <w:t>$14,406.80 (HSD Public)</w:t>
            </w:r>
          </w:p>
          <w:p w14:paraId="1FF2C012" w14:textId="77777777" w:rsidR="006B3342" w:rsidRPr="000B52C6" w:rsidRDefault="006B3342" w:rsidP="00513E25">
            <w:pPr>
              <w:pStyle w:val="Tabletext"/>
            </w:pPr>
            <w:r w:rsidRPr="000B52C6">
              <w:t>$14,454.58 (HSD Private)</w:t>
            </w:r>
          </w:p>
          <w:p w14:paraId="4A5548C2" w14:textId="77777777" w:rsidR="006B3342" w:rsidRPr="000B52C6" w:rsidRDefault="006B3342" w:rsidP="00513E25">
            <w:pPr>
              <w:pStyle w:val="Tabletext"/>
              <w:rPr>
                <w:u w:val="single"/>
              </w:rPr>
            </w:pPr>
            <w:r w:rsidRPr="000B52C6">
              <w:rPr>
                <w:u w:val="single"/>
              </w:rPr>
              <w:t xml:space="preserve">Effective price: </w:t>
            </w:r>
          </w:p>
          <w:p w14:paraId="44D50D1F" w14:textId="77777777" w:rsidR="006B3342" w:rsidRPr="000B52C6" w:rsidRDefault="006B3342" w:rsidP="00513E25">
            <w:pPr>
              <w:pStyle w:val="Tabletext"/>
            </w:pPr>
            <w:r w:rsidRPr="000B52C6">
              <w:t>TBC</w:t>
            </w:r>
          </w:p>
        </w:tc>
        <w:tc>
          <w:tcPr>
            <w:tcW w:w="1194" w:type="pct"/>
            <w:tcBorders>
              <w:top w:val="single" w:sz="4" w:space="0" w:color="auto"/>
              <w:left w:val="nil"/>
              <w:bottom w:val="nil"/>
              <w:right w:val="nil"/>
            </w:tcBorders>
            <w:shd w:val="clear" w:color="auto" w:fill="C6D9F1" w:themeFill="text2" w:themeFillTint="33"/>
            <w:vAlign w:val="center"/>
          </w:tcPr>
          <w:p w14:paraId="3C654583" w14:textId="555D17C4" w:rsidR="006B3342" w:rsidRPr="000B52C6" w:rsidRDefault="006B3342" w:rsidP="00513E25">
            <w:pPr>
              <w:keepNext/>
              <w:jc w:val="center"/>
              <w:rPr>
                <w:rFonts w:ascii="Arial Narrow" w:hAnsi="Arial Narrow"/>
                <w:sz w:val="20"/>
              </w:rPr>
            </w:pPr>
            <w:r w:rsidRPr="000B52C6">
              <w:rPr>
                <w:rFonts w:ascii="Arial Narrow" w:hAnsi="Arial Narrow"/>
                <w:sz w:val="20"/>
              </w:rPr>
              <w:t xml:space="preserve">XPOVIO </w:t>
            </w:r>
          </w:p>
          <w:p w14:paraId="142897F9" w14:textId="77777777" w:rsidR="006B3342" w:rsidRPr="000B52C6" w:rsidRDefault="006B3342" w:rsidP="00513E25">
            <w:pPr>
              <w:keepNext/>
              <w:jc w:val="center"/>
              <w:rPr>
                <w:rFonts w:ascii="Arial Narrow" w:hAnsi="Arial Narrow"/>
                <w:sz w:val="20"/>
              </w:rPr>
            </w:pPr>
            <w:r w:rsidRPr="000B52C6">
              <w:rPr>
                <w:rFonts w:ascii="Arial Narrow" w:hAnsi="Arial Narrow"/>
                <w:sz w:val="20"/>
              </w:rPr>
              <w:t>ANTENGENE Pty Ltd</w:t>
            </w:r>
          </w:p>
          <w:p w14:paraId="745AD5B7" w14:textId="77777777" w:rsidR="006B3342" w:rsidRPr="000B52C6" w:rsidRDefault="006B3342" w:rsidP="00513E25">
            <w:pPr>
              <w:keepNext/>
              <w:jc w:val="center"/>
              <w:rPr>
                <w:rFonts w:ascii="Arial Narrow" w:hAnsi="Arial Narrow"/>
                <w:sz w:val="20"/>
              </w:rPr>
            </w:pPr>
          </w:p>
        </w:tc>
      </w:tr>
    </w:tbl>
    <w:p w14:paraId="66BEDF0E" w14:textId="77777777" w:rsidR="00214E2F" w:rsidRPr="000B52C6" w:rsidRDefault="00214E2F" w:rsidP="00214E2F"/>
    <w:tbl>
      <w:tblPr>
        <w:tblStyle w:val="TableGrid1"/>
        <w:tblW w:w="0" w:type="dxa"/>
        <w:tblLayout w:type="fixed"/>
        <w:tblLook w:val="04A0" w:firstRow="1" w:lastRow="0" w:firstColumn="1" w:lastColumn="0" w:noHBand="0" w:noVBand="1"/>
      </w:tblPr>
      <w:tblGrid>
        <w:gridCol w:w="1271"/>
        <w:gridCol w:w="7796"/>
      </w:tblGrid>
      <w:tr w:rsidR="00214E2F" w:rsidRPr="000B52C6" w14:paraId="5559E395" w14:textId="77777777" w:rsidTr="00214E2F">
        <w:trPr>
          <w:trHeight w:val="72"/>
        </w:trPr>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871CD" w14:textId="617A9D73"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294F9"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b/>
                <w:sz w:val="20"/>
                <w:szCs w:val="20"/>
                <w:lang w:val="en-AU"/>
              </w:rPr>
              <w:t xml:space="preserve">Category/Program: </w:t>
            </w:r>
            <w:r w:rsidRPr="000B52C6">
              <w:rPr>
                <w:rFonts w:ascii="Arial Narrow" w:hAnsi="Arial Narrow" w:cstheme="minorHAnsi"/>
                <w:sz w:val="20"/>
                <w:szCs w:val="20"/>
                <w:lang w:val="en-AU"/>
              </w:rPr>
              <w:t>Section 100 (Highly Specialised Drugs Program)</w:t>
            </w:r>
          </w:p>
        </w:tc>
      </w:tr>
      <w:tr w:rsidR="00214E2F" w:rsidRPr="000B52C6" w14:paraId="641D763D" w14:textId="77777777" w:rsidTr="00703546">
        <w:trPr>
          <w:trHeight w:val="136"/>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C9DC6" w14:textId="77777777" w:rsidR="00214E2F" w:rsidRPr="000B52C6" w:rsidRDefault="00214E2F" w:rsidP="00214E2F">
            <w:pPr>
              <w:jc w:val="left"/>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D9C2E"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cstheme="minorHAnsi"/>
                <w:b/>
                <w:i/>
                <w:sz w:val="20"/>
                <w:szCs w:val="20"/>
                <w:lang w:val="en-AU"/>
              </w:rPr>
              <w:t xml:space="preserve">Prescriber type: </w:t>
            </w:r>
            <w:r w:rsidRPr="000B52C6">
              <w:rPr>
                <w:rFonts w:ascii="Arial Narrow" w:hAnsi="Arial Narrow"/>
                <w:i/>
                <w:sz w:val="20"/>
                <w:szCs w:val="20"/>
              </w:rPr>
              <w:fldChar w:fldCharType="begin">
                <w:ffData>
                  <w:name w:val=""/>
                  <w:enabled/>
                  <w:calcOnExit w:val="0"/>
                  <w:checkBox>
                    <w:sizeAuto/>
                    <w:default w:val="1"/>
                  </w:checkBox>
                </w:ffData>
              </w:fldChar>
            </w:r>
            <w:r w:rsidRPr="000B52C6">
              <w:rPr>
                <w:rFonts w:ascii="Arial Narrow" w:hAnsi="Arial Narrow"/>
                <w:i/>
                <w:sz w:val="20"/>
                <w:szCs w:val="20"/>
                <w:lang w:val="en-AU"/>
              </w:rPr>
              <w:instrText xml:space="preserve"> FORMCHECKBOX </w:instrText>
            </w:r>
            <w:r w:rsidR="00FF5725">
              <w:rPr>
                <w:rFonts w:ascii="Arial Narrow" w:hAnsi="Arial Narrow"/>
                <w:i/>
                <w:sz w:val="20"/>
                <w:szCs w:val="20"/>
              </w:rPr>
            </w:r>
            <w:r w:rsidR="00FF5725">
              <w:rPr>
                <w:rFonts w:ascii="Arial Narrow" w:hAnsi="Arial Narrow"/>
                <w:i/>
                <w:sz w:val="20"/>
                <w:szCs w:val="20"/>
              </w:rPr>
              <w:fldChar w:fldCharType="separate"/>
            </w:r>
            <w:r w:rsidRPr="000B52C6">
              <w:rPr>
                <w:rFonts w:ascii="Arial Narrow" w:hAnsi="Arial Narrow"/>
                <w:i/>
                <w:sz w:val="20"/>
                <w:szCs w:val="20"/>
              </w:rPr>
              <w:fldChar w:fldCharType="end"/>
            </w:r>
            <w:r w:rsidRPr="000B52C6">
              <w:rPr>
                <w:rFonts w:ascii="Arial Narrow" w:hAnsi="Arial Narrow"/>
                <w:i/>
                <w:sz w:val="20"/>
                <w:szCs w:val="20"/>
                <w:lang w:val="en-AU"/>
              </w:rPr>
              <w:t xml:space="preserve"> Medical Practitioners</w:t>
            </w:r>
          </w:p>
        </w:tc>
      </w:tr>
      <w:tr w:rsidR="00214E2F" w:rsidRPr="000B52C6" w14:paraId="0FA69495" w14:textId="77777777" w:rsidTr="00703546">
        <w:trPr>
          <w:trHeight w:val="161"/>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4DE0CB" w14:textId="77777777" w:rsidR="00214E2F" w:rsidRPr="000B52C6" w:rsidRDefault="00214E2F" w:rsidP="00214E2F">
            <w:pPr>
              <w:jc w:val="left"/>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5B566" w14:textId="77777777" w:rsidR="00214E2F" w:rsidRPr="000B52C6" w:rsidRDefault="00214E2F" w:rsidP="00214E2F">
            <w:pPr>
              <w:rPr>
                <w:rFonts w:ascii="Arial Narrow" w:hAnsi="Arial Narrow" w:cstheme="minorHAnsi"/>
                <w:b/>
                <w:sz w:val="20"/>
                <w:szCs w:val="20"/>
                <w:lang w:val="en-AU"/>
              </w:rPr>
            </w:pPr>
            <w:r w:rsidRPr="000B52C6">
              <w:rPr>
                <w:rFonts w:ascii="Arial Narrow" w:hAnsi="Arial Narrow" w:cstheme="minorHAnsi"/>
                <w:b/>
                <w:sz w:val="20"/>
                <w:szCs w:val="20"/>
                <w:lang w:val="en-AU"/>
              </w:rPr>
              <w:t>Restriction type:</w:t>
            </w:r>
          </w:p>
          <w:p w14:paraId="24FCC1E1"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bCs/>
                <w:sz w:val="20"/>
                <w:szCs w:val="20"/>
              </w:rPr>
              <w:fldChar w:fldCharType="begin">
                <w:ffData>
                  <w:name w:val="Check3"/>
                  <w:enabled/>
                  <w:calcOnExit w:val="0"/>
                  <w:checkBox>
                    <w:sizeAuto/>
                    <w:default w:val="1"/>
                  </w:checkBox>
                </w:ffData>
              </w:fldChar>
            </w:r>
            <w:r w:rsidRPr="000B52C6">
              <w:rPr>
                <w:rFonts w:ascii="Arial Narrow" w:hAnsi="Arial Narrow"/>
                <w:bCs/>
                <w:sz w:val="20"/>
                <w:szCs w:val="20"/>
                <w:lang w:val="en-AU"/>
              </w:rPr>
              <w:instrText xml:space="preserve"> FORMCHECKBOX </w:instrText>
            </w:r>
            <w:r w:rsidR="00FF5725">
              <w:rPr>
                <w:rFonts w:ascii="Arial Narrow" w:hAnsi="Arial Narrow"/>
                <w:bCs/>
                <w:sz w:val="20"/>
                <w:szCs w:val="20"/>
              </w:rPr>
            </w:r>
            <w:r w:rsidR="00FF5725">
              <w:rPr>
                <w:rFonts w:ascii="Arial Narrow" w:hAnsi="Arial Narrow"/>
                <w:bCs/>
                <w:sz w:val="20"/>
                <w:szCs w:val="20"/>
              </w:rPr>
              <w:fldChar w:fldCharType="separate"/>
            </w:r>
            <w:r w:rsidRPr="000B52C6">
              <w:rPr>
                <w:rFonts w:ascii="Arial Narrow" w:hAnsi="Arial Narrow"/>
                <w:bCs/>
                <w:sz w:val="20"/>
                <w:szCs w:val="20"/>
              </w:rPr>
              <w:fldChar w:fldCharType="end"/>
            </w:r>
            <w:r w:rsidRPr="000B52C6">
              <w:rPr>
                <w:rFonts w:ascii="Arial Narrow" w:hAnsi="Arial Narrow"/>
                <w:bCs/>
                <w:sz w:val="20"/>
                <w:szCs w:val="20"/>
                <w:lang w:val="en-AU"/>
              </w:rPr>
              <w:t xml:space="preserve"> </w:t>
            </w:r>
            <w:r w:rsidRPr="000B52C6">
              <w:rPr>
                <w:rFonts w:ascii="Arial Narrow" w:hAnsi="Arial Narrow" w:cstheme="minorHAnsi"/>
                <w:sz w:val="20"/>
                <w:szCs w:val="20"/>
                <w:lang w:val="en-AU"/>
              </w:rPr>
              <w:t>Authority Required – immediate/real-time assessment by Services Australia (telephone/online)</w:t>
            </w:r>
          </w:p>
        </w:tc>
      </w:tr>
      <w:tr w:rsidR="00214E2F" w:rsidRPr="000B52C6" w14:paraId="385D8E22" w14:textId="77777777" w:rsidTr="00703546">
        <w:trPr>
          <w:trHeight w:val="161"/>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EC251" w14:textId="77777777" w:rsidR="00214E2F" w:rsidRPr="000B52C6" w:rsidRDefault="00214E2F" w:rsidP="00214E2F">
            <w:pPr>
              <w:jc w:val="left"/>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15B04" w14:textId="77777777" w:rsidR="00214E2F" w:rsidRPr="000B52C6" w:rsidRDefault="00214E2F" w:rsidP="00214E2F">
            <w:pPr>
              <w:rPr>
                <w:rFonts w:ascii="Arial Narrow" w:hAnsi="Arial Narrow" w:cstheme="minorHAnsi"/>
                <w:b/>
                <w:i/>
                <w:sz w:val="20"/>
                <w:szCs w:val="20"/>
                <w:lang w:val="en-AU"/>
              </w:rPr>
            </w:pPr>
            <w:proofErr w:type="spellStart"/>
            <w:r w:rsidRPr="000B52C6">
              <w:rPr>
                <w:rFonts w:ascii="Arial Narrow" w:hAnsi="Arial Narrow" w:cstheme="minorHAnsi"/>
                <w:b/>
                <w:i/>
                <w:sz w:val="20"/>
                <w:szCs w:val="20"/>
                <w:lang w:val="en-AU"/>
              </w:rPr>
              <w:t>Episodicity</w:t>
            </w:r>
            <w:proofErr w:type="spellEnd"/>
            <w:r w:rsidRPr="000B52C6">
              <w:rPr>
                <w:rFonts w:ascii="Arial Narrow" w:hAnsi="Arial Narrow" w:cstheme="minorHAnsi"/>
                <w:b/>
                <w:i/>
                <w:sz w:val="20"/>
                <w:szCs w:val="20"/>
                <w:lang w:val="en-AU"/>
              </w:rPr>
              <w:t xml:space="preserve">: </w:t>
            </w:r>
            <w:r w:rsidRPr="000B52C6">
              <w:rPr>
                <w:rFonts w:ascii="Arial Narrow" w:hAnsi="Arial Narrow" w:cstheme="minorHAnsi"/>
                <w:i/>
                <w:sz w:val="20"/>
                <w:szCs w:val="20"/>
                <w:lang w:val="en-AU"/>
              </w:rPr>
              <w:t>Relapsed and/or refractory</w:t>
            </w:r>
          </w:p>
        </w:tc>
      </w:tr>
      <w:tr w:rsidR="00214E2F" w:rsidRPr="000B52C6" w14:paraId="6EB5DF2D" w14:textId="77777777" w:rsidTr="00703546">
        <w:trPr>
          <w:trHeight w:val="161"/>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2747B" w14:textId="77777777" w:rsidR="00214E2F" w:rsidRPr="000B52C6" w:rsidRDefault="00214E2F" w:rsidP="00214E2F">
            <w:pPr>
              <w:jc w:val="left"/>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B937C" w14:textId="77777777" w:rsidR="00214E2F" w:rsidRPr="000B52C6" w:rsidRDefault="00214E2F" w:rsidP="00214E2F">
            <w:pPr>
              <w:rPr>
                <w:rFonts w:ascii="Arial Narrow" w:hAnsi="Arial Narrow" w:cstheme="minorHAnsi"/>
                <w:i/>
                <w:sz w:val="20"/>
                <w:szCs w:val="20"/>
                <w:lang w:val="en-AU"/>
              </w:rPr>
            </w:pPr>
            <w:r w:rsidRPr="000B52C6">
              <w:rPr>
                <w:rFonts w:ascii="Arial Narrow" w:hAnsi="Arial Narrow" w:cstheme="minorHAnsi"/>
                <w:b/>
                <w:i/>
                <w:sz w:val="20"/>
                <w:szCs w:val="20"/>
                <w:lang w:val="en-AU"/>
              </w:rPr>
              <w:t xml:space="preserve">Severity: </w:t>
            </w:r>
            <w:r w:rsidRPr="000B52C6">
              <w:rPr>
                <w:rFonts w:ascii="Arial Narrow" w:hAnsi="Arial Narrow" w:cstheme="minorHAnsi"/>
                <w:i/>
                <w:sz w:val="20"/>
                <w:szCs w:val="20"/>
                <w:lang w:val="en-AU"/>
              </w:rPr>
              <w:t>[blank]</w:t>
            </w:r>
          </w:p>
        </w:tc>
      </w:tr>
      <w:tr w:rsidR="00214E2F" w:rsidRPr="000B52C6" w14:paraId="15E959EC" w14:textId="77777777" w:rsidTr="00703546">
        <w:trPr>
          <w:trHeight w:val="136"/>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3FA719" w14:textId="77777777" w:rsidR="00214E2F" w:rsidRPr="000B52C6" w:rsidRDefault="00214E2F" w:rsidP="00214E2F">
            <w:pPr>
              <w:jc w:val="left"/>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A5DB2"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b/>
                <w:sz w:val="20"/>
                <w:szCs w:val="20"/>
                <w:lang w:val="en-AU"/>
              </w:rPr>
              <w:t xml:space="preserve">Condition: </w:t>
            </w:r>
            <w:r w:rsidRPr="000B52C6">
              <w:rPr>
                <w:rFonts w:ascii="Arial Narrow" w:hAnsi="Arial Narrow" w:cstheme="minorHAnsi"/>
                <w:sz w:val="20"/>
                <w:szCs w:val="20"/>
                <w:lang w:val="en-AU"/>
              </w:rPr>
              <w:t xml:space="preserve">Multiple </w:t>
            </w:r>
            <w:proofErr w:type="spellStart"/>
            <w:r w:rsidRPr="000B52C6">
              <w:rPr>
                <w:rFonts w:ascii="Arial Narrow" w:hAnsi="Arial Narrow" w:cstheme="minorHAnsi"/>
                <w:strike/>
                <w:sz w:val="20"/>
                <w:szCs w:val="20"/>
                <w:lang w:val="en-AU"/>
              </w:rPr>
              <w:t>M</w:t>
            </w:r>
            <w:r w:rsidRPr="000B52C6">
              <w:rPr>
                <w:rFonts w:ascii="Arial Narrow" w:hAnsi="Arial Narrow" w:cstheme="minorHAnsi"/>
                <w:i/>
                <w:sz w:val="20"/>
                <w:szCs w:val="20"/>
                <w:lang w:val="en-AU"/>
              </w:rPr>
              <w:t>m</w:t>
            </w:r>
            <w:r w:rsidRPr="000B52C6">
              <w:rPr>
                <w:rFonts w:ascii="Arial Narrow" w:hAnsi="Arial Narrow" w:cstheme="minorHAnsi"/>
                <w:sz w:val="20"/>
                <w:szCs w:val="20"/>
                <w:lang w:val="en-AU"/>
              </w:rPr>
              <w:t>yeloma</w:t>
            </w:r>
            <w:proofErr w:type="spellEnd"/>
          </w:p>
        </w:tc>
      </w:tr>
      <w:tr w:rsidR="00214E2F" w:rsidRPr="000B52C6" w14:paraId="4427F116" w14:textId="77777777" w:rsidTr="00703546">
        <w:trPr>
          <w:trHeight w:val="225"/>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B67B6" w14:textId="37F73D1D"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674B5"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b/>
                <w:sz w:val="20"/>
                <w:szCs w:val="20"/>
                <w:lang w:val="en-AU"/>
              </w:rPr>
              <w:t xml:space="preserve">PBS Indication: </w:t>
            </w:r>
            <w:r w:rsidRPr="000B52C6">
              <w:rPr>
                <w:rFonts w:ascii="Arial Narrow" w:hAnsi="Arial Narrow" w:cstheme="minorHAnsi"/>
                <w:sz w:val="20"/>
                <w:szCs w:val="20"/>
                <w:lang w:val="en-AU"/>
              </w:rPr>
              <w:t>Relapsed and/or refractory multiple myeloma</w:t>
            </w:r>
          </w:p>
        </w:tc>
      </w:tr>
      <w:tr w:rsidR="00214E2F" w:rsidRPr="000B52C6" w14:paraId="61725E4B" w14:textId="77777777" w:rsidTr="00214E2F">
        <w:trPr>
          <w:trHeight w:val="113"/>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AEB6" w14:textId="77777777" w:rsidR="00214E2F" w:rsidRPr="000B52C6" w:rsidRDefault="00214E2F" w:rsidP="00214E2F">
            <w:pPr>
              <w:spacing w:line="276" w:lineRule="auto"/>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35C8D"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b/>
                <w:sz w:val="20"/>
                <w:szCs w:val="20"/>
                <w:lang w:val="en-AU"/>
              </w:rPr>
              <w:t xml:space="preserve">Treatment phase: </w:t>
            </w:r>
            <w:r w:rsidRPr="000B52C6">
              <w:rPr>
                <w:rFonts w:ascii="Arial Narrow" w:hAnsi="Arial Narrow" w:cstheme="minorHAnsi"/>
                <w:sz w:val="20"/>
                <w:szCs w:val="20"/>
                <w:lang w:val="en-AU"/>
              </w:rPr>
              <w:t>Initial treatment</w:t>
            </w:r>
            <w:r w:rsidRPr="000B52C6">
              <w:rPr>
                <w:rFonts w:ascii="Arial Narrow" w:hAnsi="Arial Narrow" w:cstheme="minorHAnsi"/>
                <w:strike/>
                <w:sz w:val="20"/>
                <w:szCs w:val="20"/>
                <w:lang w:val="en-AU"/>
              </w:rPr>
              <w:t>: Initial treatment following at least one prior line of drug therapy</w:t>
            </w:r>
            <w:r w:rsidRPr="000B52C6">
              <w:rPr>
                <w:rFonts w:ascii="Arial Narrow" w:hAnsi="Arial Narrow" w:cstheme="minorHAnsi"/>
                <w:sz w:val="20"/>
                <w:szCs w:val="20"/>
                <w:lang w:val="en-AU"/>
              </w:rPr>
              <w:t xml:space="preserve"> </w:t>
            </w:r>
          </w:p>
        </w:tc>
      </w:tr>
      <w:tr w:rsidR="00214E2F" w:rsidRPr="000B52C6" w14:paraId="4E3D1730" w14:textId="77777777" w:rsidTr="00214E2F">
        <w:trPr>
          <w:trHeight w:val="209"/>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8519D" w14:textId="77777777" w:rsidR="00214E2F" w:rsidRPr="000B52C6" w:rsidRDefault="00214E2F" w:rsidP="00214E2F">
            <w:pPr>
              <w:spacing w:line="276" w:lineRule="auto"/>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FE33B" w14:textId="77777777" w:rsidR="00214E2F" w:rsidRPr="000B52C6" w:rsidRDefault="00214E2F" w:rsidP="00214E2F">
            <w:pPr>
              <w:spacing w:line="276" w:lineRule="auto"/>
              <w:rPr>
                <w:rFonts w:ascii="Arial Narrow" w:hAnsi="Arial Narrow" w:cstheme="minorHAnsi"/>
                <w:strike/>
                <w:sz w:val="20"/>
                <w:szCs w:val="20"/>
                <w:lang w:val="en-AU"/>
              </w:rPr>
            </w:pPr>
            <w:r w:rsidRPr="000B52C6">
              <w:rPr>
                <w:rFonts w:ascii="Arial Narrow" w:hAnsi="Arial Narrow" w:cstheme="minorHAnsi"/>
                <w:b/>
                <w:strike/>
                <w:sz w:val="20"/>
                <w:szCs w:val="20"/>
                <w:lang w:val="en-AU"/>
              </w:rPr>
              <w:t xml:space="preserve">Treatment criteria: </w:t>
            </w:r>
            <w:r w:rsidRPr="000B52C6">
              <w:rPr>
                <w:rFonts w:ascii="Arial Narrow" w:hAnsi="Arial Narrow" w:cstheme="minorHAnsi"/>
                <w:strike/>
                <w:sz w:val="20"/>
                <w:szCs w:val="20"/>
                <w:lang w:val="en-AU"/>
              </w:rPr>
              <w:t>Initial treatment</w:t>
            </w:r>
          </w:p>
        </w:tc>
      </w:tr>
      <w:tr w:rsidR="00214E2F" w:rsidRPr="000B52C6" w14:paraId="2E9046BD"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F7497" w14:textId="22F05070"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88AC4" w14:textId="77777777" w:rsidR="00214E2F" w:rsidRPr="000B52C6" w:rsidRDefault="00214E2F" w:rsidP="00214E2F">
            <w:pPr>
              <w:rPr>
                <w:rFonts w:ascii="Arial Narrow" w:hAnsi="Arial Narrow" w:cstheme="minorHAnsi"/>
                <w:b/>
                <w:sz w:val="20"/>
                <w:szCs w:val="20"/>
                <w:lang w:val="en-AU"/>
              </w:rPr>
            </w:pPr>
            <w:r w:rsidRPr="000B52C6">
              <w:rPr>
                <w:rFonts w:ascii="Arial Narrow" w:hAnsi="Arial Narrow" w:cstheme="minorHAnsi"/>
                <w:b/>
                <w:sz w:val="20"/>
                <w:szCs w:val="20"/>
                <w:lang w:val="en-AU"/>
              </w:rPr>
              <w:t>Clinical criteria:</w:t>
            </w:r>
          </w:p>
        </w:tc>
      </w:tr>
      <w:tr w:rsidR="00214E2F" w:rsidRPr="000B52C6" w14:paraId="1667B405"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689B6" w14:textId="784A966D"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E0F24" w14:textId="77777777" w:rsidR="00214E2F" w:rsidRPr="000B52C6" w:rsidRDefault="00214E2F" w:rsidP="00214E2F">
            <w:pPr>
              <w:rPr>
                <w:rFonts w:ascii="Arial Narrow" w:hAnsi="Arial Narrow" w:cstheme="minorHAnsi"/>
                <w:b/>
                <w:sz w:val="20"/>
                <w:szCs w:val="20"/>
                <w:lang w:val="en-AU"/>
              </w:rPr>
            </w:pPr>
            <w:r w:rsidRPr="000B52C6">
              <w:rPr>
                <w:rFonts w:ascii="Arial Narrow" w:hAnsi="Arial Narrow" w:cstheme="minorHAnsi"/>
                <w:sz w:val="20"/>
                <w:szCs w:val="20"/>
                <w:lang w:val="en-AU"/>
              </w:rPr>
              <w:t>The condition must be confirmed by a histological diagnosis</w:t>
            </w:r>
          </w:p>
        </w:tc>
      </w:tr>
      <w:tr w:rsidR="00214E2F" w:rsidRPr="000B52C6" w14:paraId="4E3D12DE"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1D26D"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25253"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sz w:val="20"/>
                <w:szCs w:val="20"/>
                <w:lang w:val="en-AU"/>
              </w:rPr>
              <w:t>AND</w:t>
            </w:r>
          </w:p>
        </w:tc>
      </w:tr>
      <w:tr w:rsidR="00214E2F" w:rsidRPr="000B52C6" w14:paraId="45DE5C85"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9AAE3"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D90F2" w14:textId="77777777" w:rsidR="00214E2F" w:rsidRPr="000B52C6" w:rsidRDefault="00214E2F" w:rsidP="00214E2F">
            <w:pPr>
              <w:rPr>
                <w:rFonts w:ascii="Arial Narrow" w:hAnsi="Arial Narrow" w:cstheme="minorHAnsi"/>
                <w:b/>
                <w:sz w:val="20"/>
                <w:szCs w:val="20"/>
                <w:lang w:val="en-AU"/>
              </w:rPr>
            </w:pPr>
            <w:r w:rsidRPr="000B52C6">
              <w:rPr>
                <w:rFonts w:ascii="Arial Narrow" w:hAnsi="Arial Narrow" w:cstheme="minorHAnsi"/>
                <w:b/>
                <w:sz w:val="20"/>
                <w:szCs w:val="20"/>
                <w:lang w:val="en-AU"/>
              </w:rPr>
              <w:t>Clinical criteria:</w:t>
            </w:r>
          </w:p>
        </w:tc>
      </w:tr>
      <w:tr w:rsidR="00214E2F" w:rsidRPr="000B52C6" w14:paraId="04C719D0"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3487"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C138E"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sz w:val="20"/>
                <w:szCs w:val="20"/>
                <w:lang w:val="en-AU"/>
              </w:rPr>
              <w:t>The treatment must be in combination with bortezomib and dexamethasone</w:t>
            </w:r>
          </w:p>
        </w:tc>
      </w:tr>
      <w:tr w:rsidR="00214E2F" w:rsidRPr="000B52C6" w14:paraId="65EBA6A9"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5F157" w14:textId="77777777"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879F5" w14:textId="77777777" w:rsidR="00214E2F" w:rsidRPr="000B52C6" w:rsidRDefault="00214E2F" w:rsidP="00214E2F">
            <w:pPr>
              <w:rPr>
                <w:rFonts w:ascii="Arial Narrow" w:hAnsi="Arial Narrow" w:cstheme="minorHAnsi"/>
                <w:b/>
                <w:sz w:val="20"/>
                <w:szCs w:val="20"/>
                <w:lang w:val="en-AU"/>
              </w:rPr>
            </w:pPr>
            <w:r w:rsidRPr="000B52C6">
              <w:rPr>
                <w:rFonts w:ascii="Arial Narrow" w:hAnsi="Arial Narrow" w:cstheme="minorHAnsi"/>
                <w:b/>
                <w:sz w:val="20"/>
                <w:szCs w:val="20"/>
                <w:lang w:val="en-AU"/>
              </w:rPr>
              <w:t>AND</w:t>
            </w:r>
          </w:p>
        </w:tc>
      </w:tr>
      <w:tr w:rsidR="00214E2F" w:rsidRPr="000B52C6" w14:paraId="69F0D1A1"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58880" w14:textId="6079C736"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24793" w14:textId="77777777" w:rsidR="00214E2F" w:rsidRPr="000B52C6" w:rsidRDefault="00214E2F" w:rsidP="00214E2F">
            <w:pPr>
              <w:rPr>
                <w:rFonts w:ascii="Arial Narrow" w:hAnsi="Arial Narrow" w:cstheme="minorHAnsi"/>
                <w:b/>
                <w:sz w:val="20"/>
                <w:szCs w:val="20"/>
                <w:lang w:val="en-AU"/>
              </w:rPr>
            </w:pPr>
            <w:r w:rsidRPr="000B52C6">
              <w:rPr>
                <w:rFonts w:ascii="Arial Narrow" w:hAnsi="Arial Narrow" w:cstheme="minorHAnsi"/>
                <w:b/>
                <w:sz w:val="20"/>
                <w:szCs w:val="20"/>
                <w:lang w:val="en-AU"/>
              </w:rPr>
              <w:t>Clinical criteria:</w:t>
            </w:r>
          </w:p>
        </w:tc>
      </w:tr>
      <w:tr w:rsidR="00214E2F" w:rsidRPr="000B52C6" w14:paraId="17D831C7"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6F7CF" w14:textId="3ADC46F2"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DB6BC"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sz w:val="20"/>
                <w:szCs w:val="20"/>
                <w:lang w:val="en-AU"/>
              </w:rPr>
              <w:t xml:space="preserve">Patient must have progressive disease after at least one prior therapy </w:t>
            </w:r>
            <w:r w:rsidRPr="000B52C6">
              <w:rPr>
                <w:rFonts w:ascii="Arial Narrow" w:hAnsi="Arial Narrow" w:cstheme="minorHAnsi"/>
                <w:i/>
                <w:sz w:val="20"/>
                <w:szCs w:val="20"/>
                <w:lang w:val="en-AU"/>
              </w:rPr>
              <w:t>for this condition</w:t>
            </w:r>
          </w:p>
        </w:tc>
      </w:tr>
      <w:tr w:rsidR="00214E2F" w:rsidRPr="000B52C6" w14:paraId="6EBB4D2F"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A4CD9"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30B75" w14:textId="77777777" w:rsidR="00214E2F" w:rsidRPr="000B52C6" w:rsidRDefault="00214E2F" w:rsidP="00214E2F">
            <w:pPr>
              <w:rPr>
                <w:rFonts w:ascii="Arial Narrow" w:hAnsi="Arial Narrow" w:cstheme="minorHAnsi"/>
                <w:b/>
                <w:sz w:val="20"/>
                <w:szCs w:val="20"/>
                <w:lang w:val="en-AU"/>
              </w:rPr>
            </w:pPr>
            <w:r w:rsidRPr="000B52C6">
              <w:rPr>
                <w:rFonts w:ascii="Arial Narrow" w:hAnsi="Arial Narrow" w:cstheme="minorHAnsi"/>
                <w:b/>
                <w:sz w:val="20"/>
                <w:szCs w:val="20"/>
                <w:lang w:val="en-AU"/>
              </w:rPr>
              <w:t>AND</w:t>
            </w:r>
          </w:p>
        </w:tc>
      </w:tr>
      <w:tr w:rsidR="00214E2F" w:rsidRPr="000B52C6" w14:paraId="483D7BA5"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D016E" w14:textId="2F9A9412"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CAE75"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b/>
                <w:sz w:val="20"/>
                <w:szCs w:val="20"/>
                <w:lang w:val="en-AU"/>
              </w:rPr>
              <w:t>Clinical criteria</w:t>
            </w:r>
            <w:r w:rsidRPr="000B52C6">
              <w:rPr>
                <w:rFonts w:ascii="Arial Narrow" w:hAnsi="Arial Narrow" w:cstheme="minorHAnsi"/>
                <w:sz w:val="20"/>
                <w:szCs w:val="20"/>
                <w:lang w:val="en-AU"/>
              </w:rPr>
              <w:t>:</w:t>
            </w:r>
          </w:p>
        </w:tc>
      </w:tr>
      <w:tr w:rsidR="00214E2F" w:rsidRPr="000B52C6" w14:paraId="1FC1F7D0"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D4B2B" w14:textId="582F4E6E"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9B5D7" w14:textId="77777777" w:rsidR="00214E2F" w:rsidRPr="000B52C6" w:rsidRDefault="00214E2F" w:rsidP="00214E2F">
            <w:pPr>
              <w:rPr>
                <w:rFonts w:ascii="Arial Narrow" w:hAnsi="Arial Narrow" w:cstheme="minorHAnsi"/>
                <w:i/>
                <w:sz w:val="20"/>
                <w:szCs w:val="20"/>
                <w:lang w:val="en-AU"/>
              </w:rPr>
            </w:pPr>
            <w:r w:rsidRPr="000B52C6">
              <w:rPr>
                <w:rFonts w:ascii="Arial Narrow" w:hAnsi="Arial Narrow" w:cstheme="minorHAnsi"/>
                <w:i/>
                <w:sz w:val="20"/>
                <w:szCs w:val="20"/>
                <w:lang w:val="en-AU"/>
              </w:rPr>
              <w:t>Patient must not have previously received this drug for this condition</w:t>
            </w:r>
          </w:p>
        </w:tc>
      </w:tr>
      <w:tr w:rsidR="00214E2F" w:rsidRPr="000B52C6" w14:paraId="5C29F820"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4CA008"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438F5"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sz w:val="20"/>
                <w:szCs w:val="20"/>
                <w:lang w:val="en-AU"/>
              </w:rPr>
              <w:t>AND</w:t>
            </w:r>
          </w:p>
        </w:tc>
      </w:tr>
      <w:tr w:rsidR="00214E2F" w:rsidRPr="000B52C6" w14:paraId="437475E3"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83829" w14:textId="77777777"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BF7130"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Patient must not be receiving concomitant PBS-subsidised treatment with any of the following: (</w:t>
            </w:r>
            <w:proofErr w:type="spellStart"/>
            <w:r w:rsidRPr="000B52C6">
              <w:rPr>
                <w:rFonts w:ascii="Arial Narrow" w:hAnsi="Arial Narrow"/>
                <w:i/>
                <w:sz w:val="20"/>
                <w:szCs w:val="20"/>
                <w:lang w:val="en-AU"/>
              </w:rPr>
              <w:t>i</w:t>
            </w:r>
            <w:proofErr w:type="spellEnd"/>
            <w:r w:rsidRPr="000B52C6">
              <w:rPr>
                <w:rFonts w:ascii="Arial Narrow" w:hAnsi="Arial Narrow"/>
                <w:i/>
                <w:sz w:val="20"/>
                <w:szCs w:val="20"/>
                <w:lang w:val="en-AU"/>
              </w:rPr>
              <w:t>) proteasome inhibitors, (ii) immunomodulators, (iii</w:t>
            </w:r>
            <w:proofErr w:type="gramStart"/>
            <w:r w:rsidRPr="000B52C6">
              <w:rPr>
                <w:rFonts w:ascii="Arial Narrow" w:hAnsi="Arial Narrow"/>
                <w:i/>
                <w:sz w:val="20"/>
                <w:szCs w:val="20"/>
                <w:lang w:val="en-AU"/>
              </w:rPr>
              <w:t>)  anti</w:t>
            </w:r>
            <w:proofErr w:type="gramEnd"/>
            <w:r w:rsidRPr="000B52C6">
              <w:rPr>
                <w:rFonts w:ascii="Arial Narrow" w:hAnsi="Arial Narrow"/>
                <w:i/>
                <w:sz w:val="20"/>
                <w:szCs w:val="20"/>
                <w:lang w:val="en-AU"/>
              </w:rPr>
              <w:t>-CD38 monoclonal antibody</w:t>
            </w:r>
          </w:p>
          <w:p w14:paraId="4A65EE51"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i/>
                <w:sz w:val="20"/>
                <w:szCs w:val="20"/>
                <w:lang w:val="en-AU"/>
              </w:rPr>
              <w:t xml:space="preserve"> </w:t>
            </w:r>
          </w:p>
        </w:tc>
      </w:tr>
      <w:tr w:rsidR="00214E2F" w:rsidRPr="000B52C6" w14:paraId="0C3C2649"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B64D9"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BB70" w14:textId="77777777" w:rsidR="00214E2F" w:rsidRPr="000B52C6" w:rsidRDefault="00214E2F" w:rsidP="00214E2F">
            <w:pPr>
              <w:rPr>
                <w:rFonts w:ascii="Arial Narrow" w:hAnsi="Arial Narrow" w:cstheme="minorHAnsi"/>
                <w:b/>
                <w:sz w:val="20"/>
                <w:szCs w:val="20"/>
                <w:lang w:val="en-AU"/>
              </w:rPr>
            </w:pPr>
            <w:r w:rsidRPr="000B52C6">
              <w:rPr>
                <w:rFonts w:ascii="Arial Narrow" w:hAnsi="Arial Narrow" w:cstheme="minorHAnsi"/>
                <w:b/>
                <w:strike/>
                <w:sz w:val="20"/>
                <w:szCs w:val="20"/>
                <w:lang w:val="en-AU"/>
              </w:rPr>
              <w:t>Definitions:</w:t>
            </w:r>
            <w:r w:rsidRPr="000B52C6">
              <w:rPr>
                <w:rFonts w:ascii="Arial Narrow" w:hAnsi="Arial Narrow" w:cstheme="minorHAnsi"/>
                <w:b/>
                <w:sz w:val="20"/>
                <w:szCs w:val="20"/>
                <w:lang w:val="en-AU"/>
              </w:rPr>
              <w:t xml:space="preserve"> </w:t>
            </w:r>
            <w:r w:rsidRPr="000B52C6">
              <w:rPr>
                <w:rFonts w:ascii="Arial Narrow" w:hAnsi="Arial Narrow" w:cstheme="minorHAnsi"/>
                <w:b/>
                <w:i/>
                <w:sz w:val="20"/>
                <w:szCs w:val="20"/>
                <w:lang w:val="en-AU"/>
              </w:rPr>
              <w:t>Prescriber instructions:</w:t>
            </w:r>
          </w:p>
          <w:p w14:paraId="45FB9306"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sz w:val="20"/>
                <w:szCs w:val="20"/>
                <w:lang w:val="en-AU"/>
              </w:rPr>
              <w:t>Progressive disease is defined as at least 1 of the following:</w:t>
            </w:r>
          </w:p>
          <w:p w14:paraId="5F443720"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sz w:val="20"/>
                <w:szCs w:val="20"/>
                <w:lang w:val="en-AU"/>
              </w:rPr>
              <w:t>(a) at least a 25% increase and an absolute increase of at least 5 g per L in serum M protein (monoclonal protein); or</w:t>
            </w:r>
          </w:p>
          <w:p w14:paraId="5703C0AF"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sz w:val="20"/>
                <w:szCs w:val="20"/>
                <w:lang w:val="en-AU"/>
              </w:rPr>
              <w:t>(b) at least a 25% increase in 24-hour urinary light chain M protein excretion, and an absolute increase of at least 200 mg per 24 hours; or</w:t>
            </w:r>
          </w:p>
          <w:p w14:paraId="4603CF4B"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sz w:val="20"/>
                <w:szCs w:val="20"/>
                <w:lang w:val="en-AU"/>
              </w:rPr>
              <w:t xml:space="preserve">(c) in oligo-secretory and non-secretory myeloma patients only, at least a 50% increase of the difference between involved free light chain and uninvolved free light </w:t>
            </w:r>
            <w:proofErr w:type="gramStart"/>
            <w:r w:rsidRPr="000B52C6">
              <w:rPr>
                <w:rFonts w:ascii="Arial Narrow" w:hAnsi="Arial Narrow" w:cstheme="minorHAnsi"/>
                <w:sz w:val="20"/>
                <w:szCs w:val="20"/>
                <w:lang w:val="en-AU"/>
              </w:rPr>
              <w:t>chain;</w:t>
            </w:r>
            <w:proofErr w:type="gramEnd"/>
            <w:r w:rsidRPr="000B52C6">
              <w:rPr>
                <w:rFonts w:ascii="Arial Narrow" w:hAnsi="Arial Narrow" w:cstheme="minorHAnsi"/>
                <w:sz w:val="20"/>
                <w:szCs w:val="20"/>
                <w:lang w:val="en-AU"/>
              </w:rPr>
              <w:t xml:space="preserve"> or</w:t>
            </w:r>
          </w:p>
          <w:p w14:paraId="1B34424C"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sz w:val="20"/>
                <w:szCs w:val="20"/>
                <w:lang w:val="en-AU"/>
              </w:rPr>
              <w:t>(d) at least a 25% relative increase and at least a 10% absolute increase in plasma cells in a bone marrow aspirate or on biopsy; or</w:t>
            </w:r>
          </w:p>
          <w:p w14:paraId="3EE00D1D"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sz w:val="20"/>
                <w:szCs w:val="20"/>
                <w:lang w:val="en-AU"/>
              </w:rPr>
              <w:t>(e) an increase in the size or number of lytic bone lesions (not including compression fractures); or</w:t>
            </w:r>
          </w:p>
          <w:p w14:paraId="3463F185"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sz w:val="20"/>
                <w:szCs w:val="20"/>
                <w:lang w:val="en-AU"/>
              </w:rPr>
              <w:t>(f) at least a 25% increase in the size of an existing or the development of a new soft tissue plasmacytoma (determined by clinical examination or diagnostic imaging); or</w:t>
            </w:r>
          </w:p>
          <w:p w14:paraId="793548F0"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sz w:val="20"/>
                <w:szCs w:val="20"/>
                <w:lang w:val="en-AU"/>
              </w:rPr>
              <w:t>(g) development of hypercalcaemia (corrected serum calcium greater than 2.65 mmol per L not attributable to any other cause).</w:t>
            </w:r>
          </w:p>
        </w:tc>
      </w:tr>
      <w:tr w:rsidR="00214E2F" w:rsidRPr="000B52C6" w14:paraId="31AAA13B"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5852C"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F433"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cstheme="minorHAnsi"/>
                <w:b/>
                <w:i/>
                <w:sz w:val="20"/>
                <w:szCs w:val="20"/>
                <w:lang w:val="en-AU"/>
              </w:rPr>
              <w:t>Prescriber instructions:</w:t>
            </w:r>
          </w:p>
          <w:p w14:paraId="38FF3540" w14:textId="77777777" w:rsidR="00214E2F" w:rsidRPr="000B52C6" w:rsidRDefault="00214E2F" w:rsidP="00214E2F">
            <w:pPr>
              <w:rPr>
                <w:rFonts w:ascii="Arial Narrow" w:hAnsi="Arial Narrow" w:cstheme="minorHAnsi"/>
                <w:b/>
                <w:sz w:val="20"/>
                <w:szCs w:val="20"/>
                <w:lang w:val="en-AU"/>
              </w:rPr>
            </w:pPr>
            <w:r w:rsidRPr="000B52C6">
              <w:rPr>
                <w:rFonts w:ascii="Arial Narrow" w:hAnsi="Arial Narrow" w:cstheme="minorHAnsi"/>
                <w:sz w:val="20"/>
                <w:szCs w:val="20"/>
                <w:lang w:val="en-AU"/>
              </w:rPr>
              <w:t>Oligo-secretory and non-secretory patients are defined as having active disease with less than 10 g per L serum M protein.</w:t>
            </w:r>
          </w:p>
        </w:tc>
      </w:tr>
      <w:tr w:rsidR="00214E2F" w:rsidRPr="000B52C6" w14:paraId="7D59AA73"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82B1F"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B4A89"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cstheme="minorHAnsi"/>
                <w:b/>
                <w:i/>
                <w:sz w:val="20"/>
                <w:szCs w:val="20"/>
                <w:lang w:val="en-AU"/>
              </w:rPr>
              <w:t>Administrative Advice:</w:t>
            </w:r>
          </w:p>
          <w:p w14:paraId="2087306E"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bCs/>
                <w:i/>
                <w:sz w:val="20"/>
                <w:szCs w:val="20"/>
                <w:lang w:val="en-AU"/>
              </w:rPr>
              <w:t>Applications for authorisation under this restriction may be made in real time using the Online PBS Authorities system (see www.servicesaustralia.gov.au/HPOS) or by telephone by contacting Services Australia on 1800 888 333.</w:t>
            </w:r>
          </w:p>
        </w:tc>
      </w:tr>
      <w:tr w:rsidR="00214E2F" w:rsidRPr="000B52C6" w14:paraId="5BA1C68A"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CEA58" w14:textId="29E0AE46"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739D0" w14:textId="77777777" w:rsidR="00214E2F" w:rsidRPr="000B52C6" w:rsidRDefault="00214E2F" w:rsidP="00214E2F">
            <w:pPr>
              <w:rPr>
                <w:rFonts w:ascii="Arial Narrow" w:hAnsi="Arial Narrow" w:cstheme="minorHAnsi"/>
                <w:i/>
                <w:sz w:val="20"/>
                <w:szCs w:val="20"/>
                <w:lang w:val="en-AU"/>
              </w:rPr>
            </w:pPr>
            <w:r w:rsidRPr="000B52C6">
              <w:rPr>
                <w:rFonts w:ascii="Arial Narrow" w:hAnsi="Arial Narrow" w:cstheme="minorHAnsi"/>
                <w:b/>
                <w:i/>
                <w:sz w:val="20"/>
                <w:szCs w:val="20"/>
                <w:lang w:val="en-AU"/>
              </w:rPr>
              <w:t xml:space="preserve">Administrative Advice: </w:t>
            </w:r>
            <w:r w:rsidRPr="000B52C6">
              <w:rPr>
                <w:rFonts w:ascii="Arial Narrow" w:hAnsi="Arial Narrow" w:cstheme="minorHAnsi"/>
                <w:i/>
                <w:sz w:val="20"/>
                <w:szCs w:val="20"/>
                <w:lang w:val="en-AU"/>
              </w:rPr>
              <w:t>No increase in the maximum number of repeats may be authorised.</w:t>
            </w:r>
          </w:p>
        </w:tc>
      </w:tr>
      <w:tr w:rsidR="00214E2F" w:rsidRPr="000B52C6" w14:paraId="07261877"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A7E23" w14:textId="2B8A84E1"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5F509" w14:textId="77777777" w:rsidR="00214E2F" w:rsidRPr="000B52C6" w:rsidRDefault="00214E2F" w:rsidP="00214E2F">
            <w:pPr>
              <w:rPr>
                <w:rFonts w:ascii="Arial Narrow" w:hAnsi="Arial Narrow" w:cstheme="minorHAnsi"/>
                <w:i/>
                <w:sz w:val="20"/>
                <w:szCs w:val="20"/>
                <w:lang w:val="en-AU"/>
              </w:rPr>
            </w:pPr>
            <w:r w:rsidRPr="000B52C6">
              <w:rPr>
                <w:rFonts w:ascii="Arial Narrow" w:hAnsi="Arial Narrow" w:cstheme="minorHAnsi"/>
                <w:b/>
                <w:i/>
                <w:sz w:val="20"/>
                <w:szCs w:val="20"/>
                <w:lang w:val="en-AU"/>
              </w:rPr>
              <w:t>Administrative Advice:</w:t>
            </w:r>
            <w:r w:rsidRPr="000B52C6">
              <w:rPr>
                <w:rFonts w:ascii="Arial Narrow" w:hAnsi="Arial Narrow" w:cstheme="minorHAnsi"/>
                <w:i/>
                <w:sz w:val="20"/>
                <w:szCs w:val="20"/>
                <w:lang w:val="en-AU"/>
              </w:rPr>
              <w:t xml:space="preserve"> Special Pricing Arrangements apply</w:t>
            </w:r>
          </w:p>
        </w:tc>
      </w:tr>
      <w:tr w:rsidR="00214E2F" w:rsidRPr="000B52C6" w14:paraId="54B68553"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53790" w14:textId="77777777"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18135" w14:textId="2EE15D36" w:rsidR="00214E2F" w:rsidRPr="000B52C6" w:rsidRDefault="00214E2F" w:rsidP="00483B4B">
            <w:pPr>
              <w:rPr>
                <w:rFonts w:ascii="Arial Narrow" w:hAnsi="Arial Narrow" w:cstheme="minorHAnsi"/>
                <w:b/>
                <w:i/>
                <w:sz w:val="20"/>
                <w:szCs w:val="20"/>
                <w:lang w:val="en-AU"/>
              </w:rPr>
            </w:pPr>
            <w:r w:rsidRPr="000B52C6">
              <w:rPr>
                <w:rFonts w:ascii="Arial Narrow" w:hAnsi="Arial Narrow" w:cstheme="minorHAnsi"/>
                <w:b/>
                <w:i/>
                <w:sz w:val="20"/>
                <w:szCs w:val="20"/>
                <w:lang w:val="en-AU"/>
              </w:rPr>
              <w:t xml:space="preserve">Caution: </w:t>
            </w:r>
            <w:r w:rsidRPr="000B52C6">
              <w:rPr>
                <w:rFonts w:ascii="Arial Narrow" w:hAnsi="Arial Narrow" w:cstheme="minorHAnsi"/>
                <w:i/>
                <w:sz w:val="20"/>
                <w:szCs w:val="20"/>
                <w:lang w:val="en-AU"/>
              </w:rPr>
              <w:t xml:space="preserve">This drug is a category </w:t>
            </w:r>
            <w:r w:rsidR="00483B4B" w:rsidRPr="000B52C6">
              <w:rPr>
                <w:rFonts w:ascii="Arial Narrow" w:hAnsi="Arial Narrow" w:cstheme="minorHAnsi"/>
                <w:i/>
                <w:sz w:val="20"/>
                <w:szCs w:val="20"/>
                <w:lang w:val="en-AU"/>
              </w:rPr>
              <w:t>D</w:t>
            </w:r>
            <w:r w:rsidRPr="000B52C6">
              <w:rPr>
                <w:rFonts w:ascii="Arial Narrow" w:hAnsi="Arial Narrow" w:cstheme="minorHAnsi"/>
                <w:i/>
                <w:sz w:val="20"/>
                <w:szCs w:val="20"/>
                <w:lang w:val="en-AU"/>
              </w:rPr>
              <w:t xml:space="preserve"> drug and must not be given to pregnant women. If </w:t>
            </w:r>
            <w:proofErr w:type="spellStart"/>
            <w:r w:rsidRPr="000B52C6">
              <w:rPr>
                <w:rFonts w:ascii="Arial Narrow" w:hAnsi="Arial Narrow" w:cstheme="minorHAnsi"/>
                <w:i/>
                <w:sz w:val="20"/>
                <w:szCs w:val="20"/>
                <w:lang w:val="en-AU"/>
              </w:rPr>
              <w:t>selinexor</w:t>
            </w:r>
            <w:proofErr w:type="spellEnd"/>
            <w:r w:rsidRPr="000B52C6">
              <w:rPr>
                <w:rFonts w:ascii="Arial Narrow" w:hAnsi="Arial Narrow" w:cstheme="minorHAnsi"/>
                <w:i/>
                <w:sz w:val="20"/>
                <w:szCs w:val="20"/>
                <w:lang w:val="en-AU"/>
              </w:rPr>
              <w:t xml:space="preserve"> is taken during pregnancy, a teratogenic effect of </w:t>
            </w:r>
            <w:proofErr w:type="spellStart"/>
            <w:r w:rsidRPr="000B52C6">
              <w:rPr>
                <w:rFonts w:ascii="Arial Narrow" w:hAnsi="Arial Narrow" w:cstheme="minorHAnsi"/>
                <w:i/>
                <w:sz w:val="20"/>
                <w:szCs w:val="20"/>
                <w:lang w:val="en-AU"/>
              </w:rPr>
              <w:t>selinexor</w:t>
            </w:r>
            <w:proofErr w:type="spellEnd"/>
            <w:r w:rsidRPr="000B52C6">
              <w:rPr>
                <w:rFonts w:ascii="Arial Narrow" w:hAnsi="Arial Narrow" w:cstheme="minorHAnsi"/>
                <w:i/>
                <w:sz w:val="20"/>
                <w:szCs w:val="20"/>
                <w:lang w:val="en-AU"/>
              </w:rPr>
              <w:t xml:space="preserve"> in humans cannot be ruled out.</w:t>
            </w:r>
          </w:p>
        </w:tc>
      </w:tr>
    </w:tbl>
    <w:p w14:paraId="7925AE65" w14:textId="77777777" w:rsidR="00214E2F" w:rsidRPr="000B52C6" w:rsidRDefault="00214E2F" w:rsidP="00214E2F">
      <w:pPr>
        <w:spacing w:after="240"/>
        <w:contextualSpacing/>
        <w:rPr>
          <w:rFonts w:ascii="Arial Narrow" w:hAnsi="Arial Narrow"/>
          <w:sz w:val="20"/>
          <w:szCs w:val="20"/>
        </w:rPr>
      </w:pPr>
    </w:p>
    <w:p w14:paraId="35A05273" w14:textId="77777777" w:rsidR="00214E2F" w:rsidRPr="000B52C6" w:rsidRDefault="00214E2F" w:rsidP="00214E2F">
      <w:pPr>
        <w:spacing w:after="240"/>
        <w:contextualSpacing/>
        <w:rPr>
          <w:rFonts w:ascii="Arial Narrow" w:hAnsi="Arial Narrow"/>
          <w:sz w:val="20"/>
          <w:szCs w:val="20"/>
        </w:rPr>
      </w:pPr>
    </w:p>
    <w:tbl>
      <w:tblPr>
        <w:tblStyle w:val="TableGrid1"/>
        <w:tblW w:w="0" w:type="dxa"/>
        <w:tblLayout w:type="fixed"/>
        <w:tblLook w:val="04A0" w:firstRow="1" w:lastRow="0" w:firstColumn="1" w:lastColumn="0" w:noHBand="0" w:noVBand="1"/>
      </w:tblPr>
      <w:tblGrid>
        <w:gridCol w:w="1271"/>
        <w:gridCol w:w="7796"/>
      </w:tblGrid>
      <w:tr w:rsidR="00214E2F" w:rsidRPr="000B52C6" w14:paraId="0902CA94" w14:textId="77777777" w:rsidTr="00214E2F">
        <w:trPr>
          <w:trHeight w:val="72"/>
        </w:trPr>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45886" w14:textId="7C187038"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4FB20" w14:textId="77777777" w:rsidR="00214E2F" w:rsidRPr="000B52C6" w:rsidRDefault="00214E2F" w:rsidP="00214E2F">
            <w:pPr>
              <w:rPr>
                <w:rFonts w:ascii="Arial Narrow" w:hAnsi="Arial Narrow"/>
                <w:sz w:val="20"/>
                <w:szCs w:val="20"/>
                <w:lang w:val="en-AU"/>
              </w:rPr>
            </w:pPr>
            <w:r w:rsidRPr="000B52C6">
              <w:rPr>
                <w:rFonts w:ascii="Arial Narrow" w:hAnsi="Arial Narrow"/>
                <w:b/>
                <w:sz w:val="20"/>
                <w:szCs w:val="20"/>
                <w:lang w:val="en-AU"/>
              </w:rPr>
              <w:t xml:space="preserve">Category/Program: </w:t>
            </w:r>
            <w:r w:rsidRPr="000B52C6">
              <w:rPr>
                <w:rFonts w:ascii="Arial Narrow" w:hAnsi="Arial Narrow"/>
                <w:sz w:val="20"/>
                <w:szCs w:val="20"/>
                <w:lang w:val="en-AU"/>
              </w:rPr>
              <w:t>Section 100 (Highly Specialised Drugs Program)</w:t>
            </w:r>
          </w:p>
        </w:tc>
      </w:tr>
      <w:tr w:rsidR="00214E2F" w:rsidRPr="000B52C6" w14:paraId="37F3FF29" w14:textId="77777777" w:rsidTr="00703546">
        <w:trPr>
          <w:trHeight w:val="72"/>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223BF9" w14:textId="77777777" w:rsidR="00214E2F" w:rsidRPr="000B52C6" w:rsidRDefault="00214E2F" w:rsidP="00214E2F">
            <w:pPr>
              <w:jc w:val="left"/>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39FBD" w14:textId="77777777" w:rsidR="00214E2F" w:rsidRPr="000B52C6" w:rsidRDefault="00214E2F" w:rsidP="00214E2F">
            <w:pPr>
              <w:rPr>
                <w:rFonts w:ascii="Arial Narrow" w:hAnsi="Arial Narrow"/>
                <w:b/>
                <w:sz w:val="20"/>
                <w:szCs w:val="20"/>
                <w:lang w:val="en-AU"/>
              </w:rPr>
            </w:pPr>
            <w:r w:rsidRPr="000B52C6">
              <w:rPr>
                <w:rFonts w:ascii="Arial Narrow" w:hAnsi="Arial Narrow" w:cstheme="minorHAnsi"/>
                <w:b/>
                <w:i/>
                <w:sz w:val="20"/>
                <w:szCs w:val="20"/>
                <w:lang w:val="en-AU"/>
              </w:rPr>
              <w:t xml:space="preserve">Prescriber type: </w:t>
            </w:r>
            <w:r w:rsidRPr="000B52C6">
              <w:rPr>
                <w:rFonts w:ascii="Arial Narrow" w:hAnsi="Arial Narrow"/>
                <w:i/>
                <w:sz w:val="20"/>
                <w:szCs w:val="20"/>
              </w:rPr>
              <w:fldChar w:fldCharType="begin">
                <w:ffData>
                  <w:name w:val=""/>
                  <w:enabled/>
                  <w:calcOnExit w:val="0"/>
                  <w:checkBox>
                    <w:sizeAuto/>
                    <w:default w:val="1"/>
                  </w:checkBox>
                </w:ffData>
              </w:fldChar>
            </w:r>
            <w:r w:rsidRPr="000B52C6">
              <w:rPr>
                <w:rFonts w:ascii="Arial Narrow" w:hAnsi="Arial Narrow"/>
                <w:i/>
                <w:sz w:val="20"/>
                <w:szCs w:val="20"/>
                <w:lang w:val="en-AU"/>
              </w:rPr>
              <w:instrText xml:space="preserve"> FORMCHECKBOX </w:instrText>
            </w:r>
            <w:r w:rsidR="00FF5725">
              <w:rPr>
                <w:rFonts w:ascii="Arial Narrow" w:hAnsi="Arial Narrow"/>
                <w:i/>
                <w:sz w:val="20"/>
                <w:szCs w:val="20"/>
              </w:rPr>
            </w:r>
            <w:r w:rsidR="00FF5725">
              <w:rPr>
                <w:rFonts w:ascii="Arial Narrow" w:hAnsi="Arial Narrow"/>
                <w:i/>
                <w:sz w:val="20"/>
                <w:szCs w:val="20"/>
              </w:rPr>
              <w:fldChar w:fldCharType="separate"/>
            </w:r>
            <w:r w:rsidRPr="000B52C6">
              <w:rPr>
                <w:rFonts w:ascii="Arial Narrow" w:hAnsi="Arial Narrow"/>
                <w:i/>
                <w:sz w:val="20"/>
                <w:szCs w:val="20"/>
              </w:rPr>
              <w:fldChar w:fldCharType="end"/>
            </w:r>
            <w:r w:rsidRPr="000B52C6">
              <w:rPr>
                <w:rFonts w:ascii="Arial Narrow" w:hAnsi="Arial Narrow"/>
                <w:i/>
                <w:sz w:val="20"/>
                <w:szCs w:val="20"/>
                <w:lang w:val="en-AU"/>
              </w:rPr>
              <w:t xml:space="preserve"> Medical Practitioners</w:t>
            </w:r>
          </w:p>
        </w:tc>
      </w:tr>
      <w:tr w:rsidR="00214E2F" w:rsidRPr="000B52C6" w14:paraId="0D272A52" w14:textId="77777777" w:rsidTr="00703546">
        <w:trPr>
          <w:trHeight w:val="160"/>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909825" w14:textId="77777777" w:rsidR="00214E2F" w:rsidRPr="000B52C6" w:rsidRDefault="00214E2F" w:rsidP="00214E2F">
            <w:pPr>
              <w:jc w:val="left"/>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98B87" w14:textId="77777777" w:rsidR="00214E2F" w:rsidRPr="000B52C6" w:rsidRDefault="00214E2F" w:rsidP="00214E2F">
            <w:pPr>
              <w:rPr>
                <w:rFonts w:ascii="Arial Narrow" w:hAnsi="Arial Narrow" w:cstheme="minorHAnsi"/>
                <w:b/>
                <w:sz w:val="20"/>
                <w:szCs w:val="20"/>
                <w:lang w:val="en-AU"/>
              </w:rPr>
            </w:pPr>
            <w:r w:rsidRPr="000B52C6">
              <w:rPr>
                <w:rFonts w:ascii="Arial Narrow" w:hAnsi="Arial Narrow" w:cstheme="minorHAnsi"/>
                <w:b/>
                <w:sz w:val="20"/>
                <w:szCs w:val="20"/>
                <w:lang w:val="en-AU"/>
              </w:rPr>
              <w:t>Restriction type:</w:t>
            </w:r>
          </w:p>
          <w:p w14:paraId="18DA637B" w14:textId="77777777" w:rsidR="00214E2F" w:rsidRPr="000B52C6" w:rsidRDefault="00214E2F" w:rsidP="00214E2F">
            <w:pPr>
              <w:rPr>
                <w:rFonts w:ascii="Arial Narrow" w:hAnsi="Arial Narrow"/>
                <w:sz w:val="20"/>
                <w:szCs w:val="20"/>
                <w:lang w:val="en-AU"/>
              </w:rPr>
            </w:pPr>
            <w:r w:rsidRPr="000B52C6">
              <w:rPr>
                <w:rFonts w:ascii="Arial Narrow" w:hAnsi="Arial Narrow"/>
                <w:bCs/>
                <w:sz w:val="20"/>
                <w:szCs w:val="20"/>
              </w:rPr>
              <w:fldChar w:fldCharType="begin">
                <w:ffData>
                  <w:name w:val="Check3"/>
                  <w:enabled/>
                  <w:calcOnExit w:val="0"/>
                  <w:checkBox>
                    <w:sizeAuto/>
                    <w:default w:val="1"/>
                  </w:checkBox>
                </w:ffData>
              </w:fldChar>
            </w:r>
            <w:r w:rsidRPr="000B52C6">
              <w:rPr>
                <w:rFonts w:ascii="Arial Narrow" w:hAnsi="Arial Narrow"/>
                <w:bCs/>
                <w:sz w:val="20"/>
                <w:szCs w:val="20"/>
                <w:lang w:val="en-AU"/>
              </w:rPr>
              <w:instrText xml:space="preserve"> FORMCHECKBOX </w:instrText>
            </w:r>
            <w:r w:rsidR="00FF5725">
              <w:rPr>
                <w:rFonts w:ascii="Arial Narrow" w:hAnsi="Arial Narrow"/>
                <w:bCs/>
                <w:sz w:val="20"/>
                <w:szCs w:val="20"/>
              </w:rPr>
            </w:r>
            <w:r w:rsidR="00FF5725">
              <w:rPr>
                <w:rFonts w:ascii="Arial Narrow" w:hAnsi="Arial Narrow"/>
                <w:bCs/>
                <w:sz w:val="20"/>
                <w:szCs w:val="20"/>
              </w:rPr>
              <w:fldChar w:fldCharType="separate"/>
            </w:r>
            <w:r w:rsidRPr="000B52C6">
              <w:rPr>
                <w:rFonts w:ascii="Arial Narrow" w:hAnsi="Arial Narrow"/>
                <w:bCs/>
                <w:sz w:val="20"/>
                <w:szCs w:val="20"/>
              </w:rPr>
              <w:fldChar w:fldCharType="end"/>
            </w:r>
            <w:r w:rsidRPr="000B52C6">
              <w:rPr>
                <w:rFonts w:ascii="Arial Narrow" w:hAnsi="Arial Narrow"/>
                <w:bCs/>
                <w:sz w:val="20"/>
                <w:szCs w:val="20"/>
                <w:lang w:val="en-AU"/>
              </w:rPr>
              <w:t xml:space="preserve"> </w:t>
            </w:r>
            <w:r w:rsidRPr="000B52C6">
              <w:rPr>
                <w:rFonts w:ascii="Arial Narrow" w:hAnsi="Arial Narrow" w:cstheme="minorHAnsi"/>
                <w:sz w:val="20"/>
                <w:szCs w:val="20"/>
                <w:lang w:val="en-AU"/>
              </w:rPr>
              <w:t>Authority Required – immediate/real-time assessment by Services Australia (telephone/online)</w:t>
            </w:r>
          </w:p>
        </w:tc>
      </w:tr>
      <w:tr w:rsidR="00214E2F" w:rsidRPr="000B52C6" w14:paraId="3FA77FD6" w14:textId="77777777" w:rsidTr="00703546">
        <w:trPr>
          <w:trHeight w:val="160"/>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8F4DF4" w14:textId="77777777" w:rsidR="00214E2F" w:rsidRPr="000B52C6" w:rsidRDefault="00214E2F" w:rsidP="00214E2F">
            <w:pPr>
              <w:jc w:val="left"/>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E4C07" w14:textId="77777777" w:rsidR="00214E2F" w:rsidRPr="000B52C6" w:rsidRDefault="00214E2F" w:rsidP="00214E2F">
            <w:pPr>
              <w:rPr>
                <w:rFonts w:ascii="Arial Narrow" w:hAnsi="Arial Narrow"/>
                <w:b/>
                <w:i/>
                <w:sz w:val="20"/>
                <w:szCs w:val="20"/>
                <w:lang w:val="en-AU"/>
              </w:rPr>
            </w:pPr>
            <w:proofErr w:type="spellStart"/>
            <w:r w:rsidRPr="000B52C6">
              <w:rPr>
                <w:rFonts w:ascii="Arial Narrow" w:hAnsi="Arial Narrow"/>
                <w:b/>
                <w:i/>
                <w:sz w:val="20"/>
                <w:szCs w:val="20"/>
                <w:lang w:val="en-AU"/>
              </w:rPr>
              <w:t>Episodicity</w:t>
            </w:r>
            <w:proofErr w:type="spellEnd"/>
            <w:r w:rsidRPr="000B52C6">
              <w:rPr>
                <w:rFonts w:ascii="Arial Narrow" w:hAnsi="Arial Narrow"/>
                <w:b/>
                <w:i/>
                <w:sz w:val="20"/>
                <w:szCs w:val="20"/>
                <w:lang w:val="en-AU"/>
              </w:rPr>
              <w:t xml:space="preserve">: </w:t>
            </w:r>
            <w:r w:rsidRPr="000B52C6">
              <w:rPr>
                <w:rFonts w:ascii="Arial Narrow" w:hAnsi="Arial Narrow"/>
                <w:i/>
                <w:sz w:val="20"/>
                <w:szCs w:val="20"/>
                <w:lang w:val="en-AU"/>
              </w:rPr>
              <w:t>Relapsed and/or refractory</w:t>
            </w:r>
          </w:p>
        </w:tc>
      </w:tr>
      <w:tr w:rsidR="00214E2F" w:rsidRPr="000B52C6" w14:paraId="10F2B0A0" w14:textId="77777777" w:rsidTr="00703546">
        <w:trPr>
          <w:trHeight w:val="160"/>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DFFFAC" w14:textId="77777777" w:rsidR="00214E2F" w:rsidRPr="000B52C6" w:rsidRDefault="00214E2F" w:rsidP="00214E2F">
            <w:pPr>
              <w:jc w:val="left"/>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0358A" w14:textId="77777777" w:rsidR="00214E2F" w:rsidRPr="000B52C6" w:rsidRDefault="00214E2F" w:rsidP="00214E2F">
            <w:pPr>
              <w:rPr>
                <w:rFonts w:ascii="Arial Narrow" w:hAnsi="Arial Narrow" w:cstheme="minorHAnsi"/>
                <w:i/>
                <w:sz w:val="20"/>
                <w:szCs w:val="20"/>
                <w:lang w:val="en-AU"/>
              </w:rPr>
            </w:pPr>
            <w:r w:rsidRPr="000B52C6">
              <w:rPr>
                <w:rFonts w:ascii="Arial Narrow" w:hAnsi="Arial Narrow" w:cstheme="minorHAnsi"/>
                <w:b/>
                <w:i/>
                <w:sz w:val="20"/>
                <w:szCs w:val="20"/>
                <w:lang w:val="en-AU"/>
              </w:rPr>
              <w:t xml:space="preserve">Severity: </w:t>
            </w:r>
            <w:r w:rsidRPr="000B52C6">
              <w:rPr>
                <w:rFonts w:ascii="Arial Narrow" w:hAnsi="Arial Narrow" w:cstheme="minorHAnsi"/>
                <w:i/>
                <w:sz w:val="20"/>
                <w:szCs w:val="20"/>
                <w:lang w:val="en-AU"/>
              </w:rPr>
              <w:t>[blank]</w:t>
            </w:r>
          </w:p>
        </w:tc>
      </w:tr>
      <w:tr w:rsidR="00214E2F" w:rsidRPr="000B52C6" w14:paraId="7946DE90" w14:textId="77777777" w:rsidTr="00703546">
        <w:trPr>
          <w:trHeight w:val="136"/>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E9429" w14:textId="77777777" w:rsidR="00214E2F" w:rsidRPr="000B52C6" w:rsidRDefault="00214E2F" w:rsidP="00214E2F">
            <w:pPr>
              <w:jc w:val="left"/>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6BEEA" w14:textId="77777777" w:rsidR="00214E2F" w:rsidRPr="000B52C6" w:rsidRDefault="00214E2F" w:rsidP="00214E2F">
            <w:pPr>
              <w:rPr>
                <w:rFonts w:ascii="Arial Narrow" w:hAnsi="Arial Narrow"/>
                <w:sz w:val="20"/>
                <w:szCs w:val="20"/>
                <w:lang w:val="en-AU"/>
              </w:rPr>
            </w:pPr>
            <w:r w:rsidRPr="000B52C6">
              <w:rPr>
                <w:rFonts w:ascii="Arial Narrow" w:hAnsi="Arial Narrow"/>
                <w:b/>
                <w:sz w:val="20"/>
                <w:szCs w:val="20"/>
                <w:lang w:val="en-AU"/>
              </w:rPr>
              <w:t xml:space="preserve">Condition: </w:t>
            </w:r>
            <w:r w:rsidRPr="000B52C6">
              <w:rPr>
                <w:rFonts w:ascii="Arial Narrow" w:hAnsi="Arial Narrow"/>
                <w:sz w:val="20"/>
                <w:szCs w:val="20"/>
                <w:lang w:val="en-AU"/>
              </w:rPr>
              <w:t xml:space="preserve">Multiple </w:t>
            </w:r>
            <w:proofErr w:type="spellStart"/>
            <w:r w:rsidRPr="000B52C6">
              <w:rPr>
                <w:rFonts w:ascii="Arial Narrow" w:hAnsi="Arial Narrow"/>
                <w:i/>
                <w:strike/>
                <w:sz w:val="20"/>
                <w:szCs w:val="20"/>
                <w:lang w:val="en-AU"/>
              </w:rPr>
              <w:t>M</w:t>
            </w:r>
            <w:r w:rsidRPr="000B52C6">
              <w:rPr>
                <w:rFonts w:ascii="Arial Narrow" w:hAnsi="Arial Narrow"/>
                <w:i/>
                <w:sz w:val="20"/>
                <w:szCs w:val="20"/>
                <w:lang w:val="en-AU"/>
              </w:rPr>
              <w:t>m</w:t>
            </w:r>
            <w:r w:rsidRPr="000B52C6">
              <w:rPr>
                <w:rFonts w:ascii="Arial Narrow" w:hAnsi="Arial Narrow"/>
                <w:sz w:val="20"/>
                <w:szCs w:val="20"/>
                <w:lang w:val="en-AU"/>
              </w:rPr>
              <w:t>yeloma</w:t>
            </w:r>
            <w:proofErr w:type="spellEnd"/>
          </w:p>
        </w:tc>
      </w:tr>
      <w:tr w:rsidR="00214E2F" w:rsidRPr="000B52C6" w14:paraId="2ADDC61B" w14:textId="77777777" w:rsidTr="00703546">
        <w:trPr>
          <w:trHeight w:val="105"/>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52610" w14:textId="5096154B"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1EF15" w14:textId="77777777" w:rsidR="00214E2F" w:rsidRPr="000B52C6" w:rsidRDefault="00214E2F" w:rsidP="00214E2F">
            <w:pPr>
              <w:rPr>
                <w:rFonts w:ascii="Arial Narrow" w:hAnsi="Arial Narrow"/>
                <w:sz w:val="20"/>
                <w:szCs w:val="20"/>
                <w:lang w:val="en-AU"/>
              </w:rPr>
            </w:pPr>
            <w:r w:rsidRPr="000B52C6">
              <w:rPr>
                <w:rFonts w:ascii="Arial Narrow" w:hAnsi="Arial Narrow"/>
                <w:b/>
                <w:sz w:val="20"/>
                <w:szCs w:val="20"/>
                <w:lang w:val="en-AU"/>
              </w:rPr>
              <w:t xml:space="preserve">PBS Indication: </w:t>
            </w:r>
            <w:r w:rsidRPr="000B52C6">
              <w:rPr>
                <w:rFonts w:ascii="Arial Narrow" w:hAnsi="Arial Narrow"/>
                <w:sz w:val="20"/>
                <w:szCs w:val="20"/>
                <w:lang w:val="en-AU"/>
              </w:rPr>
              <w:t>Relapsed and/or refractory multiple myeloma</w:t>
            </w:r>
          </w:p>
        </w:tc>
      </w:tr>
      <w:tr w:rsidR="00214E2F" w:rsidRPr="000B52C6" w14:paraId="71A8667C" w14:textId="77777777" w:rsidTr="00214E2F">
        <w:trPr>
          <w:trHeight w:val="142"/>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5CC9B" w14:textId="77777777" w:rsidR="00214E2F" w:rsidRPr="000B52C6" w:rsidRDefault="00214E2F" w:rsidP="00214E2F">
            <w:pPr>
              <w:spacing w:line="276" w:lineRule="auto"/>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72523" w14:textId="77777777" w:rsidR="00214E2F" w:rsidRPr="000B52C6" w:rsidRDefault="00214E2F" w:rsidP="00214E2F">
            <w:pPr>
              <w:rPr>
                <w:rFonts w:ascii="Arial Narrow" w:hAnsi="Arial Narrow"/>
                <w:sz w:val="20"/>
                <w:szCs w:val="20"/>
                <w:lang w:val="en-AU"/>
              </w:rPr>
            </w:pPr>
            <w:r w:rsidRPr="000B52C6">
              <w:rPr>
                <w:rFonts w:ascii="Arial Narrow" w:hAnsi="Arial Narrow"/>
                <w:b/>
                <w:sz w:val="20"/>
                <w:szCs w:val="20"/>
                <w:lang w:val="en-AU"/>
              </w:rPr>
              <w:t xml:space="preserve">Treatment phase: </w:t>
            </w:r>
            <w:r w:rsidRPr="000B52C6">
              <w:rPr>
                <w:rFonts w:ascii="Arial Narrow" w:hAnsi="Arial Narrow"/>
                <w:sz w:val="20"/>
                <w:szCs w:val="20"/>
                <w:lang w:val="en-AU"/>
              </w:rPr>
              <w:t>Continuing treatment</w:t>
            </w:r>
          </w:p>
        </w:tc>
      </w:tr>
      <w:tr w:rsidR="00214E2F" w:rsidRPr="000B52C6" w14:paraId="3A7BFC39" w14:textId="77777777" w:rsidTr="00214E2F">
        <w:trPr>
          <w:trHeight w:val="17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09AC8" w14:textId="77777777" w:rsidR="00214E2F" w:rsidRPr="000B52C6" w:rsidRDefault="00214E2F" w:rsidP="00214E2F">
            <w:pPr>
              <w:spacing w:line="276" w:lineRule="auto"/>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ECEAF" w14:textId="77777777" w:rsidR="00214E2F" w:rsidRPr="000B52C6" w:rsidRDefault="00214E2F" w:rsidP="00214E2F">
            <w:pPr>
              <w:rPr>
                <w:rFonts w:ascii="Arial Narrow" w:hAnsi="Arial Narrow"/>
                <w:strike/>
                <w:sz w:val="20"/>
                <w:szCs w:val="20"/>
                <w:lang w:val="en-AU"/>
              </w:rPr>
            </w:pPr>
            <w:r w:rsidRPr="000B52C6">
              <w:rPr>
                <w:rFonts w:ascii="Arial Narrow" w:hAnsi="Arial Narrow"/>
                <w:b/>
                <w:strike/>
                <w:sz w:val="20"/>
                <w:szCs w:val="20"/>
                <w:lang w:val="en-AU"/>
              </w:rPr>
              <w:t xml:space="preserve">Treatment criteria: </w:t>
            </w:r>
            <w:r w:rsidRPr="000B52C6">
              <w:rPr>
                <w:rFonts w:ascii="Arial Narrow" w:hAnsi="Arial Narrow"/>
                <w:strike/>
                <w:sz w:val="20"/>
                <w:szCs w:val="20"/>
                <w:lang w:val="en-AU"/>
              </w:rPr>
              <w:t>Continuing treatment</w:t>
            </w:r>
          </w:p>
        </w:tc>
      </w:tr>
      <w:tr w:rsidR="00214E2F" w:rsidRPr="000B52C6" w14:paraId="5F243D90" w14:textId="77777777" w:rsidTr="00703546">
        <w:trPr>
          <w:trHeight w:val="17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7D8B8" w14:textId="28BBCF51"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1E5A9" w14:textId="77777777" w:rsidR="00214E2F" w:rsidRPr="000B52C6" w:rsidRDefault="00214E2F" w:rsidP="00214E2F">
            <w:pPr>
              <w:spacing w:line="276" w:lineRule="auto"/>
              <w:rPr>
                <w:rFonts w:ascii="Arial Narrow" w:hAnsi="Arial Narrow"/>
                <w:b/>
                <w:sz w:val="20"/>
                <w:szCs w:val="20"/>
                <w:lang w:val="en-AU"/>
              </w:rPr>
            </w:pPr>
            <w:r w:rsidRPr="000B52C6">
              <w:rPr>
                <w:rFonts w:ascii="Arial Narrow" w:hAnsi="Arial Narrow"/>
                <w:b/>
                <w:sz w:val="20"/>
                <w:szCs w:val="20"/>
                <w:lang w:val="en-AU"/>
              </w:rPr>
              <w:t>Clinical criteria:</w:t>
            </w:r>
          </w:p>
        </w:tc>
      </w:tr>
      <w:tr w:rsidR="00214E2F" w:rsidRPr="000B52C6" w14:paraId="78FD5A5D" w14:textId="77777777" w:rsidTr="00703546">
        <w:trPr>
          <w:trHeight w:val="17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AADDC" w14:textId="480D0D93"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C7DA8" w14:textId="77777777" w:rsidR="00214E2F" w:rsidRPr="000B52C6" w:rsidRDefault="00214E2F" w:rsidP="00214E2F">
            <w:pPr>
              <w:rPr>
                <w:rFonts w:ascii="Arial Narrow" w:hAnsi="Arial Narrow"/>
                <w:sz w:val="20"/>
                <w:szCs w:val="20"/>
                <w:lang w:val="en-AU"/>
              </w:rPr>
            </w:pPr>
            <w:r w:rsidRPr="000B52C6">
              <w:rPr>
                <w:rFonts w:ascii="Arial Narrow" w:hAnsi="Arial Narrow"/>
                <w:sz w:val="20"/>
                <w:szCs w:val="20"/>
                <w:lang w:val="en-AU"/>
              </w:rPr>
              <w:t xml:space="preserve">Patient must have previously received PBS-subsidised treatment with </w:t>
            </w:r>
            <w:r w:rsidRPr="000B52C6">
              <w:rPr>
                <w:rFonts w:ascii="Arial Narrow" w:hAnsi="Arial Narrow"/>
                <w:strike/>
                <w:sz w:val="20"/>
                <w:szCs w:val="20"/>
                <w:lang w:val="en-AU"/>
              </w:rPr>
              <w:t>an authority prescription for</w:t>
            </w:r>
            <w:r w:rsidRPr="000B52C6">
              <w:rPr>
                <w:rFonts w:ascii="Arial Narrow" w:hAnsi="Arial Narrow"/>
                <w:sz w:val="20"/>
                <w:szCs w:val="20"/>
                <w:lang w:val="en-AU"/>
              </w:rPr>
              <w:t xml:space="preserve"> this drug for this condition </w:t>
            </w:r>
          </w:p>
        </w:tc>
      </w:tr>
      <w:tr w:rsidR="00214E2F" w:rsidRPr="000B52C6" w14:paraId="28C898A2" w14:textId="77777777" w:rsidTr="00214E2F">
        <w:trPr>
          <w:trHeight w:val="17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094CD" w14:textId="77777777"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94F6C" w14:textId="77777777" w:rsidR="00214E2F" w:rsidRPr="000B52C6" w:rsidRDefault="00214E2F" w:rsidP="00214E2F">
            <w:pPr>
              <w:rPr>
                <w:rFonts w:ascii="Arial Narrow" w:hAnsi="Arial Narrow"/>
                <w:b/>
                <w:sz w:val="20"/>
                <w:szCs w:val="20"/>
                <w:lang w:val="en-AU"/>
              </w:rPr>
            </w:pPr>
            <w:r w:rsidRPr="000B52C6">
              <w:rPr>
                <w:rFonts w:ascii="Arial Narrow" w:hAnsi="Arial Narrow"/>
                <w:b/>
                <w:sz w:val="20"/>
                <w:szCs w:val="20"/>
                <w:lang w:val="en-AU"/>
              </w:rPr>
              <w:t>AND</w:t>
            </w:r>
          </w:p>
        </w:tc>
      </w:tr>
      <w:tr w:rsidR="00214E2F" w:rsidRPr="000B52C6" w14:paraId="44B09010" w14:textId="77777777" w:rsidTr="00214E2F">
        <w:trPr>
          <w:trHeight w:val="17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453BF" w14:textId="77777777"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D9881" w14:textId="77777777" w:rsidR="00214E2F" w:rsidRPr="000B52C6" w:rsidRDefault="00214E2F" w:rsidP="00214E2F">
            <w:pPr>
              <w:rPr>
                <w:rFonts w:ascii="Arial Narrow" w:hAnsi="Arial Narrow"/>
                <w:b/>
                <w:strike/>
                <w:sz w:val="20"/>
                <w:szCs w:val="20"/>
                <w:lang w:val="en-AU"/>
              </w:rPr>
            </w:pPr>
            <w:r w:rsidRPr="000B52C6">
              <w:rPr>
                <w:rFonts w:ascii="Arial Narrow" w:hAnsi="Arial Narrow"/>
                <w:b/>
                <w:sz w:val="20"/>
                <w:szCs w:val="20"/>
                <w:lang w:val="en-AU"/>
              </w:rPr>
              <w:t>Clinical criteria:</w:t>
            </w:r>
          </w:p>
        </w:tc>
      </w:tr>
      <w:tr w:rsidR="00214E2F" w:rsidRPr="000B52C6" w14:paraId="1F0B36F0" w14:textId="77777777" w:rsidTr="00214E2F">
        <w:trPr>
          <w:trHeight w:val="17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391C0" w14:textId="77777777"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47B7" w14:textId="77777777" w:rsidR="00214E2F" w:rsidRPr="000B52C6" w:rsidRDefault="00214E2F" w:rsidP="00214E2F">
            <w:pPr>
              <w:rPr>
                <w:rFonts w:ascii="Arial Narrow" w:hAnsi="Arial Narrow"/>
                <w:sz w:val="20"/>
                <w:szCs w:val="20"/>
                <w:lang w:val="en-AU"/>
              </w:rPr>
            </w:pPr>
            <w:r w:rsidRPr="000B52C6">
              <w:rPr>
                <w:rFonts w:ascii="Arial Narrow" w:hAnsi="Arial Narrow"/>
                <w:sz w:val="20"/>
                <w:szCs w:val="20"/>
                <w:lang w:val="en-AU"/>
              </w:rPr>
              <w:t>The treatment must be in combination with bortezomib and dexamethasone</w:t>
            </w:r>
          </w:p>
        </w:tc>
      </w:tr>
      <w:tr w:rsidR="00214E2F" w:rsidRPr="000B52C6" w14:paraId="1B6E51E2" w14:textId="77777777" w:rsidTr="00214E2F">
        <w:trPr>
          <w:trHeight w:val="17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7479E" w14:textId="77777777"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3353E" w14:textId="77777777" w:rsidR="00214E2F" w:rsidRPr="000B52C6" w:rsidRDefault="00214E2F" w:rsidP="00214E2F">
            <w:pPr>
              <w:rPr>
                <w:rFonts w:ascii="Arial Narrow" w:hAnsi="Arial Narrow"/>
                <w:b/>
                <w:sz w:val="20"/>
                <w:szCs w:val="20"/>
                <w:lang w:val="en-AU"/>
              </w:rPr>
            </w:pPr>
            <w:r w:rsidRPr="000B52C6">
              <w:rPr>
                <w:rFonts w:ascii="Arial Narrow" w:hAnsi="Arial Narrow"/>
                <w:b/>
                <w:sz w:val="20"/>
                <w:szCs w:val="20"/>
                <w:lang w:val="en-AU"/>
              </w:rPr>
              <w:t>AND</w:t>
            </w:r>
          </w:p>
        </w:tc>
      </w:tr>
      <w:tr w:rsidR="00214E2F" w:rsidRPr="000B52C6" w14:paraId="2CAB69C6" w14:textId="77777777" w:rsidTr="00703546">
        <w:trPr>
          <w:trHeight w:val="17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81414" w14:textId="0D2B3F0D"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74052" w14:textId="77777777" w:rsidR="00214E2F" w:rsidRPr="000B52C6" w:rsidRDefault="00214E2F" w:rsidP="00214E2F">
            <w:pPr>
              <w:rPr>
                <w:rFonts w:ascii="Arial Narrow" w:hAnsi="Arial Narrow"/>
                <w:b/>
                <w:strike/>
                <w:sz w:val="20"/>
                <w:szCs w:val="20"/>
                <w:lang w:val="en-AU"/>
              </w:rPr>
            </w:pPr>
            <w:r w:rsidRPr="000B52C6">
              <w:rPr>
                <w:rFonts w:ascii="Arial Narrow" w:hAnsi="Arial Narrow"/>
                <w:b/>
                <w:sz w:val="20"/>
                <w:szCs w:val="20"/>
                <w:lang w:val="en-AU"/>
              </w:rPr>
              <w:t>Clinical criteria:</w:t>
            </w:r>
          </w:p>
        </w:tc>
      </w:tr>
      <w:tr w:rsidR="00214E2F" w:rsidRPr="000B52C6" w14:paraId="5380A65F" w14:textId="77777777" w:rsidTr="00703546">
        <w:trPr>
          <w:trHeight w:val="17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59E8E" w14:textId="4F1E8E5E"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08E52" w14:textId="77777777" w:rsidR="00214E2F" w:rsidRPr="000B52C6" w:rsidRDefault="00214E2F" w:rsidP="00214E2F">
            <w:pPr>
              <w:rPr>
                <w:rFonts w:ascii="Arial Narrow" w:hAnsi="Arial Narrow"/>
                <w:sz w:val="20"/>
                <w:szCs w:val="20"/>
                <w:lang w:val="en-AU"/>
              </w:rPr>
            </w:pPr>
            <w:r w:rsidRPr="000B52C6">
              <w:rPr>
                <w:rFonts w:ascii="Arial Narrow" w:hAnsi="Arial Narrow"/>
                <w:sz w:val="20"/>
                <w:szCs w:val="20"/>
                <w:lang w:val="en-AU"/>
              </w:rPr>
              <w:t>Patient must not have developed disease progression while receiving treatment with this drug for this condition</w:t>
            </w:r>
          </w:p>
        </w:tc>
      </w:tr>
      <w:tr w:rsidR="00214E2F" w:rsidRPr="000B52C6" w14:paraId="44CD1FA2" w14:textId="77777777" w:rsidTr="00214E2F">
        <w:trPr>
          <w:trHeight w:val="17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B6867" w14:textId="77777777"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0DB62" w14:textId="77777777" w:rsidR="00214E2F" w:rsidRPr="000B52C6" w:rsidRDefault="00214E2F" w:rsidP="00214E2F">
            <w:pPr>
              <w:rPr>
                <w:rFonts w:ascii="Arial Narrow" w:hAnsi="Arial Narrow"/>
                <w:b/>
                <w:sz w:val="20"/>
                <w:szCs w:val="20"/>
                <w:lang w:val="en-AU"/>
              </w:rPr>
            </w:pPr>
            <w:r w:rsidRPr="000B52C6">
              <w:rPr>
                <w:rFonts w:ascii="Arial Narrow" w:hAnsi="Arial Narrow"/>
                <w:b/>
                <w:sz w:val="20"/>
                <w:szCs w:val="20"/>
                <w:lang w:val="en-AU"/>
              </w:rPr>
              <w:t>AND</w:t>
            </w:r>
          </w:p>
        </w:tc>
      </w:tr>
      <w:tr w:rsidR="00214E2F" w:rsidRPr="000B52C6" w14:paraId="17081147"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36C50" w14:textId="77777777"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EE01A" w14:textId="77777777" w:rsidR="00214E2F" w:rsidRPr="000B52C6" w:rsidRDefault="00214E2F" w:rsidP="00214E2F">
            <w:pPr>
              <w:rPr>
                <w:rFonts w:ascii="Arial Narrow" w:hAnsi="Arial Narrow"/>
                <w:sz w:val="20"/>
                <w:szCs w:val="20"/>
                <w:lang w:val="en-AU"/>
              </w:rPr>
            </w:pPr>
            <w:r w:rsidRPr="000B52C6">
              <w:rPr>
                <w:rFonts w:ascii="Arial Narrow" w:hAnsi="Arial Narrow"/>
                <w:b/>
                <w:sz w:val="20"/>
                <w:szCs w:val="20"/>
                <w:lang w:val="en-AU"/>
              </w:rPr>
              <w:t>Clinical criteria:</w:t>
            </w:r>
          </w:p>
        </w:tc>
      </w:tr>
      <w:tr w:rsidR="00214E2F" w:rsidRPr="000B52C6" w14:paraId="6E334A1B"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B7D60" w14:textId="77777777"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55A8A3" w14:textId="77777777" w:rsidR="00214E2F" w:rsidRPr="000B52C6" w:rsidRDefault="00214E2F" w:rsidP="00214E2F">
            <w:pPr>
              <w:rPr>
                <w:rFonts w:ascii="Arial Narrow" w:hAnsi="Arial Narrow"/>
                <w:sz w:val="20"/>
                <w:szCs w:val="20"/>
                <w:lang w:val="en-AU"/>
              </w:rPr>
            </w:pPr>
            <w:r w:rsidRPr="000B52C6">
              <w:rPr>
                <w:rFonts w:ascii="Arial Narrow" w:hAnsi="Arial Narrow"/>
                <w:i/>
                <w:sz w:val="20"/>
                <w:szCs w:val="20"/>
                <w:lang w:val="en-AU"/>
              </w:rPr>
              <w:t>Patient must not be receiving concomitant PBS-subsidised treatment with any of the following: (</w:t>
            </w:r>
            <w:proofErr w:type="spellStart"/>
            <w:r w:rsidRPr="000B52C6">
              <w:rPr>
                <w:rFonts w:ascii="Arial Narrow" w:hAnsi="Arial Narrow"/>
                <w:i/>
                <w:sz w:val="20"/>
                <w:szCs w:val="20"/>
                <w:lang w:val="en-AU"/>
              </w:rPr>
              <w:t>i</w:t>
            </w:r>
            <w:proofErr w:type="spellEnd"/>
            <w:r w:rsidRPr="000B52C6">
              <w:rPr>
                <w:rFonts w:ascii="Arial Narrow" w:hAnsi="Arial Narrow"/>
                <w:i/>
                <w:sz w:val="20"/>
                <w:szCs w:val="20"/>
                <w:lang w:val="en-AU"/>
              </w:rPr>
              <w:t>) proteasome inhibitors, (ii) immunomodulators, (iii</w:t>
            </w:r>
            <w:proofErr w:type="gramStart"/>
            <w:r w:rsidRPr="000B52C6">
              <w:rPr>
                <w:rFonts w:ascii="Arial Narrow" w:hAnsi="Arial Narrow"/>
                <w:i/>
                <w:sz w:val="20"/>
                <w:szCs w:val="20"/>
                <w:lang w:val="en-AU"/>
              </w:rPr>
              <w:t>)  anti</w:t>
            </w:r>
            <w:proofErr w:type="gramEnd"/>
            <w:r w:rsidRPr="000B52C6">
              <w:rPr>
                <w:rFonts w:ascii="Arial Narrow" w:hAnsi="Arial Narrow"/>
                <w:i/>
                <w:sz w:val="20"/>
                <w:szCs w:val="20"/>
                <w:lang w:val="en-AU"/>
              </w:rPr>
              <w:t xml:space="preserve">-CD38 monoclonal antibody </w:t>
            </w:r>
          </w:p>
        </w:tc>
      </w:tr>
      <w:tr w:rsidR="00214E2F" w:rsidRPr="000B52C6" w14:paraId="216EF370"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EE64B" w14:textId="62489246"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5A816" w14:textId="77777777" w:rsidR="00214E2F" w:rsidRPr="000B52C6" w:rsidRDefault="00214E2F" w:rsidP="00214E2F">
            <w:pPr>
              <w:rPr>
                <w:rFonts w:ascii="Arial Narrow" w:hAnsi="Arial Narrow"/>
                <w:b/>
                <w:i/>
                <w:sz w:val="20"/>
                <w:szCs w:val="20"/>
                <w:lang w:val="en-AU"/>
              </w:rPr>
            </w:pPr>
            <w:r w:rsidRPr="000B52C6">
              <w:rPr>
                <w:rFonts w:ascii="Arial Narrow" w:hAnsi="Arial Narrow"/>
                <w:b/>
                <w:strike/>
                <w:sz w:val="20"/>
                <w:szCs w:val="20"/>
                <w:lang w:val="en-AU"/>
              </w:rPr>
              <w:t>Definitions:</w:t>
            </w:r>
            <w:r w:rsidRPr="000B52C6">
              <w:rPr>
                <w:rFonts w:ascii="Arial Narrow" w:hAnsi="Arial Narrow"/>
                <w:b/>
                <w:sz w:val="20"/>
                <w:szCs w:val="20"/>
                <w:lang w:val="en-AU"/>
              </w:rPr>
              <w:t xml:space="preserve"> </w:t>
            </w:r>
            <w:r w:rsidRPr="000B52C6">
              <w:rPr>
                <w:rFonts w:ascii="Arial Narrow" w:hAnsi="Arial Narrow"/>
                <w:b/>
                <w:i/>
                <w:sz w:val="20"/>
                <w:szCs w:val="20"/>
                <w:lang w:val="en-AU"/>
              </w:rPr>
              <w:t>Prescriber Instructions:</w:t>
            </w:r>
          </w:p>
          <w:p w14:paraId="09CE097F" w14:textId="77777777" w:rsidR="00214E2F" w:rsidRPr="000B52C6" w:rsidRDefault="00214E2F" w:rsidP="00214E2F">
            <w:pPr>
              <w:rPr>
                <w:rFonts w:ascii="Arial Narrow" w:hAnsi="Arial Narrow"/>
                <w:sz w:val="20"/>
                <w:szCs w:val="20"/>
                <w:lang w:val="en-AU"/>
              </w:rPr>
            </w:pPr>
            <w:r w:rsidRPr="000B52C6">
              <w:rPr>
                <w:rFonts w:ascii="Arial Narrow" w:hAnsi="Arial Narrow"/>
                <w:sz w:val="20"/>
                <w:szCs w:val="20"/>
                <w:lang w:val="en-AU"/>
              </w:rPr>
              <w:t>Progressive disease is defined as at least 1 of the following:</w:t>
            </w:r>
          </w:p>
          <w:p w14:paraId="404EF4C6" w14:textId="77777777" w:rsidR="00214E2F" w:rsidRPr="000B52C6" w:rsidRDefault="00214E2F" w:rsidP="00214E2F">
            <w:pPr>
              <w:rPr>
                <w:rFonts w:ascii="Arial Narrow" w:hAnsi="Arial Narrow"/>
                <w:sz w:val="20"/>
                <w:szCs w:val="20"/>
                <w:lang w:val="en-AU"/>
              </w:rPr>
            </w:pPr>
            <w:r w:rsidRPr="000B52C6">
              <w:rPr>
                <w:rFonts w:ascii="Arial Narrow" w:hAnsi="Arial Narrow"/>
                <w:sz w:val="20"/>
                <w:szCs w:val="20"/>
                <w:lang w:val="en-AU"/>
              </w:rPr>
              <w:t>(a) at least a 25% increase and an absolute increase of at least 5 g per L in serum M protein (monoclonal protein); or</w:t>
            </w:r>
          </w:p>
          <w:p w14:paraId="30112D24" w14:textId="77777777" w:rsidR="00214E2F" w:rsidRPr="000B52C6" w:rsidRDefault="00214E2F" w:rsidP="00214E2F">
            <w:pPr>
              <w:rPr>
                <w:rFonts w:ascii="Arial Narrow" w:hAnsi="Arial Narrow"/>
                <w:sz w:val="20"/>
                <w:szCs w:val="20"/>
                <w:lang w:val="en-AU"/>
              </w:rPr>
            </w:pPr>
            <w:r w:rsidRPr="000B52C6">
              <w:rPr>
                <w:rFonts w:ascii="Arial Narrow" w:hAnsi="Arial Narrow"/>
                <w:sz w:val="20"/>
                <w:szCs w:val="20"/>
                <w:lang w:val="en-AU"/>
              </w:rPr>
              <w:t>(b) at least a 25% increase in 24-hour urinary light chain M protein excretion, and an absolute increase of at least 200 mg per 24 hours; or</w:t>
            </w:r>
          </w:p>
          <w:p w14:paraId="1DFD966C" w14:textId="77777777" w:rsidR="00214E2F" w:rsidRPr="000B52C6" w:rsidRDefault="00214E2F" w:rsidP="00214E2F">
            <w:pPr>
              <w:rPr>
                <w:rFonts w:ascii="Arial Narrow" w:hAnsi="Arial Narrow"/>
                <w:sz w:val="20"/>
                <w:szCs w:val="20"/>
                <w:lang w:val="en-AU"/>
              </w:rPr>
            </w:pPr>
            <w:r w:rsidRPr="000B52C6">
              <w:rPr>
                <w:rFonts w:ascii="Arial Narrow" w:hAnsi="Arial Narrow"/>
                <w:sz w:val="20"/>
                <w:szCs w:val="20"/>
                <w:lang w:val="en-AU"/>
              </w:rPr>
              <w:t xml:space="preserve">(c) in oligo-secretory and non-secretory myeloma patients only, at least a 50% increase of the difference between involved free light chain and uninvolved free light </w:t>
            </w:r>
            <w:proofErr w:type="gramStart"/>
            <w:r w:rsidRPr="000B52C6">
              <w:rPr>
                <w:rFonts w:ascii="Arial Narrow" w:hAnsi="Arial Narrow"/>
                <w:sz w:val="20"/>
                <w:szCs w:val="20"/>
                <w:lang w:val="en-AU"/>
              </w:rPr>
              <w:t>chain;</w:t>
            </w:r>
            <w:proofErr w:type="gramEnd"/>
            <w:r w:rsidRPr="000B52C6">
              <w:rPr>
                <w:rFonts w:ascii="Arial Narrow" w:hAnsi="Arial Narrow"/>
                <w:sz w:val="20"/>
                <w:szCs w:val="20"/>
                <w:lang w:val="en-AU"/>
              </w:rPr>
              <w:t xml:space="preserve"> or</w:t>
            </w:r>
          </w:p>
          <w:p w14:paraId="248066A2" w14:textId="77777777" w:rsidR="00214E2F" w:rsidRPr="000B52C6" w:rsidRDefault="00214E2F" w:rsidP="00214E2F">
            <w:pPr>
              <w:rPr>
                <w:rFonts w:ascii="Arial Narrow" w:hAnsi="Arial Narrow"/>
                <w:sz w:val="20"/>
                <w:szCs w:val="20"/>
                <w:lang w:val="en-AU"/>
              </w:rPr>
            </w:pPr>
            <w:r w:rsidRPr="000B52C6">
              <w:rPr>
                <w:rFonts w:ascii="Arial Narrow" w:hAnsi="Arial Narrow"/>
                <w:sz w:val="20"/>
                <w:szCs w:val="20"/>
                <w:lang w:val="en-AU"/>
              </w:rPr>
              <w:t>(d) at least a 25% relative increase and at least a 10% absolute increase in plasma cells in a bone marrow aspirate or on biopsy; or</w:t>
            </w:r>
          </w:p>
          <w:p w14:paraId="6CEE0D92" w14:textId="77777777" w:rsidR="00214E2F" w:rsidRPr="000B52C6" w:rsidRDefault="00214E2F" w:rsidP="00214E2F">
            <w:pPr>
              <w:rPr>
                <w:rFonts w:ascii="Arial Narrow" w:hAnsi="Arial Narrow"/>
                <w:sz w:val="20"/>
                <w:szCs w:val="20"/>
                <w:lang w:val="en-AU"/>
              </w:rPr>
            </w:pPr>
            <w:r w:rsidRPr="000B52C6">
              <w:rPr>
                <w:rFonts w:ascii="Arial Narrow" w:hAnsi="Arial Narrow"/>
                <w:sz w:val="20"/>
                <w:szCs w:val="20"/>
                <w:lang w:val="en-AU"/>
              </w:rPr>
              <w:t>(e) an increase in the size or number of lytic bone lesions (not including compression fractures); or</w:t>
            </w:r>
          </w:p>
          <w:p w14:paraId="038B8723" w14:textId="77777777" w:rsidR="00214E2F" w:rsidRPr="000B52C6" w:rsidRDefault="00214E2F" w:rsidP="00214E2F">
            <w:pPr>
              <w:rPr>
                <w:rFonts w:ascii="Arial Narrow" w:hAnsi="Arial Narrow"/>
                <w:sz w:val="20"/>
                <w:szCs w:val="20"/>
                <w:lang w:val="en-AU"/>
              </w:rPr>
            </w:pPr>
            <w:r w:rsidRPr="000B52C6">
              <w:rPr>
                <w:rFonts w:ascii="Arial Narrow" w:hAnsi="Arial Narrow"/>
                <w:sz w:val="20"/>
                <w:szCs w:val="20"/>
                <w:lang w:val="en-AU"/>
              </w:rPr>
              <w:t>(f) at least a 25% increase in the size of an existing or the development of a new soft tissue plasmacytoma (determined by clinical examination or diagnostic imaging); or</w:t>
            </w:r>
          </w:p>
          <w:p w14:paraId="1ACC0F2D" w14:textId="77777777" w:rsidR="00214E2F" w:rsidRPr="000B52C6" w:rsidRDefault="00214E2F" w:rsidP="00214E2F">
            <w:pPr>
              <w:rPr>
                <w:rFonts w:ascii="Arial Narrow" w:hAnsi="Arial Narrow"/>
                <w:sz w:val="20"/>
                <w:szCs w:val="20"/>
                <w:lang w:val="en-AU"/>
              </w:rPr>
            </w:pPr>
            <w:r w:rsidRPr="000B52C6">
              <w:rPr>
                <w:rFonts w:ascii="Arial Narrow" w:hAnsi="Arial Narrow"/>
                <w:sz w:val="20"/>
                <w:szCs w:val="20"/>
                <w:lang w:val="en-AU"/>
              </w:rPr>
              <w:t>(g) development of hypercalcaemia (corrected serum calcium greater than 2.65 mmol per L not attributable to any other cause).</w:t>
            </w:r>
          </w:p>
        </w:tc>
      </w:tr>
      <w:tr w:rsidR="00214E2F" w:rsidRPr="000B52C6" w14:paraId="625210E9"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DCB1B" w14:textId="15207760"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5A638" w14:textId="77777777" w:rsidR="00214E2F" w:rsidRPr="000B52C6" w:rsidRDefault="00214E2F" w:rsidP="00214E2F">
            <w:pPr>
              <w:rPr>
                <w:rFonts w:ascii="Arial Narrow" w:hAnsi="Arial Narrow"/>
                <w:b/>
                <w:i/>
                <w:sz w:val="20"/>
                <w:szCs w:val="20"/>
                <w:lang w:val="en-AU"/>
              </w:rPr>
            </w:pPr>
            <w:r w:rsidRPr="000B52C6">
              <w:rPr>
                <w:rFonts w:ascii="Arial Narrow" w:hAnsi="Arial Narrow"/>
                <w:b/>
                <w:i/>
                <w:sz w:val="20"/>
                <w:szCs w:val="20"/>
                <w:lang w:val="en-AU"/>
              </w:rPr>
              <w:t>Prescriber Instructions:</w:t>
            </w:r>
          </w:p>
          <w:p w14:paraId="2126A343"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sz w:val="20"/>
                <w:szCs w:val="20"/>
                <w:lang w:val="en-AU"/>
              </w:rPr>
              <w:t>Oligo-secretory and non-secretory patients are defined as having active disease with less than 10 g per L serum M protein.</w:t>
            </w:r>
          </w:p>
        </w:tc>
      </w:tr>
      <w:tr w:rsidR="00214E2F" w:rsidRPr="000B52C6" w14:paraId="2EF8CB2A"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FB71B"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02EF8"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cstheme="minorHAnsi"/>
                <w:b/>
                <w:i/>
                <w:sz w:val="20"/>
                <w:szCs w:val="20"/>
                <w:lang w:val="en-AU"/>
              </w:rPr>
              <w:t>Administrative Advice:</w:t>
            </w:r>
          </w:p>
          <w:p w14:paraId="3216C7B9"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bCs/>
                <w:i/>
                <w:sz w:val="20"/>
                <w:szCs w:val="20"/>
                <w:lang w:val="en-AU"/>
              </w:rPr>
              <w:t>Applications for authorisation under this restriction may be made in real time using the Online PBS Authorities system (see www.servicesaustralia.gov.au/HPOS) or by telephone by contacting Services Australia on 1800 888 333.</w:t>
            </w:r>
          </w:p>
        </w:tc>
      </w:tr>
      <w:tr w:rsidR="00214E2F" w:rsidRPr="000B52C6" w14:paraId="0347FEBE"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6E4A0" w14:textId="19905F97"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D83D9" w14:textId="77777777" w:rsidR="00214E2F" w:rsidRPr="000B52C6" w:rsidRDefault="00214E2F" w:rsidP="00214E2F">
            <w:pPr>
              <w:rPr>
                <w:rFonts w:ascii="Arial Narrow" w:hAnsi="Arial Narrow" w:cstheme="minorHAnsi"/>
                <w:i/>
                <w:sz w:val="20"/>
                <w:szCs w:val="20"/>
                <w:lang w:val="en-AU"/>
              </w:rPr>
            </w:pPr>
            <w:r w:rsidRPr="000B52C6">
              <w:rPr>
                <w:rFonts w:ascii="Arial Narrow" w:hAnsi="Arial Narrow" w:cstheme="minorHAnsi"/>
                <w:b/>
                <w:i/>
                <w:sz w:val="20"/>
                <w:szCs w:val="20"/>
                <w:lang w:val="en-AU"/>
              </w:rPr>
              <w:t xml:space="preserve">Administrative Advice: </w:t>
            </w:r>
            <w:r w:rsidRPr="000B52C6">
              <w:rPr>
                <w:rFonts w:ascii="Arial Narrow" w:hAnsi="Arial Narrow" w:cstheme="minorHAnsi"/>
                <w:i/>
                <w:sz w:val="20"/>
                <w:szCs w:val="20"/>
                <w:lang w:val="en-AU"/>
              </w:rPr>
              <w:t>No increase in the maximum number of repeats may be authorised.</w:t>
            </w:r>
          </w:p>
        </w:tc>
      </w:tr>
      <w:tr w:rsidR="00214E2F" w:rsidRPr="000B52C6" w14:paraId="3A596793"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46981" w14:textId="52AFE2CB"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079B1" w14:textId="77777777" w:rsidR="00214E2F" w:rsidRPr="000B52C6" w:rsidRDefault="00214E2F" w:rsidP="00214E2F">
            <w:pPr>
              <w:rPr>
                <w:rFonts w:ascii="Arial Narrow" w:hAnsi="Arial Narrow" w:cstheme="minorHAnsi"/>
                <w:i/>
                <w:sz w:val="20"/>
                <w:szCs w:val="20"/>
                <w:lang w:val="en-AU"/>
              </w:rPr>
            </w:pPr>
            <w:r w:rsidRPr="000B52C6">
              <w:rPr>
                <w:rFonts w:ascii="Arial Narrow" w:hAnsi="Arial Narrow" w:cstheme="minorHAnsi"/>
                <w:b/>
                <w:i/>
                <w:sz w:val="20"/>
                <w:szCs w:val="20"/>
                <w:lang w:val="en-AU"/>
              </w:rPr>
              <w:t>Administrative Advice:</w:t>
            </w:r>
            <w:r w:rsidRPr="000B52C6">
              <w:rPr>
                <w:rFonts w:ascii="Arial Narrow" w:hAnsi="Arial Narrow" w:cstheme="minorHAnsi"/>
                <w:i/>
                <w:sz w:val="20"/>
                <w:szCs w:val="20"/>
                <w:lang w:val="en-AU"/>
              </w:rPr>
              <w:t xml:space="preserve"> Special Pricing Arrangements apply</w:t>
            </w:r>
          </w:p>
        </w:tc>
      </w:tr>
      <w:tr w:rsidR="00214E2F" w:rsidRPr="000B52C6" w14:paraId="4C71172F"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737F0" w14:textId="77777777"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BB3E" w14:textId="66E5F4FC" w:rsidR="00214E2F" w:rsidRPr="000B52C6" w:rsidRDefault="00214E2F" w:rsidP="00483B4B">
            <w:pPr>
              <w:rPr>
                <w:rFonts w:ascii="Arial Narrow" w:hAnsi="Arial Narrow" w:cstheme="minorHAnsi"/>
                <w:b/>
                <w:i/>
                <w:sz w:val="20"/>
                <w:szCs w:val="20"/>
                <w:lang w:val="en-AU"/>
              </w:rPr>
            </w:pPr>
            <w:r w:rsidRPr="000B52C6">
              <w:rPr>
                <w:rFonts w:ascii="Arial Narrow" w:hAnsi="Arial Narrow" w:cstheme="minorHAnsi"/>
                <w:b/>
                <w:i/>
                <w:sz w:val="20"/>
                <w:szCs w:val="20"/>
                <w:lang w:val="en-AU"/>
              </w:rPr>
              <w:t xml:space="preserve">Caution: </w:t>
            </w:r>
            <w:r w:rsidRPr="000B52C6">
              <w:rPr>
                <w:rFonts w:ascii="Arial Narrow" w:hAnsi="Arial Narrow" w:cstheme="minorHAnsi"/>
                <w:i/>
                <w:sz w:val="20"/>
                <w:szCs w:val="20"/>
                <w:lang w:val="en-AU"/>
              </w:rPr>
              <w:t xml:space="preserve">This drug is a category </w:t>
            </w:r>
            <w:r w:rsidR="00483B4B" w:rsidRPr="000B52C6">
              <w:rPr>
                <w:rFonts w:ascii="Arial Narrow" w:hAnsi="Arial Narrow" w:cstheme="minorHAnsi"/>
                <w:i/>
                <w:sz w:val="20"/>
                <w:szCs w:val="20"/>
                <w:lang w:val="en-AU"/>
              </w:rPr>
              <w:t xml:space="preserve">D </w:t>
            </w:r>
            <w:r w:rsidRPr="000B52C6">
              <w:rPr>
                <w:rFonts w:ascii="Arial Narrow" w:hAnsi="Arial Narrow" w:cstheme="minorHAnsi"/>
                <w:i/>
                <w:sz w:val="20"/>
                <w:szCs w:val="20"/>
                <w:lang w:val="en-AU"/>
              </w:rPr>
              <w:t xml:space="preserve">drug and must not be given to pregnant women. If </w:t>
            </w:r>
            <w:proofErr w:type="spellStart"/>
            <w:r w:rsidRPr="000B52C6">
              <w:rPr>
                <w:rFonts w:ascii="Arial Narrow" w:hAnsi="Arial Narrow" w:cstheme="minorHAnsi"/>
                <w:i/>
                <w:sz w:val="20"/>
                <w:szCs w:val="20"/>
                <w:lang w:val="en-AU"/>
              </w:rPr>
              <w:t>selinexor</w:t>
            </w:r>
            <w:proofErr w:type="spellEnd"/>
            <w:r w:rsidRPr="000B52C6">
              <w:rPr>
                <w:rFonts w:ascii="Arial Narrow" w:hAnsi="Arial Narrow" w:cstheme="minorHAnsi"/>
                <w:i/>
                <w:sz w:val="20"/>
                <w:szCs w:val="20"/>
                <w:lang w:val="en-AU"/>
              </w:rPr>
              <w:t xml:space="preserve"> is taken during pregnancy, a teratogenic effect of </w:t>
            </w:r>
            <w:proofErr w:type="spellStart"/>
            <w:r w:rsidRPr="000B52C6">
              <w:rPr>
                <w:rFonts w:ascii="Arial Narrow" w:hAnsi="Arial Narrow" w:cstheme="minorHAnsi"/>
                <w:i/>
                <w:sz w:val="20"/>
                <w:szCs w:val="20"/>
                <w:lang w:val="en-AU"/>
              </w:rPr>
              <w:t>selinexor</w:t>
            </w:r>
            <w:proofErr w:type="spellEnd"/>
            <w:r w:rsidRPr="000B52C6">
              <w:rPr>
                <w:rFonts w:ascii="Arial Narrow" w:hAnsi="Arial Narrow" w:cstheme="minorHAnsi"/>
                <w:i/>
                <w:sz w:val="20"/>
                <w:szCs w:val="20"/>
                <w:lang w:val="en-AU"/>
              </w:rPr>
              <w:t xml:space="preserve"> in humans cannot be ruled out.</w:t>
            </w:r>
          </w:p>
        </w:tc>
      </w:tr>
    </w:tbl>
    <w:p w14:paraId="299341DD" w14:textId="77777777" w:rsidR="00214E2F" w:rsidRPr="000B52C6" w:rsidRDefault="00214E2F" w:rsidP="00214E2F">
      <w:pPr>
        <w:spacing w:after="240"/>
        <w:contextualSpacing/>
        <w:rPr>
          <w:rFonts w:ascii="Arial Narrow" w:hAnsi="Arial Narrow"/>
          <w:sz w:val="20"/>
          <w:szCs w:val="20"/>
        </w:rPr>
      </w:pPr>
    </w:p>
    <w:p w14:paraId="11528252" w14:textId="77777777" w:rsidR="00214E2F" w:rsidRPr="000B52C6" w:rsidRDefault="00214E2F" w:rsidP="00214E2F">
      <w:pPr>
        <w:spacing w:after="240"/>
        <w:contextualSpacing/>
        <w:rPr>
          <w:rFonts w:ascii="Arial Narrow" w:hAnsi="Arial Narrow"/>
          <w:sz w:val="20"/>
          <w:szCs w:val="20"/>
        </w:rPr>
      </w:pPr>
    </w:p>
    <w:tbl>
      <w:tblPr>
        <w:tblStyle w:val="TableGrid1"/>
        <w:tblW w:w="0" w:type="dxa"/>
        <w:tblLayout w:type="fixed"/>
        <w:tblLook w:val="04A0" w:firstRow="1" w:lastRow="0" w:firstColumn="1" w:lastColumn="0" w:noHBand="0" w:noVBand="1"/>
      </w:tblPr>
      <w:tblGrid>
        <w:gridCol w:w="1271"/>
        <w:gridCol w:w="7796"/>
      </w:tblGrid>
      <w:tr w:rsidR="00214E2F" w:rsidRPr="000B52C6" w14:paraId="0BCFEA1E" w14:textId="77777777" w:rsidTr="00214E2F">
        <w:trPr>
          <w:trHeight w:val="72"/>
        </w:trPr>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88254" w14:textId="409C75C4"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CC435" w14:textId="77777777" w:rsidR="00214E2F" w:rsidRPr="000B52C6" w:rsidRDefault="00214E2F" w:rsidP="00214E2F">
            <w:pPr>
              <w:rPr>
                <w:rFonts w:ascii="Arial Narrow" w:hAnsi="Arial Narrow"/>
                <w:sz w:val="20"/>
                <w:szCs w:val="20"/>
                <w:lang w:val="en-AU"/>
              </w:rPr>
            </w:pPr>
            <w:r w:rsidRPr="000B52C6">
              <w:rPr>
                <w:rFonts w:ascii="Arial Narrow" w:hAnsi="Arial Narrow"/>
                <w:b/>
                <w:sz w:val="20"/>
                <w:szCs w:val="20"/>
                <w:lang w:val="en-AU"/>
              </w:rPr>
              <w:t>Category/Program:</w:t>
            </w:r>
            <w:r w:rsidRPr="000B52C6">
              <w:rPr>
                <w:rFonts w:ascii="Arial Narrow" w:hAnsi="Arial Narrow"/>
                <w:sz w:val="20"/>
                <w:szCs w:val="20"/>
                <w:lang w:val="en-AU"/>
              </w:rPr>
              <w:t xml:space="preserve"> Section 100 (Highly Specialised Drugs Program)</w:t>
            </w:r>
          </w:p>
        </w:tc>
      </w:tr>
      <w:tr w:rsidR="00214E2F" w:rsidRPr="000B52C6" w14:paraId="55D83E4B" w14:textId="77777777" w:rsidTr="00703546">
        <w:trPr>
          <w:trHeight w:val="72"/>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5319A" w14:textId="77777777" w:rsidR="00214E2F" w:rsidRPr="000B52C6" w:rsidRDefault="00214E2F" w:rsidP="00214E2F">
            <w:pPr>
              <w:jc w:val="left"/>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CBD55" w14:textId="77777777" w:rsidR="00214E2F" w:rsidRPr="000B52C6" w:rsidRDefault="00214E2F" w:rsidP="00214E2F">
            <w:pPr>
              <w:rPr>
                <w:rFonts w:ascii="Arial Narrow" w:hAnsi="Arial Narrow"/>
                <w:b/>
                <w:sz w:val="20"/>
                <w:szCs w:val="20"/>
                <w:lang w:val="en-AU"/>
              </w:rPr>
            </w:pPr>
            <w:r w:rsidRPr="000B52C6">
              <w:rPr>
                <w:rFonts w:ascii="Arial Narrow" w:hAnsi="Arial Narrow" w:cstheme="minorHAnsi"/>
                <w:b/>
                <w:i/>
                <w:sz w:val="20"/>
                <w:szCs w:val="20"/>
                <w:lang w:val="en-AU"/>
              </w:rPr>
              <w:t xml:space="preserve">Prescriber type: </w:t>
            </w:r>
            <w:r w:rsidRPr="000B52C6">
              <w:rPr>
                <w:rFonts w:ascii="Arial Narrow" w:hAnsi="Arial Narrow"/>
                <w:i/>
                <w:sz w:val="20"/>
                <w:szCs w:val="20"/>
              </w:rPr>
              <w:fldChar w:fldCharType="begin">
                <w:ffData>
                  <w:name w:val=""/>
                  <w:enabled/>
                  <w:calcOnExit w:val="0"/>
                  <w:checkBox>
                    <w:sizeAuto/>
                    <w:default w:val="1"/>
                  </w:checkBox>
                </w:ffData>
              </w:fldChar>
            </w:r>
            <w:r w:rsidRPr="000B52C6">
              <w:rPr>
                <w:rFonts w:ascii="Arial Narrow" w:hAnsi="Arial Narrow"/>
                <w:i/>
                <w:sz w:val="20"/>
                <w:szCs w:val="20"/>
                <w:lang w:val="en-AU"/>
              </w:rPr>
              <w:instrText xml:space="preserve"> FORMCHECKBOX </w:instrText>
            </w:r>
            <w:r w:rsidR="00FF5725">
              <w:rPr>
                <w:rFonts w:ascii="Arial Narrow" w:hAnsi="Arial Narrow"/>
                <w:i/>
                <w:sz w:val="20"/>
                <w:szCs w:val="20"/>
              </w:rPr>
            </w:r>
            <w:r w:rsidR="00FF5725">
              <w:rPr>
                <w:rFonts w:ascii="Arial Narrow" w:hAnsi="Arial Narrow"/>
                <w:i/>
                <w:sz w:val="20"/>
                <w:szCs w:val="20"/>
              </w:rPr>
              <w:fldChar w:fldCharType="separate"/>
            </w:r>
            <w:r w:rsidRPr="000B52C6">
              <w:rPr>
                <w:rFonts w:ascii="Arial Narrow" w:hAnsi="Arial Narrow"/>
                <w:i/>
                <w:sz w:val="20"/>
                <w:szCs w:val="20"/>
              </w:rPr>
              <w:fldChar w:fldCharType="end"/>
            </w:r>
            <w:r w:rsidRPr="000B52C6">
              <w:rPr>
                <w:rFonts w:ascii="Arial Narrow" w:hAnsi="Arial Narrow"/>
                <w:i/>
                <w:sz w:val="20"/>
                <w:szCs w:val="20"/>
                <w:lang w:val="en-AU"/>
              </w:rPr>
              <w:t xml:space="preserve"> Medical Practitioners</w:t>
            </w:r>
          </w:p>
        </w:tc>
      </w:tr>
      <w:tr w:rsidR="00214E2F" w:rsidRPr="000B52C6" w14:paraId="4C935FE8" w14:textId="77777777" w:rsidTr="00703546">
        <w:trPr>
          <w:trHeight w:val="135"/>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AA9F9" w14:textId="77777777" w:rsidR="00214E2F" w:rsidRPr="000B52C6" w:rsidRDefault="00214E2F" w:rsidP="00214E2F">
            <w:pPr>
              <w:jc w:val="left"/>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7906B" w14:textId="77777777" w:rsidR="00214E2F" w:rsidRPr="000B52C6" w:rsidRDefault="00214E2F" w:rsidP="00214E2F">
            <w:pPr>
              <w:rPr>
                <w:rFonts w:ascii="Arial Narrow" w:hAnsi="Arial Narrow" w:cstheme="minorHAnsi"/>
                <w:b/>
                <w:sz w:val="20"/>
                <w:szCs w:val="20"/>
                <w:lang w:val="en-AU"/>
              </w:rPr>
            </w:pPr>
            <w:r w:rsidRPr="000B52C6">
              <w:rPr>
                <w:rFonts w:ascii="Arial Narrow" w:hAnsi="Arial Narrow" w:cstheme="minorHAnsi"/>
                <w:b/>
                <w:sz w:val="20"/>
                <w:szCs w:val="20"/>
                <w:lang w:val="en-AU"/>
              </w:rPr>
              <w:t>Restriction type:</w:t>
            </w:r>
          </w:p>
          <w:p w14:paraId="5B2C4657" w14:textId="77777777" w:rsidR="00214E2F" w:rsidRPr="000B52C6" w:rsidRDefault="00214E2F" w:rsidP="00214E2F">
            <w:pPr>
              <w:rPr>
                <w:rFonts w:ascii="Arial Narrow" w:hAnsi="Arial Narrow"/>
                <w:sz w:val="20"/>
                <w:szCs w:val="20"/>
                <w:lang w:val="en-AU"/>
              </w:rPr>
            </w:pPr>
            <w:r w:rsidRPr="000B52C6">
              <w:rPr>
                <w:rFonts w:ascii="Arial Narrow" w:hAnsi="Arial Narrow"/>
                <w:bCs/>
                <w:sz w:val="20"/>
                <w:szCs w:val="20"/>
              </w:rPr>
              <w:fldChar w:fldCharType="begin">
                <w:ffData>
                  <w:name w:val="Check3"/>
                  <w:enabled/>
                  <w:calcOnExit w:val="0"/>
                  <w:checkBox>
                    <w:sizeAuto/>
                    <w:default w:val="1"/>
                  </w:checkBox>
                </w:ffData>
              </w:fldChar>
            </w:r>
            <w:r w:rsidRPr="000B52C6">
              <w:rPr>
                <w:rFonts w:ascii="Arial Narrow" w:hAnsi="Arial Narrow"/>
                <w:bCs/>
                <w:sz w:val="20"/>
                <w:szCs w:val="20"/>
                <w:lang w:val="en-AU"/>
              </w:rPr>
              <w:instrText xml:space="preserve"> FORMCHECKBOX </w:instrText>
            </w:r>
            <w:r w:rsidR="00FF5725">
              <w:rPr>
                <w:rFonts w:ascii="Arial Narrow" w:hAnsi="Arial Narrow"/>
                <w:bCs/>
                <w:sz w:val="20"/>
                <w:szCs w:val="20"/>
              </w:rPr>
            </w:r>
            <w:r w:rsidR="00FF5725">
              <w:rPr>
                <w:rFonts w:ascii="Arial Narrow" w:hAnsi="Arial Narrow"/>
                <w:bCs/>
                <w:sz w:val="20"/>
                <w:szCs w:val="20"/>
              </w:rPr>
              <w:fldChar w:fldCharType="separate"/>
            </w:r>
            <w:r w:rsidRPr="000B52C6">
              <w:rPr>
                <w:rFonts w:ascii="Arial Narrow" w:hAnsi="Arial Narrow"/>
                <w:bCs/>
                <w:sz w:val="20"/>
                <w:szCs w:val="20"/>
              </w:rPr>
              <w:fldChar w:fldCharType="end"/>
            </w:r>
            <w:r w:rsidRPr="000B52C6">
              <w:rPr>
                <w:rFonts w:ascii="Arial Narrow" w:hAnsi="Arial Narrow"/>
                <w:bCs/>
                <w:sz w:val="20"/>
                <w:szCs w:val="20"/>
                <w:lang w:val="en-AU"/>
              </w:rPr>
              <w:t xml:space="preserve"> </w:t>
            </w:r>
            <w:r w:rsidRPr="000B52C6">
              <w:rPr>
                <w:rFonts w:ascii="Arial Narrow" w:hAnsi="Arial Narrow" w:cstheme="minorHAnsi"/>
                <w:sz w:val="20"/>
                <w:szCs w:val="20"/>
                <w:lang w:val="en-AU"/>
              </w:rPr>
              <w:t>Authority Required – immediate/real-time assessment by Services Australia (telephone/online)</w:t>
            </w:r>
          </w:p>
        </w:tc>
      </w:tr>
      <w:tr w:rsidR="00214E2F" w:rsidRPr="000B52C6" w14:paraId="622D59F5" w14:textId="77777777" w:rsidTr="00703546">
        <w:trPr>
          <w:trHeight w:val="135"/>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D31B20" w14:textId="77777777" w:rsidR="00214E2F" w:rsidRPr="000B52C6" w:rsidRDefault="00214E2F" w:rsidP="00214E2F">
            <w:pPr>
              <w:jc w:val="left"/>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47E47" w14:textId="77777777" w:rsidR="00214E2F" w:rsidRPr="000B52C6" w:rsidRDefault="00214E2F" w:rsidP="00214E2F">
            <w:pPr>
              <w:rPr>
                <w:rFonts w:ascii="Arial Narrow" w:hAnsi="Arial Narrow"/>
                <w:b/>
                <w:sz w:val="20"/>
                <w:szCs w:val="20"/>
                <w:lang w:val="en-AU"/>
              </w:rPr>
            </w:pPr>
            <w:proofErr w:type="spellStart"/>
            <w:r w:rsidRPr="000B52C6">
              <w:rPr>
                <w:rFonts w:ascii="Arial Narrow" w:hAnsi="Arial Narrow"/>
                <w:b/>
                <w:i/>
                <w:sz w:val="20"/>
                <w:szCs w:val="20"/>
                <w:lang w:val="en-AU"/>
              </w:rPr>
              <w:t>Episodicity</w:t>
            </w:r>
            <w:proofErr w:type="spellEnd"/>
            <w:r w:rsidRPr="000B52C6">
              <w:rPr>
                <w:rFonts w:ascii="Arial Narrow" w:hAnsi="Arial Narrow"/>
                <w:b/>
                <w:i/>
                <w:sz w:val="20"/>
                <w:szCs w:val="20"/>
                <w:lang w:val="en-AU"/>
              </w:rPr>
              <w:t xml:space="preserve">: </w:t>
            </w:r>
            <w:r w:rsidRPr="000B52C6">
              <w:rPr>
                <w:rFonts w:ascii="Arial Narrow" w:hAnsi="Arial Narrow"/>
                <w:i/>
                <w:sz w:val="20"/>
                <w:szCs w:val="20"/>
                <w:lang w:val="en-AU"/>
              </w:rPr>
              <w:t>Relapsed and/or refractory</w:t>
            </w:r>
          </w:p>
        </w:tc>
      </w:tr>
      <w:tr w:rsidR="00214E2F" w:rsidRPr="000B52C6" w14:paraId="4B417A30" w14:textId="77777777" w:rsidTr="00703546">
        <w:trPr>
          <w:trHeight w:val="70"/>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108FD" w14:textId="77777777" w:rsidR="00214E2F" w:rsidRPr="000B52C6" w:rsidRDefault="00214E2F" w:rsidP="00214E2F">
            <w:pPr>
              <w:jc w:val="left"/>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2847C" w14:textId="77777777" w:rsidR="00214E2F" w:rsidRPr="000B52C6" w:rsidRDefault="00214E2F" w:rsidP="00214E2F">
            <w:pPr>
              <w:rPr>
                <w:rFonts w:ascii="Arial Narrow" w:hAnsi="Arial Narrow"/>
                <w:sz w:val="20"/>
                <w:szCs w:val="20"/>
                <w:lang w:val="en-AU"/>
              </w:rPr>
            </w:pPr>
            <w:r w:rsidRPr="000B52C6">
              <w:rPr>
                <w:rFonts w:ascii="Arial Narrow" w:hAnsi="Arial Narrow"/>
                <w:b/>
                <w:sz w:val="20"/>
                <w:szCs w:val="20"/>
                <w:lang w:val="en-AU"/>
              </w:rPr>
              <w:t xml:space="preserve">Severity: </w:t>
            </w:r>
            <w:r w:rsidRPr="000B52C6">
              <w:rPr>
                <w:rFonts w:ascii="Arial Narrow" w:hAnsi="Arial Narrow"/>
                <w:strike/>
                <w:sz w:val="20"/>
                <w:szCs w:val="20"/>
                <w:lang w:val="en-AU"/>
              </w:rPr>
              <w:t>Multiple Myeloma</w:t>
            </w:r>
            <w:r w:rsidRPr="000B52C6">
              <w:rPr>
                <w:rFonts w:ascii="Arial Narrow" w:hAnsi="Arial Narrow"/>
                <w:i/>
                <w:sz w:val="20"/>
                <w:szCs w:val="20"/>
                <w:lang w:val="en-AU"/>
              </w:rPr>
              <w:t xml:space="preserve"> [blank]</w:t>
            </w:r>
          </w:p>
        </w:tc>
      </w:tr>
      <w:tr w:rsidR="00214E2F" w:rsidRPr="000B52C6" w14:paraId="72993A5D" w14:textId="77777777" w:rsidTr="00703546">
        <w:trPr>
          <w:trHeight w:val="136"/>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F97362" w14:textId="77777777" w:rsidR="00214E2F" w:rsidRPr="000B52C6" w:rsidRDefault="00214E2F" w:rsidP="00214E2F">
            <w:pPr>
              <w:jc w:val="left"/>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C3850" w14:textId="77777777" w:rsidR="00214E2F" w:rsidRPr="000B52C6" w:rsidRDefault="00214E2F" w:rsidP="00214E2F">
            <w:pPr>
              <w:rPr>
                <w:rFonts w:ascii="Arial Narrow" w:hAnsi="Arial Narrow"/>
                <w:sz w:val="20"/>
                <w:szCs w:val="20"/>
                <w:lang w:val="en-AU"/>
              </w:rPr>
            </w:pPr>
            <w:r w:rsidRPr="000B52C6">
              <w:rPr>
                <w:rFonts w:ascii="Arial Narrow" w:hAnsi="Arial Narrow"/>
                <w:b/>
                <w:sz w:val="20"/>
                <w:szCs w:val="20"/>
                <w:lang w:val="en-AU"/>
              </w:rPr>
              <w:t xml:space="preserve">Condition: </w:t>
            </w:r>
            <w:r w:rsidRPr="000B52C6">
              <w:rPr>
                <w:rFonts w:ascii="Arial Narrow" w:hAnsi="Arial Narrow"/>
                <w:strike/>
                <w:sz w:val="20"/>
                <w:szCs w:val="20"/>
                <w:lang w:val="en-AU"/>
              </w:rPr>
              <w:t>Relapsed and/or refractory</w:t>
            </w:r>
            <w:r w:rsidRPr="000B52C6">
              <w:rPr>
                <w:rFonts w:ascii="Arial Narrow" w:hAnsi="Arial Narrow"/>
                <w:sz w:val="20"/>
                <w:szCs w:val="20"/>
                <w:lang w:val="en-AU"/>
              </w:rPr>
              <w:t xml:space="preserve"> </w:t>
            </w:r>
            <w:proofErr w:type="spellStart"/>
            <w:r w:rsidRPr="000B52C6">
              <w:rPr>
                <w:rFonts w:ascii="Arial Narrow" w:hAnsi="Arial Narrow"/>
                <w:strike/>
                <w:sz w:val="20"/>
                <w:szCs w:val="20"/>
                <w:lang w:val="en-AU"/>
              </w:rPr>
              <w:t>m</w:t>
            </w:r>
            <w:r w:rsidRPr="000B52C6">
              <w:rPr>
                <w:rFonts w:ascii="Arial Narrow" w:hAnsi="Arial Narrow"/>
                <w:i/>
                <w:sz w:val="20"/>
                <w:szCs w:val="20"/>
                <w:lang w:val="en-AU"/>
              </w:rPr>
              <w:t>M</w:t>
            </w:r>
            <w:r w:rsidRPr="000B52C6">
              <w:rPr>
                <w:rFonts w:ascii="Arial Narrow" w:hAnsi="Arial Narrow"/>
                <w:sz w:val="20"/>
                <w:szCs w:val="20"/>
                <w:lang w:val="en-AU"/>
              </w:rPr>
              <w:t>ultiple</w:t>
            </w:r>
            <w:proofErr w:type="spellEnd"/>
            <w:r w:rsidRPr="000B52C6">
              <w:rPr>
                <w:rFonts w:ascii="Arial Narrow" w:hAnsi="Arial Narrow"/>
                <w:sz w:val="20"/>
                <w:szCs w:val="20"/>
                <w:lang w:val="en-AU"/>
              </w:rPr>
              <w:t xml:space="preserve"> myeloma</w:t>
            </w:r>
          </w:p>
        </w:tc>
      </w:tr>
      <w:tr w:rsidR="00214E2F" w:rsidRPr="000B52C6" w14:paraId="34D36D15" w14:textId="77777777" w:rsidTr="00703546">
        <w:trPr>
          <w:trHeight w:val="237"/>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0F1CD" w14:textId="4D5EA8E2"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93497" w14:textId="77777777" w:rsidR="00214E2F" w:rsidRPr="000B52C6" w:rsidRDefault="00214E2F" w:rsidP="00214E2F">
            <w:pPr>
              <w:rPr>
                <w:rFonts w:ascii="Arial Narrow" w:hAnsi="Arial Narrow"/>
                <w:i/>
                <w:sz w:val="20"/>
                <w:szCs w:val="20"/>
                <w:lang w:val="en-AU"/>
              </w:rPr>
            </w:pPr>
            <w:r w:rsidRPr="000B52C6">
              <w:rPr>
                <w:rFonts w:ascii="Arial Narrow" w:hAnsi="Arial Narrow"/>
                <w:b/>
                <w:sz w:val="20"/>
                <w:szCs w:val="20"/>
                <w:lang w:val="en-AU"/>
              </w:rPr>
              <w:t xml:space="preserve">PBS Indication: </w:t>
            </w:r>
            <w:r w:rsidRPr="000B52C6">
              <w:rPr>
                <w:rFonts w:ascii="Arial Narrow" w:hAnsi="Arial Narrow"/>
                <w:strike/>
                <w:sz w:val="20"/>
                <w:szCs w:val="20"/>
                <w:lang w:val="en-AU"/>
              </w:rPr>
              <w:t>Initial treatment: Initial treatment following at least one prior line of drug therapy</w:t>
            </w:r>
            <w:r w:rsidRPr="000B52C6">
              <w:rPr>
                <w:rFonts w:ascii="Arial Narrow" w:hAnsi="Arial Narrow"/>
                <w:sz w:val="20"/>
                <w:szCs w:val="20"/>
                <w:lang w:val="en-AU"/>
              </w:rPr>
              <w:t xml:space="preserve"> </w:t>
            </w:r>
            <w:r w:rsidRPr="000B52C6">
              <w:rPr>
                <w:rFonts w:ascii="Arial Narrow" w:hAnsi="Arial Narrow"/>
                <w:i/>
                <w:sz w:val="20"/>
                <w:szCs w:val="20"/>
                <w:lang w:val="en-AU"/>
              </w:rPr>
              <w:t>Relapsed and/or refractory multiple myeloma</w:t>
            </w:r>
          </w:p>
        </w:tc>
      </w:tr>
      <w:tr w:rsidR="00214E2F" w:rsidRPr="000B52C6" w14:paraId="5E3B4C02" w14:textId="77777777" w:rsidTr="00214E2F">
        <w:trPr>
          <w:trHeight w:val="145"/>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C8B82" w14:textId="77777777" w:rsidR="00214E2F" w:rsidRPr="000B52C6" w:rsidRDefault="00214E2F" w:rsidP="00214E2F">
            <w:pPr>
              <w:spacing w:line="276" w:lineRule="auto"/>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0BBA4" w14:textId="77777777" w:rsidR="00214E2F" w:rsidRPr="000B52C6" w:rsidRDefault="00214E2F" w:rsidP="00214E2F">
            <w:pPr>
              <w:rPr>
                <w:rFonts w:ascii="Arial Narrow" w:hAnsi="Arial Narrow"/>
                <w:sz w:val="20"/>
                <w:szCs w:val="20"/>
                <w:lang w:val="en-AU"/>
              </w:rPr>
            </w:pPr>
            <w:r w:rsidRPr="000B52C6">
              <w:rPr>
                <w:rFonts w:ascii="Arial Narrow" w:hAnsi="Arial Narrow"/>
                <w:b/>
                <w:sz w:val="20"/>
                <w:szCs w:val="20"/>
                <w:lang w:val="en-AU"/>
              </w:rPr>
              <w:t>Treatment phase:</w:t>
            </w:r>
            <w:r w:rsidRPr="000B52C6">
              <w:rPr>
                <w:rFonts w:ascii="Arial Narrow" w:hAnsi="Arial Narrow"/>
                <w:sz w:val="20"/>
                <w:szCs w:val="20"/>
                <w:lang w:val="en-AU"/>
              </w:rPr>
              <w:t xml:space="preserve"> Grandfather treatment - Transitioning from non-PBS to PBS-subsidised supply</w:t>
            </w:r>
          </w:p>
        </w:tc>
      </w:tr>
      <w:tr w:rsidR="00214E2F" w:rsidRPr="000B52C6" w14:paraId="6B720548" w14:textId="77777777" w:rsidTr="00214E2F">
        <w:trPr>
          <w:trHeight w:val="149"/>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FC2DE" w14:textId="77777777" w:rsidR="00214E2F" w:rsidRPr="000B52C6" w:rsidRDefault="00214E2F" w:rsidP="00214E2F">
            <w:pPr>
              <w:spacing w:line="276" w:lineRule="auto"/>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385D4" w14:textId="77777777" w:rsidR="00214E2F" w:rsidRPr="000B52C6" w:rsidRDefault="00214E2F" w:rsidP="00214E2F">
            <w:pPr>
              <w:spacing w:line="276" w:lineRule="auto"/>
              <w:rPr>
                <w:rFonts w:ascii="Arial Narrow" w:hAnsi="Arial Narrow"/>
                <w:b/>
                <w:sz w:val="20"/>
                <w:szCs w:val="20"/>
                <w:lang w:val="en-AU"/>
              </w:rPr>
            </w:pPr>
            <w:r w:rsidRPr="000B52C6">
              <w:rPr>
                <w:rFonts w:ascii="Arial Narrow" w:hAnsi="Arial Narrow"/>
                <w:b/>
                <w:sz w:val="20"/>
                <w:szCs w:val="20"/>
                <w:lang w:val="en-AU"/>
              </w:rPr>
              <w:t>Clinical criteria:</w:t>
            </w:r>
          </w:p>
        </w:tc>
      </w:tr>
      <w:tr w:rsidR="00214E2F" w:rsidRPr="000B52C6" w14:paraId="178C9CDF" w14:textId="77777777" w:rsidTr="00214E2F">
        <w:trPr>
          <w:trHeight w:val="149"/>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1913F" w14:textId="77777777"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DDB8E" w14:textId="77777777" w:rsidR="00214E2F" w:rsidRPr="000B52C6" w:rsidRDefault="00214E2F" w:rsidP="00214E2F">
            <w:pPr>
              <w:rPr>
                <w:rFonts w:ascii="Arial Narrow" w:hAnsi="Arial Narrow"/>
                <w:sz w:val="20"/>
                <w:szCs w:val="20"/>
                <w:lang w:val="en-AU"/>
              </w:rPr>
            </w:pPr>
            <w:r w:rsidRPr="000B52C6">
              <w:rPr>
                <w:rFonts w:ascii="Arial Narrow" w:hAnsi="Arial Narrow"/>
                <w:sz w:val="20"/>
                <w:szCs w:val="20"/>
                <w:lang w:val="en-AU"/>
              </w:rPr>
              <w:t xml:space="preserve">Patient must have received non-PBS-subsidised treatment with this drug for this condition prior to [date of </w:t>
            </w:r>
            <w:proofErr w:type="spellStart"/>
            <w:r w:rsidRPr="000B52C6">
              <w:rPr>
                <w:rFonts w:ascii="Arial Narrow" w:hAnsi="Arial Narrow"/>
                <w:sz w:val="20"/>
                <w:szCs w:val="20"/>
                <w:lang w:val="en-AU"/>
              </w:rPr>
              <w:t>selinexor</w:t>
            </w:r>
            <w:proofErr w:type="spellEnd"/>
            <w:r w:rsidRPr="000B52C6">
              <w:rPr>
                <w:rFonts w:ascii="Arial Narrow" w:hAnsi="Arial Narrow"/>
                <w:sz w:val="20"/>
                <w:szCs w:val="20"/>
                <w:lang w:val="en-AU"/>
              </w:rPr>
              <w:t xml:space="preserve"> PBS listing],</w:t>
            </w:r>
          </w:p>
        </w:tc>
      </w:tr>
      <w:tr w:rsidR="00214E2F" w:rsidRPr="000B52C6" w14:paraId="5ECB10CE" w14:textId="77777777" w:rsidTr="00214E2F">
        <w:trPr>
          <w:trHeight w:val="149"/>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AD907" w14:textId="77777777"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495FF" w14:textId="77777777" w:rsidR="00214E2F" w:rsidRPr="000B52C6" w:rsidRDefault="00214E2F" w:rsidP="00214E2F">
            <w:pPr>
              <w:rPr>
                <w:rFonts w:ascii="Arial Narrow" w:hAnsi="Arial Narrow"/>
                <w:b/>
                <w:sz w:val="20"/>
                <w:szCs w:val="20"/>
                <w:lang w:val="en-AU"/>
              </w:rPr>
            </w:pPr>
            <w:r w:rsidRPr="000B52C6">
              <w:rPr>
                <w:rFonts w:ascii="Arial Narrow" w:hAnsi="Arial Narrow"/>
                <w:b/>
                <w:sz w:val="20"/>
                <w:szCs w:val="20"/>
                <w:lang w:val="en-AU"/>
              </w:rPr>
              <w:t>AND</w:t>
            </w:r>
          </w:p>
        </w:tc>
      </w:tr>
      <w:tr w:rsidR="00214E2F" w:rsidRPr="000B52C6" w14:paraId="5061EA93" w14:textId="77777777" w:rsidTr="00703546">
        <w:trPr>
          <w:trHeight w:val="149"/>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09F61" w14:textId="4381C749"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F1F55" w14:textId="77777777" w:rsidR="00214E2F" w:rsidRPr="000B52C6" w:rsidRDefault="00214E2F" w:rsidP="00214E2F">
            <w:pPr>
              <w:rPr>
                <w:rFonts w:ascii="Arial Narrow" w:hAnsi="Arial Narrow"/>
                <w:b/>
                <w:sz w:val="20"/>
                <w:szCs w:val="20"/>
                <w:lang w:val="en-AU"/>
              </w:rPr>
            </w:pPr>
            <w:r w:rsidRPr="000B52C6">
              <w:rPr>
                <w:rFonts w:ascii="Arial Narrow" w:hAnsi="Arial Narrow"/>
                <w:b/>
                <w:sz w:val="20"/>
                <w:szCs w:val="20"/>
                <w:lang w:val="en-AU"/>
              </w:rPr>
              <w:t>Clinical criteria</w:t>
            </w:r>
          </w:p>
        </w:tc>
      </w:tr>
      <w:tr w:rsidR="00214E2F" w:rsidRPr="000B52C6" w14:paraId="52E8B9D1" w14:textId="77777777" w:rsidTr="00214E2F">
        <w:trPr>
          <w:trHeight w:val="149"/>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0FC6B" w14:textId="77777777"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067BE" w14:textId="77777777" w:rsidR="00214E2F" w:rsidRPr="000B52C6" w:rsidRDefault="00214E2F" w:rsidP="00214E2F">
            <w:pPr>
              <w:rPr>
                <w:rFonts w:ascii="Arial Narrow" w:hAnsi="Arial Narrow"/>
                <w:strike/>
                <w:sz w:val="20"/>
                <w:szCs w:val="20"/>
                <w:lang w:val="en-AU"/>
              </w:rPr>
            </w:pPr>
            <w:r w:rsidRPr="000B52C6">
              <w:rPr>
                <w:rFonts w:ascii="Arial Narrow" w:hAnsi="Arial Narrow"/>
                <w:strike/>
                <w:sz w:val="20"/>
                <w:szCs w:val="20"/>
                <w:lang w:val="en-AU"/>
              </w:rPr>
              <w:t>Patient must have met all initial treatment PBS-eligibility criteria applying to a non-grandfathered patient prior to having commenced treatment with this drug.</w:t>
            </w:r>
          </w:p>
        </w:tc>
      </w:tr>
      <w:tr w:rsidR="00214E2F" w:rsidRPr="000B52C6" w14:paraId="701BADF7"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D5FF1" w14:textId="64C7058C"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6724B"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cstheme="minorHAnsi"/>
                <w:i/>
                <w:sz w:val="20"/>
                <w:szCs w:val="20"/>
                <w:lang w:val="en-AU"/>
              </w:rPr>
              <w:t>The condition must be confirmed by a histological diagnosis</w:t>
            </w:r>
          </w:p>
        </w:tc>
      </w:tr>
      <w:tr w:rsidR="00214E2F" w:rsidRPr="000B52C6" w14:paraId="04D14E38"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DCD58"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BA978" w14:textId="77777777" w:rsidR="00214E2F" w:rsidRPr="000B52C6" w:rsidRDefault="00214E2F" w:rsidP="00214E2F">
            <w:pPr>
              <w:rPr>
                <w:rFonts w:ascii="Arial Narrow" w:hAnsi="Arial Narrow" w:cstheme="minorHAnsi"/>
                <w:i/>
                <w:sz w:val="20"/>
                <w:szCs w:val="20"/>
                <w:lang w:val="en-AU"/>
              </w:rPr>
            </w:pPr>
            <w:r w:rsidRPr="000B52C6">
              <w:rPr>
                <w:rFonts w:ascii="Arial Narrow" w:hAnsi="Arial Narrow" w:cstheme="minorHAnsi"/>
                <w:i/>
                <w:sz w:val="20"/>
                <w:szCs w:val="20"/>
                <w:lang w:val="en-AU"/>
              </w:rPr>
              <w:t>AND</w:t>
            </w:r>
          </w:p>
        </w:tc>
      </w:tr>
      <w:tr w:rsidR="00214E2F" w:rsidRPr="000B52C6" w14:paraId="16603758"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263ED"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07409"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cstheme="minorHAnsi"/>
                <w:b/>
                <w:i/>
                <w:sz w:val="20"/>
                <w:szCs w:val="20"/>
                <w:lang w:val="en-AU"/>
              </w:rPr>
              <w:t>Clinical criteria:</w:t>
            </w:r>
          </w:p>
        </w:tc>
      </w:tr>
      <w:tr w:rsidR="00214E2F" w:rsidRPr="000B52C6" w14:paraId="2FCBF92D"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7D5AF"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D3C37" w14:textId="77777777" w:rsidR="00214E2F" w:rsidRPr="000B52C6" w:rsidRDefault="00214E2F" w:rsidP="00214E2F">
            <w:pPr>
              <w:rPr>
                <w:rFonts w:ascii="Arial Narrow" w:hAnsi="Arial Narrow" w:cstheme="minorHAnsi"/>
                <w:i/>
                <w:sz w:val="20"/>
                <w:szCs w:val="20"/>
                <w:lang w:val="en-AU"/>
              </w:rPr>
            </w:pPr>
            <w:r w:rsidRPr="000B52C6">
              <w:rPr>
                <w:rFonts w:ascii="Arial Narrow" w:hAnsi="Arial Narrow" w:cstheme="minorHAnsi"/>
                <w:i/>
                <w:sz w:val="20"/>
                <w:szCs w:val="20"/>
                <w:lang w:val="en-AU"/>
              </w:rPr>
              <w:t>The treatment must be in combination with bortezomib and dexamethasone</w:t>
            </w:r>
          </w:p>
        </w:tc>
      </w:tr>
      <w:tr w:rsidR="00214E2F" w:rsidRPr="000B52C6" w14:paraId="5930087D"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2FC1A" w14:textId="77777777"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E5999"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cstheme="minorHAnsi"/>
                <w:b/>
                <w:i/>
                <w:sz w:val="20"/>
                <w:szCs w:val="20"/>
                <w:lang w:val="en-AU"/>
              </w:rPr>
              <w:t>AND</w:t>
            </w:r>
          </w:p>
        </w:tc>
      </w:tr>
      <w:tr w:rsidR="00214E2F" w:rsidRPr="000B52C6" w14:paraId="3A0AD3C6"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8F4F" w14:textId="422CB762"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92C2"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cstheme="minorHAnsi"/>
                <w:b/>
                <w:i/>
                <w:sz w:val="20"/>
                <w:szCs w:val="20"/>
                <w:lang w:val="en-AU"/>
              </w:rPr>
              <w:t>Clinical criteria:</w:t>
            </w:r>
          </w:p>
        </w:tc>
      </w:tr>
      <w:tr w:rsidR="00214E2F" w:rsidRPr="000B52C6" w14:paraId="6929E5B4"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B2EB7" w14:textId="4883F72E"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C0FE0" w14:textId="77777777" w:rsidR="00214E2F" w:rsidRPr="000B52C6" w:rsidRDefault="00214E2F" w:rsidP="00214E2F">
            <w:pPr>
              <w:rPr>
                <w:rFonts w:ascii="Arial Narrow" w:hAnsi="Arial Narrow" w:cstheme="minorHAnsi"/>
                <w:i/>
                <w:sz w:val="20"/>
                <w:szCs w:val="20"/>
                <w:lang w:val="en-AU"/>
              </w:rPr>
            </w:pPr>
            <w:r w:rsidRPr="000B52C6">
              <w:rPr>
                <w:rFonts w:ascii="Arial Narrow" w:hAnsi="Arial Narrow" w:cstheme="minorHAnsi"/>
                <w:i/>
                <w:sz w:val="20"/>
                <w:szCs w:val="20"/>
                <w:lang w:val="en-AU"/>
              </w:rPr>
              <w:t>Patient must have progressive disease after at least one prior therapy for this condition</w:t>
            </w:r>
          </w:p>
        </w:tc>
      </w:tr>
      <w:tr w:rsidR="00214E2F" w:rsidRPr="000B52C6" w14:paraId="1EBDDEF4"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E28B9"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4CFE20"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cstheme="minorHAnsi"/>
                <w:b/>
                <w:i/>
                <w:sz w:val="20"/>
                <w:szCs w:val="20"/>
                <w:lang w:val="en-AU"/>
              </w:rPr>
              <w:t>AND</w:t>
            </w:r>
          </w:p>
        </w:tc>
      </w:tr>
      <w:tr w:rsidR="00214E2F" w:rsidRPr="000B52C6" w14:paraId="50247B36"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EFB7F" w14:textId="09AE6B9E"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33491"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b/>
                <w:sz w:val="20"/>
                <w:szCs w:val="20"/>
                <w:lang w:val="en-AU"/>
              </w:rPr>
              <w:t>Clinical criteria</w:t>
            </w:r>
            <w:r w:rsidRPr="000B52C6">
              <w:rPr>
                <w:rFonts w:ascii="Arial Narrow" w:hAnsi="Arial Narrow" w:cstheme="minorHAnsi"/>
                <w:sz w:val="20"/>
                <w:szCs w:val="20"/>
                <w:lang w:val="en-AU"/>
              </w:rPr>
              <w:t>:</w:t>
            </w:r>
          </w:p>
        </w:tc>
      </w:tr>
      <w:tr w:rsidR="00214E2F" w:rsidRPr="000B52C6" w14:paraId="6091FD7A"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7ACF9" w14:textId="03633FF4"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8494" w14:textId="77777777" w:rsidR="00214E2F" w:rsidRPr="000B52C6" w:rsidRDefault="00214E2F" w:rsidP="00214E2F">
            <w:pPr>
              <w:rPr>
                <w:rFonts w:ascii="Arial Narrow" w:hAnsi="Arial Narrow" w:cstheme="minorHAnsi"/>
                <w:i/>
                <w:sz w:val="20"/>
                <w:szCs w:val="20"/>
                <w:lang w:val="en-AU"/>
              </w:rPr>
            </w:pPr>
            <w:r w:rsidRPr="000B52C6">
              <w:rPr>
                <w:rFonts w:ascii="Arial Narrow" w:hAnsi="Arial Narrow" w:cstheme="minorHAnsi"/>
                <w:i/>
                <w:sz w:val="20"/>
                <w:szCs w:val="20"/>
                <w:lang w:val="en-AU"/>
              </w:rPr>
              <w:t>Patient must not have previously received this drug for this condition</w:t>
            </w:r>
          </w:p>
        </w:tc>
      </w:tr>
      <w:tr w:rsidR="00214E2F" w:rsidRPr="000B52C6" w14:paraId="3CCD12B2"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617BF"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9DFD6"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cstheme="minorHAnsi"/>
                <w:sz w:val="20"/>
                <w:szCs w:val="20"/>
                <w:lang w:val="en-AU"/>
              </w:rPr>
              <w:t>AND</w:t>
            </w:r>
          </w:p>
        </w:tc>
      </w:tr>
      <w:tr w:rsidR="00214E2F" w:rsidRPr="000B52C6" w14:paraId="4AE2D967"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12008" w14:textId="77777777"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6B822" w14:textId="77777777" w:rsidR="00214E2F" w:rsidRPr="000B52C6" w:rsidRDefault="00214E2F" w:rsidP="00214E2F">
            <w:pPr>
              <w:rPr>
                <w:rFonts w:ascii="Arial Narrow" w:hAnsi="Arial Narrow" w:cstheme="minorHAnsi"/>
                <w:sz w:val="20"/>
                <w:szCs w:val="20"/>
                <w:lang w:val="en-AU"/>
              </w:rPr>
            </w:pPr>
            <w:r w:rsidRPr="000B52C6">
              <w:rPr>
                <w:rFonts w:ascii="Arial Narrow" w:hAnsi="Arial Narrow"/>
                <w:i/>
                <w:sz w:val="20"/>
                <w:szCs w:val="20"/>
                <w:lang w:val="en-AU"/>
              </w:rPr>
              <w:t>Patient must not be receiving concomitant PBS-subsidised treatment with any of the following: (</w:t>
            </w:r>
            <w:proofErr w:type="spellStart"/>
            <w:r w:rsidRPr="000B52C6">
              <w:rPr>
                <w:rFonts w:ascii="Arial Narrow" w:hAnsi="Arial Narrow"/>
                <w:i/>
                <w:sz w:val="20"/>
                <w:szCs w:val="20"/>
                <w:lang w:val="en-AU"/>
              </w:rPr>
              <w:t>i</w:t>
            </w:r>
            <w:proofErr w:type="spellEnd"/>
            <w:r w:rsidRPr="000B52C6">
              <w:rPr>
                <w:rFonts w:ascii="Arial Narrow" w:hAnsi="Arial Narrow"/>
                <w:i/>
                <w:sz w:val="20"/>
                <w:szCs w:val="20"/>
                <w:lang w:val="en-AU"/>
              </w:rPr>
              <w:t>) proteasome inhibitors, (ii) immunomodulators, (iii</w:t>
            </w:r>
            <w:proofErr w:type="gramStart"/>
            <w:r w:rsidRPr="000B52C6">
              <w:rPr>
                <w:rFonts w:ascii="Arial Narrow" w:hAnsi="Arial Narrow"/>
                <w:i/>
                <w:sz w:val="20"/>
                <w:szCs w:val="20"/>
                <w:lang w:val="en-AU"/>
              </w:rPr>
              <w:t>)  anti</w:t>
            </w:r>
            <w:proofErr w:type="gramEnd"/>
            <w:r w:rsidRPr="000B52C6">
              <w:rPr>
                <w:rFonts w:ascii="Arial Narrow" w:hAnsi="Arial Narrow"/>
                <w:i/>
                <w:sz w:val="20"/>
                <w:szCs w:val="20"/>
                <w:lang w:val="en-AU"/>
              </w:rPr>
              <w:t xml:space="preserve">-CD38 monoclonal antibody </w:t>
            </w:r>
          </w:p>
        </w:tc>
      </w:tr>
      <w:tr w:rsidR="00214E2F" w:rsidRPr="000B52C6" w14:paraId="0A780FB9" w14:textId="77777777" w:rsidTr="00214E2F">
        <w:trPr>
          <w:trHeight w:val="149"/>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B1137" w14:textId="77777777"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07226" w14:textId="77777777" w:rsidR="00214E2F" w:rsidRPr="000B52C6" w:rsidRDefault="00214E2F" w:rsidP="00214E2F">
            <w:pPr>
              <w:rPr>
                <w:rFonts w:ascii="Arial Narrow" w:hAnsi="Arial Narrow"/>
                <w:b/>
                <w:sz w:val="20"/>
                <w:szCs w:val="20"/>
                <w:lang w:val="en-AU"/>
              </w:rPr>
            </w:pPr>
            <w:r w:rsidRPr="000B52C6">
              <w:rPr>
                <w:rFonts w:ascii="Arial Narrow" w:hAnsi="Arial Narrow"/>
                <w:b/>
                <w:sz w:val="20"/>
                <w:szCs w:val="20"/>
                <w:lang w:val="en-AU"/>
              </w:rPr>
              <w:t>AND</w:t>
            </w:r>
          </w:p>
        </w:tc>
      </w:tr>
      <w:tr w:rsidR="00214E2F" w:rsidRPr="000B52C6" w14:paraId="7129F662" w14:textId="77777777" w:rsidTr="00214E2F">
        <w:trPr>
          <w:trHeight w:val="149"/>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FDF9C" w14:textId="77777777"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22E61" w14:textId="77777777" w:rsidR="00214E2F" w:rsidRPr="000B52C6" w:rsidRDefault="00214E2F" w:rsidP="00214E2F">
            <w:pPr>
              <w:rPr>
                <w:rFonts w:ascii="Arial Narrow" w:hAnsi="Arial Narrow"/>
                <w:b/>
                <w:sz w:val="20"/>
                <w:szCs w:val="20"/>
                <w:lang w:val="en-AU"/>
              </w:rPr>
            </w:pPr>
            <w:r w:rsidRPr="000B52C6">
              <w:rPr>
                <w:rFonts w:ascii="Arial Narrow" w:hAnsi="Arial Narrow"/>
                <w:b/>
                <w:sz w:val="20"/>
                <w:szCs w:val="20"/>
                <w:lang w:val="en-AU"/>
              </w:rPr>
              <w:t>Clinical criteria:</w:t>
            </w:r>
          </w:p>
        </w:tc>
      </w:tr>
      <w:tr w:rsidR="00214E2F" w:rsidRPr="000B52C6" w14:paraId="14112B0F"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E01D0" w14:textId="77777777" w:rsidR="00214E2F" w:rsidRPr="000B52C6" w:rsidRDefault="00214E2F" w:rsidP="00214E2F">
            <w:pPr>
              <w:jc w:val="center"/>
              <w:rPr>
                <w:rFonts w:ascii="Arial Narrow" w:hAnsi="Arial Narrow"/>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87E46" w14:textId="77777777" w:rsidR="00214E2F" w:rsidRPr="000B52C6" w:rsidRDefault="00214E2F" w:rsidP="00214E2F">
            <w:pPr>
              <w:rPr>
                <w:rFonts w:ascii="Arial Narrow" w:hAnsi="Arial Narrow"/>
                <w:sz w:val="20"/>
                <w:szCs w:val="20"/>
                <w:lang w:val="en-AU"/>
              </w:rPr>
            </w:pPr>
            <w:r w:rsidRPr="000B52C6">
              <w:rPr>
                <w:rFonts w:ascii="Arial Narrow" w:hAnsi="Arial Narrow"/>
                <w:sz w:val="20"/>
                <w:szCs w:val="20"/>
                <w:lang w:val="en-AU"/>
              </w:rPr>
              <w:t>Patient must not have developed disease progression while receiving treatment with this drug for this condition.</w:t>
            </w:r>
          </w:p>
        </w:tc>
      </w:tr>
      <w:tr w:rsidR="00214E2F" w:rsidRPr="000B52C6" w14:paraId="252F6934"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D9A04" w14:textId="77777777" w:rsidR="00214E2F" w:rsidRPr="000B52C6" w:rsidRDefault="00214E2F" w:rsidP="00214E2F">
            <w:pPr>
              <w:jc w:val="center"/>
              <w:rPr>
                <w:rFonts w:ascii="Arial Narrow" w:hAnsi="Arial Narrow"/>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A74CE" w14:textId="77777777" w:rsidR="00214E2F" w:rsidRPr="000B52C6" w:rsidRDefault="00214E2F" w:rsidP="00214E2F">
            <w:pPr>
              <w:rPr>
                <w:rFonts w:ascii="Arial Narrow" w:hAnsi="Arial Narrow"/>
                <w:b/>
                <w:i/>
                <w:sz w:val="20"/>
                <w:szCs w:val="20"/>
                <w:lang w:val="en-AU"/>
              </w:rPr>
            </w:pPr>
            <w:r w:rsidRPr="000B52C6">
              <w:rPr>
                <w:rFonts w:ascii="Arial Narrow" w:hAnsi="Arial Narrow"/>
                <w:b/>
                <w:i/>
                <w:strike/>
                <w:sz w:val="20"/>
                <w:szCs w:val="20"/>
                <w:lang w:val="en-AU"/>
              </w:rPr>
              <w:t>Definitions:</w:t>
            </w:r>
            <w:r w:rsidRPr="000B52C6">
              <w:rPr>
                <w:rFonts w:ascii="Arial Narrow" w:hAnsi="Arial Narrow"/>
                <w:b/>
                <w:i/>
                <w:sz w:val="20"/>
                <w:szCs w:val="20"/>
                <w:lang w:val="en-AU"/>
              </w:rPr>
              <w:t xml:space="preserve"> Prescriber instructions:</w:t>
            </w:r>
          </w:p>
          <w:p w14:paraId="425FC54C"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Progressive disease is defined as at least 1 of the following:</w:t>
            </w:r>
          </w:p>
          <w:p w14:paraId="6F20D2DE"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(a) at least a 25% increase and an absolute increase of at least 5 g per L in serum M protein (monoclonal protein); or</w:t>
            </w:r>
          </w:p>
          <w:p w14:paraId="59467BD1"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(b) at least a 25% increase in 24-hour urinary light chain M protein excretion, and an absolute increase of at least 200 mg per 24 hours; or</w:t>
            </w:r>
          </w:p>
          <w:p w14:paraId="0008F3CC"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 xml:space="preserve">(c) in oligo-secretory and non-secretory myeloma patients only, at least a 50% increase of the difference between involved free light chain and uninvolved free light </w:t>
            </w:r>
            <w:proofErr w:type="gramStart"/>
            <w:r w:rsidRPr="000B52C6">
              <w:rPr>
                <w:rFonts w:ascii="Arial Narrow" w:hAnsi="Arial Narrow"/>
                <w:i/>
                <w:sz w:val="20"/>
                <w:szCs w:val="20"/>
                <w:lang w:val="en-AU"/>
              </w:rPr>
              <w:t>chain;</w:t>
            </w:r>
            <w:proofErr w:type="gramEnd"/>
            <w:r w:rsidRPr="000B52C6">
              <w:rPr>
                <w:rFonts w:ascii="Arial Narrow" w:hAnsi="Arial Narrow"/>
                <w:i/>
                <w:sz w:val="20"/>
                <w:szCs w:val="20"/>
                <w:lang w:val="en-AU"/>
              </w:rPr>
              <w:t xml:space="preserve"> or</w:t>
            </w:r>
          </w:p>
          <w:p w14:paraId="727D77AD"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(d) at least a 25% relative increase and at least a 10% absolute increase in plasma cells in a bone marrow aspirate or on biopsy; or</w:t>
            </w:r>
          </w:p>
          <w:p w14:paraId="52652C3F"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(e) an increase in the size or number of lytic bone lesions (not including compression fractures); or</w:t>
            </w:r>
          </w:p>
          <w:p w14:paraId="0E5F52DE"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(f) at least a 25% increase in the size of an existing or the development of a new soft tissue plasmacytoma (determined by clinical examination or diagnostic imaging); or</w:t>
            </w:r>
          </w:p>
          <w:p w14:paraId="79FACA4A"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(g) development of hypercalcaemia (corrected serum calcium greater than 2.65 mmol per L not attributable to any other cause).</w:t>
            </w:r>
          </w:p>
        </w:tc>
      </w:tr>
      <w:tr w:rsidR="00214E2F" w:rsidRPr="000B52C6" w14:paraId="59A7F9A2"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3AE28"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D0C33"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cstheme="minorHAnsi"/>
                <w:b/>
                <w:i/>
                <w:sz w:val="20"/>
                <w:szCs w:val="20"/>
                <w:lang w:val="en-AU"/>
              </w:rPr>
              <w:t>Prescriber instructions:</w:t>
            </w:r>
          </w:p>
          <w:p w14:paraId="2EE9C7EF"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i/>
                <w:sz w:val="20"/>
                <w:szCs w:val="20"/>
                <w:lang w:val="en-AU"/>
              </w:rPr>
              <w:t>Oligo-secretory and non-secretory patients are defined as having active disease with less than 10 g per L serum M protein.</w:t>
            </w:r>
          </w:p>
        </w:tc>
      </w:tr>
      <w:tr w:rsidR="00214E2F" w:rsidRPr="000B52C6" w14:paraId="3134A9DE"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0A594"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CDD8F"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cstheme="minorHAnsi"/>
                <w:b/>
                <w:i/>
                <w:sz w:val="20"/>
                <w:szCs w:val="20"/>
                <w:lang w:val="en-AU"/>
              </w:rPr>
              <w:t>Prescriber instructions:</w:t>
            </w:r>
          </w:p>
          <w:p w14:paraId="704C72AA" w14:textId="77777777" w:rsidR="00214E2F" w:rsidRPr="000B52C6" w:rsidRDefault="00214E2F" w:rsidP="00214E2F">
            <w:pPr>
              <w:rPr>
                <w:rFonts w:ascii="Arial Narrow" w:hAnsi="Arial Narrow" w:cstheme="minorHAnsi"/>
                <w:i/>
                <w:sz w:val="20"/>
                <w:szCs w:val="20"/>
                <w:lang w:val="en-AU"/>
              </w:rPr>
            </w:pPr>
            <w:r w:rsidRPr="000B52C6">
              <w:rPr>
                <w:rFonts w:ascii="Arial Narrow" w:hAnsi="Arial Narrow" w:cstheme="minorHAnsi"/>
                <w:i/>
                <w:sz w:val="20"/>
                <w:szCs w:val="20"/>
                <w:lang w:val="en-AU"/>
              </w:rPr>
              <w:t xml:space="preserve">Details </w:t>
            </w:r>
            <w:proofErr w:type="gramStart"/>
            <w:r w:rsidRPr="000B52C6">
              <w:rPr>
                <w:rFonts w:ascii="Arial Narrow" w:hAnsi="Arial Narrow" w:cstheme="minorHAnsi"/>
                <w:i/>
                <w:sz w:val="20"/>
                <w:szCs w:val="20"/>
                <w:lang w:val="en-AU"/>
              </w:rPr>
              <w:t>of:</w:t>
            </w:r>
            <w:proofErr w:type="gramEnd"/>
            <w:r w:rsidRPr="000B52C6">
              <w:rPr>
                <w:rFonts w:ascii="Arial Narrow" w:hAnsi="Arial Narrow" w:cstheme="minorHAnsi"/>
                <w:i/>
                <w:sz w:val="20"/>
                <w:szCs w:val="20"/>
                <w:lang w:val="en-AU"/>
              </w:rPr>
              <w:t xml:space="preserve">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in the patient’s medical records.</w:t>
            </w:r>
          </w:p>
          <w:p w14:paraId="3FD7DB0B"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 xml:space="preserve">Confirmation of eligibility for treatment with current diagnostic reports of at least one of the following must be documented in the patient's medical records: </w:t>
            </w:r>
          </w:p>
          <w:p w14:paraId="56FB156D"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 xml:space="preserve">(a) the level of serum monoclonal protein; or </w:t>
            </w:r>
          </w:p>
          <w:p w14:paraId="7971EE08"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 xml:space="preserve">(b) Bence-Jones proteinuria - the results of 24-hour urinary light chain M protein excretion; or </w:t>
            </w:r>
          </w:p>
          <w:p w14:paraId="22C59747"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 xml:space="preserve">(c) the serum level of free kappa and lambda light chains; or </w:t>
            </w:r>
          </w:p>
          <w:p w14:paraId="114947B4"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 xml:space="preserve">(d) bone marrow aspirate or trephine; or </w:t>
            </w:r>
          </w:p>
          <w:p w14:paraId="43506DC0"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 xml:space="preserve">(e) if present, the size and location of lytic bone lesions (not including compression fractures); or </w:t>
            </w:r>
          </w:p>
          <w:p w14:paraId="7F8F42C7"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 xml:space="preserve">(f) if present, the size and location of all soft tissue plasmacytomas by clinical or radiographic examination </w:t>
            </w:r>
            <w:proofErr w:type="gramStart"/>
            <w:r w:rsidRPr="000B52C6">
              <w:rPr>
                <w:rFonts w:ascii="Arial Narrow" w:hAnsi="Arial Narrow"/>
                <w:i/>
                <w:sz w:val="20"/>
                <w:szCs w:val="20"/>
                <w:lang w:val="en-AU"/>
              </w:rPr>
              <w:t>i.e.</w:t>
            </w:r>
            <w:proofErr w:type="gramEnd"/>
            <w:r w:rsidRPr="000B52C6">
              <w:rPr>
                <w:rFonts w:ascii="Arial Narrow" w:hAnsi="Arial Narrow"/>
                <w:i/>
                <w:sz w:val="20"/>
                <w:szCs w:val="20"/>
                <w:lang w:val="en-AU"/>
              </w:rPr>
              <w:t xml:space="preserve"> MRI or </w:t>
            </w:r>
            <w:proofErr w:type="spellStart"/>
            <w:r w:rsidRPr="000B52C6">
              <w:rPr>
                <w:rFonts w:ascii="Arial Narrow" w:hAnsi="Arial Narrow"/>
                <w:i/>
                <w:sz w:val="20"/>
                <w:szCs w:val="20"/>
                <w:lang w:val="en-AU"/>
              </w:rPr>
              <w:t>CTscan</w:t>
            </w:r>
            <w:proofErr w:type="spellEnd"/>
            <w:r w:rsidRPr="000B52C6">
              <w:rPr>
                <w:rFonts w:ascii="Arial Narrow" w:hAnsi="Arial Narrow"/>
                <w:i/>
                <w:sz w:val="20"/>
                <w:szCs w:val="20"/>
                <w:lang w:val="en-AU"/>
              </w:rPr>
              <w:t xml:space="preserve">; or </w:t>
            </w:r>
          </w:p>
          <w:p w14:paraId="3601B8F1" w14:textId="77777777" w:rsidR="00214E2F" w:rsidRPr="000B52C6" w:rsidRDefault="00214E2F" w:rsidP="00214E2F">
            <w:pPr>
              <w:rPr>
                <w:rFonts w:ascii="Arial Narrow" w:hAnsi="Arial Narrow"/>
                <w:i/>
                <w:sz w:val="20"/>
                <w:szCs w:val="20"/>
                <w:lang w:val="en-AU"/>
              </w:rPr>
            </w:pPr>
            <w:r w:rsidRPr="000B52C6">
              <w:rPr>
                <w:rFonts w:ascii="Arial Narrow" w:hAnsi="Arial Narrow"/>
                <w:i/>
                <w:sz w:val="20"/>
                <w:szCs w:val="20"/>
                <w:lang w:val="en-AU"/>
              </w:rPr>
              <w:t xml:space="preserve">(g) if present, the level of hypercalcaemia, corrected for albumin concentration. </w:t>
            </w:r>
          </w:p>
          <w:p w14:paraId="7B20B7B6" w14:textId="77777777" w:rsidR="00214E2F" w:rsidRPr="000B52C6" w:rsidRDefault="00214E2F" w:rsidP="00214E2F">
            <w:pPr>
              <w:rPr>
                <w:rFonts w:ascii="Arial Narrow" w:hAnsi="Arial Narrow"/>
                <w:sz w:val="20"/>
                <w:szCs w:val="20"/>
                <w:lang w:val="en-AU"/>
              </w:rPr>
            </w:pPr>
            <w:r w:rsidRPr="000B52C6">
              <w:rPr>
                <w:rFonts w:ascii="Arial Narrow" w:hAnsi="Arial Narrow"/>
                <w:i/>
                <w:sz w:val="20"/>
                <w:szCs w:val="20"/>
                <w:lang w:val="en-AU"/>
              </w:rPr>
              <w:t xml:space="preserve">As these parameters must be used to determine response, results for either (a) or (b) or (c) should be documented for all patients. Where the patient has oligo-secretory or non-secretory multiple myeloma, either (c) or (d) or if relevant (e), (f) or (g) must be documented in the patient's medical records. Where </w:t>
            </w:r>
            <w:r w:rsidRPr="000B52C6">
              <w:rPr>
                <w:rFonts w:ascii="Arial Narrow" w:hAnsi="Arial Narrow"/>
                <w:i/>
                <w:sz w:val="20"/>
                <w:szCs w:val="20"/>
                <w:lang w:val="en-AU"/>
              </w:rPr>
              <w:lastRenderedPageBreak/>
              <w:t xml:space="preserve">the prescriber plans to assess response in patients with oligo-secretory or non-secretory multiple myeloma with free light chain assays, evidence of the oligo-secretory or </w:t>
            </w:r>
            <w:proofErr w:type="spellStart"/>
            <w:r w:rsidRPr="000B52C6">
              <w:rPr>
                <w:rFonts w:ascii="Arial Narrow" w:hAnsi="Arial Narrow"/>
                <w:i/>
                <w:sz w:val="20"/>
                <w:szCs w:val="20"/>
                <w:lang w:val="en-AU"/>
              </w:rPr>
              <w:t>nonsecretory</w:t>
            </w:r>
            <w:proofErr w:type="spellEnd"/>
            <w:r w:rsidRPr="000B52C6">
              <w:rPr>
                <w:rFonts w:ascii="Arial Narrow" w:hAnsi="Arial Narrow"/>
                <w:i/>
                <w:sz w:val="20"/>
                <w:szCs w:val="20"/>
                <w:lang w:val="en-AU"/>
              </w:rPr>
              <w:t xml:space="preserve"> nature of the multiple myeloma (current serum M protein less than 10 g per L) must be documented in the patient's medical records.</w:t>
            </w:r>
          </w:p>
        </w:tc>
      </w:tr>
      <w:tr w:rsidR="00214E2F" w:rsidRPr="000B52C6" w14:paraId="755F6EA0"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58117" w14:textId="77777777" w:rsidR="00214E2F" w:rsidRPr="000B52C6" w:rsidRDefault="00214E2F" w:rsidP="00214E2F">
            <w:pPr>
              <w:jc w:val="center"/>
              <w:rPr>
                <w:rFonts w:ascii="Arial Narrow" w:hAnsi="Arial Narrow" w:cstheme="minorHAnsi"/>
                <w:b/>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62838"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cstheme="minorHAnsi"/>
                <w:b/>
                <w:i/>
                <w:sz w:val="20"/>
                <w:szCs w:val="20"/>
                <w:lang w:val="en-AU"/>
              </w:rPr>
              <w:t>Administrative Advice:</w:t>
            </w:r>
          </w:p>
          <w:p w14:paraId="0611D685" w14:textId="77777777" w:rsidR="00214E2F" w:rsidRPr="000B52C6" w:rsidRDefault="00214E2F" w:rsidP="00214E2F">
            <w:pPr>
              <w:rPr>
                <w:rFonts w:ascii="Arial Narrow" w:hAnsi="Arial Narrow" w:cstheme="minorHAnsi"/>
                <w:b/>
                <w:i/>
                <w:sz w:val="20"/>
                <w:szCs w:val="20"/>
                <w:lang w:val="en-AU"/>
              </w:rPr>
            </w:pPr>
            <w:r w:rsidRPr="000B52C6">
              <w:rPr>
                <w:rFonts w:ascii="Arial Narrow" w:hAnsi="Arial Narrow"/>
                <w:bCs/>
                <w:i/>
                <w:sz w:val="20"/>
                <w:szCs w:val="20"/>
                <w:lang w:val="en-AU"/>
              </w:rPr>
              <w:t>Applications for authorisation under this restriction may be made in real time using the Online PBS Authorities system (see www.servicesaustralia.gov.au/HPOS) or by telephone by contacting Services Australia on 1800 888 333.</w:t>
            </w:r>
          </w:p>
        </w:tc>
      </w:tr>
      <w:tr w:rsidR="00214E2F" w:rsidRPr="000B52C6" w14:paraId="2937BAB7"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3E6CF" w14:textId="4A8A254F"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A889D" w14:textId="77777777" w:rsidR="00214E2F" w:rsidRPr="000B52C6" w:rsidRDefault="00214E2F" w:rsidP="00214E2F">
            <w:pPr>
              <w:rPr>
                <w:rFonts w:ascii="Arial Narrow" w:hAnsi="Arial Narrow" w:cstheme="minorHAnsi"/>
                <w:i/>
                <w:sz w:val="20"/>
                <w:szCs w:val="20"/>
                <w:lang w:val="en-AU"/>
              </w:rPr>
            </w:pPr>
            <w:r w:rsidRPr="000B52C6">
              <w:rPr>
                <w:rFonts w:ascii="Arial Narrow" w:hAnsi="Arial Narrow" w:cstheme="minorHAnsi"/>
                <w:b/>
                <w:i/>
                <w:sz w:val="20"/>
                <w:szCs w:val="20"/>
                <w:lang w:val="en-AU"/>
              </w:rPr>
              <w:t xml:space="preserve">Administrative Advice: </w:t>
            </w:r>
            <w:r w:rsidRPr="000B52C6">
              <w:rPr>
                <w:rFonts w:ascii="Arial Narrow" w:hAnsi="Arial Narrow" w:cstheme="minorHAnsi"/>
                <w:i/>
                <w:sz w:val="20"/>
                <w:szCs w:val="20"/>
                <w:lang w:val="en-AU"/>
              </w:rPr>
              <w:t>No increase in the maximum number of repeats may be authorised.</w:t>
            </w:r>
          </w:p>
        </w:tc>
      </w:tr>
      <w:tr w:rsidR="00214E2F" w:rsidRPr="000B52C6" w14:paraId="5A7BF1A7" w14:textId="77777777" w:rsidTr="00703546">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2C37D" w14:textId="30C61720"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2776A" w14:textId="77777777" w:rsidR="00214E2F" w:rsidRPr="000B52C6" w:rsidRDefault="00214E2F" w:rsidP="00214E2F">
            <w:pPr>
              <w:rPr>
                <w:rFonts w:ascii="Arial Narrow" w:hAnsi="Arial Narrow" w:cstheme="minorHAnsi"/>
                <w:i/>
                <w:sz w:val="20"/>
                <w:szCs w:val="20"/>
                <w:lang w:val="en-AU"/>
              </w:rPr>
            </w:pPr>
            <w:r w:rsidRPr="000B52C6">
              <w:rPr>
                <w:rFonts w:ascii="Arial Narrow" w:hAnsi="Arial Narrow" w:cstheme="minorHAnsi"/>
                <w:b/>
                <w:i/>
                <w:sz w:val="20"/>
                <w:szCs w:val="20"/>
                <w:lang w:val="en-AU"/>
              </w:rPr>
              <w:t>Administrative Advice:</w:t>
            </w:r>
            <w:r w:rsidRPr="000B52C6">
              <w:rPr>
                <w:rFonts w:ascii="Arial Narrow" w:hAnsi="Arial Narrow" w:cstheme="minorHAnsi"/>
                <w:i/>
                <w:sz w:val="20"/>
                <w:szCs w:val="20"/>
                <w:lang w:val="en-AU"/>
              </w:rPr>
              <w:t xml:space="preserve"> Special Pricing Arrangements apply</w:t>
            </w:r>
          </w:p>
        </w:tc>
      </w:tr>
      <w:tr w:rsidR="00214E2F" w:rsidRPr="000B52C6" w14:paraId="0389C8EF" w14:textId="77777777" w:rsidTr="00214E2F">
        <w:trPr>
          <w:trHeight w:val="70"/>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26CD5" w14:textId="77777777" w:rsidR="00214E2F" w:rsidRPr="000B52C6" w:rsidRDefault="00214E2F" w:rsidP="00214E2F">
            <w:pPr>
              <w:jc w:val="center"/>
              <w:rPr>
                <w:rFonts w:ascii="Arial Narrow" w:hAnsi="Arial Narrow" w:cstheme="minorHAnsi"/>
                <w:sz w:val="20"/>
                <w:szCs w:val="20"/>
                <w:lang w:val="en-AU"/>
              </w:rPr>
            </w:pPr>
          </w:p>
        </w:tc>
        <w:tc>
          <w:tcPr>
            <w:tcW w:w="7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6070F" w14:textId="56789A5C" w:rsidR="00214E2F" w:rsidRPr="000B52C6" w:rsidRDefault="00214E2F" w:rsidP="00483B4B">
            <w:pPr>
              <w:rPr>
                <w:rFonts w:ascii="Arial Narrow" w:hAnsi="Arial Narrow" w:cstheme="minorHAnsi"/>
                <w:b/>
                <w:i/>
                <w:sz w:val="20"/>
                <w:szCs w:val="20"/>
                <w:lang w:val="en-AU"/>
              </w:rPr>
            </w:pPr>
            <w:r w:rsidRPr="000B52C6">
              <w:rPr>
                <w:rFonts w:ascii="Arial Narrow" w:hAnsi="Arial Narrow" w:cstheme="minorHAnsi"/>
                <w:b/>
                <w:i/>
                <w:sz w:val="20"/>
                <w:szCs w:val="20"/>
                <w:lang w:val="en-AU"/>
              </w:rPr>
              <w:t xml:space="preserve">Caution: </w:t>
            </w:r>
            <w:r w:rsidRPr="000B52C6">
              <w:rPr>
                <w:rFonts w:ascii="Arial Narrow" w:hAnsi="Arial Narrow" w:cstheme="minorHAnsi"/>
                <w:i/>
                <w:sz w:val="20"/>
                <w:szCs w:val="20"/>
                <w:lang w:val="en-AU"/>
              </w:rPr>
              <w:t xml:space="preserve">This drug is a category </w:t>
            </w:r>
            <w:r w:rsidR="00483B4B" w:rsidRPr="000B52C6">
              <w:rPr>
                <w:rFonts w:ascii="Arial Narrow" w:hAnsi="Arial Narrow" w:cstheme="minorHAnsi"/>
                <w:i/>
                <w:sz w:val="20"/>
                <w:szCs w:val="20"/>
                <w:lang w:val="en-AU"/>
              </w:rPr>
              <w:t xml:space="preserve">D </w:t>
            </w:r>
            <w:r w:rsidRPr="000B52C6">
              <w:rPr>
                <w:rFonts w:ascii="Arial Narrow" w:hAnsi="Arial Narrow" w:cstheme="minorHAnsi"/>
                <w:i/>
                <w:sz w:val="20"/>
                <w:szCs w:val="20"/>
                <w:lang w:val="en-AU"/>
              </w:rPr>
              <w:t xml:space="preserve">drug and must not be given to pregnant women. If </w:t>
            </w:r>
            <w:proofErr w:type="spellStart"/>
            <w:r w:rsidRPr="000B52C6">
              <w:rPr>
                <w:rFonts w:ascii="Arial Narrow" w:hAnsi="Arial Narrow" w:cstheme="minorHAnsi"/>
                <w:i/>
                <w:sz w:val="20"/>
                <w:szCs w:val="20"/>
                <w:lang w:val="en-AU"/>
              </w:rPr>
              <w:t>selinexor</w:t>
            </w:r>
            <w:proofErr w:type="spellEnd"/>
            <w:r w:rsidRPr="000B52C6">
              <w:rPr>
                <w:rFonts w:ascii="Arial Narrow" w:hAnsi="Arial Narrow" w:cstheme="minorHAnsi"/>
                <w:i/>
                <w:sz w:val="20"/>
                <w:szCs w:val="20"/>
                <w:lang w:val="en-AU"/>
              </w:rPr>
              <w:t xml:space="preserve"> is taken during pregnancy, a teratogenic effect of </w:t>
            </w:r>
            <w:proofErr w:type="spellStart"/>
            <w:r w:rsidRPr="000B52C6">
              <w:rPr>
                <w:rFonts w:ascii="Arial Narrow" w:hAnsi="Arial Narrow" w:cstheme="minorHAnsi"/>
                <w:i/>
                <w:sz w:val="20"/>
                <w:szCs w:val="20"/>
                <w:lang w:val="en-AU"/>
              </w:rPr>
              <w:t>selinexor</w:t>
            </w:r>
            <w:proofErr w:type="spellEnd"/>
            <w:r w:rsidRPr="000B52C6">
              <w:rPr>
                <w:rFonts w:ascii="Arial Narrow" w:hAnsi="Arial Narrow" w:cstheme="minorHAnsi"/>
                <w:i/>
                <w:sz w:val="20"/>
                <w:szCs w:val="20"/>
                <w:lang w:val="en-AU"/>
              </w:rPr>
              <w:t xml:space="preserve"> in humans cannot be ruled out.</w:t>
            </w:r>
          </w:p>
        </w:tc>
      </w:tr>
    </w:tbl>
    <w:p w14:paraId="099AFEB9" w14:textId="5D270986" w:rsidR="006B3342" w:rsidRPr="000B52C6" w:rsidRDefault="006B3342" w:rsidP="00491768"/>
    <w:p w14:paraId="1A2AAF9D" w14:textId="7749ED31" w:rsidR="006B3342" w:rsidRPr="000B52C6" w:rsidRDefault="006B3342" w:rsidP="006B3342">
      <w:pPr>
        <w:pStyle w:val="3-BodyText"/>
        <w:ind w:left="720" w:hanging="720"/>
      </w:pPr>
      <w:r w:rsidRPr="000B52C6">
        <w:t xml:space="preserve">The resubmission proposed restrictions for initial treatment, continuing treatment, and grandfathering with a restriction level of Authority Required (Telephone, Electronic) as opposed to the July 2021 submission which proposed Authority Required (STREAMLINED). </w:t>
      </w:r>
      <w:r w:rsidRPr="000B52C6">
        <w:rPr>
          <w:iCs/>
        </w:rPr>
        <w:t xml:space="preserve">This was </w:t>
      </w:r>
      <w:r w:rsidR="00941658" w:rsidRPr="000B52C6">
        <w:rPr>
          <w:iCs/>
        </w:rPr>
        <w:t xml:space="preserve">consistent with previous advice </w:t>
      </w:r>
      <w:r w:rsidRPr="000B52C6">
        <w:rPr>
          <w:iCs/>
        </w:rPr>
        <w:t>(para 3.1, Selinexor (RRMM), PBAC</w:t>
      </w:r>
      <w:r w:rsidR="00251F38">
        <w:rPr>
          <w:iCs/>
        </w:rPr>
        <w:t xml:space="preserve"> Public Summary Document</w:t>
      </w:r>
      <w:r w:rsidRPr="000B52C6">
        <w:rPr>
          <w:iCs/>
        </w:rPr>
        <w:t xml:space="preserve"> </w:t>
      </w:r>
      <w:r w:rsidR="00251F38">
        <w:rPr>
          <w:iCs/>
        </w:rPr>
        <w:t>[</w:t>
      </w:r>
      <w:r w:rsidR="00251F38">
        <w:rPr>
          <w:bCs/>
          <w:szCs w:val="20"/>
        </w:rPr>
        <w:t>PSD]</w:t>
      </w:r>
      <w:r w:rsidRPr="000B52C6">
        <w:rPr>
          <w:iCs/>
        </w:rPr>
        <w:t>, July 2021 PBAC meeting)</w:t>
      </w:r>
      <w:r w:rsidRPr="000B52C6">
        <w:t>.</w:t>
      </w:r>
    </w:p>
    <w:p w14:paraId="799015C1" w14:textId="6A1D567A" w:rsidR="006B3342" w:rsidRPr="000B52C6" w:rsidRDefault="006B3342" w:rsidP="006B3342">
      <w:pPr>
        <w:pStyle w:val="3-BodyText"/>
        <w:ind w:left="720" w:hanging="720"/>
        <w:rPr>
          <w:iCs/>
        </w:rPr>
      </w:pPr>
      <w:r w:rsidRPr="000B52C6">
        <w:rPr>
          <w:iCs/>
        </w:rPr>
        <w:t xml:space="preserve">The </w:t>
      </w:r>
      <w:r w:rsidR="00941658" w:rsidRPr="000B52C6">
        <w:rPr>
          <w:iCs/>
        </w:rPr>
        <w:t xml:space="preserve">requested </w:t>
      </w:r>
      <w:r w:rsidRPr="000B52C6">
        <w:rPr>
          <w:iCs/>
        </w:rPr>
        <w:t xml:space="preserve">clinical criteria were consistent with those applied to other RRMM </w:t>
      </w:r>
      <w:r w:rsidR="007B6B1C" w:rsidRPr="000B52C6">
        <w:rPr>
          <w:iCs/>
        </w:rPr>
        <w:t xml:space="preserve">therapies (including </w:t>
      </w:r>
      <w:proofErr w:type="spellStart"/>
      <w:r w:rsidR="007B6B1C" w:rsidRPr="000B52C6">
        <w:rPr>
          <w:iCs/>
        </w:rPr>
        <w:t>EL</w:t>
      </w:r>
      <w:r w:rsidRPr="000B52C6">
        <w:rPr>
          <w:iCs/>
        </w:rPr>
        <w:t>d</w:t>
      </w:r>
      <w:proofErr w:type="spellEnd"/>
      <w:r w:rsidRPr="000B52C6">
        <w:rPr>
          <w:iCs/>
        </w:rPr>
        <w:t xml:space="preserve">, </w:t>
      </w:r>
      <w:proofErr w:type="spellStart"/>
      <w:r w:rsidRPr="000B52C6">
        <w:rPr>
          <w:iCs/>
        </w:rPr>
        <w:t>PBd</w:t>
      </w:r>
      <w:proofErr w:type="spellEnd"/>
      <w:r w:rsidRPr="000B52C6">
        <w:rPr>
          <w:iCs/>
        </w:rPr>
        <w:t xml:space="preserve">, </w:t>
      </w:r>
      <w:proofErr w:type="spellStart"/>
      <w:r w:rsidRPr="000B52C6">
        <w:rPr>
          <w:iCs/>
        </w:rPr>
        <w:t>DBd</w:t>
      </w:r>
      <w:proofErr w:type="spellEnd"/>
      <w:r w:rsidRPr="000B52C6">
        <w:rPr>
          <w:iCs/>
        </w:rPr>
        <w:t xml:space="preserve">, Cd, </w:t>
      </w:r>
      <w:proofErr w:type="spellStart"/>
      <w:r w:rsidRPr="000B52C6">
        <w:rPr>
          <w:iCs/>
        </w:rPr>
        <w:t>Ld</w:t>
      </w:r>
      <w:proofErr w:type="spellEnd"/>
      <w:r w:rsidRPr="000B52C6">
        <w:rPr>
          <w:iCs/>
        </w:rPr>
        <w:t xml:space="preserve"> and Bd). However, the PBAC previously considered that </w:t>
      </w:r>
      <w:proofErr w:type="spellStart"/>
      <w:r w:rsidRPr="000B52C6">
        <w:rPr>
          <w:iCs/>
        </w:rPr>
        <w:t>SBd</w:t>
      </w:r>
      <w:proofErr w:type="spellEnd"/>
      <w:r w:rsidRPr="000B52C6">
        <w:rPr>
          <w:iCs/>
        </w:rPr>
        <w:t xml:space="preserve"> would likely be used as a third or later line treatment (Para. 7.3, Selinexor (RRMM), PBAC </w:t>
      </w:r>
      <w:r w:rsidR="00251F38">
        <w:rPr>
          <w:iCs/>
        </w:rPr>
        <w:t>PSD</w:t>
      </w:r>
      <w:r w:rsidRPr="000B52C6">
        <w:rPr>
          <w:iCs/>
        </w:rPr>
        <w:t xml:space="preserve">, July 2021 PBAC meeting). The </w:t>
      </w:r>
      <w:r w:rsidR="00B07D59" w:rsidRPr="000B52C6">
        <w:rPr>
          <w:iCs/>
        </w:rPr>
        <w:t xml:space="preserve">resubmission presented </w:t>
      </w:r>
      <w:r w:rsidRPr="000B52C6">
        <w:rPr>
          <w:iCs/>
        </w:rPr>
        <w:t xml:space="preserve">clinical evidence for the use of </w:t>
      </w:r>
      <w:proofErr w:type="spellStart"/>
      <w:r w:rsidRPr="000B52C6">
        <w:rPr>
          <w:iCs/>
        </w:rPr>
        <w:t>SBd</w:t>
      </w:r>
      <w:proofErr w:type="spellEnd"/>
      <w:r w:rsidRPr="000B52C6">
        <w:rPr>
          <w:iCs/>
        </w:rPr>
        <w:t xml:space="preserve"> after 1-3 prior therapies, </w:t>
      </w:r>
      <w:r w:rsidR="00B07D59" w:rsidRPr="000B52C6">
        <w:rPr>
          <w:iCs/>
        </w:rPr>
        <w:t>and</w:t>
      </w:r>
      <w:r w:rsidRPr="000B52C6">
        <w:rPr>
          <w:iCs/>
        </w:rPr>
        <w:t xml:space="preserve"> a subgroup analysis </w:t>
      </w:r>
      <w:r w:rsidR="00B07D59" w:rsidRPr="000B52C6">
        <w:rPr>
          <w:iCs/>
        </w:rPr>
        <w:t xml:space="preserve">in </w:t>
      </w:r>
      <w:r w:rsidR="00B07D59" w:rsidRPr="000B52C6">
        <w:t>patients with ≥ 2 prior lines of therapy</w:t>
      </w:r>
      <w:r w:rsidR="00491768" w:rsidRPr="000B52C6">
        <w:t>.</w:t>
      </w:r>
      <w:r w:rsidR="00B07D59" w:rsidRPr="000B52C6">
        <w:t xml:space="preserve"> </w:t>
      </w:r>
      <w:r w:rsidRPr="000B52C6">
        <w:rPr>
          <w:iCs/>
        </w:rPr>
        <w:t xml:space="preserve"> </w:t>
      </w:r>
    </w:p>
    <w:p w14:paraId="2A513D64" w14:textId="028B72E5" w:rsidR="00041CD9" w:rsidRPr="000B52C6" w:rsidRDefault="006B3342" w:rsidP="006B3342">
      <w:pPr>
        <w:pStyle w:val="3-BodyText"/>
        <w:ind w:left="720" w:hanging="720"/>
        <w:rPr>
          <w:iCs/>
        </w:rPr>
      </w:pPr>
      <w:r w:rsidRPr="000B52C6">
        <w:rPr>
          <w:iCs/>
        </w:rPr>
        <w:t>The resubmission proposed a new published price, which reflected a 7% increase relative to the July 2021 submission</w:t>
      </w:r>
      <w:r w:rsidR="00030960" w:rsidRPr="000B52C6">
        <w:rPr>
          <w:iCs/>
        </w:rPr>
        <w:t xml:space="preserve"> because of a decrease in the published bortezomib price. The re</w:t>
      </w:r>
      <w:r w:rsidR="00041CD9" w:rsidRPr="000B52C6">
        <w:rPr>
          <w:iCs/>
        </w:rPr>
        <w:t>submission also requested special pricing, with the effective pricing to be informed by the carfilzomib effective pricing.</w:t>
      </w:r>
    </w:p>
    <w:p w14:paraId="2997B880" w14:textId="1CE63A0F" w:rsidR="00B07D59" w:rsidRPr="000B52C6" w:rsidRDefault="006B3342" w:rsidP="00B07D59">
      <w:pPr>
        <w:pStyle w:val="3-BodyText"/>
        <w:ind w:left="720" w:hanging="720"/>
        <w:rPr>
          <w:iCs/>
        </w:rPr>
      </w:pPr>
      <w:r w:rsidRPr="000B52C6">
        <w:rPr>
          <w:iCs/>
        </w:rPr>
        <w:t xml:space="preserve">The requested published dispensed price for maximum amount (DPMA) reflected the median dose of </w:t>
      </w:r>
      <w:proofErr w:type="spellStart"/>
      <w:r w:rsidRPr="000B52C6">
        <w:rPr>
          <w:iCs/>
        </w:rPr>
        <w:t>selinexor</w:t>
      </w:r>
      <w:proofErr w:type="spellEnd"/>
      <w:r w:rsidRPr="000B52C6">
        <w:rPr>
          <w:iCs/>
        </w:rPr>
        <w:t xml:space="preserve"> used in the trial (BOSTON); 80 mg. This was inconsistent with the </w:t>
      </w:r>
      <w:proofErr w:type="spellStart"/>
      <w:r w:rsidRPr="000B52C6">
        <w:rPr>
          <w:iCs/>
        </w:rPr>
        <w:t>SBd</w:t>
      </w:r>
      <w:proofErr w:type="spellEnd"/>
      <w:r w:rsidRPr="000B52C6">
        <w:rPr>
          <w:iCs/>
        </w:rPr>
        <w:t xml:space="preserve"> </w:t>
      </w:r>
      <w:proofErr w:type="spellStart"/>
      <w:r w:rsidRPr="000B52C6">
        <w:rPr>
          <w:iCs/>
        </w:rPr>
        <w:t>equi</w:t>
      </w:r>
      <w:proofErr w:type="spellEnd"/>
      <w:r w:rsidRPr="000B52C6">
        <w:rPr>
          <w:iCs/>
        </w:rPr>
        <w:t xml:space="preserve">-effective dose calculation applied in the CMA which was based on 100 mg of </w:t>
      </w:r>
      <w:proofErr w:type="spellStart"/>
      <w:r w:rsidRPr="000B52C6">
        <w:rPr>
          <w:iCs/>
        </w:rPr>
        <w:t>selinexor</w:t>
      </w:r>
      <w:proofErr w:type="spellEnd"/>
      <w:r w:rsidRPr="000B52C6">
        <w:rPr>
          <w:iCs/>
        </w:rPr>
        <w:t xml:space="preserve"> per dose, as per the Product Information. The proposed published price ($720.34 per tablet) was </w:t>
      </w:r>
      <w:r w:rsidR="00041CD9" w:rsidRPr="000B52C6">
        <w:rPr>
          <w:iCs/>
        </w:rPr>
        <w:t xml:space="preserve">therefore </w:t>
      </w:r>
      <w:r w:rsidRPr="000B52C6">
        <w:rPr>
          <w:iCs/>
        </w:rPr>
        <w:t>higher than the cost-minimised price per tablet presented as the base case in Section 3 ($</w:t>
      </w:r>
      <w:proofErr w:type="gramStart"/>
      <w:r w:rsidR="00DB2D11" w:rsidRPr="00FF5725">
        <w:rPr>
          <w:iCs/>
          <w:color w:val="000000"/>
          <w:w w:val="15"/>
          <w:shd w:val="solid" w:color="000000" w:fill="000000"/>
          <w:fitText w:val="-20" w:id="-1500846336"/>
          <w14:textFill>
            <w14:solidFill>
              <w14:srgbClr w14:val="000000">
                <w14:alpha w14:val="100000"/>
              </w14:srgbClr>
            </w14:solidFill>
          </w14:textFill>
        </w:rPr>
        <w:t xml:space="preserve">|  </w:t>
      </w:r>
      <w:r w:rsidR="00DB2D11" w:rsidRPr="00FF5725">
        <w:rPr>
          <w:iCs/>
          <w:color w:val="000000"/>
          <w:spacing w:val="-69"/>
          <w:w w:val="15"/>
          <w:shd w:val="solid" w:color="000000" w:fill="000000"/>
          <w:fitText w:val="-20" w:id="-1500846336"/>
          <w14:textFill>
            <w14:solidFill>
              <w14:srgbClr w14:val="000000">
                <w14:alpha w14:val="100000"/>
              </w14:srgbClr>
            </w14:solidFill>
          </w14:textFill>
        </w:rPr>
        <w:t>|</w:t>
      </w:r>
      <w:proofErr w:type="gramEnd"/>
      <w:r w:rsidRPr="000B52C6">
        <w:rPr>
          <w:iCs/>
        </w:rPr>
        <w:t xml:space="preserve"> per tablet).</w:t>
      </w:r>
      <w:r w:rsidR="00041CD9" w:rsidRPr="000B52C6">
        <w:rPr>
          <w:iCs/>
        </w:rPr>
        <w:t xml:space="preserve"> </w:t>
      </w:r>
    </w:p>
    <w:p w14:paraId="62F6C8D6" w14:textId="35F319CB" w:rsidR="00B07D59" w:rsidRPr="000B52C6" w:rsidRDefault="00976BE2" w:rsidP="00DE5E8E">
      <w:pPr>
        <w:pStyle w:val="3-BodyText"/>
        <w:ind w:left="720" w:hanging="720"/>
        <w:rPr>
          <w:iCs/>
        </w:rPr>
      </w:pPr>
      <w:r w:rsidRPr="000B52C6">
        <w:t xml:space="preserve">The resubmission requested two pack sizes, one containing 16 tablets and one containing 20 tablets. </w:t>
      </w:r>
      <w:r w:rsidR="00DE5E8E" w:rsidRPr="000B52C6">
        <w:t xml:space="preserve">The dose of </w:t>
      </w:r>
      <w:proofErr w:type="spellStart"/>
      <w:r w:rsidR="00DE5E8E" w:rsidRPr="000B52C6">
        <w:t>selinexor</w:t>
      </w:r>
      <w:proofErr w:type="spellEnd"/>
      <w:r w:rsidR="00DE5E8E" w:rsidRPr="000B52C6">
        <w:t xml:space="preserve">, as per the Product Information, is </w:t>
      </w:r>
      <w:r w:rsidR="00251F38" w:rsidRPr="000B52C6">
        <w:t>100</w:t>
      </w:r>
      <w:r w:rsidR="00251F38">
        <w:t> </w:t>
      </w:r>
      <w:r w:rsidR="00DE5E8E" w:rsidRPr="000B52C6">
        <w:t xml:space="preserve">mg (5 x 20 mg tablets) orally on Days 1, 8, 15, 22 and 29 of each </w:t>
      </w:r>
      <w:proofErr w:type="gramStart"/>
      <w:r w:rsidR="00DE5E8E" w:rsidRPr="000B52C6">
        <w:t>35 day</w:t>
      </w:r>
      <w:proofErr w:type="gramEnd"/>
      <w:r w:rsidR="00DE5E8E" w:rsidRPr="000B52C6">
        <w:t xml:space="preserve"> cycle (i.e. 5 tablets per week). Thus, the </w:t>
      </w:r>
      <w:proofErr w:type="gramStart"/>
      <w:r w:rsidR="00DE5E8E" w:rsidRPr="000B52C6">
        <w:t>20 tablet</w:t>
      </w:r>
      <w:proofErr w:type="gramEnd"/>
      <w:r w:rsidR="00DE5E8E" w:rsidRPr="000B52C6">
        <w:t xml:space="preserve"> pack would provide treatment for 28 days treatment at the recommended dose. The </w:t>
      </w:r>
      <w:proofErr w:type="gramStart"/>
      <w:r w:rsidR="00DE5E8E" w:rsidRPr="000B52C6">
        <w:t>16 tablet</w:t>
      </w:r>
      <w:proofErr w:type="gramEnd"/>
      <w:r w:rsidR="00DE5E8E" w:rsidRPr="000B52C6">
        <w:t xml:space="preserve"> pack would provide 28 days treatment at the lower dose of 80 mg (4 x 20 mg), which was consistent with the median dose received in the </w:t>
      </w:r>
      <w:r w:rsidR="003E59FC" w:rsidRPr="000B52C6">
        <w:t>BOSTON</w:t>
      </w:r>
      <w:r w:rsidR="00DE5E8E" w:rsidRPr="000B52C6">
        <w:t xml:space="preserve"> trial. The proposed pack sizes are not consistent with the proposed </w:t>
      </w:r>
      <w:proofErr w:type="gramStart"/>
      <w:r w:rsidR="00DE5E8E" w:rsidRPr="000B52C6">
        <w:t>35 day</w:t>
      </w:r>
      <w:proofErr w:type="gramEnd"/>
      <w:r w:rsidR="00DE5E8E" w:rsidRPr="000B52C6">
        <w:t xml:space="preserve"> treatment cycle, since they reflect 28 days of treatment. </w:t>
      </w:r>
      <w:r w:rsidRPr="000B52C6">
        <w:t>Previously</w:t>
      </w:r>
      <w:r w:rsidR="00B07D59" w:rsidRPr="000B52C6">
        <w:t xml:space="preserve"> in June 2021</w:t>
      </w:r>
      <w:r w:rsidRPr="000B52C6">
        <w:t xml:space="preserve">, DUSC </w:t>
      </w:r>
      <w:r w:rsidR="00B07D59" w:rsidRPr="000B52C6">
        <w:t>considered</w:t>
      </w:r>
      <w:r w:rsidRPr="000B52C6">
        <w:t xml:space="preserve"> it was unclear as to when a 16-pack would be prescribed over the 20-pack, given that the proposed restriction for the 16-pack and the 20-pack are the </w:t>
      </w:r>
      <w:r w:rsidRPr="000B52C6">
        <w:lastRenderedPageBreak/>
        <w:t xml:space="preserve">same, and at a dose intensity of 80%, the 20-pack would provide a full cycle’s requirement of </w:t>
      </w:r>
      <w:proofErr w:type="spellStart"/>
      <w:r w:rsidRPr="000B52C6">
        <w:t>selinexor</w:t>
      </w:r>
      <w:proofErr w:type="spellEnd"/>
      <w:r w:rsidRPr="000B52C6">
        <w:t>. DUSC noted that prescribers would likely still prescribe the larger pack-size despite the lower dose intensity for patient convenience (</w:t>
      </w:r>
      <w:r w:rsidR="00452A3D" w:rsidRPr="000B52C6">
        <w:t xml:space="preserve">Para. 6.86, Selinexor (RRMM), PBAC </w:t>
      </w:r>
      <w:r w:rsidR="00251F38">
        <w:t>PSD</w:t>
      </w:r>
      <w:r w:rsidR="00452A3D" w:rsidRPr="000B52C6">
        <w:t>, July 2021 PBAC meeting</w:t>
      </w:r>
      <w:r w:rsidRPr="000B52C6">
        <w:t xml:space="preserve">). </w:t>
      </w:r>
    </w:p>
    <w:p w14:paraId="158302F1" w14:textId="3B320452" w:rsidR="00845BD2" w:rsidRPr="005640E7" w:rsidRDefault="00845BD2" w:rsidP="005640E7">
      <w:pPr>
        <w:ind w:firstLine="709"/>
        <w:rPr>
          <w:rFonts w:asciiTheme="minorHAnsi" w:hAnsiTheme="minorHAnsi"/>
          <w:i/>
        </w:rPr>
      </w:pPr>
      <w:r w:rsidRPr="000B52C6">
        <w:rPr>
          <w:rFonts w:asciiTheme="minorHAnsi" w:hAnsiTheme="minorHAnsi"/>
          <w:i/>
        </w:rPr>
        <w:t>For more detail on PBAC’s view, see section 7 PBAC outcome.</w:t>
      </w:r>
    </w:p>
    <w:p w14:paraId="3BB00DB9" w14:textId="77777777" w:rsidR="006B3342" w:rsidRPr="000B52C6" w:rsidRDefault="006B3342" w:rsidP="006B3342">
      <w:pPr>
        <w:pStyle w:val="2-SectionHeading"/>
        <w:numPr>
          <w:ilvl w:val="0"/>
          <w:numId w:val="1"/>
        </w:numPr>
      </w:pPr>
      <w:bookmarkStart w:id="11" w:name="_Toc93429920"/>
      <w:r w:rsidRPr="000B52C6">
        <w:t>Population and disease</w:t>
      </w:r>
      <w:bookmarkEnd w:id="11"/>
      <w:r w:rsidRPr="000B52C6">
        <w:rPr>
          <w:color w:val="0066FF"/>
        </w:rPr>
        <w:t xml:space="preserve"> </w:t>
      </w:r>
    </w:p>
    <w:p w14:paraId="6C0B4EE4" w14:textId="77777777" w:rsidR="006B3342" w:rsidRPr="000B52C6" w:rsidRDefault="006B3342" w:rsidP="006B3342">
      <w:pPr>
        <w:pStyle w:val="3-BodyText"/>
        <w:ind w:left="720" w:hanging="720"/>
        <w:rPr>
          <w:iCs/>
        </w:rPr>
      </w:pPr>
      <w:r w:rsidRPr="000B52C6">
        <w:t xml:space="preserve">MM is a relatively uncommon cancer of the plasma cells, accounting for approximately 1-2% of all cancers, and approximately 17% of haematological malignancies. MM may remain asymptomatic until later stages of disease, however several signs and symptoms may be clinically identifiable at diagnosis. Those with MM may also be at increased risk of infection due to immune dysfunction. </w:t>
      </w:r>
    </w:p>
    <w:p w14:paraId="09DE210C" w14:textId="18B67AF5" w:rsidR="003E59FC" w:rsidRPr="000B52C6" w:rsidRDefault="006B3342" w:rsidP="006B3342">
      <w:pPr>
        <w:pStyle w:val="3-BodyText"/>
        <w:ind w:left="720" w:hanging="720"/>
      </w:pPr>
      <w:r w:rsidRPr="000B52C6">
        <w:t xml:space="preserve">The clinical management algorithms presented in the resubmission were primarily based on recommendations by the Australian Medical Scientific Advisory Group (MSAG) MM clinical practice guidelines, which were updated in October 2019. The resubmission noted that these guidelines do not make specific recommendations for treatment regimens to be used in first and subsequent lines rather, the guideline provides recommendations for various protocols, with these being based on a specific ‘backbone’ agent, and the treatment should be catered to the specific need of the individual patient. </w:t>
      </w:r>
    </w:p>
    <w:p w14:paraId="08DE751F" w14:textId="5FEBFB01" w:rsidR="006B3342" w:rsidRPr="000B52C6" w:rsidRDefault="006B3342" w:rsidP="003E59FC">
      <w:pPr>
        <w:pStyle w:val="3-BodyText"/>
        <w:ind w:left="720" w:hanging="720"/>
      </w:pPr>
      <w:r w:rsidRPr="000B52C6">
        <w:t>T</w:t>
      </w:r>
      <w:r w:rsidRPr="000B52C6">
        <w:rPr>
          <w:iCs/>
        </w:rPr>
        <w:t xml:space="preserve">he </w:t>
      </w:r>
      <w:r w:rsidR="003E59FC" w:rsidRPr="000B52C6">
        <w:rPr>
          <w:iCs/>
        </w:rPr>
        <w:t xml:space="preserve">proposed </w:t>
      </w:r>
      <w:r w:rsidRPr="000B52C6">
        <w:rPr>
          <w:iCs/>
        </w:rPr>
        <w:t xml:space="preserve">clinical management algorithm presented by the resubmission </w:t>
      </w:r>
      <w:r w:rsidR="003E59FC" w:rsidRPr="000B52C6">
        <w:rPr>
          <w:iCs/>
        </w:rPr>
        <w:t xml:space="preserve">including </w:t>
      </w:r>
      <w:proofErr w:type="spellStart"/>
      <w:r w:rsidR="003E59FC" w:rsidRPr="000B52C6">
        <w:rPr>
          <w:iCs/>
        </w:rPr>
        <w:t>SBd</w:t>
      </w:r>
      <w:proofErr w:type="spellEnd"/>
      <w:r w:rsidR="003E59FC" w:rsidRPr="000B52C6">
        <w:rPr>
          <w:iCs/>
        </w:rPr>
        <w:t xml:space="preserve">, </w:t>
      </w:r>
      <w:r w:rsidR="003E4739" w:rsidRPr="000B52C6">
        <w:rPr>
          <w:iCs/>
        </w:rPr>
        <w:t>was</w:t>
      </w:r>
      <w:r w:rsidR="003E59FC" w:rsidRPr="000B52C6">
        <w:rPr>
          <w:iCs/>
        </w:rPr>
        <w:t xml:space="preserve"> updated </w:t>
      </w:r>
      <w:r w:rsidR="003E59FC" w:rsidRPr="000B52C6">
        <w:t xml:space="preserve">to include recent PBS listing </w:t>
      </w:r>
      <w:r w:rsidR="003E4739" w:rsidRPr="000B52C6">
        <w:rPr>
          <w:iCs/>
        </w:rPr>
        <w:t xml:space="preserve">of </w:t>
      </w:r>
      <w:r w:rsidRPr="000B52C6">
        <w:rPr>
          <w:iCs/>
        </w:rPr>
        <w:t xml:space="preserve">daratumumab and </w:t>
      </w:r>
      <w:proofErr w:type="spellStart"/>
      <w:r w:rsidRPr="000B52C6">
        <w:rPr>
          <w:iCs/>
        </w:rPr>
        <w:t>elotuzumab</w:t>
      </w:r>
      <w:proofErr w:type="spellEnd"/>
      <w:r w:rsidRPr="000B52C6">
        <w:rPr>
          <w:iCs/>
        </w:rPr>
        <w:t xml:space="preserve">. </w:t>
      </w:r>
      <w:r w:rsidR="003E59FC" w:rsidRPr="000B52C6">
        <w:rPr>
          <w:bCs/>
          <w:iCs/>
          <w:szCs w:val="20"/>
        </w:rPr>
        <w:t xml:space="preserve">The ESC considered that the algorithm did not reflect Australian clinical practice. </w:t>
      </w:r>
      <w:r w:rsidR="00CE2AFB" w:rsidRPr="000B52C6">
        <w:t xml:space="preserve">The ESC noted that the resubmission presented </w:t>
      </w:r>
      <w:proofErr w:type="spellStart"/>
      <w:r w:rsidR="00CE2AFB" w:rsidRPr="000B52C6">
        <w:t>SBd</w:t>
      </w:r>
      <w:proofErr w:type="spellEnd"/>
      <w:r w:rsidR="00CE2AFB" w:rsidRPr="000B52C6">
        <w:t xml:space="preserve"> as a second or third line </w:t>
      </w:r>
      <w:proofErr w:type="gramStart"/>
      <w:r w:rsidR="00CE2AFB" w:rsidRPr="000B52C6">
        <w:t>therapy, and</w:t>
      </w:r>
      <w:proofErr w:type="gramEnd"/>
      <w:r w:rsidR="00CE2AFB" w:rsidRPr="000B52C6">
        <w:t xml:space="preserve"> considered this was inappropriate as it did not reflect previous PBAC advice. The ESC considered daratumumab to be the most common treatment in the second line setting, and therefore </w:t>
      </w:r>
      <w:proofErr w:type="spellStart"/>
      <w:r w:rsidR="00CE2AFB" w:rsidRPr="000B52C6">
        <w:t>SBd</w:t>
      </w:r>
      <w:proofErr w:type="spellEnd"/>
      <w:r w:rsidR="00CE2AFB" w:rsidRPr="000B52C6">
        <w:t xml:space="preserve"> would likely be used in third line or later lines.</w:t>
      </w:r>
    </w:p>
    <w:p w14:paraId="01FA7FFC" w14:textId="2A115351" w:rsidR="006B3335" w:rsidRPr="000B52C6" w:rsidRDefault="006B3342" w:rsidP="003C2C6F">
      <w:pPr>
        <w:pStyle w:val="3-BodyText"/>
        <w:ind w:left="720" w:hanging="720"/>
      </w:pPr>
      <w:r w:rsidRPr="000B52C6">
        <w:rPr>
          <w:iCs/>
        </w:rPr>
        <w:t xml:space="preserve">The proposed clinical algorithm was mostly consistent with the proposed PBS restriction; product information; and clinical evidence presented in </w:t>
      </w:r>
      <w:r w:rsidR="003E59FC" w:rsidRPr="000B52C6">
        <w:rPr>
          <w:iCs/>
        </w:rPr>
        <w:t>the resubmission.</w:t>
      </w:r>
      <w:r w:rsidR="00454692" w:rsidRPr="000B52C6">
        <w:t xml:space="preserve"> </w:t>
      </w:r>
      <w:r w:rsidR="00091EF5" w:rsidRPr="000B52C6">
        <w:t xml:space="preserve">The ESC noted the availability of </w:t>
      </w:r>
      <w:r w:rsidR="00447804" w:rsidRPr="000B52C6">
        <w:t xml:space="preserve">a growing number of </w:t>
      </w:r>
      <w:r w:rsidR="00091EF5" w:rsidRPr="000B52C6">
        <w:t xml:space="preserve">treatment options </w:t>
      </w:r>
      <w:r w:rsidR="00447804" w:rsidRPr="000B52C6">
        <w:t xml:space="preserve">on the PBS </w:t>
      </w:r>
      <w:r w:rsidR="00091EF5" w:rsidRPr="000B52C6">
        <w:t xml:space="preserve">and considered that a preferred treatment order has not yet been established. </w:t>
      </w:r>
      <w:r w:rsidR="00454692" w:rsidRPr="000B52C6">
        <w:t xml:space="preserve">The ESC considered it was difficult to predict where clinicians would use </w:t>
      </w:r>
      <w:proofErr w:type="spellStart"/>
      <w:r w:rsidR="00454692" w:rsidRPr="000B52C6">
        <w:t>SBd</w:t>
      </w:r>
      <w:proofErr w:type="spellEnd"/>
      <w:r w:rsidR="00454692" w:rsidRPr="000B52C6">
        <w:t xml:space="preserve"> in the management of relapsed MM, and that treatment decisions would likely consider comorbidity profiles of individual patients and adverse event profiles of the therapeutic options.</w:t>
      </w:r>
      <w:r w:rsidR="00491768" w:rsidRPr="000B52C6">
        <w:t xml:space="preserve"> </w:t>
      </w:r>
      <w:r w:rsidR="006B3335" w:rsidRPr="000B52C6">
        <w:t>The pre-PBAC response acknowledged that a preferred treatment order in the RRMM setting has not yet been established and stated that the selection of regimen is based on a broad range of parameters including current clinical status, treatment history, previous toxicities, duration of previous response, and patient preference. The PBAC considered this was reasonable.</w:t>
      </w:r>
    </w:p>
    <w:p w14:paraId="2BA8106E" w14:textId="1C959410" w:rsidR="00491768" w:rsidRPr="000B52C6" w:rsidRDefault="00F41DB3" w:rsidP="003C2C6F">
      <w:pPr>
        <w:pStyle w:val="3-BodyText"/>
        <w:ind w:left="720" w:hanging="720"/>
        <w:rPr>
          <w:iCs/>
        </w:rPr>
      </w:pPr>
      <w:r w:rsidRPr="000B52C6">
        <w:rPr>
          <w:iCs/>
        </w:rPr>
        <w:t xml:space="preserve">The ESC also considered that the proposed algorithm was incomplete because it did not include the proposed listing of Sd for TCR/PR MM. The ESC considered there </w:t>
      </w:r>
      <w:r w:rsidRPr="000B52C6">
        <w:rPr>
          <w:iCs/>
        </w:rPr>
        <w:lastRenderedPageBreak/>
        <w:t xml:space="preserve">appears to be overlap between the proposed populations if it is assumed that </w:t>
      </w:r>
      <w:proofErr w:type="spellStart"/>
      <w:r w:rsidRPr="000B52C6">
        <w:rPr>
          <w:iCs/>
        </w:rPr>
        <w:t>SBd</w:t>
      </w:r>
      <w:proofErr w:type="spellEnd"/>
      <w:r w:rsidRPr="000B52C6">
        <w:rPr>
          <w:iCs/>
        </w:rPr>
        <w:t xml:space="preserve"> will be used after multiple earlier lines of treatment. The </w:t>
      </w:r>
      <w:r w:rsidR="00491768" w:rsidRPr="000B52C6">
        <w:rPr>
          <w:iCs/>
        </w:rPr>
        <w:t>resubmission</w:t>
      </w:r>
      <w:r w:rsidRPr="000B52C6">
        <w:rPr>
          <w:iCs/>
        </w:rPr>
        <w:t xml:space="preserve"> did not discuss reasons for a clinician to choose </w:t>
      </w:r>
      <w:proofErr w:type="spellStart"/>
      <w:r w:rsidRPr="000B52C6">
        <w:rPr>
          <w:iCs/>
        </w:rPr>
        <w:t>SBd</w:t>
      </w:r>
      <w:proofErr w:type="spellEnd"/>
      <w:r w:rsidRPr="000B52C6">
        <w:rPr>
          <w:iCs/>
        </w:rPr>
        <w:t xml:space="preserve"> rather than Sd, or vice versa, for patients eligible for both. The ESC considered this information is needed to understand the place in therapy and may have implications for the financial estimates. </w:t>
      </w:r>
      <w:r w:rsidR="00491768" w:rsidRPr="000B52C6">
        <w:rPr>
          <w:iCs/>
        </w:rPr>
        <w:t xml:space="preserve">The pre-PBAC response provided an updated clinical management algorithm which positioned </w:t>
      </w:r>
      <w:proofErr w:type="spellStart"/>
      <w:r w:rsidR="00491768" w:rsidRPr="000B52C6">
        <w:rPr>
          <w:iCs/>
        </w:rPr>
        <w:t>SBd</w:t>
      </w:r>
      <w:proofErr w:type="spellEnd"/>
      <w:r w:rsidR="00491768" w:rsidRPr="000B52C6">
        <w:rPr>
          <w:iCs/>
        </w:rPr>
        <w:t xml:space="preserve"> as a treatment option in the second, </w:t>
      </w:r>
      <w:proofErr w:type="gramStart"/>
      <w:r w:rsidR="00491768" w:rsidRPr="000B52C6">
        <w:rPr>
          <w:iCs/>
        </w:rPr>
        <w:t>third and fourth line</w:t>
      </w:r>
      <w:proofErr w:type="gramEnd"/>
      <w:r w:rsidR="00491768" w:rsidRPr="000B52C6">
        <w:rPr>
          <w:iCs/>
        </w:rPr>
        <w:t xml:space="preserve"> settings, and Sd as a treatment option in fifth or sixth line settings. The updated algorithm was not consistent with the requested patient population for </w:t>
      </w:r>
      <w:proofErr w:type="spellStart"/>
      <w:r w:rsidR="00491768" w:rsidRPr="000B52C6">
        <w:rPr>
          <w:iCs/>
        </w:rPr>
        <w:t>SBd</w:t>
      </w:r>
      <w:proofErr w:type="spellEnd"/>
      <w:r w:rsidR="00491768" w:rsidRPr="000B52C6">
        <w:rPr>
          <w:iCs/>
        </w:rPr>
        <w:t xml:space="preserve"> which would allow use in any line after </w:t>
      </w:r>
      <w:r w:rsidR="00491768" w:rsidRPr="000B52C6">
        <w:t>first line</w:t>
      </w:r>
      <w:r w:rsidR="00491768" w:rsidRPr="000B52C6">
        <w:rPr>
          <w:iCs/>
        </w:rPr>
        <w:t xml:space="preserve"> (see paragraph 3.1).</w:t>
      </w:r>
    </w:p>
    <w:p w14:paraId="4D7B48D6" w14:textId="2449A991" w:rsidR="00107C70" w:rsidRPr="000B52C6" w:rsidRDefault="006B3342" w:rsidP="005457FB">
      <w:pPr>
        <w:pStyle w:val="3-BodyText"/>
        <w:ind w:left="720" w:hanging="720"/>
        <w:rPr>
          <w:iCs/>
        </w:rPr>
      </w:pPr>
      <w:r w:rsidRPr="000B52C6">
        <w:t>Selinexor is an oral, first-in-class, potent, selective inhibitor of nuclear export (SINE) compound that specifically blocks exporting 1 (XPO1). Inhibition of XPO1 leads, amongst other mechanisms, to the nuclear accumulation and activation of tumour suppressor proteins (TSPs), which then initiate apoptosis in cancer cells.</w:t>
      </w:r>
      <w:r w:rsidR="00133164" w:rsidRPr="000B52C6">
        <w:t xml:space="preserve"> The ESC noted that </w:t>
      </w:r>
      <w:proofErr w:type="spellStart"/>
      <w:r w:rsidR="00133164" w:rsidRPr="000B52C6">
        <w:t>selinexor</w:t>
      </w:r>
      <w:proofErr w:type="spellEnd"/>
      <w:r w:rsidR="00133164" w:rsidRPr="000B52C6">
        <w:t xml:space="preserve"> is an oral therapy, however the </w:t>
      </w:r>
      <w:proofErr w:type="spellStart"/>
      <w:r w:rsidR="00133164" w:rsidRPr="000B52C6">
        <w:t>SBd</w:t>
      </w:r>
      <w:proofErr w:type="spellEnd"/>
      <w:r w:rsidR="00133164" w:rsidRPr="000B52C6">
        <w:t xml:space="preserve"> regimen requires bortezomib </w:t>
      </w:r>
      <w:r w:rsidR="00425926" w:rsidRPr="000B52C6">
        <w:t xml:space="preserve">to be </w:t>
      </w:r>
      <w:r w:rsidR="00133164" w:rsidRPr="000B52C6">
        <w:t xml:space="preserve">administered by </w:t>
      </w:r>
      <w:r w:rsidR="001A2F50" w:rsidRPr="000B52C6">
        <w:t>subcutaneous</w:t>
      </w:r>
      <w:r w:rsidR="00133164" w:rsidRPr="000B52C6">
        <w:t xml:space="preserve"> injection once weekly.</w:t>
      </w:r>
      <w:r w:rsidR="00425926" w:rsidRPr="000B52C6">
        <w:t xml:space="preserve"> </w:t>
      </w:r>
      <w:r w:rsidRPr="000B52C6">
        <w:t xml:space="preserve">The intervention remained unchanged from the July 2021 submission. </w:t>
      </w:r>
    </w:p>
    <w:p w14:paraId="7BC34FFC" w14:textId="77777777" w:rsidR="00845BD2" w:rsidRPr="000B52C6" w:rsidRDefault="00845BD2" w:rsidP="00845BD2">
      <w:pPr>
        <w:ind w:firstLine="709"/>
        <w:rPr>
          <w:rFonts w:asciiTheme="minorHAnsi" w:hAnsiTheme="minorHAnsi"/>
          <w:i/>
        </w:rPr>
      </w:pPr>
      <w:r w:rsidRPr="000B52C6">
        <w:rPr>
          <w:rFonts w:asciiTheme="minorHAnsi" w:hAnsiTheme="minorHAnsi"/>
          <w:i/>
        </w:rPr>
        <w:t>For more detail on PBAC’s view, see section 7 PBAC outcome.</w:t>
      </w:r>
    </w:p>
    <w:p w14:paraId="40B5AB86" w14:textId="77777777" w:rsidR="006B3342" w:rsidRPr="000B52C6" w:rsidRDefault="006B3342" w:rsidP="006B3342">
      <w:pPr>
        <w:pStyle w:val="2-SectionHeading"/>
        <w:numPr>
          <w:ilvl w:val="0"/>
          <w:numId w:val="1"/>
        </w:numPr>
      </w:pPr>
      <w:bookmarkStart w:id="12" w:name="_Toc93429921"/>
      <w:r w:rsidRPr="000B52C6">
        <w:t>Comparator</w:t>
      </w:r>
      <w:bookmarkEnd w:id="12"/>
    </w:p>
    <w:p w14:paraId="40A53F4F" w14:textId="36C14E10" w:rsidR="00B70AC2" w:rsidRPr="000B52C6" w:rsidRDefault="00B70AC2" w:rsidP="00B70AC2">
      <w:pPr>
        <w:pStyle w:val="3-BodyText"/>
        <w:ind w:left="720" w:hanging="720"/>
      </w:pPr>
      <w:r w:rsidRPr="000B52C6">
        <w:rPr>
          <w:iCs/>
        </w:rPr>
        <w:t>T</w:t>
      </w:r>
      <w:r w:rsidRPr="000B52C6">
        <w:t xml:space="preserve">he resubmission nominated Cd as the main comparator. The </w:t>
      </w:r>
      <w:r w:rsidR="00324F7F" w:rsidRPr="000B52C6">
        <w:t>re</w:t>
      </w:r>
      <w:r w:rsidRPr="000B52C6">
        <w:t xml:space="preserve">submission stated that Cd was the most appropriate comparator to </w:t>
      </w:r>
      <w:proofErr w:type="spellStart"/>
      <w:r w:rsidRPr="000B52C6">
        <w:t>SBd</w:t>
      </w:r>
      <w:proofErr w:type="spellEnd"/>
      <w:r w:rsidRPr="000B52C6">
        <w:t xml:space="preserve"> </w:t>
      </w:r>
      <w:proofErr w:type="gramStart"/>
      <w:r w:rsidRPr="000B52C6">
        <w:t>on the basis of</w:t>
      </w:r>
      <w:proofErr w:type="gramEnd"/>
      <w:r w:rsidRPr="000B52C6">
        <w:t xml:space="preserve"> being the regimen most likely to be replaced and being consistent with</w:t>
      </w:r>
      <w:r w:rsidR="009F0481" w:rsidRPr="000B52C6">
        <w:t xml:space="preserve"> other recommendations</w:t>
      </w:r>
      <w:r w:rsidRPr="000B52C6">
        <w:t xml:space="preserve"> for listing of new regimens in the proposed patient population on the basis of cost-minimisation versus Cd.</w:t>
      </w:r>
    </w:p>
    <w:p w14:paraId="7BB225E1" w14:textId="4AFA37C1" w:rsidR="009F0481" w:rsidRPr="000B52C6" w:rsidRDefault="006B3342" w:rsidP="006B3342">
      <w:pPr>
        <w:pStyle w:val="3-BodyText"/>
        <w:ind w:left="720" w:hanging="720"/>
        <w:rPr>
          <w:iCs/>
        </w:rPr>
      </w:pPr>
      <w:r w:rsidRPr="000B52C6">
        <w:t xml:space="preserve">The July 2021 submission nominated Bd as the primary comparator and Cd as the secondary comparator. The resubmission did not include Bd as a comparator. </w:t>
      </w:r>
    </w:p>
    <w:p w14:paraId="5D0B3074" w14:textId="315DF737" w:rsidR="006B3342" w:rsidRPr="000B52C6" w:rsidRDefault="006B3342" w:rsidP="006B3342">
      <w:pPr>
        <w:pStyle w:val="3-BodyText"/>
        <w:ind w:left="720" w:hanging="720"/>
        <w:rPr>
          <w:iCs/>
          <w:snapToGrid/>
        </w:rPr>
      </w:pPr>
      <w:r w:rsidRPr="000B52C6">
        <w:rPr>
          <w:iCs/>
        </w:rPr>
        <w:t xml:space="preserve">Given that the PBAC considered that </w:t>
      </w:r>
      <w:proofErr w:type="spellStart"/>
      <w:r w:rsidRPr="000B52C6">
        <w:rPr>
          <w:iCs/>
        </w:rPr>
        <w:t>SBd</w:t>
      </w:r>
      <w:proofErr w:type="spellEnd"/>
      <w:r w:rsidRPr="000B52C6">
        <w:rPr>
          <w:iCs/>
        </w:rPr>
        <w:t xml:space="preserve"> was most likely to replace and/or displace Cd, lenalidomide plus dexamethasone (</w:t>
      </w:r>
      <w:proofErr w:type="spellStart"/>
      <w:r w:rsidRPr="000B52C6">
        <w:rPr>
          <w:iCs/>
        </w:rPr>
        <w:t>Ld</w:t>
      </w:r>
      <w:proofErr w:type="spellEnd"/>
      <w:r w:rsidRPr="000B52C6">
        <w:rPr>
          <w:iCs/>
        </w:rPr>
        <w:t xml:space="preserve">), pomalidomide plus dexamethasone (Pd) and some bortezomib-based regimens including Bd (para. 7.3, Selinexor (RRMM), PBAC </w:t>
      </w:r>
      <w:r w:rsidR="00251F38">
        <w:rPr>
          <w:iCs/>
        </w:rPr>
        <w:t>PSD</w:t>
      </w:r>
      <w:r w:rsidRPr="000B52C6">
        <w:rPr>
          <w:iCs/>
        </w:rPr>
        <w:t xml:space="preserve">, July 2021 PBAC meeting), the exclusion of Bd, as well as </w:t>
      </w:r>
      <w:proofErr w:type="spellStart"/>
      <w:r w:rsidRPr="000B52C6">
        <w:rPr>
          <w:iCs/>
        </w:rPr>
        <w:t>Ld</w:t>
      </w:r>
      <w:proofErr w:type="spellEnd"/>
      <w:r w:rsidRPr="000B52C6">
        <w:rPr>
          <w:iCs/>
        </w:rPr>
        <w:t xml:space="preserve"> and Pd as comparators, was not </w:t>
      </w:r>
      <w:r w:rsidR="005465BB" w:rsidRPr="000B52C6">
        <w:rPr>
          <w:iCs/>
        </w:rPr>
        <w:t xml:space="preserve">adequately </w:t>
      </w:r>
      <w:r w:rsidRPr="000B52C6">
        <w:rPr>
          <w:iCs/>
        </w:rPr>
        <w:t xml:space="preserve">justified by the </w:t>
      </w:r>
      <w:r w:rsidR="007B6B1C" w:rsidRPr="000B52C6">
        <w:rPr>
          <w:iCs/>
        </w:rPr>
        <w:t>resubmission. The</w:t>
      </w:r>
      <w:r w:rsidRPr="000B52C6">
        <w:rPr>
          <w:iCs/>
        </w:rPr>
        <w:t xml:space="preserve"> resubmission also </w:t>
      </w:r>
      <w:r w:rsidR="00F41DB3" w:rsidRPr="000B52C6">
        <w:rPr>
          <w:iCs/>
        </w:rPr>
        <w:t xml:space="preserve">did </w:t>
      </w:r>
      <w:r w:rsidRPr="000B52C6">
        <w:rPr>
          <w:iCs/>
        </w:rPr>
        <w:t xml:space="preserve">not address the potential for </w:t>
      </w:r>
      <w:proofErr w:type="spellStart"/>
      <w:r w:rsidRPr="000B52C6">
        <w:rPr>
          <w:iCs/>
        </w:rPr>
        <w:t>SBd</w:t>
      </w:r>
      <w:proofErr w:type="spellEnd"/>
      <w:r w:rsidRPr="000B52C6">
        <w:rPr>
          <w:iCs/>
        </w:rPr>
        <w:t xml:space="preserve"> to substitute </w:t>
      </w:r>
      <w:proofErr w:type="spellStart"/>
      <w:r w:rsidRPr="000B52C6">
        <w:rPr>
          <w:iCs/>
        </w:rPr>
        <w:t>elotuzumab</w:t>
      </w:r>
      <w:proofErr w:type="spellEnd"/>
      <w:r w:rsidRPr="000B52C6">
        <w:rPr>
          <w:iCs/>
        </w:rPr>
        <w:t xml:space="preserve"> in combination with lenalidomide and dexamethasone (</w:t>
      </w:r>
      <w:proofErr w:type="spellStart"/>
      <w:r w:rsidRPr="000B52C6">
        <w:rPr>
          <w:iCs/>
        </w:rPr>
        <w:t>ELd</w:t>
      </w:r>
      <w:proofErr w:type="spellEnd"/>
      <w:r w:rsidRPr="000B52C6">
        <w:rPr>
          <w:iCs/>
        </w:rPr>
        <w:t>) and pomalidomide in combination with bortezomib and dexamethasone (</w:t>
      </w:r>
      <w:proofErr w:type="spellStart"/>
      <w:r w:rsidRPr="000B52C6">
        <w:rPr>
          <w:iCs/>
        </w:rPr>
        <w:t>PBd</w:t>
      </w:r>
      <w:proofErr w:type="spellEnd"/>
      <w:r w:rsidRPr="000B52C6">
        <w:rPr>
          <w:iCs/>
        </w:rPr>
        <w:t xml:space="preserve">), </w:t>
      </w:r>
      <w:r w:rsidR="00F41DB3" w:rsidRPr="000B52C6">
        <w:rPr>
          <w:iCs/>
        </w:rPr>
        <w:t xml:space="preserve">which was not justified </w:t>
      </w:r>
      <w:r w:rsidRPr="000B52C6">
        <w:rPr>
          <w:iCs/>
        </w:rPr>
        <w:t>given that both regimens are likely to be used in the same RRMM setting, and they were recommended based on CMA relative to Cd.</w:t>
      </w:r>
    </w:p>
    <w:p w14:paraId="16BFCC77" w14:textId="77777777" w:rsidR="00845BD2" w:rsidRPr="000B52C6" w:rsidRDefault="00845BD2" w:rsidP="00845BD2">
      <w:pPr>
        <w:ind w:firstLine="709"/>
        <w:rPr>
          <w:rFonts w:asciiTheme="minorHAnsi" w:hAnsiTheme="minorHAnsi"/>
          <w:i/>
        </w:rPr>
      </w:pPr>
      <w:r w:rsidRPr="000B52C6">
        <w:rPr>
          <w:rFonts w:asciiTheme="minorHAnsi" w:hAnsiTheme="minorHAnsi"/>
          <w:i/>
        </w:rPr>
        <w:t>For more detail on PBAC’s view, see section 7 PBAC outcome.</w:t>
      </w:r>
    </w:p>
    <w:p w14:paraId="11931495" w14:textId="77777777" w:rsidR="006B3342" w:rsidRPr="000B52C6" w:rsidRDefault="006B3342" w:rsidP="006B3342">
      <w:pPr>
        <w:pStyle w:val="2-SectionHeading"/>
        <w:numPr>
          <w:ilvl w:val="0"/>
          <w:numId w:val="1"/>
        </w:numPr>
      </w:pPr>
      <w:bookmarkStart w:id="13" w:name="_Toc93429922"/>
      <w:bookmarkStart w:id="14" w:name="_Toc22897640"/>
      <w:r w:rsidRPr="000B52C6">
        <w:lastRenderedPageBreak/>
        <w:t>Consideration of the evidence</w:t>
      </w:r>
      <w:bookmarkEnd w:id="13"/>
    </w:p>
    <w:p w14:paraId="001F533A" w14:textId="77777777" w:rsidR="000625AE" w:rsidRPr="000B52C6" w:rsidRDefault="000625AE" w:rsidP="000625AE">
      <w:pPr>
        <w:pStyle w:val="4-SubsectionHeading"/>
      </w:pPr>
      <w:bookmarkStart w:id="15" w:name="_Hlk76375935"/>
      <w:bookmarkStart w:id="16" w:name="_Toc93429923"/>
      <w:r w:rsidRPr="000B52C6">
        <w:t>Sponsor hearing</w:t>
      </w:r>
    </w:p>
    <w:p w14:paraId="65E64AEC" w14:textId="7CE1C4CE" w:rsidR="00512707" w:rsidRPr="000B52C6" w:rsidRDefault="00512707" w:rsidP="00A94739">
      <w:pPr>
        <w:widowControl w:val="0"/>
        <w:numPr>
          <w:ilvl w:val="1"/>
          <w:numId w:val="1"/>
        </w:numPr>
        <w:spacing w:after="120"/>
        <w:ind w:left="720" w:hanging="720"/>
        <w:rPr>
          <w:rFonts w:asciiTheme="minorHAnsi" w:hAnsiTheme="minorHAnsi"/>
          <w:bCs/>
          <w:snapToGrid w:val="0"/>
        </w:rPr>
      </w:pPr>
      <w:bookmarkStart w:id="17" w:name="_Hlk76382586"/>
      <w:r w:rsidRPr="000B52C6">
        <w:rPr>
          <w:rFonts w:asciiTheme="minorHAnsi" w:hAnsiTheme="minorHAnsi"/>
          <w:bCs/>
          <w:snapToGrid w:val="0"/>
        </w:rPr>
        <w:t xml:space="preserve">The sponsor provided a hearing for this item. The clinician </w:t>
      </w:r>
      <w:r w:rsidR="00797A74" w:rsidRPr="000B52C6">
        <w:rPr>
          <w:rFonts w:asciiTheme="minorHAnsi" w:hAnsiTheme="minorHAnsi"/>
          <w:bCs/>
          <w:snapToGrid w:val="0"/>
        </w:rPr>
        <w:t>discussed the Australian treatment landscape and noted that most patients will be lenalidomide refractory, but not bortezomib refractory at first relapse.</w:t>
      </w:r>
      <w:r w:rsidR="00A94739" w:rsidRPr="000B52C6">
        <w:rPr>
          <w:rFonts w:asciiTheme="minorHAnsi" w:hAnsiTheme="minorHAnsi"/>
          <w:bCs/>
          <w:snapToGrid w:val="0"/>
        </w:rPr>
        <w:t xml:space="preserve"> </w:t>
      </w:r>
      <w:r w:rsidRPr="000B52C6">
        <w:rPr>
          <w:rFonts w:asciiTheme="minorHAnsi" w:hAnsiTheme="minorHAnsi"/>
          <w:bCs/>
          <w:snapToGrid w:val="0"/>
        </w:rPr>
        <w:t xml:space="preserve">The clinician described the benefits of </w:t>
      </w:r>
      <w:proofErr w:type="spellStart"/>
      <w:r w:rsidRPr="000B52C6">
        <w:rPr>
          <w:rFonts w:asciiTheme="minorHAnsi" w:hAnsiTheme="minorHAnsi"/>
          <w:bCs/>
          <w:snapToGrid w:val="0"/>
        </w:rPr>
        <w:t>SBd</w:t>
      </w:r>
      <w:proofErr w:type="spellEnd"/>
      <w:r w:rsidRPr="000B52C6">
        <w:rPr>
          <w:rFonts w:asciiTheme="minorHAnsi" w:hAnsiTheme="minorHAnsi"/>
          <w:bCs/>
          <w:snapToGrid w:val="0"/>
        </w:rPr>
        <w:t xml:space="preserve"> therapy, particularly in patients who are refractory to lenalidomide, have high risk cytogenetics</w:t>
      </w:r>
      <w:r w:rsidR="00797A74" w:rsidRPr="000B52C6">
        <w:rPr>
          <w:rFonts w:asciiTheme="minorHAnsi" w:hAnsiTheme="minorHAnsi"/>
          <w:bCs/>
          <w:snapToGrid w:val="0"/>
        </w:rPr>
        <w:t xml:space="preserve"> (including 17 p deletion)</w:t>
      </w:r>
      <w:r w:rsidRPr="000B52C6">
        <w:rPr>
          <w:rFonts w:asciiTheme="minorHAnsi" w:hAnsiTheme="minorHAnsi"/>
          <w:bCs/>
          <w:snapToGrid w:val="0"/>
        </w:rPr>
        <w:t xml:space="preserve"> or extramedullary disease</w:t>
      </w:r>
      <w:r w:rsidR="00A94739" w:rsidRPr="000B52C6">
        <w:rPr>
          <w:rFonts w:asciiTheme="minorHAnsi" w:hAnsiTheme="minorHAnsi"/>
          <w:bCs/>
          <w:snapToGrid w:val="0"/>
        </w:rPr>
        <w:t>, and those who can’t receive Cd due to cardiac comorbidities</w:t>
      </w:r>
      <w:r w:rsidRPr="000B52C6">
        <w:rPr>
          <w:rFonts w:asciiTheme="minorHAnsi" w:hAnsiTheme="minorHAnsi"/>
          <w:bCs/>
          <w:snapToGrid w:val="0"/>
        </w:rPr>
        <w:t xml:space="preserve">. The clinician </w:t>
      </w:r>
      <w:r w:rsidR="00D742B0" w:rsidRPr="000B52C6">
        <w:rPr>
          <w:rFonts w:asciiTheme="minorHAnsi" w:hAnsiTheme="minorHAnsi"/>
          <w:bCs/>
          <w:snapToGrid w:val="0"/>
        </w:rPr>
        <w:t>described the po</w:t>
      </w:r>
      <w:r w:rsidRPr="000B52C6">
        <w:rPr>
          <w:rFonts w:asciiTheme="minorHAnsi" w:hAnsiTheme="minorHAnsi"/>
          <w:bCs/>
          <w:snapToGrid w:val="0"/>
        </w:rPr>
        <w:t>tential adverse events associated with treatment</w:t>
      </w:r>
      <w:r w:rsidR="00D742B0" w:rsidRPr="000B52C6">
        <w:rPr>
          <w:rFonts w:asciiTheme="minorHAnsi" w:hAnsiTheme="minorHAnsi"/>
          <w:bCs/>
          <w:snapToGrid w:val="0"/>
        </w:rPr>
        <w:t xml:space="preserve"> as manageable</w:t>
      </w:r>
      <w:r w:rsidR="002611EB" w:rsidRPr="000B52C6">
        <w:rPr>
          <w:rFonts w:asciiTheme="minorHAnsi" w:hAnsiTheme="minorHAnsi"/>
          <w:bCs/>
          <w:snapToGrid w:val="0"/>
        </w:rPr>
        <w:t xml:space="preserve"> and non-cumulative, in contrast to cardiac toxicity associated with carfilzomib which is known to be cumulative</w:t>
      </w:r>
      <w:r w:rsidRPr="000B52C6">
        <w:rPr>
          <w:rFonts w:asciiTheme="minorHAnsi" w:hAnsiTheme="minorHAnsi"/>
          <w:bCs/>
          <w:snapToGrid w:val="0"/>
        </w:rPr>
        <w:t xml:space="preserve">. </w:t>
      </w:r>
      <w:r w:rsidR="00A94739" w:rsidRPr="000B52C6">
        <w:rPr>
          <w:rFonts w:asciiTheme="minorHAnsi" w:hAnsiTheme="minorHAnsi"/>
          <w:bCs/>
          <w:snapToGrid w:val="0"/>
        </w:rPr>
        <w:t xml:space="preserve">The clinician also spoke about the importance of having a choice of treatments available for Australian patients. </w:t>
      </w:r>
      <w:r w:rsidRPr="000B52C6">
        <w:rPr>
          <w:rFonts w:asciiTheme="minorHAnsi" w:hAnsiTheme="minorHAnsi"/>
          <w:bCs/>
          <w:snapToGrid w:val="0"/>
        </w:rPr>
        <w:t xml:space="preserve">The PBAC considered that the hearing was informative as it provided a clinical perspective on the utilisation of </w:t>
      </w:r>
      <w:proofErr w:type="spellStart"/>
      <w:r w:rsidRPr="000B52C6">
        <w:rPr>
          <w:rFonts w:asciiTheme="minorHAnsi" w:hAnsiTheme="minorHAnsi"/>
          <w:bCs/>
          <w:snapToGrid w:val="0"/>
        </w:rPr>
        <w:t>SBd</w:t>
      </w:r>
      <w:proofErr w:type="spellEnd"/>
      <w:r w:rsidRPr="000B52C6">
        <w:rPr>
          <w:rFonts w:asciiTheme="minorHAnsi" w:hAnsiTheme="minorHAnsi"/>
          <w:bCs/>
          <w:snapToGrid w:val="0"/>
        </w:rPr>
        <w:t>.</w:t>
      </w:r>
    </w:p>
    <w:bookmarkEnd w:id="17"/>
    <w:p w14:paraId="49160F29" w14:textId="77777777" w:rsidR="000625AE" w:rsidRPr="000B52C6" w:rsidRDefault="000625AE" w:rsidP="000625AE">
      <w:pPr>
        <w:pStyle w:val="4-SubsectionHeading"/>
      </w:pPr>
      <w:r w:rsidRPr="000B52C6">
        <w:t>Consumer comments</w:t>
      </w:r>
    </w:p>
    <w:p w14:paraId="0ECDA86F" w14:textId="7306C446" w:rsidR="00754B43" w:rsidRPr="000B52C6" w:rsidRDefault="00754B43" w:rsidP="00754B43">
      <w:pPr>
        <w:widowControl w:val="0"/>
        <w:numPr>
          <w:ilvl w:val="1"/>
          <w:numId w:val="1"/>
        </w:numPr>
        <w:spacing w:after="120"/>
        <w:ind w:left="720" w:hanging="720"/>
        <w:rPr>
          <w:bCs/>
        </w:rPr>
      </w:pPr>
      <w:bookmarkStart w:id="18" w:name="_Hlk76382618"/>
      <w:r w:rsidRPr="000B52C6">
        <w:rPr>
          <w:rFonts w:asciiTheme="minorHAnsi" w:hAnsiTheme="minorHAnsi"/>
          <w:bCs/>
          <w:snapToGrid w:val="0"/>
        </w:rPr>
        <w:t xml:space="preserve">The PBAC noted and welcomed the input from individuals (11) and organisations (3) via the Consumer Comments facility on the PBS website. The comments from individuals described the </w:t>
      </w:r>
      <w:r w:rsidR="009C7EBC" w:rsidRPr="000B52C6">
        <w:rPr>
          <w:bCs/>
        </w:rPr>
        <w:t xml:space="preserve">debilitating impact of relapsed myeloma and </w:t>
      </w:r>
      <w:r w:rsidRPr="000B52C6">
        <w:rPr>
          <w:bCs/>
        </w:rPr>
        <w:t xml:space="preserve">discussion regarding a range of treatments that the patients had personal experience with. The comments supported the proposed listing </w:t>
      </w:r>
      <w:proofErr w:type="gramStart"/>
      <w:r w:rsidRPr="000B52C6">
        <w:rPr>
          <w:bCs/>
        </w:rPr>
        <w:t>on the basis of</w:t>
      </w:r>
      <w:proofErr w:type="gramEnd"/>
      <w:r w:rsidRPr="000B52C6">
        <w:rPr>
          <w:bCs/>
        </w:rPr>
        <w:t xml:space="preserve"> it providing an additional treatment option, and also noted that </w:t>
      </w:r>
      <w:proofErr w:type="spellStart"/>
      <w:r w:rsidRPr="000B52C6">
        <w:rPr>
          <w:bCs/>
        </w:rPr>
        <w:t>selinexor</w:t>
      </w:r>
      <w:proofErr w:type="spellEnd"/>
      <w:r w:rsidRPr="000B52C6">
        <w:rPr>
          <w:bCs/>
        </w:rPr>
        <w:t xml:space="preserve"> is a tablet that may be taken at home.</w:t>
      </w:r>
    </w:p>
    <w:p w14:paraId="57F17012" w14:textId="4850737B" w:rsidR="00754B43" w:rsidRPr="000B52C6" w:rsidRDefault="00443D7E" w:rsidP="00FA29B3">
      <w:pPr>
        <w:widowControl w:val="0"/>
        <w:numPr>
          <w:ilvl w:val="1"/>
          <w:numId w:val="1"/>
        </w:numPr>
        <w:spacing w:after="120"/>
        <w:ind w:left="720" w:hanging="720"/>
        <w:rPr>
          <w:rFonts w:asciiTheme="minorHAnsi" w:hAnsiTheme="minorHAnsi"/>
          <w:bCs/>
          <w:snapToGrid w:val="0"/>
        </w:rPr>
      </w:pPr>
      <w:r w:rsidRPr="000B52C6">
        <w:t>The PBAC noted the advice received from (</w:t>
      </w:r>
      <w:proofErr w:type="spellStart"/>
      <w:r w:rsidRPr="000B52C6">
        <w:t>i</w:t>
      </w:r>
      <w:proofErr w:type="spellEnd"/>
      <w:r w:rsidRPr="000B52C6">
        <w:t xml:space="preserve">) Myeloma Australia, (ii) the Leukaemia Foundation, and (iii) </w:t>
      </w:r>
      <w:r w:rsidRPr="000B52C6">
        <w:rPr>
          <w:bCs/>
        </w:rPr>
        <w:t xml:space="preserve">Myeloma Australia's Medical and Scientific Advisory Group (MSAG), which </w:t>
      </w:r>
      <w:r w:rsidR="00797A74" w:rsidRPr="000B52C6">
        <w:rPr>
          <w:bCs/>
        </w:rPr>
        <w:t xml:space="preserve">described an ongoing need </w:t>
      </w:r>
      <w:r w:rsidR="00797A74" w:rsidRPr="000B52C6">
        <w:rPr>
          <w:rFonts w:asciiTheme="minorHAnsi" w:hAnsiTheme="minorHAnsi"/>
          <w:bCs/>
          <w:snapToGrid w:val="0"/>
        </w:rPr>
        <w:t xml:space="preserve">for new treatment options and </w:t>
      </w:r>
      <w:r w:rsidRPr="000B52C6">
        <w:rPr>
          <w:bCs/>
        </w:rPr>
        <w:t xml:space="preserve">supported the proposed listing for </w:t>
      </w:r>
      <w:proofErr w:type="spellStart"/>
      <w:r w:rsidRPr="000B52C6">
        <w:rPr>
          <w:bCs/>
        </w:rPr>
        <w:t>SBd</w:t>
      </w:r>
      <w:proofErr w:type="spellEnd"/>
      <w:r w:rsidRPr="000B52C6">
        <w:rPr>
          <w:bCs/>
        </w:rPr>
        <w:t xml:space="preserve">. Myeloma Australia described </w:t>
      </w:r>
      <w:proofErr w:type="spellStart"/>
      <w:r w:rsidRPr="000B52C6">
        <w:rPr>
          <w:bCs/>
        </w:rPr>
        <w:t>selinexor</w:t>
      </w:r>
      <w:proofErr w:type="spellEnd"/>
      <w:r w:rsidRPr="000B52C6">
        <w:rPr>
          <w:bCs/>
        </w:rPr>
        <w:t xml:space="preserve"> as highly </w:t>
      </w:r>
      <w:proofErr w:type="gramStart"/>
      <w:r w:rsidRPr="000B52C6">
        <w:rPr>
          <w:bCs/>
        </w:rPr>
        <w:t>effective</w:t>
      </w:r>
      <w:r w:rsidR="00327055" w:rsidRPr="000B52C6">
        <w:rPr>
          <w:bCs/>
        </w:rPr>
        <w:t>,</w:t>
      </w:r>
      <w:r w:rsidRPr="000B52C6">
        <w:rPr>
          <w:bCs/>
        </w:rPr>
        <w:t xml:space="preserve"> </w:t>
      </w:r>
      <w:r w:rsidR="00327055" w:rsidRPr="000B52C6">
        <w:rPr>
          <w:bCs/>
        </w:rPr>
        <w:t>and</w:t>
      </w:r>
      <w:proofErr w:type="gramEnd"/>
      <w:r w:rsidR="00327055" w:rsidRPr="000B52C6">
        <w:rPr>
          <w:bCs/>
        </w:rPr>
        <w:t xml:space="preserve"> noted that Australian patients </w:t>
      </w:r>
      <w:r w:rsidR="00FA29B3" w:rsidRPr="000B52C6">
        <w:t>want</w:t>
      </w:r>
      <w:r w:rsidR="00327055" w:rsidRPr="000B52C6">
        <w:t xml:space="preserve"> access to medicines that are available to myeloma patients in other parts of the world. The </w:t>
      </w:r>
      <w:r w:rsidR="00327055" w:rsidRPr="000B52C6">
        <w:rPr>
          <w:bCs/>
        </w:rPr>
        <w:t xml:space="preserve">Leukemia Foundation </w:t>
      </w:r>
      <w:r w:rsidR="007B499C" w:rsidRPr="000B52C6">
        <w:rPr>
          <w:bCs/>
        </w:rPr>
        <w:t xml:space="preserve">noted that </w:t>
      </w:r>
      <w:proofErr w:type="spellStart"/>
      <w:r w:rsidR="007B499C" w:rsidRPr="000B52C6">
        <w:rPr>
          <w:bCs/>
        </w:rPr>
        <w:t>selinexor</w:t>
      </w:r>
      <w:proofErr w:type="spellEnd"/>
      <w:r w:rsidR="007B499C" w:rsidRPr="000B52C6">
        <w:rPr>
          <w:bCs/>
        </w:rPr>
        <w:t xml:space="preserve"> belongs to a new drug class and </w:t>
      </w:r>
      <w:r w:rsidR="009C7EBC" w:rsidRPr="000B52C6">
        <w:rPr>
          <w:bCs/>
        </w:rPr>
        <w:t>support</w:t>
      </w:r>
      <w:r w:rsidR="00327055" w:rsidRPr="000B52C6">
        <w:rPr>
          <w:bCs/>
        </w:rPr>
        <w:t xml:space="preserve">ed the listing based on the </w:t>
      </w:r>
      <w:r w:rsidR="009C7EBC" w:rsidRPr="000B52C6">
        <w:rPr>
          <w:bCs/>
        </w:rPr>
        <w:t xml:space="preserve">BOSTON </w:t>
      </w:r>
      <w:r w:rsidR="00FA29B3" w:rsidRPr="000B52C6">
        <w:rPr>
          <w:bCs/>
        </w:rPr>
        <w:t>trial</w:t>
      </w:r>
      <w:r w:rsidR="00327055" w:rsidRPr="000B52C6">
        <w:rPr>
          <w:bCs/>
        </w:rPr>
        <w:t xml:space="preserve">, noting that the </w:t>
      </w:r>
      <w:proofErr w:type="spellStart"/>
      <w:r w:rsidR="00327055" w:rsidRPr="000B52C6">
        <w:rPr>
          <w:bCs/>
        </w:rPr>
        <w:t>SBd</w:t>
      </w:r>
      <w:proofErr w:type="spellEnd"/>
      <w:r w:rsidR="00327055" w:rsidRPr="000B52C6">
        <w:rPr>
          <w:bCs/>
        </w:rPr>
        <w:t xml:space="preserve"> regimen was associated with high response rates and </w:t>
      </w:r>
      <w:r w:rsidR="00327055" w:rsidRPr="000B52C6">
        <w:t>low rates of peripheral neuropathy (the main dose-limiting toxicity of bortezomib)</w:t>
      </w:r>
      <w:r w:rsidR="00797A74" w:rsidRPr="000B52C6">
        <w:t>.</w:t>
      </w:r>
      <w:r w:rsidR="004D5578">
        <w:t xml:space="preserve"> </w:t>
      </w:r>
      <w:r w:rsidR="00754B43" w:rsidRPr="000B52C6">
        <w:rPr>
          <w:rFonts w:asciiTheme="minorHAnsi" w:hAnsiTheme="minorHAnsi"/>
          <w:bCs/>
          <w:snapToGrid w:val="0"/>
        </w:rPr>
        <w:t xml:space="preserve">Myeloma Australia’s MSAG </w:t>
      </w:r>
      <w:r w:rsidR="00797A74" w:rsidRPr="000B52C6">
        <w:rPr>
          <w:rFonts w:asciiTheme="minorHAnsi" w:hAnsiTheme="minorHAnsi"/>
          <w:bCs/>
          <w:snapToGrid w:val="0"/>
        </w:rPr>
        <w:t>referred to results from</w:t>
      </w:r>
      <w:r w:rsidR="00754B43" w:rsidRPr="000B52C6">
        <w:rPr>
          <w:rFonts w:asciiTheme="minorHAnsi" w:hAnsiTheme="minorHAnsi"/>
          <w:bCs/>
          <w:snapToGrid w:val="0"/>
        </w:rPr>
        <w:t xml:space="preserve"> the BOSTON trial and stated that </w:t>
      </w:r>
      <w:proofErr w:type="spellStart"/>
      <w:r w:rsidR="00754B43" w:rsidRPr="000B52C6">
        <w:rPr>
          <w:rFonts w:asciiTheme="minorHAnsi" w:hAnsiTheme="minorHAnsi"/>
          <w:bCs/>
          <w:snapToGrid w:val="0"/>
        </w:rPr>
        <w:t>SBd</w:t>
      </w:r>
      <w:proofErr w:type="spellEnd"/>
      <w:r w:rsidR="00754B43" w:rsidRPr="000B52C6">
        <w:rPr>
          <w:rFonts w:asciiTheme="minorHAnsi" w:hAnsiTheme="minorHAnsi"/>
          <w:bCs/>
          <w:snapToGrid w:val="0"/>
        </w:rPr>
        <w:t xml:space="preserve"> would provide a significant alternative for RRMM patients. The PBAC noted this advice was supportive of the evidence provided in the submission.</w:t>
      </w:r>
    </w:p>
    <w:bookmarkEnd w:id="15"/>
    <w:bookmarkEnd w:id="18"/>
    <w:p w14:paraId="528961A2" w14:textId="2B358713" w:rsidR="006B3342" w:rsidRPr="000B52C6" w:rsidRDefault="006B3342" w:rsidP="006B3342">
      <w:pPr>
        <w:pStyle w:val="4-SubsectionHeading"/>
      </w:pPr>
      <w:r w:rsidRPr="000B52C6">
        <w:t>Clinical trials</w:t>
      </w:r>
      <w:bookmarkEnd w:id="14"/>
      <w:bookmarkEnd w:id="16"/>
    </w:p>
    <w:p w14:paraId="7B7364F5" w14:textId="513DFDEE" w:rsidR="006B3342" w:rsidRPr="000B52C6" w:rsidRDefault="006B3342" w:rsidP="006B3342">
      <w:pPr>
        <w:pStyle w:val="3-BodyText"/>
        <w:ind w:left="720" w:hanging="720"/>
      </w:pPr>
      <w:r w:rsidRPr="000B52C6">
        <w:t xml:space="preserve">The resubmission presented indirect treatment comparisons (ITCs) of </w:t>
      </w:r>
      <w:proofErr w:type="spellStart"/>
      <w:r w:rsidRPr="000B52C6">
        <w:t>SBd</w:t>
      </w:r>
      <w:proofErr w:type="spellEnd"/>
      <w:r w:rsidRPr="000B52C6">
        <w:t xml:space="preserve"> and Cd via Bd informed by two </w:t>
      </w:r>
      <w:r w:rsidRPr="000B52C6">
        <w:rPr>
          <w:snapToGrid/>
        </w:rPr>
        <w:t>head-to-head trials: study KCP-330-023</w:t>
      </w:r>
      <w:r w:rsidR="00FA29B3" w:rsidRPr="000B52C6">
        <w:rPr>
          <w:snapToGrid/>
        </w:rPr>
        <w:t xml:space="preserve"> (BOSTON)</w:t>
      </w:r>
      <w:r w:rsidRPr="000B52C6">
        <w:rPr>
          <w:snapToGrid/>
        </w:rPr>
        <w:t xml:space="preserve">; and the ENDEAVOR study. Both BOSTON and ENDEAVOR were presented in the July 2021 submission. The resubmission presented longer follow-up duration for efficacy from BOSTON, with a data-cut from 15 February 2021 (13.5 months median follow-up in the </w:t>
      </w:r>
      <w:proofErr w:type="spellStart"/>
      <w:r w:rsidRPr="000B52C6">
        <w:rPr>
          <w:snapToGrid/>
        </w:rPr>
        <w:t>SBd</w:t>
      </w:r>
      <w:proofErr w:type="spellEnd"/>
      <w:r w:rsidRPr="000B52C6">
        <w:rPr>
          <w:snapToGrid/>
        </w:rPr>
        <w:t xml:space="preserve"> arm and 24.5 months in the Bd arm) compared to the data cut from 18 February 2020 (13.2 months median follow-up in the </w:t>
      </w:r>
      <w:proofErr w:type="spellStart"/>
      <w:r w:rsidRPr="000B52C6">
        <w:rPr>
          <w:snapToGrid/>
        </w:rPr>
        <w:t>SBd</w:t>
      </w:r>
      <w:proofErr w:type="spellEnd"/>
      <w:r w:rsidRPr="000B52C6">
        <w:rPr>
          <w:snapToGrid/>
        </w:rPr>
        <w:t xml:space="preserve"> arm and 16.5 months in the </w:t>
      </w:r>
      <w:r w:rsidRPr="000B52C6">
        <w:rPr>
          <w:snapToGrid/>
        </w:rPr>
        <w:lastRenderedPageBreak/>
        <w:t xml:space="preserve">Bd arm) presented in the July 2021 submission. Both efficacy and safety data from ENDEAVOR remained unchanged from July 2021 submission. </w:t>
      </w:r>
    </w:p>
    <w:p w14:paraId="14F4F46E" w14:textId="777F4EA9" w:rsidR="006B3342" w:rsidRPr="000B52C6" w:rsidRDefault="006B3342" w:rsidP="006B3342">
      <w:pPr>
        <w:pStyle w:val="3-BodyText"/>
        <w:ind w:left="720" w:hanging="720"/>
      </w:pPr>
      <w:r w:rsidRPr="000B52C6">
        <w:rPr>
          <w:snapToGrid/>
        </w:rPr>
        <w:t>Results of the updated data cut (February 2021) from BOSTON informed the adjusted ITC and the simulated treatment comparison (STC) for the efficacy outcome progression free survival (PFS). The ITC for safety outcomes relied on the original data cut (February 2020).</w:t>
      </w:r>
      <w:r w:rsidRPr="000B52C6">
        <w:rPr>
          <w:iCs/>
          <w:snapToGrid/>
        </w:rPr>
        <w:t xml:space="preserve"> </w:t>
      </w:r>
    </w:p>
    <w:p w14:paraId="1451E952" w14:textId="172C04FE" w:rsidR="006B3342" w:rsidRPr="000B52C6" w:rsidRDefault="006B3342" w:rsidP="006B3342">
      <w:pPr>
        <w:pStyle w:val="3-BodyText"/>
        <w:ind w:left="720" w:hanging="720"/>
        <w:rPr>
          <w:snapToGrid/>
        </w:rPr>
      </w:pPr>
      <w:r w:rsidRPr="000B52C6">
        <w:rPr>
          <w:snapToGrid/>
        </w:rPr>
        <w:t xml:space="preserve">Details of the two trials presented in the resubmission are provided in the </w:t>
      </w:r>
      <w:r w:rsidRPr="000B52C6">
        <w:rPr>
          <w:snapToGrid/>
        </w:rPr>
        <w:fldChar w:fldCharType="begin"/>
      </w:r>
      <w:r w:rsidRPr="000B52C6">
        <w:rPr>
          <w:snapToGrid/>
        </w:rPr>
        <w:instrText xml:space="preserve"> REF _Ref90369891 \h  \* MERGEFORMAT </w:instrText>
      </w:r>
      <w:r w:rsidRPr="000B52C6">
        <w:rPr>
          <w:snapToGrid/>
        </w:rPr>
      </w:r>
      <w:r w:rsidRPr="000B52C6">
        <w:rPr>
          <w:snapToGrid/>
        </w:rPr>
        <w:fldChar w:fldCharType="separate"/>
      </w:r>
      <w:r w:rsidR="00FF5725" w:rsidRPr="00FF5725">
        <w:rPr>
          <w:snapToGrid/>
        </w:rPr>
        <w:t>Table 3</w:t>
      </w:r>
      <w:r w:rsidRPr="000B52C6">
        <w:rPr>
          <w:snapToGrid/>
        </w:rPr>
        <w:fldChar w:fldCharType="end"/>
      </w:r>
      <w:r w:rsidRPr="000B52C6">
        <w:rPr>
          <w:snapToGrid/>
        </w:rPr>
        <w:t xml:space="preserve">. </w:t>
      </w:r>
    </w:p>
    <w:p w14:paraId="25709B99" w14:textId="1A14B039" w:rsidR="006B3342" w:rsidRPr="000B52C6" w:rsidRDefault="006B3342" w:rsidP="006B3342">
      <w:pPr>
        <w:pStyle w:val="TableFigureHeading"/>
        <w:rPr>
          <w:rStyle w:val="CommentReference"/>
          <w:b/>
          <w:bCs w:val="0"/>
          <w:szCs w:val="24"/>
        </w:rPr>
      </w:pPr>
      <w:bookmarkStart w:id="19" w:name="_Ref90369891"/>
      <w:r w:rsidRPr="000B52C6">
        <w:rPr>
          <w:rStyle w:val="CommentReference"/>
          <w:b/>
          <w:bCs w:val="0"/>
          <w:szCs w:val="24"/>
        </w:rPr>
        <w:t xml:space="preserve">Table </w:t>
      </w:r>
      <w:r w:rsidRPr="000B52C6">
        <w:rPr>
          <w:rStyle w:val="CommentReference"/>
          <w:b/>
          <w:bCs w:val="0"/>
          <w:szCs w:val="24"/>
        </w:rPr>
        <w:fldChar w:fldCharType="begin"/>
      </w:r>
      <w:r w:rsidRPr="000B52C6">
        <w:rPr>
          <w:rStyle w:val="CommentReference"/>
          <w:b/>
          <w:bCs w:val="0"/>
          <w:szCs w:val="24"/>
        </w:rPr>
        <w:instrText xml:space="preserve"> SEQ Table \* ARABIC </w:instrText>
      </w:r>
      <w:r w:rsidRPr="000B52C6">
        <w:rPr>
          <w:rStyle w:val="CommentReference"/>
          <w:b/>
          <w:bCs w:val="0"/>
          <w:szCs w:val="24"/>
        </w:rPr>
        <w:fldChar w:fldCharType="separate"/>
      </w:r>
      <w:r w:rsidR="00FF5725">
        <w:rPr>
          <w:rStyle w:val="CommentReference"/>
          <w:b/>
          <w:bCs w:val="0"/>
          <w:noProof/>
          <w:szCs w:val="24"/>
        </w:rPr>
        <w:t>3</w:t>
      </w:r>
      <w:r w:rsidRPr="000B52C6">
        <w:rPr>
          <w:rStyle w:val="CommentReference"/>
          <w:b/>
          <w:bCs w:val="0"/>
          <w:szCs w:val="24"/>
        </w:rPr>
        <w:fldChar w:fldCharType="end"/>
      </w:r>
      <w:bookmarkEnd w:id="19"/>
      <w:r w:rsidRPr="000B52C6">
        <w:rPr>
          <w:rStyle w:val="CommentReference"/>
          <w:b/>
          <w:bCs w:val="0"/>
          <w:szCs w:val="24"/>
        </w:rPr>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28" w:type="dxa"/>
          <w:right w:w="28" w:type="dxa"/>
        </w:tblCellMar>
        <w:tblLook w:val="01E0" w:firstRow="1" w:lastRow="1" w:firstColumn="1" w:lastColumn="1" w:noHBand="0" w:noVBand="0"/>
      </w:tblPr>
      <w:tblGrid>
        <w:gridCol w:w="1435"/>
        <w:gridCol w:w="5459"/>
        <w:gridCol w:w="2123"/>
      </w:tblGrid>
      <w:tr w:rsidR="006B3342" w:rsidRPr="000B52C6" w14:paraId="7F274472" w14:textId="77777777" w:rsidTr="00513E25">
        <w:trPr>
          <w:tblHeader/>
        </w:trPr>
        <w:tc>
          <w:tcPr>
            <w:tcW w:w="79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0E07E2" w14:textId="77777777" w:rsidR="006B3342" w:rsidRPr="000B52C6" w:rsidRDefault="006B3342" w:rsidP="00513E25">
            <w:pPr>
              <w:pStyle w:val="In-tableHeading"/>
              <w:keepNext w:val="0"/>
              <w:widowControl w:val="0"/>
              <w:rPr>
                <w:lang w:val="en-AU"/>
              </w:rPr>
            </w:pPr>
            <w:r w:rsidRPr="000B52C6">
              <w:rPr>
                <w:lang w:val="en-AU"/>
              </w:rPr>
              <w:t>Trial ID</w:t>
            </w:r>
          </w:p>
        </w:tc>
        <w:tc>
          <w:tcPr>
            <w:tcW w:w="302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15157FE" w14:textId="77777777" w:rsidR="006B3342" w:rsidRPr="000B52C6" w:rsidRDefault="006B3342" w:rsidP="00513E25">
            <w:pPr>
              <w:pStyle w:val="In-tableHeading"/>
              <w:keepNext w:val="0"/>
              <w:widowControl w:val="0"/>
              <w:rPr>
                <w:lang w:val="en-AU"/>
              </w:rPr>
            </w:pPr>
            <w:r w:rsidRPr="000B52C6">
              <w:rPr>
                <w:lang w:val="en-AU"/>
              </w:rPr>
              <w:t>Protocol title/ Publication title</w:t>
            </w:r>
          </w:p>
        </w:tc>
        <w:tc>
          <w:tcPr>
            <w:tcW w:w="117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A9A4E2" w14:textId="77777777" w:rsidR="006B3342" w:rsidRPr="000B52C6" w:rsidRDefault="006B3342" w:rsidP="00513E25">
            <w:pPr>
              <w:pStyle w:val="In-tableHeading"/>
              <w:keepNext w:val="0"/>
              <w:widowControl w:val="0"/>
              <w:rPr>
                <w:lang w:val="en-AU"/>
              </w:rPr>
            </w:pPr>
            <w:r w:rsidRPr="000B52C6">
              <w:rPr>
                <w:lang w:val="en-AU"/>
              </w:rPr>
              <w:t>Publication citation</w:t>
            </w:r>
          </w:p>
        </w:tc>
      </w:tr>
      <w:tr w:rsidR="006B3342" w:rsidRPr="000B52C6" w14:paraId="790DBD2D" w14:textId="77777777" w:rsidTr="00513E25">
        <w:tc>
          <w:tcPr>
            <w:tcW w:w="5000" w:type="pct"/>
            <w:gridSpan w:val="3"/>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2079BB28" w14:textId="77777777" w:rsidR="006B3342" w:rsidRPr="000B52C6" w:rsidRDefault="006B3342" w:rsidP="00513E25">
            <w:pPr>
              <w:pStyle w:val="TableText0"/>
              <w:keepNext w:val="0"/>
              <w:widowControl w:val="0"/>
            </w:pPr>
            <w:r w:rsidRPr="000B52C6">
              <w:rPr>
                <w:szCs w:val="18"/>
              </w:rPr>
              <w:t>Direct trials (</w:t>
            </w:r>
            <w:proofErr w:type="spellStart"/>
            <w:r w:rsidRPr="000B52C6">
              <w:rPr>
                <w:szCs w:val="18"/>
              </w:rPr>
              <w:t>SBd</w:t>
            </w:r>
            <w:proofErr w:type="spellEnd"/>
            <w:r w:rsidRPr="000B52C6">
              <w:rPr>
                <w:szCs w:val="18"/>
              </w:rPr>
              <w:t xml:space="preserve"> versus Bd)</w:t>
            </w:r>
          </w:p>
        </w:tc>
      </w:tr>
      <w:tr w:rsidR="006B3342" w:rsidRPr="000B52C6" w14:paraId="5A45B5DA" w14:textId="77777777" w:rsidTr="00513E25">
        <w:tc>
          <w:tcPr>
            <w:tcW w:w="796" w:type="pct"/>
            <w:tcBorders>
              <w:top w:val="single" w:sz="4" w:space="0" w:color="auto"/>
              <w:left w:val="single" w:sz="4" w:space="0" w:color="auto"/>
              <w:bottom w:val="nil"/>
              <w:right w:val="single" w:sz="4" w:space="0" w:color="auto"/>
            </w:tcBorders>
            <w:shd w:val="clear" w:color="auto" w:fill="C6D9F1" w:themeFill="text2" w:themeFillTint="33"/>
            <w:hideMark/>
          </w:tcPr>
          <w:p w14:paraId="1F1F6AC6" w14:textId="77777777" w:rsidR="006B3342" w:rsidRPr="000B52C6" w:rsidRDefault="006B3342" w:rsidP="00513E25">
            <w:pPr>
              <w:pStyle w:val="TableText0"/>
              <w:keepNext w:val="0"/>
              <w:widowControl w:val="0"/>
            </w:pPr>
            <w:r w:rsidRPr="000B52C6">
              <w:t>BOSTON</w:t>
            </w:r>
          </w:p>
        </w:tc>
        <w:tc>
          <w:tcPr>
            <w:tcW w:w="3027" w:type="pct"/>
            <w:tcBorders>
              <w:top w:val="single" w:sz="4" w:space="0" w:color="auto"/>
              <w:left w:val="single" w:sz="4" w:space="0" w:color="auto"/>
              <w:bottom w:val="nil"/>
              <w:right w:val="single" w:sz="4" w:space="0" w:color="auto"/>
            </w:tcBorders>
            <w:shd w:val="clear" w:color="auto" w:fill="C6D9F1" w:themeFill="text2" w:themeFillTint="33"/>
            <w:hideMark/>
          </w:tcPr>
          <w:p w14:paraId="134FF87D" w14:textId="77777777" w:rsidR="006B3342" w:rsidRPr="000B52C6" w:rsidRDefault="006B3342" w:rsidP="00513E25">
            <w:pPr>
              <w:pStyle w:val="TableLeft"/>
              <w:widowControl w:val="0"/>
              <w:rPr>
                <w:rFonts w:ascii="Arial Narrow" w:eastAsiaTheme="majorEastAsia" w:hAnsi="Arial Narrow" w:cstheme="majorBidi"/>
                <w:lang w:eastAsia="en-AU"/>
              </w:rPr>
            </w:pPr>
            <w:r w:rsidRPr="000B52C6">
              <w:rPr>
                <w:rFonts w:ascii="Arial Narrow" w:eastAsiaTheme="majorEastAsia" w:hAnsi="Arial Narrow" w:cstheme="majorBidi"/>
                <w:lang w:eastAsia="en-AU"/>
              </w:rPr>
              <w:t>KCP-330-023 A PHASE 3 RANDOMISED, CONTROLLED, OPEN-LABEL STUDY OF SBD (</w:t>
            </w:r>
            <w:proofErr w:type="spellStart"/>
            <w:r w:rsidRPr="000B52C6">
              <w:rPr>
                <w:rFonts w:ascii="Arial Narrow" w:eastAsiaTheme="majorEastAsia" w:hAnsi="Arial Narrow" w:cstheme="majorBidi"/>
                <w:lang w:eastAsia="en-AU"/>
              </w:rPr>
              <w:t>SBd</w:t>
            </w:r>
            <w:proofErr w:type="spellEnd"/>
            <w:r w:rsidRPr="000B52C6">
              <w:rPr>
                <w:rFonts w:ascii="Arial Narrow" w:eastAsiaTheme="majorEastAsia" w:hAnsi="Arial Narrow" w:cstheme="majorBidi"/>
                <w:lang w:eastAsia="en-AU"/>
              </w:rPr>
              <w:t xml:space="preserve">) VERSUS BORTEZOMIB AND DEXAMETHASONE (Bd) IN PATIENTS WITH RELAPSED OR REFRACTORY MULTIPLE MYELOMA (RRMM). </w:t>
            </w:r>
          </w:p>
        </w:tc>
        <w:tc>
          <w:tcPr>
            <w:tcW w:w="1177" w:type="pct"/>
            <w:tcBorders>
              <w:top w:val="single" w:sz="4" w:space="0" w:color="auto"/>
              <w:left w:val="single" w:sz="4" w:space="0" w:color="auto"/>
              <w:bottom w:val="nil"/>
              <w:right w:val="single" w:sz="4" w:space="0" w:color="auto"/>
            </w:tcBorders>
            <w:shd w:val="clear" w:color="auto" w:fill="C6D9F1" w:themeFill="text2" w:themeFillTint="33"/>
            <w:hideMark/>
          </w:tcPr>
          <w:p w14:paraId="7DFC7C9E" w14:textId="77777777" w:rsidR="006B3342" w:rsidRPr="000B52C6" w:rsidRDefault="006B3342" w:rsidP="00513E25">
            <w:pPr>
              <w:pStyle w:val="TableText0"/>
              <w:keepNext w:val="0"/>
              <w:widowControl w:val="0"/>
              <w:rPr>
                <w:iCs/>
              </w:rPr>
            </w:pPr>
            <w:r w:rsidRPr="000B52C6">
              <w:rPr>
                <w:iCs/>
              </w:rPr>
              <w:t>May 2020</w:t>
            </w:r>
          </w:p>
        </w:tc>
      </w:tr>
      <w:tr w:rsidR="006B3342" w:rsidRPr="000B52C6" w14:paraId="09100B2E" w14:textId="77777777" w:rsidTr="00513E25">
        <w:tc>
          <w:tcPr>
            <w:tcW w:w="796" w:type="pct"/>
            <w:tcBorders>
              <w:top w:val="nil"/>
              <w:left w:val="single" w:sz="4" w:space="0" w:color="auto"/>
              <w:bottom w:val="single" w:sz="4" w:space="0" w:color="auto"/>
              <w:right w:val="single" w:sz="4" w:space="0" w:color="auto"/>
            </w:tcBorders>
            <w:shd w:val="clear" w:color="auto" w:fill="C6D9F1" w:themeFill="text2" w:themeFillTint="33"/>
          </w:tcPr>
          <w:p w14:paraId="3F5E6129" w14:textId="77777777" w:rsidR="006B3342" w:rsidRPr="000B52C6" w:rsidRDefault="006B3342" w:rsidP="00513E25">
            <w:pPr>
              <w:pStyle w:val="TableText0"/>
              <w:keepNext w:val="0"/>
              <w:widowControl w:val="0"/>
            </w:pPr>
          </w:p>
        </w:tc>
        <w:tc>
          <w:tcPr>
            <w:tcW w:w="3027" w:type="pct"/>
            <w:tcBorders>
              <w:top w:val="nil"/>
              <w:left w:val="single" w:sz="4" w:space="0" w:color="auto"/>
              <w:bottom w:val="single" w:sz="4" w:space="0" w:color="auto"/>
              <w:right w:val="single" w:sz="4" w:space="0" w:color="auto"/>
            </w:tcBorders>
            <w:shd w:val="clear" w:color="auto" w:fill="C6D9F1" w:themeFill="text2" w:themeFillTint="33"/>
            <w:hideMark/>
          </w:tcPr>
          <w:p w14:paraId="22C22A21" w14:textId="77777777" w:rsidR="006B3342" w:rsidRPr="000B52C6" w:rsidRDefault="006B3342" w:rsidP="00513E25">
            <w:pPr>
              <w:pStyle w:val="TableText0"/>
              <w:keepNext w:val="0"/>
              <w:widowControl w:val="0"/>
              <w:rPr>
                <w:bCs w:val="0"/>
                <w:szCs w:val="22"/>
              </w:rPr>
            </w:pPr>
            <w:proofErr w:type="spellStart"/>
            <w:r w:rsidRPr="000B52C6">
              <w:rPr>
                <w:bCs w:val="0"/>
                <w:szCs w:val="22"/>
              </w:rPr>
              <w:t>Grosicki</w:t>
            </w:r>
            <w:proofErr w:type="spellEnd"/>
            <w:r w:rsidRPr="000B52C6">
              <w:rPr>
                <w:bCs w:val="0"/>
                <w:szCs w:val="22"/>
              </w:rPr>
              <w:t xml:space="preserve"> S, </w:t>
            </w:r>
            <w:proofErr w:type="spellStart"/>
            <w:r w:rsidRPr="000B52C6">
              <w:rPr>
                <w:bCs w:val="0"/>
                <w:szCs w:val="22"/>
              </w:rPr>
              <w:t>Simonova</w:t>
            </w:r>
            <w:proofErr w:type="spellEnd"/>
            <w:r w:rsidRPr="000B52C6">
              <w:rPr>
                <w:bCs w:val="0"/>
                <w:szCs w:val="22"/>
              </w:rPr>
              <w:t xml:space="preserve"> M, </w:t>
            </w:r>
            <w:proofErr w:type="spellStart"/>
            <w:r w:rsidRPr="000B52C6">
              <w:rPr>
                <w:bCs w:val="0"/>
                <w:szCs w:val="22"/>
              </w:rPr>
              <w:t>Spicka</w:t>
            </w:r>
            <w:proofErr w:type="spellEnd"/>
            <w:r w:rsidRPr="000B52C6">
              <w:rPr>
                <w:bCs w:val="0"/>
                <w:szCs w:val="22"/>
              </w:rPr>
              <w:t xml:space="preserve"> I, et al. Once-per-week </w:t>
            </w:r>
            <w:proofErr w:type="spellStart"/>
            <w:r w:rsidRPr="000B52C6">
              <w:rPr>
                <w:bCs w:val="0"/>
                <w:szCs w:val="22"/>
              </w:rPr>
              <w:t>SBd</w:t>
            </w:r>
            <w:proofErr w:type="spellEnd"/>
            <w:r w:rsidRPr="000B52C6">
              <w:rPr>
                <w:bCs w:val="0"/>
                <w:szCs w:val="22"/>
              </w:rPr>
              <w:t xml:space="preserve"> versus twice-per-week bortezomib and dexamethasone in patients with multiple myeloma (BOSTON): a randomised, open-label, phase 3 trial. </w:t>
            </w:r>
          </w:p>
        </w:tc>
        <w:tc>
          <w:tcPr>
            <w:tcW w:w="1177" w:type="pct"/>
            <w:tcBorders>
              <w:top w:val="nil"/>
              <w:left w:val="single" w:sz="4" w:space="0" w:color="auto"/>
              <w:bottom w:val="single" w:sz="4" w:space="0" w:color="auto"/>
              <w:right w:val="single" w:sz="4" w:space="0" w:color="auto"/>
            </w:tcBorders>
            <w:shd w:val="clear" w:color="auto" w:fill="C6D9F1" w:themeFill="text2" w:themeFillTint="33"/>
            <w:hideMark/>
          </w:tcPr>
          <w:p w14:paraId="0DD6EB5D" w14:textId="77777777" w:rsidR="006B3342" w:rsidRPr="000B52C6" w:rsidRDefault="006B3342" w:rsidP="00513E25">
            <w:pPr>
              <w:pStyle w:val="TableText0"/>
              <w:keepNext w:val="0"/>
              <w:widowControl w:val="0"/>
              <w:rPr>
                <w:iCs/>
                <w:szCs w:val="18"/>
              </w:rPr>
            </w:pPr>
            <w:r w:rsidRPr="000B52C6">
              <w:rPr>
                <w:bCs w:val="0"/>
                <w:iCs/>
                <w:szCs w:val="22"/>
              </w:rPr>
              <w:t xml:space="preserve">Lancet 2020 Nov; 14;396(10262):1563-1573. </w:t>
            </w:r>
          </w:p>
        </w:tc>
      </w:tr>
      <w:tr w:rsidR="006B3342" w:rsidRPr="000B52C6" w14:paraId="06CA0379" w14:textId="77777777" w:rsidTr="00513E25">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789A69F" w14:textId="77777777" w:rsidR="006B3342" w:rsidRPr="000B52C6" w:rsidRDefault="006B3342" w:rsidP="00513E25">
            <w:pPr>
              <w:pStyle w:val="TableText0"/>
              <w:keepNext w:val="0"/>
              <w:widowControl w:val="0"/>
              <w:rPr>
                <w:bCs w:val="0"/>
                <w:i/>
                <w:iCs/>
                <w:szCs w:val="22"/>
              </w:rPr>
            </w:pPr>
            <w:r w:rsidRPr="000B52C6">
              <w:rPr>
                <w:szCs w:val="18"/>
              </w:rPr>
              <w:t>Direct trials (Cd versus Bd)</w:t>
            </w:r>
          </w:p>
        </w:tc>
      </w:tr>
      <w:tr w:rsidR="006B3342" w:rsidRPr="000B52C6" w14:paraId="57AE032B" w14:textId="77777777" w:rsidTr="00513E25">
        <w:tc>
          <w:tcPr>
            <w:tcW w:w="796" w:type="pct"/>
            <w:tcBorders>
              <w:top w:val="single" w:sz="4" w:space="0" w:color="auto"/>
              <w:left w:val="single" w:sz="4" w:space="0" w:color="auto"/>
              <w:bottom w:val="nil"/>
              <w:right w:val="single" w:sz="4" w:space="0" w:color="auto"/>
            </w:tcBorders>
            <w:shd w:val="clear" w:color="auto" w:fill="C6D9F1" w:themeFill="text2" w:themeFillTint="33"/>
            <w:hideMark/>
          </w:tcPr>
          <w:p w14:paraId="0EF3E70B" w14:textId="77777777" w:rsidR="006B3342" w:rsidRPr="000B52C6" w:rsidRDefault="006B3342" w:rsidP="00513E25">
            <w:pPr>
              <w:pStyle w:val="TableText0"/>
              <w:keepNext w:val="0"/>
              <w:widowControl w:val="0"/>
              <w:rPr>
                <w:szCs w:val="18"/>
              </w:rPr>
            </w:pPr>
            <w:r w:rsidRPr="000B52C6">
              <w:rPr>
                <w:szCs w:val="18"/>
              </w:rPr>
              <w:t>ENDEAVOR</w:t>
            </w:r>
          </w:p>
        </w:tc>
        <w:tc>
          <w:tcPr>
            <w:tcW w:w="3027" w:type="pct"/>
            <w:tcBorders>
              <w:top w:val="single" w:sz="4" w:space="0" w:color="auto"/>
              <w:left w:val="single" w:sz="4" w:space="0" w:color="auto"/>
              <w:bottom w:val="nil"/>
              <w:right w:val="single" w:sz="4" w:space="0" w:color="auto"/>
            </w:tcBorders>
            <w:shd w:val="clear" w:color="auto" w:fill="C6D9F1" w:themeFill="text2" w:themeFillTint="33"/>
            <w:hideMark/>
          </w:tcPr>
          <w:p w14:paraId="3DF3394F" w14:textId="77777777" w:rsidR="006B3342" w:rsidRPr="000B52C6" w:rsidRDefault="006B3342" w:rsidP="00513E25">
            <w:pPr>
              <w:pStyle w:val="TableText0"/>
              <w:keepNext w:val="0"/>
              <w:widowControl w:val="0"/>
              <w:rPr>
                <w:bCs w:val="0"/>
                <w:szCs w:val="22"/>
              </w:rPr>
            </w:pPr>
            <w:proofErr w:type="spellStart"/>
            <w:r w:rsidRPr="000B52C6">
              <w:t>Dimopoulos</w:t>
            </w:r>
            <w:proofErr w:type="spellEnd"/>
            <w:r w:rsidRPr="000B52C6">
              <w:t xml:space="preserve"> MA, Moreau P, Palumbo A, et al. Carfilzomib and dexamethasone versus bortezomib and dexamethasone for patients with relapsed or refractory multiple myeloma (ENDEAVOR): A randomised, phase 3, open-label, multicentre study.</w:t>
            </w:r>
          </w:p>
        </w:tc>
        <w:tc>
          <w:tcPr>
            <w:tcW w:w="1177" w:type="pct"/>
            <w:tcBorders>
              <w:top w:val="single" w:sz="4" w:space="0" w:color="auto"/>
              <w:left w:val="single" w:sz="4" w:space="0" w:color="auto"/>
              <w:bottom w:val="nil"/>
              <w:right w:val="single" w:sz="4" w:space="0" w:color="auto"/>
            </w:tcBorders>
            <w:shd w:val="clear" w:color="auto" w:fill="C6D9F1" w:themeFill="text2" w:themeFillTint="33"/>
            <w:hideMark/>
          </w:tcPr>
          <w:p w14:paraId="36EA5AE6" w14:textId="77777777" w:rsidR="006B3342" w:rsidRPr="000B52C6" w:rsidRDefault="006B3342" w:rsidP="00513E25">
            <w:pPr>
              <w:pStyle w:val="TableText0"/>
              <w:keepNext w:val="0"/>
              <w:widowControl w:val="0"/>
              <w:rPr>
                <w:bCs w:val="0"/>
                <w:iCs/>
                <w:szCs w:val="22"/>
              </w:rPr>
            </w:pPr>
            <w:r w:rsidRPr="000B52C6">
              <w:rPr>
                <w:bCs w:val="0"/>
                <w:iCs/>
              </w:rPr>
              <w:t>The Lancet Oncology 2016; 17(1): 27-38.</w:t>
            </w:r>
          </w:p>
        </w:tc>
      </w:tr>
      <w:tr w:rsidR="006B3342" w:rsidRPr="000B52C6" w14:paraId="3C939912" w14:textId="77777777" w:rsidTr="00513E25">
        <w:tc>
          <w:tcPr>
            <w:tcW w:w="796" w:type="pct"/>
            <w:tcBorders>
              <w:top w:val="nil"/>
              <w:left w:val="single" w:sz="4" w:space="0" w:color="auto"/>
              <w:bottom w:val="nil"/>
              <w:right w:val="single" w:sz="4" w:space="0" w:color="auto"/>
            </w:tcBorders>
            <w:shd w:val="clear" w:color="auto" w:fill="C6D9F1" w:themeFill="text2" w:themeFillTint="33"/>
          </w:tcPr>
          <w:p w14:paraId="49BC6BC0" w14:textId="77777777" w:rsidR="006B3342" w:rsidRPr="000B52C6" w:rsidRDefault="006B3342" w:rsidP="00513E25">
            <w:pPr>
              <w:pStyle w:val="TableText0"/>
              <w:keepNext w:val="0"/>
              <w:widowControl w:val="0"/>
              <w:rPr>
                <w:szCs w:val="18"/>
              </w:rPr>
            </w:pPr>
          </w:p>
        </w:tc>
        <w:tc>
          <w:tcPr>
            <w:tcW w:w="3027" w:type="pct"/>
            <w:tcBorders>
              <w:top w:val="nil"/>
              <w:left w:val="single" w:sz="4" w:space="0" w:color="auto"/>
              <w:bottom w:val="nil"/>
              <w:right w:val="single" w:sz="4" w:space="0" w:color="auto"/>
            </w:tcBorders>
            <w:shd w:val="clear" w:color="auto" w:fill="C6D9F1" w:themeFill="text2" w:themeFillTint="33"/>
            <w:hideMark/>
          </w:tcPr>
          <w:p w14:paraId="5C7E8A80" w14:textId="77777777" w:rsidR="006B3342" w:rsidRPr="000B52C6" w:rsidRDefault="006B3342" w:rsidP="00513E25">
            <w:pPr>
              <w:pStyle w:val="TableText0"/>
              <w:keepNext w:val="0"/>
              <w:widowControl w:val="0"/>
            </w:pPr>
            <w:proofErr w:type="spellStart"/>
            <w:r w:rsidRPr="000B52C6">
              <w:t>Dimopoulos</w:t>
            </w:r>
            <w:proofErr w:type="spellEnd"/>
            <w:r w:rsidRPr="000B52C6">
              <w:t xml:space="preserve"> MA, Goldschmidt H, </w:t>
            </w:r>
            <w:proofErr w:type="spellStart"/>
            <w:r w:rsidRPr="000B52C6">
              <w:t>Niesvizky</w:t>
            </w:r>
            <w:proofErr w:type="spellEnd"/>
            <w:r w:rsidRPr="000B52C6">
              <w:t xml:space="preserve"> R, et al. Carfilzomib or bortezomib in relapsed or refractory multiple myeloma (ENDEAVOR): an interim overall survival analysis of an </w:t>
            </w:r>
            <w:proofErr w:type="gramStart"/>
            <w:r w:rsidRPr="000B52C6">
              <w:t>open-label</w:t>
            </w:r>
            <w:proofErr w:type="gramEnd"/>
            <w:r w:rsidRPr="000B52C6">
              <w:t>, randomised, phase 3 trial.</w:t>
            </w:r>
            <w:r w:rsidRPr="000B52C6">
              <w:rPr>
                <w:szCs w:val="18"/>
              </w:rPr>
              <w:t xml:space="preserve"> </w:t>
            </w:r>
            <w:r w:rsidRPr="000B52C6">
              <w:t xml:space="preserve">Correction: Carfilzomib or bortezomib in relapsed or refractory multiple myeloma (ENDEAVOR): an interim overall survival analysis of an </w:t>
            </w:r>
            <w:proofErr w:type="spellStart"/>
            <w:r w:rsidRPr="000B52C6">
              <w:t>openlabel</w:t>
            </w:r>
            <w:proofErr w:type="spellEnd"/>
            <w:r w:rsidRPr="000B52C6">
              <w:t>, randomised, phase 3 trial.</w:t>
            </w:r>
          </w:p>
        </w:tc>
        <w:tc>
          <w:tcPr>
            <w:tcW w:w="1177" w:type="pct"/>
            <w:tcBorders>
              <w:top w:val="nil"/>
              <w:left w:val="single" w:sz="4" w:space="0" w:color="auto"/>
              <w:bottom w:val="nil"/>
              <w:right w:val="single" w:sz="4" w:space="0" w:color="auto"/>
            </w:tcBorders>
            <w:shd w:val="clear" w:color="auto" w:fill="C6D9F1" w:themeFill="text2" w:themeFillTint="33"/>
          </w:tcPr>
          <w:p w14:paraId="7D9443F6" w14:textId="77777777" w:rsidR="006B3342" w:rsidRPr="000B52C6" w:rsidRDefault="006B3342" w:rsidP="00513E25">
            <w:pPr>
              <w:pStyle w:val="TableLeft"/>
              <w:widowControl w:val="0"/>
              <w:rPr>
                <w:rFonts w:ascii="Arial Narrow" w:eastAsiaTheme="majorEastAsia" w:hAnsi="Arial Narrow" w:cstheme="majorBidi"/>
                <w:bCs/>
                <w:iCs/>
                <w:lang w:eastAsia="en-AU"/>
              </w:rPr>
            </w:pPr>
            <w:r w:rsidRPr="000B52C6">
              <w:rPr>
                <w:rFonts w:ascii="Arial Narrow" w:eastAsiaTheme="majorEastAsia" w:hAnsi="Arial Narrow" w:cstheme="majorBidi"/>
                <w:bCs/>
                <w:iCs/>
                <w:lang w:eastAsia="en-AU"/>
              </w:rPr>
              <w:t xml:space="preserve">The Lancet Oncology 2017; 18(10): 1327-1337. </w:t>
            </w:r>
          </w:p>
          <w:p w14:paraId="3C00310C" w14:textId="77777777" w:rsidR="006B3342" w:rsidRPr="000B52C6" w:rsidRDefault="006B3342" w:rsidP="00513E25">
            <w:pPr>
              <w:pStyle w:val="TableLeft"/>
              <w:widowControl w:val="0"/>
              <w:rPr>
                <w:rFonts w:ascii="Arial Narrow" w:hAnsi="Arial Narrow" w:cstheme="majorBidi"/>
                <w:iCs/>
              </w:rPr>
            </w:pPr>
            <w:r w:rsidRPr="000B52C6">
              <w:rPr>
                <w:rFonts w:ascii="Arial Narrow" w:hAnsi="Arial Narrow" w:cstheme="majorBidi"/>
                <w:iCs/>
              </w:rPr>
              <w:t>The Lancet Oncology. 18(10): e562.</w:t>
            </w:r>
          </w:p>
          <w:p w14:paraId="6E667CC9" w14:textId="77777777" w:rsidR="006B3342" w:rsidRPr="000B52C6" w:rsidRDefault="006B3342" w:rsidP="00513E25">
            <w:pPr>
              <w:pStyle w:val="TableLeft"/>
              <w:widowControl w:val="0"/>
              <w:rPr>
                <w:rFonts w:ascii="Arial Narrow" w:eastAsiaTheme="majorEastAsia" w:hAnsi="Arial Narrow" w:cstheme="majorBidi"/>
                <w:bCs/>
                <w:lang w:eastAsia="en-AU"/>
              </w:rPr>
            </w:pPr>
          </w:p>
          <w:p w14:paraId="6CCE2CA5" w14:textId="77777777" w:rsidR="006B3342" w:rsidRPr="000B52C6" w:rsidRDefault="006B3342" w:rsidP="00513E25">
            <w:pPr>
              <w:pStyle w:val="TableText0"/>
              <w:keepNext w:val="0"/>
              <w:widowControl w:val="0"/>
              <w:rPr>
                <w:bCs w:val="0"/>
                <w:i/>
                <w:iCs/>
              </w:rPr>
            </w:pPr>
          </w:p>
        </w:tc>
      </w:tr>
      <w:tr w:rsidR="006B3342" w:rsidRPr="000B52C6" w14:paraId="49DACB03" w14:textId="77777777" w:rsidTr="00513E25">
        <w:tc>
          <w:tcPr>
            <w:tcW w:w="796" w:type="pct"/>
            <w:tcBorders>
              <w:top w:val="nil"/>
              <w:left w:val="single" w:sz="4" w:space="0" w:color="auto"/>
              <w:bottom w:val="single" w:sz="4" w:space="0" w:color="auto"/>
              <w:right w:val="single" w:sz="4" w:space="0" w:color="auto"/>
            </w:tcBorders>
            <w:shd w:val="clear" w:color="auto" w:fill="C6D9F1" w:themeFill="text2" w:themeFillTint="33"/>
          </w:tcPr>
          <w:p w14:paraId="05642D5F" w14:textId="77777777" w:rsidR="006B3342" w:rsidRPr="000B52C6" w:rsidRDefault="006B3342" w:rsidP="00513E25">
            <w:pPr>
              <w:pStyle w:val="TableText0"/>
              <w:keepNext w:val="0"/>
              <w:widowControl w:val="0"/>
              <w:rPr>
                <w:szCs w:val="18"/>
              </w:rPr>
            </w:pPr>
          </w:p>
        </w:tc>
        <w:tc>
          <w:tcPr>
            <w:tcW w:w="3027" w:type="pct"/>
            <w:tcBorders>
              <w:top w:val="nil"/>
              <w:left w:val="single" w:sz="4" w:space="0" w:color="auto"/>
              <w:bottom w:val="single" w:sz="4" w:space="0" w:color="auto"/>
              <w:right w:val="single" w:sz="4" w:space="0" w:color="auto"/>
            </w:tcBorders>
            <w:shd w:val="clear" w:color="auto" w:fill="C6D9F1" w:themeFill="text2" w:themeFillTint="33"/>
            <w:hideMark/>
          </w:tcPr>
          <w:p w14:paraId="6F2D4337" w14:textId="77777777" w:rsidR="006B3342" w:rsidRPr="000B52C6" w:rsidRDefault="006B3342" w:rsidP="00513E25">
            <w:pPr>
              <w:pStyle w:val="TableText0"/>
              <w:keepNext w:val="0"/>
              <w:widowControl w:val="0"/>
            </w:pPr>
            <w:r w:rsidRPr="000B52C6">
              <w:t xml:space="preserve">Orlowski RZ, Moreau P, </w:t>
            </w:r>
            <w:proofErr w:type="spellStart"/>
            <w:r w:rsidRPr="000B52C6">
              <w:t>Niesvizky</w:t>
            </w:r>
            <w:proofErr w:type="spellEnd"/>
            <w:r w:rsidRPr="000B52C6">
              <w:t xml:space="preserve"> R, et al. Carfilzomib-Dexamethasone Versus Bortezomib-Dexamethasone in Relapsed or Refractory Multiple Myeloma: Updated Overall Survival, Safety, and Subgroups. </w:t>
            </w:r>
          </w:p>
        </w:tc>
        <w:tc>
          <w:tcPr>
            <w:tcW w:w="1177" w:type="pct"/>
            <w:tcBorders>
              <w:top w:val="nil"/>
              <w:left w:val="single" w:sz="4" w:space="0" w:color="auto"/>
              <w:bottom w:val="single" w:sz="4" w:space="0" w:color="auto"/>
              <w:right w:val="single" w:sz="4" w:space="0" w:color="auto"/>
            </w:tcBorders>
            <w:shd w:val="clear" w:color="auto" w:fill="C6D9F1" w:themeFill="text2" w:themeFillTint="33"/>
            <w:hideMark/>
          </w:tcPr>
          <w:p w14:paraId="36788D8A" w14:textId="77777777" w:rsidR="006B3342" w:rsidRPr="000B52C6" w:rsidRDefault="006B3342" w:rsidP="00513E25">
            <w:pPr>
              <w:pStyle w:val="TableLeft"/>
              <w:widowControl w:val="0"/>
              <w:rPr>
                <w:rFonts w:ascii="Arial Narrow" w:eastAsiaTheme="majorEastAsia" w:hAnsi="Arial Narrow" w:cstheme="majorBidi"/>
                <w:bCs/>
                <w:iCs/>
                <w:lang w:eastAsia="en-AU"/>
              </w:rPr>
            </w:pPr>
            <w:r w:rsidRPr="000B52C6">
              <w:rPr>
                <w:rFonts w:ascii="Arial Narrow" w:eastAsiaTheme="majorEastAsia" w:hAnsi="Arial Narrow" w:cstheme="majorBidi"/>
                <w:bCs/>
                <w:iCs/>
                <w:lang w:eastAsia="en-AU"/>
              </w:rPr>
              <w:t xml:space="preserve">Clin Lymphoma Myeloma </w:t>
            </w:r>
            <w:proofErr w:type="spellStart"/>
            <w:r w:rsidRPr="000B52C6">
              <w:rPr>
                <w:rFonts w:ascii="Arial Narrow" w:eastAsiaTheme="majorEastAsia" w:hAnsi="Arial Narrow" w:cstheme="majorBidi"/>
                <w:bCs/>
                <w:iCs/>
                <w:lang w:eastAsia="en-AU"/>
              </w:rPr>
              <w:t>Leuk</w:t>
            </w:r>
            <w:proofErr w:type="spellEnd"/>
            <w:r w:rsidRPr="000B52C6">
              <w:rPr>
                <w:rFonts w:ascii="Arial Narrow" w:eastAsiaTheme="majorEastAsia" w:hAnsi="Arial Narrow" w:cstheme="majorBidi"/>
                <w:bCs/>
                <w:iCs/>
                <w:lang w:eastAsia="en-AU"/>
              </w:rPr>
              <w:t>. 2019 Aug; 19(8):522-530.e1.</w:t>
            </w:r>
            <w:r w:rsidRPr="000B52C6">
              <w:rPr>
                <w:iCs/>
              </w:rPr>
              <w:t xml:space="preserve"> </w:t>
            </w:r>
          </w:p>
        </w:tc>
      </w:tr>
    </w:tbl>
    <w:p w14:paraId="69AB10CC" w14:textId="77777777" w:rsidR="006B3342" w:rsidRPr="000B52C6" w:rsidRDefault="006B3342" w:rsidP="006B3342">
      <w:pPr>
        <w:pStyle w:val="TableFigureFooter"/>
        <w:keepNext/>
      </w:pPr>
      <w:r w:rsidRPr="000B52C6">
        <w:t>Source: Table 2-5, pp64-66 and Table 2-7, pp66-68 of the resubmission.</w:t>
      </w:r>
    </w:p>
    <w:p w14:paraId="62B052BA" w14:textId="77777777" w:rsidR="006B3342" w:rsidRPr="000B52C6" w:rsidRDefault="006B3342" w:rsidP="006B3342">
      <w:pPr>
        <w:pStyle w:val="TableFigureFooter"/>
        <w:keepNext/>
      </w:pPr>
      <w:r w:rsidRPr="000B52C6">
        <w:t xml:space="preserve">Abbreviations: Bd = bortezomib + dexamethasone; Cd = carfilzomib + dexamethasone; N/A = not applicable; OS = overall survival; PFS = progression free survival; </w:t>
      </w:r>
      <w:proofErr w:type="spellStart"/>
      <w:r w:rsidRPr="000B52C6">
        <w:t>SBd</w:t>
      </w:r>
      <w:proofErr w:type="spellEnd"/>
      <w:r w:rsidRPr="000B52C6">
        <w:t xml:space="preserve"> = </w:t>
      </w:r>
      <w:proofErr w:type="spellStart"/>
      <w:r w:rsidRPr="000B52C6">
        <w:t>selinexor</w:t>
      </w:r>
      <w:proofErr w:type="spellEnd"/>
      <w:r w:rsidRPr="000B52C6">
        <w:t xml:space="preserve"> + bortezomib + dexamethasone.</w:t>
      </w:r>
    </w:p>
    <w:p w14:paraId="216283A3" w14:textId="77777777" w:rsidR="006B3342" w:rsidRPr="000B52C6" w:rsidRDefault="006B3342" w:rsidP="006B3342">
      <w:pPr>
        <w:pStyle w:val="TableFigureFooter"/>
        <w:keepNext/>
        <w:widowControl w:val="0"/>
        <w:rPr>
          <w:bCs/>
          <w:iCs/>
          <w:szCs w:val="18"/>
        </w:rPr>
      </w:pPr>
      <w:r w:rsidRPr="000B52C6">
        <w:t xml:space="preserve">Note: </w:t>
      </w:r>
      <w:r w:rsidRPr="000B52C6">
        <w:rPr>
          <w:rStyle w:val="CommentReference"/>
          <w:b w:val="0"/>
          <w:bCs/>
          <w:iCs/>
          <w:sz w:val="18"/>
          <w:szCs w:val="18"/>
          <w:shd w:val="clear" w:color="auto" w:fill="C6D9F1" w:themeFill="text2" w:themeFillTint="33"/>
        </w:rPr>
        <w:t>Blue shading</w:t>
      </w:r>
      <w:r w:rsidRPr="000B52C6">
        <w:rPr>
          <w:rStyle w:val="CommentReference"/>
          <w:b w:val="0"/>
          <w:bCs/>
          <w:iCs/>
          <w:sz w:val="18"/>
          <w:szCs w:val="18"/>
        </w:rPr>
        <w:t xml:space="preserve"> indicates data previously seen by the PBAC.</w:t>
      </w:r>
    </w:p>
    <w:p w14:paraId="5B60C46D" w14:textId="0B6E3D94" w:rsidR="006B3342" w:rsidRPr="000B52C6" w:rsidRDefault="006B3342" w:rsidP="006B3342">
      <w:pPr>
        <w:pStyle w:val="3-BodyText"/>
        <w:ind w:left="720" w:hanging="720"/>
      </w:pPr>
      <w:r w:rsidRPr="000B52C6">
        <w:t xml:space="preserve">The key features of the direct randomised trials are summarised in the </w:t>
      </w:r>
      <w:r w:rsidRPr="000B52C6">
        <w:fldChar w:fldCharType="begin"/>
      </w:r>
      <w:r w:rsidRPr="000B52C6">
        <w:instrText xml:space="preserve"> REF _Ref90369925 \h  \* MERGEFORMAT </w:instrText>
      </w:r>
      <w:r w:rsidRPr="000B52C6">
        <w:fldChar w:fldCharType="separate"/>
      </w:r>
      <w:r w:rsidR="00FF5725" w:rsidRPr="00FF5725">
        <w:t>Table 4</w:t>
      </w:r>
      <w:r w:rsidRPr="000B52C6">
        <w:fldChar w:fldCharType="end"/>
      </w:r>
      <w:r w:rsidRPr="000B52C6">
        <w:t xml:space="preserve">. </w:t>
      </w:r>
    </w:p>
    <w:p w14:paraId="2A5C7CFD" w14:textId="71301E7D" w:rsidR="006B3342" w:rsidRPr="000B52C6" w:rsidRDefault="006B3342" w:rsidP="006B3342">
      <w:pPr>
        <w:pStyle w:val="TableFigureHeading"/>
        <w:rPr>
          <w:rStyle w:val="CommentReference"/>
          <w:b/>
          <w:bCs w:val="0"/>
          <w:szCs w:val="24"/>
        </w:rPr>
      </w:pPr>
      <w:bookmarkStart w:id="20" w:name="_Ref90369925"/>
      <w:r w:rsidRPr="000B52C6">
        <w:rPr>
          <w:rStyle w:val="CommentReference"/>
          <w:b/>
          <w:bCs w:val="0"/>
          <w:szCs w:val="24"/>
        </w:rPr>
        <w:lastRenderedPageBreak/>
        <w:t xml:space="preserve">Table </w:t>
      </w:r>
      <w:r w:rsidRPr="000B52C6">
        <w:rPr>
          <w:rStyle w:val="CommentReference"/>
          <w:b/>
          <w:bCs w:val="0"/>
          <w:szCs w:val="24"/>
        </w:rPr>
        <w:fldChar w:fldCharType="begin"/>
      </w:r>
      <w:r w:rsidRPr="000B52C6">
        <w:rPr>
          <w:rStyle w:val="CommentReference"/>
          <w:b/>
          <w:bCs w:val="0"/>
          <w:szCs w:val="24"/>
        </w:rPr>
        <w:instrText xml:space="preserve"> SEQ Table \* ARABIC </w:instrText>
      </w:r>
      <w:r w:rsidRPr="000B52C6">
        <w:rPr>
          <w:rStyle w:val="CommentReference"/>
          <w:b/>
          <w:bCs w:val="0"/>
          <w:szCs w:val="24"/>
        </w:rPr>
        <w:fldChar w:fldCharType="separate"/>
      </w:r>
      <w:r w:rsidR="00FF5725">
        <w:rPr>
          <w:rStyle w:val="CommentReference"/>
          <w:b/>
          <w:bCs w:val="0"/>
          <w:noProof/>
          <w:szCs w:val="24"/>
        </w:rPr>
        <w:t>4</w:t>
      </w:r>
      <w:r w:rsidRPr="000B52C6">
        <w:rPr>
          <w:rStyle w:val="CommentReference"/>
          <w:b/>
          <w:bCs w:val="0"/>
          <w:szCs w:val="24"/>
        </w:rPr>
        <w:fldChar w:fldCharType="end"/>
      </w:r>
      <w:bookmarkEnd w:id="20"/>
      <w:r w:rsidRPr="000B52C6">
        <w:rPr>
          <w:rStyle w:val="CommentReference"/>
          <w:b/>
          <w:bCs w:val="0"/>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2"/>
        <w:gridCol w:w="709"/>
        <w:gridCol w:w="1556"/>
        <w:gridCol w:w="851"/>
        <w:gridCol w:w="1701"/>
        <w:gridCol w:w="1706"/>
        <w:gridCol w:w="1362"/>
      </w:tblGrid>
      <w:tr w:rsidR="006B3342" w:rsidRPr="000B52C6" w14:paraId="1BB9E6ED" w14:textId="77777777" w:rsidTr="005640E7">
        <w:trPr>
          <w:cantSplit/>
          <w:tblHeader/>
        </w:trPr>
        <w:tc>
          <w:tcPr>
            <w:tcW w:w="628" w:type="pct"/>
            <w:tcBorders>
              <w:top w:val="single" w:sz="4" w:space="0" w:color="auto"/>
              <w:left w:val="single" w:sz="4" w:space="0" w:color="auto"/>
              <w:bottom w:val="single" w:sz="4" w:space="0" w:color="auto"/>
              <w:right w:val="single" w:sz="4" w:space="0" w:color="auto"/>
            </w:tcBorders>
            <w:vAlign w:val="center"/>
            <w:hideMark/>
          </w:tcPr>
          <w:p w14:paraId="3933C543" w14:textId="77777777" w:rsidR="006B3342" w:rsidRPr="000B52C6" w:rsidRDefault="006B3342" w:rsidP="00513E25">
            <w:pPr>
              <w:pStyle w:val="In-tableHeading"/>
              <w:rPr>
                <w:lang w:val="en-AU"/>
              </w:rPr>
            </w:pPr>
            <w:r w:rsidRPr="000B52C6">
              <w:rPr>
                <w:lang w:val="en-AU"/>
              </w:rPr>
              <w:t>Trial</w:t>
            </w:r>
          </w:p>
        </w:tc>
        <w:tc>
          <w:tcPr>
            <w:tcW w:w="393" w:type="pct"/>
            <w:tcBorders>
              <w:top w:val="single" w:sz="4" w:space="0" w:color="auto"/>
              <w:left w:val="single" w:sz="4" w:space="0" w:color="auto"/>
              <w:bottom w:val="single" w:sz="4" w:space="0" w:color="auto"/>
              <w:right w:val="single" w:sz="4" w:space="0" w:color="auto"/>
            </w:tcBorders>
            <w:vAlign w:val="center"/>
            <w:hideMark/>
          </w:tcPr>
          <w:p w14:paraId="12235C88" w14:textId="77777777" w:rsidR="006B3342" w:rsidRPr="000B52C6" w:rsidRDefault="006B3342" w:rsidP="00513E25">
            <w:pPr>
              <w:pStyle w:val="In-tableHeading"/>
              <w:jc w:val="center"/>
              <w:rPr>
                <w:lang w:val="en-AU"/>
              </w:rPr>
            </w:pPr>
            <w:r w:rsidRPr="000B52C6">
              <w:rPr>
                <w:lang w:val="en-AU"/>
              </w:rPr>
              <w:t>N</w:t>
            </w:r>
          </w:p>
        </w:tc>
        <w:tc>
          <w:tcPr>
            <w:tcW w:w="863" w:type="pct"/>
            <w:tcBorders>
              <w:top w:val="single" w:sz="4" w:space="0" w:color="auto"/>
              <w:left w:val="single" w:sz="4" w:space="0" w:color="auto"/>
              <w:bottom w:val="single" w:sz="4" w:space="0" w:color="auto"/>
              <w:right w:val="single" w:sz="4" w:space="0" w:color="auto"/>
            </w:tcBorders>
            <w:vAlign w:val="center"/>
            <w:hideMark/>
          </w:tcPr>
          <w:p w14:paraId="71A181EE" w14:textId="427A5D01" w:rsidR="006B3342" w:rsidRPr="000B52C6" w:rsidRDefault="006B3342" w:rsidP="00513E25">
            <w:pPr>
              <w:pStyle w:val="In-tableHeading"/>
              <w:jc w:val="center"/>
              <w:rPr>
                <w:lang w:val="en-AU"/>
              </w:rPr>
            </w:pPr>
            <w:r w:rsidRPr="000B52C6">
              <w:rPr>
                <w:lang w:val="en-AU"/>
              </w:rPr>
              <w:t>Design</w:t>
            </w:r>
          </w:p>
        </w:tc>
        <w:tc>
          <w:tcPr>
            <w:tcW w:w="472" w:type="pct"/>
            <w:tcBorders>
              <w:top w:val="single" w:sz="4" w:space="0" w:color="auto"/>
              <w:left w:val="single" w:sz="4" w:space="0" w:color="auto"/>
              <w:bottom w:val="single" w:sz="4" w:space="0" w:color="auto"/>
              <w:right w:val="single" w:sz="4" w:space="0" w:color="auto"/>
            </w:tcBorders>
            <w:vAlign w:val="center"/>
            <w:hideMark/>
          </w:tcPr>
          <w:p w14:paraId="5C026DF6" w14:textId="77777777" w:rsidR="006B3342" w:rsidRPr="000B52C6" w:rsidRDefault="006B3342" w:rsidP="00513E25">
            <w:pPr>
              <w:pStyle w:val="In-tableHeading"/>
              <w:jc w:val="center"/>
              <w:rPr>
                <w:lang w:val="en-AU"/>
              </w:rPr>
            </w:pPr>
            <w:r w:rsidRPr="000B52C6">
              <w:rPr>
                <w:lang w:val="en-AU"/>
              </w:rPr>
              <w:t>Risk of bias</w:t>
            </w:r>
          </w:p>
        </w:tc>
        <w:tc>
          <w:tcPr>
            <w:tcW w:w="943" w:type="pct"/>
            <w:tcBorders>
              <w:top w:val="single" w:sz="4" w:space="0" w:color="auto"/>
              <w:left w:val="single" w:sz="4" w:space="0" w:color="auto"/>
              <w:bottom w:val="single" w:sz="4" w:space="0" w:color="auto"/>
              <w:right w:val="single" w:sz="4" w:space="0" w:color="auto"/>
            </w:tcBorders>
            <w:vAlign w:val="center"/>
            <w:hideMark/>
          </w:tcPr>
          <w:p w14:paraId="644162C9" w14:textId="77777777" w:rsidR="006B3342" w:rsidRPr="000B52C6" w:rsidRDefault="006B3342" w:rsidP="00513E25">
            <w:pPr>
              <w:pStyle w:val="In-tableHeading"/>
              <w:jc w:val="center"/>
              <w:rPr>
                <w:lang w:val="en-AU"/>
              </w:rPr>
            </w:pPr>
            <w:r w:rsidRPr="000B52C6">
              <w:rPr>
                <w:lang w:val="en-AU"/>
              </w:rPr>
              <w:t>Patient population</w:t>
            </w:r>
          </w:p>
        </w:tc>
        <w:tc>
          <w:tcPr>
            <w:tcW w:w="946" w:type="pct"/>
            <w:tcBorders>
              <w:top w:val="single" w:sz="4" w:space="0" w:color="auto"/>
              <w:left w:val="single" w:sz="4" w:space="0" w:color="auto"/>
              <w:bottom w:val="single" w:sz="4" w:space="0" w:color="auto"/>
              <w:right w:val="single" w:sz="4" w:space="0" w:color="auto"/>
            </w:tcBorders>
            <w:vAlign w:val="center"/>
            <w:hideMark/>
          </w:tcPr>
          <w:p w14:paraId="3B77B2DB" w14:textId="77777777" w:rsidR="006B3342" w:rsidRPr="000B52C6" w:rsidRDefault="006B3342" w:rsidP="00513E25">
            <w:pPr>
              <w:pStyle w:val="In-tableHeading"/>
              <w:jc w:val="center"/>
              <w:rPr>
                <w:lang w:val="en-AU"/>
              </w:rPr>
            </w:pPr>
            <w:r w:rsidRPr="000B52C6">
              <w:rPr>
                <w:lang w:val="en-AU"/>
              </w:rPr>
              <w:t>Outcome(s)</w:t>
            </w:r>
          </w:p>
        </w:tc>
        <w:tc>
          <w:tcPr>
            <w:tcW w:w="755" w:type="pct"/>
            <w:tcBorders>
              <w:top w:val="single" w:sz="4" w:space="0" w:color="auto"/>
              <w:left w:val="single" w:sz="4" w:space="0" w:color="auto"/>
              <w:bottom w:val="single" w:sz="4" w:space="0" w:color="auto"/>
              <w:right w:val="single" w:sz="4" w:space="0" w:color="auto"/>
            </w:tcBorders>
            <w:vAlign w:val="center"/>
            <w:hideMark/>
          </w:tcPr>
          <w:p w14:paraId="7A153C5E" w14:textId="77777777" w:rsidR="006B3342" w:rsidRPr="000B52C6" w:rsidRDefault="006B3342" w:rsidP="00513E25">
            <w:pPr>
              <w:pStyle w:val="In-tableHeading"/>
              <w:jc w:val="center"/>
              <w:rPr>
                <w:lang w:val="en-AU"/>
              </w:rPr>
            </w:pPr>
            <w:r w:rsidRPr="000B52C6">
              <w:rPr>
                <w:lang w:val="en-AU"/>
              </w:rPr>
              <w:t>Use in modelled evaluation</w:t>
            </w:r>
          </w:p>
        </w:tc>
      </w:tr>
      <w:tr w:rsidR="006B3342" w:rsidRPr="000B52C6" w14:paraId="40D0F2DE" w14:textId="77777777" w:rsidTr="00513E25">
        <w:trPr>
          <w:cantSplit/>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45DCC07A" w14:textId="77777777" w:rsidR="006B3342" w:rsidRPr="000B52C6" w:rsidRDefault="006B3342" w:rsidP="00513E25">
            <w:pPr>
              <w:pStyle w:val="In-tableHeading"/>
              <w:rPr>
                <w:lang w:val="en-AU"/>
              </w:rPr>
            </w:pPr>
            <w:proofErr w:type="spellStart"/>
            <w:r w:rsidRPr="000B52C6">
              <w:rPr>
                <w:lang w:val="en-AU"/>
              </w:rPr>
              <w:t>SBd</w:t>
            </w:r>
            <w:proofErr w:type="spellEnd"/>
            <w:r w:rsidRPr="000B52C6">
              <w:rPr>
                <w:lang w:val="en-AU"/>
              </w:rPr>
              <w:t xml:space="preserve"> vs. Bd</w:t>
            </w:r>
          </w:p>
        </w:tc>
      </w:tr>
      <w:tr w:rsidR="006B3342" w:rsidRPr="000B52C6" w14:paraId="4F40C313" w14:textId="77777777" w:rsidTr="005640E7">
        <w:trPr>
          <w:cantSplit/>
        </w:trPr>
        <w:tc>
          <w:tcPr>
            <w:tcW w:w="62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B0213BA" w14:textId="77777777" w:rsidR="006B3342" w:rsidRPr="000B52C6" w:rsidRDefault="006B3342" w:rsidP="00513E25">
            <w:pPr>
              <w:pStyle w:val="TableText0"/>
            </w:pPr>
            <w:r w:rsidRPr="000B52C6">
              <w:t>BOSTON</w:t>
            </w:r>
            <w:r w:rsidRPr="000B52C6">
              <w:rPr>
                <w:vertAlign w:val="superscript"/>
              </w:rPr>
              <w:t>1</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BBA1B0" w14:textId="77777777" w:rsidR="006B3342" w:rsidRPr="000B52C6" w:rsidRDefault="006B3342" w:rsidP="00513E25">
            <w:pPr>
              <w:pStyle w:val="TableText0"/>
              <w:jc w:val="center"/>
            </w:pPr>
            <w:r w:rsidRPr="000B52C6">
              <w:t>402</w:t>
            </w:r>
          </w:p>
        </w:tc>
        <w:tc>
          <w:tcPr>
            <w:tcW w:w="86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368B9D" w14:textId="77777777" w:rsidR="006B3342" w:rsidRPr="000B52C6" w:rsidRDefault="006B3342" w:rsidP="00513E25">
            <w:pPr>
              <w:pStyle w:val="TableText0"/>
              <w:jc w:val="center"/>
            </w:pPr>
            <w:r w:rsidRPr="000B52C6">
              <w:t>R, OL, phase 3, 2-arm, global, active comparator-controlled, multicentre study</w:t>
            </w:r>
          </w:p>
        </w:tc>
        <w:tc>
          <w:tcPr>
            <w:tcW w:w="47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970C76" w14:textId="77777777" w:rsidR="006B3342" w:rsidRPr="000B52C6" w:rsidRDefault="006B3342" w:rsidP="00513E25">
            <w:pPr>
              <w:pStyle w:val="TableText0"/>
              <w:jc w:val="center"/>
            </w:pPr>
            <w:r w:rsidRPr="000B52C6">
              <w:t xml:space="preserve">Low </w:t>
            </w:r>
          </w:p>
        </w:tc>
        <w:tc>
          <w:tcPr>
            <w:tcW w:w="9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C5B93F" w14:textId="77777777" w:rsidR="006B3342" w:rsidRPr="000B52C6" w:rsidRDefault="006B3342" w:rsidP="00513E25">
            <w:pPr>
              <w:pStyle w:val="TableText0"/>
              <w:jc w:val="center"/>
            </w:pPr>
            <w:r w:rsidRPr="000B52C6">
              <w:t>Patients with RRMM who had 1-3 prior treatments</w:t>
            </w:r>
          </w:p>
        </w:tc>
        <w:tc>
          <w:tcPr>
            <w:tcW w:w="94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609070" w14:textId="77777777" w:rsidR="006B3342" w:rsidRPr="000B52C6" w:rsidRDefault="006B3342" w:rsidP="00513E25">
            <w:pPr>
              <w:pStyle w:val="TableText0"/>
              <w:jc w:val="center"/>
            </w:pPr>
            <w:r w:rsidRPr="000B52C6">
              <w:t>Primary:</w:t>
            </w:r>
          </w:p>
          <w:p w14:paraId="0591D78E" w14:textId="77777777" w:rsidR="006B3342" w:rsidRPr="000B52C6" w:rsidRDefault="006B3342" w:rsidP="00513E25">
            <w:pPr>
              <w:pStyle w:val="TableText0"/>
              <w:jc w:val="center"/>
            </w:pPr>
            <w:r w:rsidRPr="000B52C6">
              <w:t>PFS</w:t>
            </w:r>
          </w:p>
          <w:p w14:paraId="47072546" w14:textId="77777777" w:rsidR="006B3342" w:rsidRPr="000B52C6" w:rsidRDefault="006B3342" w:rsidP="00513E25">
            <w:pPr>
              <w:pStyle w:val="TableText0"/>
              <w:jc w:val="center"/>
            </w:pPr>
            <w:r w:rsidRPr="000B52C6">
              <w:t>Secondary:</w:t>
            </w:r>
          </w:p>
          <w:p w14:paraId="782DBB3A" w14:textId="77777777" w:rsidR="006B3342" w:rsidRPr="000B52C6" w:rsidRDefault="006B3342" w:rsidP="00513E25">
            <w:pPr>
              <w:pStyle w:val="TableText0"/>
              <w:jc w:val="center"/>
            </w:pPr>
            <w:r w:rsidRPr="000B52C6">
              <w:t>ORR, ≥VGPR, PN, OS, DOR, TTNT, safety and tolerability.</w:t>
            </w:r>
          </w:p>
        </w:tc>
        <w:tc>
          <w:tcPr>
            <w:tcW w:w="755" w:type="pct"/>
            <w:tcBorders>
              <w:top w:val="single" w:sz="4" w:space="0" w:color="auto"/>
              <w:left w:val="single" w:sz="4" w:space="0" w:color="auto"/>
              <w:bottom w:val="single" w:sz="4" w:space="0" w:color="auto"/>
              <w:right w:val="single" w:sz="4" w:space="0" w:color="auto"/>
            </w:tcBorders>
            <w:vAlign w:val="center"/>
            <w:hideMark/>
          </w:tcPr>
          <w:p w14:paraId="0D74A73F" w14:textId="77777777" w:rsidR="006B3342" w:rsidRPr="000B52C6" w:rsidRDefault="006B3342" w:rsidP="00513E25">
            <w:pPr>
              <w:pStyle w:val="TableText0"/>
              <w:jc w:val="center"/>
            </w:pPr>
            <w:r w:rsidRPr="000B52C6">
              <w:t>PFS and safety</w:t>
            </w:r>
          </w:p>
        </w:tc>
      </w:tr>
      <w:tr w:rsidR="006B3342" w:rsidRPr="000B52C6" w14:paraId="4B162FD3" w14:textId="77777777" w:rsidTr="00513E25">
        <w:trPr>
          <w:cantSplit/>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028889AC" w14:textId="77777777" w:rsidR="006B3342" w:rsidRPr="000B52C6" w:rsidRDefault="006B3342" w:rsidP="00513E25">
            <w:pPr>
              <w:pStyle w:val="TableText0"/>
              <w:rPr>
                <w:b/>
                <w:bCs w:val="0"/>
              </w:rPr>
            </w:pPr>
            <w:r w:rsidRPr="000B52C6">
              <w:rPr>
                <w:b/>
                <w:bCs w:val="0"/>
              </w:rPr>
              <w:t>Cd vs. Bd</w:t>
            </w:r>
          </w:p>
        </w:tc>
      </w:tr>
      <w:tr w:rsidR="006B3342" w:rsidRPr="000B52C6" w14:paraId="6C4C1327" w14:textId="77777777" w:rsidTr="005640E7">
        <w:trPr>
          <w:cantSplit/>
        </w:trPr>
        <w:tc>
          <w:tcPr>
            <w:tcW w:w="62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D358F2B" w14:textId="77777777" w:rsidR="006B3342" w:rsidRPr="000B52C6" w:rsidRDefault="006B3342" w:rsidP="00513E25">
            <w:pPr>
              <w:pStyle w:val="TableText0"/>
            </w:pPr>
            <w:r w:rsidRPr="000B52C6">
              <w:t>ENDEAVOR</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C2231C" w14:textId="77777777" w:rsidR="006B3342" w:rsidRPr="000B52C6" w:rsidRDefault="006B3342" w:rsidP="00513E25">
            <w:pPr>
              <w:pStyle w:val="TableText0"/>
              <w:jc w:val="center"/>
            </w:pPr>
            <w:r w:rsidRPr="000B52C6">
              <w:t>929</w:t>
            </w:r>
          </w:p>
        </w:tc>
        <w:tc>
          <w:tcPr>
            <w:tcW w:w="86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C9D5BF" w14:textId="77777777" w:rsidR="006B3342" w:rsidRPr="000B52C6" w:rsidRDefault="006B3342" w:rsidP="00513E25">
            <w:pPr>
              <w:pStyle w:val="TableText0"/>
              <w:jc w:val="center"/>
            </w:pPr>
            <w:r w:rsidRPr="000B52C6">
              <w:t>R, OL, phase 3, multicentre study</w:t>
            </w:r>
          </w:p>
        </w:tc>
        <w:tc>
          <w:tcPr>
            <w:tcW w:w="47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19BB81" w14:textId="77777777" w:rsidR="006B3342" w:rsidRPr="000B52C6" w:rsidRDefault="006B3342" w:rsidP="00513E25">
            <w:pPr>
              <w:pStyle w:val="TableText0"/>
              <w:jc w:val="center"/>
            </w:pPr>
            <w:r w:rsidRPr="000B52C6">
              <w:t xml:space="preserve">Low </w:t>
            </w:r>
          </w:p>
        </w:tc>
        <w:tc>
          <w:tcPr>
            <w:tcW w:w="9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3B29C4" w14:textId="77777777" w:rsidR="006B3342" w:rsidRPr="000B52C6" w:rsidRDefault="006B3342" w:rsidP="00513E25">
            <w:pPr>
              <w:pStyle w:val="TableText0"/>
              <w:jc w:val="center"/>
            </w:pPr>
            <w:r w:rsidRPr="000B52C6">
              <w:t>Patients with RRMM who had 1-3 prior treatments</w:t>
            </w:r>
          </w:p>
        </w:tc>
        <w:tc>
          <w:tcPr>
            <w:tcW w:w="94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BE1F3E" w14:textId="77777777" w:rsidR="006B3342" w:rsidRPr="000B52C6" w:rsidRDefault="006B3342" w:rsidP="00513E25">
            <w:pPr>
              <w:pStyle w:val="TableText0"/>
              <w:jc w:val="center"/>
            </w:pPr>
            <w:r w:rsidRPr="000B52C6">
              <w:t xml:space="preserve">Primary: </w:t>
            </w:r>
          </w:p>
          <w:p w14:paraId="5CC15B99" w14:textId="77777777" w:rsidR="006B3342" w:rsidRPr="000B52C6" w:rsidRDefault="006B3342" w:rsidP="00513E25">
            <w:pPr>
              <w:pStyle w:val="TableText0"/>
              <w:jc w:val="center"/>
            </w:pPr>
            <w:r w:rsidRPr="000B52C6">
              <w:t>PFS</w:t>
            </w:r>
          </w:p>
          <w:p w14:paraId="00E3E0C4" w14:textId="77777777" w:rsidR="006B3342" w:rsidRPr="000B52C6" w:rsidRDefault="006B3342" w:rsidP="00513E25">
            <w:pPr>
              <w:pStyle w:val="TableText0"/>
              <w:jc w:val="center"/>
            </w:pPr>
            <w:r w:rsidRPr="000B52C6">
              <w:t>Secondary:</w:t>
            </w:r>
          </w:p>
          <w:p w14:paraId="41326D0F" w14:textId="77777777" w:rsidR="006B3342" w:rsidRPr="000B52C6" w:rsidRDefault="006B3342" w:rsidP="00513E25">
            <w:pPr>
              <w:pStyle w:val="TableText0"/>
              <w:jc w:val="center"/>
            </w:pPr>
            <w:r w:rsidRPr="000B52C6">
              <w:t>OS, ORR, DOR, incidence of Grade ≥ 2 PN, safety.</w:t>
            </w:r>
          </w:p>
        </w:tc>
        <w:tc>
          <w:tcPr>
            <w:tcW w:w="755" w:type="pct"/>
            <w:tcBorders>
              <w:top w:val="single" w:sz="4" w:space="0" w:color="auto"/>
              <w:left w:val="single" w:sz="4" w:space="0" w:color="auto"/>
              <w:bottom w:val="single" w:sz="4" w:space="0" w:color="auto"/>
              <w:right w:val="single" w:sz="4" w:space="0" w:color="auto"/>
            </w:tcBorders>
            <w:vAlign w:val="center"/>
            <w:hideMark/>
          </w:tcPr>
          <w:p w14:paraId="468EB895" w14:textId="77777777" w:rsidR="006B3342" w:rsidRPr="000B52C6" w:rsidRDefault="006B3342" w:rsidP="00513E25">
            <w:pPr>
              <w:pStyle w:val="TableText0"/>
              <w:jc w:val="center"/>
            </w:pPr>
            <w:r w:rsidRPr="000B52C6">
              <w:t xml:space="preserve">PFS and safety </w:t>
            </w:r>
          </w:p>
        </w:tc>
      </w:tr>
    </w:tbl>
    <w:p w14:paraId="3D87B601" w14:textId="77777777" w:rsidR="006B3342" w:rsidRPr="000B52C6" w:rsidRDefault="006B3342" w:rsidP="006B3342">
      <w:pPr>
        <w:pStyle w:val="TableFigureFooter"/>
      </w:pPr>
      <w:r w:rsidRPr="000B52C6">
        <w:t>Source: Figure 2-5, p70, and p69 of the resubmission.</w:t>
      </w:r>
    </w:p>
    <w:p w14:paraId="1A5E2180" w14:textId="1A96C608" w:rsidR="006B3342" w:rsidRPr="000B52C6" w:rsidRDefault="006B3342" w:rsidP="006B3342">
      <w:pPr>
        <w:pStyle w:val="TableFigureFooter"/>
      </w:pPr>
      <w:r w:rsidRPr="000B52C6">
        <w:t xml:space="preserve">Abbreviations: Bd = bortezomib + dexamethasone; Cd = carfilzomib + dexamethasone; OL = open-label; ORR = overall response rate; OS = overall survival; PFS = progression free survival; R = randomised; </w:t>
      </w:r>
      <w:proofErr w:type="spellStart"/>
      <w:r w:rsidRPr="000B52C6">
        <w:t>SBd</w:t>
      </w:r>
      <w:proofErr w:type="spellEnd"/>
      <w:r w:rsidRPr="000B52C6">
        <w:t xml:space="preserve"> = </w:t>
      </w:r>
      <w:proofErr w:type="spellStart"/>
      <w:r w:rsidRPr="000B52C6">
        <w:t>selinexor</w:t>
      </w:r>
      <w:proofErr w:type="spellEnd"/>
      <w:r w:rsidRPr="000B52C6">
        <w:t xml:space="preserve"> + bortezomib + </w:t>
      </w:r>
      <w:proofErr w:type="gramStart"/>
      <w:r w:rsidRPr="000B52C6">
        <w:t>dexamethasone;.</w:t>
      </w:r>
      <w:proofErr w:type="gramEnd"/>
    </w:p>
    <w:p w14:paraId="2837FCE0" w14:textId="77777777" w:rsidR="006B3342" w:rsidRPr="000B52C6" w:rsidRDefault="006B3342" w:rsidP="006B3342">
      <w:pPr>
        <w:pStyle w:val="TableFigureFooter"/>
        <w:keepNext/>
        <w:widowControl w:val="0"/>
        <w:rPr>
          <w:bCs/>
          <w:iCs/>
          <w:szCs w:val="18"/>
        </w:rPr>
      </w:pPr>
      <w:r w:rsidRPr="000B52C6">
        <w:t xml:space="preserve">Notes: </w:t>
      </w:r>
      <w:r w:rsidRPr="000B52C6">
        <w:rPr>
          <w:rStyle w:val="CommentReference"/>
          <w:b w:val="0"/>
          <w:bCs/>
          <w:iCs/>
          <w:sz w:val="18"/>
          <w:szCs w:val="18"/>
          <w:shd w:val="clear" w:color="auto" w:fill="C6D9F1" w:themeFill="text2" w:themeFillTint="33"/>
        </w:rPr>
        <w:t>Blue shading</w:t>
      </w:r>
      <w:r w:rsidRPr="000B52C6">
        <w:rPr>
          <w:rStyle w:val="CommentReference"/>
          <w:b w:val="0"/>
          <w:bCs/>
          <w:iCs/>
          <w:sz w:val="18"/>
          <w:szCs w:val="18"/>
        </w:rPr>
        <w:t xml:space="preserve"> indicates data previously seen by the PBAC.</w:t>
      </w:r>
    </w:p>
    <w:p w14:paraId="06ECDAE5" w14:textId="14E5F64F" w:rsidR="006B3342" w:rsidRPr="000B52C6" w:rsidRDefault="006B3342" w:rsidP="006B3342">
      <w:pPr>
        <w:pStyle w:val="TableFigureFooter"/>
      </w:pPr>
      <w:r w:rsidRPr="000B52C6">
        <w:t xml:space="preserve">1. Crossover from the Bd </w:t>
      </w:r>
      <w:r w:rsidR="0053404A" w:rsidRPr="000B52C6">
        <w:t>a</w:t>
      </w:r>
      <w:r w:rsidRPr="000B52C6">
        <w:t xml:space="preserve">rm to a treatment that included </w:t>
      </w:r>
      <w:proofErr w:type="spellStart"/>
      <w:r w:rsidRPr="000B52C6">
        <w:t>selinexor</w:t>
      </w:r>
      <w:proofErr w:type="spellEnd"/>
      <w:r w:rsidRPr="000B52C6">
        <w:t xml:space="preserve"> was allowed at the point of IRC-confirmed objective disease progression per the IMWG criteria for patients in the Bd arm.</w:t>
      </w:r>
    </w:p>
    <w:p w14:paraId="47963B8A" w14:textId="41B96186" w:rsidR="006B3342" w:rsidRPr="000B52C6" w:rsidRDefault="006B3342" w:rsidP="006B3342">
      <w:pPr>
        <w:pStyle w:val="3-BodyText"/>
        <w:ind w:left="720" w:hanging="720"/>
        <w:rPr>
          <w:iCs/>
        </w:rPr>
      </w:pPr>
      <w:r w:rsidRPr="000B52C6">
        <w:rPr>
          <w:iCs/>
        </w:rPr>
        <w:t>The overall risk of bias in BOSTON and ENDEAVOR was considered low.</w:t>
      </w:r>
    </w:p>
    <w:p w14:paraId="2105275F" w14:textId="461EA1AB" w:rsidR="006B3342" w:rsidRPr="000B52C6" w:rsidRDefault="006B3342" w:rsidP="006B3342">
      <w:pPr>
        <w:pStyle w:val="3-BodyText"/>
        <w:ind w:left="720" w:hanging="720"/>
      </w:pPr>
      <w:r w:rsidRPr="000B52C6">
        <w:t>Baseline demographic, disease, and clinical characteristics in BOSTON were balanced across the two treatment arms. Similarly, baseline characteristics of the ENDEAVOR population were also generally balanced between treatment arms. Differences between the trials which may impact the transitivity of the trials included:</w:t>
      </w:r>
    </w:p>
    <w:p w14:paraId="5DC43D9A" w14:textId="77777777" w:rsidR="006B3342" w:rsidRPr="000B52C6" w:rsidRDefault="006B3342" w:rsidP="003F2EBA">
      <w:pPr>
        <w:pStyle w:val="3-BodyText"/>
        <w:numPr>
          <w:ilvl w:val="0"/>
          <w:numId w:val="58"/>
        </w:numPr>
        <w:snapToGrid w:val="0"/>
        <w:ind w:left="1077" w:hanging="357"/>
      </w:pPr>
      <w:r w:rsidRPr="000B52C6">
        <w:rPr>
          <w:iCs/>
        </w:rPr>
        <w:t xml:space="preserve">that patients in BOSTON were slightly older, appeared to have more advanced/severe disease compared to ENDEAVOR, with a greater proportion of patients with higher stages of R-ISS (stage II and III) disease and higher average ECOG performance </w:t>
      </w:r>
      <w:proofErr w:type="gramStart"/>
      <w:r w:rsidRPr="000B52C6">
        <w:rPr>
          <w:iCs/>
        </w:rPr>
        <w:t>status;</w:t>
      </w:r>
      <w:proofErr w:type="gramEnd"/>
      <w:r w:rsidRPr="000B52C6">
        <w:t xml:space="preserve"> </w:t>
      </w:r>
    </w:p>
    <w:p w14:paraId="4C7C31D5" w14:textId="27336BDA" w:rsidR="006B3342" w:rsidRPr="000B52C6" w:rsidRDefault="006B3342" w:rsidP="003F2EBA">
      <w:pPr>
        <w:pStyle w:val="3-BodyText"/>
        <w:numPr>
          <w:ilvl w:val="0"/>
          <w:numId w:val="57"/>
        </w:numPr>
        <w:snapToGrid w:val="0"/>
        <w:ind w:left="1077" w:hanging="357"/>
      </w:pPr>
      <w:r w:rsidRPr="000B52C6">
        <w:t>the time difference of 5 years</w:t>
      </w:r>
      <w:r w:rsidR="00957EE2" w:rsidRPr="000B52C6">
        <w:t xml:space="preserve"> from the recruitment of patients into ENDEAVOR (2012) and BOSTON (2017)</w:t>
      </w:r>
      <w:r w:rsidRPr="000B52C6">
        <w:t xml:space="preserve">. The submission stated that this partly explained the fact that patients in BOSTON had more advanced disease and were exposed to a wider range of prior therapies (5 prior unique therapies compared with 3 in ENDEAVOR); and </w:t>
      </w:r>
    </w:p>
    <w:p w14:paraId="5390A001" w14:textId="77777777" w:rsidR="006B3342" w:rsidRPr="000B52C6" w:rsidRDefault="006B3342" w:rsidP="003F2EBA">
      <w:pPr>
        <w:pStyle w:val="3-BodyText"/>
        <w:numPr>
          <w:ilvl w:val="0"/>
          <w:numId w:val="57"/>
        </w:numPr>
        <w:snapToGrid w:val="0"/>
        <w:ind w:left="1077" w:hanging="357"/>
        <w:rPr>
          <w:iCs/>
        </w:rPr>
      </w:pPr>
      <w:r w:rsidRPr="000B52C6">
        <w:rPr>
          <w:iCs/>
        </w:rPr>
        <w:t xml:space="preserve">that the bortezomib dosing regimen differed between the trials. In BOSTON bortezomib was administered twice weekly for the first eight cycles and once per week </w:t>
      </w:r>
      <w:proofErr w:type="gramStart"/>
      <w:r w:rsidRPr="000B52C6">
        <w:rPr>
          <w:iCs/>
        </w:rPr>
        <w:t>thereafter;</w:t>
      </w:r>
      <w:proofErr w:type="gramEnd"/>
      <w:r w:rsidRPr="000B52C6">
        <w:rPr>
          <w:iCs/>
        </w:rPr>
        <w:t xml:space="preserve"> whereas in ENDEAVOR it was administered twice weekly for the entire treatment duration.</w:t>
      </w:r>
    </w:p>
    <w:p w14:paraId="7AF9B16C" w14:textId="215C6E22" w:rsidR="00033573" w:rsidRPr="000B52C6" w:rsidRDefault="006B3342" w:rsidP="00410B32">
      <w:pPr>
        <w:pStyle w:val="3-BodyText"/>
        <w:ind w:left="720" w:hanging="720"/>
      </w:pPr>
      <w:r w:rsidRPr="000B52C6">
        <w:t xml:space="preserve">As of the updated data cut-off (15 February 2021), the median follow-up for OS was 28.7 months for both </w:t>
      </w:r>
      <w:proofErr w:type="spellStart"/>
      <w:r w:rsidRPr="000B52C6">
        <w:t>SBd</w:t>
      </w:r>
      <w:proofErr w:type="spellEnd"/>
      <w:r w:rsidRPr="000B52C6">
        <w:t xml:space="preserve"> and Bd arms, while median follow-up for PFS was 13.5 months in the </w:t>
      </w:r>
      <w:proofErr w:type="spellStart"/>
      <w:r w:rsidRPr="000B52C6">
        <w:t>SBd</w:t>
      </w:r>
      <w:proofErr w:type="spellEnd"/>
      <w:r w:rsidRPr="000B52C6">
        <w:t xml:space="preserve"> arm and 24.5 months in the Bd arm.</w:t>
      </w:r>
      <w:r w:rsidR="00EB5AB5" w:rsidRPr="000B52C6">
        <w:t xml:space="preserve"> </w:t>
      </w:r>
      <w:r w:rsidR="002C3C4F" w:rsidRPr="000B52C6">
        <w:t xml:space="preserve">The median follow-up for PFS observed </w:t>
      </w:r>
      <w:r w:rsidR="00560C5C" w:rsidRPr="000B52C6">
        <w:t>in</w:t>
      </w:r>
      <w:r w:rsidR="002C3C4F" w:rsidRPr="000B52C6">
        <w:t xml:space="preserve"> </w:t>
      </w:r>
      <w:r w:rsidR="00DB2A4C" w:rsidRPr="000B52C6">
        <w:t xml:space="preserve">the </w:t>
      </w:r>
      <w:r w:rsidR="002C3C4F" w:rsidRPr="000B52C6">
        <w:t>updated data</w:t>
      </w:r>
      <w:r w:rsidR="00033573" w:rsidRPr="000B52C6">
        <w:t xml:space="preserve"> (February 2021)</w:t>
      </w:r>
      <w:r w:rsidR="002C3C4F" w:rsidRPr="000B52C6">
        <w:t xml:space="preserve"> was substantially different between</w:t>
      </w:r>
      <w:r w:rsidR="00033573" w:rsidRPr="000B52C6">
        <w:t xml:space="preserve"> </w:t>
      </w:r>
      <w:r w:rsidR="002C3C4F" w:rsidRPr="000B52C6">
        <w:t>treatment arms</w:t>
      </w:r>
      <w:r w:rsidR="00033573" w:rsidRPr="000B52C6">
        <w:t xml:space="preserve">, likely due to </w:t>
      </w:r>
      <w:r w:rsidR="00560C5C" w:rsidRPr="000B52C6">
        <w:t xml:space="preserve">the </w:t>
      </w:r>
      <w:r w:rsidR="00033573" w:rsidRPr="000B52C6">
        <w:t xml:space="preserve">imbalance in censoring between </w:t>
      </w:r>
      <w:proofErr w:type="spellStart"/>
      <w:r w:rsidR="00033573" w:rsidRPr="000B52C6">
        <w:t>SBd</w:t>
      </w:r>
      <w:proofErr w:type="spellEnd"/>
      <w:r w:rsidR="00033573" w:rsidRPr="000B52C6">
        <w:t xml:space="preserve"> and Bd</w:t>
      </w:r>
      <w:r w:rsidR="0064285C" w:rsidRPr="000B52C6">
        <w:t xml:space="preserve"> (52.8% </w:t>
      </w:r>
      <w:r w:rsidR="0064285C" w:rsidRPr="000B52C6">
        <w:lastRenderedPageBreak/>
        <w:t xml:space="preserve">in the </w:t>
      </w:r>
      <w:proofErr w:type="spellStart"/>
      <w:r w:rsidR="0064285C" w:rsidRPr="000B52C6">
        <w:t>SBd</w:t>
      </w:r>
      <w:proofErr w:type="spellEnd"/>
      <w:r w:rsidR="0064285C" w:rsidRPr="000B52C6">
        <w:t xml:space="preserve"> arm and 33.8% in the Bd arm)</w:t>
      </w:r>
      <w:r w:rsidR="002C3C4F" w:rsidRPr="000B52C6">
        <w:t xml:space="preserve">. </w:t>
      </w:r>
      <w:r w:rsidRPr="000B52C6">
        <w:t xml:space="preserve">As of the original data cut-off (February 2020), the median follow-up time for PFS was 13.2 months in the </w:t>
      </w:r>
      <w:proofErr w:type="spellStart"/>
      <w:r w:rsidRPr="000B52C6">
        <w:t>SBd</w:t>
      </w:r>
      <w:proofErr w:type="spellEnd"/>
      <w:r w:rsidRPr="000B52C6">
        <w:t xml:space="preserve"> arm and 16.5 months in the Bd arm. </w:t>
      </w:r>
    </w:p>
    <w:p w14:paraId="6E572838" w14:textId="47B1951D" w:rsidR="006B3342" w:rsidRPr="000B52C6" w:rsidRDefault="006B3342" w:rsidP="00410B32">
      <w:pPr>
        <w:pStyle w:val="3-BodyText"/>
        <w:ind w:left="720" w:hanging="720"/>
      </w:pPr>
      <w:r w:rsidRPr="000B52C6">
        <w:t xml:space="preserve">The median follow-up for OS for patients in ENDEAVOR was reported by the resubmission as 44.3 month for Cd and 43.7 months for Bd (19 July 2017 data cut-off). The median follow-up time for PFS was 11.9 months in the Cd arm and 11.1 months in the Bd arm (data cut-off date of 10 November 2014). </w:t>
      </w:r>
      <w:r w:rsidR="00F80B25" w:rsidRPr="000B52C6">
        <w:t>Based on</w:t>
      </w:r>
      <w:r w:rsidRPr="000B52C6">
        <w:t xml:space="preserve"> these data cut-off dates, the median follow-up time for PFS in BOSTON was longer than ENDEAVOR, whilst the median follow-up time for OS in BOSTON (data cut-off date of 15 February 2021) was shorter than ENDEAVOR (data cut-off date of 19 July 2017).</w:t>
      </w:r>
    </w:p>
    <w:p w14:paraId="20AECEBA" w14:textId="77777777" w:rsidR="006B3342" w:rsidRPr="000B52C6" w:rsidRDefault="006B3342" w:rsidP="005640E7">
      <w:pPr>
        <w:pStyle w:val="4-SubsectionHeading"/>
      </w:pPr>
      <w:bookmarkStart w:id="21" w:name="_Toc22897641"/>
      <w:bookmarkStart w:id="22" w:name="_Toc93429924"/>
      <w:r w:rsidRPr="000B52C6">
        <w:t>Comparative effectiveness</w:t>
      </w:r>
      <w:bookmarkEnd w:id="21"/>
      <w:bookmarkEnd w:id="22"/>
    </w:p>
    <w:p w14:paraId="6D3D7C13" w14:textId="77777777" w:rsidR="006B3342" w:rsidRPr="000B52C6" w:rsidRDefault="006B3342" w:rsidP="005640E7">
      <w:pPr>
        <w:pStyle w:val="3-BodyText"/>
        <w:keepNext/>
        <w:numPr>
          <w:ilvl w:val="0"/>
          <w:numId w:val="0"/>
        </w:numPr>
        <w:ind w:left="720" w:hanging="720"/>
        <w:rPr>
          <w:u w:val="single"/>
        </w:rPr>
      </w:pPr>
      <w:r w:rsidRPr="000B52C6">
        <w:rPr>
          <w:u w:val="single"/>
        </w:rPr>
        <w:t>BOSTON (</w:t>
      </w:r>
      <w:proofErr w:type="spellStart"/>
      <w:r w:rsidRPr="000B52C6">
        <w:rPr>
          <w:u w:val="single"/>
        </w:rPr>
        <w:t>SBd</w:t>
      </w:r>
      <w:proofErr w:type="spellEnd"/>
      <w:r w:rsidRPr="000B52C6">
        <w:rPr>
          <w:u w:val="single"/>
        </w:rPr>
        <w:t xml:space="preserve"> versus Bd)</w:t>
      </w:r>
    </w:p>
    <w:p w14:paraId="6ACDE22E" w14:textId="4665FFC2" w:rsidR="006B3342" w:rsidRPr="000B52C6" w:rsidRDefault="006B3342" w:rsidP="005640E7">
      <w:pPr>
        <w:pStyle w:val="3-BodyText"/>
        <w:keepNext/>
        <w:ind w:left="720" w:hanging="720"/>
      </w:pPr>
      <w:r w:rsidRPr="000B52C6">
        <w:t xml:space="preserve">As of data cut-off date of February 2021, the median PFS was 13.2 months in the </w:t>
      </w:r>
      <w:proofErr w:type="spellStart"/>
      <w:r w:rsidRPr="000B52C6">
        <w:t>SBd</w:t>
      </w:r>
      <w:proofErr w:type="spellEnd"/>
      <w:r w:rsidRPr="000B52C6">
        <w:t xml:space="preserve"> arm and 9.5 month in the Bd arm (HR = 0.71; 95% CI: 0.54, 0.93; p=0.006; see </w:t>
      </w:r>
      <w:r w:rsidRPr="000B52C6">
        <w:fldChar w:fldCharType="begin"/>
      </w:r>
      <w:r w:rsidRPr="000B52C6">
        <w:instrText xml:space="preserve"> REF _Ref90369947 \h  \* MERGEFORMAT </w:instrText>
      </w:r>
      <w:r w:rsidRPr="000B52C6">
        <w:fldChar w:fldCharType="separate"/>
      </w:r>
      <w:r w:rsidR="00FF5725" w:rsidRPr="000B52C6">
        <w:t xml:space="preserve">Table </w:t>
      </w:r>
      <w:r w:rsidR="00FF5725">
        <w:t>5</w:t>
      </w:r>
      <w:r w:rsidRPr="000B52C6">
        <w:fldChar w:fldCharType="end"/>
      </w:r>
      <w:r w:rsidRPr="000B52C6">
        <w:t xml:space="preserve"> and </w:t>
      </w:r>
      <w:r w:rsidRPr="000B52C6">
        <w:fldChar w:fldCharType="begin"/>
      </w:r>
      <w:r w:rsidRPr="000B52C6">
        <w:instrText xml:space="preserve"> REF _Ref90369967 \h  \* MERGEFORMAT </w:instrText>
      </w:r>
      <w:r w:rsidRPr="000B52C6">
        <w:fldChar w:fldCharType="separate"/>
      </w:r>
      <w:r w:rsidR="00FF5725" w:rsidRPr="00FF5725">
        <w:t>Figure 1</w:t>
      </w:r>
      <w:r w:rsidRPr="000B52C6">
        <w:fldChar w:fldCharType="end"/>
      </w:r>
      <w:r w:rsidRPr="000B52C6">
        <w:t xml:space="preserve">). </w:t>
      </w:r>
    </w:p>
    <w:p w14:paraId="776AF385" w14:textId="6D0D1710" w:rsidR="006B3342" w:rsidRPr="000B52C6" w:rsidRDefault="006B3342" w:rsidP="006B3342">
      <w:pPr>
        <w:pStyle w:val="3-BodyText"/>
        <w:ind w:left="720" w:hanging="720"/>
        <w:rPr>
          <w:iCs/>
        </w:rPr>
      </w:pPr>
      <w:r w:rsidRPr="000B52C6">
        <w:t xml:space="preserve">The resubmission noted that in the interim data (February 2020) the median PFS was 4.4 months longer in the </w:t>
      </w:r>
      <w:proofErr w:type="spellStart"/>
      <w:r w:rsidRPr="000B52C6">
        <w:t>SBd</w:t>
      </w:r>
      <w:proofErr w:type="spellEnd"/>
      <w:r w:rsidRPr="000B52C6">
        <w:t xml:space="preserve"> arm than in the Bd arm. In the updated data (February 2021) the median PFS gain had reduced to 3.7 months between the </w:t>
      </w:r>
      <w:proofErr w:type="spellStart"/>
      <w:r w:rsidRPr="000B52C6">
        <w:t>SBd</w:t>
      </w:r>
      <w:proofErr w:type="spellEnd"/>
      <w:r w:rsidRPr="000B52C6">
        <w:t xml:space="preserve"> arm and Bd arm</w:t>
      </w:r>
      <w:r w:rsidR="00E51184" w:rsidRPr="000B52C6">
        <w:t xml:space="preserve"> (</w:t>
      </w:r>
      <w:r w:rsidR="0030694B" w:rsidRPr="000B52C6">
        <w:t xml:space="preserve">see </w:t>
      </w:r>
      <w:r w:rsidR="0030694B" w:rsidRPr="000B52C6">
        <w:fldChar w:fldCharType="begin"/>
      </w:r>
      <w:r w:rsidR="0030694B" w:rsidRPr="000B52C6">
        <w:instrText xml:space="preserve"> REF _Ref90369947 \h </w:instrText>
      </w:r>
      <w:r w:rsidR="0030694B" w:rsidRPr="000B52C6">
        <w:fldChar w:fldCharType="separate"/>
      </w:r>
      <w:r w:rsidR="00FF5725" w:rsidRPr="000B52C6">
        <w:t xml:space="preserve">Table </w:t>
      </w:r>
      <w:r w:rsidR="00FF5725">
        <w:rPr>
          <w:noProof/>
        </w:rPr>
        <w:t>5</w:t>
      </w:r>
      <w:r w:rsidR="0030694B" w:rsidRPr="000B52C6">
        <w:fldChar w:fldCharType="end"/>
      </w:r>
      <w:r w:rsidR="00E51184" w:rsidRPr="000B52C6">
        <w:t>)</w:t>
      </w:r>
      <w:r w:rsidRPr="000B52C6">
        <w:t xml:space="preserve">. </w:t>
      </w:r>
      <w:r w:rsidRPr="000B52C6">
        <w:rPr>
          <w:iCs/>
        </w:rPr>
        <w:t xml:space="preserve">The PBAC previously considered that </w:t>
      </w:r>
      <w:proofErr w:type="spellStart"/>
      <w:r w:rsidRPr="000B52C6">
        <w:rPr>
          <w:iCs/>
        </w:rPr>
        <w:t>SBd</w:t>
      </w:r>
      <w:proofErr w:type="spellEnd"/>
      <w:r w:rsidRPr="000B52C6">
        <w:rPr>
          <w:iCs/>
        </w:rPr>
        <w:t xml:space="preserve"> provided, for some patients, an improvement in PFS compared to Bd but noted that the data for overall survival (OS) were immature and difficult to interpret (Para.7.1, Selinexor (RRMM), PBAC </w:t>
      </w:r>
      <w:r w:rsidR="00251F38">
        <w:rPr>
          <w:iCs/>
        </w:rPr>
        <w:t>PSD</w:t>
      </w:r>
      <w:r w:rsidRPr="000B52C6">
        <w:rPr>
          <w:iCs/>
        </w:rPr>
        <w:t xml:space="preserve">, July 2021 PBAC meeting). The clinical claim of non-inferior efficacy of </w:t>
      </w:r>
      <w:proofErr w:type="spellStart"/>
      <w:r w:rsidRPr="000B52C6">
        <w:rPr>
          <w:iCs/>
        </w:rPr>
        <w:t>SBd</w:t>
      </w:r>
      <w:proofErr w:type="spellEnd"/>
      <w:r w:rsidRPr="000B52C6">
        <w:rPr>
          <w:iCs/>
        </w:rPr>
        <w:t xml:space="preserve"> compared to Cd presented by the resubmission was based on the PFS outcome.</w:t>
      </w:r>
    </w:p>
    <w:p w14:paraId="5D0D3C69" w14:textId="6384FC0F" w:rsidR="006B3342" w:rsidRPr="000B52C6" w:rsidRDefault="006B3342" w:rsidP="006B3342">
      <w:pPr>
        <w:pStyle w:val="TableFigureHeading"/>
      </w:pPr>
      <w:bookmarkStart w:id="23" w:name="_Ref90369947"/>
      <w:r w:rsidRPr="000B52C6">
        <w:lastRenderedPageBreak/>
        <w:t xml:space="preserve">Table </w:t>
      </w:r>
      <w:r w:rsidR="00FF5725">
        <w:fldChar w:fldCharType="begin"/>
      </w:r>
      <w:r w:rsidR="00FF5725">
        <w:instrText xml:space="preserve"> SEQ Table \* ARABIC </w:instrText>
      </w:r>
      <w:r w:rsidR="00FF5725">
        <w:fldChar w:fldCharType="separate"/>
      </w:r>
      <w:r w:rsidR="00FF5725">
        <w:rPr>
          <w:noProof/>
        </w:rPr>
        <w:t>5</w:t>
      </w:r>
      <w:r w:rsidR="00FF5725">
        <w:fldChar w:fldCharType="end"/>
      </w:r>
      <w:bookmarkEnd w:id="23"/>
      <w:r w:rsidRPr="000B52C6">
        <w:t>: Progression free survival by treatment arm (ITT population)</w:t>
      </w:r>
    </w:p>
    <w:tbl>
      <w:tblPr>
        <w:tblStyle w:val="TableGrid"/>
        <w:tblW w:w="0" w:type="auto"/>
        <w:tblLook w:val="04A0" w:firstRow="1" w:lastRow="0" w:firstColumn="1" w:lastColumn="0" w:noHBand="0" w:noVBand="1"/>
      </w:tblPr>
      <w:tblGrid>
        <w:gridCol w:w="3397"/>
        <w:gridCol w:w="1418"/>
        <w:gridCol w:w="1417"/>
        <w:gridCol w:w="1418"/>
        <w:gridCol w:w="1367"/>
      </w:tblGrid>
      <w:tr w:rsidR="006B3342" w:rsidRPr="000B52C6" w14:paraId="4B8DA35A" w14:textId="77777777" w:rsidTr="005640E7">
        <w:tc>
          <w:tcPr>
            <w:tcW w:w="3397" w:type="dxa"/>
            <w:vMerge w:val="restart"/>
            <w:tcBorders>
              <w:top w:val="single" w:sz="4" w:space="0" w:color="auto"/>
              <w:left w:val="single" w:sz="4" w:space="0" w:color="auto"/>
              <w:right w:val="single" w:sz="4" w:space="0" w:color="auto"/>
            </w:tcBorders>
            <w:shd w:val="clear" w:color="auto" w:fill="C6D9F1" w:themeFill="text2" w:themeFillTint="33"/>
          </w:tcPr>
          <w:p w14:paraId="5FD3752A" w14:textId="77777777" w:rsidR="006B3342" w:rsidRPr="000B52C6" w:rsidRDefault="006B3342" w:rsidP="00513E25">
            <w:pPr>
              <w:pStyle w:val="In-tableHeading"/>
              <w:rPr>
                <w:lang w:val="en-AU"/>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42B11C" w14:textId="77777777" w:rsidR="006B3342" w:rsidRPr="000B52C6" w:rsidRDefault="006B3342" w:rsidP="00513E25">
            <w:pPr>
              <w:pStyle w:val="In-tableHeading"/>
              <w:jc w:val="center"/>
              <w:rPr>
                <w:lang w:val="en-AU"/>
              </w:rPr>
            </w:pPr>
            <w:r w:rsidRPr="000B52C6">
              <w:rPr>
                <w:lang w:val="en-AU"/>
              </w:rPr>
              <w:t>BOSTON</w:t>
            </w:r>
          </w:p>
          <w:p w14:paraId="6F916BBE" w14:textId="77777777" w:rsidR="006B3342" w:rsidRPr="000B52C6" w:rsidRDefault="006B3342" w:rsidP="00513E25">
            <w:pPr>
              <w:pStyle w:val="In-tableHeading"/>
              <w:jc w:val="center"/>
              <w:rPr>
                <w:lang w:val="en-AU"/>
              </w:rPr>
            </w:pPr>
            <w:r w:rsidRPr="000B52C6">
              <w:rPr>
                <w:lang w:val="en-AU"/>
              </w:rPr>
              <w:t>(original data cut-off Feb 2020)</w:t>
            </w:r>
          </w:p>
        </w:tc>
        <w:tc>
          <w:tcPr>
            <w:tcW w:w="2785" w:type="dxa"/>
            <w:gridSpan w:val="2"/>
            <w:tcBorders>
              <w:top w:val="single" w:sz="4" w:space="0" w:color="auto"/>
              <w:left w:val="single" w:sz="4" w:space="0" w:color="auto"/>
              <w:bottom w:val="single" w:sz="4" w:space="0" w:color="auto"/>
              <w:right w:val="single" w:sz="4" w:space="0" w:color="auto"/>
            </w:tcBorders>
          </w:tcPr>
          <w:p w14:paraId="38DF396E" w14:textId="77777777" w:rsidR="006B3342" w:rsidRPr="000B52C6" w:rsidRDefault="006B3342" w:rsidP="00513E25">
            <w:pPr>
              <w:pStyle w:val="In-tableHeading"/>
              <w:jc w:val="center"/>
              <w:rPr>
                <w:lang w:val="en-AU"/>
              </w:rPr>
            </w:pPr>
            <w:r w:rsidRPr="000B52C6">
              <w:rPr>
                <w:lang w:val="en-AU"/>
              </w:rPr>
              <w:t>BOSTON</w:t>
            </w:r>
          </w:p>
          <w:p w14:paraId="66AB0FE5" w14:textId="77777777" w:rsidR="006B3342" w:rsidRPr="000B52C6" w:rsidRDefault="006B3342" w:rsidP="00513E25">
            <w:pPr>
              <w:pStyle w:val="In-tableHeading"/>
              <w:jc w:val="center"/>
              <w:rPr>
                <w:lang w:val="en-AU"/>
              </w:rPr>
            </w:pPr>
            <w:r w:rsidRPr="000B52C6">
              <w:rPr>
                <w:lang w:val="en-AU"/>
              </w:rPr>
              <w:t>(updated data cut-off Feb 2021)</w:t>
            </w:r>
          </w:p>
        </w:tc>
      </w:tr>
      <w:tr w:rsidR="006B3342" w:rsidRPr="000B52C6" w14:paraId="4384E95E" w14:textId="77777777" w:rsidTr="005640E7">
        <w:tc>
          <w:tcPr>
            <w:tcW w:w="3397" w:type="dxa"/>
            <w:vMerge/>
            <w:tcBorders>
              <w:left w:val="single" w:sz="4" w:space="0" w:color="auto"/>
              <w:bottom w:val="single" w:sz="4" w:space="0" w:color="auto"/>
              <w:right w:val="single" w:sz="4" w:space="0" w:color="auto"/>
            </w:tcBorders>
            <w:shd w:val="clear" w:color="auto" w:fill="C6D9F1" w:themeFill="text2" w:themeFillTint="33"/>
          </w:tcPr>
          <w:p w14:paraId="13C08166" w14:textId="77777777" w:rsidR="006B3342" w:rsidRPr="000B52C6" w:rsidRDefault="006B3342" w:rsidP="00513E25">
            <w:pPr>
              <w:pStyle w:val="In-tableHeading"/>
              <w:rPr>
                <w:lang w:val="en-AU"/>
              </w:rPr>
            </w:pP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30E764" w14:textId="77777777" w:rsidR="006B3342" w:rsidRPr="000B52C6" w:rsidRDefault="006B3342" w:rsidP="00513E25">
            <w:pPr>
              <w:pStyle w:val="In-tableHeading"/>
              <w:jc w:val="center"/>
              <w:rPr>
                <w:lang w:val="en-AU"/>
              </w:rPr>
            </w:pPr>
            <w:proofErr w:type="spellStart"/>
            <w:r w:rsidRPr="000B52C6">
              <w:rPr>
                <w:lang w:val="en-AU"/>
              </w:rPr>
              <w:t>SBd</w:t>
            </w:r>
            <w:proofErr w:type="spellEnd"/>
            <w:r w:rsidRPr="000B52C6">
              <w:rPr>
                <w:lang w:val="en-AU"/>
              </w:rPr>
              <w:t xml:space="preserve"> arm</w:t>
            </w:r>
          </w:p>
          <w:p w14:paraId="7E29D026" w14:textId="77777777" w:rsidR="006B3342" w:rsidRPr="000B52C6" w:rsidRDefault="006B3342" w:rsidP="00513E25">
            <w:pPr>
              <w:pStyle w:val="In-tableHeading"/>
              <w:jc w:val="center"/>
              <w:rPr>
                <w:lang w:val="en-AU"/>
              </w:rPr>
            </w:pPr>
            <w:r w:rsidRPr="000B52C6">
              <w:rPr>
                <w:lang w:val="en-AU"/>
              </w:rPr>
              <w:t>(N=195)</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23466E" w14:textId="77777777" w:rsidR="006B3342" w:rsidRPr="000B52C6" w:rsidRDefault="006B3342" w:rsidP="00513E25">
            <w:pPr>
              <w:pStyle w:val="In-tableHeading"/>
              <w:jc w:val="center"/>
              <w:rPr>
                <w:lang w:val="en-AU"/>
              </w:rPr>
            </w:pPr>
            <w:r w:rsidRPr="000B52C6">
              <w:rPr>
                <w:lang w:val="en-AU"/>
              </w:rPr>
              <w:t>Bd arm</w:t>
            </w:r>
          </w:p>
          <w:p w14:paraId="5551B0EB" w14:textId="77777777" w:rsidR="006B3342" w:rsidRPr="000B52C6" w:rsidRDefault="006B3342" w:rsidP="00513E25">
            <w:pPr>
              <w:pStyle w:val="In-tableHeading"/>
              <w:jc w:val="center"/>
              <w:rPr>
                <w:lang w:val="en-AU"/>
              </w:rPr>
            </w:pPr>
            <w:r w:rsidRPr="000B52C6">
              <w:rPr>
                <w:lang w:val="en-AU"/>
              </w:rPr>
              <w:t>(N=207)</w:t>
            </w:r>
          </w:p>
        </w:tc>
        <w:tc>
          <w:tcPr>
            <w:tcW w:w="1418" w:type="dxa"/>
            <w:tcBorders>
              <w:top w:val="single" w:sz="4" w:space="0" w:color="auto"/>
              <w:left w:val="single" w:sz="4" w:space="0" w:color="auto"/>
              <w:bottom w:val="single" w:sz="4" w:space="0" w:color="auto"/>
              <w:right w:val="single" w:sz="4" w:space="0" w:color="auto"/>
            </w:tcBorders>
            <w:vAlign w:val="center"/>
          </w:tcPr>
          <w:p w14:paraId="39FD01BC" w14:textId="77777777" w:rsidR="006B3342" w:rsidRPr="000B52C6" w:rsidRDefault="006B3342" w:rsidP="00513E25">
            <w:pPr>
              <w:pStyle w:val="In-tableHeading"/>
              <w:jc w:val="center"/>
              <w:rPr>
                <w:lang w:val="en-AU"/>
              </w:rPr>
            </w:pPr>
            <w:proofErr w:type="spellStart"/>
            <w:r w:rsidRPr="000B52C6">
              <w:rPr>
                <w:lang w:val="en-AU"/>
              </w:rPr>
              <w:t>SBd</w:t>
            </w:r>
            <w:proofErr w:type="spellEnd"/>
            <w:r w:rsidRPr="000B52C6">
              <w:rPr>
                <w:lang w:val="en-AU"/>
              </w:rPr>
              <w:t xml:space="preserve"> arm</w:t>
            </w:r>
          </w:p>
          <w:p w14:paraId="3A386562" w14:textId="77777777" w:rsidR="006B3342" w:rsidRPr="000B52C6" w:rsidRDefault="006B3342" w:rsidP="00513E25">
            <w:pPr>
              <w:pStyle w:val="In-tableHeading"/>
              <w:jc w:val="center"/>
              <w:rPr>
                <w:lang w:val="en-AU"/>
              </w:rPr>
            </w:pPr>
            <w:r w:rsidRPr="000B52C6">
              <w:rPr>
                <w:lang w:val="en-AU"/>
              </w:rPr>
              <w:t>(N=195)</w:t>
            </w:r>
          </w:p>
        </w:tc>
        <w:tc>
          <w:tcPr>
            <w:tcW w:w="1367" w:type="dxa"/>
            <w:tcBorders>
              <w:top w:val="single" w:sz="4" w:space="0" w:color="auto"/>
              <w:left w:val="single" w:sz="4" w:space="0" w:color="auto"/>
              <w:bottom w:val="single" w:sz="4" w:space="0" w:color="auto"/>
              <w:right w:val="single" w:sz="4" w:space="0" w:color="auto"/>
            </w:tcBorders>
            <w:vAlign w:val="center"/>
          </w:tcPr>
          <w:p w14:paraId="20964382" w14:textId="77777777" w:rsidR="006B3342" w:rsidRPr="000B52C6" w:rsidRDefault="006B3342" w:rsidP="00513E25">
            <w:pPr>
              <w:pStyle w:val="In-tableHeading"/>
              <w:jc w:val="center"/>
              <w:rPr>
                <w:lang w:val="en-AU"/>
              </w:rPr>
            </w:pPr>
            <w:r w:rsidRPr="000B52C6">
              <w:rPr>
                <w:lang w:val="en-AU"/>
              </w:rPr>
              <w:t>Bd arm</w:t>
            </w:r>
          </w:p>
          <w:p w14:paraId="3FA8A313" w14:textId="77777777" w:rsidR="006B3342" w:rsidRPr="000B52C6" w:rsidRDefault="006B3342" w:rsidP="00513E25">
            <w:pPr>
              <w:pStyle w:val="In-tableHeading"/>
              <w:jc w:val="center"/>
              <w:rPr>
                <w:lang w:val="en-AU"/>
              </w:rPr>
            </w:pPr>
            <w:r w:rsidRPr="000B52C6">
              <w:rPr>
                <w:lang w:val="en-AU"/>
              </w:rPr>
              <w:t>(N=207)</w:t>
            </w:r>
          </w:p>
        </w:tc>
      </w:tr>
      <w:tr w:rsidR="001D3212" w:rsidRPr="000B52C6" w14:paraId="073B1899" w14:textId="77777777" w:rsidTr="005640E7">
        <w:tc>
          <w:tcPr>
            <w:tcW w:w="3397" w:type="dxa"/>
            <w:tcBorders>
              <w:left w:val="single" w:sz="4" w:space="0" w:color="auto"/>
              <w:bottom w:val="single" w:sz="4" w:space="0" w:color="auto"/>
              <w:right w:val="single" w:sz="4" w:space="0" w:color="auto"/>
            </w:tcBorders>
            <w:shd w:val="clear" w:color="auto" w:fill="C6D9F1" w:themeFill="text2" w:themeFillTint="33"/>
          </w:tcPr>
          <w:p w14:paraId="003972E1" w14:textId="0C3C93C7" w:rsidR="001D3212" w:rsidRPr="000B52C6" w:rsidRDefault="001D3212" w:rsidP="00513E25">
            <w:pPr>
              <w:pStyle w:val="In-tableHeading"/>
              <w:rPr>
                <w:b w:val="0"/>
                <w:bCs/>
                <w:lang w:val="en-AU"/>
              </w:rPr>
            </w:pPr>
            <w:r w:rsidRPr="000B52C6">
              <w:rPr>
                <w:b w:val="0"/>
                <w:bCs/>
                <w:lang w:val="en-AU"/>
              </w:rPr>
              <w:t>Median follow-up</w:t>
            </w:r>
            <w:r w:rsidR="00EB655D" w:rsidRPr="000B52C6">
              <w:rPr>
                <w:b w:val="0"/>
                <w:bCs/>
                <w:lang w:val="en-AU"/>
              </w:rPr>
              <w:t xml:space="preserve"> (months)</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F8BEE3" w14:textId="5C69AE26" w:rsidR="001D3212" w:rsidRPr="000B52C6" w:rsidRDefault="00EB655D" w:rsidP="00513E25">
            <w:pPr>
              <w:pStyle w:val="In-tableHeading"/>
              <w:jc w:val="center"/>
              <w:rPr>
                <w:lang w:val="en-AU"/>
              </w:rPr>
            </w:pPr>
            <w:r w:rsidRPr="000B52C6">
              <w:rPr>
                <w:lang w:val="en-AU"/>
              </w:rPr>
              <w:t>13.2</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BFD730" w14:textId="57219A3F" w:rsidR="001D3212" w:rsidRPr="000B52C6" w:rsidRDefault="00EB655D" w:rsidP="00513E25">
            <w:pPr>
              <w:pStyle w:val="In-tableHeading"/>
              <w:jc w:val="center"/>
              <w:rPr>
                <w:lang w:val="en-AU"/>
              </w:rPr>
            </w:pPr>
            <w:r w:rsidRPr="000B52C6">
              <w:rPr>
                <w:lang w:val="en-AU"/>
              </w:rPr>
              <w:t>16.5</w:t>
            </w:r>
          </w:p>
        </w:tc>
        <w:tc>
          <w:tcPr>
            <w:tcW w:w="1418" w:type="dxa"/>
            <w:tcBorders>
              <w:top w:val="single" w:sz="4" w:space="0" w:color="auto"/>
              <w:left w:val="single" w:sz="4" w:space="0" w:color="auto"/>
              <w:bottom w:val="single" w:sz="4" w:space="0" w:color="auto"/>
              <w:right w:val="single" w:sz="4" w:space="0" w:color="auto"/>
            </w:tcBorders>
            <w:vAlign w:val="center"/>
          </w:tcPr>
          <w:p w14:paraId="7DAF5B06" w14:textId="69D48D79" w:rsidR="001D3212" w:rsidRPr="000B52C6" w:rsidRDefault="00EB655D" w:rsidP="00513E25">
            <w:pPr>
              <w:pStyle w:val="In-tableHeading"/>
              <w:jc w:val="center"/>
              <w:rPr>
                <w:lang w:val="en-AU"/>
              </w:rPr>
            </w:pPr>
            <w:r w:rsidRPr="000B52C6">
              <w:rPr>
                <w:lang w:val="en-AU"/>
              </w:rPr>
              <w:t>13.5</w:t>
            </w:r>
          </w:p>
        </w:tc>
        <w:tc>
          <w:tcPr>
            <w:tcW w:w="1367" w:type="dxa"/>
            <w:tcBorders>
              <w:top w:val="single" w:sz="4" w:space="0" w:color="auto"/>
              <w:left w:val="single" w:sz="4" w:space="0" w:color="auto"/>
              <w:bottom w:val="single" w:sz="4" w:space="0" w:color="auto"/>
              <w:right w:val="single" w:sz="4" w:space="0" w:color="auto"/>
            </w:tcBorders>
            <w:vAlign w:val="center"/>
          </w:tcPr>
          <w:p w14:paraId="4B43E87E" w14:textId="4BE2C3FB" w:rsidR="001D3212" w:rsidRPr="000B52C6" w:rsidRDefault="00EB655D" w:rsidP="00513E25">
            <w:pPr>
              <w:pStyle w:val="In-tableHeading"/>
              <w:jc w:val="center"/>
              <w:rPr>
                <w:lang w:val="en-AU"/>
              </w:rPr>
            </w:pPr>
            <w:r w:rsidRPr="000B52C6">
              <w:rPr>
                <w:lang w:val="en-AU"/>
              </w:rPr>
              <w:t>24.5</w:t>
            </w:r>
          </w:p>
        </w:tc>
      </w:tr>
      <w:tr w:rsidR="006B3342" w:rsidRPr="000B52C6" w14:paraId="204FC4DE" w14:textId="77777777" w:rsidTr="005640E7">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CF99057" w14:textId="77777777" w:rsidR="006B3342" w:rsidRPr="000B52C6" w:rsidRDefault="006B3342" w:rsidP="00513E25">
            <w:pPr>
              <w:pStyle w:val="TableText0"/>
            </w:pPr>
            <w:r w:rsidRPr="000B52C6">
              <w:t xml:space="preserve">Progression-free survival (months), Median </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234799" w14:textId="77777777" w:rsidR="006B3342" w:rsidRPr="000B52C6" w:rsidRDefault="006B3342" w:rsidP="00513E25">
            <w:pPr>
              <w:pStyle w:val="TableText0"/>
              <w:jc w:val="center"/>
            </w:pPr>
            <w:r w:rsidRPr="000B52C6">
              <w:t>13.9</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7EAB4B" w14:textId="77777777" w:rsidR="006B3342" w:rsidRPr="000B52C6" w:rsidRDefault="006B3342" w:rsidP="00513E25">
            <w:pPr>
              <w:pStyle w:val="TableText0"/>
              <w:jc w:val="center"/>
            </w:pPr>
            <w:r w:rsidRPr="000B52C6">
              <w:t>9.5</w:t>
            </w:r>
          </w:p>
        </w:tc>
        <w:tc>
          <w:tcPr>
            <w:tcW w:w="1418" w:type="dxa"/>
            <w:tcBorders>
              <w:top w:val="single" w:sz="4" w:space="0" w:color="auto"/>
              <w:left w:val="single" w:sz="4" w:space="0" w:color="auto"/>
              <w:bottom w:val="single" w:sz="4" w:space="0" w:color="auto"/>
              <w:right w:val="single" w:sz="4" w:space="0" w:color="auto"/>
            </w:tcBorders>
            <w:vAlign w:val="center"/>
          </w:tcPr>
          <w:p w14:paraId="7F7E600B" w14:textId="77777777" w:rsidR="006B3342" w:rsidRPr="000B52C6" w:rsidRDefault="006B3342" w:rsidP="00513E25">
            <w:pPr>
              <w:pStyle w:val="TableText0"/>
              <w:jc w:val="center"/>
            </w:pPr>
            <w:r w:rsidRPr="000B52C6">
              <w:t>13.2</w:t>
            </w:r>
          </w:p>
        </w:tc>
        <w:tc>
          <w:tcPr>
            <w:tcW w:w="1367" w:type="dxa"/>
            <w:tcBorders>
              <w:top w:val="single" w:sz="4" w:space="0" w:color="auto"/>
              <w:left w:val="single" w:sz="4" w:space="0" w:color="auto"/>
              <w:bottom w:val="single" w:sz="4" w:space="0" w:color="auto"/>
              <w:right w:val="single" w:sz="4" w:space="0" w:color="auto"/>
            </w:tcBorders>
            <w:vAlign w:val="center"/>
          </w:tcPr>
          <w:p w14:paraId="2E377351" w14:textId="77777777" w:rsidR="006B3342" w:rsidRPr="000B52C6" w:rsidRDefault="006B3342" w:rsidP="00513E25">
            <w:pPr>
              <w:pStyle w:val="TableText0"/>
              <w:jc w:val="center"/>
            </w:pPr>
            <w:r w:rsidRPr="000B52C6">
              <w:t>9.5</w:t>
            </w:r>
          </w:p>
        </w:tc>
      </w:tr>
      <w:tr w:rsidR="0069373E" w:rsidRPr="000B52C6" w14:paraId="3AEDD164" w14:textId="77777777" w:rsidTr="005640E7">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DB61E0" w14:textId="5F0A5495" w:rsidR="00E51184" w:rsidRPr="000B52C6" w:rsidRDefault="00E51184" w:rsidP="00513E25">
            <w:pPr>
              <w:pStyle w:val="TableText0"/>
            </w:pPr>
            <w:r w:rsidRPr="000B52C6">
              <w:t>Difference in median PFS (months)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34D43C" w14:textId="73F65800" w:rsidR="00E51184" w:rsidRPr="000B52C6" w:rsidRDefault="00E51184" w:rsidP="00513E25">
            <w:pPr>
              <w:pStyle w:val="TableText0"/>
              <w:jc w:val="center"/>
            </w:pPr>
            <w:r w:rsidRPr="000B52C6">
              <w:t>4.4</w:t>
            </w:r>
          </w:p>
        </w:tc>
        <w:tc>
          <w:tcPr>
            <w:tcW w:w="2785" w:type="dxa"/>
            <w:gridSpan w:val="2"/>
            <w:tcBorders>
              <w:top w:val="single" w:sz="4" w:space="0" w:color="auto"/>
              <w:left w:val="single" w:sz="4" w:space="0" w:color="auto"/>
              <w:bottom w:val="single" w:sz="4" w:space="0" w:color="auto"/>
              <w:right w:val="single" w:sz="4" w:space="0" w:color="auto"/>
            </w:tcBorders>
            <w:vAlign w:val="center"/>
          </w:tcPr>
          <w:p w14:paraId="11701FBD" w14:textId="06BBBBB0" w:rsidR="00E51184" w:rsidRPr="000B52C6" w:rsidRDefault="00E51184" w:rsidP="00513E25">
            <w:pPr>
              <w:pStyle w:val="TableText0"/>
              <w:jc w:val="center"/>
            </w:pPr>
            <w:r w:rsidRPr="000B52C6">
              <w:t>3.7</w:t>
            </w:r>
          </w:p>
        </w:tc>
      </w:tr>
      <w:tr w:rsidR="006B3342" w:rsidRPr="000B52C6" w14:paraId="230E7420" w14:textId="77777777" w:rsidTr="005640E7">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F403557" w14:textId="77777777" w:rsidR="006B3342" w:rsidRPr="000B52C6" w:rsidRDefault="006B3342" w:rsidP="00513E25">
            <w:pPr>
              <w:pStyle w:val="TableText0"/>
            </w:pPr>
            <w:r w:rsidRPr="000B52C6">
              <w:t xml:space="preserve">95% CI </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4B2964" w14:textId="77777777" w:rsidR="006B3342" w:rsidRPr="000B52C6" w:rsidRDefault="006B3342" w:rsidP="00513E25">
            <w:pPr>
              <w:pStyle w:val="TableText0"/>
              <w:jc w:val="center"/>
            </w:pPr>
            <w:r w:rsidRPr="000B52C6">
              <w:t>(11.73, NE)</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7FB28D" w14:textId="77777777" w:rsidR="006B3342" w:rsidRPr="000B52C6" w:rsidRDefault="006B3342" w:rsidP="00513E25">
            <w:pPr>
              <w:pStyle w:val="TableText0"/>
              <w:jc w:val="center"/>
            </w:pPr>
            <w:r w:rsidRPr="000B52C6">
              <w:t>(8.11, 10.78)</w:t>
            </w:r>
          </w:p>
        </w:tc>
        <w:tc>
          <w:tcPr>
            <w:tcW w:w="1418" w:type="dxa"/>
            <w:tcBorders>
              <w:top w:val="single" w:sz="4" w:space="0" w:color="auto"/>
              <w:left w:val="single" w:sz="4" w:space="0" w:color="auto"/>
              <w:bottom w:val="single" w:sz="4" w:space="0" w:color="auto"/>
              <w:right w:val="single" w:sz="4" w:space="0" w:color="auto"/>
            </w:tcBorders>
            <w:vAlign w:val="center"/>
          </w:tcPr>
          <w:p w14:paraId="58F1A12A" w14:textId="77777777" w:rsidR="006B3342" w:rsidRPr="000B52C6" w:rsidRDefault="006B3342" w:rsidP="00513E25">
            <w:pPr>
              <w:pStyle w:val="TableText0"/>
              <w:jc w:val="center"/>
            </w:pPr>
            <w:r w:rsidRPr="000B52C6">
              <w:t>(11.73, 23.43)</w:t>
            </w:r>
          </w:p>
        </w:tc>
        <w:tc>
          <w:tcPr>
            <w:tcW w:w="1367" w:type="dxa"/>
            <w:tcBorders>
              <w:top w:val="single" w:sz="4" w:space="0" w:color="auto"/>
              <w:left w:val="single" w:sz="4" w:space="0" w:color="auto"/>
              <w:bottom w:val="single" w:sz="4" w:space="0" w:color="auto"/>
              <w:right w:val="single" w:sz="4" w:space="0" w:color="auto"/>
            </w:tcBorders>
            <w:vAlign w:val="center"/>
          </w:tcPr>
          <w:p w14:paraId="48C0AF36" w14:textId="77777777" w:rsidR="006B3342" w:rsidRPr="000B52C6" w:rsidRDefault="006B3342" w:rsidP="00513E25">
            <w:pPr>
              <w:pStyle w:val="TableText0"/>
              <w:jc w:val="center"/>
            </w:pPr>
            <w:r w:rsidRPr="000B52C6">
              <w:t>(8.11, 10.78)</w:t>
            </w:r>
          </w:p>
        </w:tc>
      </w:tr>
      <w:tr w:rsidR="006B3342" w:rsidRPr="000B52C6" w14:paraId="7EC9F19B" w14:textId="77777777" w:rsidTr="005640E7">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C89AA5E" w14:textId="77777777" w:rsidR="006B3342" w:rsidRPr="000B52C6" w:rsidRDefault="006B3342" w:rsidP="00513E25">
            <w:pPr>
              <w:pStyle w:val="TableText0"/>
            </w:pPr>
            <w:r w:rsidRPr="000B52C6">
              <w:t xml:space="preserve">Stratified log-rank test </w:t>
            </w:r>
            <w:r w:rsidRPr="000B52C6">
              <w:rPr>
                <w:vertAlign w:val="superscript"/>
              </w:rPr>
              <w:t>a</w:t>
            </w:r>
          </w:p>
          <w:p w14:paraId="4859C193" w14:textId="77777777" w:rsidR="006B3342" w:rsidRPr="000B52C6" w:rsidRDefault="006B3342" w:rsidP="00513E25">
            <w:pPr>
              <w:pStyle w:val="TableText0"/>
            </w:pPr>
            <w:r w:rsidRPr="000B52C6">
              <w:t xml:space="preserve">One sided P-value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63EDC2" w14:textId="77777777" w:rsidR="006B3342" w:rsidRPr="000B52C6" w:rsidRDefault="006B3342" w:rsidP="00513E25">
            <w:pPr>
              <w:pStyle w:val="TableText0"/>
              <w:jc w:val="center"/>
              <w:rPr>
                <w:b/>
                <w:bCs w:val="0"/>
              </w:rPr>
            </w:pPr>
            <w:r w:rsidRPr="000B52C6">
              <w:rPr>
                <w:b/>
                <w:bCs w:val="0"/>
              </w:rPr>
              <w:t>0.0075</w:t>
            </w:r>
          </w:p>
        </w:tc>
        <w:tc>
          <w:tcPr>
            <w:tcW w:w="2785" w:type="dxa"/>
            <w:gridSpan w:val="2"/>
            <w:tcBorders>
              <w:top w:val="single" w:sz="4" w:space="0" w:color="auto"/>
              <w:left w:val="single" w:sz="4" w:space="0" w:color="auto"/>
              <w:bottom w:val="single" w:sz="4" w:space="0" w:color="auto"/>
              <w:right w:val="single" w:sz="4" w:space="0" w:color="auto"/>
            </w:tcBorders>
            <w:vAlign w:val="center"/>
          </w:tcPr>
          <w:p w14:paraId="32A4FEA6" w14:textId="77777777" w:rsidR="006B3342" w:rsidRPr="000B52C6" w:rsidRDefault="006B3342" w:rsidP="00513E25">
            <w:pPr>
              <w:pStyle w:val="TableText0"/>
              <w:jc w:val="center"/>
              <w:rPr>
                <w:b/>
                <w:bCs w:val="0"/>
              </w:rPr>
            </w:pPr>
            <w:r w:rsidRPr="000B52C6">
              <w:rPr>
                <w:b/>
                <w:bCs w:val="0"/>
              </w:rPr>
              <w:t>0.0064</w:t>
            </w:r>
          </w:p>
        </w:tc>
      </w:tr>
      <w:tr w:rsidR="006B3342" w:rsidRPr="000B52C6" w14:paraId="37208F7C" w14:textId="77777777" w:rsidTr="005640E7">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446B634" w14:textId="77777777" w:rsidR="006B3342" w:rsidRPr="000B52C6" w:rsidRDefault="006B3342" w:rsidP="00513E25">
            <w:pPr>
              <w:pStyle w:val="TableText0"/>
            </w:pPr>
            <w:r w:rsidRPr="000B52C6">
              <w:t xml:space="preserve">Hazard ratio </w:t>
            </w:r>
            <w:proofErr w:type="spellStart"/>
            <w:proofErr w:type="gramStart"/>
            <w:r w:rsidRPr="000B52C6">
              <w:rPr>
                <w:vertAlign w:val="superscript"/>
              </w:rPr>
              <w:t>a,b</w:t>
            </w:r>
            <w:proofErr w:type="spellEnd"/>
            <w:proofErr w:type="gramEnd"/>
            <w:r w:rsidRPr="000B52C6">
              <w:t xml:space="preserve"> </w:t>
            </w:r>
          </w:p>
          <w:p w14:paraId="47C8BC23" w14:textId="77777777" w:rsidR="006B3342" w:rsidRPr="000B52C6" w:rsidRDefault="006B3342" w:rsidP="00513E25">
            <w:pPr>
              <w:pStyle w:val="TableText0"/>
            </w:pPr>
            <w:r w:rsidRPr="000B52C6">
              <w:t xml:space="preserve">(95% CI)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E65CFC" w14:textId="77777777" w:rsidR="006B3342" w:rsidRPr="000B52C6" w:rsidRDefault="006B3342" w:rsidP="00513E25">
            <w:pPr>
              <w:pStyle w:val="TableText0"/>
              <w:jc w:val="center"/>
              <w:rPr>
                <w:b/>
                <w:bCs w:val="0"/>
              </w:rPr>
            </w:pPr>
            <w:r w:rsidRPr="000B52C6">
              <w:rPr>
                <w:b/>
                <w:bCs w:val="0"/>
              </w:rPr>
              <w:t>0.70 (0.53, 0.93)</w:t>
            </w:r>
          </w:p>
        </w:tc>
        <w:tc>
          <w:tcPr>
            <w:tcW w:w="2785" w:type="dxa"/>
            <w:gridSpan w:val="2"/>
            <w:tcBorders>
              <w:top w:val="single" w:sz="4" w:space="0" w:color="auto"/>
              <w:left w:val="single" w:sz="4" w:space="0" w:color="auto"/>
              <w:bottom w:val="single" w:sz="4" w:space="0" w:color="auto"/>
              <w:right w:val="single" w:sz="4" w:space="0" w:color="auto"/>
            </w:tcBorders>
            <w:vAlign w:val="center"/>
          </w:tcPr>
          <w:p w14:paraId="728A1A51" w14:textId="77777777" w:rsidR="006B3342" w:rsidRPr="000B52C6" w:rsidRDefault="006B3342" w:rsidP="00513E25">
            <w:pPr>
              <w:pStyle w:val="TableText0"/>
              <w:jc w:val="center"/>
              <w:rPr>
                <w:b/>
                <w:bCs w:val="0"/>
              </w:rPr>
            </w:pPr>
            <w:r w:rsidRPr="000B52C6">
              <w:rPr>
                <w:b/>
                <w:bCs w:val="0"/>
              </w:rPr>
              <w:t>0.71 (0.54, 0.93)</w:t>
            </w:r>
          </w:p>
        </w:tc>
      </w:tr>
      <w:tr w:rsidR="005B3E20" w:rsidRPr="000B52C6" w14:paraId="7EB587B0" w14:textId="77777777" w:rsidTr="005640E7">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C24A6D" w14:textId="1D8F9988" w:rsidR="005B3E20" w:rsidRPr="000B52C6" w:rsidRDefault="005B3E20" w:rsidP="005B3E20">
            <w:pPr>
              <w:pStyle w:val="TableText0"/>
            </w:pPr>
            <w:r w:rsidRPr="000B52C6">
              <w:t xml:space="preserve">Patients with events, n (%) </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ECBBB1" w14:textId="44965E75" w:rsidR="005B3E20" w:rsidRPr="000B52C6" w:rsidRDefault="005B3E20" w:rsidP="005B3E20">
            <w:pPr>
              <w:pStyle w:val="TableText0"/>
              <w:jc w:val="center"/>
            </w:pPr>
            <w:r w:rsidRPr="000B52C6">
              <w:t>80 (41.0)</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ADE9DF" w14:textId="7667B22C" w:rsidR="005B3E20" w:rsidRPr="000B52C6" w:rsidRDefault="005B3E20" w:rsidP="005B3E20">
            <w:pPr>
              <w:pStyle w:val="TableText0"/>
              <w:jc w:val="center"/>
            </w:pPr>
            <w:r w:rsidRPr="000B52C6">
              <w:t>124 (59.9)</w:t>
            </w:r>
          </w:p>
        </w:tc>
        <w:tc>
          <w:tcPr>
            <w:tcW w:w="1418" w:type="dxa"/>
            <w:tcBorders>
              <w:top w:val="single" w:sz="4" w:space="0" w:color="auto"/>
              <w:left w:val="single" w:sz="4" w:space="0" w:color="auto"/>
              <w:bottom w:val="single" w:sz="4" w:space="0" w:color="auto"/>
              <w:right w:val="single" w:sz="4" w:space="0" w:color="auto"/>
            </w:tcBorders>
            <w:vAlign w:val="center"/>
          </w:tcPr>
          <w:p w14:paraId="74903FF8" w14:textId="4F7C600F" w:rsidR="005B3E20" w:rsidRPr="000B52C6" w:rsidRDefault="005B3E20" w:rsidP="005B3E20">
            <w:pPr>
              <w:pStyle w:val="TableText0"/>
              <w:jc w:val="center"/>
            </w:pPr>
            <w:r w:rsidRPr="000B52C6">
              <w:t>92 (47.2)</w:t>
            </w:r>
          </w:p>
        </w:tc>
        <w:tc>
          <w:tcPr>
            <w:tcW w:w="1367" w:type="dxa"/>
            <w:tcBorders>
              <w:top w:val="single" w:sz="4" w:space="0" w:color="auto"/>
              <w:left w:val="single" w:sz="4" w:space="0" w:color="auto"/>
              <w:bottom w:val="single" w:sz="4" w:space="0" w:color="auto"/>
              <w:right w:val="single" w:sz="4" w:space="0" w:color="auto"/>
            </w:tcBorders>
            <w:vAlign w:val="center"/>
          </w:tcPr>
          <w:p w14:paraId="36F20BA5" w14:textId="0C271726" w:rsidR="005B3E20" w:rsidRPr="000B52C6" w:rsidRDefault="005B3E20" w:rsidP="005B3E20">
            <w:pPr>
              <w:pStyle w:val="TableText0"/>
              <w:jc w:val="center"/>
            </w:pPr>
            <w:r w:rsidRPr="000B52C6">
              <w:t>137 (66.2)</w:t>
            </w:r>
          </w:p>
        </w:tc>
      </w:tr>
      <w:tr w:rsidR="005B3E20" w:rsidRPr="000B52C6" w14:paraId="0FDD650B" w14:textId="77777777" w:rsidTr="005640E7">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CE1401" w14:textId="678BC7F1" w:rsidR="005B3E20" w:rsidRPr="000B52C6" w:rsidRDefault="00D20F9D" w:rsidP="005B3E20">
            <w:pPr>
              <w:pStyle w:val="TableText0"/>
            </w:pPr>
            <w:r w:rsidRPr="000B52C6">
              <w:t xml:space="preserve">     </w:t>
            </w:r>
            <w:r w:rsidR="005B3E20" w:rsidRPr="000B52C6">
              <w:t xml:space="preserve">PD </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E23870" w14:textId="3BEED623" w:rsidR="005B3E20" w:rsidRPr="000B52C6" w:rsidRDefault="005B3E20" w:rsidP="005B3E20">
            <w:pPr>
              <w:pStyle w:val="TableText0"/>
              <w:jc w:val="center"/>
            </w:pPr>
            <w:r w:rsidRPr="000B52C6">
              <w:t>69 (35.4)</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9C1340" w14:textId="5499E098" w:rsidR="005B3E20" w:rsidRPr="000B52C6" w:rsidRDefault="005B3E20" w:rsidP="005B3E20">
            <w:pPr>
              <w:pStyle w:val="TableText0"/>
              <w:jc w:val="center"/>
            </w:pPr>
            <w:r w:rsidRPr="000B52C6">
              <w:t>111 (53.6)</w:t>
            </w:r>
          </w:p>
        </w:tc>
        <w:tc>
          <w:tcPr>
            <w:tcW w:w="1418" w:type="dxa"/>
            <w:tcBorders>
              <w:top w:val="single" w:sz="4" w:space="0" w:color="auto"/>
              <w:left w:val="single" w:sz="4" w:space="0" w:color="auto"/>
              <w:bottom w:val="single" w:sz="4" w:space="0" w:color="auto"/>
              <w:right w:val="single" w:sz="4" w:space="0" w:color="auto"/>
            </w:tcBorders>
            <w:vAlign w:val="center"/>
          </w:tcPr>
          <w:p w14:paraId="019B741E" w14:textId="2E4A05EE" w:rsidR="005B3E20" w:rsidRPr="000B52C6" w:rsidRDefault="005B3E20" w:rsidP="005B3E20">
            <w:pPr>
              <w:pStyle w:val="TableText0"/>
              <w:jc w:val="center"/>
            </w:pPr>
            <w:r w:rsidRPr="000B52C6">
              <w:t>79 (40.5)</w:t>
            </w:r>
          </w:p>
        </w:tc>
        <w:tc>
          <w:tcPr>
            <w:tcW w:w="1367" w:type="dxa"/>
            <w:tcBorders>
              <w:top w:val="single" w:sz="4" w:space="0" w:color="auto"/>
              <w:left w:val="single" w:sz="4" w:space="0" w:color="auto"/>
              <w:bottom w:val="single" w:sz="4" w:space="0" w:color="auto"/>
              <w:right w:val="single" w:sz="4" w:space="0" w:color="auto"/>
            </w:tcBorders>
            <w:vAlign w:val="center"/>
          </w:tcPr>
          <w:p w14:paraId="43C24BA9" w14:textId="68D245B6" w:rsidR="005B3E20" w:rsidRPr="000B52C6" w:rsidRDefault="005B3E20" w:rsidP="005B3E20">
            <w:pPr>
              <w:pStyle w:val="TableText0"/>
              <w:jc w:val="center"/>
            </w:pPr>
            <w:r w:rsidRPr="000B52C6">
              <w:t>122 (58.9)</w:t>
            </w:r>
          </w:p>
        </w:tc>
      </w:tr>
      <w:tr w:rsidR="005B3E20" w:rsidRPr="000B52C6" w14:paraId="7259C576" w14:textId="77777777" w:rsidTr="005640E7">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5FD782" w14:textId="2404E418" w:rsidR="005B3E20" w:rsidRPr="000B52C6" w:rsidRDefault="00D20F9D" w:rsidP="005B3E20">
            <w:pPr>
              <w:pStyle w:val="TableText0"/>
            </w:pPr>
            <w:r w:rsidRPr="000B52C6">
              <w:t xml:space="preserve">     </w:t>
            </w:r>
            <w:r w:rsidR="005B3E20" w:rsidRPr="000B52C6">
              <w:t xml:space="preserve">Death </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DB8A72" w14:textId="78305612" w:rsidR="005B3E20" w:rsidRPr="000B52C6" w:rsidRDefault="005B3E20" w:rsidP="005B3E20">
            <w:pPr>
              <w:pStyle w:val="TableText0"/>
              <w:jc w:val="center"/>
            </w:pPr>
            <w:r w:rsidRPr="000B52C6">
              <w:t>11 (5.6)</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5AE053" w14:textId="7162E3ED" w:rsidR="005B3E20" w:rsidRPr="000B52C6" w:rsidRDefault="005B3E20" w:rsidP="005B3E20">
            <w:pPr>
              <w:pStyle w:val="TableText0"/>
              <w:jc w:val="center"/>
            </w:pPr>
            <w:r w:rsidRPr="000B52C6">
              <w:t>13 (6.3)</w:t>
            </w:r>
          </w:p>
        </w:tc>
        <w:tc>
          <w:tcPr>
            <w:tcW w:w="1418" w:type="dxa"/>
            <w:tcBorders>
              <w:top w:val="single" w:sz="4" w:space="0" w:color="auto"/>
              <w:left w:val="single" w:sz="4" w:space="0" w:color="auto"/>
              <w:bottom w:val="single" w:sz="4" w:space="0" w:color="auto"/>
              <w:right w:val="single" w:sz="4" w:space="0" w:color="auto"/>
            </w:tcBorders>
            <w:vAlign w:val="center"/>
          </w:tcPr>
          <w:p w14:paraId="035CB0BD" w14:textId="79CEF0CF" w:rsidR="005B3E20" w:rsidRPr="000B52C6" w:rsidRDefault="005B3E20" w:rsidP="005B3E20">
            <w:pPr>
              <w:pStyle w:val="TableText0"/>
              <w:jc w:val="center"/>
            </w:pPr>
            <w:r w:rsidRPr="000B52C6">
              <w:t>13 (6.7)</w:t>
            </w:r>
          </w:p>
        </w:tc>
        <w:tc>
          <w:tcPr>
            <w:tcW w:w="1367" w:type="dxa"/>
            <w:tcBorders>
              <w:top w:val="single" w:sz="4" w:space="0" w:color="auto"/>
              <w:left w:val="single" w:sz="4" w:space="0" w:color="auto"/>
              <w:bottom w:val="single" w:sz="4" w:space="0" w:color="auto"/>
              <w:right w:val="single" w:sz="4" w:space="0" w:color="auto"/>
            </w:tcBorders>
            <w:vAlign w:val="center"/>
          </w:tcPr>
          <w:p w14:paraId="15F4FB4F" w14:textId="12F91CD4" w:rsidR="005B3E20" w:rsidRPr="000B52C6" w:rsidRDefault="005B3E20" w:rsidP="005B3E20">
            <w:pPr>
              <w:pStyle w:val="TableText0"/>
              <w:jc w:val="center"/>
            </w:pPr>
            <w:r w:rsidRPr="000B52C6">
              <w:t>15 (7.2)</w:t>
            </w:r>
          </w:p>
        </w:tc>
      </w:tr>
      <w:tr w:rsidR="00181C95" w:rsidRPr="000B52C6" w14:paraId="02E03AC9" w14:textId="77777777" w:rsidTr="005640E7">
        <w:tc>
          <w:tcPr>
            <w:tcW w:w="3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7CFD52" w14:textId="292AB68F" w:rsidR="00181C95" w:rsidRPr="000B52C6" w:rsidRDefault="00181C95" w:rsidP="00181C95">
            <w:pPr>
              <w:pStyle w:val="TableText0"/>
            </w:pPr>
            <w:r w:rsidRPr="000B52C6">
              <w:t xml:space="preserve">Patients censored, n (%) </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0EEBA9" w14:textId="66AA5CA5" w:rsidR="00181C95" w:rsidRPr="000B52C6" w:rsidRDefault="00181C95" w:rsidP="00181C95">
            <w:pPr>
              <w:pStyle w:val="TableText0"/>
              <w:jc w:val="center"/>
            </w:pPr>
            <w:r w:rsidRPr="000B52C6">
              <w:t>115 (59.0)</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738710" w14:textId="1784CDE6" w:rsidR="00181C95" w:rsidRPr="000B52C6" w:rsidRDefault="00181C95" w:rsidP="00181C95">
            <w:pPr>
              <w:pStyle w:val="TableText0"/>
              <w:jc w:val="center"/>
            </w:pPr>
            <w:r w:rsidRPr="000B52C6">
              <w:t>83 (40.1)</w:t>
            </w:r>
          </w:p>
        </w:tc>
        <w:tc>
          <w:tcPr>
            <w:tcW w:w="1418" w:type="dxa"/>
            <w:tcBorders>
              <w:top w:val="single" w:sz="4" w:space="0" w:color="auto"/>
              <w:left w:val="single" w:sz="4" w:space="0" w:color="auto"/>
              <w:bottom w:val="single" w:sz="4" w:space="0" w:color="auto"/>
              <w:right w:val="single" w:sz="4" w:space="0" w:color="auto"/>
            </w:tcBorders>
            <w:vAlign w:val="center"/>
          </w:tcPr>
          <w:p w14:paraId="36115465" w14:textId="16019E43" w:rsidR="00181C95" w:rsidRPr="000B52C6" w:rsidRDefault="00181C95" w:rsidP="00181C95">
            <w:pPr>
              <w:pStyle w:val="TableText0"/>
              <w:jc w:val="center"/>
            </w:pPr>
            <w:r w:rsidRPr="000B52C6">
              <w:t>103 (52.8)</w:t>
            </w:r>
          </w:p>
        </w:tc>
        <w:tc>
          <w:tcPr>
            <w:tcW w:w="1367" w:type="dxa"/>
            <w:tcBorders>
              <w:top w:val="single" w:sz="4" w:space="0" w:color="auto"/>
              <w:left w:val="single" w:sz="4" w:space="0" w:color="auto"/>
              <w:bottom w:val="single" w:sz="4" w:space="0" w:color="auto"/>
              <w:right w:val="single" w:sz="4" w:space="0" w:color="auto"/>
            </w:tcBorders>
            <w:vAlign w:val="center"/>
          </w:tcPr>
          <w:p w14:paraId="51DF6987" w14:textId="6CDB24B7" w:rsidR="00181C95" w:rsidRPr="000B52C6" w:rsidRDefault="00181C95" w:rsidP="00181C95">
            <w:pPr>
              <w:pStyle w:val="TableText0"/>
              <w:jc w:val="center"/>
            </w:pPr>
            <w:r w:rsidRPr="000B52C6">
              <w:t>70 (33.8)</w:t>
            </w:r>
          </w:p>
        </w:tc>
      </w:tr>
    </w:tbl>
    <w:p w14:paraId="772D5DD6" w14:textId="77777777" w:rsidR="006B3342" w:rsidRPr="000B52C6" w:rsidRDefault="006B3342" w:rsidP="006B3342">
      <w:pPr>
        <w:keepNext/>
        <w:rPr>
          <w:rFonts w:ascii="Arial Narrow" w:hAnsi="Arial Narrow"/>
          <w:snapToGrid w:val="0"/>
          <w:sz w:val="18"/>
          <w:szCs w:val="22"/>
        </w:rPr>
      </w:pPr>
      <w:r w:rsidRPr="000B52C6">
        <w:rPr>
          <w:rFonts w:ascii="Arial Narrow" w:hAnsi="Arial Narrow"/>
          <w:snapToGrid w:val="0"/>
          <w:sz w:val="18"/>
          <w:szCs w:val="22"/>
        </w:rPr>
        <w:t xml:space="preserve">Source: Table 2-19, p92 of the resubmission. </w:t>
      </w:r>
    </w:p>
    <w:p w14:paraId="2275DA1F" w14:textId="77777777" w:rsidR="006B3342" w:rsidRPr="000B52C6" w:rsidRDefault="006B3342" w:rsidP="006B3342">
      <w:pPr>
        <w:keepNext/>
        <w:rPr>
          <w:rFonts w:ascii="Arial Narrow" w:hAnsi="Arial Narrow"/>
          <w:snapToGrid w:val="0"/>
          <w:sz w:val="18"/>
          <w:szCs w:val="22"/>
        </w:rPr>
      </w:pPr>
      <w:r w:rsidRPr="000B52C6">
        <w:rPr>
          <w:rFonts w:ascii="Arial Narrow" w:hAnsi="Arial Narrow"/>
          <w:snapToGrid w:val="0"/>
          <w:sz w:val="18"/>
          <w:szCs w:val="22"/>
        </w:rPr>
        <w:t xml:space="preserve">Abbreviations: Bd = bortezomib + dexamethasone; CI = confidence interval; ITT = intent to treat; IRC = independent review committee; NE = not estimable; PD = progressive disease; </w:t>
      </w:r>
      <w:proofErr w:type="spellStart"/>
      <w:r w:rsidRPr="000B52C6">
        <w:rPr>
          <w:rFonts w:ascii="Arial Narrow" w:hAnsi="Arial Narrow"/>
          <w:snapToGrid w:val="0"/>
          <w:sz w:val="18"/>
          <w:szCs w:val="22"/>
        </w:rPr>
        <w:t>SBd</w:t>
      </w:r>
      <w:proofErr w:type="spellEnd"/>
      <w:r w:rsidRPr="000B52C6">
        <w:rPr>
          <w:rFonts w:ascii="Arial Narrow" w:hAnsi="Arial Narrow"/>
          <w:snapToGrid w:val="0"/>
          <w:sz w:val="18"/>
          <w:szCs w:val="22"/>
        </w:rPr>
        <w:t xml:space="preserve"> = </w:t>
      </w:r>
      <w:proofErr w:type="spellStart"/>
      <w:r w:rsidRPr="000B52C6">
        <w:rPr>
          <w:rFonts w:ascii="Arial Narrow" w:hAnsi="Arial Narrow"/>
          <w:snapToGrid w:val="0"/>
          <w:sz w:val="18"/>
          <w:szCs w:val="22"/>
        </w:rPr>
        <w:t>selinexor</w:t>
      </w:r>
      <w:proofErr w:type="spellEnd"/>
      <w:r w:rsidRPr="000B52C6">
        <w:rPr>
          <w:rFonts w:ascii="Arial Narrow" w:hAnsi="Arial Narrow"/>
          <w:snapToGrid w:val="0"/>
          <w:sz w:val="18"/>
          <w:szCs w:val="22"/>
        </w:rPr>
        <w:t xml:space="preserve"> + bortezomib + dexamethasone. </w:t>
      </w:r>
    </w:p>
    <w:p w14:paraId="1E3DA903" w14:textId="77777777" w:rsidR="006B3342" w:rsidRPr="000B52C6" w:rsidRDefault="006B3342" w:rsidP="006B3342">
      <w:pPr>
        <w:keepNext/>
        <w:rPr>
          <w:rFonts w:ascii="Arial Narrow" w:hAnsi="Arial Narrow"/>
          <w:snapToGrid w:val="0"/>
          <w:sz w:val="18"/>
          <w:szCs w:val="22"/>
        </w:rPr>
      </w:pPr>
      <w:r w:rsidRPr="000B52C6">
        <w:rPr>
          <w:rFonts w:ascii="Arial Narrow" w:hAnsi="Arial Narrow"/>
          <w:snapToGrid w:val="0"/>
          <w:sz w:val="18"/>
          <w:szCs w:val="22"/>
        </w:rPr>
        <w:t xml:space="preserve">Notes: </w:t>
      </w:r>
      <w:r w:rsidRPr="000B52C6">
        <w:rPr>
          <w:rFonts w:ascii="Arial Narrow" w:hAnsi="Arial Narrow"/>
          <w:b/>
          <w:bCs/>
          <w:snapToGrid w:val="0"/>
          <w:sz w:val="18"/>
          <w:szCs w:val="22"/>
        </w:rPr>
        <w:t xml:space="preserve">Bold </w:t>
      </w:r>
      <w:r w:rsidRPr="000B52C6">
        <w:rPr>
          <w:rFonts w:ascii="Arial Narrow" w:hAnsi="Arial Narrow"/>
          <w:snapToGrid w:val="0"/>
          <w:sz w:val="18"/>
          <w:szCs w:val="22"/>
        </w:rPr>
        <w:t>indicates a statistically significant difference.</w:t>
      </w:r>
    </w:p>
    <w:p w14:paraId="3E899216" w14:textId="77777777" w:rsidR="006B3342" w:rsidRPr="000B52C6" w:rsidRDefault="006B3342" w:rsidP="006B3342">
      <w:pPr>
        <w:keepNext/>
        <w:rPr>
          <w:rFonts w:ascii="Arial Narrow" w:hAnsi="Arial Narrow"/>
          <w:snapToGrid w:val="0"/>
          <w:sz w:val="18"/>
          <w:szCs w:val="22"/>
        </w:rPr>
      </w:pPr>
      <w:r w:rsidRPr="000B52C6">
        <w:rPr>
          <w:rFonts w:ascii="Arial Narrow" w:hAnsi="Arial Narrow"/>
          <w:snapToGrid w:val="0"/>
          <w:sz w:val="18"/>
          <w:szCs w:val="22"/>
        </w:rPr>
        <w:t>Progression-free survival is calculated from date of randomisation until the first date of IRC-confirmed PD per International Myeloma Working Group response criteria, or death due to any cause, whichever occurs first.</w:t>
      </w:r>
    </w:p>
    <w:p w14:paraId="3EB62019" w14:textId="77777777" w:rsidR="006B3342" w:rsidRPr="000B52C6" w:rsidRDefault="006B3342" w:rsidP="006B3342">
      <w:pPr>
        <w:pStyle w:val="TableFigureFooter"/>
        <w:keepNext/>
        <w:rPr>
          <w:rStyle w:val="CommentReference"/>
          <w:b w:val="0"/>
          <w:bCs/>
          <w:iCs/>
          <w:sz w:val="18"/>
          <w:szCs w:val="18"/>
        </w:rPr>
      </w:pPr>
      <w:r w:rsidRPr="000B52C6">
        <w:rPr>
          <w:rStyle w:val="CommentReference"/>
          <w:b w:val="0"/>
          <w:bCs/>
          <w:iCs/>
          <w:sz w:val="18"/>
          <w:szCs w:val="18"/>
          <w:shd w:val="clear" w:color="auto" w:fill="C6D9F1" w:themeFill="text2" w:themeFillTint="33"/>
        </w:rPr>
        <w:t>Blue shading</w:t>
      </w:r>
      <w:r w:rsidRPr="000B52C6">
        <w:rPr>
          <w:rStyle w:val="CommentReference"/>
          <w:b w:val="0"/>
          <w:bCs/>
          <w:iCs/>
          <w:sz w:val="18"/>
          <w:szCs w:val="18"/>
        </w:rPr>
        <w:t xml:space="preserve"> indicates data previously seen by the PBAC. </w:t>
      </w:r>
    </w:p>
    <w:p w14:paraId="6BFA2B35" w14:textId="77777777" w:rsidR="006B3342" w:rsidRPr="000B52C6" w:rsidRDefault="006B3342" w:rsidP="006B3342">
      <w:pPr>
        <w:pStyle w:val="TableFigureFooter"/>
        <w:keepNext/>
      </w:pPr>
      <w:r w:rsidRPr="000B52C6">
        <w:t>a. Stratified for prior proteasome inhibitor therapies, number of prior anti-MM regimens and R-ISS Stage at study entry.</w:t>
      </w:r>
    </w:p>
    <w:p w14:paraId="77587F12" w14:textId="77777777" w:rsidR="006B3342" w:rsidRPr="000B52C6" w:rsidRDefault="006B3342" w:rsidP="006B3342">
      <w:pPr>
        <w:pStyle w:val="TableFigureFooter"/>
        <w:keepNext/>
      </w:pPr>
      <w:r w:rsidRPr="000B52C6">
        <w:t xml:space="preserve">b. Based on stratified Cox Proportional Hazard model with </w:t>
      </w:r>
      <w:proofErr w:type="spellStart"/>
      <w:r w:rsidRPr="000B52C6">
        <w:t>Efron’s</w:t>
      </w:r>
      <w:proofErr w:type="spellEnd"/>
      <w:r w:rsidRPr="000B52C6">
        <w:t xml:space="preserve"> Method of handling ties.</w:t>
      </w:r>
    </w:p>
    <w:p w14:paraId="190FC842" w14:textId="77777777" w:rsidR="006B3342" w:rsidRPr="000B52C6" w:rsidRDefault="006B3342" w:rsidP="006B3342">
      <w:pPr>
        <w:pStyle w:val="TableFigureFooter"/>
      </w:pPr>
    </w:p>
    <w:p w14:paraId="0D82430D" w14:textId="3099D4E5" w:rsidR="006B3342" w:rsidRPr="000B52C6" w:rsidRDefault="006B3342" w:rsidP="006B3342">
      <w:pPr>
        <w:pStyle w:val="TableFigureFooter"/>
        <w:keepNext/>
        <w:rPr>
          <w:rStyle w:val="CommentReference"/>
          <w:bCs/>
          <w:szCs w:val="24"/>
        </w:rPr>
      </w:pPr>
      <w:bookmarkStart w:id="24" w:name="_Ref90369967"/>
      <w:r w:rsidRPr="000B52C6">
        <w:rPr>
          <w:rStyle w:val="CommentReference"/>
          <w:bCs/>
          <w:szCs w:val="24"/>
        </w:rPr>
        <w:t xml:space="preserve">Figure </w:t>
      </w:r>
      <w:r w:rsidRPr="000B52C6">
        <w:rPr>
          <w:rStyle w:val="CommentReference"/>
          <w:bCs/>
          <w:szCs w:val="24"/>
        </w:rPr>
        <w:fldChar w:fldCharType="begin"/>
      </w:r>
      <w:r w:rsidRPr="000B52C6">
        <w:rPr>
          <w:rStyle w:val="CommentReference"/>
          <w:bCs/>
          <w:szCs w:val="24"/>
        </w:rPr>
        <w:instrText xml:space="preserve"> SEQ Figure \* ARABIC </w:instrText>
      </w:r>
      <w:r w:rsidRPr="000B52C6">
        <w:rPr>
          <w:rStyle w:val="CommentReference"/>
          <w:bCs/>
          <w:szCs w:val="24"/>
        </w:rPr>
        <w:fldChar w:fldCharType="separate"/>
      </w:r>
      <w:r w:rsidR="00FF5725">
        <w:rPr>
          <w:rStyle w:val="CommentReference"/>
          <w:bCs/>
          <w:noProof/>
          <w:szCs w:val="24"/>
        </w:rPr>
        <w:t>1</w:t>
      </w:r>
      <w:r w:rsidRPr="000B52C6">
        <w:rPr>
          <w:rStyle w:val="CommentReference"/>
          <w:bCs/>
          <w:szCs w:val="24"/>
        </w:rPr>
        <w:fldChar w:fldCharType="end"/>
      </w:r>
      <w:bookmarkEnd w:id="24"/>
      <w:r w:rsidRPr="000B52C6">
        <w:rPr>
          <w:rStyle w:val="CommentReference"/>
          <w:bCs/>
          <w:szCs w:val="24"/>
        </w:rPr>
        <w:t>: Kaplan-Meier curve of PFS by treatment arm (ITT population)</w:t>
      </w:r>
    </w:p>
    <w:p w14:paraId="5953109B" w14:textId="77777777" w:rsidR="006B3342" w:rsidRPr="000B52C6" w:rsidRDefault="006B3342" w:rsidP="006B3342">
      <w:pPr>
        <w:pStyle w:val="TableFigureFooter"/>
        <w:keepNext/>
        <w:rPr>
          <w:rFonts w:eastAsia="Calibri"/>
        </w:rPr>
      </w:pPr>
      <w:r w:rsidRPr="000B52C6">
        <w:rPr>
          <w:noProof/>
        </w:rPr>
        <w:drawing>
          <wp:inline distT="0" distB="0" distL="0" distR="0" wp14:anchorId="43639EB5" wp14:editId="0F274683">
            <wp:extent cx="5732145" cy="2782808"/>
            <wp:effectExtent l="0" t="0" r="0" b="0"/>
            <wp:docPr id="8" name="Picture 8" descr="Figure 1: Kaplan-Meier curve of PFS by treatment arm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 Kaplan-Meier curve of PFS by treatment arm (ITT population)"/>
                    <pic:cNvPicPr/>
                  </pic:nvPicPr>
                  <pic:blipFill>
                    <a:blip r:embed="rId8"/>
                    <a:stretch>
                      <a:fillRect/>
                    </a:stretch>
                  </pic:blipFill>
                  <pic:spPr>
                    <a:xfrm>
                      <a:off x="0" y="0"/>
                      <a:ext cx="5732145" cy="2782808"/>
                    </a:xfrm>
                    <a:prstGeom prst="rect">
                      <a:avLst/>
                    </a:prstGeom>
                  </pic:spPr>
                </pic:pic>
              </a:graphicData>
            </a:graphic>
          </wp:inline>
        </w:drawing>
      </w:r>
    </w:p>
    <w:p w14:paraId="62B0DDB4" w14:textId="77777777" w:rsidR="006B3342" w:rsidRPr="000B52C6" w:rsidRDefault="006B3342" w:rsidP="006B3342">
      <w:pPr>
        <w:pStyle w:val="TableFigureFooter"/>
        <w:keepNext/>
      </w:pPr>
      <w:r w:rsidRPr="000B52C6">
        <w:t>Source: Figure 2-9, p93 of the resubmission.</w:t>
      </w:r>
    </w:p>
    <w:p w14:paraId="36362299" w14:textId="77777777" w:rsidR="006B3342" w:rsidRPr="000B52C6" w:rsidRDefault="006B3342" w:rsidP="006B3342">
      <w:pPr>
        <w:pStyle w:val="TableFigureFooter"/>
        <w:keepNext/>
      </w:pPr>
      <w:r w:rsidRPr="000B52C6">
        <w:t xml:space="preserve">Abbreviations: CI = confidence interval; HR = hazard ratio; ITT = intent to treat; IRC = independent review committee; PFS = progression free survival. </w:t>
      </w:r>
    </w:p>
    <w:p w14:paraId="55DA2A1D" w14:textId="77777777" w:rsidR="006B3342" w:rsidRPr="000B52C6" w:rsidRDefault="006B3342" w:rsidP="006B3342">
      <w:pPr>
        <w:pStyle w:val="TableFigureFooter"/>
        <w:keepNext/>
        <w:rPr>
          <w:iCs/>
        </w:rPr>
      </w:pPr>
      <w:r w:rsidRPr="000B52C6">
        <w:t xml:space="preserve">Notes: </w:t>
      </w:r>
      <w:r w:rsidRPr="000B52C6">
        <w:rPr>
          <w:iCs/>
        </w:rPr>
        <w:t xml:space="preserve">The abbreviation of </w:t>
      </w:r>
      <w:proofErr w:type="spellStart"/>
      <w:r w:rsidRPr="000B52C6">
        <w:rPr>
          <w:iCs/>
        </w:rPr>
        <w:t>SVd</w:t>
      </w:r>
      <w:proofErr w:type="spellEnd"/>
      <w:r w:rsidRPr="000B52C6">
        <w:rPr>
          <w:iCs/>
        </w:rPr>
        <w:t xml:space="preserve"> was referred to as </w:t>
      </w:r>
      <w:proofErr w:type="spellStart"/>
      <w:r w:rsidRPr="000B52C6">
        <w:rPr>
          <w:iCs/>
        </w:rPr>
        <w:t>SBd</w:t>
      </w:r>
      <w:proofErr w:type="spellEnd"/>
      <w:r w:rsidRPr="000B52C6">
        <w:rPr>
          <w:iCs/>
        </w:rPr>
        <w:t xml:space="preserve"> (</w:t>
      </w:r>
      <w:proofErr w:type="spellStart"/>
      <w:r w:rsidRPr="000B52C6">
        <w:rPr>
          <w:iCs/>
        </w:rPr>
        <w:t>selinexor</w:t>
      </w:r>
      <w:proofErr w:type="spellEnd"/>
      <w:r w:rsidRPr="000B52C6">
        <w:rPr>
          <w:iCs/>
        </w:rPr>
        <w:t xml:space="preserve">, bortezomib plus dexamethasone) in this commentary. </w:t>
      </w:r>
    </w:p>
    <w:p w14:paraId="2D8E6EE8" w14:textId="77777777" w:rsidR="006B3342" w:rsidRPr="000B52C6" w:rsidRDefault="006B3342" w:rsidP="006B3342">
      <w:pPr>
        <w:pStyle w:val="TableFigureFooter"/>
        <w:keepNext/>
        <w:rPr>
          <w:iCs/>
        </w:rPr>
      </w:pPr>
      <w:r w:rsidRPr="000B52C6">
        <w:rPr>
          <w:iCs/>
        </w:rPr>
        <w:t xml:space="preserve">The abbreviation of </w:t>
      </w:r>
      <w:proofErr w:type="spellStart"/>
      <w:r w:rsidRPr="000B52C6">
        <w:rPr>
          <w:iCs/>
        </w:rPr>
        <w:t>Vd</w:t>
      </w:r>
      <w:proofErr w:type="spellEnd"/>
      <w:r w:rsidRPr="000B52C6">
        <w:rPr>
          <w:iCs/>
        </w:rPr>
        <w:t xml:space="preserve"> was referred to as Bd (bortezomib plus dexamethasone) in this commentary. </w:t>
      </w:r>
    </w:p>
    <w:p w14:paraId="4C4181FD" w14:textId="1CA65F6D" w:rsidR="006B3342" w:rsidRPr="000B52C6" w:rsidRDefault="006B3342" w:rsidP="006B3342">
      <w:pPr>
        <w:pStyle w:val="3-BodyText"/>
        <w:ind w:left="720" w:hanging="720"/>
      </w:pPr>
      <w:r w:rsidRPr="000B52C6">
        <w:t xml:space="preserve">As of the February 2021 data cut-off date, at a median follow-up of 28.7 months, the Kaplan Meier estimate of median OS for patients in the </w:t>
      </w:r>
      <w:proofErr w:type="spellStart"/>
      <w:r w:rsidRPr="000B52C6">
        <w:t>SBd</w:t>
      </w:r>
      <w:proofErr w:type="spellEnd"/>
      <w:r w:rsidRPr="000B52C6">
        <w:t xml:space="preserve"> and Bd arms was 36.7 (95% CI: 30.19, NE) and 32.7 (95% CI: 27.83, NE) months respectively (see </w:t>
      </w:r>
      <w:r w:rsidRPr="000B52C6">
        <w:fldChar w:fldCharType="begin"/>
      </w:r>
      <w:r w:rsidRPr="000B52C6">
        <w:instrText xml:space="preserve"> REF </w:instrText>
      </w:r>
      <w:r w:rsidRPr="000B52C6">
        <w:lastRenderedPageBreak/>
        <w:instrText xml:space="preserve">_Ref90370017 \h  \* MERGEFORMAT </w:instrText>
      </w:r>
      <w:r w:rsidRPr="000B52C6">
        <w:fldChar w:fldCharType="separate"/>
      </w:r>
      <w:r w:rsidR="00FF5725" w:rsidRPr="000B52C6">
        <w:t xml:space="preserve">Table </w:t>
      </w:r>
      <w:r w:rsidR="00FF5725" w:rsidRPr="00FF5725">
        <w:t>6</w:t>
      </w:r>
      <w:r w:rsidRPr="000B52C6">
        <w:fldChar w:fldCharType="end"/>
      </w:r>
      <w:r w:rsidRPr="000B52C6">
        <w:t xml:space="preserve"> and </w:t>
      </w:r>
      <w:r w:rsidRPr="000B52C6">
        <w:fldChar w:fldCharType="begin"/>
      </w:r>
      <w:r w:rsidRPr="000B52C6">
        <w:instrText xml:space="preserve"> REF _Ref90370001 \h  \* MERGEFORMAT </w:instrText>
      </w:r>
      <w:r w:rsidRPr="000B52C6">
        <w:fldChar w:fldCharType="separate"/>
      </w:r>
      <w:r w:rsidR="00FF5725" w:rsidRPr="00FF5725">
        <w:t>Figure 2</w:t>
      </w:r>
      <w:r w:rsidRPr="000B52C6">
        <w:fldChar w:fldCharType="end"/>
      </w:r>
      <w:r w:rsidRPr="000B52C6">
        <w:t>).</w:t>
      </w:r>
    </w:p>
    <w:p w14:paraId="08249A3C" w14:textId="7711AED8" w:rsidR="006B3342" w:rsidRPr="000B52C6" w:rsidRDefault="006B3342" w:rsidP="006B3342">
      <w:pPr>
        <w:pStyle w:val="TableFigureHeading"/>
        <w:rPr>
          <w:bCs w:val="0"/>
        </w:rPr>
      </w:pPr>
      <w:bookmarkStart w:id="25" w:name="_Ref90370017"/>
      <w:r w:rsidRPr="000B52C6">
        <w:rPr>
          <w:bCs w:val="0"/>
        </w:rPr>
        <w:t xml:space="preserve">Table </w:t>
      </w:r>
      <w:r w:rsidRPr="000B52C6">
        <w:rPr>
          <w:bCs w:val="0"/>
        </w:rPr>
        <w:fldChar w:fldCharType="begin"/>
      </w:r>
      <w:r w:rsidRPr="000B52C6">
        <w:rPr>
          <w:bCs w:val="0"/>
        </w:rPr>
        <w:instrText xml:space="preserve"> SEQ Table \* ARABIC </w:instrText>
      </w:r>
      <w:r w:rsidRPr="000B52C6">
        <w:rPr>
          <w:bCs w:val="0"/>
        </w:rPr>
        <w:fldChar w:fldCharType="separate"/>
      </w:r>
      <w:r w:rsidR="00FF5725">
        <w:rPr>
          <w:bCs w:val="0"/>
          <w:noProof/>
        </w:rPr>
        <w:t>6</w:t>
      </w:r>
      <w:r w:rsidRPr="000B52C6">
        <w:rPr>
          <w:bCs w:val="0"/>
        </w:rPr>
        <w:fldChar w:fldCharType="end"/>
      </w:r>
      <w:bookmarkEnd w:id="25"/>
      <w:r w:rsidRPr="000B52C6">
        <w:rPr>
          <w:bCs w:val="0"/>
        </w:rPr>
        <w:t>: Overall survival by treatment arm (ITT population)</w:t>
      </w:r>
    </w:p>
    <w:tbl>
      <w:tblPr>
        <w:tblStyle w:val="TableGrid"/>
        <w:tblpPr w:leftFromText="180" w:rightFromText="180" w:vertAnchor="text" w:horzAnchor="margin" w:tblpY="12"/>
        <w:tblW w:w="0" w:type="auto"/>
        <w:tblLook w:val="04A0" w:firstRow="1" w:lastRow="0" w:firstColumn="1" w:lastColumn="0" w:noHBand="0" w:noVBand="1"/>
      </w:tblPr>
      <w:tblGrid>
        <w:gridCol w:w="2689"/>
        <w:gridCol w:w="1701"/>
        <w:gridCol w:w="1701"/>
        <w:gridCol w:w="1559"/>
        <w:gridCol w:w="1367"/>
      </w:tblGrid>
      <w:tr w:rsidR="006B3342" w:rsidRPr="000B52C6" w14:paraId="5E9757B9" w14:textId="77777777" w:rsidTr="005640E7">
        <w:trPr>
          <w:tblHeader/>
        </w:trPr>
        <w:tc>
          <w:tcPr>
            <w:tcW w:w="2689" w:type="dxa"/>
            <w:vMerge w:val="restart"/>
            <w:tcBorders>
              <w:top w:val="single" w:sz="4" w:space="0" w:color="auto"/>
              <w:left w:val="single" w:sz="4" w:space="0" w:color="auto"/>
              <w:right w:val="single" w:sz="4" w:space="0" w:color="auto"/>
            </w:tcBorders>
            <w:shd w:val="clear" w:color="auto" w:fill="C6D9F1" w:themeFill="text2" w:themeFillTint="33"/>
          </w:tcPr>
          <w:p w14:paraId="7F3DA2AB" w14:textId="77777777" w:rsidR="006B3342" w:rsidRPr="000B52C6" w:rsidRDefault="006B3342" w:rsidP="00513E25">
            <w:pPr>
              <w:pStyle w:val="In-tableHeading"/>
              <w:rPr>
                <w:lang w:val="en-AU"/>
              </w:rPr>
            </w:pPr>
            <w:r w:rsidRPr="000B52C6">
              <w:rPr>
                <w:lang w:val="en-AU"/>
              </w:rPr>
              <w:t>Patients with events, n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968722" w14:textId="77777777" w:rsidR="006B3342" w:rsidRPr="000B52C6" w:rsidRDefault="006B3342" w:rsidP="00513E25">
            <w:pPr>
              <w:pStyle w:val="In-tableHeading"/>
              <w:keepNext w:val="0"/>
              <w:widowControl w:val="0"/>
              <w:jc w:val="center"/>
              <w:rPr>
                <w:lang w:val="en-AU"/>
              </w:rPr>
            </w:pPr>
            <w:r w:rsidRPr="000B52C6">
              <w:rPr>
                <w:lang w:val="en-AU"/>
              </w:rPr>
              <w:t>BOSTON</w:t>
            </w:r>
          </w:p>
          <w:p w14:paraId="7BCB1DDB" w14:textId="77777777" w:rsidR="006B3342" w:rsidRPr="000B52C6" w:rsidRDefault="006B3342" w:rsidP="00513E25">
            <w:pPr>
              <w:pStyle w:val="In-tableHeading"/>
              <w:jc w:val="center"/>
              <w:rPr>
                <w:lang w:val="en-AU"/>
              </w:rPr>
            </w:pPr>
            <w:r w:rsidRPr="000B52C6">
              <w:rPr>
                <w:lang w:val="en-AU"/>
              </w:rPr>
              <w:t>(original data cut-off Feb 2020)</w:t>
            </w:r>
          </w:p>
        </w:tc>
        <w:tc>
          <w:tcPr>
            <w:tcW w:w="2926" w:type="dxa"/>
            <w:gridSpan w:val="2"/>
            <w:tcBorders>
              <w:top w:val="single" w:sz="4" w:space="0" w:color="auto"/>
              <w:left w:val="single" w:sz="4" w:space="0" w:color="auto"/>
              <w:bottom w:val="single" w:sz="4" w:space="0" w:color="auto"/>
              <w:right w:val="single" w:sz="4" w:space="0" w:color="auto"/>
            </w:tcBorders>
          </w:tcPr>
          <w:p w14:paraId="3A455A2A" w14:textId="77777777" w:rsidR="006B3342" w:rsidRPr="000B52C6" w:rsidRDefault="006B3342" w:rsidP="00513E25">
            <w:pPr>
              <w:pStyle w:val="In-tableHeading"/>
              <w:keepNext w:val="0"/>
              <w:widowControl w:val="0"/>
              <w:jc w:val="center"/>
              <w:rPr>
                <w:lang w:val="en-AU"/>
              </w:rPr>
            </w:pPr>
            <w:r w:rsidRPr="000B52C6">
              <w:rPr>
                <w:lang w:val="en-AU"/>
              </w:rPr>
              <w:t>BOSTON</w:t>
            </w:r>
          </w:p>
          <w:p w14:paraId="11A0BDA0" w14:textId="77777777" w:rsidR="006B3342" w:rsidRPr="000B52C6" w:rsidRDefault="006B3342" w:rsidP="00513E25">
            <w:pPr>
              <w:pStyle w:val="In-tableHeading"/>
              <w:jc w:val="center"/>
              <w:rPr>
                <w:lang w:val="en-AU"/>
              </w:rPr>
            </w:pPr>
            <w:r w:rsidRPr="000B52C6">
              <w:rPr>
                <w:lang w:val="en-AU"/>
              </w:rPr>
              <w:t>(updated data cut-off Feb 2021)</w:t>
            </w:r>
          </w:p>
        </w:tc>
      </w:tr>
      <w:tr w:rsidR="006B3342" w:rsidRPr="000B52C6" w14:paraId="1D5C3518" w14:textId="77777777" w:rsidTr="005640E7">
        <w:trPr>
          <w:tblHeader/>
        </w:trPr>
        <w:tc>
          <w:tcPr>
            <w:tcW w:w="2689" w:type="dxa"/>
            <w:vMerge/>
            <w:tcBorders>
              <w:left w:val="single" w:sz="4" w:space="0" w:color="auto"/>
              <w:bottom w:val="single" w:sz="4" w:space="0" w:color="auto"/>
              <w:right w:val="single" w:sz="4" w:space="0" w:color="auto"/>
            </w:tcBorders>
            <w:shd w:val="clear" w:color="auto" w:fill="C6D9F1" w:themeFill="text2" w:themeFillTint="33"/>
            <w:hideMark/>
          </w:tcPr>
          <w:p w14:paraId="6F0D41AD" w14:textId="77777777" w:rsidR="006B3342" w:rsidRPr="000B52C6" w:rsidRDefault="006B3342" w:rsidP="00513E25">
            <w:pPr>
              <w:pStyle w:val="In-tableHeading"/>
              <w:rPr>
                <w:lang w:val="en-AU"/>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A9D7225" w14:textId="77777777" w:rsidR="006B3342" w:rsidRPr="000B52C6" w:rsidRDefault="006B3342" w:rsidP="00513E25">
            <w:pPr>
              <w:pStyle w:val="In-tableHeading"/>
              <w:jc w:val="center"/>
              <w:rPr>
                <w:lang w:val="en-AU"/>
              </w:rPr>
            </w:pPr>
            <w:proofErr w:type="spellStart"/>
            <w:r w:rsidRPr="000B52C6">
              <w:rPr>
                <w:lang w:val="en-AU"/>
              </w:rPr>
              <w:t>SBd</w:t>
            </w:r>
            <w:proofErr w:type="spellEnd"/>
            <w:r w:rsidRPr="000B52C6">
              <w:rPr>
                <w:lang w:val="en-AU"/>
              </w:rPr>
              <w:t xml:space="preserve"> arm </w:t>
            </w:r>
          </w:p>
          <w:p w14:paraId="3530EFA7" w14:textId="77777777" w:rsidR="006B3342" w:rsidRPr="000B52C6" w:rsidRDefault="006B3342" w:rsidP="00513E25">
            <w:pPr>
              <w:pStyle w:val="In-tableHeading"/>
              <w:jc w:val="center"/>
              <w:rPr>
                <w:lang w:val="en-AU"/>
              </w:rPr>
            </w:pPr>
            <w:r w:rsidRPr="000B52C6">
              <w:rPr>
                <w:lang w:val="en-AU"/>
              </w:rPr>
              <w:t>(N=195)</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16696F6" w14:textId="77777777" w:rsidR="006B3342" w:rsidRPr="000B52C6" w:rsidRDefault="006B3342" w:rsidP="00513E25">
            <w:pPr>
              <w:pStyle w:val="In-tableHeading"/>
              <w:jc w:val="center"/>
              <w:rPr>
                <w:lang w:val="en-AU"/>
              </w:rPr>
            </w:pPr>
            <w:r w:rsidRPr="000B52C6">
              <w:rPr>
                <w:lang w:val="en-AU"/>
              </w:rPr>
              <w:t xml:space="preserve">Bd arm </w:t>
            </w:r>
          </w:p>
          <w:p w14:paraId="47BA252C" w14:textId="77777777" w:rsidR="006B3342" w:rsidRPr="000B52C6" w:rsidRDefault="006B3342" w:rsidP="00513E25">
            <w:pPr>
              <w:pStyle w:val="In-tableHeading"/>
              <w:jc w:val="center"/>
              <w:rPr>
                <w:lang w:val="en-AU"/>
              </w:rPr>
            </w:pPr>
            <w:r w:rsidRPr="000B52C6">
              <w:rPr>
                <w:lang w:val="en-AU"/>
              </w:rPr>
              <w:t>(N=207)</w:t>
            </w:r>
          </w:p>
        </w:tc>
        <w:tc>
          <w:tcPr>
            <w:tcW w:w="1559" w:type="dxa"/>
            <w:tcBorders>
              <w:top w:val="single" w:sz="4" w:space="0" w:color="auto"/>
              <w:left w:val="single" w:sz="4" w:space="0" w:color="auto"/>
              <w:bottom w:val="single" w:sz="4" w:space="0" w:color="auto"/>
              <w:right w:val="single" w:sz="4" w:space="0" w:color="auto"/>
            </w:tcBorders>
            <w:vAlign w:val="center"/>
          </w:tcPr>
          <w:p w14:paraId="4B30DF9A" w14:textId="77777777" w:rsidR="006B3342" w:rsidRPr="000B52C6" w:rsidRDefault="006B3342" w:rsidP="00513E25">
            <w:pPr>
              <w:pStyle w:val="In-tableHeading"/>
              <w:jc w:val="center"/>
              <w:rPr>
                <w:lang w:val="en-AU"/>
              </w:rPr>
            </w:pPr>
            <w:proofErr w:type="spellStart"/>
            <w:r w:rsidRPr="000B52C6">
              <w:rPr>
                <w:lang w:val="en-AU"/>
              </w:rPr>
              <w:t>SBd</w:t>
            </w:r>
            <w:proofErr w:type="spellEnd"/>
            <w:r w:rsidRPr="000B52C6">
              <w:rPr>
                <w:lang w:val="en-AU"/>
              </w:rPr>
              <w:t xml:space="preserve"> arm</w:t>
            </w:r>
          </w:p>
          <w:p w14:paraId="2CFEEFE3" w14:textId="77777777" w:rsidR="006B3342" w:rsidRPr="000B52C6" w:rsidRDefault="006B3342" w:rsidP="00513E25">
            <w:pPr>
              <w:pStyle w:val="TableText0"/>
              <w:jc w:val="center"/>
              <w:rPr>
                <w:b/>
                <w:bCs w:val="0"/>
              </w:rPr>
            </w:pPr>
            <w:r w:rsidRPr="000B52C6">
              <w:rPr>
                <w:b/>
                <w:bCs w:val="0"/>
              </w:rPr>
              <w:t>(N=195)</w:t>
            </w:r>
          </w:p>
        </w:tc>
        <w:tc>
          <w:tcPr>
            <w:tcW w:w="1367" w:type="dxa"/>
            <w:tcBorders>
              <w:top w:val="single" w:sz="4" w:space="0" w:color="auto"/>
              <w:left w:val="single" w:sz="4" w:space="0" w:color="auto"/>
              <w:bottom w:val="single" w:sz="4" w:space="0" w:color="auto"/>
              <w:right w:val="single" w:sz="4" w:space="0" w:color="auto"/>
            </w:tcBorders>
            <w:vAlign w:val="center"/>
          </w:tcPr>
          <w:p w14:paraId="4B45A23E" w14:textId="77777777" w:rsidR="006B3342" w:rsidRPr="000B52C6" w:rsidRDefault="006B3342" w:rsidP="00513E25">
            <w:pPr>
              <w:pStyle w:val="In-tableHeading"/>
              <w:jc w:val="center"/>
              <w:rPr>
                <w:lang w:val="en-AU"/>
              </w:rPr>
            </w:pPr>
            <w:r w:rsidRPr="000B52C6">
              <w:rPr>
                <w:lang w:val="en-AU"/>
              </w:rPr>
              <w:t>Bd arm</w:t>
            </w:r>
          </w:p>
          <w:p w14:paraId="496E0901" w14:textId="77777777" w:rsidR="006B3342" w:rsidRPr="000B52C6" w:rsidRDefault="006B3342" w:rsidP="00513E25">
            <w:pPr>
              <w:pStyle w:val="TableText0"/>
              <w:jc w:val="center"/>
              <w:rPr>
                <w:b/>
                <w:bCs w:val="0"/>
              </w:rPr>
            </w:pPr>
            <w:r w:rsidRPr="000B52C6">
              <w:rPr>
                <w:b/>
                <w:bCs w:val="0"/>
              </w:rPr>
              <w:t>(N=207)</w:t>
            </w:r>
          </w:p>
        </w:tc>
      </w:tr>
      <w:tr w:rsidR="006B3342" w:rsidRPr="000B52C6" w14:paraId="0E3F4986" w14:textId="77777777" w:rsidTr="005640E7">
        <w:tc>
          <w:tcPr>
            <w:tcW w:w="26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56DA95D" w14:textId="77777777" w:rsidR="006B3342" w:rsidRPr="000B52C6" w:rsidRDefault="006B3342" w:rsidP="005640E7">
            <w:pPr>
              <w:pStyle w:val="TableRight"/>
              <w:jc w:val="left"/>
            </w:pPr>
            <w:r w:rsidRPr="000B52C6">
              <w:t>Death</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075837" w14:textId="77777777" w:rsidR="006B3342" w:rsidRPr="000B52C6" w:rsidRDefault="006B3342" w:rsidP="00513E25">
            <w:pPr>
              <w:pStyle w:val="TableRight"/>
              <w:jc w:val="center"/>
            </w:pPr>
            <w:r w:rsidRPr="000B52C6">
              <w:t>47 (24.1)</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CFDA2C" w14:textId="77777777" w:rsidR="006B3342" w:rsidRPr="000B52C6" w:rsidRDefault="006B3342" w:rsidP="00513E25">
            <w:pPr>
              <w:pStyle w:val="TableText0"/>
              <w:jc w:val="center"/>
            </w:pPr>
            <w:r w:rsidRPr="000B52C6">
              <w:t>62 (30.0)</w:t>
            </w:r>
          </w:p>
        </w:tc>
        <w:tc>
          <w:tcPr>
            <w:tcW w:w="1559" w:type="dxa"/>
            <w:tcBorders>
              <w:top w:val="single" w:sz="4" w:space="0" w:color="auto"/>
              <w:left w:val="single" w:sz="4" w:space="0" w:color="auto"/>
              <w:bottom w:val="single" w:sz="4" w:space="0" w:color="auto"/>
              <w:right w:val="single" w:sz="4" w:space="0" w:color="auto"/>
            </w:tcBorders>
            <w:vAlign w:val="center"/>
          </w:tcPr>
          <w:p w14:paraId="47F1998F" w14:textId="77777777" w:rsidR="006B3342" w:rsidRPr="000B52C6" w:rsidRDefault="006B3342" w:rsidP="00513E25">
            <w:pPr>
              <w:pStyle w:val="TableText0"/>
              <w:jc w:val="center"/>
            </w:pPr>
            <w:r w:rsidRPr="000B52C6">
              <w:t>68 (34.9)</w:t>
            </w:r>
          </w:p>
        </w:tc>
        <w:tc>
          <w:tcPr>
            <w:tcW w:w="1367" w:type="dxa"/>
            <w:tcBorders>
              <w:top w:val="single" w:sz="4" w:space="0" w:color="auto"/>
              <w:left w:val="single" w:sz="4" w:space="0" w:color="auto"/>
              <w:bottom w:val="single" w:sz="4" w:space="0" w:color="auto"/>
              <w:right w:val="single" w:sz="4" w:space="0" w:color="auto"/>
            </w:tcBorders>
            <w:vAlign w:val="center"/>
          </w:tcPr>
          <w:p w14:paraId="1A9CD90B" w14:textId="77777777" w:rsidR="006B3342" w:rsidRPr="000B52C6" w:rsidRDefault="006B3342" w:rsidP="00513E25">
            <w:pPr>
              <w:pStyle w:val="TableText0"/>
              <w:jc w:val="center"/>
            </w:pPr>
            <w:r w:rsidRPr="000B52C6">
              <w:t>80 (38.6)</w:t>
            </w:r>
          </w:p>
        </w:tc>
      </w:tr>
      <w:tr w:rsidR="006B3342" w:rsidRPr="000B52C6" w14:paraId="06E0D9D3" w14:textId="77777777" w:rsidTr="005640E7">
        <w:tc>
          <w:tcPr>
            <w:tcW w:w="26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F45AF2" w14:textId="77777777" w:rsidR="006B3342" w:rsidRPr="000B52C6" w:rsidRDefault="006B3342" w:rsidP="00513E25">
            <w:pPr>
              <w:pStyle w:val="TableText0"/>
            </w:pPr>
            <w:r w:rsidRPr="000B52C6">
              <w:t>Patients Censored, n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551B168" w14:textId="77777777" w:rsidR="006B3342" w:rsidRPr="000B52C6" w:rsidRDefault="006B3342" w:rsidP="00513E25">
            <w:pPr>
              <w:pStyle w:val="TableText0"/>
              <w:jc w:val="center"/>
            </w:pPr>
            <w:r w:rsidRPr="000B52C6">
              <w:t>148 (75.9)</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0FC52A" w14:textId="77777777" w:rsidR="006B3342" w:rsidRPr="000B52C6" w:rsidRDefault="006B3342" w:rsidP="00513E25">
            <w:pPr>
              <w:pStyle w:val="TableText0"/>
              <w:jc w:val="center"/>
            </w:pPr>
            <w:r w:rsidRPr="000B52C6">
              <w:t>145 (70.0)</w:t>
            </w:r>
          </w:p>
        </w:tc>
        <w:tc>
          <w:tcPr>
            <w:tcW w:w="1559" w:type="dxa"/>
            <w:tcBorders>
              <w:top w:val="single" w:sz="4" w:space="0" w:color="auto"/>
              <w:left w:val="single" w:sz="4" w:space="0" w:color="auto"/>
              <w:bottom w:val="single" w:sz="4" w:space="0" w:color="auto"/>
              <w:right w:val="single" w:sz="4" w:space="0" w:color="auto"/>
            </w:tcBorders>
            <w:vAlign w:val="center"/>
          </w:tcPr>
          <w:p w14:paraId="6A0BA2B0" w14:textId="77777777" w:rsidR="006B3342" w:rsidRPr="000B52C6" w:rsidRDefault="006B3342" w:rsidP="00513E25">
            <w:pPr>
              <w:pStyle w:val="TableText0"/>
              <w:jc w:val="center"/>
            </w:pPr>
            <w:r w:rsidRPr="000B52C6">
              <w:t>127 (65.1)</w:t>
            </w:r>
          </w:p>
        </w:tc>
        <w:tc>
          <w:tcPr>
            <w:tcW w:w="1367" w:type="dxa"/>
            <w:tcBorders>
              <w:top w:val="single" w:sz="4" w:space="0" w:color="auto"/>
              <w:left w:val="single" w:sz="4" w:space="0" w:color="auto"/>
              <w:bottom w:val="single" w:sz="4" w:space="0" w:color="auto"/>
              <w:right w:val="single" w:sz="4" w:space="0" w:color="auto"/>
            </w:tcBorders>
            <w:vAlign w:val="center"/>
          </w:tcPr>
          <w:p w14:paraId="5B6D303F" w14:textId="77777777" w:rsidR="006B3342" w:rsidRPr="000B52C6" w:rsidRDefault="006B3342" w:rsidP="00513E25">
            <w:pPr>
              <w:pStyle w:val="TableText0"/>
              <w:jc w:val="center"/>
            </w:pPr>
            <w:r w:rsidRPr="000B52C6">
              <w:t>127 (61.4)</w:t>
            </w:r>
          </w:p>
        </w:tc>
      </w:tr>
      <w:tr w:rsidR="006B3342" w:rsidRPr="000B52C6" w14:paraId="018D45F7" w14:textId="77777777" w:rsidTr="005640E7">
        <w:tc>
          <w:tcPr>
            <w:tcW w:w="26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112D92" w14:textId="77777777" w:rsidR="006B3342" w:rsidRPr="000B52C6" w:rsidRDefault="006B3342" w:rsidP="00513E25">
            <w:pPr>
              <w:pStyle w:val="TableText0"/>
            </w:pPr>
            <w:r w:rsidRPr="000B52C6">
              <w:t>Median Follow-up Time (Months), 95% CI</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0E2389" w14:textId="77777777" w:rsidR="006B3342" w:rsidRPr="000B52C6" w:rsidRDefault="006B3342" w:rsidP="00513E25">
            <w:pPr>
              <w:pStyle w:val="TableText0"/>
              <w:jc w:val="center"/>
            </w:pPr>
            <w:r w:rsidRPr="000B52C6">
              <w:t>17.28</w:t>
            </w:r>
          </w:p>
          <w:p w14:paraId="02763563" w14:textId="77777777" w:rsidR="006B3342" w:rsidRPr="000B52C6" w:rsidRDefault="006B3342" w:rsidP="00513E25">
            <w:pPr>
              <w:pStyle w:val="TableText0"/>
              <w:jc w:val="center"/>
            </w:pPr>
            <w:r w:rsidRPr="000B52C6">
              <w:t>(16.56, 18.27)</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EAB8B0" w14:textId="77777777" w:rsidR="006B3342" w:rsidRPr="000B52C6" w:rsidRDefault="006B3342" w:rsidP="00513E25">
            <w:pPr>
              <w:pStyle w:val="TableText0"/>
              <w:jc w:val="center"/>
            </w:pPr>
            <w:r w:rsidRPr="000B52C6">
              <w:t>17.51</w:t>
            </w:r>
          </w:p>
          <w:p w14:paraId="46BBE160" w14:textId="77777777" w:rsidR="006B3342" w:rsidRPr="000B52C6" w:rsidRDefault="006B3342" w:rsidP="00513E25">
            <w:pPr>
              <w:pStyle w:val="TableText0"/>
              <w:jc w:val="center"/>
            </w:pPr>
            <w:r w:rsidRPr="000B52C6">
              <w:t>(17.08, 18.23)</w:t>
            </w:r>
          </w:p>
        </w:tc>
        <w:tc>
          <w:tcPr>
            <w:tcW w:w="1559" w:type="dxa"/>
            <w:tcBorders>
              <w:top w:val="single" w:sz="4" w:space="0" w:color="auto"/>
              <w:left w:val="single" w:sz="4" w:space="0" w:color="auto"/>
              <w:bottom w:val="single" w:sz="4" w:space="0" w:color="auto"/>
              <w:right w:val="single" w:sz="4" w:space="0" w:color="auto"/>
            </w:tcBorders>
            <w:vAlign w:val="center"/>
          </w:tcPr>
          <w:p w14:paraId="30C1FB81" w14:textId="77777777" w:rsidR="006B3342" w:rsidRPr="000B52C6" w:rsidRDefault="006B3342" w:rsidP="00513E25">
            <w:pPr>
              <w:pStyle w:val="TableText0"/>
              <w:jc w:val="center"/>
            </w:pPr>
            <w:r w:rsidRPr="000B52C6">
              <w:t>28.71</w:t>
            </w:r>
          </w:p>
          <w:p w14:paraId="1CDA540A" w14:textId="77777777" w:rsidR="006B3342" w:rsidRPr="000B52C6" w:rsidRDefault="006B3342" w:rsidP="00513E25">
            <w:pPr>
              <w:pStyle w:val="TableText0"/>
              <w:jc w:val="center"/>
            </w:pPr>
            <w:r w:rsidRPr="000B52C6">
              <w:t>(27.24, 29.90)</w:t>
            </w:r>
          </w:p>
        </w:tc>
        <w:tc>
          <w:tcPr>
            <w:tcW w:w="1367" w:type="dxa"/>
            <w:tcBorders>
              <w:top w:val="single" w:sz="4" w:space="0" w:color="auto"/>
              <w:left w:val="single" w:sz="4" w:space="0" w:color="auto"/>
              <w:bottom w:val="single" w:sz="4" w:space="0" w:color="auto"/>
              <w:right w:val="single" w:sz="4" w:space="0" w:color="auto"/>
            </w:tcBorders>
            <w:vAlign w:val="center"/>
          </w:tcPr>
          <w:p w14:paraId="7ED6C4BE" w14:textId="77777777" w:rsidR="006B3342" w:rsidRPr="000B52C6" w:rsidRDefault="006B3342" w:rsidP="00513E25">
            <w:pPr>
              <w:pStyle w:val="TableText0"/>
              <w:jc w:val="center"/>
            </w:pPr>
            <w:r w:rsidRPr="000B52C6">
              <w:t>28.65</w:t>
            </w:r>
          </w:p>
          <w:p w14:paraId="1046A74F" w14:textId="77777777" w:rsidR="006B3342" w:rsidRPr="000B52C6" w:rsidRDefault="006B3342" w:rsidP="00513E25">
            <w:pPr>
              <w:pStyle w:val="TableText0"/>
              <w:jc w:val="center"/>
            </w:pPr>
            <w:r w:rsidRPr="000B52C6">
              <w:t>(27.63, 29.67)</w:t>
            </w:r>
          </w:p>
        </w:tc>
      </w:tr>
      <w:tr w:rsidR="006B3342" w:rsidRPr="000B52C6" w14:paraId="0257A668" w14:textId="77777777" w:rsidTr="005640E7">
        <w:tc>
          <w:tcPr>
            <w:tcW w:w="609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3C1B40D" w14:textId="77777777" w:rsidR="006B3342" w:rsidRPr="000B52C6" w:rsidRDefault="006B3342" w:rsidP="00513E25">
            <w:pPr>
              <w:pStyle w:val="TableText0"/>
            </w:pPr>
            <w:r w:rsidRPr="000B52C6">
              <w:t>Overall Survival (Months)</w:t>
            </w:r>
          </w:p>
        </w:tc>
        <w:tc>
          <w:tcPr>
            <w:tcW w:w="29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52DB7" w14:textId="77777777" w:rsidR="006B3342" w:rsidRPr="000B52C6" w:rsidRDefault="006B3342" w:rsidP="00513E25">
            <w:pPr>
              <w:pStyle w:val="TableText0"/>
            </w:pPr>
          </w:p>
        </w:tc>
      </w:tr>
      <w:tr w:rsidR="006B3342" w:rsidRPr="000B52C6" w14:paraId="4E17B798" w14:textId="77777777" w:rsidTr="005640E7">
        <w:tc>
          <w:tcPr>
            <w:tcW w:w="26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978233" w14:textId="77777777" w:rsidR="006B3342" w:rsidRPr="000B52C6" w:rsidRDefault="006B3342" w:rsidP="00513E25">
            <w:pPr>
              <w:pStyle w:val="TableText0"/>
            </w:pPr>
            <w:r w:rsidRPr="000B52C6">
              <w:t>Median, 95% CI</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6AD4FF" w14:textId="77777777" w:rsidR="006B3342" w:rsidRPr="000B52C6" w:rsidRDefault="006B3342" w:rsidP="00513E25">
            <w:pPr>
              <w:pStyle w:val="TableText0"/>
              <w:jc w:val="center"/>
            </w:pPr>
            <w:r w:rsidRPr="000B52C6">
              <w:t>NE</w:t>
            </w:r>
          </w:p>
          <w:p w14:paraId="3F79E56C" w14:textId="77777777" w:rsidR="006B3342" w:rsidRPr="000B52C6" w:rsidRDefault="006B3342" w:rsidP="00513E25">
            <w:pPr>
              <w:pStyle w:val="TableText0"/>
              <w:jc w:val="center"/>
            </w:pPr>
            <w:r w:rsidRPr="000B52C6">
              <w:t>(NE, NE)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632F35" w14:textId="77777777" w:rsidR="006B3342" w:rsidRPr="000B52C6" w:rsidRDefault="006B3342" w:rsidP="00513E25">
            <w:pPr>
              <w:pStyle w:val="TableText0"/>
              <w:jc w:val="center"/>
            </w:pPr>
            <w:r w:rsidRPr="000B52C6">
              <w:t>24.97</w:t>
            </w:r>
          </w:p>
          <w:p w14:paraId="7216EF53" w14:textId="77777777" w:rsidR="006B3342" w:rsidRPr="000B52C6" w:rsidRDefault="006B3342" w:rsidP="00513E25">
            <w:pPr>
              <w:pStyle w:val="TableText0"/>
              <w:jc w:val="center"/>
            </w:pPr>
            <w:r w:rsidRPr="000B52C6">
              <w:t>(23.49, 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E832A5" w14:textId="77777777" w:rsidR="006B3342" w:rsidRPr="000B52C6" w:rsidRDefault="006B3342" w:rsidP="00513E25">
            <w:pPr>
              <w:pStyle w:val="TableText0"/>
              <w:jc w:val="center"/>
            </w:pPr>
            <w:r w:rsidRPr="000B52C6">
              <w:t>36.7</w:t>
            </w:r>
          </w:p>
          <w:p w14:paraId="0AEBC893" w14:textId="77777777" w:rsidR="006B3342" w:rsidRPr="000B52C6" w:rsidRDefault="006B3342" w:rsidP="00513E25">
            <w:pPr>
              <w:pStyle w:val="TableText0"/>
              <w:jc w:val="center"/>
            </w:pPr>
            <w:r w:rsidRPr="000B52C6">
              <w:t>(30.19, NE)</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127A60C8" w14:textId="77777777" w:rsidR="006B3342" w:rsidRPr="000B52C6" w:rsidRDefault="006B3342" w:rsidP="00513E25">
            <w:pPr>
              <w:pStyle w:val="TableText0"/>
              <w:jc w:val="center"/>
            </w:pPr>
            <w:r w:rsidRPr="000B52C6">
              <w:t>32.7</w:t>
            </w:r>
          </w:p>
          <w:p w14:paraId="7BDFA707" w14:textId="77777777" w:rsidR="006B3342" w:rsidRPr="000B52C6" w:rsidRDefault="006B3342" w:rsidP="00513E25">
            <w:pPr>
              <w:pStyle w:val="TableText0"/>
              <w:jc w:val="center"/>
            </w:pPr>
            <w:r w:rsidRPr="000B52C6">
              <w:t>(27.83, NE)</w:t>
            </w:r>
          </w:p>
        </w:tc>
      </w:tr>
      <w:tr w:rsidR="006B3342" w:rsidRPr="000B52C6" w14:paraId="324BD3D1" w14:textId="77777777" w:rsidTr="005640E7">
        <w:tc>
          <w:tcPr>
            <w:tcW w:w="6091"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EB2C63" w14:textId="77777777" w:rsidR="006B3342" w:rsidRPr="000B52C6" w:rsidRDefault="006B3342" w:rsidP="00513E25">
            <w:pPr>
              <w:pStyle w:val="TableText0"/>
            </w:pPr>
            <w:r w:rsidRPr="000B52C6">
              <w:t xml:space="preserve">Stratified log-rank </w:t>
            </w:r>
            <w:proofErr w:type="spellStart"/>
            <w:r w:rsidRPr="000B52C6">
              <w:t>test</w:t>
            </w:r>
            <w:r w:rsidRPr="000B52C6">
              <w:rPr>
                <w:vertAlign w:val="superscript"/>
              </w:rPr>
              <w:t>a</w:t>
            </w:r>
            <w:proofErr w:type="spellEnd"/>
          </w:p>
        </w:tc>
        <w:tc>
          <w:tcPr>
            <w:tcW w:w="29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2E0EE" w14:textId="77777777" w:rsidR="006B3342" w:rsidRPr="000B52C6" w:rsidRDefault="006B3342" w:rsidP="00513E25">
            <w:pPr>
              <w:pStyle w:val="TableText0"/>
            </w:pPr>
          </w:p>
        </w:tc>
      </w:tr>
      <w:tr w:rsidR="006B3342" w:rsidRPr="000B52C6" w14:paraId="6F0B9761" w14:textId="77777777" w:rsidTr="005640E7">
        <w:tc>
          <w:tcPr>
            <w:tcW w:w="26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09CC19" w14:textId="77777777" w:rsidR="006B3342" w:rsidRPr="000B52C6" w:rsidRDefault="006B3342" w:rsidP="00513E25">
            <w:pPr>
              <w:pStyle w:val="TableText0"/>
            </w:pPr>
            <w:r w:rsidRPr="000B52C6">
              <w:t>One Sided P-value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E7A662" w14:textId="77777777" w:rsidR="006B3342" w:rsidRPr="000B52C6" w:rsidRDefault="006B3342" w:rsidP="00513E25">
            <w:pPr>
              <w:pStyle w:val="TableText0"/>
              <w:jc w:val="center"/>
            </w:pPr>
            <w:r w:rsidRPr="000B52C6">
              <w:t>0.1852</w:t>
            </w:r>
          </w:p>
        </w:tc>
        <w:tc>
          <w:tcPr>
            <w:tcW w:w="29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6EC80" w14:textId="77777777" w:rsidR="006B3342" w:rsidRPr="000B52C6" w:rsidRDefault="006B3342" w:rsidP="00513E25">
            <w:pPr>
              <w:pStyle w:val="TableText0"/>
              <w:jc w:val="center"/>
            </w:pPr>
            <w:r w:rsidRPr="000B52C6">
              <w:t>0.2152</w:t>
            </w:r>
          </w:p>
        </w:tc>
      </w:tr>
      <w:tr w:rsidR="006B3342" w:rsidRPr="000B52C6" w14:paraId="36E2A943" w14:textId="77777777" w:rsidTr="005640E7">
        <w:tc>
          <w:tcPr>
            <w:tcW w:w="26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BB5CE0" w14:textId="77777777" w:rsidR="006B3342" w:rsidRPr="000B52C6" w:rsidRDefault="006B3342" w:rsidP="00513E25">
            <w:pPr>
              <w:pStyle w:val="TableText0"/>
            </w:pPr>
            <w:r w:rsidRPr="000B52C6">
              <w:t xml:space="preserve">Hazard Ratio </w:t>
            </w:r>
            <w:proofErr w:type="spellStart"/>
            <w:proofErr w:type="gramStart"/>
            <w:r w:rsidRPr="000B52C6">
              <w:rPr>
                <w:vertAlign w:val="superscript"/>
              </w:rPr>
              <w:t>a,b</w:t>
            </w:r>
            <w:proofErr w:type="spellEnd"/>
            <w:proofErr w:type="gramEnd"/>
          </w:p>
        </w:tc>
        <w:tc>
          <w:tcPr>
            <w:tcW w:w="340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E6C1EF" w14:textId="77777777" w:rsidR="006B3342" w:rsidRPr="000B52C6" w:rsidRDefault="006B3342" w:rsidP="00513E25">
            <w:pPr>
              <w:pStyle w:val="TableText0"/>
              <w:jc w:val="center"/>
            </w:pPr>
            <w:r w:rsidRPr="000B52C6">
              <w:t>0.84</w:t>
            </w:r>
          </w:p>
        </w:tc>
        <w:tc>
          <w:tcPr>
            <w:tcW w:w="29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ACF61" w14:textId="77777777" w:rsidR="006B3342" w:rsidRPr="000B52C6" w:rsidRDefault="006B3342" w:rsidP="00513E25">
            <w:pPr>
              <w:pStyle w:val="TableText0"/>
              <w:jc w:val="center"/>
            </w:pPr>
            <w:r w:rsidRPr="000B52C6">
              <w:t>0.88</w:t>
            </w:r>
          </w:p>
        </w:tc>
      </w:tr>
      <w:tr w:rsidR="006B3342" w:rsidRPr="000B52C6" w14:paraId="670A3F7D" w14:textId="77777777" w:rsidTr="005640E7">
        <w:tc>
          <w:tcPr>
            <w:tcW w:w="26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0842DD5" w14:textId="77777777" w:rsidR="006B3342" w:rsidRPr="000B52C6" w:rsidRDefault="006B3342" w:rsidP="00513E25">
            <w:pPr>
              <w:pStyle w:val="TableText0"/>
            </w:pPr>
            <w:r w:rsidRPr="000B52C6">
              <w:t>95% CI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9DF0A96" w14:textId="77777777" w:rsidR="006B3342" w:rsidRPr="000B52C6" w:rsidRDefault="006B3342" w:rsidP="00513E25">
            <w:pPr>
              <w:pStyle w:val="TableText0"/>
              <w:jc w:val="center"/>
            </w:pPr>
            <w:r w:rsidRPr="000B52C6">
              <w:t>(0.57, 1.23)</w:t>
            </w:r>
          </w:p>
        </w:tc>
        <w:tc>
          <w:tcPr>
            <w:tcW w:w="29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5FDE6" w14:textId="77777777" w:rsidR="006B3342" w:rsidRPr="000B52C6" w:rsidRDefault="006B3342" w:rsidP="00513E25">
            <w:pPr>
              <w:pStyle w:val="TableText0"/>
              <w:jc w:val="center"/>
            </w:pPr>
            <w:r w:rsidRPr="000B52C6">
              <w:t>(0.63, 1.22)</w:t>
            </w:r>
          </w:p>
        </w:tc>
      </w:tr>
    </w:tbl>
    <w:p w14:paraId="0F327D93" w14:textId="77777777" w:rsidR="006B3342" w:rsidRPr="000B52C6" w:rsidRDefault="006B3342" w:rsidP="006B3342">
      <w:pPr>
        <w:pStyle w:val="TableFigureFooter"/>
      </w:pPr>
      <w:r w:rsidRPr="000B52C6">
        <w:t>Source: Table 2-22, pp95-96 of the resubmission.</w:t>
      </w:r>
    </w:p>
    <w:p w14:paraId="1F0817BE" w14:textId="77777777" w:rsidR="006B3342" w:rsidRPr="000B52C6" w:rsidRDefault="006B3342" w:rsidP="006B3342">
      <w:pPr>
        <w:pStyle w:val="TableFigureFooter"/>
      </w:pPr>
      <w:r w:rsidRPr="000B52C6">
        <w:t xml:space="preserve">Abbreviations: Bd = bortezomib + dexamethasone; CI = confidence interval; ITT = intention to treat; NE = not evaluable; </w:t>
      </w:r>
      <w:proofErr w:type="spellStart"/>
      <w:r w:rsidRPr="000B52C6">
        <w:t>SBd</w:t>
      </w:r>
      <w:proofErr w:type="spellEnd"/>
      <w:r w:rsidRPr="000B52C6">
        <w:t xml:space="preserve">= </w:t>
      </w:r>
      <w:proofErr w:type="spellStart"/>
      <w:r w:rsidRPr="000B52C6">
        <w:t>selinexor</w:t>
      </w:r>
      <w:proofErr w:type="spellEnd"/>
      <w:r w:rsidRPr="000B52C6">
        <w:t xml:space="preserve"> + bortezomib + dexamethasone.</w:t>
      </w:r>
    </w:p>
    <w:p w14:paraId="1483955D" w14:textId="77777777" w:rsidR="006B3342" w:rsidRPr="000B52C6" w:rsidRDefault="006B3342" w:rsidP="006B3342">
      <w:pPr>
        <w:pStyle w:val="TableFigureFooter"/>
      </w:pPr>
      <w:r w:rsidRPr="000B52C6">
        <w:t xml:space="preserve">Notes: Overall survival is calculated from date of randomisation to date of death. </w:t>
      </w:r>
    </w:p>
    <w:p w14:paraId="1705D340" w14:textId="77777777" w:rsidR="006B3342" w:rsidRPr="000B52C6" w:rsidRDefault="006B3342" w:rsidP="006B3342">
      <w:pPr>
        <w:pStyle w:val="TableFigureFooter"/>
      </w:pPr>
      <w:r w:rsidRPr="000B52C6">
        <w:t>Patients without events were censored at the date of study discontinuation or date of last participating visit, whichever occurred first.</w:t>
      </w:r>
    </w:p>
    <w:p w14:paraId="5585F625" w14:textId="77777777" w:rsidR="006B3342" w:rsidRPr="000B52C6" w:rsidRDefault="006B3342" w:rsidP="006B3342">
      <w:pPr>
        <w:pStyle w:val="TableFigureFooter"/>
        <w:rPr>
          <w:bCs/>
          <w:iCs/>
          <w:szCs w:val="18"/>
        </w:rPr>
      </w:pPr>
      <w:r w:rsidRPr="000B52C6">
        <w:rPr>
          <w:rStyle w:val="CommentReference"/>
          <w:b w:val="0"/>
          <w:bCs/>
          <w:iCs/>
          <w:sz w:val="18"/>
          <w:szCs w:val="18"/>
          <w:shd w:val="clear" w:color="auto" w:fill="C6D9F1" w:themeFill="text2" w:themeFillTint="33"/>
        </w:rPr>
        <w:t>Blue shading</w:t>
      </w:r>
      <w:r w:rsidRPr="000B52C6">
        <w:rPr>
          <w:rStyle w:val="CommentReference"/>
          <w:b w:val="0"/>
          <w:bCs/>
          <w:iCs/>
          <w:sz w:val="18"/>
          <w:szCs w:val="18"/>
        </w:rPr>
        <w:t xml:space="preserve"> indicates data previously seen by the PBAC. </w:t>
      </w:r>
    </w:p>
    <w:p w14:paraId="0F40D69D" w14:textId="77777777" w:rsidR="006B3342" w:rsidRPr="000B52C6" w:rsidRDefault="006B3342" w:rsidP="006B3342">
      <w:pPr>
        <w:pStyle w:val="TableFigureFooter"/>
      </w:pPr>
      <w:r w:rsidRPr="000B52C6">
        <w:t>a. Stratified for prior PI therapies, number of prior anti-MM regimens and R-ISS Stage at screening.</w:t>
      </w:r>
    </w:p>
    <w:p w14:paraId="45761176" w14:textId="77777777" w:rsidR="006B3342" w:rsidRPr="000B52C6" w:rsidRDefault="006B3342" w:rsidP="006B3342">
      <w:pPr>
        <w:pStyle w:val="TableFigureFooter"/>
      </w:pPr>
      <w:r w:rsidRPr="000B52C6">
        <w:t xml:space="preserve">b. Based on stratified Cox Proportional Hazard model with </w:t>
      </w:r>
      <w:proofErr w:type="spellStart"/>
      <w:r w:rsidRPr="000B52C6">
        <w:t>Efron's</w:t>
      </w:r>
      <w:proofErr w:type="spellEnd"/>
      <w:r w:rsidRPr="000B52C6">
        <w:t xml:space="preserve"> Method of handling ties.</w:t>
      </w:r>
    </w:p>
    <w:p w14:paraId="5D88C032" w14:textId="77777777" w:rsidR="006B3342" w:rsidRPr="000B52C6" w:rsidRDefault="006B3342" w:rsidP="006B3342">
      <w:pPr>
        <w:pStyle w:val="TableFigureFooter"/>
        <w:keepNext/>
        <w:rPr>
          <w:rStyle w:val="CommentReference"/>
          <w:bCs/>
          <w:szCs w:val="24"/>
        </w:rPr>
      </w:pPr>
    </w:p>
    <w:p w14:paraId="62422051" w14:textId="1445E66F" w:rsidR="006B3342" w:rsidRPr="000B52C6" w:rsidRDefault="006B3342" w:rsidP="006B3342">
      <w:pPr>
        <w:pStyle w:val="TableFigureFooter"/>
        <w:keepNext/>
        <w:rPr>
          <w:rStyle w:val="CommentReference"/>
          <w:bCs/>
          <w:szCs w:val="24"/>
        </w:rPr>
      </w:pPr>
      <w:bookmarkStart w:id="26" w:name="_Ref90370001"/>
      <w:r w:rsidRPr="000B52C6">
        <w:rPr>
          <w:rStyle w:val="CommentReference"/>
          <w:bCs/>
          <w:szCs w:val="24"/>
        </w:rPr>
        <w:t xml:space="preserve">Figure </w:t>
      </w:r>
      <w:r w:rsidRPr="000B52C6">
        <w:rPr>
          <w:rStyle w:val="CommentReference"/>
          <w:bCs/>
          <w:szCs w:val="24"/>
        </w:rPr>
        <w:fldChar w:fldCharType="begin"/>
      </w:r>
      <w:r w:rsidRPr="000B52C6">
        <w:rPr>
          <w:rStyle w:val="CommentReference"/>
          <w:bCs/>
          <w:szCs w:val="24"/>
        </w:rPr>
        <w:instrText xml:space="preserve"> SEQ Figure \* ARABIC </w:instrText>
      </w:r>
      <w:r w:rsidRPr="000B52C6">
        <w:rPr>
          <w:rStyle w:val="CommentReference"/>
          <w:bCs/>
          <w:szCs w:val="24"/>
        </w:rPr>
        <w:fldChar w:fldCharType="separate"/>
      </w:r>
      <w:r w:rsidR="00FF5725">
        <w:rPr>
          <w:rStyle w:val="CommentReference"/>
          <w:bCs/>
          <w:noProof/>
          <w:szCs w:val="24"/>
        </w:rPr>
        <w:t>2</w:t>
      </w:r>
      <w:r w:rsidRPr="000B52C6">
        <w:rPr>
          <w:rStyle w:val="CommentReference"/>
          <w:bCs/>
          <w:szCs w:val="24"/>
        </w:rPr>
        <w:fldChar w:fldCharType="end"/>
      </w:r>
      <w:bookmarkEnd w:id="26"/>
      <w:r w:rsidRPr="000B52C6">
        <w:rPr>
          <w:rStyle w:val="CommentReference"/>
          <w:bCs/>
          <w:szCs w:val="24"/>
        </w:rPr>
        <w:t>: Kaplan-Meier curve of OS by treatment arm (ITT population)</w:t>
      </w:r>
    </w:p>
    <w:p w14:paraId="1DDEC1AF" w14:textId="77777777" w:rsidR="006B3342" w:rsidRPr="000B52C6" w:rsidRDefault="006B3342" w:rsidP="006B3342">
      <w:pPr>
        <w:keepNext/>
      </w:pPr>
      <w:r w:rsidRPr="000B52C6">
        <w:rPr>
          <w:noProof/>
        </w:rPr>
        <w:drawing>
          <wp:inline distT="0" distB="0" distL="0" distR="0" wp14:anchorId="3B8B0B69" wp14:editId="75E5CCF5">
            <wp:extent cx="5647092" cy="2743200"/>
            <wp:effectExtent l="0" t="0" r="4445" b="0"/>
            <wp:docPr id="9" name="Picture 9" descr="Figure 2: Kaplan-Meier curve of OS by treatment arm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2: Kaplan-Meier curve of OS by treatment arm (ITT population)"/>
                    <pic:cNvPicPr/>
                  </pic:nvPicPr>
                  <pic:blipFill rotWithShape="1">
                    <a:blip r:embed="rId9"/>
                    <a:srcRect l="737" r="711" b="1974"/>
                    <a:stretch/>
                  </pic:blipFill>
                  <pic:spPr bwMode="auto">
                    <a:xfrm>
                      <a:off x="0" y="0"/>
                      <a:ext cx="5649142" cy="2744196"/>
                    </a:xfrm>
                    <a:prstGeom prst="rect">
                      <a:avLst/>
                    </a:prstGeom>
                    <a:ln>
                      <a:noFill/>
                    </a:ln>
                    <a:extLst>
                      <a:ext uri="{53640926-AAD7-44D8-BBD7-CCE9431645EC}">
                        <a14:shadowObscured xmlns:a14="http://schemas.microsoft.com/office/drawing/2010/main"/>
                      </a:ext>
                    </a:extLst>
                  </pic:spPr>
                </pic:pic>
              </a:graphicData>
            </a:graphic>
          </wp:inline>
        </w:drawing>
      </w:r>
    </w:p>
    <w:p w14:paraId="05B90C87" w14:textId="77777777" w:rsidR="006B3342" w:rsidRPr="000B52C6" w:rsidRDefault="006B3342" w:rsidP="006B3342">
      <w:pPr>
        <w:keepNext/>
        <w:rPr>
          <w:rFonts w:ascii="Arial Narrow" w:hAnsi="Arial Narrow"/>
          <w:snapToGrid w:val="0"/>
          <w:sz w:val="18"/>
          <w:szCs w:val="22"/>
        </w:rPr>
      </w:pPr>
      <w:r w:rsidRPr="000B52C6">
        <w:rPr>
          <w:rFonts w:ascii="Arial Narrow" w:hAnsi="Arial Narrow"/>
          <w:snapToGrid w:val="0"/>
          <w:sz w:val="18"/>
          <w:szCs w:val="22"/>
        </w:rPr>
        <w:t xml:space="preserve">Source: Figure 2-10, p96 of the resubmission. </w:t>
      </w:r>
    </w:p>
    <w:p w14:paraId="27224221" w14:textId="77777777" w:rsidR="006B3342" w:rsidRPr="000B52C6" w:rsidRDefault="006B3342" w:rsidP="006B3342">
      <w:pPr>
        <w:keepNext/>
        <w:rPr>
          <w:rFonts w:ascii="Arial Narrow" w:hAnsi="Arial Narrow"/>
          <w:snapToGrid w:val="0"/>
          <w:sz w:val="18"/>
          <w:szCs w:val="22"/>
        </w:rPr>
      </w:pPr>
      <w:r w:rsidRPr="000B52C6">
        <w:rPr>
          <w:rFonts w:ascii="Arial Narrow" w:hAnsi="Arial Narrow"/>
          <w:snapToGrid w:val="0"/>
          <w:sz w:val="18"/>
          <w:szCs w:val="22"/>
        </w:rPr>
        <w:t xml:space="preserve">Abbreviations: HR = hazard ration; ITT = intention to treat; OS = overall survival; Bd = bortezomib + dexamethasone; </w:t>
      </w:r>
      <w:proofErr w:type="spellStart"/>
      <w:r w:rsidRPr="000B52C6">
        <w:rPr>
          <w:rFonts w:ascii="Arial Narrow" w:hAnsi="Arial Narrow"/>
          <w:snapToGrid w:val="0"/>
          <w:sz w:val="18"/>
          <w:szCs w:val="22"/>
        </w:rPr>
        <w:t>SBd</w:t>
      </w:r>
      <w:proofErr w:type="spellEnd"/>
      <w:r w:rsidRPr="000B52C6">
        <w:rPr>
          <w:rFonts w:ascii="Arial Narrow" w:hAnsi="Arial Narrow"/>
          <w:snapToGrid w:val="0"/>
          <w:sz w:val="18"/>
          <w:szCs w:val="22"/>
        </w:rPr>
        <w:t xml:space="preserve"> = </w:t>
      </w:r>
      <w:proofErr w:type="spellStart"/>
      <w:r w:rsidRPr="000B52C6">
        <w:rPr>
          <w:rFonts w:ascii="Arial Narrow" w:hAnsi="Arial Narrow"/>
          <w:snapToGrid w:val="0"/>
          <w:sz w:val="18"/>
          <w:szCs w:val="22"/>
        </w:rPr>
        <w:t>selinexor</w:t>
      </w:r>
      <w:proofErr w:type="spellEnd"/>
      <w:r w:rsidRPr="000B52C6">
        <w:rPr>
          <w:rFonts w:ascii="Arial Narrow" w:hAnsi="Arial Narrow"/>
          <w:snapToGrid w:val="0"/>
          <w:sz w:val="18"/>
          <w:szCs w:val="22"/>
        </w:rPr>
        <w:t xml:space="preserve"> + bortezomib + dexamethasone.</w:t>
      </w:r>
    </w:p>
    <w:p w14:paraId="684FB078" w14:textId="77777777" w:rsidR="006B3342" w:rsidRPr="000B52C6" w:rsidRDefault="006B3342" w:rsidP="006B3342">
      <w:pPr>
        <w:keepNext/>
        <w:rPr>
          <w:rFonts w:ascii="Arial Narrow" w:hAnsi="Arial Narrow"/>
          <w:iCs/>
          <w:snapToGrid w:val="0"/>
          <w:sz w:val="18"/>
          <w:szCs w:val="22"/>
        </w:rPr>
      </w:pPr>
      <w:r w:rsidRPr="000B52C6">
        <w:rPr>
          <w:rFonts w:ascii="Arial Narrow" w:hAnsi="Arial Narrow"/>
          <w:snapToGrid w:val="0"/>
          <w:sz w:val="18"/>
          <w:szCs w:val="22"/>
        </w:rPr>
        <w:t xml:space="preserve">Notes: </w:t>
      </w:r>
      <w:r w:rsidRPr="000B52C6">
        <w:rPr>
          <w:rFonts w:ascii="Arial Narrow" w:hAnsi="Arial Narrow"/>
          <w:iCs/>
          <w:snapToGrid w:val="0"/>
          <w:sz w:val="18"/>
          <w:szCs w:val="22"/>
        </w:rPr>
        <w:t xml:space="preserve">The abbreviation of </w:t>
      </w:r>
      <w:proofErr w:type="spellStart"/>
      <w:r w:rsidRPr="000B52C6">
        <w:rPr>
          <w:rFonts w:ascii="Arial Narrow" w:hAnsi="Arial Narrow"/>
          <w:iCs/>
          <w:snapToGrid w:val="0"/>
          <w:sz w:val="18"/>
          <w:szCs w:val="22"/>
        </w:rPr>
        <w:t>SVd</w:t>
      </w:r>
      <w:proofErr w:type="spellEnd"/>
      <w:r w:rsidRPr="000B52C6">
        <w:rPr>
          <w:rFonts w:ascii="Arial Narrow" w:hAnsi="Arial Narrow"/>
          <w:iCs/>
          <w:snapToGrid w:val="0"/>
          <w:sz w:val="18"/>
          <w:szCs w:val="22"/>
        </w:rPr>
        <w:t xml:space="preserve"> was referred to as </w:t>
      </w:r>
      <w:proofErr w:type="spellStart"/>
      <w:r w:rsidRPr="000B52C6">
        <w:rPr>
          <w:rFonts w:ascii="Arial Narrow" w:hAnsi="Arial Narrow"/>
          <w:iCs/>
          <w:snapToGrid w:val="0"/>
          <w:sz w:val="18"/>
          <w:szCs w:val="22"/>
        </w:rPr>
        <w:t>SBd</w:t>
      </w:r>
      <w:proofErr w:type="spellEnd"/>
      <w:r w:rsidRPr="000B52C6">
        <w:rPr>
          <w:rFonts w:ascii="Arial Narrow" w:hAnsi="Arial Narrow"/>
          <w:iCs/>
          <w:snapToGrid w:val="0"/>
          <w:sz w:val="18"/>
          <w:szCs w:val="22"/>
        </w:rPr>
        <w:t xml:space="preserve"> (</w:t>
      </w:r>
      <w:proofErr w:type="spellStart"/>
      <w:r w:rsidRPr="000B52C6">
        <w:rPr>
          <w:rFonts w:ascii="Arial Narrow" w:hAnsi="Arial Narrow"/>
          <w:iCs/>
          <w:snapToGrid w:val="0"/>
          <w:sz w:val="18"/>
          <w:szCs w:val="22"/>
        </w:rPr>
        <w:t>selinexor</w:t>
      </w:r>
      <w:proofErr w:type="spellEnd"/>
      <w:r w:rsidRPr="000B52C6">
        <w:rPr>
          <w:rFonts w:ascii="Arial Narrow" w:hAnsi="Arial Narrow"/>
          <w:iCs/>
          <w:snapToGrid w:val="0"/>
          <w:sz w:val="18"/>
          <w:szCs w:val="22"/>
        </w:rPr>
        <w:t xml:space="preserve">, bortezomib plus dexamethasone) in this commentary. </w:t>
      </w:r>
    </w:p>
    <w:p w14:paraId="5431EC8B" w14:textId="77777777" w:rsidR="006B3342" w:rsidRPr="000B52C6" w:rsidRDefault="006B3342" w:rsidP="006B3342">
      <w:pPr>
        <w:keepNext/>
        <w:rPr>
          <w:rFonts w:ascii="Arial Narrow" w:hAnsi="Arial Narrow"/>
          <w:iCs/>
          <w:snapToGrid w:val="0"/>
          <w:sz w:val="18"/>
          <w:szCs w:val="22"/>
        </w:rPr>
      </w:pPr>
      <w:r w:rsidRPr="000B52C6">
        <w:rPr>
          <w:rFonts w:ascii="Arial Narrow" w:hAnsi="Arial Narrow"/>
          <w:iCs/>
          <w:snapToGrid w:val="0"/>
          <w:sz w:val="18"/>
          <w:szCs w:val="22"/>
        </w:rPr>
        <w:t xml:space="preserve">The abbreviation of </w:t>
      </w:r>
      <w:proofErr w:type="spellStart"/>
      <w:r w:rsidRPr="000B52C6">
        <w:rPr>
          <w:rFonts w:ascii="Arial Narrow" w:hAnsi="Arial Narrow"/>
          <w:iCs/>
          <w:snapToGrid w:val="0"/>
          <w:sz w:val="18"/>
          <w:szCs w:val="22"/>
        </w:rPr>
        <w:t>Vd</w:t>
      </w:r>
      <w:proofErr w:type="spellEnd"/>
      <w:r w:rsidRPr="000B52C6">
        <w:rPr>
          <w:rFonts w:ascii="Arial Narrow" w:hAnsi="Arial Narrow"/>
          <w:iCs/>
          <w:snapToGrid w:val="0"/>
          <w:sz w:val="18"/>
          <w:szCs w:val="22"/>
        </w:rPr>
        <w:t xml:space="preserve"> was referred to as Bd (bortezomib plus dexamethasone) in this commentary. </w:t>
      </w:r>
    </w:p>
    <w:p w14:paraId="1A4C817E" w14:textId="77777777" w:rsidR="006B3342" w:rsidRPr="000B52C6" w:rsidRDefault="006B3342" w:rsidP="006B3342">
      <w:pPr>
        <w:keepNext/>
      </w:pPr>
    </w:p>
    <w:p w14:paraId="04106EF5" w14:textId="496E471A" w:rsidR="006B3342" w:rsidRPr="000B52C6" w:rsidRDefault="00761A8E" w:rsidP="006B3342">
      <w:pPr>
        <w:pStyle w:val="3-BodyText"/>
        <w:ind w:left="720" w:hanging="720"/>
        <w:rPr>
          <w:iCs/>
          <w:snapToGrid/>
        </w:rPr>
      </w:pPr>
      <w:r w:rsidRPr="000B52C6">
        <w:rPr>
          <w:snapToGrid/>
        </w:rPr>
        <w:t>D</w:t>
      </w:r>
      <w:r w:rsidR="006B3342" w:rsidRPr="000B52C6">
        <w:rPr>
          <w:snapToGrid/>
        </w:rPr>
        <w:t xml:space="preserve">espite the longer follow-up, the survival data </w:t>
      </w:r>
      <w:r w:rsidRPr="000B52C6">
        <w:rPr>
          <w:snapToGrid/>
        </w:rPr>
        <w:t xml:space="preserve">was </w:t>
      </w:r>
      <w:r w:rsidR="006B3342" w:rsidRPr="000B52C6">
        <w:rPr>
          <w:snapToGrid/>
        </w:rPr>
        <w:t xml:space="preserve">still immature with an event rate of 35% and 39% for </w:t>
      </w:r>
      <w:proofErr w:type="spellStart"/>
      <w:r w:rsidR="006B3342" w:rsidRPr="000B52C6">
        <w:rPr>
          <w:snapToGrid/>
        </w:rPr>
        <w:t>SBd</w:t>
      </w:r>
      <w:proofErr w:type="spellEnd"/>
      <w:r w:rsidR="006B3342" w:rsidRPr="000B52C6">
        <w:rPr>
          <w:snapToGrid/>
        </w:rPr>
        <w:t xml:space="preserve"> and Bd arms, respectively</w:t>
      </w:r>
      <w:r w:rsidRPr="000B52C6">
        <w:rPr>
          <w:snapToGrid/>
        </w:rPr>
        <w:t xml:space="preserve"> (Table 6</w:t>
      </w:r>
      <w:r w:rsidR="006B3342" w:rsidRPr="000B52C6">
        <w:rPr>
          <w:snapToGrid/>
        </w:rPr>
        <w:t xml:space="preserve">). </w:t>
      </w:r>
      <w:r w:rsidR="006B3342" w:rsidRPr="000B52C6">
        <w:rPr>
          <w:iCs/>
          <w:snapToGrid/>
        </w:rPr>
        <w:t xml:space="preserve">The difference in OS based on the updated data cut-off (February 2021) was still not statistically significant between the two trial arms, a result that </w:t>
      </w:r>
      <w:r w:rsidRPr="000B52C6">
        <w:rPr>
          <w:iCs/>
          <w:snapToGrid/>
        </w:rPr>
        <w:t>was</w:t>
      </w:r>
      <w:r w:rsidR="006B3342" w:rsidRPr="000B52C6">
        <w:rPr>
          <w:iCs/>
          <w:snapToGrid/>
        </w:rPr>
        <w:t xml:space="preserve"> consistent with the February 2020 data cut-off as presented in the July 2021 submission. The PBAC previously noted that the OS data based on the February 2020 data cut-off were immature, with median OS not reached for the </w:t>
      </w:r>
      <w:proofErr w:type="spellStart"/>
      <w:r w:rsidR="006B3342" w:rsidRPr="000B52C6">
        <w:rPr>
          <w:iCs/>
          <w:snapToGrid/>
        </w:rPr>
        <w:t>SBd</w:t>
      </w:r>
      <w:proofErr w:type="spellEnd"/>
      <w:r w:rsidR="006B3342" w:rsidRPr="000B52C6">
        <w:rPr>
          <w:iCs/>
          <w:snapToGrid/>
        </w:rPr>
        <w:t xml:space="preserve"> arm (HR = 0.84; 95% CI: 0.57, 1.23, and the claim of superior efficacy of </w:t>
      </w:r>
      <w:proofErr w:type="spellStart"/>
      <w:r w:rsidR="006B3342" w:rsidRPr="000B52C6">
        <w:rPr>
          <w:iCs/>
          <w:snapToGrid/>
        </w:rPr>
        <w:t>SBd</w:t>
      </w:r>
      <w:proofErr w:type="spellEnd"/>
      <w:r w:rsidR="006B3342" w:rsidRPr="000B52C6">
        <w:rPr>
          <w:iCs/>
          <w:snapToGrid/>
        </w:rPr>
        <w:t xml:space="preserve"> compared to Bd could not be supported due to the immaturity of the data from the BOSTON trial (Para. 7.6 and 7.8, Selinexor (RRMM), PBAC </w:t>
      </w:r>
      <w:r w:rsidR="00251F38">
        <w:rPr>
          <w:iCs/>
          <w:snapToGrid/>
        </w:rPr>
        <w:t>PSD</w:t>
      </w:r>
      <w:r w:rsidR="006B3342" w:rsidRPr="000B52C6">
        <w:rPr>
          <w:iCs/>
          <w:snapToGrid/>
        </w:rPr>
        <w:t>, July 2021 PBAC meeting).</w:t>
      </w:r>
    </w:p>
    <w:p w14:paraId="057D589E" w14:textId="3AD93282" w:rsidR="006B3342" w:rsidRPr="000B52C6" w:rsidRDefault="006B3342" w:rsidP="006B3342">
      <w:pPr>
        <w:pStyle w:val="3-BodyText"/>
        <w:ind w:left="720" w:hanging="720"/>
        <w:rPr>
          <w:iCs/>
          <w:snapToGrid/>
        </w:rPr>
      </w:pPr>
      <w:r w:rsidRPr="000B52C6">
        <w:rPr>
          <w:snapToGrid/>
        </w:rPr>
        <w:t xml:space="preserve">The resubmission did not provide updated crossover data based on the February 2021 data cut-off. At the February 2020 data cut-off, the submission noted that seventy-four (36%) patients from the Bd arm crossed over after confirmed progressive disease to receive a regimen that included </w:t>
      </w:r>
      <w:proofErr w:type="spellStart"/>
      <w:r w:rsidRPr="000B52C6">
        <w:rPr>
          <w:snapToGrid/>
        </w:rPr>
        <w:t>selinexor</w:t>
      </w:r>
      <w:proofErr w:type="spellEnd"/>
      <w:r w:rsidRPr="000B52C6">
        <w:rPr>
          <w:snapToGrid/>
        </w:rPr>
        <w:t xml:space="preserve">. The proportion of patients on Bd who crossed over to either </w:t>
      </w:r>
      <w:proofErr w:type="spellStart"/>
      <w:r w:rsidRPr="000B52C6">
        <w:rPr>
          <w:snapToGrid/>
        </w:rPr>
        <w:t>SBd</w:t>
      </w:r>
      <w:proofErr w:type="spellEnd"/>
      <w:r w:rsidRPr="000B52C6">
        <w:rPr>
          <w:snapToGrid/>
        </w:rPr>
        <w:t xml:space="preserve"> or Sd was 36% (74 patients); with 30.4% (63 patients) </w:t>
      </w:r>
      <w:r w:rsidR="00216B42" w:rsidRPr="000B52C6">
        <w:rPr>
          <w:snapToGrid/>
        </w:rPr>
        <w:t xml:space="preserve">crossing </w:t>
      </w:r>
      <w:r w:rsidRPr="000B52C6">
        <w:rPr>
          <w:snapToGrid/>
        </w:rPr>
        <w:t xml:space="preserve">over to </w:t>
      </w:r>
      <w:proofErr w:type="spellStart"/>
      <w:r w:rsidRPr="000B52C6">
        <w:rPr>
          <w:snapToGrid/>
        </w:rPr>
        <w:t>SBd</w:t>
      </w:r>
      <w:proofErr w:type="spellEnd"/>
      <w:r w:rsidRPr="000B52C6">
        <w:rPr>
          <w:snapToGrid/>
        </w:rPr>
        <w:t>, and 5.3% (11 patients) crossing over to Sd.</w:t>
      </w:r>
      <w:r w:rsidRPr="000B52C6">
        <w:rPr>
          <w:iCs/>
          <w:snapToGrid/>
        </w:rPr>
        <w:t xml:space="preserve"> The resubmission stated no adjustment for cross over was made given that an economic model of </w:t>
      </w:r>
      <w:proofErr w:type="spellStart"/>
      <w:r w:rsidRPr="000B52C6">
        <w:rPr>
          <w:iCs/>
          <w:snapToGrid/>
        </w:rPr>
        <w:t>SBd</w:t>
      </w:r>
      <w:proofErr w:type="spellEnd"/>
      <w:r w:rsidRPr="000B52C6">
        <w:rPr>
          <w:iCs/>
          <w:snapToGrid/>
        </w:rPr>
        <w:t xml:space="preserve"> versus Bd was not provided.</w:t>
      </w:r>
    </w:p>
    <w:p w14:paraId="5390B74B" w14:textId="26AA8EEF" w:rsidR="005457FB" w:rsidRPr="000B52C6" w:rsidRDefault="009968BB" w:rsidP="005457FB">
      <w:pPr>
        <w:pStyle w:val="3-BodyText"/>
        <w:ind w:left="720" w:hanging="720"/>
        <w:rPr>
          <w:iCs/>
          <w:snapToGrid/>
        </w:rPr>
      </w:pPr>
      <w:r w:rsidRPr="000B52C6">
        <w:rPr>
          <w:iCs/>
          <w:snapToGrid/>
        </w:rPr>
        <w:t>The</w:t>
      </w:r>
      <w:r w:rsidRPr="000B52C6">
        <w:t xml:space="preserve"> </w:t>
      </w:r>
      <w:r w:rsidR="0096105B">
        <w:t>Pre-Sub-Committee Response (</w:t>
      </w:r>
      <w:r w:rsidRPr="000B52C6">
        <w:t>PSCR</w:t>
      </w:r>
      <w:r w:rsidR="0096105B">
        <w:t>)</w:t>
      </w:r>
      <w:r w:rsidRPr="000B52C6">
        <w:t xml:space="preserve"> noted that the OS data from the first data cut was numerically in favour of </w:t>
      </w:r>
      <w:proofErr w:type="spellStart"/>
      <w:r w:rsidRPr="000B52C6">
        <w:t>SBd</w:t>
      </w:r>
      <w:proofErr w:type="spellEnd"/>
      <w:r w:rsidRPr="000B52C6">
        <w:t xml:space="preserve"> (HR = 0.84; 95% CI: 0.57, 1.23), and when adjusted for crossover using the two-stage estimation method (TSEM) to account for the 36% </w:t>
      </w:r>
      <w:r w:rsidRPr="000B52C6">
        <w:lastRenderedPageBreak/>
        <w:t xml:space="preserve">of patients in the Bd arm who received either </w:t>
      </w:r>
      <w:proofErr w:type="spellStart"/>
      <w:r w:rsidRPr="000B52C6">
        <w:t>SBd</w:t>
      </w:r>
      <w:proofErr w:type="spellEnd"/>
      <w:r w:rsidRPr="000B52C6">
        <w:t xml:space="preserve"> or </w:t>
      </w:r>
      <w:proofErr w:type="spellStart"/>
      <w:r w:rsidRPr="000B52C6">
        <w:t>selinexor</w:t>
      </w:r>
      <w:proofErr w:type="spellEnd"/>
      <w:r w:rsidRPr="000B52C6">
        <w:t xml:space="preserve"> plus dexamethasone (Sd) following disease progression, the numerical benefit improved in favour of </w:t>
      </w:r>
      <w:proofErr w:type="spellStart"/>
      <w:r w:rsidRPr="000B52C6">
        <w:t>SBd</w:t>
      </w:r>
      <w:proofErr w:type="spellEnd"/>
      <w:r w:rsidRPr="000B52C6">
        <w:t xml:space="preserve"> (HR = 0.77; 95% CI: 0.52, 1.14). The last data-cut continue</w:t>
      </w:r>
      <w:r w:rsidR="00761A8E" w:rsidRPr="000B52C6">
        <w:t>s</w:t>
      </w:r>
      <w:r w:rsidRPr="000B52C6">
        <w:t xml:space="preserve"> to support a positive treatment effect of </w:t>
      </w:r>
      <w:proofErr w:type="spellStart"/>
      <w:r w:rsidRPr="000B52C6">
        <w:t>SBd</w:t>
      </w:r>
      <w:proofErr w:type="spellEnd"/>
      <w:r w:rsidRPr="000B52C6">
        <w:t xml:space="preserve"> on OS. </w:t>
      </w:r>
    </w:p>
    <w:p w14:paraId="5629E561" w14:textId="77777777" w:rsidR="005457FB" w:rsidRPr="000B52C6" w:rsidRDefault="00536354" w:rsidP="006B3342">
      <w:pPr>
        <w:pStyle w:val="3-BodyText"/>
        <w:ind w:left="720" w:hanging="720"/>
        <w:rPr>
          <w:iCs/>
          <w:snapToGrid/>
        </w:rPr>
      </w:pPr>
      <w:r w:rsidRPr="000B52C6">
        <w:rPr>
          <w:iCs/>
        </w:rPr>
        <w:t>The ESC noted that OS data for BOSTON remained immature des</w:t>
      </w:r>
      <w:r w:rsidR="00BC70D6" w:rsidRPr="000B52C6">
        <w:rPr>
          <w:iCs/>
        </w:rPr>
        <w:t>p</w:t>
      </w:r>
      <w:r w:rsidRPr="000B52C6">
        <w:rPr>
          <w:iCs/>
        </w:rPr>
        <w:t xml:space="preserve">ite the updated OS data provided by the resubmission, and that while the HR numerically favoured </w:t>
      </w:r>
      <w:proofErr w:type="spellStart"/>
      <w:r w:rsidRPr="000B52C6">
        <w:rPr>
          <w:iCs/>
        </w:rPr>
        <w:t>SBd</w:t>
      </w:r>
      <w:proofErr w:type="spellEnd"/>
      <w:r w:rsidRPr="000B52C6">
        <w:rPr>
          <w:iCs/>
        </w:rPr>
        <w:t xml:space="preserve"> compared with Bd, th</w:t>
      </w:r>
      <w:r w:rsidR="00BC70D6" w:rsidRPr="000B52C6">
        <w:rPr>
          <w:iCs/>
        </w:rPr>
        <w:t>e result</w:t>
      </w:r>
      <w:r w:rsidRPr="000B52C6">
        <w:rPr>
          <w:iCs/>
        </w:rPr>
        <w:t xml:space="preserve"> was not </w:t>
      </w:r>
      <w:r w:rsidRPr="000B52C6">
        <w:t>statistically significant</w:t>
      </w:r>
      <w:r w:rsidR="00BC70D6" w:rsidRPr="000B52C6">
        <w:t xml:space="preserve"> </w:t>
      </w:r>
      <w:r w:rsidR="00BC70D6" w:rsidRPr="000B52C6">
        <w:rPr>
          <w:iCs/>
        </w:rPr>
        <w:t>(HR = 0.88; 95% CI: 0.63, 1.22)</w:t>
      </w:r>
      <w:r w:rsidRPr="000B52C6">
        <w:t xml:space="preserve">. The ESC </w:t>
      </w:r>
      <w:r w:rsidR="00BC70D6" w:rsidRPr="000B52C6">
        <w:t>considered</w:t>
      </w:r>
      <w:r w:rsidRPr="000B52C6">
        <w:t xml:space="preserve"> </w:t>
      </w:r>
      <w:r w:rsidR="007E5E67" w:rsidRPr="000B52C6">
        <w:t xml:space="preserve">although </w:t>
      </w:r>
      <w:r w:rsidR="00BC70D6" w:rsidRPr="000B52C6">
        <w:t>t</w:t>
      </w:r>
      <w:r w:rsidRPr="000B52C6">
        <w:t>his</w:t>
      </w:r>
      <w:r w:rsidR="0044128A" w:rsidRPr="000B52C6">
        <w:t xml:space="preserve"> result</w:t>
      </w:r>
      <w:r w:rsidRPr="000B52C6">
        <w:t xml:space="preserve"> may be due to the impact of crossover within the Bd treatment arm to </w:t>
      </w:r>
      <w:proofErr w:type="spellStart"/>
      <w:r w:rsidRPr="000B52C6">
        <w:t>SBd</w:t>
      </w:r>
      <w:proofErr w:type="spellEnd"/>
      <w:r w:rsidRPr="000B52C6">
        <w:t xml:space="preserve"> treatment</w:t>
      </w:r>
      <w:r w:rsidR="007E5E67" w:rsidRPr="000B52C6">
        <w:t xml:space="preserve">, the impact of </w:t>
      </w:r>
      <w:proofErr w:type="spellStart"/>
      <w:r w:rsidR="007E5E67" w:rsidRPr="000B52C6">
        <w:t>SBd</w:t>
      </w:r>
      <w:proofErr w:type="spellEnd"/>
      <w:r w:rsidR="007E5E67" w:rsidRPr="000B52C6">
        <w:t xml:space="preserve"> on OS was very uncertain</w:t>
      </w:r>
      <w:r w:rsidRPr="000B52C6">
        <w:t>.</w:t>
      </w:r>
      <w:r w:rsidR="007E5E67" w:rsidRPr="000B52C6">
        <w:t xml:space="preserve"> </w:t>
      </w:r>
    </w:p>
    <w:p w14:paraId="34BD4DF0" w14:textId="7D843F36" w:rsidR="006B3342" w:rsidRPr="000B52C6" w:rsidRDefault="006B3342" w:rsidP="006B3342">
      <w:pPr>
        <w:pStyle w:val="3-BodyText"/>
        <w:ind w:left="720" w:hanging="720"/>
        <w:rPr>
          <w:iCs/>
          <w:snapToGrid/>
        </w:rPr>
      </w:pPr>
      <w:r w:rsidRPr="000B52C6">
        <w:rPr>
          <w:snapToGrid/>
        </w:rPr>
        <w:t>Overall response rate (ORR)</w:t>
      </w:r>
      <w:r w:rsidRPr="000B52C6">
        <w:t xml:space="preserve"> </w:t>
      </w:r>
      <w:r w:rsidRPr="000B52C6">
        <w:rPr>
          <w:snapToGrid/>
        </w:rPr>
        <w:t xml:space="preserve">results from the updated BOSTON data cut-off (February 2021) were similar to those observed in the interim data cut-off (February 2020), with ORR significantly higher in the </w:t>
      </w:r>
      <w:proofErr w:type="spellStart"/>
      <w:r w:rsidRPr="000B52C6">
        <w:rPr>
          <w:snapToGrid/>
        </w:rPr>
        <w:t>SBd</w:t>
      </w:r>
      <w:proofErr w:type="spellEnd"/>
      <w:r w:rsidRPr="000B52C6">
        <w:rPr>
          <w:snapToGrid/>
        </w:rPr>
        <w:t xml:space="preserve"> group (76.9%; 95% CI: 70.4, 82.6) than in the Bd group (63.3%; 95% CI: 56.3, 69.9); with an odds ratio (OR) = 1.94 (95% CI: 1.25, 3.03); p=0.0016 (see </w:t>
      </w:r>
      <w:r w:rsidRPr="000B52C6">
        <w:rPr>
          <w:snapToGrid/>
        </w:rPr>
        <w:fldChar w:fldCharType="begin"/>
      </w:r>
      <w:r w:rsidRPr="000B52C6">
        <w:rPr>
          <w:snapToGrid/>
        </w:rPr>
        <w:instrText xml:space="preserve"> REF _Ref90370034 \h </w:instrText>
      </w:r>
      <w:r w:rsidRPr="000B52C6">
        <w:rPr>
          <w:snapToGrid/>
        </w:rPr>
      </w:r>
      <w:r w:rsidRPr="000B52C6">
        <w:rPr>
          <w:snapToGrid/>
        </w:rPr>
        <w:fldChar w:fldCharType="separate"/>
      </w:r>
      <w:r w:rsidR="00FF5725" w:rsidRPr="000B52C6">
        <w:t xml:space="preserve">Table </w:t>
      </w:r>
      <w:r w:rsidR="00FF5725">
        <w:rPr>
          <w:bCs/>
          <w:noProof/>
        </w:rPr>
        <w:t>7</w:t>
      </w:r>
      <w:r w:rsidRPr="000B52C6">
        <w:rPr>
          <w:snapToGrid/>
        </w:rPr>
        <w:fldChar w:fldCharType="end"/>
      </w:r>
      <w:r w:rsidRPr="000B52C6">
        <w:rPr>
          <w:snapToGrid/>
        </w:rPr>
        <w:t>).</w:t>
      </w:r>
    </w:p>
    <w:p w14:paraId="5D63ADED" w14:textId="447AB15F" w:rsidR="006B3342" w:rsidRPr="000B52C6" w:rsidRDefault="006B3342" w:rsidP="006B3342">
      <w:pPr>
        <w:pStyle w:val="TableFigureHeading"/>
        <w:rPr>
          <w:bCs w:val="0"/>
        </w:rPr>
      </w:pPr>
      <w:bookmarkStart w:id="27" w:name="_Ref90370034"/>
      <w:r w:rsidRPr="000B52C6">
        <w:rPr>
          <w:bCs w:val="0"/>
        </w:rPr>
        <w:t xml:space="preserve">Table </w:t>
      </w:r>
      <w:r w:rsidRPr="000B52C6">
        <w:rPr>
          <w:bCs w:val="0"/>
        </w:rPr>
        <w:fldChar w:fldCharType="begin"/>
      </w:r>
      <w:r w:rsidRPr="000B52C6">
        <w:rPr>
          <w:bCs w:val="0"/>
        </w:rPr>
        <w:instrText xml:space="preserve"> SEQ Table \* ARABIC </w:instrText>
      </w:r>
      <w:r w:rsidRPr="000B52C6">
        <w:rPr>
          <w:bCs w:val="0"/>
        </w:rPr>
        <w:fldChar w:fldCharType="separate"/>
      </w:r>
      <w:r w:rsidR="00FF5725">
        <w:rPr>
          <w:bCs w:val="0"/>
          <w:noProof/>
        </w:rPr>
        <w:t>7</w:t>
      </w:r>
      <w:r w:rsidRPr="000B52C6">
        <w:rPr>
          <w:bCs w:val="0"/>
        </w:rPr>
        <w:fldChar w:fldCharType="end"/>
      </w:r>
      <w:bookmarkEnd w:id="27"/>
      <w:r w:rsidRPr="000B52C6">
        <w:rPr>
          <w:bCs w:val="0"/>
        </w:rPr>
        <w:t>: ORR by treatment arm (ITT population)</w:t>
      </w:r>
    </w:p>
    <w:tbl>
      <w:tblPr>
        <w:tblStyle w:val="TableGrid"/>
        <w:tblW w:w="0" w:type="auto"/>
        <w:tblLook w:val="04A0" w:firstRow="1" w:lastRow="0" w:firstColumn="1" w:lastColumn="0" w:noHBand="0" w:noVBand="1"/>
      </w:tblPr>
      <w:tblGrid>
        <w:gridCol w:w="1854"/>
        <w:gridCol w:w="1934"/>
        <w:gridCol w:w="1935"/>
        <w:gridCol w:w="1647"/>
        <w:gridCol w:w="1647"/>
      </w:tblGrid>
      <w:tr w:rsidR="006B3342" w:rsidRPr="000B52C6" w14:paraId="1CF4F903" w14:textId="77777777" w:rsidTr="00513E25">
        <w:tc>
          <w:tcPr>
            <w:tcW w:w="1854" w:type="dxa"/>
            <w:vMerge w:val="restart"/>
            <w:tcBorders>
              <w:top w:val="single" w:sz="4" w:space="0" w:color="auto"/>
              <w:left w:val="single" w:sz="4" w:space="0" w:color="auto"/>
              <w:right w:val="single" w:sz="4" w:space="0" w:color="auto"/>
            </w:tcBorders>
            <w:shd w:val="clear" w:color="auto" w:fill="C6D9F1" w:themeFill="text2" w:themeFillTint="33"/>
          </w:tcPr>
          <w:p w14:paraId="541450B6" w14:textId="77777777" w:rsidR="006B3342" w:rsidRPr="000B52C6" w:rsidRDefault="006B3342" w:rsidP="00513E25">
            <w:pPr>
              <w:pStyle w:val="In-tableHeading"/>
              <w:jc w:val="center"/>
              <w:rPr>
                <w:lang w:val="en-AU"/>
              </w:rPr>
            </w:pPr>
          </w:p>
        </w:tc>
        <w:tc>
          <w:tcPr>
            <w:tcW w:w="386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693A5F" w14:textId="77777777" w:rsidR="006B3342" w:rsidRPr="000B52C6" w:rsidRDefault="006B3342" w:rsidP="00513E25">
            <w:pPr>
              <w:pStyle w:val="In-tableHeading"/>
              <w:keepNext w:val="0"/>
              <w:widowControl w:val="0"/>
              <w:jc w:val="center"/>
              <w:rPr>
                <w:lang w:val="en-AU"/>
              </w:rPr>
            </w:pPr>
            <w:r w:rsidRPr="000B52C6">
              <w:rPr>
                <w:lang w:val="en-AU"/>
              </w:rPr>
              <w:t>BOSTON</w:t>
            </w:r>
          </w:p>
          <w:p w14:paraId="21F129B4" w14:textId="77777777" w:rsidR="006B3342" w:rsidRPr="000B52C6" w:rsidRDefault="006B3342" w:rsidP="00513E25">
            <w:pPr>
              <w:pStyle w:val="In-tableHeading"/>
              <w:jc w:val="center"/>
              <w:rPr>
                <w:lang w:val="en-AU"/>
              </w:rPr>
            </w:pPr>
            <w:r w:rsidRPr="000B52C6">
              <w:rPr>
                <w:lang w:val="en-AU"/>
              </w:rPr>
              <w:t>(original data cut-off Feb 2020)</w:t>
            </w:r>
          </w:p>
        </w:tc>
        <w:tc>
          <w:tcPr>
            <w:tcW w:w="3294" w:type="dxa"/>
            <w:gridSpan w:val="2"/>
            <w:tcBorders>
              <w:top w:val="single" w:sz="4" w:space="0" w:color="auto"/>
              <w:left w:val="single" w:sz="4" w:space="0" w:color="auto"/>
              <w:bottom w:val="single" w:sz="4" w:space="0" w:color="auto"/>
              <w:right w:val="single" w:sz="4" w:space="0" w:color="auto"/>
            </w:tcBorders>
          </w:tcPr>
          <w:p w14:paraId="3BD9940A" w14:textId="77777777" w:rsidR="006B3342" w:rsidRPr="000B52C6" w:rsidRDefault="006B3342" w:rsidP="00513E25">
            <w:pPr>
              <w:pStyle w:val="In-tableHeading"/>
              <w:keepNext w:val="0"/>
              <w:widowControl w:val="0"/>
              <w:jc w:val="center"/>
              <w:rPr>
                <w:lang w:val="en-AU"/>
              </w:rPr>
            </w:pPr>
            <w:r w:rsidRPr="000B52C6">
              <w:rPr>
                <w:lang w:val="en-AU"/>
              </w:rPr>
              <w:t>BOSTON</w:t>
            </w:r>
          </w:p>
          <w:p w14:paraId="25111F92" w14:textId="77777777" w:rsidR="006B3342" w:rsidRPr="000B52C6" w:rsidRDefault="006B3342" w:rsidP="00513E25">
            <w:pPr>
              <w:pStyle w:val="In-tableHeading"/>
              <w:jc w:val="center"/>
              <w:rPr>
                <w:lang w:val="en-AU"/>
              </w:rPr>
            </w:pPr>
            <w:r w:rsidRPr="000B52C6">
              <w:rPr>
                <w:lang w:val="en-AU"/>
              </w:rPr>
              <w:t>(updated data cut-off Feb 2021)</w:t>
            </w:r>
          </w:p>
        </w:tc>
      </w:tr>
      <w:tr w:rsidR="006B3342" w:rsidRPr="000B52C6" w14:paraId="714B3D17" w14:textId="77777777" w:rsidTr="00513E25">
        <w:tc>
          <w:tcPr>
            <w:tcW w:w="1854" w:type="dxa"/>
            <w:vMerge/>
            <w:tcBorders>
              <w:left w:val="single" w:sz="4" w:space="0" w:color="auto"/>
              <w:bottom w:val="single" w:sz="4" w:space="0" w:color="auto"/>
              <w:right w:val="single" w:sz="4" w:space="0" w:color="auto"/>
            </w:tcBorders>
            <w:shd w:val="clear" w:color="auto" w:fill="C6D9F1" w:themeFill="text2" w:themeFillTint="33"/>
          </w:tcPr>
          <w:p w14:paraId="7D019AD0" w14:textId="77777777" w:rsidR="006B3342" w:rsidRPr="000B52C6" w:rsidRDefault="006B3342" w:rsidP="00513E25">
            <w:pPr>
              <w:pStyle w:val="In-tableHeading"/>
              <w:jc w:val="center"/>
              <w:rPr>
                <w:lang w:val="en-AU"/>
              </w:rPr>
            </w:pPr>
          </w:p>
        </w:tc>
        <w:tc>
          <w:tcPr>
            <w:tcW w:w="193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19D1CA4" w14:textId="77777777" w:rsidR="006B3342" w:rsidRPr="000B52C6" w:rsidRDefault="006B3342" w:rsidP="00513E25">
            <w:pPr>
              <w:pStyle w:val="In-tableHeading"/>
              <w:jc w:val="center"/>
              <w:rPr>
                <w:lang w:val="en-AU"/>
              </w:rPr>
            </w:pPr>
            <w:proofErr w:type="spellStart"/>
            <w:r w:rsidRPr="000B52C6">
              <w:rPr>
                <w:lang w:val="en-AU"/>
              </w:rPr>
              <w:t>SBd</w:t>
            </w:r>
            <w:proofErr w:type="spellEnd"/>
            <w:r w:rsidRPr="000B52C6">
              <w:rPr>
                <w:lang w:val="en-AU"/>
              </w:rPr>
              <w:t xml:space="preserve"> arm</w:t>
            </w:r>
          </w:p>
          <w:p w14:paraId="43609BD1" w14:textId="77777777" w:rsidR="006B3342" w:rsidRPr="000B52C6" w:rsidRDefault="006B3342" w:rsidP="00513E25">
            <w:pPr>
              <w:pStyle w:val="In-tableHeading"/>
              <w:jc w:val="center"/>
              <w:rPr>
                <w:lang w:val="en-AU"/>
              </w:rPr>
            </w:pPr>
            <w:r w:rsidRPr="000B52C6">
              <w:rPr>
                <w:lang w:val="en-AU"/>
              </w:rPr>
              <w:t>(N=195)</w:t>
            </w:r>
          </w:p>
        </w:tc>
        <w:tc>
          <w:tcPr>
            <w:tcW w:w="193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C466B67" w14:textId="77777777" w:rsidR="006B3342" w:rsidRPr="000B52C6" w:rsidRDefault="006B3342" w:rsidP="00513E25">
            <w:pPr>
              <w:pStyle w:val="In-tableHeading"/>
              <w:jc w:val="center"/>
              <w:rPr>
                <w:lang w:val="en-AU"/>
              </w:rPr>
            </w:pPr>
            <w:r w:rsidRPr="000B52C6">
              <w:rPr>
                <w:lang w:val="en-AU"/>
              </w:rPr>
              <w:t>Bd arm</w:t>
            </w:r>
          </w:p>
          <w:p w14:paraId="64933D63" w14:textId="77777777" w:rsidR="006B3342" w:rsidRPr="000B52C6" w:rsidRDefault="006B3342" w:rsidP="00513E25">
            <w:pPr>
              <w:pStyle w:val="In-tableHeading"/>
              <w:jc w:val="center"/>
              <w:rPr>
                <w:lang w:val="en-AU"/>
              </w:rPr>
            </w:pPr>
            <w:r w:rsidRPr="000B52C6">
              <w:rPr>
                <w:lang w:val="en-AU"/>
              </w:rPr>
              <w:t>(N=207)</w:t>
            </w:r>
          </w:p>
        </w:tc>
        <w:tc>
          <w:tcPr>
            <w:tcW w:w="1647" w:type="dxa"/>
            <w:tcBorders>
              <w:top w:val="single" w:sz="4" w:space="0" w:color="auto"/>
              <w:left w:val="single" w:sz="4" w:space="0" w:color="auto"/>
              <w:bottom w:val="single" w:sz="4" w:space="0" w:color="auto"/>
              <w:right w:val="single" w:sz="4" w:space="0" w:color="auto"/>
            </w:tcBorders>
          </w:tcPr>
          <w:p w14:paraId="7FA6D940" w14:textId="77777777" w:rsidR="006B3342" w:rsidRPr="000B52C6" w:rsidRDefault="006B3342" w:rsidP="00513E25">
            <w:pPr>
              <w:pStyle w:val="In-tableHeading"/>
              <w:jc w:val="center"/>
              <w:rPr>
                <w:lang w:val="en-AU"/>
              </w:rPr>
            </w:pPr>
            <w:proofErr w:type="spellStart"/>
            <w:r w:rsidRPr="000B52C6">
              <w:rPr>
                <w:lang w:val="en-AU"/>
              </w:rPr>
              <w:t>SBd</w:t>
            </w:r>
            <w:proofErr w:type="spellEnd"/>
            <w:r w:rsidRPr="000B52C6">
              <w:rPr>
                <w:lang w:val="en-AU"/>
              </w:rPr>
              <w:t xml:space="preserve"> arm</w:t>
            </w:r>
          </w:p>
          <w:p w14:paraId="3EE967BB" w14:textId="77777777" w:rsidR="006B3342" w:rsidRPr="000B52C6" w:rsidRDefault="006B3342" w:rsidP="00513E25">
            <w:pPr>
              <w:pStyle w:val="In-tableHeading"/>
              <w:jc w:val="center"/>
              <w:rPr>
                <w:lang w:val="en-AU"/>
              </w:rPr>
            </w:pPr>
            <w:r w:rsidRPr="000B52C6">
              <w:rPr>
                <w:lang w:val="en-AU"/>
              </w:rPr>
              <w:t>(N=195)</w:t>
            </w:r>
          </w:p>
        </w:tc>
        <w:tc>
          <w:tcPr>
            <w:tcW w:w="1647" w:type="dxa"/>
            <w:tcBorders>
              <w:top w:val="single" w:sz="4" w:space="0" w:color="auto"/>
              <w:left w:val="single" w:sz="4" w:space="0" w:color="auto"/>
              <w:bottom w:val="single" w:sz="4" w:space="0" w:color="auto"/>
              <w:right w:val="single" w:sz="4" w:space="0" w:color="auto"/>
            </w:tcBorders>
          </w:tcPr>
          <w:p w14:paraId="1B3D57F6" w14:textId="77777777" w:rsidR="006B3342" w:rsidRPr="000B52C6" w:rsidRDefault="006B3342" w:rsidP="00513E25">
            <w:pPr>
              <w:pStyle w:val="In-tableHeading"/>
              <w:jc w:val="center"/>
              <w:rPr>
                <w:lang w:val="en-AU"/>
              </w:rPr>
            </w:pPr>
            <w:r w:rsidRPr="000B52C6">
              <w:rPr>
                <w:lang w:val="en-AU"/>
              </w:rPr>
              <w:t>Bd arm</w:t>
            </w:r>
          </w:p>
          <w:p w14:paraId="1B6448D8" w14:textId="77777777" w:rsidR="006B3342" w:rsidRPr="000B52C6" w:rsidRDefault="006B3342" w:rsidP="00513E25">
            <w:pPr>
              <w:pStyle w:val="In-tableHeading"/>
              <w:jc w:val="center"/>
              <w:rPr>
                <w:lang w:val="en-AU"/>
              </w:rPr>
            </w:pPr>
            <w:r w:rsidRPr="000B52C6">
              <w:rPr>
                <w:lang w:val="en-AU"/>
              </w:rPr>
              <w:t>(N=207)</w:t>
            </w:r>
          </w:p>
        </w:tc>
      </w:tr>
      <w:tr w:rsidR="006B3342" w:rsidRPr="000B52C6" w14:paraId="02B3E750" w14:textId="77777777" w:rsidTr="00513E25">
        <w:tc>
          <w:tcPr>
            <w:tcW w:w="185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E738527" w14:textId="77777777" w:rsidR="006B3342" w:rsidRPr="000B52C6" w:rsidRDefault="006B3342" w:rsidP="00513E25">
            <w:pPr>
              <w:pStyle w:val="TableText0"/>
            </w:pPr>
            <w:r w:rsidRPr="000B52C6">
              <w:t>ORR, n (</w:t>
            </w:r>
            <w:proofErr w:type="gramStart"/>
            <w:r w:rsidRPr="000B52C6">
              <w:t>%)</w:t>
            </w:r>
            <w:r w:rsidRPr="000B52C6">
              <w:rPr>
                <w:vertAlign w:val="superscript"/>
              </w:rPr>
              <w:t>a</w:t>
            </w:r>
            <w:proofErr w:type="gramEnd"/>
            <w:r w:rsidRPr="000B52C6">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C8154A" w14:textId="77777777" w:rsidR="006B3342" w:rsidRPr="000B52C6" w:rsidRDefault="006B3342" w:rsidP="00513E25">
            <w:pPr>
              <w:pStyle w:val="TableText0"/>
              <w:jc w:val="center"/>
            </w:pPr>
            <w:r w:rsidRPr="000B52C6">
              <w:t>149 (76.4)</w:t>
            </w:r>
          </w:p>
        </w:tc>
        <w:tc>
          <w:tcPr>
            <w:tcW w:w="19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E595EA" w14:textId="77777777" w:rsidR="006B3342" w:rsidRPr="000B52C6" w:rsidRDefault="006B3342" w:rsidP="00513E25">
            <w:pPr>
              <w:pStyle w:val="TableText0"/>
              <w:jc w:val="center"/>
            </w:pPr>
            <w:r w:rsidRPr="000B52C6">
              <w:t>129 (62.3)</w:t>
            </w:r>
          </w:p>
        </w:tc>
        <w:tc>
          <w:tcPr>
            <w:tcW w:w="1647" w:type="dxa"/>
            <w:tcBorders>
              <w:top w:val="single" w:sz="4" w:space="0" w:color="auto"/>
              <w:left w:val="single" w:sz="4" w:space="0" w:color="auto"/>
              <w:bottom w:val="single" w:sz="4" w:space="0" w:color="auto"/>
              <w:right w:val="single" w:sz="4" w:space="0" w:color="auto"/>
            </w:tcBorders>
            <w:vAlign w:val="center"/>
          </w:tcPr>
          <w:p w14:paraId="60B530A3" w14:textId="77777777" w:rsidR="006B3342" w:rsidRPr="000B52C6" w:rsidRDefault="006B3342" w:rsidP="00513E25">
            <w:pPr>
              <w:pStyle w:val="TableText0"/>
              <w:jc w:val="center"/>
            </w:pPr>
            <w:r w:rsidRPr="000B52C6">
              <w:t>150 (76.9)</w:t>
            </w:r>
          </w:p>
        </w:tc>
        <w:tc>
          <w:tcPr>
            <w:tcW w:w="1647" w:type="dxa"/>
            <w:tcBorders>
              <w:top w:val="single" w:sz="4" w:space="0" w:color="auto"/>
              <w:left w:val="single" w:sz="4" w:space="0" w:color="auto"/>
              <w:bottom w:val="single" w:sz="4" w:space="0" w:color="auto"/>
              <w:right w:val="single" w:sz="4" w:space="0" w:color="auto"/>
            </w:tcBorders>
            <w:vAlign w:val="center"/>
          </w:tcPr>
          <w:p w14:paraId="2217B628" w14:textId="77777777" w:rsidR="006B3342" w:rsidRPr="000B52C6" w:rsidRDefault="006B3342" w:rsidP="00513E25">
            <w:pPr>
              <w:pStyle w:val="TableText0"/>
              <w:jc w:val="center"/>
            </w:pPr>
            <w:r w:rsidRPr="000B52C6">
              <w:t>131 (63.3)</w:t>
            </w:r>
          </w:p>
        </w:tc>
      </w:tr>
      <w:tr w:rsidR="006B3342" w:rsidRPr="000B52C6" w14:paraId="2C2796BA" w14:textId="77777777" w:rsidTr="00513E25">
        <w:tc>
          <w:tcPr>
            <w:tcW w:w="185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ABDA62D" w14:textId="77777777" w:rsidR="006B3342" w:rsidRPr="000B52C6" w:rsidRDefault="006B3342" w:rsidP="00513E25">
            <w:pPr>
              <w:pStyle w:val="TableText0"/>
            </w:pPr>
            <w:r w:rsidRPr="000B52C6">
              <w:t xml:space="preserve">Exact 95% CI </w:t>
            </w:r>
          </w:p>
        </w:tc>
        <w:tc>
          <w:tcPr>
            <w:tcW w:w="19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9CFC71" w14:textId="77777777" w:rsidR="006B3342" w:rsidRPr="000B52C6" w:rsidRDefault="006B3342" w:rsidP="00513E25">
            <w:pPr>
              <w:pStyle w:val="TableText0"/>
              <w:jc w:val="center"/>
            </w:pPr>
            <w:r w:rsidRPr="000B52C6">
              <w:t>(69.8, 82.2)</w:t>
            </w:r>
          </w:p>
        </w:tc>
        <w:tc>
          <w:tcPr>
            <w:tcW w:w="193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98D61B3" w14:textId="77777777" w:rsidR="006B3342" w:rsidRPr="000B52C6" w:rsidRDefault="006B3342" w:rsidP="00513E25">
            <w:pPr>
              <w:pStyle w:val="TableText0"/>
              <w:jc w:val="center"/>
            </w:pPr>
            <w:r w:rsidRPr="000B52C6">
              <w:t>(55.3, 68.9)</w:t>
            </w:r>
          </w:p>
        </w:tc>
        <w:tc>
          <w:tcPr>
            <w:tcW w:w="1647" w:type="dxa"/>
            <w:tcBorders>
              <w:top w:val="single" w:sz="4" w:space="0" w:color="auto"/>
              <w:left w:val="single" w:sz="4" w:space="0" w:color="auto"/>
              <w:bottom w:val="single" w:sz="4" w:space="0" w:color="auto"/>
              <w:right w:val="single" w:sz="4" w:space="0" w:color="auto"/>
            </w:tcBorders>
            <w:vAlign w:val="center"/>
          </w:tcPr>
          <w:p w14:paraId="6FEA0A62" w14:textId="77777777" w:rsidR="006B3342" w:rsidRPr="000B52C6" w:rsidRDefault="006B3342" w:rsidP="00513E25">
            <w:pPr>
              <w:pStyle w:val="TableText0"/>
              <w:jc w:val="center"/>
            </w:pPr>
            <w:r w:rsidRPr="000B52C6">
              <w:t>(70.4, 82.6)</w:t>
            </w:r>
          </w:p>
        </w:tc>
        <w:tc>
          <w:tcPr>
            <w:tcW w:w="1647" w:type="dxa"/>
            <w:tcBorders>
              <w:top w:val="single" w:sz="4" w:space="0" w:color="auto"/>
              <w:left w:val="single" w:sz="4" w:space="0" w:color="auto"/>
              <w:bottom w:val="single" w:sz="4" w:space="0" w:color="auto"/>
              <w:right w:val="single" w:sz="4" w:space="0" w:color="auto"/>
            </w:tcBorders>
            <w:vAlign w:val="center"/>
          </w:tcPr>
          <w:p w14:paraId="009D4332" w14:textId="77777777" w:rsidR="006B3342" w:rsidRPr="000B52C6" w:rsidRDefault="006B3342" w:rsidP="00513E25">
            <w:pPr>
              <w:pStyle w:val="TableText0"/>
              <w:jc w:val="center"/>
            </w:pPr>
            <w:r w:rsidRPr="000B52C6">
              <w:t>(56.3, 69.9)</w:t>
            </w:r>
          </w:p>
        </w:tc>
      </w:tr>
      <w:tr w:rsidR="006B3342" w:rsidRPr="000B52C6" w14:paraId="52D1B896" w14:textId="77777777" w:rsidTr="00513E25">
        <w:tc>
          <w:tcPr>
            <w:tcW w:w="9017"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CE34F1" w14:textId="77777777" w:rsidR="006B3342" w:rsidRPr="000B52C6" w:rsidRDefault="006B3342" w:rsidP="00513E25">
            <w:pPr>
              <w:pStyle w:val="TableText0"/>
            </w:pPr>
            <w:r w:rsidRPr="000B52C6">
              <w:t>Cochran-</w:t>
            </w:r>
            <w:r w:rsidRPr="000B52C6">
              <w:rPr>
                <w:shd w:val="clear" w:color="auto" w:fill="C6D9F1" w:themeFill="text2" w:themeFillTint="33"/>
              </w:rPr>
              <w:t>Mantel-Haenszel Test (</w:t>
            </w:r>
            <w:proofErr w:type="spellStart"/>
            <w:r w:rsidRPr="000B52C6">
              <w:rPr>
                <w:shd w:val="clear" w:color="auto" w:fill="C6D9F1" w:themeFill="text2" w:themeFillTint="33"/>
              </w:rPr>
              <w:t>SBd</w:t>
            </w:r>
            <w:proofErr w:type="spellEnd"/>
            <w:r w:rsidRPr="000B52C6">
              <w:rPr>
                <w:shd w:val="clear" w:color="auto" w:fill="C6D9F1" w:themeFill="text2" w:themeFillTint="33"/>
              </w:rPr>
              <w:t xml:space="preserve"> vs. </w:t>
            </w:r>
            <w:proofErr w:type="gramStart"/>
            <w:r w:rsidRPr="000B52C6">
              <w:rPr>
                <w:shd w:val="clear" w:color="auto" w:fill="C6D9F1" w:themeFill="text2" w:themeFillTint="33"/>
              </w:rPr>
              <w:t>Bd)</w:t>
            </w:r>
            <w:r w:rsidRPr="000B52C6">
              <w:rPr>
                <w:shd w:val="clear" w:color="auto" w:fill="C6D9F1" w:themeFill="text2" w:themeFillTint="33"/>
                <w:vertAlign w:val="superscript"/>
              </w:rPr>
              <w:t>b</w:t>
            </w:r>
            <w:proofErr w:type="gramEnd"/>
          </w:p>
        </w:tc>
      </w:tr>
      <w:tr w:rsidR="006B3342" w:rsidRPr="000B52C6" w14:paraId="6D73AB7E" w14:textId="77777777" w:rsidTr="00513E25">
        <w:tc>
          <w:tcPr>
            <w:tcW w:w="185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2A32912" w14:textId="77777777" w:rsidR="006B3342" w:rsidRPr="000B52C6" w:rsidRDefault="006B3342" w:rsidP="00513E25">
            <w:pPr>
              <w:pStyle w:val="TableText0"/>
            </w:pPr>
            <w:r w:rsidRPr="000B52C6">
              <w:t>OR (95% CI)</w:t>
            </w:r>
          </w:p>
        </w:tc>
        <w:tc>
          <w:tcPr>
            <w:tcW w:w="386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6B8023" w14:textId="77777777" w:rsidR="006B3342" w:rsidRPr="000B52C6" w:rsidRDefault="006B3342" w:rsidP="00513E25">
            <w:pPr>
              <w:pStyle w:val="TableText0"/>
              <w:jc w:val="center"/>
              <w:rPr>
                <w:b/>
                <w:bCs w:val="0"/>
              </w:rPr>
            </w:pPr>
            <w:r w:rsidRPr="000B52C6">
              <w:rPr>
                <w:b/>
                <w:bCs w:val="0"/>
              </w:rPr>
              <w:t>1.96 (1.26, 3.05)</w:t>
            </w:r>
          </w:p>
        </w:tc>
        <w:tc>
          <w:tcPr>
            <w:tcW w:w="3294" w:type="dxa"/>
            <w:gridSpan w:val="2"/>
            <w:tcBorders>
              <w:top w:val="single" w:sz="4" w:space="0" w:color="auto"/>
              <w:left w:val="single" w:sz="4" w:space="0" w:color="auto"/>
              <w:bottom w:val="single" w:sz="4" w:space="0" w:color="auto"/>
              <w:right w:val="single" w:sz="4" w:space="0" w:color="auto"/>
            </w:tcBorders>
            <w:vAlign w:val="center"/>
          </w:tcPr>
          <w:p w14:paraId="2F1FAE6F" w14:textId="77777777" w:rsidR="006B3342" w:rsidRPr="000B52C6" w:rsidRDefault="006B3342" w:rsidP="00513E25">
            <w:pPr>
              <w:pStyle w:val="TableText0"/>
              <w:jc w:val="center"/>
              <w:rPr>
                <w:b/>
                <w:bCs w:val="0"/>
              </w:rPr>
            </w:pPr>
            <w:r w:rsidRPr="000B52C6">
              <w:rPr>
                <w:b/>
                <w:bCs w:val="0"/>
              </w:rPr>
              <w:t>1.94 (1.25, 3.03)</w:t>
            </w:r>
          </w:p>
        </w:tc>
      </w:tr>
      <w:tr w:rsidR="006B3342" w:rsidRPr="000B52C6" w14:paraId="73133309" w14:textId="77777777" w:rsidTr="00513E25">
        <w:tc>
          <w:tcPr>
            <w:tcW w:w="185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986F271" w14:textId="77777777" w:rsidR="006B3342" w:rsidRPr="000B52C6" w:rsidRDefault="006B3342" w:rsidP="00513E25">
            <w:pPr>
              <w:pStyle w:val="TableText0"/>
            </w:pPr>
            <w:r w:rsidRPr="000B52C6">
              <w:t xml:space="preserve">One Sided P-value </w:t>
            </w:r>
          </w:p>
        </w:tc>
        <w:tc>
          <w:tcPr>
            <w:tcW w:w="386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90FA1A9" w14:textId="77777777" w:rsidR="006B3342" w:rsidRPr="000B52C6" w:rsidRDefault="006B3342" w:rsidP="00513E25">
            <w:pPr>
              <w:pStyle w:val="TableText0"/>
              <w:jc w:val="center"/>
              <w:rPr>
                <w:b/>
                <w:bCs w:val="0"/>
              </w:rPr>
            </w:pPr>
            <w:r w:rsidRPr="000B52C6">
              <w:rPr>
                <w:b/>
                <w:bCs w:val="0"/>
              </w:rPr>
              <w:t>0.0012</w:t>
            </w:r>
          </w:p>
        </w:tc>
        <w:tc>
          <w:tcPr>
            <w:tcW w:w="3294" w:type="dxa"/>
            <w:gridSpan w:val="2"/>
            <w:tcBorders>
              <w:top w:val="single" w:sz="4" w:space="0" w:color="auto"/>
              <w:left w:val="single" w:sz="4" w:space="0" w:color="auto"/>
              <w:bottom w:val="single" w:sz="4" w:space="0" w:color="auto"/>
              <w:right w:val="single" w:sz="4" w:space="0" w:color="auto"/>
            </w:tcBorders>
            <w:vAlign w:val="center"/>
          </w:tcPr>
          <w:p w14:paraId="07B98440" w14:textId="77777777" w:rsidR="006B3342" w:rsidRPr="000B52C6" w:rsidRDefault="006B3342" w:rsidP="00513E25">
            <w:pPr>
              <w:pStyle w:val="TableText0"/>
              <w:jc w:val="center"/>
              <w:rPr>
                <w:b/>
                <w:bCs w:val="0"/>
              </w:rPr>
            </w:pPr>
            <w:r w:rsidRPr="000B52C6">
              <w:rPr>
                <w:b/>
                <w:bCs w:val="0"/>
              </w:rPr>
              <w:t>0.0016</w:t>
            </w:r>
          </w:p>
        </w:tc>
      </w:tr>
      <w:tr w:rsidR="006B3342" w:rsidRPr="000B52C6" w14:paraId="211D981F" w14:textId="77777777" w:rsidTr="00513E25">
        <w:tc>
          <w:tcPr>
            <w:tcW w:w="9017"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99CB6B" w14:textId="77777777" w:rsidR="006B3342" w:rsidRPr="000B52C6" w:rsidRDefault="006B3342" w:rsidP="00513E25">
            <w:pPr>
              <w:pStyle w:val="TableText0"/>
            </w:pPr>
            <w:r w:rsidRPr="000B52C6">
              <w:t>Breslow-Day Test for homogeneity</w:t>
            </w:r>
          </w:p>
        </w:tc>
      </w:tr>
      <w:tr w:rsidR="006B3342" w:rsidRPr="000B52C6" w14:paraId="66E9DF0D" w14:textId="77777777" w:rsidTr="00513E25">
        <w:tc>
          <w:tcPr>
            <w:tcW w:w="185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761A559" w14:textId="77777777" w:rsidR="006B3342" w:rsidRPr="000B52C6" w:rsidRDefault="006B3342" w:rsidP="00513E25">
            <w:pPr>
              <w:pStyle w:val="TableText0"/>
            </w:pPr>
            <w:r w:rsidRPr="000B52C6">
              <w:t xml:space="preserve">P-value </w:t>
            </w:r>
          </w:p>
        </w:tc>
        <w:tc>
          <w:tcPr>
            <w:tcW w:w="386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10F0C4" w14:textId="77777777" w:rsidR="006B3342" w:rsidRPr="000B52C6" w:rsidRDefault="006B3342" w:rsidP="00513E25">
            <w:pPr>
              <w:pStyle w:val="TableText0"/>
              <w:jc w:val="center"/>
            </w:pPr>
            <w:r w:rsidRPr="000B52C6">
              <w:t>0.2430</w:t>
            </w:r>
          </w:p>
        </w:tc>
        <w:tc>
          <w:tcPr>
            <w:tcW w:w="3294" w:type="dxa"/>
            <w:gridSpan w:val="2"/>
            <w:tcBorders>
              <w:top w:val="single" w:sz="4" w:space="0" w:color="auto"/>
              <w:left w:val="single" w:sz="4" w:space="0" w:color="auto"/>
              <w:bottom w:val="single" w:sz="4" w:space="0" w:color="auto"/>
              <w:right w:val="single" w:sz="4" w:space="0" w:color="auto"/>
            </w:tcBorders>
            <w:vAlign w:val="center"/>
          </w:tcPr>
          <w:p w14:paraId="4CF17A33" w14:textId="77777777" w:rsidR="006B3342" w:rsidRPr="000B52C6" w:rsidRDefault="006B3342" w:rsidP="00513E25">
            <w:pPr>
              <w:pStyle w:val="TableText0"/>
              <w:jc w:val="center"/>
            </w:pPr>
            <w:r w:rsidRPr="000B52C6">
              <w:t>0.4154</w:t>
            </w:r>
          </w:p>
        </w:tc>
      </w:tr>
    </w:tbl>
    <w:p w14:paraId="351EDE79" w14:textId="77777777" w:rsidR="006B3342" w:rsidRPr="000B52C6" w:rsidRDefault="006B3342" w:rsidP="006B3342">
      <w:pPr>
        <w:pStyle w:val="TableFigureFooter"/>
      </w:pPr>
      <w:r w:rsidRPr="000B52C6">
        <w:t>Source: Table 2-21, p94 of the resubmission.</w:t>
      </w:r>
    </w:p>
    <w:p w14:paraId="7C499F3F" w14:textId="77777777" w:rsidR="006B3342" w:rsidRPr="000B52C6" w:rsidRDefault="006B3342" w:rsidP="006B3342">
      <w:pPr>
        <w:pStyle w:val="TableFigureFooter"/>
      </w:pPr>
      <w:r w:rsidRPr="000B52C6">
        <w:t xml:space="preserve">Abbreviations: Bd = bortezomib + dexamethasone; CI = confidence interval; ITT = intention to treat; IRC = Independent Review Committee; ORR = overall response rate; OR = odds ratio; PD = progressive disease; </w:t>
      </w:r>
      <w:proofErr w:type="spellStart"/>
      <w:r w:rsidRPr="000B52C6">
        <w:t>SBd</w:t>
      </w:r>
      <w:proofErr w:type="spellEnd"/>
      <w:r w:rsidRPr="000B52C6">
        <w:t xml:space="preserve"> = </w:t>
      </w:r>
      <w:proofErr w:type="spellStart"/>
      <w:r w:rsidRPr="000B52C6">
        <w:t>selinexor</w:t>
      </w:r>
      <w:proofErr w:type="spellEnd"/>
      <w:r w:rsidRPr="000B52C6">
        <w:t xml:space="preserve"> + bortezomib + dexamethasone.</w:t>
      </w:r>
    </w:p>
    <w:p w14:paraId="2F6F252E" w14:textId="77777777" w:rsidR="006B3342" w:rsidRPr="000B52C6" w:rsidRDefault="006B3342" w:rsidP="006B3342">
      <w:pPr>
        <w:pStyle w:val="TableFigureFooter"/>
      </w:pPr>
      <w:r w:rsidRPr="000B52C6">
        <w:t xml:space="preserve">Notes: </w:t>
      </w:r>
      <w:r w:rsidRPr="000B52C6">
        <w:rPr>
          <w:b/>
          <w:bCs/>
        </w:rPr>
        <w:t xml:space="preserve">Bold </w:t>
      </w:r>
      <w:r w:rsidRPr="000B52C6">
        <w:t>indicates a statistically significant difference.</w:t>
      </w:r>
    </w:p>
    <w:p w14:paraId="55F221C3" w14:textId="77777777" w:rsidR="006B3342" w:rsidRPr="000B52C6" w:rsidRDefault="006B3342" w:rsidP="006B3342">
      <w:pPr>
        <w:pStyle w:val="TableFigureFooter"/>
        <w:rPr>
          <w:bCs/>
          <w:iCs/>
          <w:szCs w:val="18"/>
        </w:rPr>
      </w:pPr>
      <w:r w:rsidRPr="000B52C6">
        <w:rPr>
          <w:rStyle w:val="CommentReference"/>
          <w:b w:val="0"/>
          <w:bCs/>
          <w:iCs/>
          <w:sz w:val="18"/>
          <w:szCs w:val="18"/>
          <w:shd w:val="clear" w:color="auto" w:fill="C6D9F1" w:themeFill="text2" w:themeFillTint="33"/>
        </w:rPr>
        <w:t>Blue shading</w:t>
      </w:r>
      <w:r w:rsidRPr="000B52C6">
        <w:rPr>
          <w:rStyle w:val="CommentReference"/>
          <w:b w:val="0"/>
          <w:bCs/>
          <w:iCs/>
          <w:sz w:val="18"/>
          <w:szCs w:val="18"/>
        </w:rPr>
        <w:t xml:space="preserve"> indicates data previously seen by the PBAC. </w:t>
      </w:r>
    </w:p>
    <w:p w14:paraId="45061DB1" w14:textId="77777777" w:rsidR="006B3342" w:rsidRPr="000B52C6" w:rsidRDefault="006B3342" w:rsidP="006B3342">
      <w:pPr>
        <w:pStyle w:val="TableFigureFooter"/>
      </w:pPr>
      <w:r w:rsidRPr="000B52C6">
        <w:t>a. Overall response rate is the proportion of patients who achieve a partial response or better, before IRC-confirmed PD or initiating a new MM treatment or crossover.</w:t>
      </w:r>
    </w:p>
    <w:p w14:paraId="16ADDFB4" w14:textId="77777777" w:rsidR="006B3342" w:rsidRPr="000B52C6" w:rsidRDefault="006B3342" w:rsidP="006B3342">
      <w:pPr>
        <w:pStyle w:val="TableFigureFooter"/>
      </w:pPr>
      <w:r w:rsidRPr="000B52C6">
        <w:t>b. Analysis using Cochran-Mantel-Haenszel test stratified by prior PI therapies, number of prior anti-MM regimens, and R-ISS stage at screening.</w:t>
      </w:r>
    </w:p>
    <w:p w14:paraId="276BAC0C" w14:textId="77777777" w:rsidR="006B3342" w:rsidRPr="000B52C6" w:rsidRDefault="006B3342" w:rsidP="006B3342">
      <w:pPr>
        <w:pStyle w:val="TableFigureFooter"/>
      </w:pPr>
    </w:p>
    <w:p w14:paraId="68B40FEA" w14:textId="77777777" w:rsidR="006B3342" w:rsidRPr="000B52C6" w:rsidRDefault="006B3342" w:rsidP="006B3342">
      <w:pPr>
        <w:pStyle w:val="3-BodyText"/>
        <w:numPr>
          <w:ilvl w:val="0"/>
          <w:numId w:val="0"/>
        </w:numPr>
        <w:rPr>
          <w:u w:val="single"/>
        </w:rPr>
      </w:pPr>
      <w:r w:rsidRPr="000B52C6">
        <w:rPr>
          <w:u w:val="single"/>
        </w:rPr>
        <w:t>ENDEAVOR (Cd versus Bd)</w:t>
      </w:r>
    </w:p>
    <w:p w14:paraId="70732098" w14:textId="21390243" w:rsidR="006B3342" w:rsidRPr="000B52C6" w:rsidRDefault="006B3342" w:rsidP="00B93899">
      <w:pPr>
        <w:pStyle w:val="3-BodyText"/>
        <w:ind w:left="720" w:hanging="720"/>
        <w:rPr>
          <w:iCs/>
          <w:color w:val="0066FF"/>
        </w:rPr>
      </w:pPr>
      <w:r w:rsidRPr="000B52C6">
        <w:t xml:space="preserve">As of the data cut-off date of 10 November 2014, median PFS was 18.7 months in the Cd arm versus 9.4 months in Bd arm; HR= 0.53 (0.44–0.65); p&lt;0·0001 (see </w:t>
      </w:r>
      <w:r w:rsidRPr="000B52C6">
        <w:fldChar w:fldCharType="begin"/>
      </w:r>
      <w:r w:rsidRPr="000B52C6">
        <w:instrText xml:space="preserve"> REF _Ref90370050 \h </w:instrText>
      </w:r>
      <w:r w:rsidRPr="000B52C6">
        <w:fldChar w:fldCharType="separate"/>
      </w:r>
      <w:r w:rsidR="00FF5725" w:rsidRPr="000B52C6">
        <w:t xml:space="preserve">Table </w:t>
      </w:r>
      <w:r w:rsidR="00FF5725">
        <w:rPr>
          <w:bCs/>
          <w:noProof/>
        </w:rPr>
        <w:t>8</w:t>
      </w:r>
      <w:r w:rsidRPr="000B52C6">
        <w:fldChar w:fldCharType="end"/>
      </w:r>
      <w:r w:rsidRPr="000B52C6">
        <w:t xml:space="preserve">). </w:t>
      </w:r>
      <w:r w:rsidRPr="000B52C6">
        <w:rPr>
          <w:iCs/>
        </w:rPr>
        <w:t>Results from a later data cut-off (3 March 2016 data cut-off) with a median follow-up for PFS of 16.6 months, were consistent with the first interim PFS analysis. The median PFS was longer by 7.4 months in the Cd arm (16.8 months; 95% CI: 14.8, 20.3) compared to Bd (9.3 months; 95% CI: 8.3, 10.4; HR = 0.55 (95% CI: 0.46-0.65); p &lt; 0.001; Table 6, Carfilzomib PSD, July 2017 PBAC Meeting).</w:t>
      </w:r>
    </w:p>
    <w:p w14:paraId="0BB64D20" w14:textId="55CBD92A" w:rsidR="006B3342" w:rsidRPr="000B52C6" w:rsidRDefault="006B3342" w:rsidP="006B3342">
      <w:pPr>
        <w:pStyle w:val="TableFigureHeading"/>
        <w:rPr>
          <w:bCs w:val="0"/>
        </w:rPr>
      </w:pPr>
      <w:bookmarkStart w:id="28" w:name="_Ref90370050"/>
      <w:r w:rsidRPr="000B52C6">
        <w:rPr>
          <w:bCs w:val="0"/>
        </w:rPr>
        <w:lastRenderedPageBreak/>
        <w:t xml:space="preserve">Table </w:t>
      </w:r>
      <w:r w:rsidRPr="000B52C6">
        <w:rPr>
          <w:bCs w:val="0"/>
        </w:rPr>
        <w:fldChar w:fldCharType="begin"/>
      </w:r>
      <w:r w:rsidRPr="000B52C6">
        <w:rPr>
          <w:bCs w:val="0"/>
        </w:rPr>
        <w:instrText xml:space="preserve"> SEQ Table \* ARABIC </w:instrText>
      </w:r>
      <w:r w:rsidRPr="000B52C6">
        <w:rPr>
          <w:bCs w:val="0"/>
        </w:rPr>
        <w:fldChar w:fldCharType="separate"/>
      </w:r>
      <w:r w:rsidR="00FF5725">
        <w:rPr>
          <w:bCs w:val="0"/>
          <w:noProof/>
        </w:rPr>
        <w:t>8</w:t>
      </w:r>
      <w:r w:rsidRPr="000B52C6">
        <w:rPr>
          <w:bCs w:val="0"/>
        </w:rPr>
        <w:fldChar w:fldCharType="end"/>
      </w:r>
      <w:bookmarkEnd w:id="28"/>
      <w:r w:rsidRPr="000B52C6">
        <w:rPr>
          <w:bCs w:val="0"/>
        </w:rPr>
        <w:t>: Results of PFS in ENDEAVOR</w:t>
      </w:r>
    </w:p>
    <w:tbl>
      <w:tblPr>
        <w:tblStyle w:val="TableGrid"/>
        <w:tblW w:w="9067" w:type="dxa"/>
        <w:shd w:val="clear" w:color="auto" w:fill="C6D9F1" w:themeFill="text2" w:themeFillTint="33"/>
        <w:tblLook w:val="04A0" w:firstRow="1" w:lastRow="0" w:firstColumn="1" w:lastColumn="0" w:noHBand="0" w:noVBand="1"/>
      </w:tblPr>
      <w:tblGrid>
        <w:gridCol w:w="1153"/>
        <w:gridCol w:w="1536"/>
        <w:gridCol w:w="1842"/>
        <w:gridCol w:w="1560"/>
        <w:gridCol w:w="1701"/>
        <w:gridCol w:w="1275"/>
      </w:tblGrid>
      <w:tr w:rsidR="006B3342" w:rsidRPr="000B52C6" w14:paraId="31562B23" w14:textId="77777777" w:rsidTr="005640E7">
        <w:tc>
          <w:tcPr>
            <w:tcW w:w="11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B9794C" w14:textId="77777777" w:rsidR="006B3342" w:rsidRPr="000B52C6" w:rsidRDefault="006B3342" w:rsidP="00513E25">
            <w:pPr>
              <w:pStyle w:val="TableText0"/>
              <w:jc w:val="center"/>
              <w:rPr>
                <w:b/>
                <w:bCs w:val="0"/>
              </w:rPr>
            </w:pPr>
            <w:r w:rsidRPr="000B52C6">
              <w:rPr>
                <w:b/>
                <w:bCs w:val="0"/>
              </w:rPr>
              <w:t>Treatment arm</w:t>
            </w:r>
          </w:p>
        </w:tc>
        <w:tc>
          <w:tcPr>
            <w:tcW w:w="15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6F4D0C" w14:textId="77777777" w:rsidR="006B3342" w:rsidRPr="000B52C6" w:rsidRDefault="006B3342" w:rsidP="00513E25">
            <w:pPr>
              <w:pStyle w:val="TableText0"/>
              <w:jc w:val="center"/>
              <w:rPr>
                <w:b/>
                <w:bCs w:val="0"/>
              </w:rPr>
            </w:pPr>
            <w:r w:rsidRPr="000B52C6">
              <w:rPr>
                <w:b/>
                <w:bCs w:val="0"/>
              </w:rPr>
              <w:t>Patients with event, n/N (%)</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9EBA9B0" w14:textId="77777777" w:rsidR="006B3342" w:rsidRPr="000B52C6" w:rsidRDefault="006B3342" w:rsidP="00513E25">
            <w:pPr>
              <w:pStyle w:val="TableText0"/>
              <w:jc w:val="center"/>
              <w:rPr>
                <w:b/>
                <w:bCs w:val="0"/>
              </w:rPr>
            </w:pPr>
            <w:r w:rsidRPr="000B52C6">
              <w:rPr>
                <w:b/>
                <w:bCs w:val="0"/>
              </w:rPr>
              <w:t xml:space="preserve">Median, months </w:t>
            </w:r>
          </w:p>
          <w:p w14:paraId="40D9A718" w14:textId="77777777" w:rsidR="006B3342" w:rsidRPr="000B52C6" w:rsidRDefault="006B3342" w:rsidP="00513E25">
            <w:pPr>
              <w:pStyle w:val="TableText0"/>
              <w:jc w:val="center"/>
              <w:rPr>
                <w:b/>
                <w:bCs w:val="0"/>
              </w:rPr>
            </w:pPr>
            <w:r w:rsidRPr="000B52C6">
              <w:rPr>
                <w:b/>
                <w:bCs w:val="0"/>
              </w:rPr>
              <w:t>(95% CI)</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EC0BFD" w14:textId="77777777" w:rsidR="006B3342" w:rsidRPr="000B52C6" w:rsidRDefault="006B3342" w:rsidP="00513E25">
            <w:pPr>
              <w:jc w:val="center"/>
              <w:rPr>
                <w:rFonts w:ascii="Arial Narrow" w:eastAsiaTheme="majorEastAsia" w:hAnsi="Arial Narrow" w:cstheme="majorBidi"/>
                <w:b/>
                <w:sz w:val="20"/>
              </w:rPr>
            </w:pPr>
            <w:r w:rsidRPr="000B52C6">
              <w:rPr>
                <w:rFonts w:ascii="Arial Narrow" w:eastAsiaTheme="majorEastAsia" w:hAnsi="Arial Narrow" w:cstheme="majorBidi"/>
                <w:b/>
                <w:sz w:val="20"/>
              </w:rPr>
              <w:t>Difference in median, months</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4FE621F" w14:textId="77777777" w:rsidR="006B3342" w:rsidRPr="000B52C6" w:rsidRDefault="006B3342" w:rsidP="00513E25">
            <w:pPr>
              <w:pStyle w:val="TableText0"/>
              <w:jc w:val="center"/>
              <w:rPr>
                <w:b/>
                <w:bCs w:val="0"/>
              </w:rPr>
            </w:pPr>
            <w:r w:rsidRPr="000B52C6">
              <w:rPr>
                <w:b/>
                <w:bCs w:val="0"/>
              </w:rPr>
              <w:t>P value</w:t>
            </w:r>
          </w:p>
          <w:p w14:paraId="41778AD3" w14:textId="04060D71" w:rsidR="006B3342" w:rsidRPr="000B52C6" w:rsidRDefault="006B3342" w:rsidP="005640E7">
            <w:pPr>
              <w:pStyle w:val="TableText0"/>
              <w:jc w:val="center"/>
              <w:rPr>
                <w:b/>
              </w:rPr>
            </w:pPr>
            <w:r w:rsidRPr="000B52C6">
              <w:rPr>
                <w:b/>
                <w:bCs w:val="0"/>
              </w:rPr>
              <w:t>(log rank</w:t>
            </w:r>
            <w:r w:rsidR="005640E7">
              <w:rPr>
                <w:b/>
                <w:bCs w:val="0"/>
              </w:rPr>
              <w:t xml:space="preserve"> </w:t>
            </w:r>
            <w:r w:rsidRPr="000B52C6">
              <w:rPr>
                <w:b/>
              </w:rPr>
              <w:t>test)</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159732" w14:textId="77777777" w:rsidR="006B3342" w:rsidRPr="000B52C6" w:rsidRDefault="006B3342" w:rsidP="00513E25">
            <w:pPr>
              <w:jc w:val="center"/>
              <w:rPr>
                <w:rFonts w:ascii="Arial Narrow" w:eastAsiaTheme="majorEastAsia" w:hAnsi="Arial Narrow" w:cstheme="majorBidi"/>
                <w:b/>
                <w:sz w:val="20"/>
              </w:rPr>
            </w:pPr>
            <w:r w:rsidRPr="000B52C6">
              <w:rPr>
                <w:rFonts w:ascii="Arial Narrow" w:eastAsiaTheme="majorEastAsia" w:hAnsi="Arial Narrow" w:cstheme="majorBidi"/>
                <w:b/>
                <w:sz w:val="20"/>
              </w:rPr>
              <w:t>HR (95% CI)</w:t>
            </w:r>
          </w:p>
        </w:tc>
      </w:tr>
      <w:tr w:rsidR="006B3342" w:rsidRPr="000B52C6" w14:paraId="6921F63E" w14:textId="77777777" w:rsidTr="005640E7">
        <w:tc>
          <w:tcPr>
            <w:tcW w:w="11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C1AC9D" w14:textId="77777777" w:rsidR="006B3342" w:rsidRPr="000B52C6" w:rsidRDefault="006B3342" w:rsidP="005640E7">
            <w:pPr>
              <w:pStyle w:val="TableText0"/>
              <w:jc w:val="center"/>
              <w:rPr>
                <w:b/>
                <w:bCs w:val="0"/>
              </w:rPr>
            </w:pPr>
            <w:r w:rsidRPr="000B52C6">
              <w:rPr>
                <w:b/>
                <w:bCs w:val="0"/>
              </w:rPr>
              <w:t>Cd</w:t>
            </w:r>
          </w:p>
        </w:tc>
        <w:tc>
          <w:tcPr>
            <w:tcW w:w="15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07E725" w14:textId="77777777" w:rsidR="006B3342" w:rsidRPr="000B52C6" w:rsidRDefault="006B3342" w:rsidP="00513E25">
            <w:pPr>
              <w:pStyle w:val="TableText0"/>
              <w:jc w:val="center"/>
            </w:pPr>
            <w:r w:rsidRPr="000B52C6">
              <w:t>171/464 (36.9%)</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3B1D54" w14:textId="77777777" w:rsidR="006B3342" w:rsidRPr="000B52C6" w:rsidRDefault="006B3342" w:rsidP="00513E25">
            <w:pPr>
              <w:pStyle w:val="TableText0"/>
              <w:jc w:val="center"/>
            </w:pPr>
            <w:r w:rsidRPr="000B52C6">
              <w:t>18.7</w:t>
            </w:r>
          </w:p>
          <w:p w14:paraId="56E103C5" w14:textId="77777777" w:rsidR="006B3342" w:rsidRPr="000B52C6" w:rsidRDefault="006B3342" w:rsidP="00513E25">
            <w:pPr>
              <w:pStyle w:val="TableText0"/>
              <w:jc w:val="center"/>
            </w:pPr>
            <w:r w:rsidRPr="000B52C6">
              <w:t>(15.6, NE)</w:t>
            </w:r>
          </w:p>
        </w:tc>
        <w:tc>
          <w:tcPr>
            <w:tcW w:w="1560" w:type="dxa"/>
            <w:vMerge w:val="restart"/>
            <w:tcBorders>
              <w:top w:val="single" w:sz="4" w:space="0" w:color="auto"/>
              <w:left w:val="single" w:sz="4" w:space="0" w:color="auto"/>
              <w:right w:val="single" w:sz="4" w:space="0" w:color="auto"/>
            </w:tcBorders>
            <w:shd w:val="clear" w:color="auto" w:fill="C6D9F1" w:themeFill="text2" w:themeFillTint="33"/>
            <w:vAlign w:val="center"/>
            <w:hideMark/>
          </w:tcPr>
          <w:p w14:paraId="115A77C2" w14:textId="77777777" w:rsidR="006B3342" w:rsidRPr="000B52C6" w:rsidRDefault="006B3342" w:rsidP="00513E25">
            <w:pPr>
              <w:pStyle w:val="TableText0"/>
              <w:jc w:val="center"/>
            </w:pPr>
            <w:r w:rsidRPr="000B52C6">
              <w:t>9.3</w:t>
            </w:r>
          </w:p>
        </w:tc>
        <w:tc>
          <w:tcPr>
            <w:tcW w:w="1701" w:type="dxa"/>
            <w:vMerge w:val="restart"/>
            <w:tcBorders>
              <w:top w:val="single" w:sz="4" w:space="0" w:color="auto"/>
              <w:left w:val="single" w:sz="4" w:space="0" w:color="auto"/>
              <w:right w:val="single" w:sz="4" w:space="0" w:color="auto"/>
            </w:tcBorders>
            <w:shd w:val="clear" w:color="auto" w:fill="C6D9F1" w:themeFill="text2" w:themeFillTint="33"/>
            <w:vAlign w:val="center"/>
            <w:hideMark/>
          </w:tcPr>
          <w:p w14:paraId="56B10320" w14:textId="77777777" w:rsidR="006B3342" w:rsidRPr="000B52C6" w:rsidRDefault="006B3342" w:rsidP="00513E25">
            <w:pPr>
              <w:pStyle w:val="TableText0"/>
              <w:jc w:val="center"/>
              <w:rPr>
                <w:b/>
                <w:bCs w:val="0"/>
              </w:rPr>
            </w:pPr>
            <w:r w:rsidRPr="000B52C6">
              <w:rPr>
                <w:b/>
                <w:bCs w:val="0"/>
              </w:rPr>
              <w:t>&lt; 0.0001</w:t>
            </w:r>
          </w:p>
        </w:tc>
        <w:tc>
          <w:tcPr>
            <w:tcW w:w="1275" w:type="dxa"/>
            <w:vMerge w:val="restart"/>
            <w:tcBorders>
              <w:top w:val="single" w:sz="4" w:space="0" w:color="auto"/>
              <w:left w:val="single" w:sz="4" w:space="0" w:color="auto"/>
              <w:right w:val="single" w:sz="4" w:space="0" w:color="auto"/>
            </w:tcBorders>
            <w:shd w:val="clear" w:color="auto" w:fill="C6D9F1" w:themeFill="text2" w:themeFillTint="33"/>
            <w:vAlign w:val="center"/>
            <w:hideMark/>
          </w:tcPr>
          <w:p w14:paraId="5FD1BE8F" w14:textId="77777777" w:rsidR="006B3342" w:rsidRPr="000B52C6" w:rsidRDefault="006B3342" w:rsidP="00513E25">
            <w:pPr>
              <w:pStyle w:val="TableText0"/>
              <w:jc w:val="center"/>
              <w:rPr>
                <w:b/>
                <w:bCs w:val="0"/>
              </w:rPr>
            </w:pPr>
            <w:r w:rsidRPr="000B52C6">
              <w:rPr>
                <w:b/>
                <w:bCs w:val="0"/>
              </w:rPr>
              <w:t>0.53</w:t>
            </w:r>
          </w:p>
          <w:p w14:paraId="0C886F49" w14:textId="77777777" w:rsidR="006B3342" w:rsidRPr="000B52C6" w:rsidRDefault="006B3342" w:rsidP="00513E25">
            <w:pPr>
              <w:pStyle w:val="TableText0"/>
              <w:jc w:val="center"/>
            </w:pPr>
            <w:r w:rsidRPr="000B52C6">
              <w:rPr>
                <w:b/>
                <w:bCs w:val="0"/>
              </w:rPr>
              <w:t>(0.44, 0.65)</w:t>
            </w:r>
          </w:p>
        </w:tc>
      </w:tr>
      <w:tr w:rsidR="006B3342" w:rsidRPr="000B52C6" w14:paraId="00D728B1" w14:textId="77777777" w:rsidTr="005640E7">
        <w:tc>
          <w:tcPr>
            <w:tcW w:w="11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F0A79A" w14:textId="77777777" w:rsidR="006B3342" w:rsidRPr="000B52C6" w:rsidRDefault="006B3342" w:rsidP="005640E7">
            <w:pPr>
              <w:pStyle w:val="TableText0"/>
              <w:jc w:val="center"/>
              <w:rPr>
                <w:b/>
                <w:bCs w:val="0"/>
              </w:rPr>
            </w:pPr>
            <w:r w:rsidRPr="000B52C6">
              <w:rPr>
                <w:b/>
                <w:bCs w:val="0"/>
              </w:rPr>
              <w:t>Bd</w:t>
            </w:r>
          </w:p>
        </w:tc>
        <w:tc>
          <w:tcPr>
            <w:tcW w:w="15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5A9B2E" w14:textId="77777777" w:rsidR="006B3342" w:rsidRPr="000B52C6" w:rsidRDefault="006B3342" w:rsidP="00513E25">
            <w:pPr>
              <w:pStyle w:val="TableText0"/>
              <w:jc w:val="center"/>
            </w:pPr>
            <w:r w:rsidRPr="000B52C6">
              <w:t>243/465 (52.3%)</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00248D" w14:textId="77777777" w:rsidR="006B3342" w:rsidRPr="000B52C6" w:rsidRDefault="006B3342" w:rsidP="00513E25">
            <w:pPr>
              <w:pStyle w:val="TableText0"/>
              <w:jc w:val="center"/>
            </w:pPr>
            <w:r w:rsidRPr="000B52C6">
              <w:t>9.4</w:t>
            </w:r>
          </w:p>
          <w:p w14:paraId="24872432" w14:textId="77777777" w:rsidR="006B3342" w:rsidRPr="000B52C6" w:rsidRDefault="006B3342" w:rsidP="00513E25">
            <w:pPr>
              <w:pStyle w:val="TableText0"/>
              <w:jc w:val="center"/>
            </w:pPr>
            <w:r w:rsidRPr="000B52C6">
              <w:t>(8.4, 10.4)</w:t>
            </w:r>
          </w:p>
        </w:tc>
        <w:tc>
          <w:tcPr>
            <w:tcW w:w="1560" w:type="dxa"/>
            <w:vMerge/>
            <w:tcBorders>
              <w:left w:val="single" w:sz="4" w:space="0" w:color="auto"/>
              <w:bottom w:val="single" w:sz="4" w:space="0" w:color="auto"/>
              <w:right w:val="single" w:sz="4" w:space="0" w:color="auto"/>
            </w:tcBorders>
            <w:shd w:val="clear" w:color="auto" w:fill="C6D9F1" w:themeFill="text2" w:themeFillTint="33"/>
            <w:vAlign w:val="center"/>
          </w:tcPr>
          <w:p w14:paraId="6F844603" w14:textId="77777777" w:rsidR="006B3342" w:rsidRPr="000B52C6" w:rsidRDefault="006B3342" w:rsidP="00513E25">
            <w:pPr>
              <w:pStyle w:val="TableText0"/>
              <w:jc w:val="center"/>
            </w:pPr>
          </w:p>
        </w:tc>
        <w:tc>
          <w:tcPr>
            <w:tcW w:w="1701" w:type="dxa"/>
            <w:vMerge/>
            <w:tcBorders>
              <w:left w:val="single" w:sz="4" w:space="0" w:color="auto"/>
              <w:bottom w:val="single" w:sz="4" w:space="0" w:color="auto"/>
              <w:right w:val="single" w:sz="4" w:space="0" w:color="auto"/>
            </w:tcBorders>
            <w:shd w:val="clear" w:color="auto" w:fill="C6D9F1" w:themeFill="text2" w:themeFillTint="33"/>
            <w:vAlign w:val="center"/>
          </w:tcPr>
          <w:p w14:paraId="407ED59B" w14:textId="77777777" w:rsidR="006B3342" w:rsidRPr="000B52C6" w:rsidRDefault="006B3342" w:rsidP="00513E25">
            <w:pPr>
              <w:pStyle w:val="TableText0"/>
              <w:jc w:val="center"/>
            </w:pPr>
          </w:p>
        </w:tc>
        <w:tc>
          <w:tcPr>
            <w:tcW w:w="1275" w:type="dxa"/>
            <w:vMerge/>
            <w:tcBorders>
              <w:left w:val="single" w:sz="4" w:space="0" w:color="auto"/>
              <w:bottom w:val="single" w:sz="4" w:space="0" w:color="auto"/>
              <w:right w:val="single" w:sz="4" w:space="0" w:color="auto"/>
            </w:tcBorders>
            <w:shd w:val="clear" w:color="auto" w:fill="C6D9F1" w:themeFill="text2" w:themeFillTint="33"/>
            <w:vAlign w:val="center"/>
          </w:tcPr>
          <w:p w14:paraId="5CD5602B" w14:textId="77777777" w:rsidR="006B3342" w:rsidRPr="000B52C6" w:rsidRDefault="006B3342" w:rsidP="00513E25">
            <w:pPr>
              <w:pStyle w:val="TableText0"/>
              <w:jc w:val="center"/>
            </w:pPr>
          </w:p>
        </w:tc>
      </w:tr>
    </w:tbl>
    <w:p w14:paraId="5940C453" w14:textId="77777777" w:rsidR="006B3342" w:rsidRPr="000B52C6" w:rsidRDefault="006B3342" w:rsidP="006B3342">
      <w:pPr>
        <w:rPr>
          <w:rFonts w:ascii="Arial Narrow" w:hAnsi="Arial Narrow"/>
          <w:snapToGrid w:val="0"/>
          <w:sz w:val="18"/>
          <w:szCs w:val="22"/>
        </w:rPr>
      </w:pPr>
      <w:r w:rsidRPr="000B52C6">
        <w:rPr>
          <w:rFonts w:ascii="Arial Narrow" w:hAnsi="Arial Narrow"/>
          <w:snapToGrid w:val="0"/>
          <w:sz w:val="18"/>
          <w:szCs w:val="22"/>
        </w:rPr>
        <w:t xml:space="preserve">Source: Table 2-25, p103 of the resubmission. </w:t>
      </w:r>
    </w:p>
    <w:p w14:paraId="24B87C92" w14:textId="77777777" w:rsidR="006B3342" w:rsidRPr="000B52C6" w:rsidRDefault="006B3342" w:rsidP="006B3342">
      <w:pPr>
        <w:rPr>
          <w:rFonts w:ascii="Arial Narrow" w:hAnsi="Arial Narrow"/>
          <w:snapToGrid w:val="0"/>
          <w:sz w:val="18"/>
          <w:szCs w:val="22"/>
        </w:rPr>
      </w:pPr>
      <w:r w:rsidRPr="000B52C6">
        <w:rPr>
          <w:rFonts w:ascii="Arial Narrow" w:hAnsi="Arial Narrow"/>
          <w:snapToGrid w:val="0"/>
          <w:sz w:val="18"/>
          <w:szCs w:val="22"/>
        </w:rPr>
        <w:t>Abbreviations: Bd = bortezomib + dexamethasone; CI = confidence interval; Cd = carfilzomib + dexamethasone; HR = hazard ratio; n= number of patients; N = total number of patients; NE = not estimable; PFS = progression free survival.</w:t>
      </w:r>
    </w:p>
    <w:p w14:paraId="548FB8DE" w14:textId="77777777" w:rsidR="006B3342" w:rsidRPr="000B52C6" w:rsidRDefault="006B3342" w:rsidP="006B3342">
      <w:pPr>
        <w:pStyle w:val="TableFigureFooter"/>
        <w:rPr>
          <w:rFonts w:eastAsia="Calibri"/>
        </w:rPr>
      </w:pPr>
      <w:r w:rsidRPr="000B52C6">
        <w:t xml:space="preserve">Notes: </w:t>
      </w:r>
      <w:r w:rsidRPr="000B52C6">
        <w:rPr>
          <w:rFonts w:eastAsia="Calibri"/>
          <w:b/>
          <w:bCs/>
        </w:rPr>
        <w:t>Bold</w:t>
      </w:r>
      <w:r w:rsidRPr="000B52C6">
        <w:rPr>
          <w:rFonts w:eastAsia="Calibri"/>
        </w:rPr>
        <w:t xml:space="preserve"> indicates statistically significant results.</w:t>
      </w:r>
    </w:p>
    <w:p w14:paraId="5314D9EA" w14:textId="01A8C6DC" w:rsidR="00B93899" w:rsidRPr="000B52C6" w:rsidRDefault="006B3342" w:rsidP="00F52E19">
      <w:pPr>
        <w:pStyle w:val="TableFigureFooter"/>
      </w:pPr>
      <w:r w:rsidRPr="000B52C6">
        <w:rPr>
          <w:rStyle w:val="CommentReference"/>
          <w:b w:val="0"/>
          <w:bCs/>
          <w:iCs/>
          <w:sz w:val="18"/>
          <w:szCs w:val="18"/>
          <w:shd w:val="clear" w:color="auto" w:fill="C6D9F1" w:themeFill="text2" w:themeFillTint="33"/>
        </w:rPr>
        <w:t>Blue shading</w:t>
      </w:r>
      <w:r w:rsidRPr="000B52C6">
        <w:rPr>
          <w:rStyle w:val="CommentReference"/>
          <w:b w:val="0"/>
          <w:bCs/>
          <w:iCs/>
          <w:sz w:val="18"/>
          <w:szCs w:val="18"/>
        </w:rPr>
        <w:t xml:space="preserve"> indicates data previously seen by the PBAC. </w:t>
      </w:r>
    </w:p>
    <w:p w14:paraId="5F105013" w14:textId="579B6DA0" w:rsidR="006B3342" w:rsidRPr="000B52C6" w:rsidRDefault="006B3342" w:rsidP="00F52E19">
      <w:pPr>
        <w:pStyle w:val="3-BodyText"/>
        <w:snapToGrid w:val="0"/>
        <w:ind w:left="720" w:hanging="720"/>
      </w:pPr>
      <w:r w:rsidRPr="000B52C6">
        <w:t xml:space="preserve">As of the data cut-off date of 19 July 2017, there were 214 (46.1%) patients alive in the Cd arm and 168 (36.1%) in the Bd arm (see </w:t>
      </w:r>
      <w:r w:rsidRPr="000B52C6">
        <w:fldChar w:fldCharType="begin"/>
      </w:r>
      <w:r w:rsidRPr="000B52C6">
        <w:instrText xml:space="preserve"> REF _Ref90370465 \h  \* MERGEFORMAT </w:instrText>
      </w:r>
      <w:r w:rsidRPr="000B52C6">
        <w:fldChar w:fldCharType="separate"/>
      </w:r>
      <w:r w:rsidR="00FF5725" w:rsidRPr="000B52C6">
        <w:t xml:space="preserve">Figure </w:t>
      </w:r>
      <w:r w:rsidR="00FF5725" w:rsidRPr="00FF5725">
        <w:t>3</w:t>
      </w:r>
      <w:r w:rsidRPr="000B52C6">
        <w:fldChar w:fldCharType="end"/>
      </w:r>
      <w:r w:rsidRPr="000B52C6">
        <w:t xml:space="preserve">). Median follow-up time for OS was 44.3 months in the Cd arm and 43.7 months in the Bd arm. The median OS for the ITT population was 9.0 months longer for Cd than Bd, resulting in an HR = 0.76 (95% CI: 0.63-0.92); 1-sided p= 0.0017. </w:t>
      </w:r>
      <w:r w:rsidRPr="000B52C6">
        <w:rPr>
          <w:iCs/>
        </w:rPr>
        <w:t xml:space="preserve">The results </w:t>
      </w:r>
      <w:r w:rsidR="00074888" w:rsidRPr="000B52C6">
        <w:rPr>
          <w:iCs/>
        </w:rPr>
        <w:t xml:space="preserve">with </w:t>
      </w:r>
      <w:r w:rsidRPr="000B52C6">
        <w:rPr>
          <w:iCs/>
        </w:rPr>
        <w:t>the updated OS data were consistent with those of the interim analysis. Previously, the ESC considered that although the improvement in OS was statistically significant (data from interim analysis), the upper confidence interval was close to the null; HR = 0.79 (95% CI: 0.65-0.96) (paragraph 6.11, Carfilzomib PSD, July 2017). However, the OS analysis from the data cut-off date of 19 July 2017 has demonstrated ongoing OS benefits with Cd and the upper confidence interval is distancing from the null (95% CI: 0.63, 0.92).</w:t>
      </w:r>
    </w:p>
    <w:p w14:paraId="0FDCE164" w14:textId="7B0CE057" w:rsidR="006B3342" w:rsidRPr="000B52C6" w:rsidRDefault="006B3342" w:rsidP="006B3342">
      <w:pPr>
        <w:pStyle w:val="TableFigureHeading"/>
        <w:shd w:val="clear" w:color="auto" w:fill="C6D9F1" w:themeFill="text2" w:themeFillTint="33"/>
        <w:rPr>
          <w:bCs w:val="0"/>
        </w:rPr>
      </w:pPr>
      <w:bookmarkStart w:id="29" w:name="_Ref90370465"/>
      <w:r w:rsidRPr="000B52C6">
        <w:rPr>
          <w:bCs w:val="0"/>
        </w:rPr>
        <w:t xml:space="preserve">Figure </w:t>
      </w:r>
      <w:r w:rsidRPr="000B52C6">
        <w:rPr>
          <w:bCs w:val="0"/>
        </w:rPr>
        <w:fldChar w:fldCharType="begin"/>
      </w:r>
      <w:r w:rsidRPr="000B52C6">
        <w:rPr>
          <w:bCs w:val="0"/>
        </w:rPr>
        <w:instrText xml:space="preserve"> SEQ Figure \* ARABIC </w:instrText>
      </w:r>
      <w:r w:rsidRPr="000B52C6">
        <w:rPr>
          <w:bCs w:val="0"/>
        </w:rPr>
        <w:fldChar w:fldCharType="separate"/>
      </w:r>
      <w:r w:rsidR="00FF5725">
        <w:rPr>
          <w:bCs w:val="0"/>
          <w:noProof/>
        </w:rPr>
        <w:t>3</w:t>
      </w:r>
      <w:r w:rsidRPr="000B52C6">
        <w:rPr>
          <w:bCs w:val="0"/>
        </w:rPr>
        <w:fldChar w:fldCharType="end"/>
      </w:r>
      <w:bookmarkEnd w:id="29"/>
      <w:r w:rsidRPr="000B52C6">
        <w:rPr>
          <w:bCs w:val="0"/>
        </w:rPr>
        <w:t>: Kaplan Meier curve of OS (ITT)</w:t>
      </w:r>
    </w:p>
    <w:p w14:paraId="27BF6FCE" w14:textId="77777777" w:rsidR="006B3342" w:rsidRPr="000B52C6" w:rsidRDefault="006B3342" w:rsidP="006B3342">
      <w:r w:rsidRPr="000B52C6">
        <w:rPr>
          <w:noProof/>
        </w:rPr>
        <w:drawing>
          <wp:inline distT="0" distB="0" distL="0" distR="0" wp14:anchorId="50170C8B" wp14:editId="107B3EB8">
            <wp:extent cx="5313679" cy="2863850"/>
            <wp:effectExtent l="0" t="0" r="1270" b="0"/>
            <wp:docPr id="6" name="Picture 6" descr="Figure 3: Kaplan Meier curve of OS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3: Kaplan Meier curve of OS (ITT)"/>
                    <pic:cNvPicPr/>
                  </pic:nvPicPr>
                  <pic:blipFill>
                    <a:blip r:embed="rId10">
                      <a:extLst>
                        <a:ext uri="{28A0092B-C50C-407E-A947-70E740481C1C}">
                          <a14:useLocalDpi xmlns:a14="http://schemas.microsoft.com/office/drawing/2010/main" val="0"/>
                        </a:ext>
                      </a:extLst>
                    </a:blip>
                    <a:srcRect/>
                    <a:stretch>
                      <a:fillRect/>
                    </a:stretch>
                  </pic:blipFill>
                  <pic:spPr>
                    <a:xfrm>
                      <a:off x="0" y="0"/>
                      <a:ext cx="5313679" cy="2863850"/>
                    </a:xfrm>
                    <a:prstGeom prst="rect">
                      <a:avLst/>
                    </a:prstGeom>
                  </pic:spPr>
                </pic:pic>
              </a:graphicData>
            </a:graphic>
          </wp:inline>
        </w:drawing>
      </w:r>
    </w:p>
    <w:p w14:paraId="7630E755" w14:textId="77777777" w:rsidR="006B3342" w:rsidRPr="000B52C6" w:rsidRDefault="006B3342" w:rsidP="006B3342">
      <w:r w:rsidRPr="000B52C6">
        <w:rPr>
          <w:rFonts w:ascii="Arial Narrow" w:hAnsi="Arial Narrow"/>
          <w:snapToGrid w:val="0"/>
          <w:sz w:val="18"/>
          <w:szCs w:val="22"/>
        </w:rPr>
        <w:t xml:space="preserve">Source: Figure 2-15, p106 of the resubmission. </w:t>
      </w:r>
    </w:p>
    <w:p w14:paraId="4D279C3E" w14:textId="77777777" w:rsidR="006B3342" w:rsidRPr="000B52C6" w:rsidRDefault="006B3342" w:rsidP="006B3342">
      <w:pPr>
        <w:rPr>
          <w:rFonts w:ascii="Arial Narrow" w:hAnsi="Arial Narrow"/>
          <w:snapToGrid w:val="0"/>
          <w:sz w:val="18"/>
          <w:szCs w:val="22"/>
        </w:rPr>
      </w:pPr>
      <w:r w:rsidRPr="000B52C6">
        <w:rPr>
          <w:rFonts w:ascii="Arial Narrow" w:hAnsi="Arial Narrow"/>
          <w:snapToGrid w:val="0"/>
          <w:sz w:val="18"/>
          <w:szCs w:val="22"/>
        </w:rPr>
        <w:t xml:space="preserve">Abbreviations: CI = confidence interval; Cd56 = carfilzomib + dexamethasone; n= number of patients; OS = overall survival. </w:t>
      </w:r>
    </w:p>
    <w:p w14:paraId="03A1D3D0" w14:textId="77777777" w:rsidR="006B3342" w:rsidRPr="000B52C6" w:rsidRDefault="006B3342" w:rsidP="006B3342">
      <w:pPr>
        <w:rPr>
          <w:rFonts w:ascii="Arial Narrow" w:hAnsi="Arial Narrow"/>
          <w:iCs/>
          <w:snapToGrid w:val="0"/>
          <w:sz w:val="18"/>
          <w:szCs w:val="22"/>
        </w:rPr>
      </w:pPr>
      <w:r w:rsidRPr="000B52C6">
        <w:rPr>
          <w:rFonts w:ascii="Arial Narrow" w:hAnsi="Arial Narrow"/>
          <w:snapToGrid w:val="0"/>
          <w:sz w:val="18"/>
          <w:szCs w:val="22"/>
        </w:rPr>
        <w:t xml:space="preserve">Notes: </w:t>
      </w:r>
      <w:r w:rsidRPr="000B52C6">
        <w:rPr>
          <w:rFonts w:ascii="Arial Narrow" w:hAnsi="Arial Narrow"/>
          <w:iCs/>
          <w:snapToGrid w:val="0"/>
          <w:sz w:val="18"/>
          <w:szCs w:val="22"/>
        </w:rPr>
        <w:t xml:space="preserve">Kd56 was referred to using the abbreviation Cd (carfilzomib plus dexamethasone) in this Commentary. </w:t>
      </w:r>
    </w:p>
    <w:p w14:paraId="72478B81" w14:textId="77777777" w:rsidR="006B3342" w:rsidRPr="000B52C6" w:rsidRDefault="006B3342" w:rsidP="006B3342">
      <w:pPr>
        <w:rPr>
          <w:rFonts w:ascii="Arial Narrow" w:hAnsi="Arial Narrow"/>
          <w:iCs/>
          <w:snapToGrid w:val="0"/>
          <w:sz w:val="18"/>
          <w:szCs w:val="22"/>
        </w:rPr>
      </w:pPr>
      <w:proofErr w:type="spellStart"/>
      <w:r w:rsidRPr="000B52C6">
        <w:rPr>
          <w:rFonts w:ascii="Arial Narrow" w:hAnsi="Arial Narrow"/>
          <w:iCs/>
          <w:snapToGrid w:val="0"/>
          <w:sz w:val="18"/>
          <w:szCs w:val="22"/>
        </w:rPr>
        <w:t>Vd</w:t>
      </w:r>
      <w:proofErr w:type="spellEnd"/>
      <w:r w:rsidRPr="000B52C6">
        <w:rPr>
          <w:rFonts w:ascii="Arial Narrow" w:hAnsi="Arial Narrow"/>
          <w:iCs/>
          <w:snapToGrid w:val="0"/>
          <w:sz w:val="18"/>
          <w:szCs w:val="22"/>
        </w:rPr>
        <w:t xml:space="preserve"> was referred to using the abbreviation Bd (bortezomib plus dexamethasone) in this Commentary.</w:t>
      </w:r>
    </w:p>
    <w:p w14:paraId="3DBFD5DD" w14:textId="77777777" w:rsidR="006B3342" w:rsidRPr="000B52C6" w:rsidRDefault="006B3342" w:rsidP="006B3342">
      <w:pPr>
        <w:pStyle w:val="TableFigureFooter"/>
        <w:rPr>
          <w:rStyle w:val="CommentReference"/>
          <w:b w:val="0"/>
          <w:bCs/>
          <w:iCs/>
          <w:sz w:val="18"/>
          <w:szCs w:val="18"/>
        </w:rPr>
      </w:pPr>
      <w:r w:rsidRPr="000B52C6">
        <w:rPr>
          <w:rStyle w:val="CommentReference"/>
          <w:b w:val="0"/>
          <w:bCs/>
          <w:iCs/>
          <w:sz w:val="18"/>
          <w:szCs w:val="18"/>
          <w:shd w:val="clear" w:color="auto" w:fill="C6D9F1" w:themeFill="text2" w:themeFillTint="33"/>
        </w:rPr>
        <w:t>Blue shading</w:t>
      </w:r>
      <w:r w:rsidRPr="000B52C6">
        <w:rPr>
          <w:rStyle w:val="CommentReference"/>
          <w:b w:val="0"/>
          <w:bCs/>
          <w:iCs/>
          <w:sz w:val="18"/>
          <w:szCs w:val="18"/>
        </w:rPr>
        <w:t xml:space="preserve"> indicates data previously seen by the PBAC. </w:t>
      </w:r>
    </w:p>
    <w:p w14:paraId="037C5ED3" w14:textId="77777777" w:rsidR="006B3342" w:rsidRPr="000B52C6" w:rsidRDefault="006B3342" w:rsidP="006B3342">
      <w:pPr>
        <w:pStyle w:val="TableFigureFooter"/>
        <w:rPr>
          <w:bCs/>
          <w:iCs/>
          <w:szCs w:val="18"/>
        </w:rPr>
      </w:pPr>
    </w:p>
    <w:p w14:paraId="554E6878" w14:textId="77777777" w:rsidR="006B3342" w:rsidRPr="000B52C6" w:rsidRDefault="006B3342" w:rsidP="005640E7">
      <w:pPr>
        <w:pStyle w:val="3-BodyText"/>
        <w:keepNext/>
        <w:numPr>
          <w:ilvl w:val="0"/>
          <w:numId w:val="0"/>
        </w:numPr>
        <w:ind w:left="720" w:hanging="720"/>
        <w:rPr>
          <w:u w:val="single"/>
        </w:rPr>
      </w:pPr>
      <w:r w:rsidRPr="000B52C6">
        <w:rPr>
          <w:u w:val="single"/>
        </w:rPr>
        <w:lastRenderedPageBreak/>
        <w:t>Efficacy ITC (</w:t>
      </w:r>
      <w:proofErr w:type="spellStart"/>
      <w:r w:rsidRPr="000B52C6">
        <w:rPr>
          <w:u w:val="single"/>
        </w:rPr>
        <w:t>SBd</w:t>
      </w:r>
      <w:proofErr w:type="spellEnd"/>
      <w:r w:rsidRPr="000B52C6">
        <w:rPr>
          <w:u w:val="single"/>
        </w:rPr>
        <w:t xml:space="preserve"> versus Cd)</w:t>
      </w:r>
    </w:p>
    <w:p w14:paraId="0981C8E7" w14:textId="77777777" w:rsidR="00B651B5" w:rsidRPr="000B52C6" w:rsidRDefault="006B3342" w:rsidP="005640E7">
      <w:pPr>
        <w:pStyle w:val="3-BodyText"/>
        <w:keepNext/>
        <w:ind w:left="720" w:hanging="720"/>
        <w:rPr>
          <w:iCs/>
        </w:rPr>
      </w:pPr>
      <w:r w:rsidRPr="000B52C6">
        <w:t xml:space="preserve">The resubmission presented an ITC as the basis of the clinical claim of non-inferior effectiveness and different safety profile of </w:t>
      </w:r>
      <w:proofErr w:type="spellStart"/>
      <w:r w:rsidRPr="000B52C6">
        <w:t>SBd</w:t>
      </w:r>
      <w:proofErr w:type="spellEnd"/>
      <w:r w:rsidRPr="000B52C6">
        <w:t xml:space="preserve"> compared with Cd. </w:t>
      </w:r>
      <w:r w:rsidR="00B651B5" w:rsidRPr="000B52C6">
        <w:t xml:space="preserve">The key outcomes presented by the resubmission in the ITC were PFS and safety. </w:t>
      </w:r>
      <w:r w:rsidR="00B651B5" w:rsidRPr="000B52C6">
        <w:rPr>
          <w:iCs/>
        </w:rPr>
        <w:t xml:space="preserve">The resubmission justified that the ITCs were only performed for PFS </w:t>
      </w:r>
      <w:proofErr w:type="gramStart"/>
      <w:r w:rsidR="00B651B5" w:rsidRPr="000B52C6">
        <w:rPr>
          <w:iCs/>
        </w:rPr>
        <w:t>for the reason that</w:t>
      </w:r>
      <w:proofErr w:type="gramEnd"/>
      <w:r w:rsidR="00B651B5" w:rsidRPr="000B52C6">
        <w:rPr>
          <w:iCs/>
        </w:rPr>
        <w:t xml:space="preserve"> OS data were immature in BOSTON and that PFS was not influenced by cross-over. </w:t>
      </w:r>
    </w:p>
    <w:p w14:paraId="7D43C8A2" w14:textId="063163AD" w:rsidR="006B3342" w:rsidRPr="000B52C6" w:rsidRDefault="006B3342" w:rsidP="006B3342">
      <w:pPr>
        <w:pStyle w:val="3-BodyText"/>
        <w:ind w:left="720" w:hanging="720"/>
        <w:rPr>
          <w:iCs/>
        </w:rPr>
      </w:pPr>
      <w:r w:rsidRPr="000B52C6">
        <w:t xml:space="preserve">The resubmission stated that an adjusted ITC and STC was performed to address the concerns raised by the PBAC during the evaluation of the July 2021 submission. </w:t>
      </w:r>
      <w:r w:rsidRPr="000B52C6">
        <w:rPr>
          <w:iCs/>
        </w:rPr>
        <w:t xml:space="preserve">The July 2021 submission presented a naïve ITC (non-matched) comparing </w:t>
      </w:r>
      <w:proofErr w:type="spellStart"/>
      <w:r w:rsidRPr="000B52C6">
        <w:rPr>
          <w:iCs/>
        </w:rPr>
        <w:t>SBd</w:t>
      </w:r>
      <w:proofErr w:type="spellEnd"/>
      <w:r w:rsidRPr="000B52C6">
        <w:rPr>
          <w:iCs/>
        </w:rPr>
        <w:t xml:space="preserve"> with Cd for the efficacy outcome of PFS. The PBAC considered that the ITCs presented in the July 2021 submission between </w:t>
      </w:r>
      <w:proofErr w:type="spellStart"/>
      <w:r w:rsidRPr="000B52C6">
        <w:rPr>
          <w:iCs/>
        </w:rPr>
        <w:t>SBd</w:t>
      </w:r>
      <w:proofErr w:type="spellEnd"/>
      <w:r w:rsidRPr="000B52C6">
        <w:rPr>
          <w:iCs/>
        </w:rPr>
        <w:t xml:space="preserve"> and the secondary comparator Cd, did not adequately support non-inferiority (Para.7.1, Selinexor (RRMM), PBAC </w:t>
      </w:r>
      <w:r w:rsidR="00251F38">
        <w:rPr>
          <w:iCs/>
        </w:rPr>
        <w:t>PSD</w:t>
      </w:r>
      <w:r w:rsidRPr="000B52C6">
        <w:rPr>
          <w:iCs/>
        </w:rPr>
        <w:t>, July 2021 PBAC meeting). The PBAC also noted that although the eligibility criteria of the BOSTON and ENDEAVOR trials were generally similar, there were differences that might have impacted the transitivity of the trials including differences in the baseline disease characteristics of patients, differences in the time at which the trials were conducted and differences in the maturity of the data (Para.</w:t>
      </w:r>
      <w:r w:rsidR="007B6B1C" w:rsidRPr="000B52C6">
        <w:rPr>
          <w:iCs/>
        </w:rPr>
        <w:t xml:space="preserve"> </w:t>
      </w:r>
      <w:r w:rsidRPr="000B52C6">
        <w:rPr>
          <w:iCs/>
        </w:rPr>
        <w:t xml:space="preserve">7.9, Selinexor (RRMM), PBAC </w:t>
      </w:r>
      <w:r w:rsidR="00251F38">
        <w:rPr>
          <w:iCs/>
        </w:rPr>
        <w:t>PSD</w:t>
      </w:r>
      <w:r w:rsidRPr="000B52C6">
        <w:rPr>
          <w:iCs/>
        </w:rPr>
        <w:t>, July 2021 PBAC meeting).</w:t>
      </w:r>
    </w:p>
    <w:p w14:paraId="1B09D499" w14:textId="4707B06C" w:rsidR="006B3342" w:rsidRPr="000B52C6" w:rsidRDefault="006B3342" w:rsidP="006B3342">
      <w:pPr>
        <w:pStyle w:val="3-BodyText"/>
        <w:ind w:left="720" w:hanging="720"/>
        <w:rPr>
          <w:iCs/>
        </w:rPr>
      </w:pPr>
      <w:r w:rsidRPr="000B52C6">
        <w:t xml:space="preserve">The resubmission stated that the analyses relied on individual patient data (IPD) for BOSTON (15 February 2021 data cut-off), BOSTON interim clinical study report (CSR) (18 February 2020), and published evidence for ENDEAVOR (10 November 2014). </w:t>
      </w:r>
    </w:p>
    <w:p w14:paraId="632DA7FA" w14:textId="77777777" w:rsidR="006B3342" w:rsidRPr="000B52C6" w:rsidRDefault="006B3342" w:rsidP="006B3342">
      <w:pPr>
        <w:pStyle w:val="3-BodyText"/>
        <w:ind w:left="720" w:hanging="720"/>
      </w:pPr>
      <w:r w:rsidRPr="000B52C6">
        <w:t xml:space="preserve">The resubmission presented the results of four different ITC models as presented below:  </w:t>
      </w:r>
    </w:p>
    <w:p w14:paraId="69921D13" w14:textId="7C847C0D" w:rsidR="006B3342" w:rsidRPr="000B52C6" w:rsidRDefault="006B3342" w:rsidP="005640E7">
      <w:pPr>
        <w:pStyle w:val="3-BodyText"/>
        <w:numPr>
          <w:ilvl w:val="0"/>
          <w:numId w:val="50"/>
        </w:numPr>
        <w:ind w:left="1077" w:hanging="357"/>
      </w:pPr>
      <w:r w:rsidRPr="000B52C6">
        <w:t>Unadjusted ITCs were performed based on the methods outlined for the primary analysis of PFS in the BOSTON trial – reference base case (as per that previously considered by the PBAC and based on the BOSTON February 2020 data cut-off).</w:t>
      </w:r>
    </w:p>
    <w:p w14:paraId="25725A64" w14:textId="1B451E09" w:rsidR="006B3342" w:rsidRPr="000B52C6" w:rsidRDefault="006B3342" w:rsidP="005640E7">
      <w:pPr>
        <w:pStyle w:val="3-BodyText"/>
        <w:numPr>
          <w:ilvl w:val="0"/>
          <w:numId w:val="50"/>
        </w:numPr>
        <w:ind w:left="1077" w:hanging="357"/>
      </w:pPr>
      <w:r w:rsidRPr="000B52C6">
        <w:t xml:space="preserve">Unadjusted ITCs, matching the statistical methods utilised in the estimation of PFS in BOSTON to those of ENDEAVOR, with respect to stratification variables, to calculate a new base case HR (95% CI). The resubmission stated that the difference was not only on the variable used (ISS versus Revised ISS), but more specifically on the grouping of the stages (I-II/III versus I/II-III), </w:t>
      </w:r>
      <w:r w:rsidR="00E86CEF" w:rsidRPr="000B52C6">
        <w:t xml:space="preserve">and </w:t>
      </w:r>
      <w:r w:rsidRPr="000B52C6">
        <w:t xml:space="preserve">a different definition of stratification variables is likely to lead to different results for the Cox model. </w:t>
      </w:r>
      <w:r w:rsidRPr="000B52C6">
        <w:rPr>
          <w:iCs/>
        </w:rPr>
        <w:t>Given the differences in the variable used (ISS versus Revised ISS), but also the grouping of the stages (I-II/III versus I/II-III), reanalysing the BOSTON data was reasonable in adjusting for the differences in the application of staging in the stratification of the Cox model.</w:t>
      </w:r>
    </w:p>
    <w:p w14:paraId="2F0264CD" w14:textId="75DB9AB9" w:rsidR="006B3342" w:rsidRPr="000B52C6" w:rsidRDefault="006B3342" w:rsidP="005640E7">
      <w:pPr>
        <w:pStyle w:val="3-BodyText"/>
        <w:numPr>
          <w:ilvl w:val="0"/>
          <w:numId w:val="50"/>
        </w:numPr>
        <w:ind w:left="1077" w:hanging="357"/>
        <w:rPr>
          <w:iCs/>
        </w:rPr>
      </w:pPr>
      <w:r w:rsidRPr="000B52C6">
        <w:t xml:space="preserve">Adjusted ITCs were conducted including the selected variables, age and ECOG, (multivariate) as covariates in the Cox model with methods matching that used in ENDEAVOR. </w:t>
      </w:r>
      <w:r w:rsidRPr="000B52C6">
        <w:rPr>
          <w:iCs/>
        </w:rPr>
        <w:t xml:space="preserve">The resubmission identified characteristics which were significantly </w:t>
      </w:r>
      <w:r w:rsidRPr="000B52C6">
        <w:rPr>
          <w:iCs/>
        </w:rPr>
        <w:lastRenderedPageBreak/>
        <w:t xml:space="preserve">different between BOSTON and ENDEAVOR at baseline and that had a significant impact on PFS. </w:t>
      </w:r>
    </w:p>
    <w:p w14:paraId="09E1E857" w14:textId="2355ABE0" w:rsidR="006B3342" w:rsidRPr="000B52C6" w:rsidRDefault="006B3342" w:rsidP="005640E7">
      <w:pPr>
        <w:pStyle w:val="3-BodyText"/>
        <w:numPr>
          <w:ilvl w:val="0"/>
          <w:numId w:val="50"/>
        </w:numPr>
        <w:ind w:left="1077" w:hanging="357"/>
        <w:rPr>
          <w:iCs/>
        </w:rPr>
      </w:pPr>
      <w:r w:rsidRPr="000B52C6">
        <w:t>STCs</w:t>
      </w:r>
      <w:r w:rsidRPr="000B52C6">
        <w:rPr>
          <w:iCs/>
        </w:rPr>
        <w:t xml:space="preserve"> </w:t>
      </w:r>
      <w:r w:rsidRPr="000B52C6">
        <w:t xml:space="preserve">were used to produce estimates of </w:t>
      </w:r>
      <w:proofErr w:type="spellStart"/>
      <w:r w:rsidRPr="000B52C6">
        <w:t>SBd</w:t>
      </w:r>
      <w:proofErr w:type="spellEnd"/>
      <w:r w:rsidRPr="000B52C6">
        <w:t xml:space="preserve"> versus Bd HRs in a population with the characteristics of the ENDEAVOR population for the selected adjustment variables.</w:t>
      </w:r>
      <w:r w:rsidR="00FA7902" w:rsidRPr="000B52C6">
        <w:t xml:space="preserve"> These estimates were derived from the adjusted models using the baseline ECOG </w:t>
      </w:r>
      <w:r w:rsidR="00EB49D5" w:rsidRPr="000B52C6">
        <w:t xml:space="preserve">status </w:t>
      </w:r>
      <w:r w:rsidR="00FA7902" w:rsidRPr="000B52C6">
        <w:t xml:space="preserve">and age </w:t>
      </w:r>
      <w:r w:rsidR="00EB49D5" w:rsidRPr="000B52C6">
        <w:t>(</w:t>
      </w:r>
      <w:r w:rsidR="00FA7902" w:rsidRPr="000B52C6">
        <w:t>&lt;65 and ≥65</w:t>
      </w:r>
      <w:r w:rsidR="00EB49D5" w:rsidRPr="000B52C6">
        <w:t>)</w:t>
      </w:r>
      <w:r w:rsidR="00FA7902" w:rsidRPr="000B52C6">
        <w:t xml:space="preserve"> distributions as per ENDEAVOR in the ITT</w:t>
      </w:r>
      <w:r w:rsidR="00F33FAE" w:rsidRPr="000B52C6">
        <w:t xml:space="preserve"> population</w:t>
      </w:r>
      <w:r w:rsidR="00FA7902" w:rsidRPr="000B52C6">
        <w:t xml:space="preserve"> and for the subgroup of patients with ≥2 prior lines of treatment (including and excluding India).</w:t>
      </w:r>
      <w:r w:rsidRPr="000B52C6">
        <w:t xml:space="preserve"> </w:t>
      </w:r>
    </w:p>
    <w:p w14:paraId="3A9AF93E" w14:textId="77777777" w:rsidR="006B3342" w:rsidRPr="000B52C6" w:rsidRDefault="006B3342" w:rsidP="006B3342">
      <w:pPr>
        <w:pStyle w:val="3-BodyText"/>
        <w:ind w:left="720" w:hanging="720"/>
        <w:rPr>
          <w:iCs/>
        </w:rPr>
      </w:pPr>
      <w:r w:rsidRPr="000B52C6">
        <w:rPr>
          <w:iCs/>
        </w:rPr>
        <w:t>The submission did not provide model fit statistics to assess the fit of the adjusted and STC models. While the adjusted ITCs and STCs account for differences in the baseline disease characteristics of patients the transitivity of the trials is still affected by the differences in the time at which the trials were conducted and differences in the maturity of the data.</w:t>
      </w:r>
    </w:p>
    <w:p w14:paraId="66589CBB" w14:textId="77777777" w:rsidR="006B3342" w:rsidRPr="000B52C6" w:rsidRDefault="006B3342" w:rsidP="006B3342">
      <w:pPr>
        <w:pStyle w:val="3-BodyText"/>
        <w:ind w:left="720" w:hanging="720"/>
      </w:pPr>
      <w:r w:rsidRPr="000B52C6">
        <w:t xml:space="preserve">The ITC models described above were performed on ITT population, ITT population excluding Indian centres, patients with ≥2 prior lines of MM therapies, and patients with ≥2 prior lines of MM therapies excluding Indian centres. </w:t>
      </w:r>
    </w:p>
    <w:p w14:paraId="7081B0A2" w14:textId="2FC99C0C" w:rsidR="006B3342" w:rsidRPr="000B52C6" w:rsidRDefault="00DA5900" w:rsidP="006B3342">
      <w:pPr>
        <w:pStyle w:val="3-BodyText"/>
        <w:ind w:left="720" w:hanging="720"/>
      </w:pPr>
      <w:r w:rsidRPr="000B52C6">
        <w:t xml:space="preserve">The resubmission noted that </w:t>
      </w:r>
      <w:r w:rsidR="004D44B6" w:rsidRPr="000B52C6">
        <w:t>43 patients (</w:t>
      </w:r>
      <w:r w:rsidRPr="000B52C6">
        <w:t>10.7%</w:t>
      </w:r>
      <w:r w:rsidR="004D44B6" w:rsidRPr="000B52C6">
        <w:t xml:space="preserve">) </w:t>
      </w:r>
      <w:r w:rsidRPr="000B52C6">
        <w:t xml:space="preserve">in BOSTON were from India whereas no patients from India were included in ENDEAVOR. </w:t>
      </w:r>
      <w:r w:rsidR="004D44B6" w:rsidRPr="000B52C6">
        <w:t>Moreover,</w:t>
      </w:r>
      <w:r w:rsidR="006B3342" w:rsidRPr="000B52C6">
        <w:t xml:space="preserve"> a </w:t>
      </w:r>
      <w:r w:rsidR="002F11A9" w:rsidRPr="000B52C6">
        <w:t xml:space="preserve">disproportionately </w:t>
      </w:r>
      <w:r w:rsidR="006B3342" w:rsidRPr="000B52C6">
        <w:t xml:space="preserve">high proportion of </w:t>
      </w:r>
      <w:proofErr w:type="spellStart"/>
      <w:r w:rsidR="006B3342" w:rsidRPr="000B52C6">
        <w:t>SBd</w:t>
      </w:r>
      <w:proofErr w:type="spellEnd"/>
      <w:r w:rsidR="006B3342" w:rsidRPr="000B52C6">
        <w:t xml:space="preserve"> patients died because of a TEAE in India compared with no deaths in the Bd arm, </w:t>
      </w:r>
      <w:r w:rsidR="00E86CEF" w:rsidRPr="000B52C6">
        <w:t>versus that observed in</w:t>
      </w:r>
      <w:r w:rsidR="006B3342" w:rsidRPr="000B52C6">
        <w:t xml:space="preserve"> the other countries. As it was clear that those events that led to death in India in the </w:t>
      </w:r>
      <w:proofErr w:type="spellStart"/>
      <w:r w:rsidR="006B3342" w:rsidRPr="000B52C6">
        <w:t>SBd</w:t>
      </w:r>
      <w:proofErr w:type="spellEnd"/>
      <w:r w:rsidR="006B3342" w:rsidRPr="000B52C6">
        <w:t xml:space="preserve"> arm were infections (sepsis and pneumonia) that could most likely have been avoided with appropriate care, and given that deaths influence PFS, ITC analyses excluding the population from India were also presented. </w:t>
      </w:r>
      <w:r w:rsidR="00827C60" w:rsidRPr="000B52C6">
        <w:t>The ESC considered this was reasonable.</w:t>
      </w:r>
    </w:p>
    <w:p w14:paraId="3A623CF9" w14:textId="682023E2" w:rsidR="006B3342" w:rsidRPr="000B52C6" w:rsidRDefault="006B3342" w:rsidP="006B3342">
      <w:pPr>
        <w:pStyle w:val="3-BodyText"/>
        <w:ind w:left="720" w:hanging="720"/>
      </w:pPr>
      <w:r w:rsidRPr="000B52C6">
        <w:t xml:space="preserve">The key results of the adjusted ITC of </w:t>
      </w:r>
      <w:proofErr w:type="spellStart"/>
      <w:r w:rsidRPr="000B52C6">
        <w:t>SBd</w:t>
      </w:r>
      <w:proofErr w:type="spellEnd"/>
      <w:r w:rsidRPr="000B52C6">
        <w:t xml:space="preserve"> versus Cd in terms of PFS (ITT population) via Bd are presented in </w:t>
      </w:r>
      <w:r w:rsidRPr="000B52C6">
        <w:fldChar w:fldCharType="begin"/>
      </w:r>
      <w:r w:rsidRPr="000B52C6">
        <w:instrText xml:space="preserve"> REF _Ref90370063 \h  \* MERGEFORMAT </w:instrText>
      </w:r>
      <w:r w:rsidRPr="000B52C6">
        <w:fldChar w:fldCharType="separate"/>
      </w:r>
      <w:r w:rsidR="00FF5725" w:rsidRPr="00FF5725">
        <w:t>Table 9</w:t>
      </w:r>
      <w:r w:rsidRPr="000B52C6">
        <w:fldChar w:fldCharType="end"/>
      </w:r>
      <w:r w:rsidRPr="000B52C6">
        <w:t xml:space="preserve">. </w:t>
      </w:r>
    </w:p>
    <w:p w14:paraId="65C9FBB0" w14:textId="053717CC" w:rsidR="006B3342" w:rsidRPr="000B52C6" w:rsidRDefault="006B3342" w:rsidP="006B3342">
      <w:pPr>
        <w:pStyle w:val="TableFigureHeading"/>
        <w:rPr>
          <w:rStyle w:val="CommentReference"/>
          <w:b/>
          <w:bCs w:val="0"/>
          <w:szCs w:val="24"/>
        </w:rPr>
      </w:pPr>
      <w:bookmarkStart w:id="30" w:name="_Ref90370063"/>
      <w:r w:rsidRPr="000B52C6">
        <w:rPr>
          <w:rStyle w:val="CommentReference"/>
          <w:b/>
          <w:bCs w:val="0"/>
          <w:szCs w:val="24"/>
        </w:rPr>
        <w:t xml:space="preserve">Table </w:t>
      </w:r>
      <w:r w:rsidRPr="000B52C6">
        <w:rPr>
          <w:rStyle w:val="CommentReference"/>
          <w:b/>
          <w:bCs w:val="0"/>
          <w:szCs w:val="24"/>
        </w:rPr>
        <w:fldChar w:fldCharType="begin"/>
      </w:r>
      <w:r w:rsidRPr="000B52C6">
        <w:rPr>
          <w:rStyle w:val="CommentReference"/>
          <w:b/>
          <w:bCs w:val="0"/>
          <w:szCs w:val="24"/>
        </w:rPr>
        <w:instrText xml:space="preserve"> SEQ Table \* ARABIC </w:instrText>
      </w:r>
      <w:r w:rsidRPr="000B52C6">
        <w:rPr>
          <w:rStyle w:val="CommentReference"/>
          <w:b/>
          <w:bCs w:val="0"/>
          <w:szCs w:val="24"/>
        </w:rPr>
        <w:fldChar w:fldCharType="separate"/>
      </w:r>
      <w:r w:rsidR="00FF5725">
        <w:rPr>
          <w:rStyle w:val="CommentReference"/>
          <w:b/>
          <w:bCs w:val="0"/>
          <w:noProof/>
          <w:szCs w:val="24"/>
        </w:rPr>
        <w:t>9</w:t>
      </w:r>
      <w:r w:rsidRPr="000B52C6">
        <w:rPr>
          <w:rStyle w:val="CommentReference"/>
          <w:b/>
          <w:bCs w:val="0"/>
          <w:szCs w:val="24"/>
        </w:rPr>
        <w:fldChar w:fldCharType="end"/>
      </w:r>
      <w:bookmarkEnd w:id="30"/>
      <w:r w:rsidRPr="000B52C6">
        <w:rPr>
          <w:rStyle w:val="CommentReference"/>
          <w:b/>
          <w:bCs w:val="0"/>
          <w:szCs w:val="24"/>
        </w:rPr>
        <w:t>: Results of the unadjusted, adjusted indirect comparison and simulated treatment comparison for PFS (ITT population)</w:t>
      </w:r>
    </w:p>
    <w:tbl>
      <w:tblPr>
        <w:tblStyle w:val="THEMA"/>
        <w:tblW w:w="9067" w:type="dxa"/>
        <w:tblLook w:val="04A0" w:firstRow="1" w:lastRow="0" w:firstColumn="1" w:lastColumn="0" w:noHBand="0" w:noVBand="1"/>
      </w:tblPr>
      <w:tblGrid>
        <w:gridCol w:w="3058"/>
        <w:gridCol w:w="964"/>
        <w:gridCol w:w="1785"/>
        <w:gridCol w:w="1559"/>
        <w:gridCol w:w="1701"/>
      </w:tblGrid>
      <w:tr w:rsidR="006B3342" w:rsidRPr="000B52C6" w14:paraId="6C20CCA7" w14:textId="77777777" w:rsidTr="00513E25">
        <w:trPr>
          <w:cnfStyle w:val="100000000000" w:firstRow="1" w:lastRow="0" w:firstColumn="0" w:lastColumn="0" w:oddVBand="0" w:evenVBand="0" w:oddHBand="0" w:evenHBand="0" w:firstRowFirstColumn="0" w:firstRowLastColumn="0" w:lastRowFirstColumn="0" w:lastRowLastColumn="0"/>
        </w:trPr>
        <w:tc>
          <w:tcPr>
            <w:tcW w:w="3058" w:type="dxa"/>
            <w:shd w:val="clear" w:color="auto" w:fill="auto"/>
          </w:tcPr>
          <w:p w14:paraId="10C989F9" w14:textId="77777777" w:rsidR="006B3342" w:rsidRPr="000B52C6" w:rsidRDefault="006B3342" w:rsidP="00513E25">
            <w:pPr>
              <w:pStyle w:val="TableText0"/>
              <w:rPr>
                <w:bCs w:val="0"/>
                <w:lang w:val="en-AU" w:eastAsia="en-AU" w:bidi="ar-SA"/>
              </w:rPr>
            </w:pPr>
            <w:r w:rsidRPr="000B52C6">
              <w:rPr>
                <w:bCs w:val="0"/>
                <w:lang w:val="en-AU" w:eastAsia="en-AU" w:bidi="ar-SA"/>
              </w:rPr>
              <w:t xml:space="preserve">Population / </w:t>
            </w:r>
          </w:p>
          <w:p w14:paraId="1EBED2AD" w14:textId="77777777" w:rsidR="006B3342" w:rsidRPr="000B52C6" w:rsidRDefault="006B3342" w:rsidP="00513E25">
            <w:pPr>
              <w:pStyle w:val="TableText0"/>
              <w:rPr>
                <w:bCs w:val="0"/>
                <w:lang w:val="en-AU" w:eastAsia="en-AU" w:bidi="ar-SA"/>
              </w:rPr>
            </w:pPr>
            <w:r w:rsidRPr="000B52C6">
              <w:rPr>
                <w:bCs w:val="0"/>
                <w:lang w:val="en-AU" w:eastAsia="en-AU" w:bidi="ar-SA"/>
              </w:rPr>
              <w:t>Analysis method used to derive BOSTON estimates</w:t>
            </w:r>
          </w:p>
        </w:tc>
        <w:tc>
          <w:tcPr>
            <w:tcW w:w="964" w:type="dxa"/>
            <w:shd w:val="clear" w:color="auto" w:fill="auto"/>
            <w:vAlign w:val="center"/>
          </w:tcPr>
          <w:p w14:paraId="19A4F9B0" w14:textId="77777777" w:rsidR="006B3342" w:rsidRPr="000B52C6" w:rsidRDefault="006B3342" w:rsidP="00513E25">
            <w:pPr>
              <w:pStyle w:val="TableText0"/>
              <w:jc w:val="center"/>
              <w:rPr>
                <w:bCs w:val="0"/>
                <w:lang w:val="en-AU" w:eastAsia="en-AU" w:bidi="ar-SA"/>
              </w:rPr>
            </w:pPr>
            <w:r w:rsidRPr="000B52C6">
              <w:rPr>
                <w:bCs w:val="0"/>
                <w:lang w:val="en-AU" w:eastAsia="en-AU" w:bidi="ar-SA"/>
              </w:rPr>
              <w:t xml:space="preserve">Covariate </w:t>
            </w:r>
            <w:r w:rsidRPr="000B52C6">
              <w:rPr>
                <w:bCs w:val="0"/>
                <w:lang w:val="en-AU" w:eastAsia="en-AU" w:bidi="ar-SA"/>
              </w:rPr>
              <w:br/>
              <w:t>p-value</w:t>
            </w:r>
          </w:p>
        </w:tc>
        <w:tc>
          <w:tcPr>
            <w:tcW w:w="1785" w:type="dxa"/>
            <w:shd w:val="clear" w:color="auto" w:fill="auto"/>
            <w:vAlign w:val="center"/>
          </w:tcPr>
          <w:p w14:paraId="690B894F" w14:textId="77777777" w:rsidR="006B3342" w:rsidRPr="000B52C6" w:rsidRDefault="006B3342" w:rsidP="00513E25">
            <w:pPr>
              <w:pStyle w:val="TableText0"/>
              <w:jc w:val="center"/>
              <w:rPr>
                <w:bCs w:val="0"/>
                <w:lang w:val="en-AU" w:eastAsia="en-AU" w:bidi="ar-SA"/>
              </w:rPr>
            </w:pPr>
            <w:proofErr w:type="spellStart"/>
            <w:r w:rsidRPr="000B52C6">
              <w:rPr>
                <w:bCs w:val="0"/>
                <w:lang w:val="en-AU" w:eastAsia="en-AU" w:bidi="ar-SA"/>
              </w:rPr>
              <w:t>SBd</w:t>
            </w:r>
            <w:proofErr w:type="spellEnd"/>
            <w:r w:rsidRPr="000B52C6">
              <w:rPr>
                <w:bCs w:val="0"/>
                <w:lang w:val="en-AU" w:eastAsia="en-AU" w:bidi="ar-SA"/>
              </w:rPr>
              <w:t xml:space="preserve"> vs Bd (BOSTON)</w:t>
            </w:r>
          </w:p>
          <w:p w14:paraId="7A9F9AA0" w14:textId="77777777" w:rsidR="006B3342" w:rsidRPr="000B52C6" w:rsidRDefault="006B3342" w:rsidP="00513E25">
            <w:pPr>
              <w:pStyle w:val="TableText0"/>
              <w:jc w:val="center"/>
              <w:rPr>
                <w:bCs w:val="0"/>
                <w:lang w:val="en-AU" w:eastAsia="en-AU" w:bidi="ar-SA"/>
              </w:rPr>
            </w:pPr>
            <w:r w:rsidRPr="000B52C6">
              <w:rPr>
                <w:bCs w:val="0"/>
                <w:lang w:val="en-AU" w:eastAsia="en-AU" w:bidi="ar-SA"/>
              </w:rPr>
              <w:t>HR (95% CI)</w:t>
            </w:r>
          </w:p>
        </w:tc>
        <w:tc>
          <w:tcPr>
            <w:tcW w:w="1559" w:type="dxa"/>
            <w:shd w:val="clear" w:color="auto" w:fill="auto"/>
            <w:vAlign w:val="center"/>
          </w:tcPr>
          <w:p w14:paraId="57FBE0CA" w14:textId="77777777" w:rsidR="006B3342" w:rsidRPr="000B52C6" w:rsidRDefault="006B3342" w:rsidP="00513E25">
            <w:pPr>
              <w:pStyle w:val="TableText0"/>
              <w:jc w:val="center"/>
              <w:rPr>
                <w:bCs w:val="0"/>
                <w:lang w:val="en-AU" w:eastAsia="en-AU" w:bidi="ar-SA"/>
              </w:rPr>
            </w:pPr>
            <w:r w:rsidRPr="000B52C6">
              <w:rPr>
                <w:bCs w:val="0"/>
                <w:lang w:val="en-AU" w:eastAsia="en-AU" w:bidi="ar-SA"/>
              </w:rPr>
              <w:t>Cd vs Bd (ENDEAVOR)</w:t>
            </w:r>
          </w:p>
          <w:p w14:paraId="74EB782D" w14:textId="77777777" w:rsidR="006B3342" w:rsidRPr="000B52C6" w:rsidRDefault="006B3342" w:rsidP="00513E25">
            <w:pPr>
              <w:pStyle w:val="TableText0"/>
              <w:jc w:val="center"/>
              <w:rPr>
                <w:bCs w:val="0"/>
                <w:lang w:val="en-AU" w:eastAsia="en-AU" w:bidi="ar-SA"/>
              </w:rPr>
            </w:pPr>
            <w:r w:rsidRPr="000B52C6">
              <w:rPr>
                <w:bCs w:val="0"/>
                <w:lang w:val="en-AU" w:eastAsia="en-AU" w:bidi="ar-SA"/>
              </w:rPr>
              <w:t>HR (95% CI)</w:t>
            </w:r>
          </w:p>
        </w:tc>
        <w:tc>
          <w:tcPr>
            <w:tcW w:w="1701" w:type="dxa"/>
            <w:shd w:val="clear" w:color="auto" w:fill="auto"/>
            <w:vAlign w:val="center"/>
          </w:tcPr>
          <w:p w14:paraId="086E4B8A" w14:textId="77777777" w:rsidR="006B3342" w:rsidRPr="000B52C6" w:rsidRDefault="006B3342" w:rsidP="00513E25">
            <w:pPr>
              <w:pStyle w:val="TableText0"/>
              <w:jc w:val="center"/>
              <w:rPr>
                <w:bCs w:val="0"/>
                <w:lang w:val="en-AU" w:eastAsia="en-AU" w:bidi="ar-SA"/>
              </w:rPr>
            </w:pPr>
            <w:r w:rsidRPr="000B52C6">
              <w:rPr>
                <w:bCs w:val="0"/>
                <w:lang w:val="en-AU" w:eastAsia="en-AU" w:bidi="ar-SA"/>
              </w:rPr>
              <w:t xml:space="preserve">IEE: </w:t>
            </w:r>
            <w:proofErr w:type="spellStart"/>
            <w:r w:rsidRPr="000B52C6">
              <w:rPr>
                <w:bCs w:val="0"/>
                <w:lang w:val="en-AU" w:eastAsia="en-AU" w:bidi="ar-SA"/>
              </w:rPr>
              <w:t>SBd</w:t>
            </w:r>
            <w:proofErr w:type="spellEnd"/>
            <w:r w:rsidRPr="000B52C6">
              <w:rPr>
                <w:bCs w:val="0"/>
                <w:lang w:val="en-AU" w:eastAsia="en-AU" w:bidi="ar-SA"/>
              </w:rPr>
              <w:t xml:space="preserve"> vs Cd via Bd</w:t>
            </w:r>
          </w:p>
          <w:p w14:paraId="0A54A3E9" w14:textId="77777777" w:rsidR="006B3342" w:rsidRPr="000B52C6" w:rsidRDefault="006B3342" w:rsidP="00513E25">
            <w:pPr>
              <w:pStyle w:val="TableText0"/>
              <w:jc w:val="center"/>
              <w:rPr>
                <w:bCs w:val="0"/>
                <w:lang w:val="en-AU" w:eastAsia="en-AU" w:bidi="ar-SA"/>
              </w:rPr>
            </w:pPr>
            <w:r w:rsidRPr="000B52C6">
              <w:rPr>
                <w:bCs w:val="0"/>
                <w:lang w:val="en-AU" w:eastAsia="en-AU" w:bidi="ar-SA"/>
              </w:rPr>
              <w:t>HR (95% CI)</w:t>
            </w:r>
          </w:p>
        </w:tc>
      </w:tr>
      <w:tr w:rsidR="006B3342" w:rsidRPr="000B52C6" w14:paraId="07C40E31" w14:textId="77777777" w:rsidTr="00513E25">
        <w:tc>
          <w:tcPr>
            <w:tcW w:w="3058" w:type="dxa"/>
            <w:tcBorders>
              <w:right w:val="nil"/>
            </w:tcBorders>
            <w:shd w:val="clear" w:color="auto" w:fill="auto"/>
          </w:tcPr>
          <w:p w14:paraId="4158068C" w14:textId="77777777" w:rsidR="006B3342" w:rsidRPr="000B52C6" w:rsidRDefault="006B3342" w:rsidP="00513E25">
            <w:pPr>
              <w:pStyle w:val="TableText0"/>
              <w:rPr>
                <w:b/>
                <w:bCs w:val="0"/>
                <w:lang w:val="en-AU" w:eastAsia="en-AU" w:bidi="ar-SA"/>
              </w:rPr>
            </w:pPr>
            <w:r w:rsidRPr="000B52C6">
              <w:rPr>
                <w:b/>
                <w:bCs w:val="0"/>
                <w:lang w:val="en-AU" w:eastAsia="en-AU" w:bidi="ar-SA"/>
              </w:rPr>
              <w:t>ITT – base case</w:t>
            </w:r>
          </w:p>
        </w:tc>
        <w:tc>
          <w:tcPr>
            <w:tcW w:w="964" w:type="dxa"/>
            <w:tcBorders>
              <w:left w:val="nil"/>
              <w:bottom w:val="single" w:sz="4" w:space="0" w:color="auto"/>
              <w:right w:val="nil"/>
            </w:tcBorders>
            <w:shd w:val="clear" w:color="auto" w:fill="auto"/>
            <w:vAlign w:val="center"/>
          </w:tcPr>
          <w:p w14:paraId="690007A4" w14:textId="77777777" w:rsidR="006B3342" w:rsidRPr="000B52C6" w:rsidRDefault="006B3342" w:rsidP="00513E25">
            <w:pPr>
              <w:pStyle w:val="TableText0"/>
              <w:jc w:val="center"/>
              <w:rPr>
                <w:lang w:val="en-AU" w:eastAsia="en-AU" w:bidi="ar-SA"/>
              </w:rPr>
            </w:pPr>
          </w:p>
        </w:tc>
        <w:tc>
          <w:tcPr>
            <w:tcW w:w="1785" w:type="dxa"/>
            <w:tcBorders>
              <w:left w:val="nil"/>
              <w:right w:val="nil"/>
            </w:tcBorders>
            <w:shd w:val="clear" w:color="auto" w:fill="auto"/>
            <w:vAlign w:val="center"/>
          </w:tcPr>
          <w:p w14:paraId="4132162A" w14:textId="77777777" w:rsidR="006B3342" w:rsidRPr="000B52C6" w:rsidRDefault="006B3342" w:rsidP="00513E25">
            <w:pPr>
              <w:pStyle w:val="TableText0"/>
              <w:jc w:val="center"/>
              <w:rPr>
                <w:lang w:val="en-AU" w:eastAsia="en-AU" w:bidi="ar-SA"/>
              </w:rPr>
            </w:pPr>
          </w:p>
        </w:tc>
        <w:tc>
          <w:tcPr>
            <w:tcW w:w="1559" w:type="dxa"/>
            <w:tcBorders>
              <w:left w:val="nil"/>
              <w:right w:val="nil"/>
            </w:tcBorders>
            <w:shd w:val="clear" w:color="auto" w:fill="auto"/>
            <w:vAlign w:val="center"/>
          </w:tcPr>
          <w:p w14:paraId="39891F34" w14:textId="77777777" w:rsidR="006B3342" w:rsidRPr="000B52C6" w:rsidRDefault="006B3342" w:rsidP="00513E25">
            <w:pPr>
              <w:pStyle w:val="TableText0"/>
              <w:jc w:val="center"/>
              <w:rPr>
                <w:lang w:val="en-AU" w:eastAsia="en-AU" w:bidi="ar-SA"/>
              </w:rPr>
            </w:pPr>
          </w:p>
        </w:tc>
        <w:tc>
          <w:tcPr>
            <w:tcW w:w="1701" w:type="dxa"/>
            <w:tcBorders>
              <w:left w:val="nil"/>
            </w:tcBorders>
            <w:shd w:val="clear" w:color="auto" w:fill="auto"/>
            <w:vAlign w:val="center"/>
          </w:tcPr>
          <w:p w14:paraId="5C7ECE7A" w14:textId="77777777" w:rsidR="006B3342" w:rsidRPr="000B52C6" w:rsidRDefault="006B3342" w:rsidP="00513E25">
            <w:pPr>
              <w:pStyle w:val="TableText0"/>
              <w:jc w:val="center"/>
              <w:rPr>
                <w:lang w:val="en-AU" w:eastAsia="en-AU" w:bidi="ar-SA"/>
              </w:rPr>
            </w:pPr>
          </w:p>
        </w:tc>
      </w:tr>
      <w:tr w:rsidR="006B3342" w:rsidRPr="000B52C6" w14:paraId="1AB941AA" w14:textId="77777777" w:rsidTr="00513E25">
        <w:tc>
          <w:tcPr>
            <w:tcW w:w="3058" w:type="dxa"/>
            <w:shd w:val="clear" w:color="auto" w:fill="auto"/>
          </w:tcPr>
          <w:p w14:paraId="0761288C" w14:textId="77777777" w:rsidR="006B3342" w:rsidRPr="000B52C6" w:rsidRDefault="006B3342" w:rsidP="00513E25">
            <w:pPr>
              <w:pStyle w:val="TableText0"/>
              <w:rPr>
                <w:lang w:val="en-AU" w:eastAsia="en-AU" w:bidi="ar-SA"/>
              </w:rPr>
            </w:pPr>
            <w:r w:rsidRPr="000B52C6">
              <w:rPr>
                <w:lang w:val="en-AU" w:eastAsia="en-AU" w:bidi="ar-SA"/>
              </w:rPr>
              <w:t xml:space="preserve">Unadjusted: As per BOSTON CSR method, </w:t>
            </w:r>
          </w:p>
        </w:tc>
        <w:tc>
          <w:tcPr>
            <w:tcW w:w="964" w:type="dxa"/>
            <w:tcBorders>
              <w:bottom w:val="nil"/>
            </w:tcBorders>
            <w:shd w:val="clear" w:color="auto" w:fill="auto"/>
            <w:vAlign w:val="center"/>
          </w:tcPr>
          <w:p w14:paraId="355D45EC" w14:textId="77777777" w:rsidR="006B3342" w:rsidRPr="000B52C6" w:rsidRDefault="006B3342" w:rsidP="00513E25">
            <w:pPr>
              <w:pStyle w:val="TableText0"/>
              <w:jc w:val="center"/>
              <w:rPr>
                <w:lang w:val="en-AU" w:eastAsia="en-AU" w:bidi="ar-SA"/>
              </w:rPr>
            </w:pPr>
            <w:r w:rsidRPr="000B52C6">
              <w:rPr>
                <w:lang w:val="en-AU" w:eastAsia="en-AU" w:bidi="ar-SA"/>
              </w:rPr>
              <w:t>NA</w:t>
            </w:r>
          </w:p>
        </w:tc>
        <w:tc>
          <w:tcPr>
            <w:tcW w:w="1785" w:type="dxa"/>
            <w:shd w:val="clear" w:color="auto" w:fill="auto"/>
            <w:vAlign w:val="center"/>
          </w:tcPr>
          <w:p w14:paraId="56503803" w14:textId="77777777" w:rsidR="006B3342" w:rsidRPr="000B52C6" w:rsidRDefault="006B3342" w:rsidP="00513E25">
            <w:pPr>
              <w:pStyle w:val="TableText0"/>
              <w:jc w:val="center"/>
              <w:rPr>
                <w:lang w:val="en-AU" w:eastAsia="en-AU" w:bidi="ar-SA"/>
              </w:rPr>
            </w:pPr>
            <w:r w:rsidRPr="000B52C6">
              <w:rPr>
                <w:lang w:val="en-AU" w:eastAsia="en-AU" w:bidi="ar-SA"/>
              </w:rPr>
              <w:t>0.70 (0.53, 0.93)</w:t>
            </w:r>
          </w:p>
        </w:tc>
        <w:tc>
          <w:tcPr>
            <w:tcW w:w="1559" w:type="dxa"/>
            <w:shd w:val="clear" w:color="auto" w:fill="auto"/>
            <w:vAlign w:val="center"/>
          </w:tcPr>
          <w:p w14:paraId="5E81BDA7" w14:textId="77777777" w:rsidR="006B3342" w:rsidRPr="000B52C6" w:rsidRDefault="006B3342" w:rsidP="00513E25">
            <w:pPr>
              <w:pStyle w:val="TableText0"/>
              <w:jc w:val="center"/>
              <w:rPr>
                <w:lang w:val="en-AU" w:eastAsia="en-AU" w:bidi="ar-SA"/>
              </w:rPr>
            </w:pPr>
            <w:r w:rsidRPr="000B52C6">
              <w:rPr>
                <w:lang w:val="en-AU" w:eastAsia="en-AU" w:bidi="ar-SA"/>
              </w:rPr>
              <w:t>0.53 (0.44, 0.65)</w:t>
            </w:r>
          </w:p>
        </w:tc>
        <w:tc>
          <w:tcPr>
            <w:tcW w:w="1701" w:type="dxa"/>
            <w:shd w:val="clear" w:color="auto" w:fill="auto"/>
            <w:vAlign w:val="center"/>
          </w:tcPr>
          <w:p w14:paraId="3255A575" w14:textId="77777777" w:rsidR="006B3342" w:rsidRPr="000B52C6" w:rsidRDefault="006B3342" w:rsidP="00513E25">
            <w:pPr>
              <w:pStyle w:val="TableText0"/>
              <w:jc w:val="center"/>
              <w:rPr>
                <w:lang w:val="en-AU" w:eastAsia="en-AU" w:bidi="ar-SA"/>
              </w:rPr>
            </w:pPr>
            <w:r w:rsidRPr="000B52C6">
              <w:rPr>
                <w:lang w:val="en-AU" w:eastAsia="en-AU" w:bidi="ar-SA"/>
              </w:rPr>
              <w:t>1.32 (0.94, 1.86)</w:t>
            </w:r>
          </w:p>
        </w:tc>
      </w:tr>
      <w:tr w:rsidR="006B3342" w:rsidRPr="000B52C6" w14:paraId="513D6742" w14:textId="77777777" w:rsidTr="00513E25">
        <w:tc>
          <w:tcPr>
            <w:tcW w:w="3058" w:type="dxa"/>
            <w:tcBorders>
              <w:bottom w:val="single" w:sz="4" w:space="0" w:color="auto"/>
            </w:tcBorders>
            <w:shd w:val="clear" w:color="auto" w:fill="auto"/>
          </w:tcPr>
          <w:p w14:paraId="5018C729" w14:textId="77777777" w:rsidR="006B3342" w:rsidRPr="000B52C6" w:rsidRDefault="006B3342" w:rsidP="00513E25">
            <w:pPr>
              <w:pStyle w:val="TableText0"/>
              <w:rPr>
                <w:lang w:val="en-AU" w:eastAsia="en-AU" w:bidi="ar-SA"/>
              </w:rPr>
            </w:pPr>
            <w:r w:rsidRPr="000B52C6">
              <w:rPr>
                <w:lang w:val="en-AU" w:eastAsia="en-AU" w:bidi="ar-SA"/>
              </w:rPr>
              <w:t>Unadjusted: matching methods in BOSTON with ENDEAVOR</w:t>
            </w:r>
          </w:p>
        </w:tc>
        <w:tc>
          <w:tcPr>
            <w:tcW w:w="964" w:type="dxa"/>
            <w:tcBorders>
              <w:top w:val="nil"/>
              <w:bottom w:val="single" w:sz="4" w:space="0" w:color="auto"/>
            </w:tcBorders>
            <w:shd w:val="clear" w:color="auto" w:fill="auto"/>
            <w:vAlign w:val="center"/>
          </w:tcPr>
          <w:p w14:paraId="619D56C5" w14:textId="77777777" w:rsidR="006B3342" w:rsidRPr="000B52C6" w:rsidRDefault="006B3342" w:rsidP="00513E25">
            <w:pPr>
              <w:pStyle w:val="TableText0"/>
              <w:jc w:val="center"/>
              <w:rPr>
                <w:lang w:val="en-AU" w:eastAsia="en-AU" w:bidi="ar-SA"/>
              </w:rPr>
            </w:pPr>
          </w:p>
        </w:tc>
        <w:tc>
          <w:tcPr>
            <w:tcW w:w="1785" w:type="dxa"/>
            <w:tcBorders>
              <w:bottom w:val="single" w:sz="4" w:space="0" w:color="auto"/>
            </w:tcBorders>
            <w:shd w:val="clear" w:color="auto" w:fill="auto"/>
            <w:vAlign w:val="center"/>
          </w:tcPr>
          <w:p w14:paraId="6C16AC77" w14:textId="77777777" w:rsidR="006B3342" w:rsidRPr="000B52C6" w:rsidRDefault="006B3342" w:rsidP="00513E25">
            <w:pPr>
              <w:pStyle w:val="TableText0"/>
              <w:jc w:val="center"/>
              <w:rPr>
                <w:lang w:val="en-AU" w:eastAsia="en-AU" w:bidi="ar-SA"/>
              </w:rPr>
            </w:pPr>
            <w:r w:rsidRPr="000B52C6">
              <w:rPr>
                <w:lang w:val="en-AU" w:eastAsia="en-AU" w:bidi="ar-SA"/>
              </w:rPr>
              <w:t>0.68 (0.51, 0.9)</w:t>
            </w:r>
          </w:p>
        </w:tc>
        <w:tc>
          <w:tcPr>
            <w:tcW w:w="1559" w:type="dxa"/>
            <w:tcBorders>
              <w:bottom w:val="single" w:sz="4" w:space="0" w:color="auto"/>
            </w:tcBorders>
            <w:shd w:val="clear" w:color="auto" w:fill="auto"/>
            <w:vAlign w:val="center"/>
          </w:tcPr>
          <w:p w14:paraId="3CE33676" w14:textId="77777777" w:rsidR="006B3342" w:rsidRPr="000B52C6" w:rsidRDefault="006B3342" w:rsidP="00513E25">
            <w:pPr>
              <w:pStyle w:val="TableText0"/>
              <w:jc w:val="center"/>
              <w:rPr>
                <w:lang w:val="en-AU" w:eastAsia="en-AU" w:bidi="ar-SA"/>
              </w:rPr>
            </w:pPr>
            <w:r w:rsidRPr="000B52C6">
              <w:rPr>
                <w:lang w:val="en-AU" w:eastAsia="en-AU" w:bidi="ar-SA"/>
              </w:rPr>
              <w:t>0.53 (0.44, 0.65)</w:t>
            </w:r>
          </w:p>
        </w:tc>
        <w:tc>
          <w:tcPr>
            <w:tcW w:w="1701" w:type="dxa"/>
            <w:tcBorders>
              <w:bottom w:val="single" w:sz="4" w:space="0" w:color="auto"/>
            </w:tcBorders>
            <w:shd w:val="clear" w:color="auto" w:fill="auto"/>
            <w:vAlign w:val="center"/>
          </w:tcPr>
          <w:p w14:paraId="73AD0FA0" w14:textId="77777777" w:rsidR="006B3342" w:rsidRPr="000B52C6" w:rsidRDefault="006B3342" w:rsidP="00513E25">
            <w:pPr>
              <w:pStyle w:val="TableText0"/>
              <w:jc w:val="center"/>
              <w:rPr>
                <w:lang w:val="en-AU" w:eastAsia="en-AU" w:bidi="ar-SA"/>
              </w:rPr>
            </w:pPr>
            <w:r w:rsidRPr="000B52C6">
              <w:rPr>
                <w:lang w:val="en-AU" w:eastAsia="en-AU" w:bidi="ar-SA"/>
              </w:rPr>
              <w:t>1.28 (0.91, 1.81)</w:t>
            </w:r>
          </w:p>
        </w:tc>
      </w:tr>
      <w:tr w:rsidR="006B3342" w:rsidRPr="000B52C6" w14:paraId="5F86AEC0" w14:textId="77777777" w:rsidTr="00513E25">
        <w:tc>
          <w:tcPr>
            <w:tcW w:w="3058" w:type="dxa"/>
            <w:tcBorders>
              <w:bottom w:val="single" w:sz="4" w:space="0" w:color="auto"/>
            </w:tcBorders>
            <w:shd w:val="clear" w:color="auto" w:fill="auto"/>
          </w:tcPr>
          <w:p w14:paraId="3BAF2BD0" w14:textId="77777777" w:rsidR="006B3342" w:rsidRPr="000B52C6" w:rsidRDefault="006B3342" w:rsidP="00513E25">
            <w:pPr>
              <w:pStyle w:val="TableText0"/>
              <w:rPr>
                <w:lang w:val="en-AU" w:eastAsia="en-AU" w:bidi="ar-SA"/>
              </w:rPr>
            </w:pPr>
            <w:r w:rsidRPr="000B52C6">
              <w:rPr>
                <w:lang w:val="en-AU" w:eastAsia="en-AU" w:bidi="ar-SA"/>
              </w:rPr>
              <w:t>Adjusted model: Multivariate (ECOG 0 vs 1 vs 2 &amp; age &lt; 65 vs ≥ 65 years)</w:t>
            </w:r>
          </w:p>
        </w:tc>
        <w:tc>
          <w:tcPr>
            <w:tcW w:w="964" w:type="dxa"/>
            <w:tcBorders>
              <w:bottom w:val="single" w:sz="4" w:space="0" w:color="auto"/>
            </w:tcBorders>
            <w:shd w:val="clear" w:color="auto" w:fill="auto"/>
            <w:vAlign w:val="center"/>
          </w:tcPr>
          <w:p w14:paraId="4A30A66D" w14:textId="77777777" w:rsidR="006B3342" w:rsidRPr="000B52C6" w:rsidRDefault="006B3342" w:rsidP="00513E25">
            <w:pPr>
              <w:pStyle w:val="TableText0"/>
              <w:jc w:val="center"/>
              <w:rPr>
                <w:lang w:val="en-AU" w:eastAsia="en-AU" w:bidi="ar-SA"/>
              </w:rPr>
            </w:pPr>
            <w:r w:rsidRPr="000B52C6">
              <w:rPr>
                <w:lang w:val="en-AU" w:eastAsia="en-AU" w:bidi="ar-SA"/>
              </w:rPr>
              <w:t>0.036, 0.036</w:t>
            </w:r>
          </w:p>
        </w:tc>
        <w:tc>
          <w:tcPr>
            <w:tcW w:w="1785" w:type="dxa"/>
            <w:tcBorders>
              <w:bottom w:val="single" w:sz="4" w:space="0" w:color="auto"/>
            </w:tcBorders>
            <w:shd w:val="clear" w:color="auto" w:fill="auto"/>
            <w:vAlign w:val="center"/>
          </w:tcPr>
          <w:p w14:paraId="476D7199" w14:textId="77777777" w:rsidR="006B3342" w:rsidRPr="000B52C6" w:rsidRDefault="006B3342" w:rsidP="00513E25">
            <w:pPr>
              <w:pStyle w:val="TableText0"/>
              <w:jc w:val="center"/>
              <w:rPr>
                <w:lang w:val="en-AU" w:eastAsia="en-AU" w:bidi="ar-SA"/>
              </w:rPr>
            </w:pPr>
            <w:r w:rsidRPr="000B52C6">
              <w:rPr>
                <w:lang w:val="en-AU" w:eastAsia="en-AU" w:bidi="ar-SA"/>
              </w:rPr>
              <w:t>0.65 (0.49, 0.87)</w:t>
            </w:r>
          </w:p>
        </w:tc>
        <w:tc>
          <w:tcPr>
            <w:tcW w:w="1559" w:type="dxa"/>
            <w:tcBorders>
              <w:bottom w:val="single" w:sz="4" w:space="0" w:color="auto"/>
            </w:tcBorders>
            <w:shd w:val="clear" w:color="auto" w:fill="auto"/>
            <w:vAlign w:val="center"/>
          </w:tcPr>
          <w:p w14:paraId="4CABD7CB" w14:textId="77777777" w:rsidR="006B3342" w:rsidRPr="000B52C6" w:rsidRDefault="006B3342" w:rsidP="00513E25">
            <w:pPr>
              <w:pStyle w:val="TableText0"/>
              <w:jc w:val="center"/>
              <w:rPr>
                <w:lang w:val="en-AU" w:eastAsia="en-AU" w:bidi="ar-SA"/>
              </w:rPr>
            </w:pPr>
            <w:r w:rsidRPr="000B52C6">
              <w:rPr>
                <w:lang w:val="en-AU" w:eastAsia="en-AU" w:bidi="ar-SA"/>
              </w:rPr>
              <w:t>0.53 (0.44, 0.65)</w:t>
            </w:r>
          </w:p>
        </w:tc>
        <w:tc>
          <w:tcPr>
            <w:tcW w:w="1701" w:type="dxa"/>
            <w:tcBorders>
              <w:bottom w:val="single" w:sz="4" w:space="0" w:color="auto"/>
            </w:tcBorders>
            <w:shd w:val="clear" w:color="auto" w:fill="auto"/>
            <w:vAlign w:val="center"/>
          </w:tcPr>
          <w:p w14:paraId="77825F15" w14:textId="77777777" w:rsidR="006B3342" w:rsidRPr="000B52C6" w:rsidRDefault="006B3342" w:rsidP="00513E25">
            <w:pPr>
              <w:pStyle w:val="TableText0"/>
              <w:jc w:val="center"/>
              <w:rPr>
                <w:lang w:val="en-AU" w:eastAsia="en-AU" w:bidi="ar-SA"/>
              </w:rPr>
            </w:pPr>
            <w:r w:rsidRPr="000B52C6">
              <w:rPr>
                <w:lang w:val="en-AU" w:eastAsia="en-AU" w:bidi="ar-SA"/>
              </w:rPr>
              <w:t>1.23 (0.87, 1.75)</w:t>
            </w:r>
          </w:p>
        </w:tc>
      </w:tr>
      <w:tr w:rsidR="006B3342" w:rsidRPr="000B52C6" w14:paraId="6803670F" w14:textId="77777777" w:rsidTr="00513E25">
        <w:tc>
          <w:tcPr>
            <w:tcW w:w="3058" w:type="dxa"/>
            <w:tcBorders>
              <w:bottom w:val="single" w:sz="4" w:space="0" w:color="auto"/>
            </w:tcBorders>
            <w:shd w:val="clear" w:color="auto" w:fill="auto"/>
          </w:tcPr>
          <w:p w14:paraId="4CEADAFC" w14:textId="77777777" w:rsidR="006B3342" w:rsidRPr="000B52C6" w:rsidRDefault="006B3342" w:rsidP="00513E25">
            <w:pPr>
              <w:pStyle w:val="TableText0"/>
              <w:rPr>
                <w:lang w:val="en-AU" w:eastAsia="en-AU" w:bidi="ar-SA"/>
              </w:rPr>
            </w:pPr>
            <w:r w:rsidRPr="000B52C6">
              <w:rPr>
                <w:lang w:val="en-AU" w:eastAsia="en-AU" w:bidi="ar-SA"/>
              </w:rPr>
              <w:t>STC: Multivariate (ECOG and age)</w:t>
            </w:r>
          </w:p>
        </w:tc>
        <w:tc>
          <w:tcPr>
            <w:tcW w:w="964" w:type="dxa"/>
            <w:tcBorders>
              <w:bottom w:val="single" w:sz="4" w:space="0" w:color="auto"/>
            </w:tcBorders>
            <w:shd w:val="clear" w:color="auto" w:fill="auto"/>
            <w:vAlign w:val="center"/>
          </w:tcPr>
          <w:p w14:paraId="68DFCA37" w14:textId="77777777" w:rsidR="006B3342" w:rsidRPr="000B52C6" w:rsidRDefault="006B3342" w:rsidP="00513E25">
            <w:pPr>
              <w:pStyle w:val="TableText0"/>
              <w:jc w:val="center"/>
              <w:rPr>
                <w:lang w:val="en-AU" w:eastAsia="en-AU" w:bidi="ar-SA"/>
              </w:rPr>
            </w:pPr>
            <w:r w:rsidRPr="000B52C6">
              <w:rPr>
                <w:lang w:val="en-AU" w:eastAsia="en-AU" w:bidi="ar-SA"/>
              </w:rPr>
              <w:t>NA</w:t>
            </w:r>
          </w:p>
        </w:tc>
        <w:tc>
          <w:tcPr>
            <w:tcW w:w="1785" w:type="dxa"/>
            <w:tcBorders>
              <w:bottom w:val="single" w:sz="4" w:space="0" w:color="auto"/>
            </w:tcBorders>
            <w:shd w:val="clear" w:color="auto" w:fill="auto"/>
            <w:vAlign w:val="center"/>
          </w:tcPr>
          <w:p w14:paraId="6C5D838F" w14:textId="77777777" w:rsidR="006B3342" w:rsidRPr="000B52C6" w:rsidRDefault="006B3342" w:rsidP="00513E25">
            <w:pPr>
              <w:pStyle w:val="TableText0"/>
              <w:jc w:val="center"/>
              <w:rPr>
                <w:lang w:val="en-AU" w:eastAsia="en-AU" w:bidi="ar-SA"/>
              </w:rPr>
            </w:pPr>
            <w:r w:rsidRPr="000B52C6">
              <w:rPr>
                <w:lang w:val="en-AU" w:eastAsia="en-AU" w:bidi="ar-SA"/>
              </w:rPr>
              <w:t>0.57 (0.40, 0.82)</w:t>
            </w:r>
          </w:p>
        </w:tc>
        <w:tc>
          <w:tcPr>
            <w:tcW w:w="1559" w:type="dxa"/>
            <w:tcBorders>
              <w:bottom w:val="single" w:sz="4" w:space="0" w:color="auto"/>
            </w:tcBorders>
            <w:shd w:val="clear" w:color="auto" w:fill="auto"/>
            <w:vAlign w:val="center"/>
          </w:tcPr>
          <w:p w14:paraId="5A8CEE26" w14:textId="77777777" w:rsidR="006B3342" w:rsidRPr="000B52C6" w:rsidRDefault="006B3342" w:rsidP="00513E25">
            <w:pPr>
              <w:pStyle w:val="TableText0"/>
              <w:jc w:val="center"/>
              <w:rPr>
                <w:lang w:val="en-AU" w:eastAsia="en-AU" w:bidi="ar-SA"/>
              </w:rPr>
            </w:pPr>
            <w:r w:rsidRPr="000B52C6">
              <w:rPr>
                <w:lang w:val="en-AU" w:eastAsia="en-AU" w:bidi="ar-SA"/>
              </w:rPr>
              <w:t>0.53 (0.44, 0.65)</w:t>
            </w:r>
          </w:p>
        </w:tc>
        <w:tc>
          <w:tcPr>
            <w:tcW w:w="1701" w:type="dxa"/>
            <w:tcBorders>
              <w:bottom w:val="single" w:sz="4" w:space="0" w:color="auto"/>
            </w:tcBorders>
            <w:shd w:val="clear" w:color="auto" w:fill="auto"/>
            <w:vAlign w:val="center"/>
          </w:tcPr>
          <w:p w14:paraId="6B99028A" w14:textId="77777777" w:rsidR="006B3342" w:rsidRPr="000B52C6" w:rsidRDefault="006B3342" w:rsidP="00513E25">
            <w:pPr>
              <w:pStyle w:val="TableText0"/>
              <w:jc w:val="center"/>
              <w:rPr>
                <w:lang w:val="en-AU" w:eastAsia="en-AU" w:bidi="ar-SA"/>
              </w:rPr>
            </w:pPr>
            <w:r w:rsidRPr="000B52C6">
              <w:rPr>
                <w:lang w:val="en-AU" w:eastAsia="en-AU" w:bidi="ar-SA"/>
              </w:rPr>
              <w:t>1.08 (0.72, 1.63)</w:t>
            </w:r>
          </w:p>
        </w:tc>
      </w:tr>
    </w:tbl>
    <w:p w14:paraId="65959F43" w14:textId="77777777" w:rsidR="006B3342" w:rsidRPr="000B52C6" w:rsidRDefault="006B3342" w:rsidP="006B3342">
      <w:pPr>
        <w:pStyle w:val="TableFigureFooter"/>
        <w:keepNext/>
      </w:pPr>
      <w:r w:rsidRPr="000B52C6">
        <w:t>Source: Table 2-47, pp141 of the resubmission.</w:t>
      </w:r>
    </w:p>
    <w:p w14:paraId="380BAE00" w14:textId="77777777" w:rsidR="006B3342" w:rsidRPr="000B52C6" w:rsidRDefault="006B3342" w:rsidP="006B3342">
      <w:pPr>
        <w:pStyle w:val="TableFigureFooter"/>
        <w:keepNext/>
      </w:pPr>
      <w:r w:rsidRPr="000B52C6">
        <w:t xml:space="preserve">Abbreviations: Bd = bortezomib + dexamethasone; Cd = carfilzomib + dexamethasone; CI = confidence interval; HR = hazard ratio; IEE = indirect estimate of effect; ITT = intent to treat; PFS = progression free survival; </w:t>
      </w:r>
      <w:proofErr w:type="spellStart"/>
      <w:r w:rsidRPr="000B52C6">
        <w:t>SBd</w:t>
      </w:r>
      <w:proofErr w:type="spellEnd"/>
      <w:r w:rsidRPr="000B52C6">
        <w:t xml:space="preserve"> = </w:t>
      </w:r>
      <w:proofErr w:type="spellStart"/>
      <w:r w:rsidRPr="000B52C6">
        <w:t>selinexor</w:t>
      </w:r>
      <w:proofErr w:type="spellEnd"/>
      <w:r w:rsidRPr="000B52C6">
        <w:t xml:space="preserve"> + bortezomib + dexamethasone; STC = simulated treatment comparison. </w:t>
      </w:r>
    </w:p>
    <w:p w14:paraId="7CD06754" w14:textId="55407E81" w:rsidR="002F11A9" w:rsidRPr="000B52C6" w:rsidRDefault="00D16566" w:rsidP="006B3342">
      <w:pPr>
        <w:pStyle w:val="3-BodyText"/>
        <w:ind w:left="720" w:hanging="720"/>
        <w:rPr>
          <w:iCs/>
        </w:rPr>
      </w:pPr>
      <w:r w:rsidRPr="000B52C6">
        <w:rPr>
          <w:iCs/>
        </w:rPr>
        <w:t>The resubmission</w:t>
      </w:r>
      <w:r w:rsidR="00427FF6" w:rsidRPr="000B52C6">
        <w:rPr>
          <w:iCs/>
        </w:rPr>
        <w:t xml:space="preserve"> appropriately</w:t>
      </w:r>
      <w:r w:rsidRPr="000B52C6">
        <w:rPr>
          <w:iCs/>
        </w:rPr>
        <w:t xml:space="preserve"> used BOSTON IPD</w:t>
      </w:r>
      <w:r w:rsidR="00552DA3" w:rsidRPr="000B52C6">
        <w:rPr>
          <w:iCs/>
        </w:rPr>
        <w:t xml:space="preserve"> </w:t>
      </w:r>
      <w:r w:rsidRPr="000B52C6">
        <w:rPr>
          <w:iCs/>
        </w:rPr>
        <w:t>to conduct adjusted ITC analyses and STCs</w:t>
      </w:r>
      <w:r w:rsidR="00427FF6" w:rsidRPr="000B52C6">
        <w:rPr>
          <w:iCs/>
        </w:rPr>
        <w:t>. The adjusted ITC</w:t>
      </w:r>
      <w:r w:rsidR="001C77FB" w:rsidRPr="000B52C6">
        <w:rPr>
          <w:iCs/>
        </w:rPr>
        <w:t>s</w:t>
      </w:r>
      <w:r w:rsidR="00427FF6" w:rsidRPr="000B52C6">
        <w:rPr>
          <w:iCs/>
        </w:rPr>
        <w:t xml:space="preserve"> and STCs</w:t>
      </w:r>
      <w:r w:rsidR="00C239EF" w:rsidRPr="000B52C6">
        <w:rPr>
          <w:iCs/>
        </w:rPr>
        <w:t xml:space="preserve"> accounted for some differences in patient characteristics between BOSTON and ENDEAVOR</w:t>
      </w:r>
      <w:r w:rsidR="00DD6017" w:rsidRPr="000B52C6">
        <w:rPr>
          <w:iCs/>
        </w:rPr>
        <w:t>, thereby</w:t>
      </w:r>
      <w:r w:rsidRPr="000B52C6">
        <w:rPr>
          <w:iCs/>
        </w:rPr>
        <w:t xml:space="preserve"> </w:t>
      </w:r>
      <w:r w:rsidR="00E86CEF" w:rsidRPr="000B52C6">
        <w:rPr>
          <w:iCs/>
        </w:rPr>
        <w:t xml:space="preserve">potentially </w:t>
      </w:r>
      <w:r w:rsidRPr="000B52C6">
        <w:rPr>
          <w:iCs/>
        </w:rPr>
        <w:t>produc</w:t>
      </w:r>
      <w:r w:rsidR="00DD6017" w:rsidRPr="000B52C6">
        <w:rPr>
          <w:iCs/>
        </w:rPr>
        <w:t>ing</w:t>
      </w:r>
      <w:r w:rsidRPr="000B52C6">
        <w:rPr>
          <w:iCs/>
        </w:rPr>
        <w:t xml:space="preserve"> more robust estimates of efficacy</w:t>
      </w:r>
      <w:r w:rsidR="001C77FB" w:rsidRPr="000B52C6">
        <w:rPr>
          <w:iCs/>
        </w:rPr>
        <w:t xml:space="preserve"> than the unadjusted models</w:t>
      </w:r>
      <w:r w:rsidR="00DD6017" w:rsidRPr="000B52C6">
        <w:rPr>
          <w:iCs/>
        </w:rPr>
        <w:t>.</w:t>
      </w:r>
      <w:r w:rsidRPr="000B52C6">
        <w:rPr>
          <w:iCs/>
        </w:rPr>
        <w:t xml:space="preserve"> </w:t>
      </w:r>
      <w:r w:rsidR="00DD6017" w:rsidRPr="000B52C6">
        <w:rPr>
          <w:iCs/>
        </w:rPr>
        <w:t>The methodology described by the resubmission was appropriate</w:t>
      </w:r>
      <w:r w:rsidRPr="000B52C6">
        <w:rPr>
          <w:iCs/>
        </w:rPr>
        <w:t>.</w:t>
      </w:r>
    </w:p>
    <w:p w14:paraId="331EF59E" w14:textId="647434AD" w:rsidR="006B3342" w:rsidRPr="000B52C6" w:rsidRDefault="006B3342" w:rsidP="006B3342">
      <w:pPr>
        <w:pStyle w:val="3-BodyText"/>
        <w:ind w:left="720" w:hanging="720"/>
        <w:rPr>
          <w:iCs/>
        </w:rPr>
      </w:pPr>
      <w:r w:rsidRPr="000B52C6">
        <w:rPr>
          <w:iCs/>
        </w:rPr>
        <w:t xml:space="preserve">While the results from </w:t>
      </w:r>
      <w:proofErr w:type="gramStart"/>
      <w:r w:rsidRPr="000B52C6">
        <w:rPr>
          <w:iCs/>
        </w:rPr>
        <w:t>all of</w:t>
      </w:r>
      <w:proofErr w:type="gramEnd"/>
      <w:r w:rsidRPr="000B52C6">
        <w:rPr>
          <w:iCs/>
        </w:rPr>
        <w:t xml:space="preserve"> the ITT comparisons did not demonstrate a significant difference between </w:t>
      </w:r>
      <w:proofErr w:type="spellStart"/>
      <w:r w:rsidRPr="000B52C6">
        <w:rPr>
          <w:iCs/>
        </w:rPr>
        <w:t>SBd</w:t>
      </w:r>
      <w:proofErr w:type="spellEnd"/>
      <w:r w:rsidRPr="000B52C6">
        <w:rPr>
          <w:iCs/>
        </w:rPr>
        <w:t xml:space="preserve"> and Cd in terms of PFS, these results also showed a numeric difference in favour of Cd and wide CIs. Furthermore, a lack of a statistically significant difference between </w:t>
      </w:r>
      <w:proofErr w:type="spellStart"/>
      <w:r w:rsidRPr="000B52C6">
        <w:rPr>
          <w:iCs/>
        </w:rPr>
        <w:t>SBd</w:t>
      </w:r>
      <w:proofErr w:type="spellEnd"/>
      <w:r w:rsidRPr="000B52C6">
        <w:rPr>
          <w:iCs/>
        </w:rPr>
        <w:t xml:space="preserve"> and Cd does not adequately establish non-inferiority; this would have required that the confidence limits of the difference in treatment effect does not include an a priori stated clinically meaningful difference favouring the comparator (PBAC Guidelines, Section 2.4.5, p 39). In addition, the PBAC has previously noted the large difference in median PFS between the </w:t>
      </w:r>
      <w:proofErr w:type="spellStart"/>
      <w:r w:rsidRPr="000B52C6">
        <w:rPr>
          <w:iCs/>
        </w:rPr>
        <w:t>SBd</w:t>
      </w:r>
      <w:proofErr w:type="spellEnd"/>
      <w:r w:rsidRPr="000B52C6">
        <w:rPr>
          <w:iCs/>
        </w:rPr>
        <w:t xml:space="preserve"> (13.9 months) and Cd (18.7 months) arms; whereas the results were similar in the Bd common comparator arms (9.5 months in the Bd arm of BOSTON compared to 9.4 months in the Bd arm of ENDEAVOR) (Para. 7.9, </w:t>
      </w:r>
      <w:proofErr w:type="spellStart"/>
      <w:r w:rsidRPr="000B52C6">
        <w:rPr>
          <w:iCs/>
        </w:rPr>
        <w:t>selinexor</w:t>
      </w:r>
      <w:proofErr w:type="spellEnd"/>
      <w:r w:rsidRPr="000B52C6">
        <w:rPr>
          <w:iCs/>
        </w:rPr>
        <w:t xml:space="preserve"> (RRMM), PBAC </w:t>
      </w:r>
      <w:r w:rsidR="00251F38">
        <w:rPr>
          <w:iCs/>
        </w:rPr>
        <w:t>PSD</w:t>
      </w:r>
      <w:r w:rsidRPr="000B52C6">
        <w:rPr>
          <w:iCs/>
        </w:rPr>
        <w:t>, July 2021 PBAC meeting).</w:t>
      </w:r>
    </w:p>
    <w:p w14:paraId="45C16A0B" w14:textId="42BCB9D9" w:rsidR="006B3342" w:rsidRPr="000B52C6" w:rsidRDefault="00827C60" w:rsidP="006B3342">
      <w:pPr>
        <w:pStyle w:val="3-BodyText"/>
        <w:ind w:left="720" w:hanging="720"/>
        <w:rPr>
          <w:iCs/>
        </w:rPr>
      </w:pPr>
      <w:r w:rsidRPr="000B52C6">
        <w:rPr>
          <w:iCs/>
        </w:rPr>
        <w:t>W</w:t>
      </w:r>
      <w:r w:rsidR="006B3342" w:rsidRPr="000B52C6">
        <w:rPr>
          <w:iCs/>
        </w:rPr>
        <w:t xml:space="preserve">hile the adjusted ITC and STC accounted for differences between trials in terms of ECOG status and age, differences that may have impacted the transitivity of the trials remained. These included the </w:t>
      </w:r>
      <w:proofErr w:type="gramStart"/>
      <w:r w:rsidR="006B3342" w:rsidRPr="000B52C6">
        <w:rPr>
          <w:iCs/>
        </w:rPr>
        <w:t>time period</w:t>
      </w:r>
      <w:proofErr w:type="gramEnd"/>
      <w:r w:rsidR="006B3342" w:rsidRPr="000B52C6">
        <w:rPr>
          <w:iCs/>
        </w:rPr>
        <w:t xml:space="preserve"> during which the studies were conducted (a difference of 5 years between the recruitment of the ENDEAVOR and BOSTON), differences in the maturity of the data and differences in dosing regimen of bortezomib.</w:t>
      </w:r>
      <w:r w:rsidR="00933E74" w:rsidRPr="000B52C6">
        <w:rPr>
          <w:iCs/>
        </w:rPr>
        <w:t xml:space="preserve"> These underlying transitivity issues associated with the ITCs </w:t>
      </w:r>
      <w:r w:rsidR="00353F9D" w:rsidRPr="000B52C6">
        <w:rPr>
          <w:iCs/>
        </w:rPr>
        <w:t xml:space="preserve">impact </w:t>
      </w:r>
      <w:r w:rsidR="00C03E06" w:rsidRPr="000B52C6">
        <w:rPr>
          <w:iCs/>
        </w:rPr>
        <w:t xml:space="preserve">the </w:t>
      </w:r>
      <w:r w:rsidR="00F35C18" w:rsidRPr="000B52C6">
        <w:rPr>
          <w:iCs/>
        </w:rPr>
        <w:t xml:space="preserve">certainty of </w:t>
      </w:r>
      <w:r w:rsidR="00353F9D" w:rsidRPr="000B52C6">
        <w:rPr>
          <w:iCs/>
        </w:rPr>
        <w:t>any conclusion</w:t>
      </w:r>
      <w:r w:rsidR="00096E71" w:rsidRPr="000B52C6">
        <w:rPr>
          <w:iCs/>
        </w:rPr>
        <w:t xml:space="preserve"> that can</w:t>
      </w:r>
      <w:r w:rsidR="00353F9D" w:rsidRPr="000B52C6">
        <w:rPr>
          <w:iCs/>
        </w:rPr>
        <w:t xml:space="preserve"> be drawn from these analyses</w:t>
      </w:r>
      <w:r w:rsidR="00933E74" w:rsidRPr="000B52C6">
        <w:rPr>
          <w:iCs/>
        </w:rPr>
        <w:t>.</w:t>
      </w:r>
    </w:p>
    <w:p w14:paraId="280DF1F4" w14:textId="50AE43C0" w:rsidR="006B3342" w:rsidRPr="000B52C6" w:rsidRDefault="006B3342" w:rsidP="006B3342">
      <w:pPr>
        <w:pStyle w:val="3-BodyText"/>
        <w:ind w:left="720" w:hanging="720"/>
      </w:pPr>
      <w:r w:rsidRPr="000B52C6">
        <w:t xml:space="preserve">The results from the unadjusted ITC (with statistical methods matched to those of ENDEAVOR), the adjusted ITC and STC of </w:t>
      </w:r>
      <w:proofErr w:type="spellStart"/>
      <w:r w:rsidRPr="000B52C6">
        <w:t>SBd</w:t>
      </w:r>
      <w:proofErr w:type="spellEnd"/>
      <w:r w:rsidRPr="000B52C6">
        <w:t xml:space="preserve"> vs Cd via Bd on PFS for </w:t>
      </w:r>
      <w:r w:rsidR="00200401" w:rsidRPr="000B52C6">
        <w:t xml:space="preserve">the </w:t>
      </w:r>
      <w:r w:rsidRPr="000B52C6">
        <w:t>th</w:t>
      </w:r>
      <w:r w:rsidR="00A76A9F" w:rsidRPr="000B52C6">
        <w:t>re</w:t>
      </w:r>
      <w:r w:rsidRPr="000B52C6">
        <w:t xml:space="preserve">e sub-groups identified by the resubmission are presented in </w:t>
      </w:r>
      <w:r w:rsidRPr="000B52C6">
        <w:fldChar w:fldCharType="begin"/>
      </w:r>
      <w:r w:rsidRPr="000B52C6">
        <w:instrText xml:space="preserve"> REF _Ref90370079 \h  \* MERGEFORMAT </w:instrText>
      </w:r>
      <w:r w:rsidRPr="000B52C6">
        <w:fldChar w:fldCharType="separate"/>
      </w:r>
      <w:r w:rsidR="00FF5725" w:rsidRPr="00FF5725">
        <w:t>Table 10</w:t>
      </w:r>
      <w:r w:rsidRPr="000B52C6">
        <w:fldChar w:fldCharType="end"/>
      </w:r>
      <w:r w:rsidRPr="000B52C6">
        <w:t xml:space="preserve">. </w:t>
      </w:r>
      <w:r w:rsidR="002A455E" w:rsidRPr="000B52C6">
        <w:t xml:space="preserve">The results from these analyses were consistent with the results based on the ITT population </w:t>
      </w:r>
      <w:proofErr w:type="gramStart"/>
      <w:r w:rsidR="002A455E" w:rsidRPr="000B52C6">
        <w:t>with the exception of</w:t>
      </w:r>
      <w:proofErr w:type="gramEnd"/>
      <w:r w:rsidR="002A455E" w:rsidRPr="000B52C6">
        <w:t xml:space="preserve"> </w:t>
      </w:r>
      <w:r w:rsidR="00287744" w:rsidRPr="000B52C6">
        <w:t xml:space="preserve">the STC </w:t>
      </w:r>
      <w:r w:rsidR="004A5E50" w:rsidRPr="000B52C6">
        <w:t xml:space="preserve">for the subgroup in patients </w:t>
      </w:r>
      <w:r w:rsidR="00BA26FF" w:rsidRPr="000B52C6">
        <w:t xml:space="preserve">with </w:t>
      </w:r>
      <w:r w:rsidR="004A5E50" w:rsidRPr="000B52C6">
        <w:t xml:space="preserve">≥ 2 prior lines of therapy and the </w:t>
      </w:r>
      <w:r w:rsidR="003250E4" w:rsidRPr="000B52C6">
        <w:t xml:space="preserve">unadjusted ITC (matched methods), adjusted ITC and STC for the subgroup </w:t>
      </w:r>
      <w:r w:rsidR="00BA26FF" w:rsidRPr="000B52C6">
        <w:t>in</w:t>
      </w:r>
      <w:r w:rsidR="003250E4" w:rsidRPr="000B52C6">
        <w:t xml:space="preserve"> patients </w:t>
      </w:r>
      <w:r w:rsidR="00BA26FF" w:rsidRPr="000B52C6">
        <w:t xml:space="preserve">with </w:t>
      </w:r>
      <w:r w:rsidR="003250E4" w:rsidRPr="000B52C6">
        <w:t xml:space="preserve">≥ 2 prior lines of therapy </w:t>
      </w:r>
      <w:r w:rsidR="00BA26FF" w:rsidRPr="000B52C6">
        <w:t>and excluding India, in which the indirect estimate</w:t>
      </w:r>
      <w:r w:rsidR="003D0F32" w:rsidRPr="000B52C6">
        <w:t>s</w:t>
      </w:r>
      <w:r w:rsidR="00BA26FF" w:rsidRPr="000B52C6">
        <w:t xml:space="preserve"> of effect favoured </w:t>
      </w:r>
      <w:proofErr w:type="spellStart"/>
      <w:r w:rsidR="00BA26FF" w:rsidRPr="000B52C6">
        <w:t>SBd</w:t>
      </w:r>
      <w:proofErr w:type="spellEnd"/>
      <w:r w:rsidR="00BA26FF" w:rsidRPr="000B52C6">
        <w:t>.</w:t>
      </w:r>
      <w:r w:rsidR="00231668" w:rsidRPr="000B52C6">
        <w:rPr>
          <w:iCs/>
        </w:rPr>
        <w:t xml:space="preserve"> </w:t>
      </w:r>
      <w:r w:rsidR="009A1A38" w:rsidRPr="000B52C6">
        <w:rPr>
          <w:iCs/>
        </w:rPr>
        <w:t xml:space="preserve">The subgroup of patients who had received at least 2 prior lines of therapy was consistent with the previous PBAC advice that </w:t>
      </w:r>
      <w:proofErr w:type="spellStart"/>
      <w:r w:rsidR="009A1A38" w:rsidRPr="000B52C6">
        <w:rPr>
          <w:iCs/>
        </w:rPr>
        <w:t>SBd</w:t>
      </w:r>
      <w:proofErr w:type="spellEnd"/>
      <w:r w:rsidR="009A1A38" w:rsidRPr="000B52C6">
        <w:rPr>
          <w:iCs/>
        </w:rPr>
        <w:t xml:space="preserve"> would likely be used as a third or later line treatment (Para. 7.3, Selinexor (RRMM), PBAC </w:t>
      </w:r>
      <w:r w:rsidR="00251F38">
        <w:rPr>
          <w:iCs/>
        </w:rPr>
        <w:t>PSD</w:t>
      </w:r>
      <w:r w:rsidR="009A1A38" w:rsidRPr="000B52C6">
        <w:rPr>
          <w:iCs/>
        </w:rPr>
        <w:t>, July 2021 PBAC meeting).</w:t>
      </w:r>
    </w:p>
    <w:p w14:paraId="601209CB" w14:textId="764E8EC3" w:rsidR="006B3342" w:rsidRPr="000B52C6" w:rsidRDefault="006B3342" w:rsidP="006B3342">
      <w:pPr>
        <w:pStyle w:val="TableFigureHeading"/>
        <w:rPr>
          <w:rStyle w:val="CommentReference"/>
          <w:b/>
          <w:bCs w:val="0"/>
          <w:szCs w:val="24"/>
        </w:rPr>
      </w:pPr>
      <w:bookmarkStart w:id="31" w:name="_Ref90370079"/>
      <w:r w:rsidRPr="000B52C6">
        <w:rPr>
          <w:rStyle w:val="CommentReference"/>
          <w:b/>
          <w:bCs w:val="0"/>
          <w:szCs w:val="24"/>
        </w:rPr>
        <w:t xml:space="preserve">Table </w:t>
      </w:r>
      <w:r w:rsidRPr="000B52C6">
        <w:rPr>
          <w:rStyle w:val="CommentReference"/>
          <w:b/>
          <w:bCs w:val="0"/>
          <w:szCs w:val="24"/>
        </w:rPr>
        <w:fldChar w:fldCharType="begin"/>
      </w:r>
      <w:r w:rsidRPr="000B52C6">
        <w:rPr>
          <w:rStyle w:val="CommentReference"/>
          <w:b/>
          <w:bCs w:val="0"/>
          <w:szCs w:val="24"/>
        </w:rPr>
        <w:instrText xml:space="preserve"> SEQ Table \* ARABIC </w:instrText>
      </w:r>
      <w:r w:rsidRPr="000B52C6">
        <w:rPr>
          <w:rStyle w:val="CommentReference"/>
          <w:b/>
          <w:bCs w:val="0"/>
          <w:szCs w:val="24"/>
        </w:rPr>
        <w:fldChar w:fldCharType="separate"/>
      </w:r>
      <w:r w:rsidR="00FF5725">
        <w:rPr>
          <w:rStyle w:val="CommentReference"/>
          <w:b/>
          <w:bCs w:val="0"/>
          <w:noProof/>
          <w:szCs w:val="24"/>
        </w:rPr>
        <w:t>10</w:t>
      </w:r>
      <w:r w:rsidRPr="000B52C6">
        <w:rPr>
          <w:rStyle w:val="CommentReference"/>
          <w:b/>
          <w:bCs w:val="0"/>
          <w:szCs w:val="24"/>
        </w:rPr>
        <w:fldChar w:fldCharType="end"/>
      </w:r>
      <w:bookmarkEnd w:id="31"/>
      <w:r w:rsidRPr="000B52C6">
        <w:rPr>
          <w:rStyle w:val="CommentReference"/>
          <w:b/>
          <w:bCs w:val="0"/>
          <w:szCs w:val="24"/>
        </w:rPr>
        <w:t>: Results of the unadjusted and adjusted indirect comparisons and STC for PFS (subgroup analyses)</w:t>
      </w:r>
    </w:p>
    <w:tbl>
      <w:tblPr>
        <w:tblStyle w:val="THEMA"/>
        <w:tblW w:w="9067" w:type="dxa"/>
        <w:tblLayout w:type="fixed"/>
        <w:tblLook w:val="04A0" w:firstRow="1" w:lastRow="0" w:firstColumn="1" w:lastColumn="0" w:noHBand="0" w:noVBand="1"/>
      </w:tblPr>
      <w:tblGrid>
        <w:gridCol w:w="3114"/>
        <w:gridCol w:w="850"/>
        <w:gridCol w:w="1843"/>
        <w:gridCol w:w="1559"/>
        <w:gridCol w:w="1701"/>
      </w:tblGrid>
      <w:tr w:rsidR="006B3342" w:rsidRPr="000B52C6" w14:paraId="31D711E4" w14:textId="77777777" w:rsidTr="00513E25">
        <w:trPr>
          <w:cnfStyle w:val="100000000000" w:firstRow="1" w:lastRow="0" w:firstColumn="0" w:lastColumn="0" w:oddVBand="0" w:evenVBand="0" w:oddHBand="0" w:evenHBand="0" w:firstRowFirstColumn="0" w:firstRowLastColumn="0" w:lastRowFirstColumn="0" w:lastRowLastColumn="0"/>
        </w:trPr>
        <w:tc>
          <w:tcPr>
            <w:tcW w:w="3114" w:type="dxa"/>
            <w:shd w:val="clear" w:color="auto" w:fill="auto"/>
          </w:tcPr>
          <w:p w14:paraId="2F0E8E2F" w14:textId="77777777" w:rsidR="006B3342" w:rsidRPr="000B52C6" w:rsidRDefault="006B3342" w:rsidP="00513E25">
            <w:pPr>
              <w:pStyle w:val="TableText0"/>
              <w:rPr>
                <w:bCs w:val="0"/>
                <w:lang w:val="en-AU" w:eastAsia="en-AU" w:bidi="ar-SA"/>
              </w:rPr>
            </w:pPr>
            <w:r w:rsidRPr="000B52C6">
              <w:rPr>
                <w:bCs w:val="0"/>
                <w:lang w:val="en-AU" w:eastAsia="en-AU" w:bidi="ar-SA"/>
              </w:rPr>
              <w:t xml:space="preserve">Population / </w:t>
            </w:r>
          </w:p>
          <w:p w14:paraId="5C7167F4" w14:textId="77777777" w:rsidR="006B3342" w:rsidRPr="000B52C6" w:rsidRDefault="006B3342" w:rsidP="00513E25">
            <w:pPr>
              <w:pStyle w:val="TableText0"/>
              <w:rPr>
                <w:bCs w:val="0"/>
                <w:lang w:val="en-AU" w:eastAsia="en-AU" w:bidi="ar-SA"/>
              </w:rPr>
            </w:pPr>
            <w:r w:rsidRPr="000B52C6">
              <w:rPr>
                <w:bCs w:val="0"/>
                <w:lang w:val="en-AU" w:eastAsia="en-AU" w:bidi="ar-SA"/>
              </w:rPr>
              <w:t>Analysis method used to derive BOSTON estimates</w:t>
            </w:r>
          </w:p>
        </w:tc>
        <w:tc>
          <w:tcPr>
            <w:tcW w:w="850" w:type="dxa"/>
            <w:shd w:val="clear" w:color="auto" w:fill="auto"/>
            <w:vAlign w:val="center"/>
          </w:tcPr>
          <w:p w14:paraId="05ADF567" w14:textId="77777777" w:rsidR="006B3342" w:rsidRPr="000B52C6" w:rsidRDefault="006B3342" w:rsidP="00513E25">
            <w:pPr>
              <w:pStyle w:val="TableText0"/>
              <w:jc w:val="center"/>
              <w:rPr>
                <w:bCs w:val="0"/>
                <w:lang w:val="en-AU" w:eastAsia="en-AU" w:bidi="ar-SA"/>
              </w:rPr>
            </w:pPr>
            <w:r w:rsidRPr="000B52C6">
              <w:rPr>
                <w:bCs w:val="0"/>
                <w:lang w:val="en-AU" w:eastAsia="en-AU" w:bidi="ar-SA"/>
              </w:rPr>
              <w:t xml:space="preserve">Covariate </w:t>
            </w:r>
            <w:r w:rsidRPr="000B52C6">
              <w:rPr>
                <w:bCs w:val="0"/>
                <w:lang w:val="en-AU" w:eastAsia="en-AU" w:bidi="ar-SA"/>
              </w:rPr>
              <w:br/>
              <w:t>p-value</w:t>
            </w:r>
          </w:p>
        </w:tc>
        <w:tc>
          <w:tcPr>
            <w:tcW w:w="1843" w:type="dxa"/>
            <w:shd w:val="clear" w:color="auto" w:fill="auto"/>
            <w:vAlign w:val="center"/>
          </w:tcPr>
          <w:p w14:paraId="7DAC2A42" w14:textId="77777777" w:rsidR="006B3342" w:rsidRPr="000B52C6" w:rsidRDefault="006B3342" w:rsidP="00513E25">
            <w:pPr>
              <w:pStyle w:val="TableText0"/>
              <w:jc w:val="center"/>
              <w:rPr>
                <w:bCs w:val="0"/>
                <w:lang w:val="en-AU" w:eastAsia="en-AU" w:bidi="ar-SA"/>
              </w:rPr>
            </w:pPr>
            <w:proofErr w:type="spellStart"/>
            <w:r w:rsidRPr="000B52C6">
              <w:rPr>
                <w:bCs w:val="0"/>
                <w:lang w:val="en-AU" w:eastAsia="en-AU" w:bidi="ar-SA"/>
              </w:rPr>
              <w:t>SBd</w:t>
            </w:r>
            <w:proofErr w:type="spellEnd"/>
            <w:r w:rsidRPr="000B52C6">
              <w:rPr>
                <w:bCs w:val="0"/>
                <w:lang w:val="en-AU" w:eastAsia="en-AU" w:bidi="ar-SA"/>
              </w:rPr>
              <w:t xml:space="preserve"> vs Bd (BOSTON)</w:t>
            </w:r>
          </w:p>
          <w:p w14:paraId="50DE2EDF" w14:textId="77777777" w:rsidR="006B3342" w:rsidRPr="000B52C6" w:rsidRDefault="006B3342" w:rsidP="00513E25">
            <w:pPr>
              <w:pStyle w:val="TableText0"/>
              <w:jc w:val="center"/>
              <w:rPr>
                <w:bCs w:val="0"/>
                <w:lang w:val="en-AU" w:eastAsia="en-AU" w:bidi="ar-SA"/>
              </w:rPr>
            </w:pPr>
            <w:r w:rsidRPr="000B52C6">
              <w:rPr>
                <w:bCs w:val="0"/>
                <w:lang w:val="en-AU" w:eastAsia="en-AU" w:bidi="ar-SA"/>
              </w:rPr>
              <w:t>HR (95% CI)</w:t>
            </w:r>
          </w:p>
        </w:tc>
        <w:tc>
          <w:tcPr>
            <w:tcW w:w="1559" w:type="dxa"/>
            <w:shd w:val="clear" w:color="auto" w:fill="auto"/>
            <w:vAlign w:val="center"/>
          </w:tcPr>
          <w:p w14:paraId="76B8F574" w14:textId="77777777" w:rsidR="006B3342" w:rsidRPr="000B52C6" w:rsidRDefault="006B3342" w:rsidP="00513E25">
            <w:pPr>
              <w:pStyle w:val="TableText0"/>
              <w:jc w:val="center"/>
              <w:rPr>
                <w:bCs w:val="0"/>
                <w:lang w:val="en-AU" w:eastAsia="en-AU" w:bidi="ar-SA"/>
              </w:rPr>
            </w:pPr>
            <w:r w:rsidRPr="000B52C6">
              <w:rPr>
                <w:bCs w:val="0"/>
                <w:lang w:val="en-AU" w:eastAsia="en-AU" w:bidi="ar-SA"/>
              </w:rPr>
              <w:t>Cd vs Bd (ENDEAVOR)</w:t>
            </w:r>
          </w:p>
          <w:p w14:paraId="30AD582E" w14:textId="77777777" w:rsidR="006B3342" w:rsidRPr="000B52C6" w:rsidRDefault="006B3342" w:rsidP="00513E25">
            <w:pPr>
              <w:pStyle w:val="TableText0"/>
              <w:jc w:val="center"/>
              <w:rPr>
                <w:bCs w:val="0"/>
                <w:lang w:val="en-AU" w:eastAsia="en-AU" w:bidi="ar-SA"/>
              </w:rPr>
            </w:pPr>
            <w:r w:rsidRPr="000B52C6">
              <w:rPr>
                <w:bCs w:val="0"/>
                <w:lang w:val="en-AU" w:eastAsia="en-AU" w:bidi="ar-SA"/>
              </w:rPr>
              <w:t>HR (95% CI)</w:t>
            </w:r>
          </w:p>
        </w:tc>
        <w:tc>
          <w:tcPr>
            <w:tcW w:w="1701" w:type="dxa"/>
            <w:shd w:val="clear" w:color="auto" w:fill="auto"/>
            <w:vAlign w:val="center"/>
          </w:tcPr>
          <w:p w14:paraId="051CAC10" w14:textId="77777777" w:rsidR="006B3342" w:rsidRPr="000B52C6" w:rsidRDefault="006B3342" w:rsidP="00513E25">
            <w:pPr>
              <w:pStyle w:val="TableText0"/>
              <w:jc w:val="center"/>
              <w:rPr>
                <w:bCs w:val="0"/>
                <w:lang w:val="en-AU" w:eastAsia="en-AU" w:bidi="ar-SA"/>
              </w:rPr>
            </w:pPr>
            <w:r w:rsidRPr="000B52C6">
              <w:rPr>
                <w:bCs w:val="0"/>
                <w:lang w:val="en-AU" w:eastAsia="en-AU" w:bidi="ar-SA"/>
              </w:rPr>
              <w:t xml:space="preserve">IEE: </w:t>
            </w:r>
            <w:proofErr w:type="spellStart"/>
            <w:r w:rsidRPr="000B52C6">
              <w:rPr>
                <w:bCs w:val="0"/>
                <w:lang w:val="en-AU" w:eastAsia="en-AU" w:bidi="ar-SA"/>
              </w:rPr>
              <w:t>SBd</w:t>
            </w:r>
            <w:proofErr w:type="spellEnd"/>
            <w:r w:rsidRPr="000B52C6">
              <w:rPr>
                <w:bCs w:val="0"/>
                <w:lang w:val="en-AU" w:eastAsia="en-AU" w:bidi="ar-SA"/>
              </w:rPr>
              <w:t xml:space="preserve"> vs Cd via Bd</w:t>
            </w:r>
          </w:p>
          <w:p w14:paraId="3801A300" w14:textId="77777777" w:rsidR="006B3342" w:rsidRPr="000B52C6" w:rsidRDefault="006B3342" w:rsidP="00513E25">
            <w:pPr>
              <w:pStyle w:val="TableText0"/>
              <w:jc w:val="center"/>
              <w:rPr>
                <w:bCs w:val="0"/>
                <w:lang w:val="en-AU" w:eastAsia="en-AU" w:bidi="ar-SA"/>
              </w:rPr>
            </w:pPr>
            <w:r w:rsidRPr="000B52C6">
              <w:rPr>
                <w:bCs w:val="0"/>
                <w:lang w:val="en-AU" w:eastAsia="en-AU" w:bidi="ar-SA"/>
              </w:rPr>
              <w:t>HR (95% CI)</w:t>
            </w:r>
          </w:p>
        </w:tc>
      </w:tr>
      <w:tr w:rsidR="006B3342" w:rsidRPr="000B52C6" w14:paraId="165ABF47" w14:textId="77777777" w:rsidTr="00513E25">
        <w:tc>
          <w:tcPr>
            <w:tcW w:w="3114" w:type="dxa"/>
            <w:tcBorders>
              <w:right w:val="nil"/>
            </w:tcBorders>
            <w:shd w:val="clear" w:color="auto" w:fill="auto"/>
          </w:tcPr>
          <w:p w14:paraId="22D617F8" w14:textId="77777777" w:rsidR="006B3342" w:rsidRPr="000B52C6" w:rsidRDefault="006B3342" w:rsidP="00513E25">
            <w:pPr>
              <w:pStyle w:val="TableText0"/>
              <w:rPr>
                <w:b/>
                <w:bCs w:val="0"/>
                <w:lang w:val="en-AU" w:eastAsia="en-AU" w:bidi="ar-SA"/>
              </w:rPr>
            </w:pPr>
            <w:r w:rsidRPr="000B52C6">
              <w:rPr>
                <w:b/>
                <w:bCs w:val="0"/>
                <w:lang w:val="en-AU" w:eastAsia="en-AU" w:bidi="ar-SA"/>
              </w:rPr>
              <w:t>ITT – excluding India</w:t>
            </w:r>
          </w:p>
        </w:tc>
        <w:tc>
          <w:tcPr>
            <w:tcW w:w="850" w:type="dxa"/>
            <w:tcBorders>
              <w:left w:val="nil"/>
              <w:bottom w:val="single" w:sz="4" w:space="0" w:color="auto"/>
              <w:right w:val="nil"/>
            </w:tcBorders>
            <w:shd w:val="clear" w:color="auto" w:fill="auto"/>
            <w:vAlign w:val="center"/>
          </w:tcPr>
          <w:p w14:paraId="0A624B28" w14:textId="77777777" w:rsidR="006B3342" w:rsidRPr="000B52C6" w:rsidRDefault="006B3342" w:rsidP="00513E25">
            <w:pPr>
              <w:pStyle w:val="TableText0"/>
              <w:jc w:val="center"/>
              <w:rPr>
                <w:lang w:val="en-AU" w:eastAsia="en-AU" w:bidi="ar-SA"/>
              </w:rPr>
            </w:pPr>
          </w:p>
        </w:tc>
        <w:tc>
          <w:tcPr>
            <w:tcW w:w="1843" w:type="dxa"/>
            <w:tcBorders>
              <w:left w:val="nil"/>
              <w:right w:val="nil"/>
            </w:tcBorders>
            <w:shd w:val="clear" w:color="auto" w:fill="auto"/>
            <w:vAlign w:val="center"/>
          </w:tcPr>
          <w:p w14:paraId="77E9EAA3" w14:textId="77777777" w:rsidR="006B3342" w:rsidRPr="000B52C6" w:rsidRDefault="006B3342" w:rsidP="00513E25">
            <w:pPr>
              <w:pStyle w:val="TableText0"/>
              <w:jc w:val="center"/>
              <w:rPr>
                <w:lang w:val="en-AU" w:eastAsia="en-AU" w:bidi="ar-SA"/>
              </w:rPr>
            </w:pPr>
          </w:p>
        </w:tc>
        <w:tc>
          <w:tcPr>
            <w:tcW w:w="1559" w:type="dxa"/>
            <w:tcBorders>
              <w:left w:val="nil"/>
              <w:right w:val="nil"/>
            </w:tcBorders>
            <w:shd w:val="clear" w:color="auto" w:fill="auto"/>
            <w:vAlign w:val="center"/>
          </w:tcPr>
          <w:p w14:paraId="63DB5664" w14:textId="77777777" w:rsidR="006B3342" w:rsidRPr="000B52C6" w:rsidRDefault="006B3342" w:rsidP="00513E25">
            <w:pPr>
              <w:pStyle w:val="TableText0"/>
              <w:jc w:val="center"/>
              <w:rPr>
                <w:lang w:val="en-AU" w:eastAsia="en-AU" w:bidi="ar-SA"/>
              </w:rPr>
            </w:pPr>
          </w:p>
        </w:tc>
        <w:tc>
          <w:tcPr>
            <w:tcW w:w="1701" w:type="dxa"/>
            <w:tcBorders>
              <w:left w:val="nil"/>
            </w:tcBorders>
            <w:shd w:val="clear" w:color="auto" w:fill="auto"/>
            <w:vAlign w:val="center"/>
          </w:tcPr>
          <w:p w14:paraId="708E18CF" w14:textId="77777777" w:rsidR="006B3342" w:rsidRPr="000B52C6" w:rsidRDefault="006B3342" w:rsidP="00513E25">
            <w:pPr>
              <w:pStyle w:val="TableText0"/>
              <w:jc w:val="center"/>
              <w:rPr>
                <w:lang w:val="en-AU" w:eastAsia="en-AU" w:bidi="ar-SA"/>
              </w:rPr>
            </w:pPr>
          </w:p>
        </w:tc>
      </w:tr>
      <w:tr w:rsidR="006B3342" w:rsidRPr="000B52C6" w14:paraId="026644EE" w14:textId="77777777" w:rsidTr="00513E25">
        <w:tc>
          <w:tcPr>
            <w:tcW w:w="3114" w:type="dxa"/>
            <w:shd w:val="clear" w:color="auto" w:fill="auto"/>
          </w:tcPr>
          <w:p w14:paraId="3268C6DC" w14:textId="161232AD" w:rsidR="006B3342" w:rsidRPr="000B52C6" w:rsidRDefault="006B3342" w:rsidP="00513E25">
            <w:pPr>
              <w:pStyle w:val="TableText0"/>
              <w:rPr>
                <w:lang w:val="en-AU" w:eastAsia="en-AU" w:bidi="ar-SA"/>
              </w:rPr>
            </w:pPr>
            <w:r w:rsidRPr="000B52C6">
              <w:rPr>
                <w:lang w:val="en-AU" w:eastAsia="en-AU" w:bidi="ar-SA"/>
              </w:rPr>
              <w:t>Unadjusted: As per BOSTON CSR method</w:t>
            </w:r>
          </w:p>
        </w:tc>
        <w:tc>
          <w:tcPr>
            <w:tcW w:w="850" w:type="dxa"/>
            <w:tcBorders>
              <w:bottom w:val="nil"/>
            </w:tcBorders>
            <w:shd w:val="clear" w:color="auto" w:fill="auto"/>
            <w:vAlign w:val="center"/>
          </w:tcPr>
          <w:p w14:paraId="78A1A502" w14:textId="77777777" w:rsidR="006B3342" w:rsidRPr="000B52C6" w:rsidRDefault="006B3342" w:rsidP="00513E25">
            <w:pPr>
              <w:pStyle w:val="TableText0"/>
              <w:jc w:val="center"/>
              <w:rPr>
                <w:lang w:val="en-AU" w:eastAsia="en-AU" w:bidi="ar-SA"/>
              </w:rPr>
            </w:pPr>
            <w:r w:rsidRPr="000B52C6">
              <w:rPr>
                <w:lang w:val="en-AU" w:eastAsia="en-AU" w:bidi="ar-SA"/>
              </w:rPr>
              <w:t>NA</w:t>
            </w:r>
          </w:p>
        </w:tc>
        <w:tc>
          <w:tcPr>
            <w:tcW w:w="1843" w:type="dxa"/>
            <w:shd w:val="clear" w:color="auto" w:fill="auto"/>
            <w:vAlign w:val="center"/>
          </w:tcPr>
          <w:p w14:paraId="6C443BAE" w14:textId="77777777" w:rsidR="006B3342" w:rsidRPr="000B52C6" w:rsidRDefault="006B3342" w:rsidP="00513E25">
            <w:pPr>
              <w:pStyle w:val="TableText0"/>
              <w:jc w:val="center"/>
              <w:rPr>
                <w:lang w:val="en-AU" w:eastAsia="en-AU" w:bidi="ar-SA"/>
              </w:rPr>
            </w:pPr>
            <w:r w:rsidRPr="000B52C6">
              <w:rPr>
                <w:lang w:val="en-AU" w:eastAsia="en-AU" w:bidi="ar-SA"/>
              </w:rPr>
              <w:t>0.66 (0.48, 0.89)</w:t>
            </w:r>
          </w:p>
        </w:tc>
        <w:tc>
          <w:tcPr>
            <w:tcW w:w="1559" w:type="dxa"/>
            <w:shd w:val="clear" w:color="auto" w:fill="auto"/>
            <w:vAlign w:val="center"/>
          </w:tcPr>
          <w:p w14:paraId="10B26917" w14:textId="77777777" w:rsidR="006B3342" w:rsidRPr="000B52C6" w:rsidRDefault="006B3342" w:rsidP="00513E25">
            <w:pPr>
              <w:pStyle w:val="TableText0"/>
              <w:jc w:val="center"/>
              <w:rPr>
                <w:lang w:val="en-AU" w:eastAsia="en-AU" w:bidi="ar-SA"/>
              </w:rPr>
            </w:pPr>
            <w:r w:rsidRPr="000B52C6">
              <w:rPr>
                <w:lang w:val="en-AU" w:eastAsia="en-AU" w:bidi="ar-SA"/>
              </w:rPr>
              <w:t>0.53 (0.44, 0.65)</w:t>
            </w:r>
          </w:p>
        </w:tc>
        <w:tc>
          <w:tcPr>
            <w:tcW w:w="1701" w:type="dxa"/>
            <w:shd w:val="clear" w:color="auto" w:fill="auto"/>
            <w:vAlign w:val="center"/>
          </w:tcPr>
          <w:p w14:paraId="277659F8" w14:textId="77777777" w:rsidR="006B3342" w:rsidRPr="000B52C6" w:rsidRDefault="006B3342" w:rsidP="00513E25">
            <w:pPr>
              <w:pStyle w:val="TableText0"/>
              <w:jc w:val="center"/>
              <w:rPr>
                <w:lang w:val="en-AU" w:eastAsia="en-AU" w:bidi="ar-SA"/>
              </w:rPr>
            </w:pPr>
            <w:r w:rsidRPr="000B52C6">
              <w:rPr>
                <w:lang w:val="en-AU" w:eastAsia="en-AU" w:bidi="ar-SA"/>
              </w:rPr>
              <w:t>1.24 (0.86, 1.78)</w:t>
            </w:r>
          </w:p>
        </w:tc>
      </w:tr>
      <w:tr w:rsidR="006B3342" w:rsidRPr="000B52C6" w14:paraId="4E1EAC98" w14:textId="77777777" w:rsidTr="00513E25">
        <w:tc>
          <w:tcPr>
            <w:tcW w:w="3114" w:type="dxa"/>
            <w:shd w:val="clear" w:color="auto" w:fill="auto"/>
          </w:tcPr>
          <w:p w14:paraId="286F1D07" w14:textId="77777777" w:rsidR="006B3342" w:rsidRPr="000B52C6" w:rsidRDefault="006B3342" w:rsidP="00513E25">
            <w:pPr>
              <w:pStyle w:val="TableText0"/>
              <w:rPr>
                <w:lang w:val="en-AU" w:eastAsia="en-AU" w:bidi="ar-SA"/>
              </w:rPr>
            </w:pPr>
            <w:r w:rsidRPr="000B52C6">
              <w:rPr>
                <w:lang w:val="en-AU" w:eastAsia="en-AU" w:bidi="ar-SA"/>
              </w:rPr>
              <w:t>Unadjusted: matching methods in BOSTON with ENDEAVOR</w:t>
            </w:r>
          </w:p>
        </w:tc>
        <w:tc>
          <w:tcPr>
            <w:tcW w:w="850" w:type="dxa"/>
            <w:tcBorders>
              <w:top w:val="nil"/>
            </w:tcBorders>
            <w:shd w:val="clear" w:color="auto" w:fill="auto"/>
            <w:vAlign w:val="center"/>
          </w:tcPr>
          <w:p w14:paraId="49B962B9" w14:textId="77777777" w:rsidR="006B3342" w:rsidRPr="000B52C6" w:rsidRDefault="006B3342" w:rsidP="00513E25">
            <w:pPr>
              <w:pStyle w:val="TableText0"/>
              <w:jc w:val="center"/>
              <w:rPr>
                <w:lang w:val="en-AU" w:eastAsia="en-AU" w:bidi="ar-SA"/>
              </w:rPr>
            </w:pPr>
          </w:p>
        </w:tc>
        <w:tc>
          <w:tcPr>
            <w:tcW w:w="1843" w:type="dxa"/>
            <w:shd w:val="clear" w:color="auto" w:fill="auto"/>
            <w:vAlign w:val="center"/>
          </w:tcPr>
          <w:p w14:paraId="680D2121" w14:textId="77777777" w:rsidR="006B3342" w:rsidRPr="000B52C6" w:rsidRDefault="006B3342" w:rsidP="00513E25">
            <w:pPr>
              <w:pStyle w:val="TableText0"/>
              <w:jc w:val="center"/>
              <w:rPr>
                <w:lang w:val="en-AU" w:eastAsia="en-AU" w:bidi="ar-SA"/>
              </w:rPr>
            </w:pPr>
            <w:r w:rsidRPr="000B52C6">
              <w:rPr>
                <w:lang w:val="en-AU" w:eastAsia="en-AU" w:bidi="ar-SA"/>
              </w:rPr>
              <w:t>0.63 (0.46, 0.86)</w:t>
            </w:r>
          </w:p>
        </w:tc>
        <w:tc>
          <w:tcPr>
            <w:tcW w:w="1559" w:type="dxa"/>
            <w:shd w:val="clear" w:color="auto" w:fill="auto"/>
            <w:vAlign w:val="center"/>
          </w:tcPr>
          <w:p w14:paraId="5ABCEB98" w14:textId="77777777" w:rsidR="006B3342" w:rsidRPr="000B52C6" w:rsidRDefault="006B3342" w:rsidP="00513E25">
            <w:pPr>
              <w:pStyle w:val="TableText0"/>
              <w:jc w:val="center"/>
              <w:rPr>
                <w:lang w:val="en-AU" w:eastAsia="en-AU" w:bidi="ar-SA"/>
              </w:rPr>
            </w:pPr>
            <w:r w:rsidRPr="000B52C6">
              <w:rPr>
                <w:lang w:val="en-AU" w:eastAsia="en-AU" w:bidi="ar-SA"/>
              </w:rPr>
              <w:t>0.53 (0.44, 0.65)</w:t>
            </w:r>
          </w:p>
        </w:tc>
        <w:tc>
          <w:tcPr>
            <w:tcW w:w="1701" w:type="dxa"/>
            <w:shd w:val="clear" w:color="auto" w:fill="auto"/>
            <w:vAlign w:val="center"/>
          </w:tcPr>
          <w:p w14:paraId="1CA702AF" w14:textId="77777777" w:rsidR="006B3342" w:rsidRPr="000B52C6" w:rsidRDefault="006B3342" w:rsidP="00513E25">
            <w:pPr>
              <w:pStyle w:val="TableText0"/>
              <w:jc w:val="center"/>
              <w:rPr>
                <w:lang w:val="en-AU" w:eastAsia="en-AU" w:bidi="ar-SA"/>
              </w:rPr>
            </w:pPr>
            <w:r w:rsidRPr="000B52C6">
              <w:rPr>
                <w:lang w:val="en-AU" w:eastAsia="en-AU" w:bidi="ar-SA"/>
              </w:rPr>
              <w:t>1.19 (0.83, 1.72)</w:t>
            </w:r>
          </w:p>
        </w:tc>
      </w:tr>
      <w:tr w:rsidR="006B3342" w:rsidRPr="000B52C6" w14:paraId="6E4C73F1" w14:textId="77777777" w:rsidTr="00513E25">
        <w:tc>
          <w:tcPr>
            <w:tcW w:w="3114" w:type="dxa"/>
            <w:shd w:val="clear" w:color="auto" w:fill="auto"/>
          </w:tcPr>
          <w:p w14:paraId="09D025D4" w14:textId="77777777" w:rsidR="006B3342" w:rsidRPr="000B52C6" w:rsidRDefault="006B3342" w:rsidP="00513E25">
            <w:pPr>
              <w:pStyle w:val="TableText0"/>
              <w:rPr>
                <w:lang w:val="en-AU" w:eastAsia="en-AU" w:bidi="ar-SA"/>
              </w:rPr>
            </w:pPr>
            <w:r w:rsidRPr="000B52C6">
              <w:rPr>
                <w:lang w:val="en-AU" w:eastAsia="en-AU" w:bidi="ar-SA"/>
              </w:rPr>
              <w:t>Adjusted model: Multivariate (ECOG 0 vs 1 vs 2 &amp; age &lt; 65 vs ≥ 65 years)</w:t>
            </w:r>
          </w:p>
        </w:tc>
        <w:tc>
          <w:tcPr>
            <w:tcW w:w="850" w:type="dxa"/>
            <w:shd w:val="clear" w:color="auto" w:fill="auto"/>
            <w:vAlign w:val="center"/>
          </w:tcPr>
          <w:p w14:paraId="1147EAFE" w14:textId="77777777" w:rsidR="006B3342" w:rsidRPr="000B52C6" w:rsidRDefault="006B3342" w:rsidP="00513E25">
            <w:pPr>
              <w:pStyle w:val="TableText0"/>
              <w:jc w:val="center"/>
              <w:rPr>
                <w:lang w:val="en-AU" w:eastAsia="en-AU" w:bidi="ar-SA"/>
              </w:rPr>
            </w:pPr>
            <w:r w:rsidRPr="000B52C6">
              <w:rPr>
                <w:lang w:val="en-AU" w:eastAsia="en-AU" w:bidi="ar-SA"/>
              </w:rPr>
              <w:t>0.123, 0.058</w:t>
            </w:r>
          </w:p>
        </w:tc>
        <w:tc>
          <w:tcPr>
            <w:tcW w:w="1843" w:type="dxa"/>
            <w:shd w:val="clear" w:color="auto" w:fill="auto"/>
            <w:vAlign w:val="center"/>
          </w:tcPr>
          <w:p w14:paraId="0F0ED5DD" w14:textId="77777777" w:rsidR="006B3342" w:rsidRPr="000B52C6" w:rsidRDefault="006B3342" w:rsidP="00513E25">
            <w:pPr>
              <w:pStyle w:val="TableText0"/>
              <w:jc w:val="center"/>
              <w:rPr>
                <w:lang w:val="en-AU" w:eastAsia="en-AU" w:bidi="ar-SA"/>
              </w:rPr>
            </w:pPr>
            <w:r w:rsidRPr="000B52C6">
              <w:rPr>
                <w:lang w:val="en-AU" w:eastAsia="en-AU" w:bidi="ar-SA"/>
              </w:rPr>
              <w:t>0.62 (0.45, 0.84)</w:t>
            </w:r>
          </w:p>
        </w:tc>
        <w:tc>
          <w:tcPr>
            <w:tcW w:w="1559" w:type="dxa"/>
            <w:shd w:val="clear" w:color="auto" w:fill="auto"/>
            <w:vAlign w:val="center"/>
          </w:tcPr>
          <w:p w14:paraId="472F2C9E" w14:textId="77777777" w:rsidR="006B3342" w:rsidRPr="000B52C6" w:rsidRDefault="006B3342" w:rsidP="00513E25">
            <w:pPr>
              <w:pStyle w:val="TableText0"/>
              <w:jc w:val="center"/>
              <w:rPr>
                <w:lang w:val="en-AU" w:eastAsia="en-AU" w:bidi="ar-SA"/>
              </w:rPr>
            </w:pPr>
            <w:r w:rsidRPr="000B52C6">
              <w:rPr>
                <w:lang w:val="en-AU" w:eastAsia="en-AU" w:bidi="ar-SA"/>
              </w:rPr>
              <w:t>0.53 (0.44, 0.65)</w:t>
            </w:r>
          </w:p>
        </w:tc>
        <w:tc>
          <w:tcPr>
            <w:tcW w:w="1701" w:type="dxa"/>
            <w:shd w:val="clear" w:color="auto" w:fill="auto"/>
            <w:vAlign w:val="center"/>
          </w:tcPr>
          <w:p w14:paraId="77CF7F1D" w14:textId="77777777" w:rsidR="006B3342" w:rsidRPr="000B52C6" w:rsidRDefault="006B3342" w:rsidP="00513E25">
            <w:pPr>
              <w:pStyle w:val="TableText0"/>
              <w:jc w:val="center"/>
              <w:rPr>
                <w:lang w:val="en-AU" w:eastAsia="en-AU" w:bidi="ar-SA"/>
              </w:rPr>
            </w:pPr>
            <w:r w:rsidRPr="000B52C6">
              <w:rPr>
                <w:lang w:val="en-AU" w:eastAsia="en-AU" w:bidi="ar-SA"/>
              </w:rPr>
              <w:t>1.16 (0.81, 1.68)</w:t>
            </w:r>
          </w:p>
        </w:tc>
      </w:tr>
      <w:tr w:rsidR="006B3342" w:rsidRPr="000B52C6" w14:paraId="499EB7EA" w14:textId="77777777" w:rsidTr="00513E25">
        <w:tc>
          <w:tcPr>
            <w:tcW w:w="3114" w:type="dxa"/>
            <w:shd w:val="clear" w:color="auto" w:fill="auto"/>
          </w:tcPr>
          <w:p w14:paraId="0608E0DC" w14:textId="77777777" w:rsidR="006B3342" w:rsidRPr="000B52C6" w:rsidRDefault="006B3342" w:rsidP="00513E25">
            <w:pPr>
              <w:pStyle w:val="TableText0"/>
              <w:rPr>
                <w:lang w:val="en-AU" w:eastAsia="en-AU" w:bidi="ar-SA"/>
              </w:rPr>
            </w:pPr>
            <w:r w:rsidRPr="000B52C6">
              <w:rPr>
                <w:lang w:val="en-AU" w:eastAsia="en-AU" w:bidi="ar-SA"/>
              </w:rPr>
              <w:t>STC: Multivariate (ECOG and age)</w:t>
            </w:r>
          </w:p>
        </w:tc>
        <w:tc>
          <w:tcPr>
            <w:tcW w:w="850" w:type="dxa"/>
            <w:shd w:val="clear" w:color="auto" w:fill="auto"/>
            <w:vAlign w:val="center"/>
          </w:tcPr>
          <w:p w14:paraId="1DA71896" w14:textId="77777777" w:rsidR="006B3342" w:rsidRPr="000B52C6" w:rsidRDefault="006B3342" w:rsidP="00513E25">
            <w:pPr>
              <w:pStyle w:val="TableText0"/>
              <w:jc w:val="center"/>
              <w:rPr>
                <w:lang w:val="en-AU" w:eastAsia="en-AU" w:bidi="ar-SA"/>
              </w:rPr>
            </w:pPr>
            <w:r w:rsidRPr="000B52C6">
              <w:rPr>
                <w:lang w:val="en-AU" w:eastAsia="en-AU" w:bidi="ar-SA"/>
              </w:rPr>
              <w:t>NA</w:t>
            </w:r>
          </w:p>
        </w:tc>
        <w:tc>
          <w:tcPr>
            <w:tcW w:w="1843" w:type="dxa"/>
            <w:shd w:val="clear" w:color="auto" w:fill="auto"/>
            <w:vAlign w:val="center"/>
          </w:tcPr>
          <w:p w14:paraId="2E6702F7" w14:textId="77777777" w:rsidR="006B3342" w:rsidRPr="000B52C6" w:rsidRDefault="006B3342" w:rsidP="00513E25">
            <w:pPr>
              <w:pStyle w:val="TableText0"/>
              <w:jc w:val="center"/>
              <w:rPr>
                <w:lang w:val="en-AU" w:eastAsia="en-AU" w:bidi="ar-SA"/>
              </w:rPr>
            </w:pPr>
            <w:r w:rsidRPr="000B52C6">
              <w:rPr>
                <w:lang w:val="en-AU" w:eastAsia="en-AU" w:bidi="ar-SA"/>
              </w:rPr>
              <w:t>0.54 (0.37, 0.80)</w:t>
            </w:r>
          </w:p>
        </w:tc>
        <w:tc>
          <w:tcPr>
            <w:tcW w:w="1559" w:type="dxa"/>
            <w:shd w:val="clear" w:color="auto" w:fill="auto"/>
            <w:vAlign w:val="center"/>
          </w:tcPr>
          <w:p w14:paraId="40E99AB7" w14:textId="77777777" w:rsidR="006B3342" w:rsidRPr="000B52C6" w:rsidRDefault="006B3342" w:rsidP="00513E25">
            <w:pPr>
              <w:pStyle w:val="TableText0"/>
              <w:jc w:val="center"/>
              <w:rPr>
                <w:lang w:val="en-AU" w:eastAsia="en-AU" w:bidi="ar-SA"/>
              </w:rPr>
            </w:pPr>
            <w:r w:rsidRPr="000B52C6">
              <w:rPr>
                <w:lang w:val="en-AU" w:eastAsia="en-AU" w:bidi="ar-SA"/>
              </w:rPr>
              <w:t>0.53 (0.44, 0.65)</w:t>
            </w:r>
          </w:p>
        </w:tc>
        <w:tc>
          <w:tcPr>
            <w:tcW w:w="1701" w:type="dxa"/>
            <w:shd w:val="clear" w:color="auto" w:fill="auto"/>
            <w:vAlign w:val="center"/>
          </w:tcPr>
          <w:p w14:paraId="5CE14847" w14:textId="77777777" w:rsidR="006B3342" w:rsidRPr="000B52C6" w:rsidRDefault="006B3342" w:rsidP="00513E25">
            <w:pPr>
              <w:pStyle w:val="TableText0"/>
              <w:jc w:val="center"/>
              <w:rPr>
                <w:lang w:val="en-AU" w:eastAsia="en-AU" w:bidi="ar-SA"/>
              </w:rPr>
            </w:pPr>
            <w:r w:rsidRPr="000B52C6">
              <w:rPr>
                <w:lang w:val="en-AU" w:eastAsia="en-AU" w:bidi="ar-SA"/>
              </w:rPr>
              <w:t>1.02 (0.66, 1.57)</w:t>
            </w:r>
          </w:p>
        </w:tc>
      </w:tr>
      <w:tr w:rsidR="006B3342" w:rsidRPr="000B52C6" w14:paraId="37D8DAA0" w14:textId="77777777" w:rsidTr="00513E25">
        <w:tc>
          <w:tcPr>
            <w:tcW w:w="3114" w:type="dxa"/>
            <w:tcBorders>
              <w:right w:val="nil"/>
            </w:tcBorders>
            <w:shd w:val="clear" w:color="auto" w:fill="auto"/>
          </w:tcPr>
          <w:p w14:paraId="690269F7" w14:textId="77777777" w:rsidR="006B3342" w:rsidRPr="000B52C6" w:rsidRDefault="006B3342" w:rsidP="00513E25">
            <w:pPr>
              <w:pStyle w:val="TableText0"/>
              <w:rPr>
                <w:b/>
                <w:bCs w:val="0"/>
                <w:lang w:val="en-AU" w:eastAsia="en-AU" w:bidi="ar-SA"/>
              </w:rPr>
            </w:pPr>
            <w:r w:rsidRPr="000B52C6">
              <w:rPr>
                <w:b/>
                <w:bCs w:val="0"/>
                <w:lang w:val="en-AU" w:eastAsia="en-AU" w:bidi="ar-SA"/>
              </w:rPr>
              <w:t>Subgroup ≥ 2 prior lines</w:t>
            </w:r>
          </w:p>
        </w:tc>
        <w:tc>
          <w:tcPr>
            <w:tcW w:w="850" w:type="dxa"/>
            <w:tcBorders>
              <w:left w:val="nil"/>
              <w:bottom w:val="single" w:sz="4" w:space="0" w:color="auto"/>
              <w:right w:val="nil"/>
            </w:tcBorders>
            <w:shd w:val="clear" w:color="auto" w:fill="auto"/>
            <w:vAlign w:val="center"/>
          </w:tcPr>
          <w:p w14:paraId="1CA82065" w14:textId="77777777" w:rsidR="006B3342" w:rsidRPr="000B52C6" w:rsidRDefault="006B3342" w:rsidP="00513E25">
            <w:pPr>
              <w:pStyle w:val="TableText0"/>
              <w:jc w:val="center"/>
              <w:rPr>
                <w:lang w:val="en-AU" w:eastAsia="en-AU" w:bidi="ar-SA"/>
              </w:rPr>
            </w:pPr>
          </w:p>
        </w:tc>
        <w:tc>
          <w:tcPr>
            <w:tcW w:w="1843" w:type="dxa"/>
            <w:tcBorders>
              <w:left w:val="nil"/>
              <w:right w:val="nil"/>
            </w:tcBorders>
            <w:shd w:val="clear" w:color="auto" w:fill="auto"/>
          </w:tcPr>
          <w:p w14:paraId="78EF793C" w14:textId="77777777" w:rsidR="006B3342" w:rsidRPr="000B52C6" w:rsidRDefault="006B3342" w:rsidP="00513E25">
            <w:pPr>
              <w:pStyle w:val="TableText0"/>
              <w:jc w:val="center"/>
              <w:rPr>
                <w:lang w:val="en-AU" w:eastAsia="en-AU" w:bidi="ar-SA"/>
              </w:rPr>
            </w:pPr>
          </w:p>
        </w:tc>
        <w:tc>
          <w:tcPr>
            <w:tcW w:w="1559" w:type="dxa"/>
            <w:tcBorders>
              <w:left w:val="nil"/>
              <w:right w:val="nil"/>
            </w:tcBorders>
            <w:shd w:val="clear" w:color="auto" w:fill="auto"/>
            <w:vAlign w:val="center"/>
          </w:tcPr>
          <w:p w14:paraId="160AFBFE" w14:textId="77777777" w:rsidR="006B3342" w:rsidRPr="000B52C6" w:rsidRDefault="006B3342" w:rsidP="00513E25">
            <w:pPr>
              <w:pStyle w:val="TableText0"/>
              <w:jc w:val="center"/>
              <w:rPr>
                <w:lang w:val="en-AU" w:eastAsia="en-AU" w:bidi="ar-SA"/>
              </w:rPr>
            </w:pPr>
          </w:p>
        </w:tc>
        <w:tc>
          <w:tcPr>
            <w:tcW w:w="1701" w:type="dxa"/>
            <w:tcBorders>
              <w:left w:val="nil"/>
            </w:tcBorders>
            <w:shd w:val="clear" w:color="auto" w:fill="auto"/>
            <w:vAlign w:val="center"/>
          </w:tcPr>
          <w:p w14:paraId="3E72093A" w14:textId="77777777" w:rsidR="006B3342" w:rsidRPr="000B52C6" w:rsidRDefault="006B3342" w:rsidP="00513E25">
            <w:pPr>
              <w:pStyle w:val="TableText0"/>
              <w:jc w:val="center"/>
              <w:rPr>
                <w:lang w:val="en-AU" w:eastAsia="en-AU" w:bidi="ar-SA"/>
              </w:rPr>
            </w:pPr>
          </w:p>
        </w:tc>
      </w:tr>
      <w:tr w:rsidR="006B3342" w:rsidRPr="000B52C6" w14:paraId="3996BBE7" w14:textId="77777777" w:rsidTr="00513E25">
        <w:tc>
          <w:tcPr>
            <w:tcW w:w="3114" w:type="dxa"/>
            <w:shd w:val="clear" w:color="auto" w:fill="auto"/>
          </w:tcPr>
          <w:p w14:paraId="1547FCD3" w14:textId="532ED689" w:rsidR="006B3342" w:rsidRPr="000B52C6" w:rsidRDefault="006B3342" w:rsidP="00513E25">
            <w:pPr>
              <w:pStyle w:val="TableText0"/>
              <w:rPr>
                <w:lang w:val="en-AU" w:eastAsia="en-AU" w:bidi="ar-SA"/>
              </w:rPr>
            </w:pPr>
            <w:r w:rsidRPr="000B52C6">
              <w:rPr>
                <w:lang w:val="en-AU" w:eastAsia="en-AU" w:bidi="ar-SA"/>
              </w:rPr>
              <w:t xml:space="preserve">Unadjusted: As per BOSTON CSR method </w:t>
            </w:r>
          </w:p>
        </w:tc>
        <w:tc>
          <w:tcPr>
            <w:tcW w:w="850" w:type="dxa"/>
            <w:tcBorders>
              <w:bottom w:val="nil"/>
            </w:tcBorders>
            <w:shd w:val="clear" w:color="auto" w:fill="auto"/>
            <w:vAlign w:val="center"/>
          </w:tcPr>
          <w:p w14:paraId="05BAF62F" w14:textId="77777777" w:rsidR="006B3342" w:rsidRPr="000B52C6" w:rsidRDefault="006B3342" w:rsidP="00513E25">
            <w:pPr>
              <w:pStyle w:val="TableText0"/>
              <w:jc w:val="center"/>
              <w:rPr>
                <w:lang w:val="en-AU" w:eastAsia="en-AU" w:bidi="ar-SA"/>
              </w:rPr>
            </w:pPr>
            <w:r w:rsidRPr="000B52C6">
              <w:rPr>
                <w:lang w:val="en-AU" w:eastAsia="en-AU" w:bidi="ar-SA"/>
              </w:rPr>
              <w:t>NA</w:t>
            </w:r>
          </w:p>
        </w:tc>
        <w:tc>
          <w:tcPr>
            <w:tcW w:w="1843" w:type="dxa"/>
            <w:shd w:val="clear" w:color="auto" w:fill="auto"/>
            <w:vAlign w:val="center"/>
          </w:tcPr>
          <w:p w14:paraId="70832025" w14:textId="77777777" w:rsidR="006B3342" w:rsidRPr="000B52C6" w:rsidRDefault="006B3342" w:rsidP="00513E25">
            <w:pPr>
              <w:pStyle w:val="TableText0"/>
              <w:jc w:val="center"/>
              <w:rPr>
                <w:lang w:val="en-AU" w:eastAsia="en-AU" w:bidi="ar-SA"/>
              </w:rPr>
            </w:pPr>
            <w:r w:rsidRPr="000B52C6">
              <w:rPr>
                <w:lang w:val="en-AU" w:eastAsia="en-AU" w:bidi="ar-SA"/>
              </w:rPr>
              <w:t>0.74 (0.5, 1.08)</w:t>
            </w:r>
          </w:p>
        </w:tc>
        <w:tc>
          <w:tcPr>
            <w:tcW w:w="1559" w:type="dxa"/>
            <w:shd w:val="clear" w:color="auto" w:fill="auto"/>
            <w:vAlign w:val="center"/>
          </w:tcPr>
          <w:p w14:paraId="717518AF" w14:textId="77777777" w:rsidR="006B3342" w:rsidRPr="000B52C6" w:rsidRDefault="006B3342" w:rsidP="00513E25">
            <w:pPr>
              <w:pStyle w:val="TableText0"/>
              <w:jc w:val="center"/>
              <w:rPr>
                <w:lang w:val="en-AU" w:eastAsia="en-AU" w:bidi="ar-SA"/>
              </w:rPr>
            </w:pPr>
            <w:r w:rsidRPr="000B52C6">
              <w:rPr>
                <w:lang w:val="en-AU" w:eastAsia="en-AU" w:bidi="ar-SA"/>
              </w:rPr>
              <w:t>0.60 (0.47, 0.78)</w:t>
            </w:r>
          </w:p>
        </w:tc>
        <w:tc>
          <w:tcPr>
            <w:tcW w:w="1701" w:type="dxa"/>
            <w:shd w:val="clear" w:color="auto" w:fill="auto"/>
            <w:vAlign w:val="center"/>
          </w:tcPr>
          <w:p w14:paraId="3440EB7C" w14:textId="77777777" w:rsidR="006B3342" w:rsidRPr="000B52C6" w:rsidRDefault="006B3342" w:rsidP="00513E25">
            <w:pPr>
              <w:pStyle w:val="TableText0"/>
              <w:jc w:val="center"/>
              <w:rPr>
                <w:lang w:val="en-AU" w:eastAsia="en-AU" w:bidi="ar-SA"/>
              </w:rPr>
            </w:pPr>
            <w:r w:rsidRPr="000B52C6">
              <w:rPr>
                <w:lang w:val="en-AU" w:eastAsia="en-AU" w:bidi="ar-SA"/>
              </w:rPr>
              <w:t>1.22 (0.77, 1.93)</w:t>
            </w:r>
          </w:p>
        </w:tc>
      </w:tr>
      <w:tr w:rsidR="006B3342" w:rsidRPr="000B52C6" w14:paraId="4A506E58" w14:textId="77777777" w:rsidTr="00513E25">
        <w:tc>
          <w:tcPr>
            <w:tcW w:w="3114" w:type="dxa"/>
            <w:shd w:val="clear" w:color="auto" w:fill="auto"/>
          </w:tcPr>
          <w:p w14:paraId="66B36E2C" w14:textId="77777777" w:rsidR="006B3342" w:rsidRPr="000B52C6" w:rsidRDefault="006B3342" w:rsidP="00513E25">
            <w:pPr>
              <w:pStyle w:val="TableText0"/>
              <w:rPr>
                <w:lang w:val="en-AU" w:eastAsia="en-AU" w:bidi="ar-SA"/>
              </w:rPr>
            </w:pPr>
            <w:r w:rsidRPr="000B52C6">
              <w:rPr>
                <w:lang w:val="en-AU" w:eastAsia="en-AU" w:bidi="ar-SA"/>
              </w:rPr>
              <w:t>Unadjusted: matching methods in BOSTON with ENDEAVOR</w:t>
            </w:r>
          </w:p>
        </w:tc>
        <w:tc>
          <w:tcPr>
            <w:tcW w:w="850" w:type="dxa"/>
            <w:tcBorders>
              <w:top w:val="nil"/>
            </w:tcBorders>
            <w:shd w:val="clear" w:color="auto" w:fill="auto"/>
            <w:vAlign w:val="center"/>
          </w:tcPr>
          <w:p w14:paraId="0C968559" w14:textId="77777777" w:rsidR="006B3342" w:rsidRPr="000B52C6" w:rsidRDefault="006B3342" w:rsidP="00513E25">
            <w:pPr>
              <w:pStyle w:val="TableText0"/>
              <w:jc w:val="center"/>
              <w:rPr>
                <w:lang w:val="en-AU" w:eastAsia="en-AU" w:bidi="ar-SA"/>
              </w:rPr>
            </w:pPr>
          </w:p>
        </w:tc>
        <w:tc>
          <w:tcPr>
            <w:tcW w:w="1843" w:type="dxa"/>
            <w:shd w:val="clear" w:color="auto" w:fill="auto"/>
            <w:vAlign w:val="center"/>
          </w:tcPr>
          <w:p w14:paraId="05866860" w14:textId="77777777" w:rsidR="006B3342" w:rsidRPr="000B52C6" w:rsidRDefault="006B3342" w:rsidP="00513E25">
            <w:pPr>
              <w:pStyle w:val="TableText0"/>
              <w:jc w:val="center"/>
              <w:rPr>
                <w:lang w:val="en-AU" w:eastAsia="en-AU" w:bidi="ar-SA"/>
              </w:rPr>
            </w:pPr>
            <w:r w:rsidRPr="000B52C6">
              <w:rPr>
                <w:lang w:val="en-AU" w:eastAsia="en-AU" w:bidi="ar-SA"/>
              </w:rPr>
              <w:t>0.68 (0.46, 0.99)</w:t>
            </w:r>
          </w:p>
        </w:tc>
        <w:tc>
          <w:tcPr>
            <w:tcW w:w="1559" w:type="dxa"/>
            <w:shd w:val="clear" w:color="auto" w:fill="auto"/>
            <w:vAlign w:val="center"/>
          </w:tcPr>
          <w:p w14:paraId="105ED177" w14:textId="77777777" w:rsidR="006B3342" w:rsidRPr="000B52C6" w:rsidRDefault="006B3342" w:rsidP="00513E25">
            <w:pPr>
              <w:pStyle w:val="TableText0"/>
              <w:jc w:val="center"/>
              <w:rPr>
                <w:lang w:val="en-AU" w:eastAsia="en-AU" w:bidi="ar-SA"/>
              </w:rPr>
            </w:pPr>
            <w:r w:rsidRPr="000B52C6">
              <w:rPr>
                <w:lang w:val="en-AU" w:eastAsia="en-AU" w:bidi="ar-SA"/>
              </w:rPr>
              <w:t>0.60 (0.47, 0.78)</w:t>
            </w:r>
          </w:p>
        </w:tc>
        <w:tc>
          <w:tcPr>
            <w:tcW w:w="1701" w:type="dxa"/>
            <w:shd w:val="clear" w:color="auto" w:fill="auto"/>
            <w:vAlign w:val="center"/>
          </w:tcPr>
          <w:p w14:paraId="20968A9D" w14:textId="77777777" w:rsidR="006B3342" w:rsidRPr="000B52C6" w:rsidRDefault="006B3342" w:rsidP="00513E25">
            <w:pPr>
              <w:pStyle w:val="TableText0"/>
              <w:jc w:val="center"/>
              <w:rPr>
                <w:lang w:val="en-AU" w:eastAsia="en-AU" w:bidi="ar-SA"/>
              </w:rPr>
            </w:pPr>
            <w:r w:rsidRPr="000B52C6">
              <w:rPr>
                <w:lang w:val="en-AU" w:eastAsia="en-AU" w:bidi="ar-SA"/>
              </w:rPr>
              <w:t>1.12 (0.71, 1.77)</w:t>
            </w:r>
          </w:p>
        </w:tc>
      </w:tr>
      <w:tr w:rsidR="006B3342" w:rsidRPr="000B52C6" w14:paraId="1A3025CD" w14:textId="77777777" w:rsidTr="00513E25">
        <w:tc>
          <w:tcPr>
            <w:tcW w:w="3114" w:type="dxa"/>
            <w:shd w:val="clear" w:color="auto" w:fill="auto"/>
          </w:tcPr>
          <w:p w14:paraId="0AA6007C" w14:textId="77777777" w:rsidR="006B3342" w:rsidRPr="000B52C6" w:rsidRDefault="006B3342" w:rsidP="00513E25">
            <w:pPr>
              <w:pStyle w:val="TableText0"/>
              <w:rPr>
                <w:lang w:val="en-AU" w:eastAsia="en-AU" w:bidi="ar-SA"/>
              </w:rPr>
            </w:pPr>
            <w:r w:rsidRPr="000B52C6">
              <w:rPr>
                <w:lang w:val="en-AU" w:eastAsia="en-AU" w:bidi="ar-SA"/>
              </w:rPr>
              <w:t>Adjusted model: Multivariate (ECOG 0 vs 1 vs 2 &amp; age &lt; 65 vs ≥ 65 years)</w:t>
            </w:r>
          </w:p>
        </w:tc>
        <w:tc>
          <w:tcPr>
            <w:tcW w:w="850" w:type="dxa"/>
            <w:shd w:val="clear" w:color="auto" w:fill="auto"/>
            <w:vAlign w:val="center"/>
          </w:tcPr>
          <w:p w14:paraId="1D6D58B6" w14:textId="77777777" w:rsidR="006B3342" w:rsidRPr="000B52C6" w:rsidRDefault="006B3342" w:rsidP="00513E25">
            <w:pPr>
              <w:pStyle w:val="TableText0"/>
              <w:jc w:val="center"/>
              <w:rPr>
                <w:lang w:val="en-AU" w:eastAsia="en-AU" w:bidi="ar-SA"/>
              </w:rPr>
            </w:pPr>
            <w:r w:rsidRPr="000B52C6">
              <w:rPr>
                <w:lang w:val="en-AU" w:eastAsia="en-AU" w:bidi="ar-SA"/>
              </w:rPr>
              <w:t>0.028, 0.138</w:t>
            </w:r>
          </w:p>
        </w:tc>
        <w:tc>
          <w:tcPr>
            <w:tcW w:w="1843" w:type="dxa"/>
            <w:shd w:val="clear" w:color="auto" w:fill="auto"/>
            <w:vAlign w:val="center"/>
          </w:tcPr>
          <w:p w14:paraId="06F0F26C" w14:textId="77777777" w:rsidR="006B3342" w:rsidRPr="000B52C6" w:rsidRDefault="006B3342" w:rsidP="00513E25">
            <w:pPr>
              <w:pStyle w:val="TableText0"/>
              <w:jc w:val="center"/>
              <w:rPr>
                <w:lang w:val="en-AU" w:eastAsia="en-AU" w:bidi="ar-SA"/>
              </w:rPr>
            </w:pPr>
            <w:r w:rsidRPr="000B52C6">
              <w:rPr>
                <w:lang w:val="en-AU" w:eastAsia="en-AU" w:bidi="ar-SA"/>
              </w:rPr>
              <w:t>0.65 (0.45, 0.95)</w:t>
            </w:r>
          </w:p>
        </w:tc>
        <w:tc>
          <w:tcPr>
            <w:tcW w:w="1559" w:type="dxa"/>
            <w:shd w:val="clear" w:color="auto" w:fill="auto"/>
            <w:vAlign w:val="center"/>
          </w:tcPr>
          <w:p w14:paraId="6490C477" w14:textId="77777777" w:rsidR="006B3342" w:rsidRPr="000B52C6" w:rsidRDefault="006B3342" w:rsidP="00513E25">
            <w:pPr>
              <w:pStyle w:val="TableText0"/>
              <w:jc w:val="center"/>
              <w:rPr>
                <w:lang w:val="en-AU" w:eastAsia="en-AU" w:bidi="ar-SA"/>
              </w:rPr>
            </w:pPr>
            <w:r w:rsidRPr="000B52C6">
              <w:rPr>
                <w:lang w:val="en-AU" w:eastAsia="en-AU" w:bidi="ar-SA"/>
              </w:rPr>
              <w:t>0.60 (0.47, 0.78)</w:t>
            </w:r>
          </w:p>
        </w:tc>
        <w:tc>
          <w:tcPr>
            <w:tcW w:w="1701" w:type="dxa"/>
            <w:shd w:val="clear" w:color="auto" w:fill="auto"/>
            <w:vAlign w:val="center"/>
          </w:tcPr>
          <w:p w14:paraId="20CE0204" w14:textId="77777777" w:rsidR="006B3342" w:rsidRPr="000B52C6" w:rsidRDefault="006B3342" w:rsidP="00513E25">
            <w:pPr>
              <w:pStyle w:val="TableText0"/>
              <w:jc w:val="center"/>
              <w:rPr>
                <w:lang w:val="en-AU" w:eastAsia="en-AU" w:bidi="ar-SA"/>
              </w:rPr>
            </w:pPr>
            <w:r w:rsidRPr="000B52C6">
              <w:rPr>
                <w:lang w:val="en-AU" w:eastAsia="en-AU" w:bidi="ar-SA"/>
              </w:rPr>
              <w:t>1.08 (0.68, 1.71)</w:t>
            </w:r>
          </w:p>
        </w:tc>
      </w:tr>
      <w:tr w:rsidR="006B3342" w:rsidRPr="000B52C6" w14:paraId="17305520" w14:textId="77777777" w:rsidTr="00513E25">
        <w:tc>
          <w:tcPr>
            <w:tcW w:w="3114" w:type="dxa"/>
            <w:shd w:val="clear" w:color="auto" w:fill="auto"/>
          </w:tcPr>
          <w:p w14:paraId="4426F4DA" w14:textId="77777777" w:rsidR="006B3342" w:rsidRPr="000B52C6" w:rsidRDefault="006B3342" w:rsidP="00513E25">
            <w:pPr>
              <w:pStyle w:val="TableText0"/>
              <w:rPr>
                <w:lang w:val="en-AU" w:eastAsia="en-AU" w:bidi="ar-SA"/>
              </w:rPr>
            </w:pPr>
            <w:r w:rsidRPr="000B52C6">
              <w:rPr>
                <w:lang w:val="en-AU" w:eastAsia="en-AU" w:bidi="ar-SA"/>
              </w:rPr>
              <w:t>STC: Multivariate (ECOG and age)</w:t>
            </w:r>
          </w:p>
        </w:tc>
        <w:tc>
          <w:tcPr>
            <w:tcW w:w="850" w:type="dxa"/>
            <w:shd w:val="clear" w:color="auto" w:fill="auto"/>
            <w:vAlign w:val="center"/>
          </w:tcPr>
          <w:p w14:paraId="258C1EB2" w14:textId="77777777" w:rsidR="006B3342" w:rsidRPr="000B52C6" w:rsidRDefault="006B3342" w:rsidP="00513E25">
            <w:pPr>
              <w:pStyle w:val="TableText0"/>
              <w:jc w:val="center"/>
              <w:rPr>
                <w:lang w:val="en-AU" w:eastAsia="en-AU" w:bidi="ar-SA"/>
              </w:rPr>
            </w:pPr>
            <w:r w:rsidRPr="000B52C6">
              <w:rPr>
                <w:lang w:val="en-AU" w:eastAsia="en-AU" w:bidi="ar-SA"/>
              </w:rPr>
              <w:t>NA</w:t>
            </w:r>
          </w:p>
        </w:tc>
        <w:tc>
          <w:tcPr>
            <w:tcW w:w="1843" w:type="dxa"/>
            <w:shd w:val="clear" w:color="auto" w:fill="auto"/>
            <w:vAlign w:val="center"/>
          </w:tcPr>
          <w:p w14:paraId="0B8261CB" w14:textId="77777777" w:rsidR="006B3342" w:rsidRPr="000B52C6" w:rsidRDefault="006B3342" w:rsidP="00513E25">
            <w:pPr>
              <w:pStyle w:val="TableText0"/>
              <w:jc w:val="center"/>
              <w:rPr>
                <w:lang w:val="en-AU" w:eastAsia="en-AU" w:bidi="ar-SA"/>
              </w:rPr>
            </w:pPr>
            <w:r w:rsidRPr="000B52C6">
              <w:rPr>
                <w:lang w:val="en-AU" w:eastAsia="en-AU" w:bidi="ar-SA"/>
              </w:rPr>
              <w:t>0.57 (0.36, 0.91)</w:t>
            </w:r>
          </w:p>
        </w:tc>
        <w:tc>
          <w:tcPr>
            <w:tcW w:w="1559" w:type="dxa"/>
            <w:shd w:val="clear" w:color="auto" w:fill="auto"/>
            <w:vAlign w:val="center"/>
          </w:tcPr>
          <w:p w14:paraId="23EE5508" w14:textId="77777777" w:rsidR="006B3342" w:rsidRPr="000B52C6" w:rsidRDefault="006B3342" w:rsidP="00513E25">
            <w:pPr>
              <w:pStyle w:val="TableText0"/>
              <w:jc w:val="center"/>
              <w:rPr>
                <w:lang w:val="en-AU" w:eastAsia="en-AU" w:bidi="ar-SA"/>
              </w:rPr>
            </w:pPr>
            <w:r w:rsidRPr="000B52C6">
              <w:rPr>
                <w:lang w:val="en-AU" w:eastAsia="en-AU" w:bidi="ar-SA"/>
              </w:rPr>
              <w:t>0.60 (0.47, 0.78)</w:t>
            </w:r>
          </w:p>
        </w:tc>
        <w:tc>
          <w:tcPr>
            <w:tcW w:w="1701" w:type="dxa"/>
            <w:shd w:val="clear" w:color="auto" w:fill="auto"/>
            <w:vAlign w:val="center"/>
          </w:tcPr>
          <w:p w14:paraId="0940D4CC" w14:textId="77777777" w:rsidR="006B3342" w:rsidRPr="000B52C6" w:rsidRDefault="006B3342" w:rsidP="00513E25">
            <w:pPr>
              <w:pStyle w:val="TableText0"/>
              <w:jc w:val="center"/>
              <w:rPr>
                <w:lang w:val="en-AU" w:eastAsia="en-AU" w:bidi="ar-SA"/>
              </w:rPr>
            </w:pPr>
            <w:r w:rsidRPr="000B52C6">
              <w:rPr>
                <w:lang w:val="en-AU" w:eastAsia="en-AU" w:bidi="ar-SA"/>
              </w:rPr>
              <w:t>0.94 (0.55, 1.60)</w:t>
            </w:r>
          </w:p>
        </w:tc>
      </w:tr>
      <w:tr w:rsidR="006B3342" w:rsidRPr="000B52C6" w14:paraId="5C57C4CF" w14:textId="77777777" w:rsidTr="00513E25">
        <w:tc>
          <w:tcPr>
            <w:tcW w:w="9067" w:type="dxa"/>
            <w:gridSpan w:val="5"/>
            <w:shd w:val="clear" w:color="auto" w:fill="auto"/>
          </w:tcPr>
          <w:p w14:paraId="343E7D40" w14:textId="77777777" w:rsidR="006B3342" w:rsidRPr="000B52C6" w:rsidRDefault="006B3342" w:rsidP="00513E25">
            <w:pPr>
              <w:pStyle w:val="TableText0"/>
              <w:rPr>
                <w:lang w:val="en-AU"/>
              </w:rPr>
            </w:pPr>
            <w:r w:rsidRPr="000B52C6">
              <w:rPr>
                <w:b/>
                <w:bCs w:val="0"/>
                <w:lang w:val="en-AU" w:eastAsia="en-AU" w:bidi="ar-SA"/>
              </w:rPr>
              <w:t>Subgroup ≥ 2 prior lines &amp; excluding India</w:t>
            </w:r>
          </w:p>
        </w:tc>
      </w:tr>
      <w:tr w:rsidR="006B3342" w:rsidRPr="000B52C6" w14:paraId="6CD79DE4" w14:textId="77777777" w:rsidTr="00513E25">
        <w:tc>
          <w:tcPr>
            <w:tcW w:w="3114" w:type="dxa"/>
            <w:shd w:val="clear" w:color="auto" w:fill="auto"/>
          </w:tcPr>
          <w:p w14:paraId="2E261AC2" w14:textId="685D264A" w:rsidR="006B3342" w:rsidRPr="000B52C6" w:rsidRDefault="006B3342" w:rsidP="00513E25">
            <w:pPr>
              <w:pStyle w:val="TableText0"/>
              <w:rPr>
                <w:lang w:val="en-AU"/>
              </w:rPr>
            </w:pPr>
            <w:r w:rsidRPr="000B52C6">
              <w:rPr>
                <w:lang w:val="en-AU" w:eastAsia="en-AU" w:bidi="ar-SA"/>
              </w:rPr>
              <w:t>Unadjusted: As per BOSTON CSR method</w:t>
            </w:r>
          </w:p>
        </w:tc>
        <w:tc>
          <w:tcPr>
            <w:tcW w:w="850" w:type="dxa"/>
            <w:vMerge w:val="restart"/>
            <w:shd w:val="clear" w:color="auto" w:fill="auto"/>
            <w:vAlign w:val="center"/>
          </w:tcPr>
          <w:p w14:paraId="06DD4AFD" w14:textId="77777777" w:rsidR="006B3342" w:rsidRPr="000B52C6" w:rsidRDefault="006B3342" w:rsidP="00513E25">
            <w:pPr>
              <w:pStyle w:val="TableText0"/>
              <w:jc w:val="center"/>
              <w:rPr>
                <w:lang w:val="en-AU"/>
              </w:rPr>
            </w:pPr>
            <w:r w:rsidRPr="000B52C6">
              <w:rPr>
                <w:lang w:val="en-AU" w:eastAsia="en-AU" w:bidi="ar-SA"/>
              </w:rPr>
              <w:t>NA</w:t>
            </w:r>
          </w:p>
          <w:p w14:paraId="72927C76" w14:textId="77777777" w:rsidR="006B3342" w:rsidRPr="000B52C6" w:rsidRDefault="006B3342" w:rsidP="00513E25">
            <w:pPr>
              <w:pStyle w:val="TableText0"/>
              <w:jc w:val="center"/>
              <w:rPr>
                <w:lang w:val="en-AU"/>
              </w:rPr>
            </w:pPr>
          </w:p>
        </w:tc>
        <w:tc>
          <w:tcPr>
            <w:tcW w:w="1843" w:type="dxa"/>
            <w:shd w:val="clear" w:color="auto" w:fill="auto"/>
            <w:vAlign w:val="center"/>
          </w:tcPr>
          <w:p w14:paraId="78BDAFAD" w14:textId="77777777" w:rsidR="006B3342" w:rsidRPr="000B52C6" w:rsidRDefault="006B3342" w:rsidP="00513E25">
            <w:pPr>
              <w:pStyle w:val="TableText0"/>
              <w:jc w:val="center"/>
              <w:rPr>
                <w:lang w:val="en-AU"/>
              </w:rPr>
            </w:pPr>
            <w:r w:rsidRPr="000B52C6">
              <w:rPr>
                <w:lang w:val="en-AU" w:eastAsia="en-AU" w:bidi="ar-SA"/>
              </w:rPr>
              <w:t>0.67 (0.44, 1.01)</w:t>
            </w:r>
          </w:p>
        </w:tc>
        <w:tc>
          <w:tcPr>
            <w:tcW w:w="1559" w:type="dxa"/>
            <w:shd w:val="clear" w:color="auto" w:fill="auto"/>
            <w:vAlign w:val="center"/>
          </w:tcPr>
          <w:p w14:paraId="200986F2" w14:textId="77777777" w:rsidR="006B3342" w:rsidRPr="000B52C6" w:rsidRDefault="006B3342" w:rsidP="00513E25">
            <w:pPr>
              <w:pStyle w:val="TableText0"/>
              <w:jc w:val="center"/>
              <w:rPr>
                <w:lang w:val="en-AU"/>
              </w:rPr>
            </w:pPr>
            <w:r w:rsidRPr="000B52C6">
              <w:rPr>
                <w:lang w:val="en-AU" w:eastAsia="en-AU" w:bidi="ar-SA"/>
              </w:rPr>
              <w:t>0.60 (0.47, 0.78)</w:t>
            </w:r>
          </w:p>
        </w:tc>
        <w:tc>
          <w:tcPr>
            <w:tcW w:w="1701" w:type="dxa"/>
            <w:shd w:val="clear" w:color="auto" w:fill="auto"/>
            <w:vAlign w:val="center"/>
          </w:tcPr>
          <w:p w14:paraId="288AB893" w14:textId="77777777" w:rsidR="006B3342" w:rsidRPr="000B52C6" w:rsidRDefault="006B3342" w:rsidP="00513E25">
            <w:pPr>
              <w:pStyle w:val="TableText0"/>
              <w:jc w:val="center"/>
              <w:rPr>
                <w:lang w:val="en-AU"/>
              </w:rPr>
            </w:pPr>
            <w:r w:rsidRPr="000B52C6">
              <w:rPr>
                <w:lang w:val="en-AU" w:eastAsia="en-AU" w:bidi="ar-SA"/>
              </w:rPr>
              <w:t>1.10 (0.67, 1.8)</w:t>
            </w:r>
          </w:p>
        </w:tc>
      </w:tr>
      <w:tr w:rsidR="006B3342" w:rsidRPr="000B52C6" w14:paraId="42A75E4B" w14:textId="77777777" w:rsidTr="00513E25">
        <w:tc>
          <w:tcPr>
            <w:tcW w:w="3114" w:type="dxa"/>
            <w:shd w:val="clear" w:color="auto" w:fill="auto"/>
          </w:tcPr>
          <w:p w14:paraId="26D12067" w14:textId="77777777" w:rsidR="006B3342" w:rsidRPr="000B52C6" w:rsidRDefault="006B3342" w:rsidP="00513E25">
            <w:pPr>
              <w:pStyle w:val="TableText0"/>
              <w:rPr>
                <w:lang w:val="en-AU"/>
              </w:rPr>
            </w:pPr>
            <w:r w:rsidRPr="000B52C6">
              <w:rPr>
                <w:lang w:val="en-AU" w:eastAsia="en-AU" w:bidi="ar-SA"/>
              </w:rPr>
              <w:t>Unadjusted: matching methods in BOSTON with ENDEAVOR</w:t>
            </w:r>
          </w:p>
        </w:tc>
        <w:tc>
          <w:tcPr>
            <w:tcW w:w="850" w:type="dxa"/>
            <w:vMerge/>
            <w:shd w:val="clear" w:color="auto" w:fill="auto"/>
            <w:vAlign w:val="center"/>
          </w:tcPr>
          <w:p w14:paraId="3FD4CA89" w14:textId="77777777" w:rsidR="006B3342" w:rsidRPr="000B52C6" w:rsidRDefault="006B3342" w:rsidP="00513E25">
            <w:pPr>
              <w:pStyle w:val="TableText0"/>
              <w:jc w:val="center"/>
              <w:rPr>
                <w:lang w:val="en-AU"/>
              </w:rPr>
            </w:pPr>
          </w:p>
        </w:tc>
        <w:tc>
          <w:tcPr>
            <w:tcW w:w="1843" w:type="dxa"/>
            <w:shd w:val="clear" w:color="auto" w:fill="auto"/>
            <w:vAlign w:val="center"/>
          </w:tcPr>
          <w:p w14:paraId="616ACFAC" w14:textId="77777777" w:rsidR="006B3342" w:rsidRPr="000B52C6" w:rsidRDefault="006B3342" w:rsidP="00513E25">
            <w:pPr>
              <w:pStyle w:val="TableText0"/>
              <w:jc w:val="center"/>
              <w:rPr>
                <w:lang w:val="en-AU"/>
              </w:rPr>
            </w:pPr>
            <w:r w:rsidRPr="000B52C6">
              <w:rPr>
                <w:lang w:val="en-AU" w:eastAsia="en-AU" w:bidi="ar-SA"/>
              </w:rPr>
              <w:t>0.59 (0.39, 0.89)</w:t>
            </w:r>
          </w:p>
        </w:tc>
        <w:tc>
          <w:tcPr>
            <w:tcW w:w="1559" w:type="dxa"/>
            <w:shd w:val="clear" w:color="auto" w:fill="auto"/>
            <w:vAlign w:val="center"/>
          </w:tcPr>
          <w:p w14:paraId="59ADD485" w14:textId="77777777" w:rsidR="006B3342" w:rsidRPr="000B52C6" w:rsidRDefault="006B3342" w:rsidP="00513E25">
            <w:pPr>
              <w:pStyle w:val="TableText0"/>
              <w:jc w:val="center"/>
              <w:rPr>
                <w:lang w:val="en-AU"/>
              </w:rPr>
            </w:pPr>
            <w:r w:rsidRPr="000B52C6">
              <w:rPr>
                <w:lang w:val="en-AU" w:eastAsia="en-AU" w:bidi="ar-SA"/>
              </w:rPr>
              <w:t>0.60 (0.47, 0.78)</w:t>
            </w:r>
          </w:p>
        </w:tc>
        <w:tc>
          <w:tcPr>
            <w:tcW w:w="1701" w:type="dxa"/>
            <w:shd w:val="clear" w:color="auto" w:fill="auto"/>
            <w:vAlign w:val="center"/>
          </w:tcPr>
          <w:p w14:paraId="7CBEE6C0" w14:textId="77777777" w:rsidR="006B3342" w:rsidRPr="000B52C6" w:rsidRDefault="006B3342" w:rsidP="00513E25">
            <w:pPr>
              <w:pStyle w:val="TableText0"/>
              <w:jc w:val="center"/>
              <w:rPr>
                <w:lang w:val="en-AU"/>
              </w:rPr>
            </w:pPr>
            <w:r w:rsidRPr="000B52C6">
              <w:rPr>
                <w:lang w:val="en-AU" w:eastAsia="en-AU" w:bidi="ar-SA"/>
              </w:rPr>
              <w:t>0.97 (0.6, 1.58)</w:t>
            </w:r>
          </w:p>
        </w:tc>
      </w:tr>
      <w:tr w:rsidR="006B3342" w:rsidRPr="000B52C6" w14:paraId="51BA534B" w14:textId="77777777" w:rsidTr="00513E25">
        <w:tc>
          <w:tcPr>
            <w:tcW w:w="3114" w:type="dxa"/>
            <w:shd w:val="clear" w:color="auto" w:fill="auto"/>
          </w:tcPr>
          <w:p w14:paraId="29D9378B" w14:textId="77777777" w:rsidR="006B3342" w:rsidRPr="000B52C6" w:rsidRDefault="006B3342" w:rsidP="00513E25">
            <w:pPr>
              <w:pStyle w:val="TableText0"/>
              <w:rPr>
                <w:lang w:val="en-AU"/>
              </w:rPr>
            </w:pPr>
            <w:r w:rsidRPr="000B52C6">
              <w:rPr>
                <w:lang w:val="en-AU" w:eastAsia="en-AU" w:bidi="ar-SA"/>
              </w:rPr>
              <w:t>Adjusted model: Multivariate (ECOG 0 vs 1 vs 2 &amp; age &lt; 65 vs ≥ 65 years)</w:t>
            </w:r>
          </w:p>
        </w:tc>
        <w:tc>
          <w:tcPr>
            <w:tcW w:w="850" w:type="dxa"/>
            <w:shd w:val="clear" w:color="auto" w:fill="auto"/>
            <w:vAlign w:val="center"/>
          </w:tcPr>
          <w:p w14:paraId="0D34903D" w14:textId="77777777" w:rsidR="006B3342" w:rsidRPr="000B52C6" w:rsidRDefault="006B3342" w:rsidP="00513E25">
            <w:pPr>
              <w:pStyle w:val="TableText0"/>
              <w:jc w:val="center"/>
              <w:rPr>
                <w:lang w:val="en-AU"/>
              </w:rPr>
            </w:pPr>
            <w:r w:rsidRPr="000B52C6">
              <w:rPr>
                <w:lang w:val="en-AU" w:eastAsia="en-AU" w:bidi="ar-SA"/>
              </w:rPr>
              <w:t>0.165, 0.233</w:t>
            </w:r>
          </w:p>
        </w:tc>
        <w:tc>
          <w:tcPr>
            <w:tcW w:w="1843" w:type="dxa"/>
            <w:shd w:val="clear" w:color="auto" w:fill="auto"/>
            <w:vAlign w:val="center"/>
          </w:tcPr>
          <w:p w14:paraId="348E253D" w14:textId="77777777" w:rsidR="006B3342" w:rsidRPr="000B52C6" w:rsidRDefault="006B3342" w:rsidP="00513E25">
            <w:pPr>
              <w:pStyle w:val="TableText0"/>
              <w:jc w:val="center"/>
              <w:rPr>
                <w:lang w:val="en-AU"/>
              </w:rPr>
            </w:pPr>
            <w:r w:rsidRPr="000B52C6">
              <w:rPr>
                <w:lang w:val="en-AU" w:eastAsia="en-AU" w:bidi="ar-SA"/>
              </w:rPr>
              <w:t>0.58 (0.38, 0.88)</w:t>
            </w:r>
          </w:p>
        </w:tc>
        <w:tc>
          <w:tcPr>
            <w:tcW w:w="1559" w:type="dxa"/>
            <w:shd w:val="clear" w:color="auto" w:fill="auto"/>
            <w:vAlign w:val="center"/>
          </w:tcPr>
          <w:p w14:paraId="4C376E06" w14:textId="77777777" w:rsidR="006B3342" w:rsidRPr="000B52C6" w:rsidRDefault="006B3342" w:rsidP="00513E25">
            <w:pPr>
              <w:pStyle w:val="TableText0"/>
              <w:jc w:val="center"/>
              <w:rPr>
                <w:lang w:val="en-AU"/>
              </w:rPr>
            </w:pPr>
            <w:r w:rsidRPr="000B52C6">
              <w:rPr>
                <w:lang w:val="en-AU" w:eastAsia="en-AU" w:bidi="ar-SA"/>
              </w:rPr>
              <w:t>0.60 (0.47, 0.78)</w:t>
            </w:r>
          </w:p>
        </w:tc>
        <w:tc>
          <w:tcPr>
            <w:tcW w:w="1701" w:type="dxa"/>
            <w:shd w:val="clear" w:color="auto" w:fill="auto"/>
            <w:vAlign w:val="center"/>
          </w:tcPr>
          <w:p w14:paraId="0584C65B" w14:textId="77777777" w:rsidR="006B3342" w:rsidRPr="000B52C6" w:rsidRDefault="006B3342" w:rsidP="00513E25">
            <w:pPr>
              <w:pStyle w:val="TableText0"/>
              <w:jc w:val="center"/>
              <w:rPr>
                <w:lang w:val="en-AU"/>
              </w:rPr>
            </w:pPr>
            <w:r w:rsidRPr="000B52C6">
              <w:rPr>
                <w:lang w:val="en-AU" w:eastAsia="en-AU" w:bidi="ar-SA"/>
              </w:rPr>
              <w:t>0.96 (0.59, 1.56)</w:t>
            </w:r>
          </w:p>
        </w:tc>
      </w:tr>
      <w:tr w:rsidR="006B3342" w:rsidRPr="000B52C6" w14:paraId="03708876" w14:textId="77777777" w:rsidTr="00513E25">
        <w:tc>
          <w:tcPr>
            <w:tcW w:w="3114" w:type="dxa"/>
            <w:shd w:val="clear" w:color="auto" w:fill="auto"/>
          </w:tcPr>
          <w:p w14:paraId="741A53F6" w14:textId="77777777" w:rsidR="006B3342" w:rsidRPr="000B52C6" w:rsidRDefault="006B3342" w:rsidP="00513E25">
            <w:pPr>
              <w:pStyle w:val="TableText0"/>
              <w:rPr>
                <w:lang w:val="en-AU"/>
              </w:rPr>
            </w:pPr>
            <w:r w:rsidRPr="000B52C6">
              <w:rPr>
                <w:lang w:val="en-AU" w:eastAsia="en-AU" w:bidi="ar-SA"/>
              </w:rPr>
              <w:t>STC: Multivariate (ECOG and age)</w:t>
            </w:r>
          </w:p>
        </w:tc>
        <w:tc>
          <w:tcPr>
            <w:tcW w:w="850" w:type="dxa"/>
            <w:shd w:val="clear" w:color="auto" w:fill="auto"/>
            <w:vAlign w:val="center"/>
          </w:tcPr>
          <w:p w14:paraId="3113FDE7" w14:textId="77777777" w:rsidR="006B3342" w:rsidRPr="000B52C6" w:rsidRDefault="006B3342" w:rsidP="00513E25">
            <w:pPr>
              <w:pStyle w:val="TableText0"/>
              <w:jc w:val="center"/>
              <w:rPr>
                <w:lang w:val="en-AU"/>
              </w:rPr>
            </w:pPr>
            <w:r w:rsidRPr="000B52C6">
              <w:rPr>
                <w:lang w:val="en-AU" w:eastAsia="en-AU" w:bidi="ar-SA"/>
              </w:rPr>
              <w:t>NA</w:t>
            </w:r>
          </w:p>
        </w:tc>
        <w:tc>
          <w:tcPr>
            <w:tcW w:w="1843" w:type="dxa"/>
            <w:shd w:val="clear" w:color="auto" w:fill="auto"/>
            <w:vAlign w:val="center"/>
          </w:tcPr>
          <w:p w14:paraId="6700525E" w14:textId="77777777" w:rsidR="006B3342" w:rsidRPr="000B52C6" w:rsidRDefault="006B3342" w:rsidP="00513E25">
            <w:pPr>
              <w:pStyle w:val="TableText0"/>
              <w:jc w:val="center"/>
              <w:rPr>
                <w:lang w:val="en-AU"/>
              </w:rPr>
            </w:pPr>
            <w:r w:rsidRPr="000B52C6">
              <w:rPr>
                <w:lang w:val="en-AU" w:eastAsia="en-AU" w:bidi="ar-SA"/>
              </w:rPr>
              <w:t>0.51 (0.31, 0.85)</w:t>
            </w:r>
          </w:p>
        </w:tc>
        <w:tc>
          <w:tcPr>
            <w:tcW w:w="1559" w:type="dxa"/>
            <w:shd w:val="clear" w:color="auto" w:fill="auto"/>
            <w:vAlign w:val="center"/>
          </w:tcPr>
          <w:p w14:paraId="1264DCFB" w14:textId="77777777" w:rsidR="006B3342" w:rsidRPr="000B52C6" w:rsidRDefault="006B3342" w:rsidP="00513E25">
            <w:pPr>
              <w:pStyle w:val="TableText0"/>
              <w:jc w:val="center"/>
              <w:rPr>
                <w:lang w:val="en-AU"/>
              </w:rPr>
            </w:pPr>
            <w:r w:rsidRPr="000B52C6">
              <w:rPr>
                <w:lang w:val="en-AU" w:eastAsia="en-AU" w:bidi="ar-SA"/>
              </w:rPr>
              <w:t>0.60 (0.47, 0.78)</w:t>
            </w:r>
          </w:p>
        </w:tc>
        <w:tc>
          <w:tcPr>
            <w:tcW w:w="1701" w:type="dxa"/>
            <w:shd w:val="clear" w:color="auto" w:fill="auto"/>
            <w:vAlign w:val="center"/>
          </w:tcPr>
          <w:p w14:paraId="427E5430" w14:textId="77777777" w:rsidR="006B3342" w:rsidRPr="000B52C6" w:rsidRDefault="006B3342" w:rsidP="00513E25">
            <w:pPr>
              <w:pStyle w:val="TableText0"/>
              <w:jc w:val="center"/>
              <w:rPr>
                <w:lang w:val="en-AU"/>
              </w:rPr>
            </w:pPr>
            <w:r w:rsidRPr="000B52C6">
              <w:rPr>
                <w:lang w:val="en-AU" w:eastAsia="en-AU" w:bidi="ar-SA"/>
              </w:rPr>
              <w:t>0.85 (0.48, 1.49)</w:t>
            </w:r>
          </w:p>
        </w:tc>
      </w:tr>
    </w:tbl>
    <w:p w14:paraId="0F2FD43D" w14:textId="21F4C973" w:rsidR="006B3342" w:rsidRPr="000B52C6" w:rsidRDefault="006B3342" w:rsidP="006B3342">
      <w:pPr>
        <w:pStyle w:val="TableFigureFooter"/>
      </w:pPr>
      <w:r w:rsidRPr="000B52C6">
        <w:t>Source: Table 2-47, p141 of the resubmission.</w:t>
      </w:r>
    </w:p>
    <w:p w14:paraId="38EDD292" w14:textId="53ED31D3" w:rsidR="006B3342" w:rsidRPr="000B52C6" w:rsidRDefault="006B3342" w:rsidP="006B3342">
      <w:pPr>
        <w:pStyle w:val="TableFigureFooter"/>
      </w:pPr>
      <w:r w:rsidRPr="000B52C6">
        <w:t xml:space="preserve">Abbreviations: Bd = bortezomib + dexamethasone; Cd = carfilzomib + dexamethasone; CI = confidence interval; HR = hazard ratio; IEE = indirect estimate of effect; ITT = intent to treat; PFS = progression free survival; </w:t>
      </w:r>
      <w:proofErr w:type="spellStart"/>
      <w:r w:rsidRPr="000B52C6">
        <w:t>SBd</w:t>
      </w:r>
      <w:proofErr w:type="spellEnd"/>
      <w:r w:rsidRPr="000B52C6">
        <w:t xml:space="preserve"> = </w:t>
      </w:r>
      <w:proofErr w:type="spellStart"/>
      <w:r w:rsidR="007B6B1C" w:rsidRPr="000B52C6">
        <w:t>s</w:t>
      </w:r>
      <w:r w:rsidRPr="000B52C6">
        <w:t>elinexor</w:t>
      </w:r>
      <w:proofErr w:type="spellEnd"/>
      <w:r w:rsidRPr="000B52C6">
        <w:t xml:space="preserve"> + bortezomib + dexamethasone. </w:t>
      </w:r>
    </w:p>
    <w:p w14:paraId="0DA164C7" w14:textId="77777777" w:rsidR="007552B9" w:rsidRPr="000B52C6" w:rsidRDefault="00536354" w:rsidP="007552B9">
      <w:pPr>
        <w:pStyle w:val="3-BodyText"/>
        <w:ind w:left="720" w:hanging="720"/>
      </w:pPr>
      <w:r w:rsidRPr="000B52C6">
        <w:rPr>
          <w:iCs/>
        </w:rPr>
        <w:t>The Commentary stated that r</w:t>
      </w:r>
      <w:r w:rsidR="006B3342" w:rsidRPr="000B52C6">
        <w:rPr>
          <w:iCs/>
        </w:rPr>
        <w:t xml:space="preserve">esults from the adjusted ITC and STC in the subgroups should be interpreted with caution given the wide confidence intervals observed and the absence of a stated non-inferiority margin. </w:t>
      </w:r>
    </w:p>
    <w:p w14:paraId="12124A16" w14:textId="7A344534" w:rsidR="006B3342" w:rsidRPr="000B52C6" w:rsidRDefault="006B3342" w:rsidP="005640E7">
      <w:pPr>
        <w:pStyle w:val="4-SubsectionHeading"/>
      </w:pPr>
      <w:bookmarkStart w:id="32" w:name="_Toc22897642"/>
      <w:bookmarkStart w:id="33" w:name="_Toc93429925"/>
      <w:r w:rsidRPr="000B52C6">
        <w:t>Comparative harms</w:t>
      </w:r>
      <w:bookmarkEnd w:id="32"/>
      <w:bookmarkEnd w:id="33"/>
    </w:p>
    <w:p w14:paraId="62B0F53F" w14:textId="77777777" w:rsidR="006B3342" w:rsidRPr="000B52C6" w:rsidRDefault="006B3342" w:rsidP="005640E7">
      <w:pPr>
        <w:pStyle w:val="3-BodyText"/>
        <w:keepNext/>
        <w:numPr>
          <w:ilvl w:val="0"/>
          <w:numId w:val="0"/>
        </w:numPr>
        <w:ind w:left="720" w:hanging="720"/>
        <w:rPr>
          <w:u w:val="single"/>
        </w:rPr>
      </w:pPr>
      <w:proofErr w:type="spellStart"/>
      <w:r w:rsidRPr="000B52C6">
        <w:rPr>
          <w:u w:val="single"/>
        </w:rPr>
        <w:t>SBd</w:t>
      </w:r>
      <w:proofErr w:type="spellEnd"/>
      <w:r w:rsidRPr="000B52C6">
        <w:rPr>
          <w:u w:val="single"/>
        </w:rPr>
        <w:t xml:space="preserve"> versus Bd</w:t>
      </w:r>
    </w:p>
    <w:p w14:paraId="39BD6820" w14:textId="77777777" w:rsidR="006B3342" w:rsidRPr="000B52C6" w:rsidRDefault="006B3342" w:rsidP="005640E7">
      <w:pPr>
        <w:pStyle w:val="3-BodyText"/>
        <w:keepNext/>
        <w:numPr>
          <w:ilvl w:val="0"/>
          <w:numId w:val="0"/>
        </w:numPr>
        <w:ind w:left="720" w:hanging="720"/>
        <w:rPr>
          <w:iCs/>
          <w:color w:val="0066FF"/>
        </w:rPr>
      </w:pPr>
      <w:r w:rsidRPr="000B52C6">
        <w:rPr>
          <w:iCs/>
        </w:rPr>
        <w:t>Treatment emergent adverse events (TEAEs)</w:t>
      </w:r>
    </w:p>
    <w:p w14:paraId="32505F3B" w14:textId="3493C20C" w:rsidR="006B3342" w:rsidRPr="000B52C6" w:rsidRDefault="006B3342" w:rsidP="005640E7">
      <w:pPr>
        <w:pStyle w:val="3-BodyText"/>
        <w:keepNext/>
        <w:ind w:left="720" w:hanging="720"/>
        <w:rPr>
          <w:iCs/>
        </w:rPr>
      </w:pPr>
      <w:r w:rsidRPr="000B52C6">
        <w:t>The resubmission presented a summary of TEAEs in the safety population (N= 399) based on the February 2021 data cut-off along with the interim data cut-off (February 2020</w:t>
      </w:r>
      <w:r w:rsidR="009A1A38" w:rsidRPr="000B52C6">
        <w:t xml:space="preserve">; </w:t>
      </w:r>
      <w:r w:rsidRPr="000B52C6">
        <w:t xml:space="preserve">see </w:t>
      </w:r>
      <w:r w:rsidRPr="000B52C6">
        <w:fldChar w:fldCharType="begin"/>
      </w:r>
      <w:r w:rsidRPr="000B52C6">
        <w:instrText xml:space="preserve"> REF _Ref90370097 \h </w:instrText>
      </w:r>
      <w:r w:rsidRPr="000B52C6">
        <w:fldChar w:fldCharType="separate"/>
      </w:r>
      <w:r w:rsidR="00FF5725" w:rsidRPr="000B52C6">
        <w:t xml:space="preserve">Table </w:t>
      </w:r>
      <w:r w:rsidR="00FF5725">
        <w:rPr>
          <w:noProof/>
        </w:rPr>
        <w:t>11</w:t>
      </w:r>
      <w:r w:rsidRPr="000B52C6">
        <w:fldChar w:fldCharType="end"/>
      </w:r>
      <w:r w:rsidRPr="000B52C6">
        <w:t>).</w:t>
      </w:r>
    </w:p>
    <w:p w14:paraId="50621879" w14:textId="5DB53793" w:rsidR="006B3342" w:rsidRPr="000B52C6" w:rsidRDefault="006B3342">
      <w:pPr>
        <w:pStyle w:val="3-BodyText"/>
        <w:ind w:left="720" w:hanging="720"/>
        <w:rPr>
          <w:iCs/>
        </w:rPr>
      </w:pPr>
      <w:r w:rsidRPr="000B52C6">
        <w:t xml:space="preserve">The resubmission stated that given there were no differences observed in the overall rates of AEs between the original and updated data cuts, the rates of individual events will not differ either. </w:t>
      </w:r>
      <w:r w:rsidRPr="000B52C6">
        <w:rPr>
          <w:iCs/>
        </w:rPr>
        <w:t>The resubmission did not provide any safety data for individual adverse events from the updated data cut-off (February 2021). The difference between the treatment arms for overall TEAEs was not statistically significant in terms of relative risk (RR), odds ratio (OR), or risk difference (RD). The difference in serious adverse events (SAEs); Grade 3/4 TEAEs; and TEAEs leading to either dose modification, reduction, or interruption, was statistically significant in terms of RR, OR and RD in favour of the Bd arm</w:t>
      </w:r>
      <w:r w:rsidR="005A06DC" w:rsidRPr="000B52C6">
        <w:rPr>
          <w:iCs/>
        </w:rPr>
        <w:t xml:space="preserve">, which may be </w:t>
      </w:r>
      <w:r w:rsidRPr="000B52C6">
        <w:rPr>
          <w:iCs/>
        </w:rPr>
        <w:t xml:space="preserve">anticipated given that </w:t>
      </w:r>
      <w:proofErr w:type="spellStart"/>
      <w:r w:rsidRPr="000B52C6">
        <w:rPr>
          <w:iCs/>
        </w:rPr>
        <w:t>SBd</w:t>
      </w:r>
      <w:proofErr w:type="spellEnd"/>
      <w:r w:rsidRPr="000B52C6">
        <w:rPr>
          <w:iCs/>
        </w:rPr>
        <w:t xml:space="preserve"> is adding a third therapy to the existing Bd regimen.</w:t>
      </w:r>
    </w:p>
    <w:p w14:paraId="5E51C314" w14:textId="45B0D895" w:rsidR="006B3342" w:rsidRPr="000B52C6" w:rsidRDefault="006B3342" w:rsidP="006B3342">
      <w:pPr>
        <w:pStyle w:val="TableFigureHeading"/>
      </w:pPr>
      <w:bookmarkStart w:id="34" w:name="_Ref90370097"/>
      <w:r w:rsidRPr="000B52C6">
        <w:t xml:space="preserve">Table </w:t>
      </w:r>
      <w:r w:rsidR="00FF5725">
        <w:fldChar w:fldCharType="begin"/>
      </w:r>
      <w:r w:rsidR="00FF5725">
        <w:instrText xml:space="preserve"> SEQ Table \* ARABIC </w:instrText>
      </w:r>
      <w:r w:rsidR="00FF5725">
        <w:fldChar w:fldCharType="separate"/>
      </w:r>
      <w:r w:rsidR="00FF5725">
        <w:rPr>
          <w:noProof/>
        </w:rPr>
        <w:t>11</w:t>
      </w:r>
      <w:r w:rsidR="00FF5725">
        <w:fldChar w:fldCharType="end"/>
      </w:r>
      <w:bookmarkEnd w:id="34"/>
      <w:r w:rsidRPr="000B52C6">
        <w:t>: Summary of TEAEs (safety population)</w:t>
      </w:r>
    </w:p>
    <w:tbl>
      <w:tblPr>
        <w:tblStyle w:val="TableGrid"/>
        <w:tblW w:w="5000" w:type="pct"/>
        <w:tblLayout w:type="fixed"/>
        <w:tblLook w:val="04A0" w:firstRow="1" w:lastRow="0" w:firstColumn="1" w:lastColumn="0" w:noHBand="0" w:noVBand="1"/>
      </w:tblPr>
      <w:tblGrid>
        <w:gridCol w:w="1415"/>
        <w:gridCol w:w="704"/>
        <w:gridCol w:w="572"/>
        <w:gridCol w:w="703"/>
        <w:gridCol w:w="709"/>
        <w:gridCol w:w="709"/>
        <w:gridCol w:w="709"/>
        <w:gridCol w:w="711"/>
        <w:gridCol w:w="994"/>
        <w:gridCol w:w="851"/>
        <w:gridCol w:w="940"/>
      </w:tblGrid>
      <w:tr w:rsidR="006B3342" w:rsidRPr="000B52C6" w14:paraId="0FD9731D" w14:textId="77777777" w:rsidTr="00513E25">
        <w:tc>
          <w:tcPr>
            <w:tcW w:w="785"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B5D067" w14:textId="77777777" w:rsidR="006B3342" w:rsidRPr="000B52C6" w:rsidRDefault="006B3342" w:rsidP="00513E25">
            <w:pPr>
              <w:pStyle w:val="TableText0"/>
              <w:rPr>
                <w:b/>
                <w:bCs w:val="0"/>
              </w:rPr>
            </w:pPr>
          </w:p>
        </w:tc>
        <w:tc>
          <w:tcPr>
            <w:tcW w:w="1884" w:type="pct"/>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08B5BE" w14:textId="77777777" w:rsidR="006B3342" w:rsidRPr="000B52C6" w:rsidRDefault="006B3342" w:rsidP="00513E25">
            <w:pPr>
              <w:pStyle w:val="In-tableHeading"/>
              <w:keepNext w:val="0"/>
              <w:widowControl w:val="0"/>
              <w:jc w:val="center"/>
              <w:rPr>
                <w:lang w:val="en-AU"/>
              </w:rPr>
            </w:pPr>
            <w:r w:rsidRPr="000B52C6">
              <w:rPr>
                <w:lang w:val="en-AU"/>
              </w:rPr>
              <w:t>BOSTON</w:t>
            </w:r>
          </w:p>
          <w:p w14:paraId="643107F3" w14:textId="77777777" w:rsidR="006B3342" w:rsidRPr="000B52C6" w:rsidRDefault="006B3342" w:rsidP="00513E25">
            <w:pPr>
              <w:pStyle w:val="In-tableHeading"/>
              <w:keepNext w:val="0"/>
              <w:widowControl w:val="0"/>
              <w:jc w:val="center"/>
              <w:rPr>
                <w:lang w:val="en-AU"/>
              </w:rPr>
            </w:pPr>
            <w:r w:rsidRPr="000B52C6">
              <w:rPr>
                <w:lang w:val="en-AU"/>
              </w:rPr>
              <w:t>(original data cut-off Feb 2020)</w:t>
            </w:r>
          </w:p>
        </w:tc>
        <w:tc>
          <w:tcPr>
            <w:tcW w:w="2331" w:type="pct"/>
            <w:gridSpan w:val="5"/>
            <w:tcBorders>
              <w:top w:val="single" w:sz="4" w:space="0" w:color="auto"/>
              <w:left w:val="single" w:sz="4" w:space="0" w:color="auto"/>
              <w:bottom w:val="single" w:sz="4" w:space="0" w:color="auto"/>
              <w:right w:val="single" w:sz="4" w:space="0" w:color="auto"/>
            </w:tcBorders>
          </w:tcPr>
          <w:p w14:paraId="480AE286" w14:textId="77777777" w:rsidR="006B3342" w:rsidRPr="000B52C6" w:rsidRDefault="006B3342" w:rsidP="00513E25">
            <w:pPr>
              <w:pStyle w:val="In-tableHeading"/>
              <w:keepNext w:val="0"/>
              <w:widowControl w:val="0"/>
              <w:jc w:val="center"/>
              <w:rPr>
                <w:lang w:val="en-AU"/>
              </w:rPr>
            </w:pPr>
            <w:r w:rsidRPr="000B52C6">
              <w:rPr>
                <w:lang w:val="en-AU"/>
              </w:rPr>
              <w:t>BOSTON</w:t>
            </w:r>
          </w:p>
          <w:p w14:paraId="64A10213" w14:textId="77777777" w:rsidR="006B3342" w:rsidRPr="000B52C6" w:rsidRDefault="006B3342" w:rsidP="00513E25">
            <w:pPr>
              <w:pStyle w:val="In-tableHeading"/>
              <w:keepNext w:val="0"/>
              <w:widowControl w:val="0"/>
              <w:jc w:val="center"/>
              <w:rPr>
                <w:lang w:val="en-AU"/>
              </w:rPr>
            </w:pPr>
            <w:r w:rsidRPr="000B52C6">
              <w:rPr>
                <w:lang w:val="en-AU"/>
              </w:rPr>
              <w:t>(updated data cut-off Feb 2021)</w:t>
            </w:r>
          </w:p>
        </w:tc>
      </w:tr>
      <w:tr w:rsidR="006B3342" w:rsidRPr="000B52C6" w14:paraId="0B5139AE" w14:textId="77777777" w:rsidTr="00513E25">
        <w:tc>
          <w:tcPr>
            <w:tcW w:w="78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421DBB4" w14:textId="77777777" w:rsidR="006B3342" w:rsidRPr="000B52C6" w:rsidRDefault="006B3342" w:rsidP="00513E25">
            <w:pPr>
              <w:pStyle w:val="TableText0"/>
              <w:rPr>
                <w:b/>
                <w:bCs w:val="0"/>
              </w:rPr>
            </w:pPr>
            <w:r w:rsidRPr="000B52C6">
              <w:rPr>
                <w:b/>
                <w:bCs w:val="0"/>
              </w:rPr>
              <w:t>Patients with at least one</w:t>
            </w:r>
          </w:p>
          <w:p w14:paraId="41F65CC3" w14:textId="77777777" w:rsidR="006B3342" w:rsidRPr="000B52C6" w:rsidRDefault="006B3342" w:rsidP="00513E25">
            <w:pPr>
              <w:pStyle w:val="TableText0"/>
              <w:rPr>
                <w:b/>
                <w:bCs w:val="0"/>
              </w:rPr>
            </w:pPr>
            <w:r w:rsidRPr="000B52C6">
              <w:rPr>
                <w:b/>
                <w:bCs w:val="0"/>
              </w:rPr>
              <w:t>n (%)</w:t>
            </w:r>
          </w:p>
        </w:tc>
        <w:tc>
          <w:tcPr>
            <w:tcW w:w="3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3516C8C" w14:textId="77777777" w:rsidR="006B3342" w:rsidRPr="000B52C6" w:rsidRDefault="006B3342" w:rsidP="00513E25">
            <w:pPr>
              <w:pStyle w:val="TableText0"/>
              <w:jc w:val="center"/>
              <w:rPr>
                <w:b/>
                <w:bCs w:val="0"/>
              </w:rPr>
            </w:pPr>
            <w:proofErr w:type="spellStart"/>
            <w:r w:rsidRPr="000B52C6">
              <w:rPr>
                <w:b/>
                <w:bCs w:val="0"/>
              </w:rPr>
              <w:t>SBd</w:t>
            </w:r>
            <w:proofErr w:type="spellEnd"/>
            <w:r w:rsidRPr="000B52C6">
              <w:rPr>
                <w:b/>
                <w:bCs w:val="0"/>
              </w:rPr>
              <w:t xml:space="preserve"> arm</w:t>
            </w:r>
          </w:p>
          <w:p w14:paraId="05BE0A2F" w14:textId="77777777" w:rsidR="006B3342" w:rsidRPr="000B52C6" w:rsidRDefault="006B3342" w:rsidP="00513E25">
            <w:pPr>
              <w:pStyle w:val="TableText0"/>
              <w:jc w:val="center"/>
              <w:rPr>
                <w:b/>
                <w:bCs w:val="0"/>
              </w:rPr>
            </w:pPr>
            <w:r w:rsidRPr="000B52C6">
              <w:rPr>
                <w:b/>
                <w:bCs w:val="0"/>
              </w:rPr>
              <w:t>(N=195)</w:t>
            </w:r>
          </w:p>
        </w:tc>
        <w:tc>
          <w:tcPr>
            <w:tcW w:w="31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995FF3" w14:textId="77777777" w:rsidR="006B3342" w:rsidRPr="000B52C6" w:rsidRDefault="006B3342" w:rsidP="00513E25">
            <w:pPr>
              <w:pStyle w:val="TableText0"/>
              <w:jc w:val="center"/>
              <w:rPr>
                <w:b/>
                <w:bCs w:val="0"/>
              </w:rPr>
            </w:pPr>
            <w:r w:rsidRPr="000B52C6">
              <w:rPr>
                <w:b/>
                <w:bCs w:val="0"/>
              </w:rPr>
              <w:t>Bd arm</w:t>
            </w:r>
          </w:p>
          <w:p w14:paraId="2502D3EE" w14:textId="77777777" w:rsidR="006B3342" w:rsidRPr="000B52C6" w:rsidRDefault="006B3342" w:rsidP="00513E25">
            <w:pPr>
              <w:pStyle w:val="TableText0"/>
              <w:jc w:val="center"/>
              <w:rPr>
                <w:b/>
                <w:bCs w:val="0"/>
              </w:rPr>
            </w:pPr>
            <w:r w:rsidRPr="000B52C6">
              <w:rPr>
                <w:b/>
                <w:bCs w:val="0"/>
              </w:rPr>
              <w:t>(N=204)</w:t>
            </w:r>
          </w:p>
        </w:tc>
        <w:tc>
          <w:tcPr>
            <w:tcW w:w="390" w:type="pct"/>
            <w:tcBorders>
              <w:top w:val="single" w:sz="4" w:space="0" w:color="auto"/>
              <w:left w:val="single" w:sz="4" w:space="0" w:color="auto"/>
              <w:bottom w:val="single" w:sz="4" w:space="0" w:color="auto"/>
              <w:right w:val="single" w:sz="4" w:space="0" w:color="auto"/>
            </w:tcBorders>
            <w:vAlign w:val="center"/>
          </w:tcPr>
          <w:p w14:paraId="78892574" w14:textId="77777777" w:rsidR="006B3342" w:rsidRPr="000B52C6" w:rsidRDefault="006B3342" w:rsidP="00513E25">
            <w:pPr>
              <w:pStyle w:val="TableText0"/>
              <w:jc w:val="center"/>
              <w:rPr>
                <w:b/>
                <w:bCs w:val="0"/>
              </w:rPr>
            </w:pPr>
            <w:r w:rsidRPr="000B52C6">
              <w:rPr>
                <w:b/>
                <w:bCs w:val="0"/>
              </w:rPr>
              <w:t>OR</w:t>
            </w:r>
          </w:p>
          <w:p w14:paraId="406EC4BB" w14:textId="77777777" w:rsidR="006B3342" w:rsidRPr="000B52C6" w:rsidRDefault="006B3342" w:rsidP="00513E25">
            <w:pPr>
              <w:pStyle w:val="TableText0"/>
              <w:jc w:val="center"/>
              <w:rPr>
                <w:b/>
                <w:bCs w:val="0"/>
              </w:rPr>
            </w:pPr>
            <w:r w:rsidRPr="000B52C6">
              <w:rPr>
                <w:b/>
                <w:bCs w:val="0"/>
              </w:rPr>
              <w:t xml:space="preserve">(95% </w:t>
            </w:r>
            <w:proofErr w:type="gramStart"/>
            <w:r w:rsidRPr="000B52C6">
              <w:rPr>
                <w:b/>
                <w:bCs w:val="0"/>
              </w:rPr>
              <w:t>CI)</w:t>
            </w:r>
            <w:r w:rsidRPr="000B52C6">
              <w:rPr>
                <w:b/>
                <w:bCs w:val="0"/>
                <w:vertAlign w:val="superscript"/>
              </w:rPr>
              <w:t>a</w:t>
            </w:r>
            <w:proofErr w:type="gramEnd"/>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7E21DB" w14:textId="77777777" w:rsidR="006B3342" w:rsidRPr="000B52C6" w:rsidRDefault="006B3342" w:rsidP="00513E25">
            <w:pPr>
              <w:pStyle w:val="TableText0"/>
              <w:jc w:val="center"/>
              <w:rPr>
                <w:b/>
                <w:bCs w:val="0"/>
                <w:iCs/>
              </w:rPr>
            </w:pPr>
            <w:r w:rsidRPr="000B52C6">
              <w:rPr>
                <w:b/>
                <w:bCs w:val="0"/>
                <w:iCs/>
              </w:rPr>
              <w:t>RR</w:t>
            </w:r>
          </w:p>
          <w:p w14:paraId="25E5CC4A" w14:textId="77777777" w:rsidR="006B3342" w:rsidRPr="000B52C6" w:rsidRDefault="006B3342" w:rsidP="00513E25">
            <w:pPr>
              <w:pStyle w:val="TableText0"/>
              <w:jc w:val="center"/>
              <w:rPr>
                <w:b/>
                <w:bCs w:val="0"/>
                <w:iCs/>
              </w:rPr>
            </w:pPr>
            <w:r w:rsidRPr="000B52C6">
              <w:rPr>
                <w:b/>
                <w:bCs w:val="0"/>
                <w:iCs/>
              </w:rPr>
              <w:t>(95% CI)</w:t>
            </w:r>
            <w:r w:rsidRPr="000B52C6" w:rsidDel="00E95F5E">
              <w:rPr>
                <w:b/>
                <w:bCs w:val="0"/>
                <w:iCs/>
                <w:vertAlign w:val="superscript"/>
              </w:rPr>
              <w:t xml:space="preserve"> </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DB04ED" w14:textId="77777777" w:rsidR="006B3342" w:rsidRPr="000B52C6" w:rsidRDefault="006B3342" w:rsidP="00513E25">
            <w:pPr>
              <w:pStyle w:val="TableText0"/>
              <w:jc w:val="center"/>
              <w:rPr>
                <w:b/>
                <w:bCs w:val="0"/>
              </w:rPr>
            </w:pPr>
            <w:r w:rsidRPr="000B52C6">
              <w:rPr>
                <w:b/>
                <w:bCs w:val="0"/>
              </w:rPr>
              <w:t>RD</w:t>
            </w:r>
          </w:p>
          <w:p w14:paraId="1C58F455" w14:textId="77777777" w:rsidR="006B3342" w:rsidRPr="000B52C6" w:rsidRDefault="006B3342" w:rsidP="00513E25">
            <w:pPr>
              <w:pStyle w:val="TableText0"/>
              <w:jc w:val="center"/>
              <w:rPr>
                <w:b/>
                <w:bCs w:val="0"/>
              </w:rPr>
            </w:pPr>
            <w:r w:rsidRPr="000B52C6">
              <w:rPr>
                <w:b/>
                <w:bCs w:val="0"/>
              </w:rPr>
              <w:t xml:space="preserve">(95% </w:t>
            </w:r>
            <w:proofErr w:type="gramStart"/>
            <w:r w:rsidRPr="000B52C6">
              <w:rPr>
                <w:b/>
                <w:bCs w:val="0"/>
              </w:rPr>
              <w:t>CI)</w:t>
            </w:r>
            <w:r w:rsidRPr="000B52C6">
              <w:rPr>
                <w:b/>
                <w:bCs w:val="0"/>
                <w:vertAlign w:val="superscript"/>
              </w:rPr>
              <w:t>a</w:t>
            </w:r>
            <w:proofErr w:type="gramEnd"/>
          </w:p>
        </w:tc>
        <w:tc>
          <w:tcPr>
            <w:tcW w:w="393" w:type="pct"/>
            <w:tcBorders>
              <w:top w:val="single" w:sz="4" w:space="0" w:color="auto"/>
              <w:left w:val="single" w:sz="4" w:space="0" w:color="auto"/>
              <w:bottom w:val="single" w:sz="4" w:space="0" w:color="auto"/>
              <w:right w:val="single" w:sz="4" w:space="0" w:color="auto"/>
            </w:tcBorders>
            <w:vAlign w:val="center"/>
          </w:tcPr>
          <w:p w14:paraId="1BA21AA7" w14:textId="77777777" w:rsidR="006B3342" w:rsidRPr="000B52C6" w:rsidRDefault="006B3342" w:rsidP="00513E25">
            <w:pPr>
              <w:pStyle w:val="TableText0"/>
              <w:jc w:val="center"/>
              <w:rPr>
                <w:b/>
                <w:bCs w:val="0"/>
              </w:rPr>
            </w:pPr>
            <w:proofErr w:type="spellStart"/>
            <w:r w:rsidRPr="000B52C6">
              <w:rPr>
                <w:b/>
                <w:bCs w:val="0"/>
              </w:rPr>
              <w:t>SBd</w:t>
            </w:r>
            <w:proofErr w:type="spellEnd"/>
            <w:r w:rsidRPr="000B52C6">
              <w:rPr>
                <w:b/>
                <w:bCs w:val="0"/>
              </w:rPr>
              <w:t xml:space="preserve"> arm</w:t>
            </w:r>
          </w:p>
          <w:p w14:paraId="34E52DDE" w14:textId="77777777" w:rsidR="006B3342" w:rsidRPr="000B52C6" w:rsidRDefault="006B3342" w:rsidP="00513E25">
            <w:pPr>
              <w:pStyle w:val="TableText0"/>
              <w:jc w:val="center"/>
              <w:rPr>
                <w:b/>
                <w:bCs w:val="0"/>
              </w:rPr>
            </w:pPr>
            <w:r w:rsidRPr="000B52C6">
              <w:rPr>
                <w:b/>
                <w:bCs w:val="0"/>
              </w:rPr>
              <w:t>(N=195)</w:t>
            </w:r>
          </w:p>
        </w:tc>
        <w:tc>
          <w:tcPr>
            <w:tcW w:w="394" w:type="pct"/>
            <w:tcBorders>
              <w:top w:val="single" w:sz="4" w:space="0" w:color="auto"/>
              <w:left w:val="single" w:sz="4" w:space="0" w:color="auto"/>
              <w:bottom w:val="single" w:sz="4" w:space="0" w:color="auto"/>
              <w:right w:val="single" w:sz="4" w:space="0" w:color="auto"/>
            </w:tcBorders>
            <w:vAlign w:val="center"/>
          </w:tcPr>
          <w:p w14:paraId="571D7623" w14:textId="77777777" w:rsidR="006B3342" w:rsidRPr="000B52C6" w:rsidRDefault="006B3342" w:rsidP="00513E25">
            <w:pPr>
              <w:pStyle w:val="TableText0"/>
              <w:jc w:val="center"/>
              <w:rPr>
                <w:b/>
                <w:bCs w:val="0"/>
              </w:rPr>
            </w:pPr>
            <w:r w:rsidRPr="000B52C6">
              <w:rPr>
                <w:b/>
                <w:bCs w:val="0"/>
              </w:rPr>
              <w:t>Bd arm</w:t>
            </w:r>
          </w:p>
          <w:p w14:paraId="204A0A6A" w14:textId="77777777" w:rsidR="006B3342" w:rsidRPr="000B52C6" w:rsidRDefault="006B3342" w:rsidP="00513E25">
            <w:pPr>
              <w:pStyle w:val="TableText0"/>
              <w:jc w:val="center"/>
              <w:rPr>
                <w:b/>
                <w:bCs w:val="0"/>
              </w:rPr>
            </w:pPr>
            <w:r w:rsidRPr="000B52C6">
              <w:rPr>
                <w:b/>
                <w:bCs w:val="0"/>
              </w:rPr>
              <w:t>(N=204)</w:t>
            </w:r>
          </w:p>
        </w:tc>
        <w:tc>
          <w:tcPr>
            <w:tcW w:w="551" w:type="pct"/>
            <w:tcBorders>
              <w:top w:val="single" w:sz="4" w:space="0" w:color="auto"/>
              <w:left w:val="single" w:sz="4" w:space="0" w:color="auto"/>
              <w:bottom w:val="single" w:sz="4" w:space="0" w:color="auto"/>
              <w:right w:val="single" w:sz="4" w:space="0" w:color="auto"/>
            </w:tcBorders>
            <w:vAlign w:val="center"/>
          </w:tcPr>
          <w:p w14:paraId="537E34FC" w14:textId="77777777" w:rsidR="006B3342" w:rsidRPr="000B52C6" w:rsidRDefault="006B3342" w:rsidP="00513E25">
            <w:pPr>
              <w:pStyle w:val="TableText0"/>
              <w:jc w:val="center"/>
              <w:rPr>
                <w:b/>
                <w:bCs w:val="0"/>
                <w:iCs/>
              </w:rPr>
            </w:pPr>
            <w:r w:rsidRPr="000B52C6">
              <w:rPr>
                <w:b/>
                <w:bCs w:val="0"/>
                <w:iCs/>
              </w:rPr>
              <w:t>OR</w:t>
            </w:r>
          </w:p>
          <w:p w14:paraId="2BC39565" w14:textId="77777777" w:rsidR="006B3342" w:rsidRPr="000B52C6" w:rsidRDefault="006B3342" w:rsidP="00513E25">
            <w:pPr>
              <w:pStyle w:val="TableText0"/>
              <w:jc w:val="center"/>
              <w:rPr>
                <w:b/>
                <w:bCs w:val="0"/>
                <w:iCs/>
              </w:rPr>
            </w:pPr>
            <w:r w:rsidRPr="000B52C6">
              <w:rPr>
                <w:b/>
                <w:bCs w:val="0"/>
                <w:iCs/>
              </w:rPr>
              <w:t xml:space="preserve">(95% </w:t>
            </w:r>
            <w:proofErr w:type="gramStart"/>
            <w:r w:rsidRPr="000B52C6">
              <w:rPr>
                <w:b/>
                <w:bCs w:val="0"/>
                <w:iCs/>
              </w:rPr>
              <w:t>CI)</w:t>
            </w:r>
            <w:r w:rsidRPr="000B52C6">
              <w:rPr>
                <w:b/>
                <w:bCs w:val="0"/>
                <w:iCs/>
                <w:vertAlign w:val="superscript"/>
              </w:rPr>
              <w:t>a</w:t>
            </w:r>
            <w:proofErr w:type="gramEnd"/>
          </w:p>
        </w:tc>
        <w:tc>
          <w:tcPr>
            <w:tcW w:w="472" w:type="pct"/>
            <w:tcBorders>
              <w:top w:val="single" w:sz="4" w:space="0" w:color="auto"/>
              <w:left w:val="single" w:sz="4" w:space="0" w:color="auto"/>
              <w:bottom w:val="single" w:sz="4" w:space="0" w:color="auto"/>
              <w:right w:val="single" w:sz="4" w:space="0" w:color="auto"/>
            </w:tcBorders>
            <w:vAlign w:val="center"/>
          </w:tcPr>
          <w:p w14:paraId="0947021C" w14:textId="77777777" w:rsidR="006B3342" w:rsidRPr="000B52C6" w:rsidRDefault="006B3342" w:rsidP="00513E25">
            <w:pPr>
              <w:pStyle w:val="TableText0"/>
              <w:jc w:val="center"/>
              <w:rPr>
                <w:b/>
                <w:bCs w:val="0"/>
                <w:iCs/>
              </w:rPr>
            </w:pPr>
            <w:r w:rsidRPr="000B52C6">
              <w:rPr>
                <w:b/>
                <w:bCs w:val="0"/>
                <w:iCs/>
              </w:rPr>
              <w:t>RR</w:t>
            </w:r>
          </w:p>
          <w:p w14:paraId="0428AB6A" w14:textId="77777777" w:rsidR="006B3342" w:rsidRPr="000B52C6" w:rsidRDefault="006B3342" w:rsidP="00513E25">
            <w:pPr>
              <w:pStyle w:val="TableText0"/>
              <w:jc w:val="center"/>
              <w:rPr>
                <w:b/>
                <w:bCs w:val="0"/>
                <w:iCs/>
              </w:rPr>
            </w:pPr>
            <w:r w:rsidRPr="000B52C6">
              <w:rPr>
                <w:b/>
                <w:bCs w:val="0"/>
                <w:iCs/>
              </w:rPr>
              <w:t xml:space="preserve">(95% </w:t>
            </w:r>
            <w:proofErr w:type="gramStart"/>
            <w:r w:rsidRPr="000B52C6">
              <w:rPr>
                <w:b/>
                <w:bCs w:val="0"/>
                <w:iCs/>
              </w:rPr>
              <w:t>CI)</w:t>
            </w:r>
            <w:r w:rsidRPr="000B52C6">
              <w:rPr>
                <w:b/>
                <w:bCs w:val="0"/>
                <w:iCs/>
                <w:vertAlign w:val="superscript"/>
              </w:rPr>
              <w:t>a</w:t>
            </w:r>
            <w:proofErr w:type="gramEnd"/>
          </w:p>
        </w:tc>
        <w:tc>
          <w:tcPr>
            <w:tcW w:w="520" w:type="pct"/>
            <w:tcBorders>
              <w:top w:val="single" w:sz="4" w:space="0" w:color="auto"/>
              <w:left w:val="single" w:sz="4" w:space="0" w:color="auto"/>
              <w:bottom w:val="single" w:sz="4" w:space="0" w:color="auto"/>
              <w:right w:val="single" w:sz="4" w:space="0" w:color="auto"/>
            </w:tcBorders>
            <w:vAlign w:val="center"/>
          </w:tcPr>
          <w:p w14:paraId="2744C0AD" w14:textId="77777777" w:rsidR="006B3342" w:rsidRPr="000B52C6" w:rsidRDefault="006B3342" w:rsidP="00513E25">
            <w:pPr>
              <w:pStyle w:val="TableText0"/>
              <w:jc w:val="center"/>
              <w:rPr>
                <w:b/>
                <w:bCs w:val="0"/>
                <w:iCs/>
              </w:rPr>
            </w:pPr>
            <w:r w:rsidRPr="000B52C6">
              <w:rPr>
                <w:b/>
                <w:bCs w:val="0"/>
                <w:iCs/>
              </w:rPr>
              <w:t>RD</w:t>
            </w:r>
          </w:p>
          <w:p w14:paraId="13A0650C" w14:textId="77777777" w:rsidR="006B3342" w:rsidRPr="000B52C6" w:rsidRDefault="006B3342" w:rsidP="00513E25">
            <w:pPr>
              <w:pStyle w:val="TableText0"/>
              <w:jc w:val="center"/>
              <w:rPr>
                <w:b/>
                <w:bCs w:val="0"/>
                <w:iCs/>
              </w:rPr>
            </w:pPr>
            <w:r w:rsidRPr="000B52C6">
              <w:rPr>
                <w:b/>
                <w:bCs w:val="0"/>
                <w:iCs/>
              </w:rPr>
              <w:t>(95% CI)</w:t>
            </w:r>
          </w:p>
        </w:tc>
      </w:tr>
      <w:tr w:rsidR="006B3342" w:rsidRPr="000B52C6" w14:paraId="3FFDCCD0" w14:textId="77777777" w:rsidTr="00513E25">
        <w:tc>
          <w:tcPr>
            <w:tcW w:w="78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1E8427" w14:textId="77777777" w:rsidR="006B3342" w:rsidRPr="000B52C6" w:rsidRDefault="006B3342" w:rsidP="00513E25">
            <w:pPr>
              <w:pStyle w:val="TableText0"/>
            </w:pPr>
            <w:r w:rsidRPr="000B52C6">
              <w:t>TEAE</w:t>
            </w:r>
          </w:p>
        </w:tc>
        <w:tc>
          <w:tcPr>
            <w:tcW w:w="3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C0B200" w14:textId="77777777" w:rsidR="006B3342" w:rsidRPr="000B52C6" w:rsidRDefault="006B3342" w:rsidP="00513E25">
            <w:pPr>
              <w:pStyle w:val="TableText0"/>
              <w:jc w:val="center"/>
            </w:pPr>
            <w:r w:rsidRPr="000B52C6">
              <w:t>194 (99.5)</w:t>
            </w:r>
          </w:p>
        </w:tc>
        <w:tc>
          <w:tcPr>
            <w:tcW w:w="31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A7957B5" w14:textId="77777777" w:rsidR="006B3342" w:rsidRPr="000B52C6" w:rsidRDefault="006B3342" w:rsidP="00513E25">
            <w:pPr>
              <w:pStyle w:val="TableText0"/>
              <w:jc w:val="center"/>
            </w:pPr>
            <w:r w:rsidRPr="000B52C6">
              <w:t>198 (97.1)</w:t>
            </w:r>
          </w:p>
        </w:tc>
        <w:tc>
          <w:tcPr>
            <w:tcW w:w="390" w:type="pct"/>
            <w:tcBorders>
              <w:top w:val="single" w:sz="4" w:space="0" w:color="auto"/>
              <w:left w:val="single" w:sz="4" w:space="0" w:color="auto"/>
              <w:bottom w:val="single" w:sz="4" w:space="0" w:color="auto"/>
              <w:right w:val="single" w:sz="4" w:space="0" w:color="auto"/>
            </w:tcBorders>
            <w:vAlign w:val="center"/>
          </w:tcPr>
          <w:p w14:paraId="2C268CF4" w14:textId="77777777" w:rsidR="006B3342" w:rsidRPr="000B52C6" w:rsidRDefault="006B3342" w:rsidP="00513E25">
            <w:pPr>
              <w:pStyle w:val="TableText0"/>
              <w:jc w:val="center"/>
            </w:pPr>
            <w:r w:rsidRPr="000B52C6">
              <w:t>5.88</w:t>
            </w:r>
          </w:p>
          <w:p w14:paraId="5DFA2A15" w14:textId="77777777" w:rsidR="006B3342" w:rsidRPr="000B52C6" w:rsidRDefault="006B3342" w:rsidP="00513E25">
            <w:pPr>
              <w:pStyle w:val="TableText0"/>
              <w:jc w:val="center"/>
            </w:pPr>
            <w:r w:rsidRPr="000B52C6">
              <w:t>(0.7, 49.28)</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12D3F5E" w14:textId="77777777" w:rsidR="006B3342" w:rsidRPr="000B52C6" w:rsidRDefault="006B3342" w:rsidP="00513E25">
            <w:pPr>
              <w:pStyle w:val="TableText0"/>
              <w:jc w:val="center"/>
              <w:rPr>
                <w:iCs/>
              </w:rPr>
            </w:pPr>
            <w:r w:rsidRPr="000B52C6">
              <w:rPr>
                <w:bCs w:val="0"/>
                <w:iCs/>
              </w:rPr>
              <w:t>1.03 (1.00, 1.05)</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E4EDE4" w14:textId="77777777" w:rsidR="006B3342" w:rsidRPr="000B52C6" w:rsidRDefault="006B3342" w:rsidP="00513E25">
            <w:pPr>
              <w:pStyle w:val="TableText0"/>
              <w:jc w:val="center"/>
            </w:pPr>
            <w:r w:rsidRPr="000B52C6">
              <w:t>0.02</w:t>
            </w:r>
          </w:p>
          <w:p w14:paraId="2C86F728" w14:textId="77777777" w:rsidR="006B3342" w:rsidRPr="000B52C6" w:rsidRDefault="006B3342" w:rsidP="00513E25">
            <w:pPr>
              <w:pStyle w:val="TableText0"/>
              <w:jc w:val="center"/>
            </w:pPr>
            <w:r w:rsidRPr="000B52C6">
              <w:t>(0, 0.05)</w:t>
            </w:r>
          </w:p>
        </w:tc>
        <w:tc>
          <w:tcPr>
            <w:tcW w:w="393" w:type="pct"/>
            <w:tcBorders>
              <w:top w:val="single" w:sz="4" w:space="0" w:color="auto"/>
              <w:left w:val="single" w:sz="4" w:space="0" w:color="auto"/>
              <w:bottom w:val="single" w:sz="4" w:space="0" w:color="auto"/>
              <w:right w:val="single" w:sz="4" w:space="0" w:color="auto"/>
            </w:tcBorders>
            <w:vAlign w:val="center"/>
          </w:tcPr>
          <w:p w14:paraId="50C47D44" w14:textId="77777777" w:rsidR="006B3342" w:rsidRPr="000B52C6" w:rsidRDefault="006B3342" w:rsidP="00513E25">
            <w:pPr>
              <w:pStyle w:val="TableText0"/>
              <w:jc w:val="center"/>
            </w:pPr>
            <w:r w:rsidRPr="000B52C6">
              <w:t>194 (99.5)</w:t>
            </w:r>
          </w:p>
        </w:tc>
        <w:tc>
          <w:tcPr>
            <w:tcW w:w="394" w:type="pct"/>
            <w:tcBorders>
              <w:top w:val="single" w:sz="4" w:space="0" w:color="auto"/>
              <w:left w:val="single" w:sz="4" w:space="0" w:color="auto"/>
              <w:bottom w:val="single" w:sz="4" w:space="0" w:color="auto"/>
              <w:right w:val="single" w:sz="4" w:space="0" w:color="auto"/>
            </w:tcBorders>
            <w:vAlign w:val="center"/>
          </w:tcPr>
          <w:p w14:paraId="1D067B56" w14:textId="77777777" w:rsidR="006B3342" w:rsidRPr="000B52C6" w:rsidRDefault="006B3342" w:rsidP="00513E25">
            <w:pPr>
              <w:pStyle w:val="TableText0"/>
              <w:jc w:val="center"/>
            </w:pPr>
            <w:r w:rsidRPr="000B52C6">
              <w:t>198 (97.1)</w:t>
            </w:r>
          </w:p>
        </w:tc>
        <w:tc>
          <w:tcPr>
            <w:tcW w:w="551" w:type="pct"/>
            <w:tcBorders>
              <w:top w:val="single" w:sz="4" w:space="0" w:color="auto"/>
              <w:left w:val="single" w:sz="4" w:space="0" w:color="auto"/>
              <w:bottom w:val="single" w:sz="4" w:space="0" w:color="auto"/>
              <w:right w:val="single" w:sz="4" w:space="0" w:color="auto"/>
            </w:tcBorders>
            <w:vAlign w:val="center"/>
          </w:tcPr>
          <w:p w14:paraId="1CB65FB8" w14:textId="77777777" w:rsidR="006B3342" w:rsidRPr="000B52C6" w:rsidRDefault="006B3342" w:rsidP="00513E25">
            <w:pPr>
              <w:pStyle w:val="TableText0"/>
              <w:jc w:val="center"/>
              <w:rPr>
                <w:iCs/>
              </w:rPr>
            </w:pPr>
            <w:r w:rsidRPr="000B52C6">
              <w:rPr>
                <w:iCs/>
              </w:rPr>
              <w:t xml:space="preserve">5.88 </w:t>
            </w:r>
          </w:p>
          <w:p w14:paraId="1B82E8A4" w14:textId="77777777" w:rsidR="006B3342" w:rsidRPr="000B52C6" w:rsidRDefault="006B3342" w:rsidP="00513E25">
            <w:pPr>
              <w:pStyle w:val="TableText0"/>
              <w:jc w:val="center"/>
              <w:rPr>
                <w:iCs/>
              </w:rPr>
            </w:pPr>
            <w:r w:rsidRPr="000B52C6">
              <w:rPr>
                <w:iCs/>
              </w:rPr>
              <w:t>(0.70, 49.29)</w:t>
            </w:r>
          </w:p>
        </w:tc>
        <w:tc>
          <w:tcPr>
            <w:tcW w:w="472" w:type="pct"/>
            <w:tcBorders>
              <w:top w:val="single" w:sz="4" w:space="0" w:color="auto"/>
              <w:left w:val="single" w:sz="4" w:space="0" w:color="auto"/>
              <w:bottom w:val="single" w:sz="4" w:space="0" w:color="auto"/>
              <w:right w:val="single" w:sz="4" w:space="0" w:color="auto"/>
            </w:tcBorders>
            <w:vAlign w:val="center"/>
          </w:tcPr>
          <w:p w14:paraId="0823AA68" w14:textId="77777777" w:rsidR="006B3342" w:rsidRPr="000B52C6" w:rsidRDefault="006B3342" w:rsidP="00513E25">
            <w:pPr>
              <w:pStyle w:val="TableText0"/>
              <w:jc w:val="center"/>
              <w:rPr>
                <w:iCs/>
              </w:rPr>
            </w:pPr>
            <w:r w:rsidRPr="000B52C6">
              <w:rPr>
                <w:iCs/>
              </w:rPr>
              <w:t xml:space="preserve">1.03 </w:t>
            </w:r>
          </w:p>
          <w:p w14:paraId="5B4D0E8D" w14:textId="77777777" w:rsidR="006B3342" w:rsidRPr="000B52C6" w:rsidRDefault="006B3342" w:rsidP="00513E25">
            <w:pPr>
              <w:pStyle w:val="TableText0"/>
              <w:jc w:val="center"/>
              <w:rPr>
                <w:iCs/>
              </w:rPr>
            </w:pPr>
            <w:r w:rsidRPr="000B52C6">
              <w:rPr>
                <w:iCs/>
              </w:rPr>
              <w:t>(1.00, 1.05)</w:t>
            </w:r>
          </w:p>
        </w:tc>
        <w:tc>
          <w:tcPr>
            <w:tcW w:w="520" w:type="pct"/>
            <w:tcBorders>
              <w:top w:val="single" w:sz="4" w:space="0" w:color="auto"/>
              <w:left w:val="single" w:sz="4" w:space="0" w:color="auto"/>
              <w:bottom w:val="single" w:sz="4" w:space="0" w:color="auto"/>
              <w:right w:val="single" w:sz="4" w:space="0" w:color="auto"/>
            </w:tcBorders>
            <w:vAlign w:val="center"/>
          </w:tcPr>
          <w:p w14:paraId="36342EF6" w14:textId="77777777" w:rsidR="006B3342" w:rsidRPr="000B52C6" w:rsidRDefault="006B3342" w:rsidP="00513E25">
            <w:pPr>
              <w:pStyle w:val="TableText0"/>
              <w:jc w:val="center"/>
              <w:rPr>
                <w:iCs/>
              </w:rPr>
            </w:pPr>
            <w:r w:rsidRPr="000B52C6">
              <w:rPr>
                <w:iCs/>
              </w:rPr>
              <w:t xml:space="preserve">0.02 </w:t>
            </w:r>
          </w:p>
          <w:p w14:paraId="0AFA50E3" w14:textId="77777777" w:rsidR="006B3342" w:rsidRPr="000B52C6" w:rsidRDefault="006B3342" w:rsidP="00513E25">
            <w:pPr>
              <w:pStyle w:val="TableText0"/>
              <w:jc w:val="center"/>
              <w:rPr>
                <w:iCs/>
              </w:rPr>
            </w:pPr>
            <w:r w:rsidRPr="000B52C6">
              <w:rPr>
                <w:iCs/>
              </w:rPr>
              <w:t>(0.00, 0.05)</w:t>
            </w:r>
          </w:p>
        </w:tc>
      </w:tr>
      <w:tr w:rsidR="006B3342" w:rsidRPr="000B52C6" w14:paraId="498B5244" w14:textId="77777777" w:rsidTr="00513E25">
        <w:tc>
          <w:tcPr>
            <w:tcW w:w="78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6A711D2" w14:textId="77777777" w:rsidR="006B3342" w:rsidRPr="000B52C6" w:rsidRDefault="006B3342" w:rsidP="00513E25">
            <w:pPr>
              <w:pStyle w:val="TableText0"/>
            </w:pPr>
            <w:r w:rsidRPr="000B52C6">
              <w:t xml:space="preserve">Grade 3/4 </w:t>
            </w:r>
            <w:proofErr w:type="spellStart"/>
            <w:r w:rsidRPr="000B52C6">
              <w:t>TEAE</w:t>
            </w:r>
            <w:r w:rsidRPr="000B52C6">
              <w:rPr>
                <w:vertAlign w:val="superscript"/>
              </w:rPr>
              <w:t>b</w:t>
            </w:r>
            <w:proofErr w:type="spellEnd"/>
          </w:p>
        </w:tc>
        <w:tc>
          <w:tcPr>
            <w:tcW w:w="3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6358FD" w14:textId="77777777" w:rsidR="006B3342" w:rsidRPr="000B52C6" w:rsidRDefault="006B3342" w:rsidP="00513E25">
            <w:pPr>
              <w:pStyle w:val="TableText0"/>
              <w:jc w:val="center"/>
            </w:pPr>
            <w:r w:rsidRPr="000B52C6">
              <w:t>154 (79.0)</w:t>
            </w:r>
          </w:p>
        </w:tc>
        <w:tc>
          <w:tcPr>
            <w:tcW w:w="31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59C87D" w14:textId="77777777" w:rsidR="006B3342" w:rsidRPr="000B52C6" w:rsidRDefault="006B3342" w:rsidP="00513E25">
            <w:pPr>
              <w:pStyle w:val="TableText0"/>
              <w:jc w:val="center"/>
            </w:pPr>
            <w:r w:rsidRPr="000B52C6">
              <w:t>114 (55.9)</w:t>
            </w:r>
          </w:p>
        </w:tc>
        <w:tc>
          <w:tcPr>
            <w:tcW w:w="390" w:type="pct"/>
            <w:tcBorders>
              <w:top w:val="single" w:sz="4" w:space="0" w:color="auto"/>
              <w:left w:val="single" w:sz="4" w:space="0" w:color="auto"/>
              <w:bottom w:val="single" w:sz="4" w:space="0" w:color="auto"/>
              <w:right w:val="single" w:sz="4" w:space="0" w:color="auto"/>
            </w:tcBorders>
            <w:vAlign w:val="center"/>
          </w:tcPr>
          <w:p w14:paraId="376D3070" w14:textId="77777777" w:rsidR="006B3342" w:rsidRPr="000B52C6" w:rsidRDefault="006B3342" w:rsidP="00513E25">
            <w:pPr>
              <w:pStyle w:val="TableText0"/>
              <w:jc w:val="center"/>
              <w:rPr>
                <w:b/>
                <w:bCs w:val="0"/>
              </w:rPr>
            </w:pPr>
            <w:r w:rsidRPr="000B52C6">
              <w:rPr>
                <w:b/>
                <w:bCs w:val="0"/>
              </w:rPr>
              <w:t>2.97</w:t>
            </w:r>
          </w:p>
          <w:p w14:paraId="72E80809" w14:textId="77777777" w:rsidR="006B3342" w:rsidRPr="000B52C6" w:rsidRDefault="006B3342" w:rsidP="00513E25">
            <w:pPr>
              <w:pStyle w:val="TableText0"/>
              <w:jc w:val="center"/>
              <w:rPr>
                <w:b/>
                <w:bCs w:val="0"/>
              </w:rPr>
            </w:pPr>
            <w:r w:rsidRPr="000B52C6">
              <w:rPr>
                <w:b/>
                <w:bCs w:val="0"/>
              </w:rPr>
              <w:t>(1.91, 4.61)</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8928D2" w14:textId="77777777" w:rsidR="006B3342" w:rsidRPr="000B52C6" w:rsidRDefault="006B3342" w:rsidP="00513E25">
            <w:pPr>
              <w:pStyle w:val="TableText0"/>
              <w:jc w:val="center"/>
              <w:rPr>
                <w:b/>
                <w:bCs w:val="0"/>
                <w:iCs/>
              </w:rPr>
            </w:pPr>
            <w:r w:rsidRPr="000B52C6">
              <w:rPr>
                <w:b/>
                <w:iCs/>
              </w:rPr>
              <w:t>1.41 (1.23, 1.63)</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AEFDB55" w14:textId="77777777" w:rsidR="006B3342" w:rsidRPr="000B52C6" w:rsidRDefault="006B3342" w:rsidP="00513E25">
            <w:pPr>
              <w:pStyle w:val="TableText0"/>
              <w:jc w:val="center"/>
              <w:rPr>
                <w:b/>
                <w:bCs w:val="0"/>
              </w:rPr>
            </w:pPr>
            <w:r w:rsidRPr="000B52C6">
              <w:rPr>
                <w:b/>
                <w:bCs w:val="0"/>
              </w:rPr>
              <w:t>0.23</w:t>
            </w:r>
          </w:p>
          <w:p w14:paraId="2EBDF398" w14:textId="77777777" w:rsidR="006B3342" w:rsidRPr="000B52C6" w:rsidRDefault="006B3342" w:rsidP="00513E25">
            <w:pPr>
              <w:pStyle w:val="TableText0"/>
              <w:jc w:val="center"/>
              <w:rPr>
                <w:b/>
                <w:bCs w:val="0"/>
              </w:rPr>
            </w:pPr>
            <w:r w:rsidRPr="000B52C6">
              <w:rPr>
                <w:b/>
                <w:bCs w:val="0"/>
              </w:rPr>
              <w:t>(0.14, 0.32)</w:t>
            </w:r>
          </w:p>
        </w:tc>
        <w:tc>
          <w:tcPr>
            <w:tcW w:w="393" w:type="pct"/>
            <w:tcBorders>
              <w:top w:val="single" w:sz="4" w:space="0" w:color="auto"/>
              <w:left w:val="single" w:sz="4" w:space="0" w:color="auto"/>
              <w:bottom w:val="single" w:sz="4" w:space="0" w:color="auto"/>
              <w:right w:val="single" w:sz="4" w:space="0" w:color="auto"/>
            </w:tcBorders>
            <w:vAlign w:val="center"/>
          </w:tcPr>
          <w:p w14:paraId="4836CC09" w14:textId="77777777" w:rsidR="006B3342" w:rsidRPr="000B52C6" w:rsidRDefault="006B3342" w:rsidP="00513E25">
            <w:pPr>
              <w:pStyle w:val="TableText0"/>
              <w:jc w:val="center"/>
            </w:pPr>
            <w:r w:rsidRPr="000B52C6">
              <w:t>153 (78.5)</w:t>
            </w:r>
          </w:p>
        </w:tc>
        <w:tc>
          <w:tcPr>
            <w:tcW w:w="394" w:type="pct"/>
            <w:tcBorders>
              <w:top w:val="single" w:sz="4" w:space="0" w:color="auto"/>
              <w:left w:val="single" w:sz="4" w:space="0" w:color="auto"/>
              <w:bottom w:val="single" w:sz="4" w:space="0" w:color="auto"/>
              <w:right w:val="single" w:sz="4" w:space="0" w:color="auto"/>
            </w:tcBorders>
            <w:vAlign w:val="center"/>
          </w:tcPr>
          <w:p w14:paraId="793E497C" w14:textId="77777777" w:rsidR="006B3342" w:rsidRPr="000B52C6" w:rsidRDefault="006B3342" w:rsidP="00513E25">
            <w:pPr>
              <w:pStyle w:val="TableText0"/>
              <w:jc w:val="center"/>
            </w:pPr>
            <w:r w:rsidRPr="000B52C6">
              <w:t>115 (56.4)</w:t>
            </w:r>
          </w:p>
        </w:tc>
        <w:tc>
          <w:tcPr>
            <w:tcW w:w="551" w:type="pct"/>
            <w:tcBorders>
              <w:top w:val="single" w:sz="4" w:space="0" w:color="auto"/>
              <w:left w:val="single" w:sz="4" w:space="0" w:color="auto"/>
              <w:bottom w:val="single" w:sz="4" w:space="0" w:color="auto"/>
              <w:right w:val="single" w:sz="4" w:space="0" w:color="auto"/>
            </w:tcBorders>
            <w:vAlign w:val="center"/>
          </w:tcPr>
          <w:p w14:paraId="6596208B" w14:textId="77777777" w:rsidR="006B3342" w:rsidRPr="000B52C6" w:rsidRDefault="006B3342" w:rsidP="00513E25">
            <w:pPr>
              <w:pStyle w:val="TableText0"/>
              <w:jc w:val="center"/>
              <w:rPr>
                <w:b/>
                <w:bCs w:val="0"/>
                <w:iCs/>
              </w:rPr>
            </w:pPr>
            <w:r w:rsidRPr="000B52C6">
              <w:rPr>
                <w:b/>
                <w:bCs w:val="0"/>
                <w:iCs/>
              </w:rPr>
              <w:t xml:space="preserve">2.82 </w:t>
            </w:r>
          </w:p>
          <w:p w14:paraId="4B6B5022" w14:textId="77777777" w:rsidR="006B3342" w:rsidRPr="000B52C6" w:rsidRDefault="006B3342" w:rsidP="00513E25">
            <w:pPr>
              <w:pStyle w:val="TableText0"/>
              <w:jc w:val="center"/>
              <w:rPr>
                <w:b/>
                <w:bCs w:val="0"/>
                <w:iCs/>
              </w:rPr>
            </w:pPr>
            <w:r w:rsidRPr="000B52C6">
              <w:rPr>
                <w:b/>
                <w:bCs w:val="0"/>
                <w:iCs/>
              </w:rPr>
              <w:t>(1.82, 4.38)</w:t>
            </w:r>
          </w:p>
        </w:tc>
        <w:tc>
          <w:tcPr>
            <w:tcW w:w="472" w:type="pct"/>
            <w:tcBorders>
              <w:top w:val="single" w:sz="4" w:space="0" w:color="auto"/>
              <w:left w:val="single" w:sz="4" w:space="0" w:color="auto"/>
              <w:bottom w:val="single" w:sz="4" w:space="0" w:color="auto"/>
              <w:right w:val="single" w:sz="4" w:space="0" w:color="auto"/>
            </w:tcBorders>
            <w:vAlign w:val="center"/>
          </w:tcPr>
          <w:p w14:paraId="6EEE07CF" w14:textId="77777777" w:rsidR="006B3342" w:rsidRPr="000B52C6" w:rsidRDefault="006B3342" w:rsidP="00513E25">
            <w:pPr>
              <w:pStyle w:val="TableText0"/>
              <w:jc w:val="center"/>
              <w:rPr>
                <w:b/>
                <w:bCs w:val="0"/>
                <w:iCs/>
              </w:rPr>
            </w:pPr>
            <w:r w:rsidRPr="000B52C6">
              <w:rPr>
                <w:b/>
                <w:bCs w:val="0"/>
                <w:iCs/>
              </w:rPr>
              <w:t>1.39</w:t>
            </w:r>
          </w:p>
          <w:p w14:paraId="3CAE79C6" w14:textId="77777777" w:rsidR="006B3342" w:rsidRPr="000B52C6" w:rsidRDefault="006B3342" w:rsidP="00513E25">
            <w:pPr>
              <w:pStyle w:val="TableText0"/>
              <w:jc w:val="center"/>
              <w:rPr>
                <w:b/>
                <w:bCs w:val="0"/>
                <w:iCs/>
              </w:rPr>
            </w:pPr>
            <w:r w:rsidRPr="000B52C6">
              <w:rPr>
                <w:b/>
                <w:bCs w:val="0"/>
                <w:iCs/>
              </w:rPr>
              <w:t xml:space="preserve"> (1.21, 1.60)</w:t>
            </w:r>
          </w:p>
        </w:tc>
        <w:tc>
          <w:tcPr>
            <w:tcW w:w="520" w:type="pct"/>
            <w:tcBorders>
              <w:top w:val="single" w:sz="4" w:space="0" w:color="auto"/>
              <w:left w:val="single" w:sz="4" w:space="0" w:color="auto"/>
              <w:bottom w:val="single" w:sz="4" w:space="0" w:color="auto"/>
              <w:right w:val="single" w:sz="4" w:space="0" w:color="auto"/>
            </w:tcBorders>
            <w:vAlign w:val="center"/>
          </w:tcPr>
          <w:p w14:paraId="0C82783A" w14:textId="77777777" w:rsidR="006B3342" w:rsidRPr="000B52C6" w:rsidRDefault="006B3342" w:rsidP="00513E25">
            <w:pPr>
              <w:pStyle w:val="TableText0"/>
              <w:jc w:val="center"/>
              <w:rPr>
                <w:b/>
                <w:bCs w:val="0"/>
                <w:iCs/>
              </w:rPr>
            </w:pPr>
            <w:r w:rsidRPr="000B52C6">
              <w:rPr>
                <w:b/>
                <w:bCs w:val="0"/>
                <w:iCs/>
              </w:rPr>
              <w:t xml:space="preserve">0.22 </w:t>
            </w:r>
          </w:p>
          <w:p w14:paraId="044AEDA4" w14:textId="77777777" w:rsidR="006B3342" w:rsidRPr="000B52C6" w:rsidRDefault="006B3342" w:rsidP="00513E25">
            <w:pPr>
              <w:pStyle w:val="TableText0"/>
              <w:jc w:val="center"/>
              <w:rPr>
                <w:b/>
                <w:bCs w:val="0"/>
                <w:iCs/>
              </w:rPr>
            </w:pPr>
            <w:r w:rsidRPr="000B52C6">
              <w:rPr>
                <w:b/>
                <w:bCs w:val="0"/>
                <w:iCs/>
              </w:rPr>
              <w:t>(0.13, 0.31)</w:t>
            </w:r>
          </w:p>
        </w:tc>
      </w:tr>
      <w:tr w:rsidR="006B3342" w:rsidRPr="000B52C6" w14:paraId="6E52AF1E" w14:textId="77777777" w:rsidTr="00513E25">
        <w:tc>
          <w:tcPr>
            <w:tcW w:w="78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0DFE28F" w14:textId="77777777" w:rsidR="006B3342" w:rsidRPr="000B52C6" w:rsidRDefault="006B3342" w:rsidP="00513E25">
            <w:pPr>
              <w:pStyle w:val="TableText0"/>
            </w:pPr>
            <w:r w:rsidRPr="000B52C6">
              <w:t xml:space="preserve">Grade 4 </w:t>
            </w:r>
            <w:proofErr w:type="spellStart"/>
            <w:r w:rsidRPr="000B52C6">
              <w:t>TEAE</w:t>
            </w:r>
            <w:r w:rsidRPr="000B52C6">
              <w:rPr>
                <w:vertAlign w:val="superscript"/>
              </w:rPr>
              <w:t>b</w:t>
            </w:r>
            <w:proofErr w:type="spellEnd"/>
          </w:p>
        </w:tc>
        <w:tc>
          <w:tcPr>
            <w:tcW w:w="3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80331FC" w14:textId="77777777" w:rsidR="006B3342" w:rsidRPr="000B52C6" w:rsidRDefault="006B3342" w:rsidP="00513E25">
            <w:pPr>
              <w:pStyle w:val="TableText0"/>
              <w:jc w:val="center"/>
            </w:pPr>
            <w:r w:rsidRPr="000B52C6">
              <w:t>34 (17.4)</w:t>
            </w:r>
          </w:p>
        </w:tc>
        <w:tc>
          <w:tcPr>
            <w:tcW w:w="31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A16691" w14:textId="77777777" w:rsidR="006B3342" w:rsidRPr="000B52C6" w:rsidRDefault="006B3342" w:rsidP="00513E25">
            <w:pPr>
              <w:pStyle w:val="TableText0"/>
              <w:jc w:val="center"/>
            </w:pPr>
            <w:r w:rsidRPr="000B52C6">
              <w:t>22 (10.8)</w:t>
            </w:r>
          </w:p>
        </w:tc>
        <w:tc>
          <w:tcPr>
            <w:tcW w:w="390" w:type="pct"/>
            <w:tcBorders>
              <w:top w:val="single" w:sz="4" w:space="0" w:color="auto"/>
              <w:left w:val="single" w:sz="4" w:space="0" w:color="auto"/>
              <w:bottom w:val="single" w:sz="4" w:space="0" w:color="auto"/>
              <w:right w:val="single" w:sz="4" w:space="0" w:color="auto"/>
            </w:tcBorders>
            <w:vAlign w:val="center"/>
          </w:tcPr>
          <w:p w14:paraId="53E89BBC" w14:textId="77777777" w:rsidR="006B3342" w:rsidRPr="000B52C6" w:rsidRDefault="006B3342" w:rsidP="00513E25">
            <w:pPr>
              <w:pStyle w:val="TableText0"/>
              <w:jc w:val="center"/>
              <w:rPr>
                <w:iCs/>
              </w:rPr>
            </w:pPr>
            <w:r w:rsidRPr="000B52C6">
              <w:rPr>
                <w:iCs/>
              </w:rPr>
              <w:t>1.75 (0.98, 3.11)</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AB4F55" w14:textId="77777777" w:rsidR="006B3342" w:rsidRPr="000B52C6" w:rsidRDefault="006B3342" w:rsidP="00513E25">
            <w:pPr>
              <w:pStyle w:val="TableText0"/>
              <w:jc w:val="center"/>
              <w:rPr>
                <w:iCs/>
              </w:rPr>
            </w:pPr>
            <w:r w:rsidRPr="000B52C6">
              <w:rPr>
                <w:iCs/>
              </w:rPr>
              <w:t>1.62 (0.98, 2.66)</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0F2B5F" w14:textId="77777777" w:rsidR="006B3342" w:rsidRPr="000B52C6" w:rsidRDefault="006B3342" w:rsidP="00513E25">
            <w:pPr>
              <w:pStyle w:val="TableText0"/>
              <w:jc w:val="center"/>
            </w:pPr>
            <w:r w:rsidRPr="000B52C6">
              <w:t>N/A</w:t>
            </w:r>
          </w:p>
        </w:tc>
        <w:tc>
          <w:tcPr>
            <w:tcW w:w="393" w:type="pct"/>
            <w:tcBorders>
              <w:top w:val="single" w:sz="4" w:space="0" w:color="auto"/>
              <w:left w:val="single" w:sz="4" w:space="0" w:color="auto"/>
              <w:bottom w:val="single" w:sz="4" w:space="0" w:color="auto"/>
              <w:right w:val="single" w:sz="4" w:space="0" w:color="auto"/>
            </w:tcBorders>
            <w:vAlign w:val="center"/>
          </w:tcPr>
          <w:p w14:paraId="70FFBDE4" w14:textId="77777777" w:rsidR="006B3342" w:rsidRPr="000B52C6" w:rsidRDefault="006B3342" w:rsidP="00513E25">
            <w:pPr>
              <w:pStyle w:val="TableText0"/>
              <w:jc w:val="center"/>
            </w:pPr>
            <w:r w:rsidRPr="000B52C6">
              <w:t>37 (19.0)</w:t>
            </w:r>
          </w:p>
        </w:tc>
        <w:tc>
          <w:tcPr>
            <w:tcW w:w="394" w:type="pct"/>
            <w:tcBorders>
              <w:top w:val="single" w:sz="4" w:space="0" w:color="auto"/>
              <w:left w:val="single" w:sz="4" w:space="0" w:color="auto"/>
              <w:bottom w:val="single" w:sz="4" w:space="0" w:color="auto"/>
              <w:right w:val="single" w:sz="4" w:space="0" w:color="auto"/>
            </w:tcBorders>
            <w:vAlign w:val="center"/>
          </w:tcPr>
          <w:p w14:paraId="1E24C0A0" w14:textId="77777777" w:rsidR="006B3342" w:rsidRPr="000B52C6" w:rsidRDefault="006B3342" w:rsidP="00513E25">
            <w:pPr>
              <w:pStyle w:val="TableText0"/>
              <w:jc w:val="center"/>
            </w:pPr>
            <w:r w:rsidRPr="000B52C6">
              <w:t>22 (10.8)</w:t>
            </w:r>
          </w:p>
        </w:tc>
        <w:tc>
          <w:tcPr>
            <w:tcW w:w="551" w:type="pct"/>
            <w:tcBorders>
              <w:top w:val="single" w:sz="4" w:space="0" w:color="auto"/>
              <w:left w:val="single" w:sz="4" w:space="0" w:color="auto"/>
              <w:bottom w:val="single" w:sz="4" w:space="0" w:color="auto"/>
              <w:right w:val="single" w:sz="4" w:space="0" w:color="auto"/>
            </w:tcBorders>
            <w:vAlign w:val="center"/>
          </w:tcPr>
          <w:p w14:paraId="02FE8A14" w14:textId="77777777" w:rsidR="006B3342" w:rsidRPr="000B52C6" w:rsidRDefault="006B3342" w:rsidP="00513E25">
            <w:pPr>
              <w:pStyle w:val="TableText0"/>
              <w:jc w:val="center"/>
              <w:rPr>
                <w:iCs/>
              </w:rPr>
            </w:pPr>
            <w:r w:rsidRPr="000B52C6">
              <w:rPr>
                <w:iCs/>
              </w:rPr>
              <w:t xml:space="preserve">1.94 </w:t>
            </w:r>
          </w:p>
          <w:p w14:paraId="7A03CD78" w14:textId="77777777" w:rsidR="006B3342" w:rsidRPr="000B52C6" w:rsidRDefault="006B3342" w:rsidP="00513E25">
            <w:pPr>
              <w:pStyle w:val="TableText0"/>
              <w:jc w:val="center"/>
              <w:rPr>
                <w:iCs/>
              </w:rPr>
            </w:pPr>
            <w:r w:rsidRPr="000B52C6">
              <w:rPr>
                <w:iCs/>
              </w:rPr>
              <w:t>(1.10, 3.42)</w:t>
            </w:r>
          </w:p>
        </w:tc>
        <w:tc>
          <w:tcPr>
            <w:tcW w:w="472" w:type="pct"/>
            <w:tcBorders>
              <w:top w:val="single" w:sz="4" w:space="0" w:color="auto"/>
              <w:left w:val="single" w:sz="4" w:space="0" w:color="auto"/>
              <w:bottom w:val="single" w:sz="4" w:space="0" w:color="auto"/>
              <w:right w:val="single" w:sz="4" w:space="0" w:color="auto"/>
            </w:tcBorders>
            <w:vAlign w:val="center"/>
          </w:tcPr>
          <w:p w14:paraId="7EEE7B3D" w14:textId="77777777" w:rsidR="006B3342" w:rsidRPr="000B52C6" w:rsidRDefault="006B3342" w:rsidP="00513E25">
            <w:pPr>
              <w:pStyle w:val="TableText0"/>
              <w:jc w:val="center"/>
              <w:rPr>
                <w:iCs/>
              </w:rPr>
            </w:pPr>
            <w:r w:rsidRPr="000B52C6">
              <w:rPr>
                <w:iCs/>
              </w:rPr>
              <w:t xml:space="preserve">1.76 </w:t>
            </w:r>
          </w:p>
          <w:p w14:paraId="1DFAD3AA" w14:textId="77777777" w:rsidR="006B3342" w:rsidRPr="000B52C6" w:rsidRDefault="006B3342" w:rsidP="00513E25">
            <w:pPr>
              <w:pStyle w:val="TableText0"/>
              <w:jc w:val="center"/>
              <w:rPr>
                <w:iCs/>
              </w:rPr>
            </w:pPr>
            <w:r w:rsidRPr="000B52C6">
              <w:rPr>
                <w:iCs/>
              </w:rPr>
              <w:t>(1.08, 2.87)</w:t>
            </w:r>
          </w:p>
        </w:tc>
        <w:tc>
          <w:tcPr>
            <w:tcW w:w="520" w:type="pct"/>
            <w:tcBorders>
              <w:top w:val="single" w:sz="4" w:space="0" w:color="auto"/>
              <w:left w:val="single" w:sz="4" w:space="0" w:color="auto"/>
              <w:bottom w:val="single" w:sz="4" w:space="0" w:color="auto"/>
              <w:right w:val="single" w:sz="4" w:space="0" w:color="auto"/>
            </w:tcBorders>
            <w:vAlign w:val="center"/>
          </w:tcPr>
          <w:p w14:paraId="3A96E804" w14:textId="77777777" w:rsidR="006B3342" w:rsidRPr="000B52C6" w:rsidRDefault="006B3342" w:rsidP="00513E25">
            <w:pPr>
              <w:pStyle w:val="TableText0"/>
              <w:jc w:val="center"/>
              <w:rPr>
                <w:iCs/>
              </w:rPr>
            </w:pPr>
            <w:r w:rsidRPr="000B52C6">
              <w:rPr>
                <w:iCs/>
              </w:rPr>
              <w:t xml:space="preserve">0.08 </w:t>
            </w:r>
          </w:p>
          <w:p w14:paraId="4A4FB154" w14:textId="77777777" w:rsidR="006B3342" w:rsidRPr="000B52C6" w:rsidRDefault="006B3342" w:rsidP="00513E25">
            <w:pPr>
              <w:pStyle w:val="TableText0"/>
              <w:jc w:val="center"/>
              <w:rPr>
                <w:iCs/>
              </w:rPr>
            </w:pPr>
            <w:r w:rsidRPr="000B52C6">
              <w:rPr>
                <w:iCs/>
              </w:rPr>
              <w:t>(0.01, 0.15)</w:t>
            </w:r>
          </w:p>
        </w:tc>
      </w:tr>
      <w:tr w:rsidR="006B3342" w:rsidRPr="000B52C6" w14:paraId="292631A1" w14:textId="77777777" w:rsidTr="00513E25">
        <w:tc>
          <w:tcPr>
            <w:tcW w:w="78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14F64D" w14:textId="77777777" w:rsidR="006B3342" w:rsidRPr="000B52C6" w:rsidRDefault="006B3342" w:rsidP="00513E25">
            <w:pPr>
              <w:pStyle w:val="TableText0"/>
            </w:pPr>
            <w:r w:rsidRPr="000B52C6">
              <w:t>SAE</w:t>
            </w:r>
          </w:p>
        </w:tc>
        <w:tc>
          <w:tcPr>
            <w:tcW w:w="3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39D119" w14:textId="77777777" w:rsidR="006B3342" w:rsidRPr="000B52C6" w:rsidRDefault="006B3342" w:rsidP="00513E25">
            <w:pPr>
              <w:pStyle w:val="TableText0"/>
              <w:jc w:val="center"/>
            </w:pPr>
            <w:r w:rsidRPr="000B52C6">
              <w:t>101 (51.8)</w:t>
            </w:r>
          </w:p>
        </w:tc>
        <w:tc>
          <w:tcPr>
            <w:tcW w:w="31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177FEE" w14:textId="77777777" w:rsidR="006B3342" w:rsidRPr="000B52C6" w:rsidRDefault="006B3342" w:rsidP="00513E25">
            <w:pPr>
              <w:pStyle w:val="TableText0"/>
              <w:jc w:val="center"/>
            </w:pPr>
            <w:r w:rsidRPr="000B52C6">
              <w:t>77 (37.7)</w:t>
            </w:r>
          </w:p>
        </w:tc>
        <w:tc>
          <w:tcPr>
            <w:tcW w:w="390" w:type="pct"/>
            <w:tcBorders>
              <w:top w:val="single" w:sz="4" w:space="0" w:color="auto"/>
              <w:left w:val="single" w:sz="4" w:space="0" w:color="auto"/>
              <w:bottom w:val="single" w:sz="4" w:space="0" w:color="auto"/>
              <w:right w:val="single" w:sz="4" w:space="0" w:color="auto"/>
            </w:tcBorders>
            <w:vAlign w:val="center"/>
          </w:tcPr>
          <w:p w14:paraId="71938AC0" w14:textId="77777777" w:rsidR="006B3342" w:rsidRPr="000B52C6" w:rsidRDefault="006B3342" w:rsidP="00513E25">
            <w:pPr>
              <w:pStyle w:val="TableText0"/>
              <w:jc w:val="center"/>
              <w:rPr>
                <w:b/>
                <w:bCs w:val="0"/>
              </w:rPr>
            </w:pPr>
            <w:r w:rsidRPr="000B52C6">
              <w:rPr>
                <w:b/>
                <w:bCs w:val="0"/>
              </w:rPr>
              <w:t>1.77</w:t>
            </w:r>
          </w:p>
          <w:p w14:paraId="443ED7EB" w14:textId="77777777" w:rsidR="006B3342" w:rsidRPr="000B52C6" w:rsidRDefault="006B3342" w:rsidP="00513E25">
            <w:pPr>
              <w:pStyle w:val="TableText0"/>
              <w:jc w:val="center"/>
              <w:rPr>
                <w:b/>
                <w:bCs w:val="0"/>
              </w:rPr>
            </w:pPr>
            <w:r w:rsidRPr="000B52C6">
              <w:rPr>
                <w:b/>
                <w:bCs w:val="0"/>
              </w:rPr>
              <w:t>(1.19, 2.64)</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EE2910" w14:textId="77777777" w:rsidR="006B3342" w:rsidRPr="000B52C6" w:rsidRDefault="006B3342" w:rsidP="00513E25">
            <w:pPr>
              <w:pStyle w:val="TableText0"/>
              <w:jc w:val="center"/>
              <w:rPr>
                <w:b/>
                <w:bCs w:val="0"/>
                <w:iCs/>
              </w:rPr>
            </w:pPr>
            <w:r w:rsidRPr="000B52C6">
              <w:rPr>
                <w:b/>
                <w:iCs/>
              </w:rPr>
              <w:t>1.37 (1.10, 1.71)</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0AA2ABA" w14:textId="77777777" w:rsidR="006B3342" w:rsidRPr="000B52C6" w:rsidRDefault="006B3342" w:rsidP="00513E25">
            <w:pPr>
              <w:pStyle w:val="TableText0"/>
              <w:jc w:val="center"/>
              <w:rPr>
                <w:b/>
                <w:bCs w:val="0"/>
              </w:rPr>
            </w:pPr>
            <w:r w:rsidRPr="000B52C6">
              <w:rPr>
                <w:b/>
                <w:bCs w:val="0"/>
              </w:rPr>
              <w:t>0.14</w:t>
            </w:r>
          </w:p>
          <w:p w14:paraId="1B35C1DE" w14:textId="77777777" w:rsidR="006B3342" w:rsidRPr="000B52C6" w:rsidRDefault="006B3342" w:rsidP="00513E25">
            <w:pPr>
              <w:pStyle w:val="TableText0"/>
              <w:jc w:val="center"/>
              <w:rPr>
                <w:b/>
                <w:bCs w:val="0"/>
              </w:rPr>
            </w:pPr>
            <w:r w:rsidRPr="000B52C6">
              <w:rPr>
                <w:b/>
                <w:bCs w:val="0"/>
              </w:rPr>
              <w:t>(0.04, 0.24)</w:t>
            </w:r>
          </w:p>
        </w:tc>
        <w:tc>
          <w:tcPr>
            <w:tcW w:w="393" w:type="pct"/>
            <w:tcBorders>
              <w:top w:val="single" w:sz="4" w:space="0" w:color="auto"/>
              <w:left w:val="single" w:sz="4" w:space="0" w:color="auto"/>
              <w:bottom w:val="single" w:sz="4" w:space="0" w:color="auto"/>
              <w:right w:val="single" w:sz="4" w:space="0" w:color="auto"/>
            </w:tcBorders>
            <w:vAlign w:val="center"/>
          </w:tcPr>
          <w:p w14:paraId="785B2023" w14:textId="77777777" w:rsidR="006B3342" w:rsidRPr="000B52C6" w:rsidRDefault="006B3342" w:rsidP="00513E25">
            <w:pPr>
              <w:pStyle w:val="TableText0"/>
              <w:jc w:val="center"/>
            </w:pPr>
            <w:r w:rsidRPr="000B52C6">
              <w:t>106 (54.4)</w:t>
            </w:r>
          </w:p>
        </w:tc>
        <w:tc>
          <w:tcPr>
            <w:tcW w:w="394" w:type="pct"/>
            <w:tcBorders>
              <w:top w:val="single" w:sz="4" w:space="0" w:color="auto"/>
              <w:left w:val="single" w:sz="4" w:space="0" w:color="auto"/>
              <w:bottom w:val="single" w:sz="4" w:space="0" w:color="auto"/>
              <w:right w:val="single" w:sz="4" w:space="0" w:color="auto"/>
            </w:tcBorders>
            <w:vAlign w:val="center"/>
          </w:tcPr>
          <w:p w14:paraId="5AECD6C9" w14:textId="77777777" w:rsidR="006B3342" w:rsidRPr="000B52C6" w:rsidRDefault="006B3342" w:rsidP="00513E25">
            <w:pPr>
              <w:pStyle w:val="TableText0"/>
              <w:jc w:val="center"/>
            </w:pPr>
            <w:r w:rsidRPr="000B52C6">
              <w:t>79 (38.7)</w:t>
            </w:r>
          </w:p>
        </w:tc>
        <w:tc>
          <w:tcPr>
            <w:tcW w:w="551" w:type="pct"/>
            <w:tcBorders>
              <w:top w:val="single" w:sz="4" w:space="0" w:color="auto"/>
              <w:left w:val="single" w:sz="4" w:space="0" w:color="auto"/>
              <w:bottom w:val="single" w:sz="4" w:space="0" w:color="auto"/>
              <w:right w:val="single" w:sz="4" w:space="0" w:color="auto"/>
            </w:tcBorders>
            <w:vAlign w:val="center"/>
          </w:tcPr>
          <w:p w14:paraId="4AF8CD30" w14:textId="77777777" w:rsidR="006B3342" w:rsidRPr="000B52C6" w:rsidRDefault="006B3342" w:rsidP="00513E25">
            <w:pPr>
              <w:pStyle w:val="TableText0"/>
              <w:jc w:val="center"/>
              <w:rPr>
                <w:b/>
                <w:bCs w:val="0"/>
                <w:iCs/>
              </w:rPr>
            </w:pPr>
            <w:r w:rsidRPr="000B52C6">
              <w:rPr>
                <w:b/>
                <w:bCs w:val="0"/>
                <w:iCs/>
              </w:rPr>
              <w:t xml:space="preserve">1.88 </w:t>
            </w:r>
          </w:p>
          <w:p w14:paraId="45E4810E" w14:textId="77777777" w:rsidR="006B3342" w:rsidRPr="000B52C6" w:rsidRDefault="006B3342" w:rsidP="00513E25">
            <w:pPr>
              <w:pStyle w:val="TableText0"/>
              <w:jc w:val="center"/>
              <w:rPr>
                <w:b/>
                <w:bCs w:val="0"/>
                <w:iCs/>
              </w:rPr>
            </w:pPr>
            <w:r w:rsidRPr="000B52C6">
              <w:rPr>
                <w:b/>
                <w:bCs w:val="0"/>
                <w:iCs/>
              </w:rPr>
              <w:t>(1.27, 2.81)</w:t>
            </w:r>
          </w:p>
        </w:tc>
        <w:tc>
          <w:tcPr>
            <w:tcW w:w="472" w:type="pct"/>
            <w:tcBorders>
              <w:top w:val="single" w:sz="4" w:space="0" w:color="auto"/>
              <w:left w:val="single" w:sz="4" w:space="0" w:color="auto"/>
              <w:bottom w:val="single" w:sz="4" w:space="0" w:color="auto"/>
              <w:right w:val="single" w:sz="4" w:space="0" w:color="auto"/>
            </w:tcBorders>
            <w:vAlign w:val="center"/>
          </w:tcPr>
          <w:p w14:paraId="6A37CF06" w14:textId="77777777" w:rsidR="006B3342" w:rsidRPr="000B52C6" w:rsidRDefault="006B3342" w:rsidP="00513E25">
            <w:pPr>
              <w:pStyle w:val="TableText0"/>
              <w:jc w:val="center"/>
              <w:rPr>
                <w:b/>
                <w:bCs w:val="0"/>
                <w:iCs/>
              </w:rPr>
            </w:pPr>
            <w:r w:rsidRPr="000B52C6">
              <w:rPr>
                <w:b/>
                <w:bCs w:val="0"/>
                <w:iCs/>
              </w:rPr>
              <w:t xml:space="preserve">1.40 </w:t>
            </w:r>
          </w:p>
          <w:p w14:paraId="7A0E0A51" w14:textId="77777777" w:rsidR="006B3342" w:rsidRPr="000B52C6" w:rsidRDefault="006B3342" w:rsidP="00513E25">
            <w:pPr>
              <w:pStyle w:val="TableText0"/>
              <w:jc w:val="center"/>
              <w:rPr>
                <w:b/>
                <w:bCs w:val="0"/>
                <w:iCs/>
              </w:rPr>
            </w:pPr>
            <w:r w:rsidRPr="000B52C6">
              <w:rPr>
                <w:b/>
                <w:bCs w:val="0"/>
                <w:iCs/>
              </w:rPr>
              <w:t>(1.13, 1.74)</w:t>
            </w:r>
          </w:p>
        </w:tc>
        <w:tc>
          <w:tcPr>
            <w:tcW w:w="520" w:type="pct"/>
            <w:tcBorders>
              <w:top w:val="single" w:sz="4" w:space="0" w:color="auto"/>
              <w:left w:val="single" w:sz="4" w:space="0" w:color="auto"/>
              <w:bottom w:val="single" w:sz="4" w:space="0" w:color="auto"/>
              <w:right w:val="single" w:sz="4" w:space="0" w:color="auto"/>
            </w:tcBorders>
            <w:vAlign w:val="center"/>
          </w:tcPr>
          <w:p w14:paraId="07AED046" w14:textId="77777777" w:rsidR="006B3342" w:rsidRPr="000B52C6" w:rsidRDefault="006B3342" w:rsidP="00513E25">
            <w:pPr>
              <w:pStyle w:val="TableText0"/>
              <w:jc w:val="center"/>
              <w:rPr>
                <w:b/>
                <w:bCs w:val="0"/>
                <w:iCs/>
              </w:rPr>
            </w:pPr>
            <w:r w:rsidRPr="000B52C6">
              <w:rPr>
                <w:b/>
                <w:bCs w:val="0"/>
                <w:iCs/>
              </w:rPr>
              <w:t xml:space="preserve">0.16 </w:t>
            </w:r>
          </w:p>
          <w:p w14:paraId="5878B0DF" w14:textId="77777777" w:rsidR="006B3342" w:rsidRPr="000B52C6" w:rsidRDefault="006B3342" w:rsidP="00513E25">
            <w:pPr>
              <w:pStyle w:val="TableText0"/>
              <w:jc w:val="center"/>
              <w:rPr>
                <w:b/>
                <w:bCs w:val="0"/>
                <w:iCs/>
              </w:rPr>
            </w:pPr>
            <w:r w:rsidRPr="000B52C6">
              <w:rPr>
                <w:b/>
                <w:bCs w:val="0"/>
                <w:iCs/>
              </w:rPr>
              <w:t>(0.06, 0.25)</w:t>
            </w:r>
          </w:p>
        </w:tc>
      </w:tr>
      <w:tr w:rsidR="006B3342" w:rsidRPr="000B52C6" w14:paraId="238C5895" w14:textId="77777777" w:rsidTr="00513E25">
        <w:tc>
          <w:tcPr>
            <w:tcW w:w="78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94AC66E" w14:textId="77777777" w:rsidR="006B3342" w:rsidRPr="000B52C6" w:rsidRDefault="006B3342" w:rsidP="00513E25">
            <w:pPr>
              <w:pStyle w:val="TableText0"/>
            </w:pPr>
            <w:r w:rsidRPr="000B52C6">
              <w:t xml:space="preserve">TEAE Leading to Dose Modification in Study </w:t>
            </w:r>
            <w:proofErr w:type="spellStart"/>
            <w:r w:rsidRPr="000B52C6">
              <w:t>Treatment</w:t>
            </w:r>
            <w:r w:rsidRPr="000B52C6">
              <w:rPr>
                <w:vertAlign w:val="superscript"/>
              </w:rPr>
              <w:t>c</w:t>
            </w:r>
            <w:proofErr w:type="spellEnd"/>
          </w:p>
        </w:tc>
        <w:tc>
          <w:tcPr>
            <w:tcW w:w="3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AB34BE" w14:textId="77777777" w:rsidR="006B3342" w:rsidRPr="000B52C6" w:rsidRDefault="006B3342" w:rsidP="00513E25">
            <w:pPr>
              <w:pStyle w:val="TableText0"/>
              <w:jc w:val="center"/>
            </w:pPr>
            <w:r w:rsidRPr="000B52C6">
              <w:t>173 (88.7)</w:t>
            </w:r>
          </w:p>
        </w:tc>
        <w:tc>
          <w:tcPr>
            <w:tcW w:w="31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131B24" w14:textId="77777777" w:rsidR="006B3342" w:rsidRPr="000B52C6" w:rsidRDefault="006B3342" w:rsidP="00513E25">
            <w:pPr>
              <w:pStyle w:val="TableText0"/>
              <w:jc w:val="center"/>
            </w:pPr>
            <w:r w:rsidRPr="000B52C6">
              <w:t>156 (76.5)</w:t>
            </w:r>
          </w:p>
        </w:tc>
        <w:tc>
          <w:tcPr>
            <w:tcW w:w="390" w:type="pct"/>
            <w:tcBorders>
              <w:top w:val="single" w:sz="4" w:space="0" w:color="auto"/>
              <w:left w:val="single" w:sz="4" w:space="0" w:color="auto"/>
              <w:bottom w:val="single" w:sz="4" w:space="0" w:color="auto"/>
              <w:right w:val="single" w:sz="4" w:space="0" w:color="auto"/>
            </w:tcBorders>
            <w:vAlign w:val="center"/>
          </w:tcPr>
          <w:p w14:paraId="7304FDCE" w14:textId="77777777" w:rsidR="006B3342" w:rsidRPr="000B52C6" w:rsidRDefault="006B3342" w:rsidP="00513E25">
            <w:pPr>
              <w:pStyle w:val="TableText0"/>
              <w:jc w:val="center"/>
              <w:rPr>
                <w:b/>
                <w:bCs w:val="0"/>
                <w:iCs/>
              </w:rPr>
            </w:pPr>
            <w:r w:rsidRPr="000B52C6">
              <w:rPr>
                <w:b/>
                <w:bCs w:val="0"/>
                <w:iCs/>
              </w:rPr>
              <w:t>2.42 (1.40, 4.19)</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89BDDA" w14:textId="77777777" w:rsidR="006B3342" w:rsidRPr="000B52C6" w:rsidRDefault="006B3342" w:rsidP="00513E25">
            <w:pPr>
              <w:pStyle w:val="TableText0"/>
              <w:jc w:val="center"/>
              <w:rPr>
                <w:b/>
                <w:bCs w:val="0"/>
                <w:iCs/>
              </w:rPr>
            </w:pPr>
            <w:r w:rsidRPr="000B52C6">
              <w:rPr>
                <w:b/>
                <w:bCs w:val="0"/>
                <w:iCs/>
              </w:rPr>
              <w:t>1.16 (1.06, 1.27)</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450AF8" w14:textId="77777777" w:rsidR="006B3342" w:rsidRPr="000B52C6" w:rsidRDefault="006B3342" w:rsidP="00513E25">
            <w:pPr>
              <w:pStyle w:val="TableText0"/>
              <w:jc w:val="center"/>
              <w:rPr>
                <w:b/>
                <w:bCs w:val="0"/>
                <w:iCs/>
              </w:rPr>
            </w:pPr>
            <w:r w:rsidRPr="000B52C6">
              <w:rPr>
                <w:b/>
                <w:bCs w:val="0"/>
                <w:iCs/>
              </w:rPr>
              <w:t>0.12 (0.05, 0.20)</w:t>
            </w:r>
          </w:p>
        </w:tc>
        <w:tc>
          <w:tcPr>
            <w:tcW w:w="393" w:type="pct"/>
            <w:tcBorders>
              <w:top w:val="single" w:sz="4" w:space="0" w:color="auto"/>
              <w:left w:val="single" w:sz="4" w:space="0" w:color="auto"/>
              <w:bottom w:val="single" w:sz="4" w:space="0" w:color="auto"/>
              <w:right w:val="single" w:sz="4" w:space="0" w:color="auto"/>
            </w:tcBorders>
            <w:vAlign w:val="center"/>
          </w:tcPr>
          <w:p w14:paraId="3FC29D77" w14:textId="77777777" w:rsidR="006B3342" w:rsidRPr="000B52C6" w:rsidRDefault="006B3342" w:rsidP="00513E25">
            <w:pPr>
              <w:pStyle w:val="TableText0"/>
              <w:jc w:val="center"/>
            </w:pPr>
            <w:r w:rsidRPr="000B52C6">
              <w:t>173 (88.7)</w:t>
            </w:r>
          </w:p>
        </w:tc>
        <w:tc>
          <w:tcPr>
            <w:tcW w:w="394" w:type="pct"/>
            <w:tcBorders>
              <w:top w:val="single" w:sz="4" w:space="0" w:color="auto"/>
              <w:left w:val="single" w:sz="4" w:space="0" w:color="auto"/>
              <w:bottom w:val="single" w:sz="4" w:space="0" w:color="auto"/>
              <w:right w:val="single" w:sz="4" w:space="0" w:color="auto"/>
            </w:tcBorders>
            <w:vAlign w:val="center"/>
          </w:tcPr>
          <w:p w14:paraId="281FC21D" w14:textId="77777777" w:rsidR="006B3342" w:rsidRPr="000B52C6" w:rsidRDefault="006B3342" w:rsidP="00513E25">
            <w:pPr>
              <w:pStyle w:val="TableText0"/>
              <w:jc w:val="center"/>
            </w:pPr>
            <w:r w:rsidRPr="000B52C6">
              <w:t>156 (76.5)</w:t>
            </w:r>
          </w:p>
        </w:tc>
        <w:tc>
          <w:tcPr>
            <w:tcW w:w="551" w:type="pct"/>
            <w:tcBorders>
              <w:top w:val="single" w:sz="4" w:space="0" w:color="auto"/>
              <w:left w:val="single" w:sz="4" w:space="0" w:color="auto"/>
              <w:bottom w:val="single" w:sz="4" w:space="0" w:color="auto"/>
              <w:right w:val="single" w:sz="4" w:space="0" w:color="auto"/>
            </w:tcBorders>
            <w:vAlign w:val="center"/>
          </w:tcPr>
          <w:p w14:paraId="65668AE1" w14:textId="77777777" w:rsidR="006B3342" w:rsidRPr="000B52C6" w:rsidRDefault="006B3342" w:rsidP="00513E25">
            <w:pPr>
              <w:pStyle w:val="TableText0"/>
              <w:jc w:val="center"/>
              <w:rPr>
                <w:b/>
                <w:bCs w:val="0"/>
                <w:iCs/>
              </w:rPr>
            </w:pPr>
            <w:r w:rsidRPr="000B52C6">
              <w:rPr>
                <w:b/>
                <w:bCs w:val="0"/>
                <w:iCs/>
              </w:rPr>
              <w:t xml:space="preserve">2.42 </w:t>
            </w:r>
          </w:p>
          <w:p w14:paraId="29EACA5B" w14:textId="77777777" w:rsidR="006B3342" w:rsidRPr="000B52C6" w:rsidRDefault="006B3342" w:rsidP="00513E25">
            <w:pPr>
              <w:pStyle w:val="TableText0"/>
              <w:jc w:val="center"/>
              <w:rPr>
                <w:b/>
                <w:bCs w:val="0"/>
                <w:iCs/>
              </w:rPr>
            </w:pPr>
            <w:r w:rsidRPr="000B52C6">
              <w:rPr>
                <w:b/>
                <w:bCs w:val="0"/>
                <w:iCs/>
              </w:rPr>
              <w:t>(1.40, 4.19)</w:t>
            </w:r>
          </w:p>
        </w:tc>
        <w:tc>
          <w:tcPr>
            <w:tcW w:w="472" w:type="pct"/>
            <w:tcBorders>
              <w:top w:val="single" w:sz="4" w:space="0" w:color="auto"/>
              <w:left w:val="single" w:sz="4" w:space="0" w:color="auto"/>
              <w:bottom w:val="single" w:sz="4" w:space="0" w:color="auto"/>
              <w:right w:val="single" w:sz="4" w:space="0" w:color="auto"/>
            </w:tcBorders>
            <w:vAlign w:val="center"/>
          </w:tcPr>
          <w:p w14:paraId="2F61DF20" w14:textId="77777777" w:rsidR="006B3342" w:rsidRPr="000B52C6" w:rsidRDefault="006B3342" w:rsidP="00513E25">
            <w:pPr>
              <w:pStyle w:val="TableText0"/>
              <w:jc w:val="center"/>
              <w:rPr>
                <w:b/>
                <w:bCs w:val="0"/>
                <w:iCs/>
              </w:rPr>
            </w:pPr>
            <w:r w:rsidRPr="000B52C6">
              <w:rPr>
                <w:b/>
                <w:bCs w:val="0"/>
                <w:iCs/>
              </w:rPr>
              <w:t xml:space="preserve">1.16 </w:t>
            </w:r>
          </w:p>
          <w:p w14:paraId="58B98ED6" w14:textId="77777777" w:rsidR="006B3342" w:rsidRPr="000B52C6" w:rsidRDefault="006B3342" w:rsidP="00513E25">
            <w:pPr>
              <w:pStyle w:val="TableText0"/>
              <w:jc w:val="center"/>
              <w:rPr>
                <w:b/>
                <w:bCs w:val="0"/>
                <w:iCs/>
              </w:rPr>
            </w:pPr>
            <w:r w:rsidRPr="000B52C6">
              <w:rPr>
                <w:b/>
                <w:bCs w:val="0"/>
                <w:iCs/>
              </w:rPr>
              <w:t>(1.06, 1.27)</w:t>
            </w:r>
          </w:p>
        </w:tc>
        <w:tc>
          <w:tcPr>
            <w:tcW w:w="520" w:type="pct"/>
            <w:tcBorders>
              <w:top w:val="single" w:sz="4" w:space="0" w:color="auto"/>
              <w:left w:val="single" w:sz="4" w:space="0" w:color="auto"/>
              <w:bottom w:val="single" w:sz="4" w:space="0" w:color="auto"/>
              <w:right w:val="single" w:sz="4" w:space="0" w:color="auto"/>
            </w:tcBorders>
            <w:vAlign w:val="center"/>
          </w:tcPr>
          <w:p w14:paraId="61A99B21" w14:textId="77777777" w:rsidR="006B3342" w:rsidRPr="000B52C6" w:rsidRDefault="006B3342" w:rsidP="00513E25">
            <w:pPr>
              <w:pStyle w:val="TableText0"/>
              <w:jc w:val="center"/>
              <w:rPr>
                <w:b/>
                <w:bCs w:val="0"/>
                <w:iCs/>
              </w:rPr>
            </w:pPr>
            <w:r w:rsidRPr="000B52C6">
              <w:rPr>
                <w:b/>
                <w:bCs w:val="0"/>
                <w:iCs/>
              </w:rPr>
              <w:t xml:space="preserve">0.12 </w:t>
            </w:r>
          </w:p>
          <w:p w14:paraId="42B136B3" w14:textId="77777777" w:rsidR="006B3342" w:rsidRPr="000B52C6" w:rsidRDefault="006B3342" w:rsidP="00513E25">
            <w:pPr>
              <w:pStyle w:val="TableText0"/>
              <w:jc w:val="center"/>
              <w:rPr>
                <w:b/>
                <w:bCs w:val="0"/>
                <w:iCs/>
              </w:rPr>
            </w:pPr>
            <w:r w:rsidRPr="000B52C6">
              <w:rPr>
                <w:b/>
                <w:bCs w:val="0"/>
                <w:iCs/>
              </w:rPr>
              <w:t>(0.05, 0.20)</w:t>
            </w:r>
          </w:p>
        </w:tc>
      </w:tr>
      <w:tr w:rsidR="006B3342" w:rsidRPr="000B52C6" w14:paraId="32714CAE" w14:textId="77777777" w:rsidTr="00513E25">
        <w:tc>
          <w:tcPr>
            <w:tcW w:w="78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A2F00A7" w14:textId="77777777" w:rsidR="006B3342" w:rsidRPr="000B52C6" w:rsidRDefault="006B3342" w:rsidP="00513E25">
            <w:pPr>
              <w:pStyle w:val="TableText0"/>
            </w:pPr>
            <w:r w:rsidRPr="000B52C6">
              <w:t>TEAE Leading to Dose Reduction in Study Treatment</w:t>
            </w:r>
          </w:p>
        </w:tc>
        <w:tc>
          <w:tcPr>
            <w:tcW w:w="3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38ED2B" w14:textId="77777777" w:rsidR="006B3342" w:rsidRPr="000B52C6" w:rsidRDefault="006B3342" w:rsidP="00513E25">
            <w:pPr>
              <w:pStyle w:val="TableText0"/>
              <w:jc w:val="center"/>
            </w:pPr>
            <w:r w:rsidRPr="000B52C6">
              <w:t>141 (72.3)</w:t>
            </w:r>
          </w:p>
        </w:tc>
        <w:tc>
          <w:tcPr>
            <w:tcW w:w="31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EF770B" w14:textId="77777777" w:rsidR="006B3342" w:rsidRPr="000B52C6" w:rsidRDefault="006B3342" w:rsidP="00513E25">
            <w:pPr>
              <w:pStyle w:val="TableText0"/>
              <w:jc w:val="center"/>
            </w:pPr>
            <w:r w:rsidRPr="000B52C6">
              <w:t>104 (51.0)</w:t>
            </w:r>
          </w:p>
        </w:tc>
        <w:tc>
          <w:tcPr>
            <w:tcW w:w="390" w:type="pct"/>
            <w:tcBorders>
              <w:top w:val="single" w:sz="4" w:space="0" w:color="auto"/>
              <w:left w:val="single" w:sz="4" w:space="0" w:color="auto"/>
              <w:bottom w:val="single" w:sz="4" w:space="0" w:color="auto"/>
              <w:right w:val="single" w:sz="4" w:space="0" w:color="auto"/>
            </w:tcBorders>
            <w:vAlign w:val="center"/>
          </w:tcPr>
          <w:p w14:paraId="6FB6B477" w14:textId="77777777" w:rsidR="006B3342" w:rsidRPr="000B52C6" w:rsidRDefault="006B3342" w:rsidP="00513E25">
            <w:pPr>
              <w:pStyle w:val="TableText0"/>
              <w:jc w:val="center"/>
              <w:rPr>
                <w:b/>
                <w:bCs w:val="0"/>
                <w:iCs/>
              </w:rPr>
            </w:pPr>
            <w:r w:rsidRPr="000B52C6">
              <w:rPr>
                <w:b/>
                <w:bCs w:val="0"/>
                <w:iCs/>
              </w:rPr>
              <w:t>2.51 (1.65, 3.81)</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362068" w14:textId="77777777" w:rsidR="006B3342" w:rsidRPr="000B52C6" w:rsidRDefault="006B3342" w:rsidP="00513E25">
            <w:pPr>
              <w:pStyle w:val="TableText0"/>
              <w:jc w:val="center"/>
              <w:rPr>
                <w:b/>
                <w:bCs w:val="0"/>
                <w:iCs/>
              </w:rPr>
            </w:pPr>
            <w:r w:rsidRPr="000B52C6">
              <w:rPr>
                <w:b/>
                <w:bCs w:val="0"/>
                <w:iCs/>
              </w:rPr>
              <w:t>1.42 (1.21, 1.66)</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861443" w14:textId="77777777" w:rsidR="006B3342" w:rsidRPr="000B52C6" w:rsidRDefault="006B3342" w:rsidP="00513E25">
            <w:pPr>
              <w:pStyle w:val="TableText0"/>
              <w:jc w:val="center"/>
              <w:rPr>
                <w:b/>
                <w:bCs w:val="0"/>
                <w:iCs/>
              </w:rPr>
            </w:pPr>
            <w:r w:rsidRPr="000B52C6">
              <w:rPr>
                <w:b/>
                <w:bCs w:val="0"/>
                <w:iCs/>
              </w:rPr>
              <w:t>0.21 (0.12, 0.31)</w:t>
            </w:r>
          </w:p>
        </w:tc>
        <w:tc>
          <w:tcPr>
            <w:tcW w:w="393" w:type="pct"/>
            <w:tcBorders>
              <w:top w:val="single" w:sz="4" w:space="0" w:color="auto"/>
              <w:left w:val="single" w:sz="4" w:space="0" w:color="auto"/>
              <w:bottom w:val="single" w:sz="4" w:space="0" w:color="auto"/>
              <w:right w:val="single" w:sz="4" w:space="0" w:color="auto"/>
            </w:tcBorders>
            <w:vAlign w:val="center"/>
          </w:tcPr>
          <w:p w14:paraId="34C4506B" w14:textId="77777777" w:rsidR="006B3342" w:rsidRPr="000B52C6" w:rsidRDefault="006B3342" w:rsidP="00513E25">
            <w:pPr>
              <w:pStyle w:val="TableText0"/>
              <w:jc w:val="center"/>
            </w:pPr>
            <w:r w:rsidRPr="000B52C6">
              <w:t>141 (72.3)</w:t>
            </w:r>
          </w:p>
        </w:tc>
        <w:tc>
          <w:tcPr>
            <w:tcW w:w="394" w:type="pct"/>
            <w:tcBorders>
              <w:top w:val="single" w:sz="4" w:space="0" w:color="auto"/>
              <w:left w:val="single" w:sz="4" w:space="0" w:color="auto"/>
              <w:bottom w:val="single" w:sz="4" w:space="0" w:color="auto"/>
              <w:right w:val="single" w:sz="4" w:space="0" w:color="auto"/>
            </w:tcBorders>
            <w:vAlign w:val="center"/>
          </w:tcPr>
          <w:p w14:paraId="6A4DD8EF" w14:textId="77777777" w:rsidR="006B3342" w:rsidRPr="000B52C6" w:rsidRDefault="006B3342" w:rsidP="00513E25">
            <w:pPr>
              <w:pStyle w:val="TableText0"/>
              <w:jc w:val="center"/>
            </w:pPr>
            <w:r w:rsidRPr="000B52C6">
              <w:t>106 (52.0)</w:t>
            </w:r>
          </w:p>
        </w:tc>
        <w:tc>
          <w:tcPr>
            <w:tcW w:w="551" w:type="pct"/>
            <w:tcBorders>
              <w:top w:val="single" w:sz="4" w:space="0" w:color="auto"/>
              <w:left w:val="single" w:sz="4" w:space="0" w:color="auto"/>
              <w:bottom w:val="single" w:sz="4" w:space="0" w:color="auto"/>
              <w:right w:val="single" w:sz="4" w:space="0" w:color="auto"/>
            </w:tcBorders>
            <w:vAlign w:val="center"/>
          </w:tcPr>
          <w:p w14:paraId="47882E47" w14:textId="77777777" w:rsidR="006B3342" w:rsidRPr="000B52C6" w:rsidRDefault="006B3342" w:rsidP="00513E25">
            <w:pPr>
              <w:pStyle w:val="TableText0"/>
              <w:jc w:val="center"/>
              <w:rPr>
                <w:b/>
                <w:bCs w:val="0"/>
                <w:iCs/>
              </w:rPr>
            </w:pPr>
            <w:r w:rsidRPr="000B52C6">
              <w:rPr>
                <w:b/>
                <w:bCs w:val="0"/>
                <w:iCs/>
              </w:rPr>
              <w:t xml:space="preserve">2.41 </w:t>
            </w:r>
          </w:p>
          <w:p w14:paraId="4E643162" w14:textId="77777777" w:rsidR="006B3342" w:rsidRPr="000B52C6" w:rsidRDefault="006B3342" w:rsidP="00513E25">
            <w:pPr>
              <w:pStyle w:val="TableText0"/>
              <w:jc w:val="center"/>
              <w:rPr>
                <w:b/>
                <w:bCs w:val="0"/>
                <w:iCs/>
              </w:rPr>
            </w:pPr>
            <w:r w:rsidRPr="000B52C6">
              <w:rPr>
                <w:b/>
                <w:bCs w:val="0"/>
                <w:iCs/>
              </w:rPr>
              <w:t>(1.59, 3.66)</w:t>
            </w:r>
          </w:p>
        </w:tc>
        <w:tc>
          <w:tcPr>
            <w:tcW w:w="472" w:type="pct"/>
            <w:tcBorders>
              <w:top w:val="single" w:sz="4" w:space="0" w:color="auto"/>
              <w:left w:val="single" w:sz="4" w:space="0" w:color="auto"/>
              <w:bottom w:val="single" w:sz="4" w:space="0" w:color="auto"/>
              <w:right w:val="single" w:sz="4" w:space="0" w:color="auto"/>
            </w:tcBorders>
            <w:vAlign w:val="center"/>
          </w:tcPr>
          <w:p w14:paraId="74C76366" w14:textId="77777777" w:rsidR="006B3342" w:rsidRPr="000B52C6" w:rsidRDefault="006B3342" w:rsidP="00513E25">
            <w:pPr>
              <w:pStyle w:val="TableText0"/>
              <w:jc w:val="center"/>
              <w:rPr>
                <w:b/>
                <w:bCs w:val="0"/>
                <w:iCs/>
              </w:rPr>
            </w:pPr>
            <w:r w:rsidRPr="000B52C6">
              <w:rPr>
                <w:b/>
                <w:bCs w:val="0"/>
                <w:iCs/>
              </w:rPr>
              <w:t xml:space="preserve">1.39 </w:t>
            </w:r>
          </w:p>
          <w:p w14:paraId="203D485A" w14:textId="77777777" w:rsidR="006B3342" w:rsidRPr="000B52C6" w:rsidRDefault="006B3342" w:rsidP="00513E25">
            <w:pPr>
              <w:pStyle w:val="TableText0"/>
              <w:jc w:val="center"/>
              <w:rPr>
                <w:b/>
                <w:bCs w:val="0"/>
                <w:iCs/>
              </w:rPr>
            </w:pPr>
            <w:r w:rsidRPr="000B52C6">
              <w:rPr>
                <w:b/>
                <w:bCs w:val="0"/>
                <w:iCs/>
              </w:rPr>
              <w:t>(1.19, 1.63)</w:t>
            </w:r>
          </w:p>
        </w:tc>
        <w:tc>
          <w:tcPr>
            <w:tcW w:w="520" w:type="pct"/>
            <w:tcBorders>
              <w:top w:val="single" w:sz="4" w:space="0" w:color="auto"/>
              <w:left w:val="single" w:sz="4" w:space="0" w:color="auto"/>
              <w:bottom w:val="single" w:sz="4" w:space="0" w:color="auto"/>
              <w:right w:val="single" w:sz="4" w:space="0" w:color="auto"/>
            </w:tcBorders>
            <w:vAlign w:val="center"/>
          </w:tcPr>
          <w:p w14:paraId="6A0D67C1" w14:textId="77777777" w:rsidR="006B3342" w:rsidRPr="000B52C6" w:rsidRDefault="006B3342" w:rsidP="00513E25">
            <w:pPr>
              <w:pStyle w:val="TableText0"/>
              <w:jc w:val="center"/>
              <w:rPr>
                <w:b/>
                <w:bCs w:val="0"/>
                <w:iCs/>
              </w:rPr>
            </w:pPr>
            <w:r w:rsidRPr="000B52C6">
              <w:rPr>
                <w:b/>
                <w:bCs w:val="0"/>
                <w:iCs/>
              </w:rPr>
              <w:t xml:space="preserve">0.20 </w:t>
            </w:r>
          </w:p>
          <w:p w14:paraId="1F5246C2" w14:textId="77777777" w:rsidR="006B3342" w:rsidRPr="000B52C6" w:rsidRDefault="006B3342" w:rsidP="00513E25">
            <w:pPr>
              <w:pStyle w:val="TableText0"/>
              <w:jc w:val="center"/>
              <w:rPr>
                <w:b/>
                <w:bCs w:val="0"/>
                <w:iCs/>
              </w:rPr>
            </w:pPr>
            <w:r w:rsidRPr="000B52C6">
              <w:rPr>
                <w:b/>
                <w:bCs w:val="0"/>
                <w:iCs/>
              </w:rPr>
              <w:t>(0.11, 0.30)</w:t>
            </w:r>
          </w:p>
        </w:tc>
      </w:tr>
      <w:tr w:rsidR="006B3342" w:rsidRPr="000B52C6" w14:paraId="561BC8F8" w14:textId="77777777" w:rsidTr="00513E25">
        <w:tc>
          <w:tcPr>
            <w:tcW w:w="78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977EA3" w14:textId="77777777" w:rsidR="006B3342" w:rsidRPr="000B52C6" w:rsidRDefault="006B3342" w:rsidP="00513E25">
            <w:pPr>
              <w:pStyle w:val="TableText0"/>
            </w:pPr>
            <w:r w:rsidRPr="000B52C6">
              <w:t>TEAE Leading to Dose Interruption in Study Treatment</w:t>
            </w:r>
          </w:p>
        </w:tc>
        <w:tc>
          <w:tcPr>
            <w:tcW w:w="3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E1FB5F" w14:textId="77777777" w:rsidR="006B3342" w:rsidRPr="000B52C6" w:rsidRDefault="006B3342" w:rsidP="00513E25">
            <w:pPr>
              <w:pStyle w:val="TableText0"/>
              <w:jc w:val="center"/>
            </w:pPr>
            <w:r w:rsidRPr="000B52C6">
              <w:t>167 (85.6)</w:t>
            </w:r>
          </w:p>
        </w:tc>
        <w:tc>
          <w:tcPr>
            <w:tcW w:w="31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5754247" w14:textId="77777777" w:rsidR="006B3342" w:rsidRPr="000B52C6" w:rsidRDefault="006B3342" w:rsidP="00513E25">
            <w:pPr>
              <w:pStyle w:val="TableText0"/>
              <w:jc w:val="center"/>
            </w:pPr>
            <w:r w:rsidRPr="000B52C6">
              <w:t>139 (68.1)</w:t>
            </w:r>
          </w:p>
        </w:tc>
        <w:tc>
          <w:tcPr>
            <w:tcW w:w="390" w:type="pct"/>
            <w:tcBorders>
              <w:top w:val="single" w:sz="4" w:space="0" w:color="auto"/>
              <w:left w:val="single" w:sz="4" w:space="0" w:color="auto"/>
              <w:bottom w:val="single" w:sz="4" w:space="0" w:color="auto"/>
              <w:right w:val="single" w:sz="4" w:space="0" w:color="auto"/>
            </w:tcBorders>
            <w:vAlign w:val="center"/>
          </w:tcPr>
          <w:p w14:paraId="3E7C84AC" w14:textId="77777777" w:rsidR="006B3342" w:rsidRPr="000B52C6" w:rsidRDefault="006B3342" w:rsidP="00513E25">
            <w:pPr>
              <w:pStyle w:val="TableText0"/>
              <w:jc w:val="center"/>
              <w:rPr>
                <w:b/>
                <w:bCs w:val="0"/>
                <w:iCs/>
              </w:rPr>
            </w:pPr>
            <w:r w:rsidRPr="000B52C6">
              <w:rPr>
                <w:b/>
                <w:bCs w:val="0"/>
                <w:iCs/>
              </w:rPr>
              <w:t>2.79 (1.70, 4.58)</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FA7D05" w14:textId="77777777" w:rsidR="006B3342" w:rsidRPr="000B52C6" w:rsidRDefault="006B3342" w:rsidP="00513E25">
            <w:pPr>
              <w:pStyle w:val="TableText0"/>
              <w:jc w:val="center"/>
              <w:rPr>
                <w:b/>
                <w:bCs w:val="0"/>
                <w:iCs/>
              </w:rPr>
            </w:pPr>
            <w:r w:rsidRPr="000B52C6">
              <w:rPr>
                <w:b/>
                <w:bCs w:val="0"/>
                <w:iCs/>
              </w:rPr>
              <w:t>1.26 (1.13, 1.40)</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9B0E0C" w14:textId="77777777" w:rsidR="006B3342" w:rsidRPr="000B52C6" w:rsidRDefault="006B3342" w:rsidP="00513E25">
            <w:pPr>
              <w:pStyle w:val="TableText0"/>
              <w:jc w:val="center"/>
              <w:rPr>
                <w:b/>
                <w:bCs w:val="0"/>
                <w:iCs/>
              </w:rPr>
            </w:pPr>
            <w:r w:rsidRPr="000B52C6">
              <w:rPr>
                <w:b/>
                <w:bCs w:val="0"/>
                <w:iCs/>
              </w:rPr>
              <w:t>0.18 (0.09, 0.26)</w:t>
            </w:r>
          </w:p>
        </w:tc>
        <w:tc>
          <w:tcPr>
            <w:tcW w:w="393" w:type="pct"/>
            <w:tcBorders>
              <w:top w:val="single" w:sz="4" w:space="0" w:color="auto"/>
              <w:left w:val="single" w:sz="4" w:space="0" w:color="auto"/>
              <w:bottom w:val="single" w:sz="4" w:space="0" w:color="auto"/>
              <w:right w:val="single" w:sz="4" w:space="0" w:color="auto"/>
            </w:tcBorders>
            <w:vAlign w:val="center"/>
          </w:tcPr>
          <w:p w14:paraId="3C76A50C" w14:textId="77777777" w:rsidR="006B3342" w:rsidRPr="000B52C6" w:rsidRDefault="006B3342" w:rsidP="00513E25">
            <w:pPr>
              <w:pStyle w:val="TableText0"/>
              <w:jc w:val="center"/>
            </w:pPr>
            <w:r w:rsidRPr="000B52C6">
              <w:t>167 (85.6)</w:t>
            </w:r>
          </w:p>
        </w:tc>
        <w:tc>
          <w:tcPr>
            <w:tcW w:w="394" w:type="pct"/>
            <w:tcBorders>
              <w:top w:val="single" w:sz="4" w:space="0" w:color="auto"/>
              <w:left w:val="single" w:sz="4" w:space="0" w:color="auto"/>
              <w:bottom w:val="single" w:sz="4" w:space="0" w:color="auto"/>
              <w:right w:val="single" w:sz="4" w:space="0" w:color="auto"/>
            </w:tcBorders>
            <w:vAlign w:val="center"/>
          </w:tcPr>
          <w:p w14:paraId="2EA68A2A" w14:textId="77777777" w:rsidR="006B3342" w:rsidRPr="000B52C6" w:rsidRDefault="006B3342" w:rsidP="00513E25">
            <w:pPr>
              <w:pStyle w:val="TableText0"/>
              <w:jc w:val="center"/>
            </w:pPr>
            <w:r w:rsidRPr="000B52C6">
              <w:t>139 (68.1)</w:t>
            </w:r>
          </w:p>
        </w:tc>
        <w:tc>
          <w:tcPr>
            <w:tcW w:w="551" w:type="pct"/>
            <w:tcBorders>
              <w:top w:val="single" w:sz="4" w:space="0" w:color="auto"/>
              <w:left w:val="single" w:sz="4" w:space="0" w:color="auto"/>
              <w:bottom w:val="single" w:sz="4" w:space="0" w:color="auto"/>
              <w:right w:val="single" w:sz="4" w:space="0" w:color="auto"/>
            </w:tcBorders>
            <w:vAlign w:val="center"/>
          </w:tcPr>
          <w:p w14:paraId="460F27B4" w14:textId="77777777" w:rsidR="006B3342" w:rsidRPr="000B52C6" w:rsidRDefault="006B3342" w:rsidP="00513E25">
            <w:pPr>
              <w:pStyle w:val="TableText0"/>
              <w:jc w:val="center"/>
              <w:rPr>
                <w:b/>
                <w:bCs w:val="0"/>
                <w:iCs/>
              </w:rPr>
            </w:pPr>
            <w:r w:rsidRPr="000B52C6">
              <w:rPr>
                <w:b/>
                <w:bCs w:val="0"/>
                <w:iCs/>
              </w:rPr>
              <w:t xml:space="preserve">2.79 </w:t>
            </w:r>
          </w:p>
          <w:p w14:paraId="4E72F1F1" w14:textId="77777777" w:rsidR="006B3342" w:rsidRPr="000B52C6" w:rsidRDefault="006B3342" w:rsidP="00513E25">
            <w:pPr>
              <w:pStyle w:val="TableText0"/>
              <w:jc w:val="center"/>
              <w:rPr>
                <w:b/>
                <w:bCs w:val="0"/>
                <w:iCs/>
              </w:rPr>
            </w:pPr>
            <w:r w:rsidRPr="000B52C6">
              <w:rPr>
                <w:b/>
                <w:bCs w:val="0"/>
                <w:iCs/>
              </w:rPr>
              <w:t>(1.70, 4.58)</w:t>
            </w:r>
          </w:p>
        </w:tc>
        <w:tc>
          <w:tcPr>
            <w:tcW w:w="472" w:type="pct"/>
            <w:tcBorders>
              <w:top w:val="single" w:sz="4" w:space="0" w:color="auto"/>
              <w:left w:val="single" w:sz="4" w:space="0" w:color="auto"/>
              <w:bottom w:val="single" w:sz="4" w:space="0" w:color="auto"/>
              <w:right w:val="single" w:sz="4" w:space="0" w:color="auto"/>
            </w:tcBorders>
            <w:vAlign w:val="center"/>
          </w:tcPr>
          <w:p w14:paraId="2AB88451" w14:textId="77777777" w:rsidR="006B3342" w:rsidRPr="000B52C6" w:rsidRDefault="006B3342" w:rsidP="00513E25">
            <w:pPr>
              <w:pStyle w:val="TableText0"/>
              <w:jc w:val="center"/>
              <w:rPr>
                <w:b/>
                <w:bCs w:val="0"/>
                <w:iCs/>
              </w:rPr>
            </w:pPr>
            <w:r w:rsidRPr="000B52C6">
              <w:rPr>
                <w:b/>
                <w:bCs w:val="0"/>
                <w:iCs/>
              </w:rPr>
              <w:t xml:space="preserve">1.26 </w:t>
            </w:r>
          </w:p>
          <w:p w14:paraId="03B8E222" w14:textId="77777777" w:rsidR="006B3342" w:rsidRPr="000B52C6" w:rsidRDefault="006B3342" w:rsidP="00513E25">
            <w:pPr>
              <w:pStyle w:val="TableText0"/>
              <w:jc w:val="center"/>
              <w:rPr>
                <w:b/>
                <w:bCs w:val="0"/>
                <w:iCs/>
              </w:rPr>
            </w:pPr>
            <w:r w:rsidRPr="000B52C6">
              <w:rPr>
                <w:b/>
                <w:bCs w:val="0"/>
                <w:iCs/>
              </w:rPr>
              <w:t>(1.13, 1.40)</w:t>
            </w:r>
          </w:p>
        </w:tc>
        <w:tc>
          <w:tcPr>
            <w:tcW w:w="520" w:type="pct"/>
            <w:tcBorders>
              <w:top w:val="single" w:sz="4" w:space="0" w:color="auto"/>
              <w:left w:val="single" w:sz="4" w:space="0" w:color="auto"/>
              <w:bottom w:val="single" w:sz="4" w:space="0" w:color="auto"/>
              <w:right w:val="single" w:sz="4" w:space="0" w:color="auto"/>
            </w:tcBorders>
            <w:vAlign w:val="center"/>
          </w:tcPr>
          <w:p w14:paraId="66C7E97F" w14:textId="77777777" w:rsidR="006B3342" w:rsidRPr="000B52C6" w:rsidRDefault="006B3342" w:rsidP="00513E25">
            <w:pPr>
              <w:pStyle w:val="TableText0"/>
              <w:jc w:val="center"/>
              <w:rPr>
                <w:b/>
                <w:bCs w:val="0"/>
                <w:iCs/>
              </w:rPr>
            </w:pPr>
            <w:r w:rsidRPr="000B52C6">
              <w:rPr>
                <w:b/>
                <w:bCs w:val="0"/>
                <w:iCs/>
              </w:rPr>
              <w:t xml:space="preserve">0.18 </w:t>
            </w:r>
          </w:p>
          <w:p w14:paraId="1E55A15A" w14:textId="77777777" w:rsidR="006B3342" w:rsidRPr="000B52C6" w:rsidRDefault="006B3342" w:rsidP="00513E25">
            <w:pPr>
              <w:pStyle w:val="TableText0"/>
              <w:jc w:val="center"/>
              <w:rPr>
                <w:b/>
                <w:bCs w:val="0"/>
                <w:iCs/>
              </w:rPr>
            </w:pPr>
            <w:r w:rsidRPr="000B52C6">
              <w:rPr>
                <w:b/>
                <w:bCs w:val="0"/>
                <w:iCs/>
              </w:rPr>
              <w:t>(0.09, 0.26)</w:t>
            </w:r>
          </w:p>
        </w:tc>
      </w:tr>
      <w:tr w:rsidR="006B3342" w:rsidRPr="000B52C6" w14:paraId="289ECC18" w14:textId="77777777" w:rsidTr="00513E25">
        <w:tc>
          <w:tcPr>
            <w:tcW w:w="78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2F9B2AE" w14:textId="77777777" w:rsidR="006B3342" w:rsidRPr="000B52C6" w:rsidRDefault="006B3342" w:rsidP="00513E25">
            <w:pPr>
              <w:pStyle w:val="TableText0"/>
            </w:pPr>
            <w:r w:rsidRPr="000B52C6">
              <w:t>TEAE Leading to Study Treatment Discontinuation</w:t>
            </w:r>
          </w:p>
        </w:tc>
        <w:tc>
          <w:tcPr>
            <w:tcW w:w="3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4875DB" w14:textId="77777777" w:rsidR="006B3342" w:rsidRPr="000B52C6" w:rsidRDefault="006B3342" w:rsidP="00513E25">
            <w:pPr>
              <w:pStyle w:val="TableText0"/>
              <w:jc w:val="center"/>
            </w:pPr>
            <w:r w:rsidRPr="000B52C6">
              <w:t>41 (21.0)</w:t>
            </w:r>
          </w:p>
        </w:tc>
        <w:tc>
          <w:tcPr>
            <w:tcW w:w="31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DE38B0" w14:textId="77777777" w:rsidR="006B3342" w:rsidRPr="000B52C6" w:rsidRDefault="006B3342" w:rsidP="00513E25">
            <w:pPr>
              <w:pStyle w:val="TableText0"/>
              <w:jc w:val="center"/>
            </w:pPr>
            <w:r w:rsidRPr="000B52C6">
              <w:t>32 (15.7)</w:t>
            </w:r>
          </w:p>
        </w:tc>
        <w:tc>
          <w:tcPr>
            <w:tcW w:w="390" w:type="pct"/>
            <w:tcBorders>
              <w:top w:val="single" w:sz="4" w:space="0" w:color="auto"/>
              <w:left w:val="single" w:sz="4" w:space="0" w:color="auto"/>
              <w:bottom w:val="single" w:sz="4" w:space="0" w:color="auto"/>
              <w:right w:val="single" w:sz="4" w:space="0" w:color="auto"/>
            </w:tcBorders>
            <w:vAlign w:val="center"/>
          </w:tcPr>
          <w:p w14:paraId="06319886" w14:textId="77777777" w:rsidR="006B3342" w:rsidRPr="000B52C6" w:rsidRDefault="006B3342" w:rsidP="00513E25">
            <w:pPr>
              <w:pStyle w:val="TableText0"/>
              <w:jc w:val="center"/>
            </w:pPr>
            <w:r w:rsidRPr="000B52C6">
              <w:t>1.43</w:t>
            </w:r>
          </w:p>
          <w:p w14:paraId="37B50554" w14:textId="77777777" w:rsidR="006B3342" w:rsidRPr="000B52C6" w:rsidRDefault="006B3342" w:rsidP="00513E25">
            <w:pPr>
              <w:pStyle w:val="TableText0"/>
              <w:jc w:val="center"/>
            </w:pPr>
            <w:r w:rsidRPr="000B52C6">
              <w:t>(0.86, 2.39)</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9A2748" w14:textId="77777777" w:rsidR="006B3342" w:rsidRPr="000B52C6" w:rsidRDefault="006B3342" w:rsidP="00513E25">
            <w:pPr>
              <w:pStyle w:val="TableText0"/>
              <w:jc w:val="center"/>
              <w:rPr>
                <w:iCs/>
              </w:rPr>
            </w:pPr>
            <w:r w:rsidRPr="000B52C6">
              <w:rPr>
                <w:iCs/>
              </w:rPr>
              <w:t>1.34 (0.88, 2.04)</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E1BEBC" w14:textId="77777777" w:rsidR="006B3342" w:rsidRPr="000B52C6" w:rsidRDefault="006B3342" w:rsidP="00513E25">
            <w:pPr>
              <w:pStyle w:val="TableText0"/>
              <w:jc w:val="center"/>
            </w:pPr>
            <w:r w:rsidRPr="000B52C6">
              <w:t>0.05</w:t>
            </w:r>
          </w:p>
          <w:p w14:paraId="395F1A5F" w14:textId="77777777" w:rsidR="006B3342" w:rsidRPr="000B52C6" w:rsidRDefault="006B3342" w:rsidP="00513E25">
            <w:pPr>
              <w:pStyle w:val="TableText0"/>
              <w:jc w:val="center"/>
            </w:pPr>
            <w:r w:rsidRPr="000B52C6">
              <w:t>(-0.02, 0.13)</w:t>
            </w:r>
          </w:p>
        </w:tc>
        <w:tc>
          <w:tcPr>
            <w:tcW w:w="393" w:type="pct"/>
            <w:tcBorders>
              <w:top w:val="single" w:sz="4" w:space="0" w:color="auto"/>
              <w:left w:val="single" w:sz="4" w:space="0" w:color="auto"/>
              <w:bottom w:val="single" w:sz="4" w:space="0" w:color="auto"/>
              <w:right w:val="single" w:sz="4" w:space="0" w:color="auto"/>
            </w:tcBorders>
            <w:vAlign w:val="center"/>
          </w:tcPr>
          <w:p w14:paraId="108393D1" w14:textId="77777777" w:rsidR="006B3342" w:rsidRPr="000B52C6" w:rsidRDefault="006B3342" w:rsidP="00513E25">
            <w:pPr>
              <w:pStyle w:val="TableText0"/>
              <w:jc w:val="center"/>
            </w:pPr>
            <w:r w:rsidRPr="000B52C6">
              <w:t>41 (21.0)</w:t>
            </w:r>
          </w:p>
        </w:tc>
        <w:tc>
          <w:tcPr>
            <w:tcW w:w="394" w:type="pct"/>
            <w:tcBorders>
              <w:top w:val="single" w:sz="4" w:space="0" w:color="auto"/>
              <w:left w:val="single" w:sz="4" w:space="0" w:color="auto"/>
              <w:bottom w:val="single" w:sz="4" w:space="0" w:color="auto"/>
              <w:right w:val="single" w:sz="4" w:space="0" w:color="auto"/>
            </w:tcBorders>
            <w:vAlign w:val="center"/>
          </w:tcPr>
          <w:p w14:paraId="22CA8295" w14:textId="77777777" w:rsidR="006B3342" w:rsidRPr="000B52C6" w:rsidRDefault="006B3342" w:rsidP="00513E25">
            <w:pPr>
              <w:pStyle w:val="TableText0"/>
              <w:jc w:val="center"/>
            </w:pPr>
            <w:r w:rsidRPr="000B52C6">
              <w:t>34 (16.7)</w:t>
            </w:r>
          </w:p>
        </w:tc>
        <w:tc>
          <w:tcPr>
            <w:tcW w:w="551" w:type="pct"/>
            <w:tcBorders>
              <w:top w:val="single" w:sz="4" w:space="0" w:color="auto"/>
              <w:left w:val="single" w:sz="4" w:space="0" w:color="auto"/>
              <w:bottom w:val="single" w:sz="4" w:space="0" w:color="auto"/>
              <w:right w:val="single" w:sz="4" w:space="0" w:color="auto"/>
            </w:tcBorders>
            <w:vAlign w:val="center"/>
          </w:tcPr>
          <w:p w14:paraId="4E0056CF" w14:textId="77777777" w:rsidR="006B3342" w:rsidRPr="000B52C6" w:rsidRDefault="006B3342" w:rsidP="00513E25">
            <w:pPr>
              <w:pStyle w:val="TableText0"/>
              <w:jc w:val="center"/>
              <w:rPr>
                <w:iCs/>
              </w:rPr>
            </w:pPr>
            <w:r w:rsidRPr="000B52C6">
              <w:rPr>
                <w:iCs/>
              </w:rPr>
              <w:t xml:space="preserve">1.33 </w:t>
            </w:r>
          </w:p>
          <w:p w14:paraId="7E0F2461" w14:textId="77777777" w:rsidR="006B3342" w:rsidRPr="000B52C6" w:rsidRDefault="006B3342" w:rsidP="00513E25">
            <w:pPr>
              <w:pStyle w:val="TableText0"/>
              <w:jc w:val="center"/>
              <w:rPr>
                <w:iCs/>
              </w:rPr>
            </w:pPr>
            <w:r w:rsidRPr="000B52C6">
              <w:rPr>
                <w:iCs/>
              </w:rPr>
              <w:t>(0.80, 2.20)</w:t>
            </w:r>
          </w:p>
        </w:tc>
        <w:tc>
          <w:tcPr>
            <w:tcW w:w="472" w:type="pct"/>
            <w:tcBorders>
              <w:top w:val="single" w:sz="4" w:space="0" w:color="auto"/>
              <w:left w:val="single" w:sz="4" w:space="0" w:color="auto"/>
              <w:bottom w:val="single" w:sz="4" w:space="0" w:color="auto"/>
              <w:right w:val="single" w:sz="4" w:space="0" w:color="auto"/>
            </w:tcBorders>
            <w:vAlign w:val="center"/>
          </w:tcPr>
          <w:p w14:paraId="25F38DA2" w14:textId="77777777" w:rsidR="006B3342" w:rsidRPr="000B52C6" w:rsidRDefault="006B3342" w:rsidP="00513E25">
            <w:pPr>
              <w:pStyle w:val="TableText0"/>
              <w:jc w:val="center"/>
              <w:rPr>
                <w:iCs/>
              </w:rPr>
            </w:pPr>
            <w:r w:rsidRPr="000B52C6">
              <w:rPr>
                <w:iCs/>
              </w:rPr>
              <w:t xml:space="preserve">1.26 </w:t>
            </w:r>
          </w:p>
          <w:p w14:paraId="0B8D4504" w14:textId="77777777" w:rsidR="006B3342" w:rsidRPr="000B52C6" w:rsidRDefault="006B3342" w:rsidP="00513E25">
            <w:pPr>
              <w:pStyle w:val="TableText0"/>
              <w:jc w:val="center"/>
              <w:rPr>
                <w:iCs/>
              </w:rPr>
            </w:pPr>
            <w:r w:rsidRPr="000B52C6">
              <w:rPr>
                <w:iCs/>
              </w:rPr>
              <w:t>(0.84, 1.90)</w:t>
            </w:r>
          </w:p>
        </w:tc>
        <w:tc>
          <w:tcPr>
            <w:tcW w:w="520" w:type="pct"/>
            <w:tcBorders>
              <w:top w:val="single" w:sz="4" w:space="0" w:color="auto"/>
              <w:left w:val="single" w:sz="4" w:space="0" w:color="auto"/>
              <w:bottom w:val="single" w:sz="4" w:space="0" w:color="auto"/>
              <w:right w:val="single" w:sz="4" w:space="0" w:color="auto"/>
            </w:tcBorders>
            <w:vAlign w:val="center"/>
          </w:tcPr>
          <w:p w14:paraId="459D50AB" w14:textId="77777777" w:rsidR="006B3342" w:rsidRPr="000B52C6" w:rsidRDefault="006B3342" w:rsidP="00513E25">
            <w:pPr>
              <w:pStyle w:val="TableText0"/>
              <w:jc w:val="center"/>
              <w:rPr>
                <w:iCs/>
              </w:rPr>
            </w:pPr>
            <w:r w:rsidRPr="000B52C6">
              <w:rPr>
                <w:iCs/>
              </w:rPr>
              <w:t xml:space="preserve">0.04 </w:t>
            </w:r>
          </w:p>
          <w:p w14:paraId="3F2C7C06" w14:textId="77777777" w:rsidR="006B3342" w:rsidRPr="000B52C6" w:rsidRDefault="006B3342" w:rsidP="00513E25">
            <w:pPr>
              <w:pStyle w:val="TableText0"/>
              <w:jc w:val="center"/>
              <w:rPr>
                <w:iCs/>
              </w:rPr>
            </w:pPr>
            <w:r w:rsidRPr="000B52C6">
              <w:rPr>
                <w:iCs/>
              </w:rPr>
              <w:t>(-0.03, 0.12)</w:t>
            </w:r>
          </w:p>
        </w:tc>
      </w:tr>
      <w:tr w:rsidR="006B3342" w:rsidRPr="000B52C6" w14:paraId="2BEE2E8D" w14:textId="77777777" w:rsidTr="00513E25">
        <w:tc>
          <w:tcPr>
            <w:tcW w:w="78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F088D5B" w14:textId="77777777" w:rsidR="006B3342" w:rsidRPr="000B52C6" w:rsidRDefault="006B3342" w:rsidP="00513E25">
            <w:pPr>
              <w:pStyle w:val="TableText0"/>
            </w:pPr>
            <w:r w:rsidRPr="000B52C6">
              <w:t>TEAE Leading to Death</w:t>
            </w:r>
          </w:p>
        </w:tc>
        <w:tc>
          <w:tcPr>
            <w:tcW w:w="39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23D7B1" w14:textId="77777777" w:rsidR="006B3342" w:rsidRPr="000B52C6" w:rsidRDefault="006B3342" w:rsidP="00513E25">
            <w:pPr>
              <w:pStyle w:val="TableText0"/>
              <w:jc w:val="center"/>
            </w:pPr>
            <w:r w:rsidRPr="000B52C6">
              <w:t>12 (6.2)</w:t>
            </w:r>
          </w:p>
        </w:tc>
        <w:tc>
          <w:tcPr>
            <w:tcW w:w="31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816700E" w14:textId="77777777" w:rsidR="006B3342" w:rsidRPr="000B52C6" w:rsidRDefault="006B3342" w:rsidP="00513E25">
            <w:pPr>
              <w:pStyle w:val="TableText0"/>
              <w:jc w:val="center"/>
            </w:pPr>
            <w:r w:rsidRPr="000B52C6">
              <w:t>11 (5.4)</w:t>
            </w:r>
          </w:p>
        </w:tc>
        <w:tc>
          <w:tcPr>
            <w:tcW w:w="390" w:type="pct"/>
            <w:tcBorders>
              <w:top w:val="single" w:sz="4" w:space="0" w:color="auto"/>
              <w:left w:val="single" w:sz="4" w:space="0" w:color="auto"/>
              <w:bottom w:val="single" w:sz="4" w:space="0" w:color="auto"/>
              <w:right w:val="single" w:sz="4" w:space="0" w:color="auto"/>
            </w:tcBorders>
            <w:vAlign w:val="center"/>
          </w:tcPr>
          <w:p w14:paraId="2FD578E4" w14:textId="77777777" w:rsidR="006B3342" w:rsidRPr="000B52C6" w:rsidRDefault="006B3342" w:rsidP="00513E25">
            <w:pPr>
              <w:pStyle w:val="TableText0"/>
              <w:jc w:val="center"/>
            </w:pPr>
            <w:r w:rsidRPr="000B52C6">
              <w:t>1.15</w:t>
            </w:r>
          </w:p>
          <w:p w14:paraId="2B8B9853" w14:textId="77777777" w:rsidR="006B3342" w:rsidRPr="000B52C6" w:rsidRDefault="006B3342" w:rsidP="00513E25">
            <w:pPr>
              <w:pStyle w:val="TableText0"/>
              <w:jc w:val="center"/>
            </w:pPr>
            <w:r w:rsidRPr="000B52C6">
              <w:t>(0.5, 2.67)</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5F654C" w14:textId="77777777" w:rsidR="006B3342" w:rsidRPr="000B52C6" w:rsidRDefault="006B3342" w:rsidP="00513E25">
            <w:pPr>
              <w:pStyle w:val="TableText0"/>
              <w:jc w:val="center"/>
              <w:rPr>
                <w:iCs/>
              </w:rPr>
            </w:pPr>
            <w:r w:rsidRPr="000B52C6">
              <w:rPr>
                <w:iCs/>
              </w:rPr>
              <w:t>1.14 (0.52, 2.53)</w:t>
            </w:r>
          </w:p>
        </w:tc>
        <w:tc>
          <w:tcPr>
            <w:tcW w:w="39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BDD07A" w14:textId="77777777" w:rsidR="006B3342" w:rsidRPr="000B52C6" w:rsidRDefault="006B3342" w:rsidP="00513E25">
            <w:pPr>
              <w:pStyle w:val="TableText0"/>
              <w:jc w:val="center"/>
            </w:pPr>
            <w:r w:rsidRPr="000B52C6">
              <w:t>0.01</w:t>
            </w:r>
          </w:p>
          <w:p w14:paraId="27F3B72E" w14:textId="77777777" w:rsidR="006B3342" w:rsidRPr="000B52C6" w:rsidRDefault="006B3342" w:rsidP="00513E25">
            <w:pPr>
              <w:pStyle w:val="TableText0"/>
              <w:jc w:val="center"/>
            </w:pPr>
            <w:r w:rsidRPr="000B52C6">
              <w:t>(-0.04, 0.05)</w:t>
            </w:r>
          </w:p>
        </w:tc>
        <w:tc>
          <w:tcPr>
            <w:tcW w:w="393" w:type="pct"/>
            <w:tcBorders>
              <w:top w:val="single" w:sz="4" w:space="0" w:color="auto"/>
              <w:left w:val="single" w:sz="4" w:space="0" w:color="auto"/>
              <w:bottom w:val="single" w:sz="4" w:space="0" w:color="auto"/>
              <w:right w:val="single" w:sz="4" w:space="0" w:color="auto"/>
            </w:tcBorders>
            <w:vAlign w:val="center"/>
          </w:tcPr>
          <w:p w14:paraId="4BC737E7" w14:textId="77777777" w:rsidR="006B3342" w:rsidRPr="000B52C6" w:rsidRDefault="006B3342" w:rsidP="00513E25">
            <w:pPr>
              <w:pStyle w:val="TableText0"/>
              <w:jc w:val="center"/>
            </w:pPr>
            <w:r w:rsidRPr="000B52C6">
              <w:t>14 (7.2)</w:t>
            </w:r>
          </w:p>
        </w:tc>
        <w:tc>
          <w:tcPr>
            <w:tcW w:w="394" w:type="pct"/>
            <w:tcBorders>
              <w:top w:val="single" w:sz="4" w:space="0" w:color="auto"/>
              <w:left w:val="single" w:sz="4" w:space="0" w:color="auto"/>
              <w:bottom w:val="single" w:sz="4" w:space="0" w:color="auto"/>
              <w:right w:val="single" w:sz="4" w:space="0" w:color="auto"/>
            </w:tcBorders>
            <w:vAlign w:val="center"/>
          </w:tcPr>
          <w:p w14:paraId="34B86ABE" w14:textId="77777777" w:rsidR="006B3342" w:rsidRPr="000B52C6" w:rsidRDefault="006B3342" w:rsidP="00513E25">
            <w:pPr>
              <w:pStyle w:val="TableText0"/>
              <w:jc w:val="center"/>
            </w:pPr>
            <w:r w:rsidRPr="000B52C6">
              <w:t>13 (6.4)</w:t>
            </w:r>
          </w:p>
        </w:tc>
        <w:tc>
          <w:tcPr>
            <w:tcW w:w="551" w:type="pct"/>
            <w:tcBorders>
              <w:top w:val="single" w:sz="4" w:space="0" w:color="auto"/>
              <w:left w:val="single" w:sz="4" w:space="0" w:color="auto"/>
              <w:bottom w:val="single" w:sz="4" w:space="0" w:color="auto"/>
              <w:right w:val="single" w:sz="4" w:space="0" w:color="auto"/>
            </w:tcBorders>
            <w:vAlign w:val="center"/>
          </w:tcPr>
          <w:p w14:paraId="21E3BBFD" w14:textId="77777777" w:rsidR="006B3342" w:rsidRPr="000B52C6" w:rsidRDefault="006B3342" w:rsidP="00513E25">
            <w:pPr>
              <w:pStyle w:val="TableText0"/>
              <w:jc w:val="center"/>
              <w:rPr>
                <w:iCs/>
              </w:rPr>
            </w:pPr>
            <w:r w:rsidRPr="000B52C6">
              <w:rPr>
                <w:iCs/>
              </w:rPr>
              <w:t xml:space="preserve">1.14 </w:t>
            </w:r>
          </w:p>
          <w:p w14:paraId="38AF9EE5" w14:textId="77777777" w:rsidR="006B3342" w:rsidRPr="000B52C6" w:rsidRDefault="006B3342" w:rsidP="00513E25">
            <w:pPr>
              <w:pStyle w:val="TableText0"/>
              <w:jc w:val="center"/>
              <w:rPr>
                <w:iCs/>
              </w:rPr>
            </w:pPr>
            <w:r w:rsidRPr="000B52C6">
              <w:rPr>
                <w:iCs/>
              </w:rPr>
              <w:t>(0.52, 2.48)</w:t>
            </w:r>
          </w:p>
        </w:tc>
        <w:tc>
          <w:tcPr>
            <w:tcW w:w="472" w:type="pct"/>
            <w:tcBorders>
              <w:top w:val="single" w:sz="4" w:space="0" w:color="auto"/>
              <w:left w:val="single" w:sz="4" w:space="0" w:color="auto"/>
              <w:bottom w:val="single" w:sz="4" w:space="0" w:color="auto"/>
              <w:right w:val="single" w:sz="4" w:space="0" w:color="auto"/>
            </w:tcBorders>
            <w:vAlign w:val="center"/>
          </w:tcPr>
          <w:p w14:paraId="446F83B1" w14:textId="77777777" w:rsidR="006B3342" w:rsidRPr="000B52C6" w:rsidRDefault="006B3342" w:rsidP="00513E25">
            <w:pPr>
              <w:pStyle w:val="TableText0"/>
              <w:jc w:val="center"/>
              <w:rPr>
                <w:iCs/>
              </w:rPr>
            </w:pPr>
            <w:r w:rsidRPr="000B52C6">
              <w:rPr>
                <w:iCs/>
              </w:rPr>
              <w:t xml:space="preserve">1.13 </w:t>
            </w:r>
          </w:p>
          <w:p w14:paraId="051C089A" w14:textId="77777777" w:rsidR="006B3342" w:rsidRPr="000B52C6" w:rsidRDefault="006B3342" w:rsidP="00513E25">
            <w:pPr>
              <w:pStyle w:val="TableText0"/>
              <w:jc w:val="center"/>
              <w:rPr>
                <w:iCs/>
              </w:rPr>
            </w:pPr>
            <w:r w:rsidRPr="000B52C6">
              <w:rPr>
                <w:iCs/>
              </w:rPr>
              <w:t>(0.54, 2.34)</w:t>
            </w:r>
          </w:p>
        </w:tc>
        <w:tc>
          <w:tcPr>
            <w:tcW w:w="520" w:type="pct"/>
            <w:tcBorders>
              <w:top w:val="single" w:sz="4" w:space="0" w:color="auto"/>
              <w:left w:val="single" w:sz="4" w:space="0" w:color="auto"/>
              <w:bottom w:val="single" w:sz="4" w:space="0" w:color="auto"/>
              <w:right w:val="single" w:sz="4" w:space="0" w:color="auto"/>
            </w:tcBorders>
            <w:vAlign w:val="center"/>
          </w:tcPr>
          <w:p w14:paraId="1F82B39F" w14:textId="77777777" w:rsidR="006B3342" w:rsidRPr="000B52C6" w:rsidRDefault="006B3342" w:rsidP="00513E25">
            <w:pPr>
              <w:pStyle w:val="TableText0"/>
              <w:jc w:val="center"/>
              <w:rPr>
                <w:iCs/>
              </w:rPr>
            </w:pPr>
            <w:r w:rsidRPr="000B52C6">
              <w:rPr>
                <w:iCs/>
              </w:rPr>
              <w:t xml:space="preserve">0.01 </w:t>
            </w:r>
          </w:p>
          <w:p w14:paraId="74318CA9" w14:textId="77777777" w:rsidR="006B3342" w:rsidRPr="000B52C6" w:rsidRDefault="006B3342" w:rsidP="00513E25">
            <w:pPr>
              <w:pStyle w:val="TableText0"/>
              <w:jc w:val="center"/>
              <w:rPr>
                <w:iCs/>
              </w:rPr>
            </w:pPr>
            <w:r w:rsidRPr="000B52C6">
              <w:rPr>
                <w:iCs/>
              </w:rPr>
              <w:t>(-0.04, 0.06)</w:t>
            </w:r>
          </w:p>
        </w:tc>
      </w:tr>
    </w:tbl>
    <w:p w14:paraId="6B7C9423" w14:textId="77777777" w:rsidR="006B3342" w:rsidRPr="000B52C6" w:rsidRDefault="006B3342" w:rsidP="006B3342">
      <w:pPr>
        <w:pStyle w:val="TableFigureFooter"/>
      </w:pPr>
      <w:r w:rsidRPr="000B52C6">
        <w:t>Source: Table 2-28, p109 of the resubmission.</w:t>
      </w:r>
    </w:p>
    <w:p w14:paraId="254BF668" w14:textId="77777777" w:rsidR="006B3342" w:rsidRPr="000B52C6" w:rsidRDefault="006B3342" w:rsidP="006B3342">
      <w:pPr>
        <w:pStyle w:val="TableFigureFooter"/>
      </w:pPr>
      <w:r w:rsidRPr="000B52C6">
        <w:t xml:space="preserve">Abbreviations: Bd = bortezomib + dexamethasone; CI = confidence interval; OR = odds ratio; RD = risk difference; </w:t>
      </w:r>
      <w:proofErr w:type="spellStart"/>
      <w:r w:rsidRPr="000B52C6">
        <w:t>SBd</w:t>
      </w:r>
      <w:proofErr w:type="spellEnd"/>
      <w:r w:rsidRPr="000B52C6">
        <w:t xml:space="preserve"> = </w:t>
      </w:r>
      <w:proofErr w:type="spellStart"/>
      <w:r w:rsidRPr="000B52C6">
        <w:t>selinexor</w:t>
      </w:r>
      <w:proofErr w:type="spellEnd"/>
      <w:r w:rsidRPr="000B52C6">
        <w:t xml:space="preserve"> + bortezomib + dexamethasone; SAE = serious adverse event; TEAE = treatment emergent adverse events.</w:t>
      </w:r>
    </w:p>
    <w:p w14:paraId="6E38B8A3" w14:textId="77777777" w:rsidR="006B3342" w:rsidRPr="000B52C6" w:rsidRDefault="006B3342" w:rsidP="006B3342">
      <w:pPr>
        <w:pStyle w:val="TableFigureFooter"/>
      </w:pPr>
      <w:r w:rsidRPr="000B52C6">
        <w:t xml:space="preserve">Notes: Study treatment is </w:t>
      </w:r>
      <w:proofErr w:type="spellStart"/>
      <w:r w:rsidRPr="000B52C6">
        <w:t>selinexor</w:t>
      </w:r>
      <w:proofErr w:type="spellEnd"/>
      <w:r w:rsidRPr="000B52C6">
        <w:t xml:space="preserve"> with bortezomib and dexamethasone for the </w:t>
      </w:r>
      <w:proofErr w:type="spellStart"/>
      <w:r w:rsidRPr="000B52C6">
        <w:t>SBd</w:t>
      </w:r>
      <w:proofErr w:type="spellEnd"/>
      <w:r w:rsidRPr="000B52C6">
        <w:t xml:space="preserve"> arm and bortezomib with dexamethasone for the Bd arm.</w:t>
      </w:r>
    </w:p>
    <w:p w14:paraId="111042A6" w14:textId="77777777" w:rsidR="006B3342" w:rsidRPr="000B52C6" w:rsidRDefault="006B3342" w:rsidP="006B3342">
      <w:pPr>
        <w:pStyle w:val="TableFigureFooter"/>
      </w:pPr>
      <w:r w:rsidRPr="000B52C6">
        <w:rPr>
          <w:rFonts w:eastAsia="Calibri"/>
          <w:b/>
          <w:bCs/>
        </w:rPr>
        <w:t>Bold</w:t>
      </w:r>
      <w:r w:rsidRPr="000B52C6">
        <w:rPr>
          <w:rFonts w:eastAsia="Calibri"/>
        </w:rPr>
        <w:t xml:space="preserve"> indicates statistically significant results.</w:t>
      </w:r>
    </w:p>
    <w:p w14:paraId="37D9907B" w14:textId="77777777" w:rsidR="006B3342" w:rsidRPr="000B52C6" w:rsidRDefault="006B3342" w:rsidP="006B3342">
      <w:pPr>
        <w:pStyle w:val="TableFigureFooter"/>
        <w:rPr>
          <w:rStyle w:val="CommentReference"/>
          <w:b w:val="0"/>
          <w:bCs/>
          <w:iCs/>
          <w:sz w:val="18"/>
          <w:szCs w:val="18"/>
        </w:rPr>
      </w:pPr>
      <w:r w:rsidRPr="000B52C6">
        <w:rPr>
          <w:rStyle w:val="CommentReference"/>
          <w:b w:val="0"/>
          <w:bCs/>
          <w:iCs/>
          <w:sz w:val="18"/>
          <w:szCs w:val="18"/>
          <w:shd w:val="clear" w:color="auto" w:fill="C6D9F1" w:themeFill="text2" w:themeFillTint="33"/>
        </w:rPr>
        <w:t>Blue shading</w:t>
      </w:r>
      <w:r w:rsidRPr="000B52C6">
        <w:rPr>
          <w:rStyle w:val="CommentReference"/>
          <w:b w:val="0"/>
          <w:bCs/>
          <w:iCs/>
          <w:sz w:val="18"/>
          <w:szCs w:val="18"/>
        </w:rPr>
        <w:t xml:space="preserve"> indicates data previously seen by the PBAC. </w:t>
      </w:r>
    </w:p>
    <w:p w14:paraId="30887EAC" w14:textId="77777777" w:rsidR="006B3342" w:rsidRPr="000B52C6" w:rsidRDefault="006B3342" w:rsidP="006B3342">
      <w:pPr>
        <w:pStyle w:val="TableFigureFooter"/>
        <w:rPr>
          <w:bCs/>
          <w:iCs/>
          <w:sz w:val="16"/>
          <w:szCs w:val="16"/>
        </w:rPr>
      </w:pPr>
      <w:r w:rsidRPr="000B52C6">
        <w:rPr>
          <w:rStyle w:val="CommentReference"/>
          <w:b w:val="0"/>
          <w:bCs/>
          <w:iCs/>
          <w:sz w:val="18"/>
          <w:szCs w:val="18"/>
        </w:rPr>
        <w:t xml:space="preserve">Italics indicates results calculated during evaluation. </w:t>
      </w:r>
    </w:p>
    <w:p w14:paraId="7F706AF7" w14:textId="77777777" w:rsidR="006B3342" w:rsidRPr="000B52C6" w:rsidRDefault="006B3342" w:rsidP="006B3342">
      <w:pPr>
        <w:pStyle w:val="TableFigureFooter"/>
      </w:pPr>
      <w:r w:rsidRPr="000B52C6">
        <w:t xml:space="preserve">a. Calculated by the resubmission using Review Manager version 5.4.1. </w:t>
      </w:r>
    </w:p>
    <w:p w14:paraId="16C487CF" w14:textId="77777777" w:rsidR="006B3342" w:rsidRPr="000B52C6" w:rsidRDefault="006B3342" w:rsidP="006B3342">
      <w:pPr>
        <w:pStyle w:val="TableFigureFooter"/>
      </w:pPr>
      <w:r w:rsidRPr="000B52C6">
        <w:t>b. Based on maximum severity grade of each patient.</w:t>
      </w:r>
    </w:p>
    <w:p w14:paraId="0C9AD044" w14:textId="77777777" w:rsidR="006B3342" w:rsidRPr="000B52C6" w:rsidRDefault="006B3342" w:rsidP="006B3342">
      <w:pPr>
        <w:pStyle w:val="TableFigureFooter"/>
      </w:pPr>
      <w:r w:rsidRPr="000B52C6">
        <w:t>c. The number of patients with dose modification(s) is not necessarily equal to the sum of the number of patients who had a modified dose or a drug interruption since the same patient could fall into more than one of these categories.</w:t>
      </w:r>
    </w:p>
    <w:p w14:paraId="2A347FCB" w14:textId="77777777" w:rsidR="006B3342" w:rsidRPr="000B52C6" w:rsidRDefault="006B3342" w:rsidP="006B3342">
      <w:pPr>
        <w:pStyle w:val="3-BodyText"/>
        <w:keepNext/>
        <w:numPr>
          <w:ilvl w:val="0"/>
          <w:numId w:val="0"/>
        </w:numPr>
        <w:ind w:left="720" w:hanging="720"/>
        <w:rPr>
          <w:iCs/>
        </w:rPr>
      </w:pPr>
      <w:r w:rsidRPr="000B52C6">
        <w:rPr>
          <w:iCs/>
        </w:rPr>
        <w:t>Individual TEAEs</w:t>
      </w:r>
    </w:p>
    <w:p w14:paraId="3B176657" w14:textId="6A08A502" w:rsidR="006B3342" w:rsidRPr="000B52C6" w:rsidRDefault="006B3342" w:rsidP="006B3342">
      <w:pPr>
        <w:pStyle w:val="3-BodyText"/>
        <w:keepNext/>
        <w:ind w:left="720" w:hanging="720"/>
        <w:rPr>
          <w:iCs/>
        </w:rPr>
      </w:pPr>
      <w:r w:rsidRPr="000B52C6">
        <w:t xml:space="preserve">A summary of TEAEs occurring in ≥10% of patients in both treatment arms is presented in </w:t>
      </w:r>
      <w:r w:rsidRPr="000B52C6">
        <w:fldChar w:fldCharType="begin"/>
      </w:r>
      <w:r w:rsidRPr="000B52C6">
        <w:instrText xml:space="preserve"> REF _Ref90370117 \h </w:instrText>
      </w:r>
      <w:r w:rsidRPr="000B52C6">
        <w:fldChar w:fldCharType="separate"/>
      </w:r>
      <w:r w:rsidR="00FF5725" w:rsidRPr="000B52C6">
        <w:t xml:space="preserve">Table </w:t>
      </w:r>
      <w:r w:rsidR="00FF5725">
        <w:rPr>
          <w:noProof/>
        </w:rPr>
        <w:t>12</w:t>
      </w:r>
      <w:r w:rsidRPr="000B52C6">
        <w:fldChar w:fldCharType="end"/>
      </w:r>
      <w:r w:rsidRPr="000B52C6">
        <w:t xml:space="preserve"> and shows that thrombocytopenia, fatigue, nausea, anaemia, decreased appetite, weight decreased, cataract, asthenia, neutropenia, nasopharyngitis, dizziness and vomiting occurred statistically significantly more in the </w:t>
      </w:r>
      <w:proofErr w:type="spellStart"/>
      <w:r w:rsidRPr="000B52C6">
        <w:t>SBd</w:t>
      </w:r>
      <w:proofErr w:type="spellEnd"/>
      <w:r w:rsidRPr="000B52C6">
        <w:t xml:space="preserve"> arm compared to the Bd arm. The resubmission stated that these AEs are consistent with the known safety profile of </w:t>
      </w:r>
      <w:proofErr w:type="spellStart"/>
      <w:r w:rsidRPr="000B52C6">
        <w:t>SBd</w:t>
      </w:r>
      <w:proofErr w:type="spellEnd"/>
      <w:r w:rsidRPr="000B52C6">
        <w:t xml:space="preserve"> alone or in combination. Peripheral neuropathy (PN) occurred statistically significantly more in the Bd arm. </w:t>
      </w:r>
      <w:r w:rsidRPr="000B52C6">
        <w:rPr>
          <w:iCs/>
        </w:rPr>
        <w:t xml:space="preserve">This is likely due to the difference in bortezomib exposure between the two treatment arms. The lower rates of PN with once weekly bortezomib in the </w:t>
      </w:r>
      <w:proofErr w:type="spellStart"/>
      <w:r w:rsidRPr="000B52C6">
        <w:rPr>
          <w:iCs/>
        </w:rPr>
        <w:t>SBd</w:t>
      </w:r>
      <w:proofErr w:type="spellEnd"/>
      <w:r w:rsidRPr="000B52C6">
        <w:rPr>
          <w:iCs/>
        </w:rPr>
        <w:t xml:space="preserve"> arm compared with those in the twice weekly bortezomib in the Bd arm were consistent with the mostly sensory nature of bortezomib-induced PN. These results were previously seen by the PBAC as the current resubmission did not present individual TEAE data based on the updated data cut-off (February 2021).</w:t>
      </w:r>
      <w:r w:rsidR="00221718" w:rsidRPr="000B52C6">
        <w:rPr>
          <w:iCs/>
        </w:rPr>
        <w:t xml:space="preserve"> The ESC agreed with the Commentary that the lower rate of peripheral neuropathy seen in the </w:t>
      </w:r>
      <w:proofErr w:type="spellStart"/>
      <w:r w:rsidR="00221718" w:rsidRPr="000B52C6">
        <w:rPr>
          <w:iCs/>
        </w:rPr>
        <w:t>SBd</w:t>
      </w:r>
      <w:proofErr w:type="spellEnd"/>
      <w:r w:rsidR="00221718" w:rsidRPr="000B52C6">
        <w:rPr>
          <w:iCs/>
        </w:rPr>
        <w:t xml:space="preserve"> arm was likely due to the lower bortezomib exposure in the </w:t>
      </w:r>
      <w:proofErr w:type="spellStart"/>
      <w:r w:rsidR="00221718" w:rsidRPr="000B52C6">
        <w:rPr>
          <w:iCs/>
        </w:rPr>
        <w:t>SBd</w:t>
      </w:r>
      <w:proofErr w:type="spellEnd"/>
      <w:r w:rsidR="00221718" w:rsidRPr="000B52C6">
        <w:rPr>
          <w:iCs/>
        </w:rPr>
        <w:t xml:space="preserve"> arm compared with the Bd arm.</w:t>
      </w:r>
    </w:p>
    <w:p w14:paraId="0BBDD80C" w14:textId="6A364227" w:rsidR="006B3342" w:rsidRPr="000B52C6" w:rsidRDefault="006B3342" w:rsidP="006B3342">
      <w:pPr>
        <w:pStyle w:val="TableFigureHeading"/>
      </w:pPr>
      <w:bookmarkStart w:id="35" w:name="_Ref90370117"/>
      <w:r w:rsidRPr="000B52C6">
        <w:t xml:space="preserve">Table </w:t>
      </w:r>
      <w:r w:rsidR="00FF5725">
        <w:fldChar w:fldCharType="begin"/>
      </w:r>
      <w:r w:rsidR="00FF5725">
        <w:instrText xml:space="preserve"> SEQ Table \* ARABIC </w:instrText>
      </w:r>
      <w:r w:rsidR="00FF5725">
        <w:fldChar w:fldCharType="separate"/>
      </w:r>
      <w:r w:rsidR="00FF5725">
        <w:rPr>
          <w:noProof/>
        </w:rPr>
        <w:t>12</w:t>
      </w:r>
      <w:r w:rsidR="00FF5725">
        <w:fldChar w:fldCharType="end"/>
      </w:r>
      <w:bookmarkEnd w:id="35"/>
      <w:r w:rsidRPr="000B52C6">
        <w:t>: TEAEs occurring in ≥10% of patients in either treatment arm (safety population)</w:t>
      </w:r>
    </w:p>
    <w:tbl>
      <w:tblPr>
        <w:tblStyle w:val="TableGrid"/>
        <w:tblW w:w="9067" w:type="dxa"/>
        <w:tblLook w:val="04A0" w:firstRow="1" w:lastRow="0" w:firstColumn="1" w:lastColumn="0" w:noHBand="0" w:noVBand="1"/>
      </w:tblPr>
      <w:tblGrid>
        <w:gridCol w:w="2122"/>
        <w:gridCol w:w="1701"/>
        <w:gridCol w:w="1842"/>
        <w:gridCol w:w="1701"/>
        <w:gridCol w:w="1701"/>
      </w:tblGrid>
      <w:tr w:rsidR="006B3342" w:rsidRPr="000B52C6" w14:paraId="67959A42" w14:textId="77777777" w:rsidTr="00513E25">
        <w:tc>
          <w:tcPr>
            <w:tcW w:w="2122" w:type="dxa"/>
            <w:vMerge w:val="restart"/>
            <w:tcBorders>
              <w:top w:val="single" w:sz="4" w:space="0" w:color="auto"/>
              <w:left w:val="single" w:sz="4" w:space="0" w:color="auto"/>
              <w:right w:val="single" w:sz="4" w:space="0" w:color="auto"/>
            </w:tcBorders>
            <w:shd w:val="clear" w:color="auto" w:fill="C6D9F1" w:themeFill="text2" w:themeFillTint="33"/>
          </w:tcPr>
          <w:p w14:paraId="0D15FFEE" w14:textId="77777777" w:rsidR="006B3342" w:rsidRPr="000B52C6" w:rsidRDefault="006B3342" w:rsidP="00513E25">
            <w:pPr>
              <w:pStyle w:val="TableText0"/>
              <w:rPr>
                <w:b/>
                <w:bCs w:val="0"/>
              </w:rPr>
            </w:pPr>
            <w:r w:rsidRPr="000B52C6">
              <w:rPr>
                <w:b/>
                <w:bCs w:val="0"/>
              </w:rPr>
              <w:t>MedDRA preferred term</w:t>
            </w:r>
          </w:p>
          <w:p w14:paraId="20081073" w14:textId="77777777" w:rsidR="006B3342" w:rsidRPr="000B52C6" w:rsidRDefault="006B3342" w:rsidP="00513E25">
            <w:pPr>
              <w:pStyle w:val="TableText0"/>
              <w:rPr>
                <w:b/>
                <w:bCs w:val="0"/>
              </w:rPr>
            </w:pPr>
            <w:r w:rsidRPr="000B52C6">
              <w:rPr>
                <w:b/>
                <w:bCs w:val="0"/>
              </w:rPr>
              <w:t>n (%)</w:t>
            </w:r>
          </w:p>
        </w:tc>
        <w:tc>
          <w:tcPr>
            <w:tcW w:w="694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6BCE16" w14:textId="77777777" w:rsidR="006B3342" w:rsidRPr="000B52C6" w:rsidRDefault="006B3342" w:rsidP="00513E25">
            <w:pPr>
              <w:pStyle w:val="In-tableHeading"/>
              <w:jc w:val="center"/>
              <w:rPr>
                <w:lang w:val="en-AU"/>
              </w:rPr>
            </w:pPr>
            <w:r w:rsidRPr="000B52C6">
              <w:rPr>
                <w:lang w:val="en-AU"/>
              </w:rPr>
              <w:t>BOSTON</w:t>
            </w:r>
          </w:p>
          <w:p w14:paraId="72CE18AD" w14:textId="77777777" w:rsidR="006B3342" w:rsidRPr="000B52C6" w:rsidRDefault="006B3342" w:rsidP="00513E25">
            <w:pPr>
              <w:pStyle w:val="TableText0"/>
              <w:jc w:val="center"/>
              <w:rPr>
                <w:b/>
                <w:bCs w:val="0"/>
              </w:rPr>
            </w:pPr>
            <w:r w:rsidRPr="000B52C6">
              <w:rPr>
                <w:b/>
                <w:bCs w:val="0"/>
              </w:rPr>
              <w:t>(original data cut-off Feb 2020)</w:t>
            </w:r>
          </w:p>
        </w:tc>
      </w:tr>
      <w:tr w:rsidR="006B3342" w:rsidRPr="000B52C6" w14:paraId="7788E8C9" w14:textId="77777777" w:rsidTr="00513E25">
        <w:tc>
          <w:tcPr>
            <w:tcW w:w="2122" w:type="dxa"/>
            <w:vMerge/>
            <w:tcBorders>
              <w:left w:val="single" w:sz="4" w:space="0" w:color="auto"/>
              <w:bottom w:val="single" w:sz="4" w:space="0" w:color="auto"/>
              <w:right w:val="single" w:sz="4" w:space="0" w:color="auto"/>
            </w:tcBorders>
            <w:shd w:val="clear" w:color="auto" w:fill="C6D9F1" w:themeFill="text2" w:themeFillTint="33"/>
            <w:hideMark/>
          </w:tcPr>
          <w:p w14:paraId="714BC817" w14:textId="77777777" w:rsidR="006B3342" w:rsidRPr="000B52C6" w:rsidRDefault="006B3342" w:rsidP="00513E25">
            <w:pPr>
              <w:pStyle w:val="TableText0"/>
              <w:rPr>
                <w:b/>
                <w:bCs w:val="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480CB3" w14:textId="77777777" w:rsidR="006B3342" w:rsidRPr="000B52C6" w:rsidRDefault="006B3342" w:rsidP="00513E25">
            <w:pPr>
              <w:pStyle w:val="TableText0"/>
              <w:jc w:val="center"/>
              <w:rPr>
                <w:b/>
                <w:bCs w:val="0"/>
              </w:rPr>
            </w:pPr>
            <w:proofErr w:type="spellStart"/>
            <w:r w:rsidRPr="000B52C6">
              <w:rPr>
                <w:b/>
                <w:bCs w:val="0"/>
              </w:rPr>
              <w:t>SBd</w:t>
            </w:r>
            <w:proofErr w:type="spellEnd"/>
            <w:r w:rsidRPr="000B52C6">
              <w:rPr>
                <w:b/>
                <w:bCs w:val="0"/>
              </w:rPr>
              <w:t xml:space="preserve"> arm </w:t>
            </w:r>
          </w:p>
          <w:p w14:paraId="7E1BE9B1" w14:textId="77777777" w:rsidR="006B3342" w:rsidRPr="000B52C6" w:rsidRDefault="006B3342" w:rsidP="00513E25">
            <w:pPr>
              <w:pStyle w:val="TableText0"/>
              <w:jc w:val="center"/>
              <w:rPr>
                <w:b/>
                <w:bCs w:val="0"/>
              </w:rPr>
            </w:pPr>
            <w:r w:rsidRPr="000B52C6">
              <w:rPr>
                <w:b/>
                <w:bCs w:val="0"/>
              </w:rPr>
              <w:t xml:space="preserve">(N=195) </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FE13420" w14:textId="77777777" w:rsidR="006B3342" w:rsidRPr="000B52C6" w:rsidRDefault="006B3342" w:rsidP="00513E25">
            <w:pPr>
              <w:pStyle w:val="TableText0"/>
              <w:jc w:val="center"/>
              <w:rPr>
                <w:b/>
                <w:bCs w:val="0"/>
              </w:rPr>
            </w:pPr>
            <w:r w:rsidRPr="000B52C6">
              <w:rPr>
                <w:b/>
                <w:bCs w:val="0"/>
              </w:rPr>
              <w:t xml:space="preserve">Bd arm </w:t>
            </w:r>
          </w:p>
          <w:p w14:paraId="4D996DBD" w14:textId="77777777" w:rsidR="006B3342" w:rsidRPr="000B52C6" w:rsidRDefault="006B3342" w:rsidP="00513E25">
            <w:pPr>
              <w:pStyle w:val="TableText0"/>
              <w:jc w:val="center"/>
              <w:rPr>
                <w:b/>
                <w:bCs w:val="0"/>
              </w:rPr>
            </w:pPr>
            <w:r w:rsidRPr="000B52C6">
              <w:rPr>
                <w:b/>
                <w:bCs w:val="0"/>
              </w:rPr>
              <w:t xml:space="preserve">(N=204)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213DBC2" w14:textId="77777777" w:rsidR="006B3342" w:rsidRPr="000B52C6" w:rsidRDefault="006B3342" w:rsidP="00513E25">
            <w:pPr>
              <w:pStyle w:val="TableText0"/>
              <w:jc w:val="center"/>
              <w:rPr>
                <w:b/>
                <w:bCs w:val="0"/>
                <w:iCs/>
              </w:rPr>
            </w:pPr>
            <w:r w:rsidRPr="000B52C6">
              <w:rPr>
                <w:b/>
                <w:bCs w:val="0"/>
                <w:iCs/>
              </w:rPr>
              <w:t xml:space="preserve">RR </w:t>
            </w:r>
          </w:p>
          <w:p w14:paraId="1EE24AC4" w14:textId="77777777" w:rsidR="006B3342" w:rsidRPr="000B52C6" w:rsidRDefault="006B3342" w:rsidP="00513E25">
            <w:pPr>
              <w:pStyle w:val="TableText0"/>
              <w:jc w:val="center"/>
              <w:rPr>
                <w:b/>
                <w:bCs w:val="0"/>
                <w:iCs/>
              </w:rPr>
            </w:pPr>
            <w:r w:rsidRPr="000B52C6">
              <w:rPr>
                <w:b/>
                <w:bCs w:val="0"/>
                <w:iCs/>
              </w:rPr>
              <w:t xml:space="preserve">(95% </w:t>
            </w:r>
            <w:proofErr w:type="gramStart"/>
            <w:r w:rsidRPr="000B52C6">
              <w:rPr>
                <w:b/>
                <w:bCs w:val="0"/>
                <w:iCs/>
              </w:rPr>
              <w:t>CI)</w:t>
            </w:r>
            <w:r w:rsidRPr="000B52C6">
              <w:rPr>
                <w:b/>
                <w:bCs w:val="0"/>
                <w:iCs/>
                <w:vertAlign w:val="superscript"/>
              </w:rPr>
              <w:t>a</w:t>
            </w:r>
            <w:proofErr w:type="gramEnd"/>
            <w:r w:rsidRPr="000B52C6">
              <w:rPr>
                <w:b/>
                <w:bCs w:val="0"/>
                <w:iC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A5AF7E6" w14:textId="77777777" w:rsidR="006B3342" w:rsidRPr="000B52C6" w:rsidRDefault="006B3342" w:rsidP="00513E25">
            <w:pPr>
              <w:pStyle w:val="TableText0"/>
              <w:jc w:val="center"/>
              <w:rPr>
                <w:b/>
                <w:bCs w:val="0"/>
                <w:iCs/>
              </w:rPr>
            </w:pPr>
            <w:r w:rsidRPr="000B52C6">
              <w:rPr>
                <w:b/>
                <w:bCs w:val="0"/>
                <w:iCs/>
              </w:rPr>
              <w:t xml:space="preserve">RD </w:t>
            </w:r>
          </w:p>
          <w:p w14:paraId="3EE52352" w14:textId="77777777" w:rsidR="006B3342" w:rsidRPr="000B52C6" w:rsidRDefault="006B3342" w:rsidP="00513E25">
            <w:pPr>
              <w:pStyle w:val="TableText0"/>
              <w:jc w:val="center"/>
              <w:rPr>
                <w:b/>
                <w:bCs w:val="0"/>
                <w:iCs/>
              </w:rPr>
            </w:pPr>
            <w:r w:rsidRPr="000B52C6">
              <w:rPr>
                <w:b/>
                <w:bCs w:val="0"/>
                <w:iCs/>
              </w:rPr>
              <w:t xml:space="preserve">(95% </w:t>
            </w:r>
            <w:proofErr w:type="gramStart"/>
            <w:r w:rsidRPr="000B52C6">
              <w:rPr>
                <w:b/>
                <w:bCs w:val="0"/>
                <w:iCs/>
              </w:rPr>
              <w:t>CI)</w:t>
            </w:r>
            <w:r w:rsidRPr="000B52C6">
              <w:rPr>
                <w:b/>
                <w:bCs w:val="0"/>
                <w:iCs/>
                <w:vertAlign w:val="superscript"/>
              </w:rPr>
              <w:t>a</w:t>
            </w:r>
            <w:proofErr w:type="gramEnd"/>
          </w:p>
        </w:tc>
      </w:tr>
      <w:tr w:rsidR="006B3342" w:rsidRPr="000B52C6" w14:paraId="506AE687" w14:textId="77777777" w:rsidTr="00513E25">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A576BB7" w14:textId="77777777" w:rsidR="006B3342" w:rsidRPr="000B52C6" w:rsidRDefault="006B3342" w:rsidP="00513E25">
            <w:pPr>
              <w:pStyle w:val="TableText0"/>
            </w:pPr>
            <w:r w:rsidRPr="000B52C6">
              <w:t>Patients with ≥1 TEAE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CC3FB1" w14:textId="77777777" w:rsidR="006B3342" w:rsidRPr="000B52C6" w:rsidRDefault="006B3342" w:rsidP="00513E25">
            <w:pPr>
              <w:pStyle w:val="TableText0"/>
              <w:jc w:val="center"/>
            </w:pPr>
            <w:r w:rsidRPr="000B52C6">
              <w:t>194 (99.5)</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4B45EF0" w14:textId="77777777" w:rsidR="006B3342" w:rsidRPr="000B52C6" w:rsidRDefault="006B3342" w:rsidP="00513E25">
            <w:pPr>
              <w:pStyle w:val="TableText0"/>
              <w:jc w:val="center"/>
            </w:pPr>
            <w:r w:rsidRPr="000B52C6">
              <w:t>198 (97.1)</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AAFDC5" w14:textId="77777777" w:rsidR="006B3342" w:rsidRPr="000B52C6" w:rsidRDefault="006B3342" w:rsidP="00513E25">
            <w:pPr>
              <w:pStyle w:val="TableText0"/>
              <w:jc w:val="center"/>
              <w:rPr>
                <w:iCs/>
              </w:rPr>
            </w:pPr>
            <w:r w:rsidRPr="000B52C6">
              <w:rPr>
                <w:iCs/>
              </w:rPr>
              <w:t>1.03 (1.00, 1.05)</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D64D93" w14:textId="77777777" w:rsidR="006B3342" w:rsidRPr="000B52C6" w:rsidRDefault="006B3342" w:rsidP="00513E25">
            <w:pPr>
              <w:pStyle w:val="TableText0"/>
              <w:jc w:val="center"/>
              <w:rPr>
                <w:iCs/>
              </w:rPr>
            </w:pPr>
            <w:r w:rsidRPr="000B52C6">
              <w:rPr>
                <w:iCs/>
              </w:rPr>
              <w:t>0.02 (0.00, 0.05)</w:t>
            </w:r>
          </w:p>
        </w:tc>
      </w:tr>
      <w:tr w:rsidR="006B3342" w:rsidRPr="000B52C6" w14:paraId="437C148A" w14:textId="77777777" w:rsidTr="00513E25">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01AB910" w14:textId="77777777" w:rsidR="006B3342" w:rsidRPr="000B52C6" w:rsidRDefault="006B3342" w:rsidP="00513E25">
            <w:pPr>
              <w:pStyle w:val="TableText0"/>
            </w:pPr>
            <w:r w:rsidRPr="000B52C6">
              <w:t xml:space="preserve">Thrombocytopenia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3A637F" w14:textId="77777777" w:rsidR="006B3342" w:rsidRPr="000B52C6" w:rsidRDefault="006B3342" w:rsidP="00513E25">
            <w:pPr>
              <w:pStyle w:val="TableText0"/>
              <w:jc w:val="center"/>
            </w:pPr>
            <w:r w:rsidRPr="000B52C6">
              <w:t>117 (60.0)</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07B9F5" w14:textId="77777777" w:rsidR="006B3342" w:rsidRPr="000B52C6" w:rsidRDefault="006B3342" w:rsidP="00513E25">
            <w:pPr>
              <w:pStyle w:val="TableText0"/>
              <w:jc w:val="center"/>
            </w:pPr>
            <w:r w:rsidRPr="000B52C6">
              <w:t>55 (27.0)</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75B609" w14:textId="77777777" w:rsidR="006B3342" w:rsidRPr="000B52C6" w:rsidRDefault="006B3342" w:rsidP="00513E25">
            <w:pPr>
              <w:pStyle w:val="TableText0"/>
              <w:jc w:val="center"/>
              <w:rPr>
                <w:b/>
                <w:bCs w:val="0"/>
                <w:iCs/>
              </w:rPr>
            </w:pPr>
            <w:r w:rsidRPr="000B52C6">
              <w:rPr>
                <w:b/>
                <w:bCs w:val="0"/>
                <w:iCs/>
              </w:rPr>
              <w:t>2.23 (1.73, 2.87)</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4D53C6E" w14:textId="77777777" w:rsidR="006B3342" w:rsidRPr="000B52C6" w:rsidRDefault="006B3342" w:rsidP="00513E25">
            <w:pPr>
              <w:pStyle w:val="TableText0"/>
              <w:jc w:val="center"/>
              <w:rPr>
                <w:b/>
                <w:bCs w:val="0"/>
                <w:iCs/>
              </w:rPr>
            </w:pPr>
            <w:r w:rsidRPr="000B52C6">
              <w:rPr>
                <w:b/>
                <w:bCs w:val="0"/>
                <w:iCs/>
              </w:rPr>
              <w:t>0.33 (0.24, 0.42)</w:t>
            </w:r>
          </w:p>
        </w:tc>
      </w:tr>
      <w:tr w:rsidR="006B3342" w:rsidRPr="000B52C6" w14:paraId="5ED773F7" w14:textId="77777777" w:rsidTr="00513E25">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A2CBE0A" w14:textId="77777777" w:rsidR="006B3342" w:rsidRPr="000B52C6" w:rsidRDefault="006B3342" w:rsidP="00513E25">
            <w:pPr>
              <w:pStyle w:val="TableText0"/>
            </w:pPr>
            <w:r w:rsidRPr="000B52C6">
              <w:t>Peripheral neuropathy</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183392E" w14:textId="77777777" w:rsidR="006B3342" w:rsidRPr="000B52C6" w:rsidRDefault="006B3342" w:rsidP="00513E25">
            <w:pPr>
              <w:pStyle w:val="TableText0"/>
              <w:jc w:val="center"/>
            </w:pPr>
            <w:r w:rsidRPr="000B52C6">
              <w:t>63 (32.3)</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3598B7" w14:textId="77777777" w:rsidR="006B3342" w:rsidRPr="000B52C6" w:rsidRDefault="006B3342" w:rsidP="00513E25">
            <w:pPr>
              <w:pStyle w:val="TableText0"/>
              <w:jc w:val="center"/>
            </w:pPr>
            <w:r w:rsidRPr="000B52C6">
              <w:t>96 (47.1)</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3079D2" w14:textId="77777777" w:rsidR="006B3342" w:rsidRPr="000B52C6" w:rsidRDefault="006B3342" w:rsidP="00513E25">
            <w:pPr>
              <w:pStyle w:val="TableText0"/>
              <w:jc w:val="center"/>
              <w:rPr>
                <w:b/>
                <w:bCs w:val="0"/>
                <w:iCs/>
              </w:rPr>
            </w:pPr>
            <w:r w:rsidRPr="000B52C6">
              <w:rPr>
                <w:b/>
                <w:bCs w:val="0"/>
                <w:iCs/>
              </w:rPr>
              <w:t>0.69 (0.53, 0.88)</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BE6938" w14:textId="77777777" w:rsidR="006B3342" w:rsidRPr="000B52C6" w:rsidRDefault="006B3342" w:rsidP="00513E25">
            <w:pPr>
              <w:pStyle w:val="TableText0"/>
              <w:jc w:val="center"/>
              <w:rPr>
                <w:b/>
                <w:bCs w:val="0"/>
                <w:iCs/>
              </w:rPr>
            </w:pPr>
            <w:r w:rsidRPr="000B52C6">
              <w:rPr>
                <w:b/>
                <w:bCs w:val="0"/>
                <w:iCs/>
              </w:rPr>
              <w:t>-0.15 (-0.24, -0.05)</w:t>
            </w:r>
          </w:p>
        </w:tc>
      </w:tr>
      <w:tr w:rsidR="006B3342" w:rsidRPr="000B52C6" w14:paraId="656B4D6A" w14:textId="77777777" w:rsidTr="00513E25">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A88B6DB" w14:textId="77777777" w:rsidR="006B3342" w:rsidRPr="000B52C6" w:rsidRDefault="006B3342" w:rsidP="00513E25">
            <w:pPr>
              <w:pStyle w:val="TableText0"/>
            </w:pPr>
            <w:r w:rsidRPr="000B52C6">
              <w:t>Fatigue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9DBA728" w14:textId="77777777" w:rsidR="006B3342" w:rsidRPr="000B52C6" w:rsidRDefault="006B3342" w:rsidP="00513E25">
            <w:pPr>
              <w:pStyle w:val="TableText0"/>
              <w:jc w:val="center"/>
            </w:pPr>
            <w:r w:rsidRPr="000B52C6">
              <w:t>82 (42.1)</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A87AD4" w14:textId="77777777" w:rsidR="006B3342" w:rsidRPr="000B52C6" w:rsidRDefault="006B3342" w:rsidP="00513E25">
            <w:pPr>
              <w:pStyle w:val="TableText0"/>
              <w:jc w:val="center"/>
            </w:pPr>
            <w:r w:rsidRPr="000B52C6">
              <w:t>37 (18.1)</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7CF3ED" w14:textId="77777777" w:rsidR="006B3342" w:rsidRPr="000B52C6" w:rsidRDefault="006B3342" w:rsidP="00513E25">
            <w:pPr>
              <w:pStyle w:val="TableText0"/>
              <w:jc w:val="center"/>
              <w:rPr>
                <w:b/>
                <w:bCs w:val="0"/>
                <w:iCs/>
              </w:rPr>
            </w:pPr>
            <w:r w:rsidRPr="000B52C6">
              <w:rPr>
                <w:b/>
                <w:bCs w:val="0"/>
                <w:iCs/>
              </w:rPr>
              <w:t>2.32 (1.66, 3.24)</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0A6ADEE" w14:textId="77777777" w:rsidR="006B3342" w:rsidRPr="000B52C6" w:rsidRDefault="006B3342" w:rsidP="00513E25">
            <w:pPr>
              <w:pStyle w:val="TableText0"/>
              <w:jc w:val="center"/>
              <w:rPr>
                <w:b/>
                <w:bCs w:val="0"/>
                <w:iCs/>
              </w:rPr>
            </w:pPr>
            <w:r w:rsidRPr="000B52C6">
              <w:rPr>
                <w:b/>
                <w:bCs w:val="0"/>
                <w:iCs/>
              </w:rPr>
              <w:t>0.24 (0.15, 0.33)</w:t>
            </w:r>
          </w:p>
        </w:tc>
      </w:tr>
      <w:tr w:rsidR="006B3342" w:rsidRPr="000B52C6" w14:paraId="36F273E4" w14:textId="77777777" w:rsidTr="00513E25">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85C00F" w14:textId="77777777" w:rsidR="006B3342" w:rsidRPr="000B52C6" w:rsidRDefault="006B3342" w:rsidP="00513E25">
            <w:pPr>
              <w:pStyle w:val="TableText0"/>
            </w:pPr>
            <w:r w:rsidRPr="000B52C6">
              <w:t>Nausea</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25F684" w14:textId="77777777" w:rsidR="006B3342" w:rsidRPr="000B52C6" w:rsidRDefault="006B3342" w:rsidP="00513E25">
            <w:pPr>
              <w:pStyle w:val="TableText0"/>
              <w:jc w:val="center"/>
            </w:pPr>
            <w:r w:rsidRPr="000B52C6">
              <w:t>98 (50.3)</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6ECB1D" w14:textId="77777777" w:rsidR="006B3342" w:rsidRPr="000B52C6" w:rsidRDefault="006B3342" w:rsidP="00513E25">
            <w:pPr>
              <w:pStyle w:val="TableText0"/>
              <w:jc w:val="center"/>
            </w:pPr>
            <w:r w:rsidRPr="000B52C6">
              <w:t>20 (9.8)</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731B56" w14:textId="77777777" w:rsidR="006B3342" w:rsidRPr="000B52C6" w:rsidRDefault="006B3342" w:rsidP="00513E25">
            <w:pPr>
              <w:pStyle w:val="TableText0"/>
              <w:jc w:val="center"/>
              <w:rPr>
                <w:b/>
                <w:bCs w:val="0"/>
                <w:iCs/>
              </w:rPr>
            </w:pPr>
            <w:r w:rsidRPr="000B52C6">
              <w:rPr>
                <w:b/>
                <w:bCs w:val="0"/>
                <w:iCs/>
              </w:rPr>
              <w:t>5.13 (3.30, 7.95)</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EC7934" w14:textId="77777777" w:rsidR="006B3342" w:rsidRPr="000B52C6" w:rsidRDefault="006B3342" w:rsidP="00513E25">
            <w:pPr>
              <w:pStyle w:val="TableText0"/>
              <w:jc w:val="center"/>
              <w:rPr>
                <w:b/>
                <w:bCs w:val="0"/>
                <w:iCs/>
              </w:rPr>
            </w:pPr>
            <w:r w:rsidRPr="000B52C6">
              <w:rPr>
                <w:b/>
                <w:bCs w:val="0"/>
                <w:iCs/>
              </w:rPr>
              <w:t>0.41 (0.32, 0.49)</w:t>
            </w:r>
          </w:p>
        </w:tc>
      </w:tr>
      <w:tr w:rsidR="006B3342" w:rsidRPr="000B52C6" w14:paraId="3CA3ED82" w14:textId="77777777" w:rsidTr="00513E25">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E54CDEB" w14:textId="77777777" w:rsidR="006B3342" w:rsidRPr="000B52C6" w:rsidRDefault="006B3342" w:rsidP="00513E25">
            <w:pPr>
              <w:pStyle w:val="TableText0"/>
            </w:pPr>
            <w:r w:rsidRPr="000B52C6">
              <w:t>Anaemia</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6C6CE9" w14:textId="77777777" w:rsidR="006B3342" w:rsidRPr="000B52C6" w:rsidRDefault="006B3342" w:rsidP="00513E25">
            <w:pPr>
              <w:pStyle w:val="TableText0"/>
              <w:jc w:val="center"/>
            </w:pPr>
            <w:r w:rsidRPr="000B52C6">
              <w:t>71 (36.4)</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9B1DDA" w14:textId="77777777" w:rsidR="006B3342" w:rsidRPr="000B52C6" w:rsidRDefault="006B3342" w:rsidP="00513E25">
            <w:pPr>
              <w:pStyle w:val="TableText0"/>
              <w:jc w:val="center"/>
            </w:pPr>
            <w:r w:rsidRPr="000B52C6">
              <w:t>47 (23.0)</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D53406" w14:textId="77777777" w:rsidR="006B3342" w:rsidRPr="000B52C6" w:rsidRDefault="006B3342" w:rsidP="00513E25">
            <w:pPr>
              <w:pStyle w:val="TableText0"/>
              <w:jc w:val="center"/>
              <w:rPr>
                <w:b/>
                <w:bCs w:val="0"/>
                <w:iCs/>
              </w:rPr>
            </w:pPr>
            <w:r w:rsidRPr="000B52C6">
              <w:rPr>
                <w:b/>
                <w:bCs w:val="0"/>
                <w:iCs/>
              </w:rPr>
              <w:t>1.58 (1.16, 2.16)</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399F60" w14:textId="77777777" w:rsidR="006B3342" w:rsidRPr="000B52C6" w:rsidRDefault="006B3342" w:rsidP="00513E25">
            <w:pPr>
              <w:pStyle w:val="TableText0"/>
              <w:jc w:val="center"/>
              <w:rPr>
                <w:b/>
                <w:bCs w:val="0"/>
                <w:iCs/>
              </w:rPr>
            </w:pPr>
            <w:r w:rsidRPr="000B52C6">
              <w:rPr>
                <w:b/>
                <w:bCs w:val="0"/>
                <w:iCs/>
              </w:rPr>
              <w:t>0.13 (0.05, 0.22)</w:t>
            </w:r>
          </w:p>
        </w:tc>
      </w:tr>
      <w:tr w:rsidR="006B3342" w:rsidRPr="000B52C6" w14:paraId="3794EBFD" w14:textId="77777777" w:rsidTr="00513E25">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DB6093" w14:textId="77777777" w:rsidR="006B3342" w:rsidRPr="000B52C6" w:rsidRDefault="006B3342" w:rsidP="00513E25">
            <w:pPr>
              <w:pStyle w:val="TableText0"/>
            </w:pPr>
            <w:r w:rsidRPr="000B52C6">
              <w:t>Decreased appetite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14EB21" w14:textId="77777777" w:rsidR="006B3342" w:rsidRPr="000B52C6" w:rsidRDefault="006B3342" w:rsidP="00513E25">
            <w:pPr>
              <w:pStyle w:val="TableText0"/>
              <w:jc w:val="center"/>
            </w:pPr>
            <w:r w:rsidRPr="000B52C6">
              <w:t>69 (35.4)</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8D110D" w14:textId="77777777" w:rsidR="006B3342" w:rsidRPr="000B52C6" w:rsidRDefault="006B3342" w:rsidP="00513E25">
            <w:pPr>
              <w:pStyle w:val="TableText0"/>
              <w:jc w:val="center"/>
            </w:pPr>
            <w:r w:rsidRPr="000B52C6">
              <w:t>11 (5.4)</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D4052D" w14:textId="77777777" w:rsidR="006B3342" w:rsidRPr="000B52C6" w:rsidRDefault="006B3342" w:rsidP="00513E25">
            <w:pPr>
              <w:pStyle w:val="TableText0"/>
              <w:jc w:val="center"/>
              <w:rPr>
                <w:b/>
                <w:bCs w:val="0"/>
                <w:iCs/>
              </w:rPr>
            </w:pPr>
            <w:r w:rsidRPr="000B52C6">
              <w:rPr>
                <w:b/>
                <w:bCs w:val="0"/>
                <w:iCs/>
              </w:rPr>
              <w:t>6.56 (3.58, 12.02)</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9D766F0" w14:textId="77777777" w:rsidR="006B3342" w:rsidRPr="000B52C6" w:rsidRDefault="006B3342" w:rsidP="00513E25">
            <w:pPr>
              <w:pStyle w:val="TableText0"/>
              <w:jc w:val="center"/>
              <w:rPr>
                <w:b/>
                <w:bCs w:val="0"/>
                <w:iCs/>
              </w:rPr>
            </w:pPr>
            <w:r w:rsidRPr="000B52C6">
              <w:rPr>
                <w:b/>
                <w:bCs w:val="0"/>
                <w:iCs/>
              </w:rPr>
              <w:t>0.30 (0.23, 0.37)</w:t>
            </w:r>
          </w:p>
        </w:tc>
      </w:tr>
      <w:tr w:rsidR="006B3342" w:rsidRPr="000B52C6" w14:paraId="1C81C48B" w14:textId="77777777" w:rsidTr="00513E25">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72E2AD7" w14:textId="77777777" w:rsidR="006B3342" w:rsidRPr="000B52C6" w:rsidRDefault="006B3342" w:rsidP="00513E25">
            <w:pPr>
              <w:pStyle w:val="TableText0"/>
            </w:pPr>
            <w:r w:rsidRPr="000B52C6">
              <w:t>Weight decreased</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12E6374" w14:textId="77777777" w:rsidR="006B3342" w:rsidRPr="000B52C6" w:rsidRDefault="006B3342" w:rsidP="00513E25">
            <w:pPr>
              <w:pStyle w:val="TableText0"/>
              <w:jc w:val="center"/>
            </w:pPr>
            <w:r w:rsidRPr="000B52C6">
              <w:t>51 (26.2)</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AA41D1" w14:textId="77777777" w:rsidR="006B3342" w:rsidRPr="000B52C6" w:rsidRDefault="006B3342" w:rsidP="00513E25">
            <w:pPr>
              <w:pStyle w:val="TableText0"/>
              <w:jc w:val="center"/>
            </w:pPr>
            <w:r w:rsidRPr="000B52C6">
              <w:t>25 (12.3)</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ABBF52" w14:textId="77777777" w:rsidR="006B3342" w:rsidRPr="000B52C6" w:rsidRDefault="006B3342" w:rsidP="00513E25">
            <w:pPr>
              <w:pStyle w:val="TableText0"/>
              <w:jc w:val="center"/>
              <w:rPr>
                <w:b/>
                <w:bCs w:val="0"/>
                <w:iCs/>
              </w:rPr>
            </w:pPr>
            <w:r w:rsidRPr="000B52C6">
              <w:rPr>
                <w:b/>
                <w:bCs w:val="0"/>
                <w:iCs/>
              </w:rPr>
              <w:t>2.13 (1.38, 3.30)</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D7A92B" w14:textId="77777777" w:rsidR="006B3342" w:rsidRPr="000B52C6" w:rsidRDefault="006B3342" w:rsidP="00513E25">
            <w:pPr>
              <w:pStyle w:val="TableText0"/>
              <w:jc w:val="center"/>
              <w:rPr>
                <w:b/>
                <w:bCs w:val="0"/>
                <w:iCs/>
              </w:rPr>
            </w:pPr>
            <w:r w:rsidRPr="000B52C6">
              <w:rPr>
                <w:b/>
                <w:bCs w:val="0"/>
                <w:iCs/>
              </w:rPr>
              <w:t>0.14 (0.06, 0.22)</w:t>
            </w:r>
          </w:p>
        </w:tc>
      </w:tr>
      <w:tr w:rsidR="006B3342" w:rsidRPr="000B52C6" w14:paraId="2B4A9012" w14:textId="77777777" w:rsidTr="00513E25">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95DCDF5" w14:textId="77777777" w:rsidR="006B3342" w:rsidRPr="000B52C6" w:rsidRDefault="006B3342" w:rsidP="00513E25">
            <w:pPr>
              <w:pStyle w:val="TableText0"/>
            </w:pPr>
            <w:r w:rsidRPr="000B52C6">
              <w:t>Asthenia</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EB2F217" w14:textId="77777777" w:rsidR="006B3342" w:rsidRPr="000B52C6" w:rsidRDefault="006B3342" w:rsidP="00513E25">
            <w:pPr>
              <w:pStyle w:val="TableText0"/>
              <w:jc w:val="center"/>
            </w:pPr>
            <w:r w:rsidRPr="000B52C6">
              <w:t>48 (24.6)</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1FE3E24" w14:textId="77777777" w:rsidR="006B3342" w:rsidRPr="000B52C6" w:rsidRDefault="006B3342" w:rsidP="00513E25">
            <w:pPr>
              <w:pStyle w:val="TableText0"/>
              <w:jc w:val="center"/>
            </w:pPr>
            <w:r w:rsidRPr="000B52C6">
              <w:t>27 (13.2)</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A2A020" w14:textId="77777777" w:rsidR="006B3342" w:rsidRPr="000B52C6" w:rsidRDefault="006B3342" w:rsidP="00513E25">
            <w:pPr>
              <w:pStyle w:val="TableText0"/>
              <w:jc w:val="center"/>
              <w:rPr>
                <w:b/>
                <w:bCs w:val="0"/>
                <w:iCs/>
              </w:rPr>
            </w:pPr>
            <w:r w:rsidRPr="000B52C6">
              <w:rPr>
                <w:b/>
                <w:bCs w:val="0"/>
                <w:iCs/>
              </w:rPr>
              <w:t>1.86 (1.21, 2.86)</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E5DC8B" w14:textId="77777777" w:rsidR="006B3342" w:rsidRPr="000B52C6" w:rsidRDefault="006B3342" w:rsidP="00513E25">
            <w:pPr>
              <w:pStyle w:val="TableText0"/>
              <w:jc w:val="center"/>
              <w:rPr>
                <w:b/>
                <w:bCs w:val="0"/>
                <w:iCs/>
              </w:rPr>
            </w:pPr>
            <w:r w:rsidRPr="000B52C6">
              <w:rPr>
                <w:b/>
                <w:bCs w:val="0"/>
                <w:iCs/>
              </w:rPr>
              <w:t>0.11 (0.04, 0.19)</w:t>
            </w:r>
          </w:p>
        </w:tc>
      </w:tr>
      <w:tr w:rsidR="006B3342" w:rsidRPr="000B52C6" w14:paraId="5C1AE54C" w14:textId="77777777" w:rsidTr="00513E25">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85D8A1" w14:textId="77777777" w:rsidR="006B3342" w:rsidRPr="000B52C6" w:rsidRDefault="006B3342" w:rsidP="00513E25">
            <w:pPr>
              <w:pStyle w:val="TableText0"/>
            </w:pPr>
            <w:r w:rsidRPr="000B52C6">
              <w:t xml:space="preserve">Cataract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D48D61" w14:textId="77777777" w:rsidR="006B3342" w:rsidRPr="000B52C6" w:rsidRDefault="006B3342" w:rsidP="00513E25">
            <w:pPr>
              <w:pStyle w:val="TableText0"/>
              <w:jc w:val="center"/>
            </w:pPr>
            <w:r w:rsidRPr="000B52C6">
              <w:t>42 (21.5)</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0408380" w14:textId="77777777" w:rsidR="006B3342" w:rsidRPr="000B52C6" w:rsidRDefault="006B3342" w:rsidP="00513E25">
            <w:pPr>
              <w:pStyle w:val="TableText0"/>
              <w:jc w:val="center"/>
            </w:pPr>
            <w:r w:rsidRPr="000B52C6">
              <w:t>13 (6.4)</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601A75A" w14:textId="77777777" w:rsidR="006B3342" w:rsidRPr="000B52C6" w:rsidRDefault="006B3342" w:rsidP="00513E25">
            <w:pPr>
              <w:pStyle w:val="TableText0"/>
              <w:jc w:val="center"/>
              <w:rPr>
                <w:b/>
                <w:bCs w:val="0"/>
                <w:iCs/>
              </w:rPr>
            </w:pPr>
            <w:r w:rsidRPr="000B52C6">
              <w:rPr>
                <w:b/>
                <w:bCs w:val="0"/>
                <w:iCs/>
              </w:rPr>
              <w:t>3.38 (1.87, 6.10)</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7E3097" w14:textId="77777777" w:rsidR="006B3342" w:rsidRPr="000B52C6" w:rsidRDefault="006B3342" w:rsidP="00513E25">
            <w:pPr>
              <w:pStyle w:val="TableText0"/>
              <w:jc w:val="center"/>
              <w:rPr>
                <w:b/>
                <w:bCs w:val="0"/>
                <w:iCs/>
              </w:rPr>
            </w:pPr>
            <w:r w:rsidRPr="000B52C6">
              <w:rPr>
                <w:b/>
                <w:bCs w:val="0"/>
                <w:iCs/>
              </w:rPr>
              <w:t>0.15 (0.09, 0.22)</w:t>
            </w:r>
          </w:p>
        </w:tc>
      </w:tr>
      <w:tr w:rsidR="006B3342" w:rsidRPr="000B52C6" w14:paraId="31C88882" w14:textId="77777777" w:rsidTr="00513E25">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EDB89A7" w14:textId="77777777" w:rsidR="006B3342" w:rsidRPr="000B52C6" w:rsidRDefault="006B3342" w:rsidP="00513E25">
            <w:pPr>
              <w:pStyle w:val="TableText0"/>
            </w:pPr>
            <w:r w:rsidRPr="000B52C6">
              <w:t xml:space="preserve">Vomiting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3C7482" w14:textId="77777777" w:rsidR="006B3342" w:rsidRPr="000B52C6" w:rsidRDefault="006B3342" w:rsidP="00513E25">
            <w:pPr>
              <w:pStyle w:val="TableText0"/>
              <w:jc w:val="center"/>
            </w:pPr>
            <w:r w:rsidRPr="000B52C6">
              <w:t>40 (20.5)</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4E527B" w14:textId="77777777" w:rsidR="006B3342" w:rsidRPr="000B52C6" w:rsidRDefault="006B3342" w:rsidP="00513E25">
            <w:pPr>
              <w:pStyle w:val="TableText0"/>
              <w:jc w:val="center"/>
            </w:pPr>
            <w:r w:rsidRPr="000B52C6">
              <w:t>9 (4.4)</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8BEF574" w14:textId="77777777" w:rsidR="006B3342" w:rsidRPr="000B52C6" w:rsidRDefault="006B3342" w:rsidP="00513E25">
            <w:pPr>
              <w:pStyle w:val="TableText0"/>
              <w:jc w:val="center"/>
              <w:rPr>
                <w:b/>
                <w:bCs w:val="0"/>
                <w:iCs/>
              </w:rPr>
            </w:pPr>
            <w:r w:rsidRPr="000B52C6">
              <w:rPr>
                <w:b/>
                <w:bCs w:val="0"/>
                <w:iCs/>
              </w:rPr>
              <w:t>4.65 (2.32, 9.33)</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DB2288" w14:textId="77777777" w:rsidR="006B3342" w:rsidRPr="000B52C6" w:rsidRDefault="006B3342" w:rsidP="00513E25">
            <w:pPr>
              <w:pStyle w:val="TableText0"/>
              <w:jc w:val="center"/>
              <w:rPr>
                <w:b/>
                <w:bCs w:val="0"/>
                <w:iCs/>
              </w:rPr>
            </w:pPr>
            <w:r w:rsidRPr="000B52C6">
              <w:rPr>
                <w:b/>
                <w:bCs w:val="0"/>
                <w:iCs/>
              </w:rPr>
              <w:t>0.16 (0.10, 0.22)</w:t>
            </w:r>
          </w:p>
        </w:tc>
      </w:tr>
      <w:tr w:rsidR="006B3342" w:rsidRPr="000B52C6" w14:paraId="06EC8159" w14:textId="77777777" w:rsidTr="00513E25">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29B98B" w14:textId="77777777" w:rsidR="006B3342" w:rsidRPr="000B52C6" w:rsidRDefault="006B3342" w:rsidP="00513E25">
            <w:pPr>
              <w:pStyle w:val="TableText0"/>
            </w:pPr>
            <w:r w:rsidRPr="000B52C6">
              <w:t xml:space="preserve">Neutropenia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BFECED" w14:textId="77777777" w:rsidR="006B3342" w:rsidRPr="000B52C6" w:rsidRDefault="006B3342" w:rsidP="00513E25">
            <w:pPr>
              <w:pStyle w:val="TableText0"/>
              <w:jc w:val="center"/>
            </w:pPr>
            <w:r w:rsidRPr="000B52C6">
              <w:t>29 (14.9)</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F11B6F" w14:textId="77777777" w:rsidR="006B3342" w:rsidRPr="000B52C6" w:rsidRDefault="006B3342" w:rsidP="00513E25">
            <w:pPr>
              <w:pStyle w:val="TableText0"/>
              <w:jc w:val="center"/>
            </w:pPr>
            <w:r w:rsidRPr="000B52C6">
              <w:t>12 (5.9)</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B65B46" w14:textId="77777777" w:rsidR="006B3342" w:rsidRPr="000B52C6" w:rsidRDefault="006B3342" w:rsidP="00513E25">
            <w:pPr>
              <w:pStyle w:val="TableText0"/>
              <w:jc w:val="center"/>
              <w:rPr>
                <w:b/>
                <w:bCs w:val="0"/>
                <w:iCs/>
              </w:rPr>
            </w:pPr>
            <w:r w:rsidRPr="000B52C6">
              <w:rPr>
                <w:b/>
                <w:bCs w:val="0"/>
                <w:iCs/>
              </w:rPr>
              <w:t>2.53 (1.33, 4.81)</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D86021" w14:textId="77777777" w:rsidR="006B3342" w:rsidRPr="000B52C6" w:rsidRDefault="006B3342" w:rsidP="00513E25">
            <w:pPr>
              <w:pStyle w:val="TableText0"/>
              <w:jc w:val="center"/>
              <w:rPr>
                <w:b/>
                <w:bCs w:val="0"/>
                <w:iCs/>
              </w:rPr>
            </w:pPr>
            <w:r w:rsidRPr="000B52C6">
              <w:rPr>
                <w:b/>
                <w:bCs w:val="0"/>
                <w:iCs/>
              </w:rPr>
              <w:t>0.09 (0.03, 0.15)</w:t>
            </w:r>
          </w:p>
        </w:tc>
      </w:tr>
      <w:tr w:rsidR="006B3342" w:rsidRPr="000B52C6" w14:paraId="3EBA785F" w14:textId="77777777" w:rsidTr="00513E25">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A2ADF04" w14:textId="77777777" w:rsidR="006B3342" w:rsidRPr="000B52C6" w:rsidRDefault="006B3342" w:rsidP="00513E25">
            <w:pPr>
              <w:pStyle w:val="TableText0"/>
            </w:pPr>
            <w:r w:rsidRPr="000B52C6">
              <w:t xml:space="preserve">Nasopharyngitis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9BA7253" w14:textId="77777777" w:rsidR="006B3342" w:rsidRPr="000B52C6" w:rsidRDefault="006B3342" w:rsidP="00513E25">
            <w:pPr>
              <w:pStyle w:val="TableText0"/>
              <w:jc w:val="center"/>
            </w:pPr>
            <w:r w:rsidRPr="000B52C6">
              <w:t>23 (11.8)</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C093C6" w14:textId="77777777" w:rsidR="006B3342" w:rsidRPr="000B52C6" w:rsidRDefault="006B3342" w:rsidP="00513E25">
            <w:pPr>
              <w:pStyle w:val="TableText0"/>
              <w:jc w:val="center"/>
            </w:pPr>
            <w:r w:rsidRPr="000B52C6">
              <w:t>10 (4.9)</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6F1E08F" w14:textId="77777777" w:rsidR="006B3342" w:rsidRPr="000B52C6" w:rsidRDefault="006B3342" w:rsidP="00513E25">
            <w:pPr>
              <w:pStyle w:val="TableText0"/>
              <w:jc w:val="center"/>
              <w:rPr>
                <w:b/>
                <w:bCs w:val="0"/>
                <w:iCs/>
              </w:rPr>
            </w:pPr>
            <w:r w:rsidRPr="000B52C6">
              <w:rPr>
                <w:b/>
                <w:bCs w:val="0"/>
                <w:iCs/>
              </w:rPr>
              <w:t>2.41 (1.18, 4.92)</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408851" w14:textId="77777777" w:rsidR="006B3342" w:rsidRPr="000B52C6" w:rsidRDefault="006B3342" w:rsidP="00513E25">
            <w:pPr>
              <w:pStyle w:val="TableText0"/>
              <w:jc w:val="center"/>
              <w:rPr>
                <w:b/>
                <w:bCs w:val="0"/>
                <w:iCs/>
              </w:rPr>
            </w:pPr>
            <w:r w:rsidRPr="000B52C6">
              <w:rPr>
                <w:b/>
                <w:bCs w:val="0"/>
                <w:iCs/>
              </w:rPr>
              <w:t>0.07 (0.02, 0.12)</w:t>
            </w:r>
          </w:p>
        </w:tc>
      </w:tr>
      <w:tr w:rsidR="006B3342" w:rsidRPr="000B52C6" w14:paraId="1293FD2B" w14:textId="77777777" w:rsidTr="00513E25">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2A8B266" w14:textId="77777777" w:rsidR="006B3342" w:rsidRPr="000B52C6" w:rsidRDefault="006B3342" w:rsidP="00513E25">
            <w:pPr>
              <w:pStyle w:val="TableText0"/>
            </w:pPr>
            <w:r w:rsidRPr="000B52C6">
              <w:t xml:space="preserve">Dizziness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D0BD62" w14:textId="77777777" w:rsidR="006B3342" w:rsidRPr="000B52C6" w:rsidRDefault="006B3342" w:rsidP="00513E25">
            <w:pPr>
              <w:pStyle w:val="TableText0"/>
              <w:jc w:val="center"/>
            </w:pPr>
            <w:r w:rsidRPr="000B52C6">
              <w:t>24 (12.3)</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FE39A3" w14:textId="77777777" w:rsidR="006B3342" w:rsidRPr="000B52C6" w:rsidRDefault="006B3342" w:rsidP="00513E25">
            <w:pPr>
              <w:pStyle w:val="TableText0"/>
              <w:jc w:val="center"/>
            </w:pPr>
            <w:r w:rsidRPr="000B52C6">
              <w:t>8 (3.9)</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9F5DE63" w14:textId="77777777" w:rsidR="006B3342" w:rsidRPr="000B52C6" w:rsidRDefault="006B3342" w:rsidP="00513E25">
            <w:pPr>
              <w:pStyle w:val="TableText0"/>
              <w:jc w:val="center"/>
              <w:rPr>
                <w:b/>
                <w:bCs w:val="0"/>
                <w:iCs/>
              </w:rPr>
            </w:pPr>
            <w:r w:rsidRPr="000B52C6">
              <w:rPr>
                <w:b/>
                <w:bCs w:val="0"/>
                <w:iCs/>
              </w:rPr>
              <w:t>3.14 (1.44, 6.82)</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6129F9" w14:textId="77777777" w:rsidR="006B3342" w:rsidRPr="000B52C6" w:rsidRDefault="006B3342" w:rsidP="00513E25">
            <w:pPr>
              <w:pStyle w:val="TableText0"/>
              <w:jc w:val="center"/>
              <w:rPr>
                <w:b/>
                <w:bCs w:val="0"/>
                <w:iCs/>
              </w:rPr>
            </w:pPr>
            <w:r w:rsidRPr="000B52C6">
              <w:rPr>
                <w:b/>
                <w:bCs w:val="0"/>
                <w:iCs/>
              </w:rPr>
              <w:t>0.08 (0.03, 0.14)</w:t>
            </w:r>
          </w:p>
        </w:tc>
      </w:tr>
    </w:tbl>
    <w:p w14:paraId="52640794" w14:textId="77777777" w:rsidR="006B3342" w:rsidRPr="000B52C6" w:rsidRDefault="006B3342" w:rsidP="006B3342">
      <w:pPr>
        <w:pStyle w:val="TableFigureFooter"/>
        <w:keepNext/>
      </w:pPr>
      <w:r w:rsidRPr="000B52C6">
        <w:t>Source: Table 2-30, p111 of the resubmission.</w:t>
      </w:r>
    </w:p>
    <w:p w14:paraId="62839201" w14:textId="77777777" w:rsidR="006B3342" w:rsidRPr="000B52C6" w:rsidRDefault="006B3342" w:rsidP="006B3342">
      <w:pPr>
        <w:pStyle w:val="TableFigureFooter"/>
        <w:keepNext/>
      </w:pPr>
      <w:r w:rsidRPr="000B52C6">
        <w:t xml:space="preserve">Abbreviations: Bd = bortezomib + dexamethasone; CI = confidence interval; MedDRA = Medical Dictionary for Regulatory Activities; RD = risk difference; RR = relative risk; </w:t>
      </w:r>
      <w:proofErr w:type="spellStart"/>
      <w:r w:rsidRPr="000B52C6">
        <w:t>SBd</w:t>
      </w:r>
      <w:proofErr w:type="spellEnd"/>
      <w:r w:rsidRPr="000B52C6">
        <w:t xml:space="preserve"> = </w:t>
      </w:r>
      <w:proofErr w:type="spellStart"/>
      <w:r w:rsidRPr="000B52C6">
        <w:t>selinexor</w:t>
      </w:r>
      <w:proofErr w:type="spellEnd"/>
      <w:r w:rsidRPr="000B52C6">
        <w:t xml:space="preserve"> + bortezomib + dexamethasone; TEAE = treatment emergent adverse events.</w:t>
      </w:r>
    </w:p>
    <w:p w14:paraId="6C851703" w14:textId="77777777" w:rsidR="006B3342" w:rsidRPr="000B52C6" w:rsidRDefault="006B3342" w:rsidP="006B3342">
      <w:pPr>
        <w:pStyle w:val="TableFigureFooter"/>
        <w:keepNext/>
      </w:pPr>
      <w:r w:rsidRPr="000B52C6">
        <w:t xml:space="preserve">Notes: </w:t>
      </w:r>
      <w:r w:rsidRPr="000B52C6">
        <w:rPr>
          <w:rFonts w:eastAsia="Calibri"/>
          <w:b/>
          <w:bCs/>
        </w:rPr>
        <w:t>Bold</w:t>
      </w:r>
      <w:r w:rsidRPr="000B52C6">
        <w:rPr>
          <w:rFonts w:eastAsia="Calibri"/>
        </w:rPr>
        <w:t xml:space="preserve"> indicates statistically significant results.</w:t>
      </w:r>
    </w:p>
    <w:p w14:paraId="48D0C873" w14:textId="77777777" w:rsidR="006B3342" w:rsidRPr="000B52C6" w:rsidRDefault="006B3342" w:rsidP="006B3342">
      <w:pPr>
        <w:pStyle w:val="TableFigureFooter"/>
        <w:keepNext/>
      </w:pPr>
      <w:r w:rsidRPr="000B52C6">
        <w:t>For patients who crossed over, AEs that occurred after the crossover were not included.</w:t>
      </w:r>
    </w:p>
    <w:p w14:paraId="0CA6AF15" w14:textId="77777777" w:rsidR="006B3342" w:rsidRPr="000B52C6" w:rsidRDefault="006B3342" w:rsidP="006B3342">
      <w:pPr>
        <w:pStyle w:val="TableFigureFooter"/>
        <w:keepNext/>
      </w:pPr>
      <w:r w:rsidRPr="000B52C6">
        <w:t xml:space="preserve">This table uses MedDRA version 22.0. </w:t>
      </w:r>
    </w:p>
    <w:p w14:paraId="71978128" w14:textId="77777777" w:rsidR="006B3342" w:rsidRPr="000B52C6" w:rsidRDefault="006B3342" w:rsidP="006B3342">
      <w:pPr>
        <w:pStyle w:val="TableFigureFooter"/>
        <w:keepNext/>
      </w:pPr>
      <w:r w:rsidRPr="000B52C6">
        <w:t>Preferred Terms are recoded to aggregate medically similar preferred terms.</w:t>
      </w:r>
    </w:p>
    <w:p w14:paraId="5C42D523" w14:textId="77777777" w:rsidR="006B3342" w:rsidRPr="000B52C6" w:rsidRDefault="006B3342" w:rsidP="006B3342">
      <w:pPr>
        <w:pStyle w:val="TableFigureFooter"/>
        <w:keepNext/>
        <w:rPr>
          <w:bCs/>
          <w:iCs/>
          <w:szCs w:val="18"/>
        </w:rPr>
      </w:pPr>
      <w:r w:rsidRPr="000B52C6">
        <w:rPr>
          <w:rStyle w:val="CommentReference"/>
          <w:b w:val="0"/>
          <w:bCs/>
          <w:iCs/>
          <w:sz w:val="18"/>
          <w:szCs w:val="18"/>
          <w:shd w:val="clear" w:color="auto" w:fill="C6D9F1" w:themeFill="text2" w:themeFillTint="33"/>
        </w:rPr>
        <w:t>Blue shading</w:t>
      </w:r>
      <w:r w:rsidRPr="000B52C6">
        <w:rPr>
          <w:rStyle w:val="CommentReference"/>
          <w:b w:val="0"/>
          <w:bCs/>
          <w:iCs/>
          <w:sz w:val="18"/>
          <w:szCs w:val="18"/>
        </w:rPr>
        <w:t xml:space="preserve"> indicates data previously seen by the PBAC. </w:t>
      </w:r>
    </w:p>
    <w:p w14:paraId="0AF7986E" w14:textId="46445227" w:rsidR="006B3342" w:rsidRPr="000B52C6" w:rsidRDefault="006B3342" w:rsidP="006B3342">
      <w:pPr>
        <w:pStyle w:val="TableFigureFooter"/>
        <w:keepNext/>
      </w:pPr>
      <w:r w:rsidRPr="000B52C6">
        <w:t xml:space="preserve">a. </w:t>
      </w:r>
      <w:r w:rsidRPr="000B52C6">
        <w:rPr>
          <w:iCs/>
        </w:rPr>
        <w:t>RD and RR was calculated during the evaluation</w:t>
      </w:r>
      <w:r w:rsidRPr="000B52C6">
        <w:t xml:space="preserve">.  </w:t>
      </w:r>
    </w:p>
    <w:p w14:paraId="46106AEC" w14:textId="77777777" w:rsidR="00EA410E" w:rsidRPr="000B52C6" w:rsidRDefault="00EA410E" w:rsidP="003C2C6F"/>
    <w:p w14:paraId="579F58F9" w14:textId="77777777" w:rsidR="006B3342" w:rsidRPr="000B52C6" w:rsidRDefault="006B3342" w:rsidP="003C2C6F">
      <w:pPr>
        <w:pStyle w:val="3-BodyText"/>
        <w:keepNext/>
        <w:numPr>
          <w:ilvl w:val="0"/>
          <w:numId w:val="0"/>
        </w:numPr>
        <w:ind w:left="720" w:hanging="720"/>
        <w:rPr>
          <w:iCs/>
        </w:rPr>
      </w:pPr>
      <w:r w:rsidRPr="000B52C6">
        <w:rPr>
          <w:iCs/>
        </w:rPr>
        <w:t>Grade ≥3 TEAEs</w:t>
      </w:r>
    </w:p>
    <w:p w14:paraId="17253E52" w14:textId="297B17EE" w:rsidR="006B3342" w:rsidRPr="000B52C6" w:rsidRDefault="006B3342" w:rsidP="006B3342">
      <w:pPr>
        <w:pStyle w:val="3-BodyText"/>
        <w:ind w:left="720" w:hanging="720"/>
      </w:pPr>
      <w:r w:rsidRPr="000B52C6">
        <w:t xml:space="preserve">The occurrence of Grade ≥3 TEAEs is presented in </w:t>
      </w:r>
      <w:r w:rsidRPr="000B52C6">
        <w:fldChar w:fldCharType="begin"/>
      </w:r>
      <w:r w:rsidRPr="000B52C6">
        <w:instrText xml:space="preserve"> REF _Ref90370132 \h  \* MERGEFORMAT </w:instrText>
      </w:r>
      <w:r w:rsidRPr="000B52C6">
        <w:fldChar w:fldCharType="separate"/>
      </w:r>
      <w:r w:rsidR="00FF5725" w:rsidRPr="00FF5725">
        <w:t>Table 13</w:t>
      </w:r>
      <w:r w:rsidRPr="000B52C6">
        <w:fldChar w:fldCharType="end"/>
      </w:r>
      <w:r w:rsidRPr="000B52C6">
        <w:t xml:space="preserve"> and shows statistically significantly more thrombocytopenia (39.5% versus 17.2%), fatigue (13.3% versus 1.0%), neutropenia (8.7% versus 3.4%), nausea (7.7% versus 0.0%), cataract (8.7% versus 1.5%), and diarrhoea (6.2% versus 0.5%) for </w:t>
      </w:r>
      <w:proofErr w:type="spellStart"/>
      <w:r w:rsidRPr="000B52C6">
        <w:t>SBd</w:t>
      </w:r>
      <w:proofErr w:type="spellEnd"/>
      <w:r w:rsidRPr="000B52C6">
        <w:t xml:space="preserve"> compared with Bd.</w:t>
      </w:r>
    </w:p>
    <w:p w14:paraId="0AD49EEB" w14:textId="310BB6A1" w:rsidR="006B3342" w:rsidRPr="000B52C6" w:rsidRDefault="006B3342" w:rsidP="006B3342">
      <w:pPr>
        <w:keepNext/>
        <w:rPr>
          <w:rFonts w:ascii="Arial Narrow" w:eastAsiaTheme="majorEastAsia" w:hAnsi="Arial Narrow" w:cstheme="majorBidi"/>
          <w:b/>
          <w:bCs/>
          <w:sz w:val="20"/>
        </w:rPr>
      </w:pPr>
      <w:bookmarkStart w:id="36" w:name="_Ref90370132"/>
      <w:r w:rsidRPr="000B52C6">
        <w:rPr>
          <w:rFonts w:ascii="Arial Narrow" w:eastAsiaTheme="majorEastAsia" w:hAnsi="Arial Narrow" w:cstheme="majorBidi"/>
          <w:b/>
          <w:bCs/>
          <w:sz w:val="20"/>
        </w:rPr>
        <w:t xml:space="preserve">Table </w:t>
      </w:r>
      <w:r w:rsidRPr="000B52C6">
        <w:rPr>
          <w:rFonts w:ascii="Arial Narrow" w:eastAsiaTheme="majorEastAsia" w:hAnsi="Arial Narrow" w:cstheme="majorBidi"/>
          <w:b/>
          <w:bCs/>
          <w:sz w:val="20"/>
        </w:rPr>
        <w:fldChar w:fldCharType="begin"/>
      </w:r>
      <w:r w:rsidRPr="000B52C6">
        <w:rPr>
          <w:rFonts w:ascii="Arial Narrow" w:eastAsiaTheme="majorEastAsia" w:hAnsi="Arial Narrow" w:cstheme="majorBidi"/>
          <w:b/>
          <w:bCs/>
          <w:sz w:val="20"/>
        </w:rPr>
        <w:instrText xml:space="preserve"> SEQ Table \* ARABIC </w:instrText>
      </w:r>
      <w:r w:rsidRPr="000B52C6">
        <w:rPr>
          <w:rFonts w:ascii="Arial Narrow" w:eastAsiaTheme="majorEastAsia" w:hAnsi="Arial Narrow" w:cstheme="majorBidi"/>
          <w:b/>
          <w:bCs/>
          <w:sz w:val="20"/>
        </w:rPr>
        <w:fldChar w:fldCharType="separate"/>
      </w:r>
      <w:r w:rsidR="00FF5725">
        <w:rPr>
          <w:rFonts w:ascii="Arial Narrow" w:eastAsiaTheme="majorEastAsia" w:hAnsi="Arial Narrow" w:cstheme="majorBidi"/>
          <w:b/>
          <w:bCs/>
          <w:noProof/>
          <w:sz w:val="20"/>
        </w:rPr>
        <w:t>13</w:t>
      </w:r>
      <w:r w:rsidRPr="000B52C6">
        <w:rPr>
          <w:rFonts w:ascii="Arial Narrow" w:eastAsiaTheme="majorEastAsia" w:hAnsi="Arial Narrow" w:cstheme="majorBidi"/>
          <w:b/>
          <w:bCs/>
          <w:sz w:val="20"/>
        </w:rPr>
        <w:fldChar w:fldCharType="end"/>
      </w:r>
      <w:bookmarkEnd w:id="36"/>
      <w:r w:rsidRPr="000B52C6">
        <w:rPr>
          <w:rFonts w:ascii="Arial Narrow" w:eastAsiaTheme="majorEastAsia" w:hAnsi="Arial Narrow" w:cstheme="majorBidi"/>
          <w:b/>
          <w:bCs/>
          <w:sz w:val="20"/>
        </w:rPr>
        <w:t>: Treatment-emergent Grade 3 or higher adverse events occurring in ≥5% of patients in either treatment arm (safety population)</w:t>
      </w:r>
    </w:p>
    <w:tbl>
      <w:tblPr>
        <w:tblStyle w:val="TableGrid"/>
        <w:tblW w:w="9067" w:type="dxa"/>
        <w:tblLook w:val="04A0" w:firstRow="1" w:lastRow="0" w:firstColumn="1" w:lastColumn="0" w:noHBand="0" w:noVBand="1"/>
      </w:tblPr>
      <w:tblGrid>
        <w:gridCol w:w="1722"/>
        <w:gridCol w:w="1077"/>
        <w:gridCol w:w="1165"/>
        <w:gridCol w:w="1560"/>
        <w:gridCol w:w="1701"/>
        <w:gridCol w:w="1842"/>
      </w:tblGrid>
      <w:tr w:rsidR="006B3342" w:rsidRPr="000B52C6" w14:paraId="70FA4472" w14:textId="77777777" w:rsidTr="00513E25">
        <w:tc>
          <w:tcPr>
            <w:tcW w:w="1722"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19E149A8" w14:textId="77777777" w:rsidR="006B3342" w:rsidRPr="000B52C6" w:rsidRDefault="006B3342" w:rsidP="00513E25">
            <w:pPr>
              <w:pStyle w:val="TableText0"/>
              <w:rPr>
                <w:b/>
                <w:bCs w:val="0"/>
              </w:rPr>
            </w:pPr>
            <w:r w:rsidRPr="000B52C6">
              <w:rPr>
                <w:b/>
                <w:bCs w:val="0"/>
              </w:rPr>
              <w:t>MedDRA preferred term</w:t>
            </w:r>
          </w:p>
        </w:tc>
        <w:tc>
          <w:tcPr>
            <w:tcW w:w="734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D372EB" w14:textId="77777777" w:rsidR="006B3342" w:rsidRPr="000B52C6" w:rsidRDefault="006B3342" w:rsidP="00513E25">
            <w:pPr>
              <w:pStyle w:val="In-tableHeading"/>
              <w:jc w:val="center"/>
              <w:rPr>
                <w:lang w:val="en-AU"/>
              </w:rPr>
            </w:pPr>
            <w:r w:rsidRPr="000B52C6">
              <w:rPr>
                <w:lang w:val="en-AU"/>
              </w:rPr>
              <w:t>BOSTON</w:t>
            </w:r>
          </w:p>
          <w:p w14:paraId="34EC86C0" w14:textId="77777777" w:rsidR="006B3342" w:rsidRPr="000B52C6" w:rsidRDefault="006B3342" w:rsidP="00513E25">
            <w:pPr>
              <w:pStyle w:val="TableText0"/>
              <w:jc w:val="center"/>
              <w:rPr>
                <w:b/>
                <w:bCs w:val="0"/>
                <w:iCs/>
              </w:rPr>
            </w:pPr>
            <w:r w:rsidRPr="000B52C6">
              <w:rPr>
                <w:b/>
                <w:bCs w:val="0"/>
              </w:rPr>
              <w:t>(original data cut-off Feb 2020)</w:t>
            </w:r>
          </w:p>
        </w:tc>
      </w:tr>
      <w:tr w:rsidR="006B3342" w:rsidRPr="000B52C6" w14:paraId="3ABF968E" w14:textId="77777777" w:rsidTr="00513E25">
        <w:tc>
          <w:tcPr>
            <w:tcW w:w="1722" w:type="dxa"/>
            <w:vMerge/>
            <w:tcBorders>
              <w:left w:val="single" w:sz="4" w:space="0" w:color="auto"/>
              <w:bottom w:val="single" w:sz="4" w:space="0" w:color="auto"/>
              <w:right w:val="single" w:sz="4" w:space="0" w:color="auto"/>
            </w:tcBorders>
            <w:shd w:val="clear" w:color="auto" w:fill="C6D9F1" w:themeFill="text2" w:themeFillTint="33"/>
            <w:vAlign w:val="center"/>
            <w:hideMark/>
          </w:tcPr>
          <w:p w14:paraId="4C20BB4E" w14:textId="77777777" w:rsidR="006B3342" w:rsidRPr="000B52C6" w:rsidRDefault="006B3342" w:rsidP="00513E25">
            <w:pPr>
              <w:pStyle w:val="TableText0"/>
              <w:rPr>
                <w:b/>
                <w:bCs w:val="0"/>
              </w:rPr>
            </w:pP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BE7CC6" w14:textId="77777777" w:rsidR="006B3342" w:rsidRPr="000B52C6" w:rsidRDefault="006B3342" w:rsidP="00513E25">
            <w:pPr>
              <w:pStyle w:val="TableText0"/>
              <w:jc w:val="center"/>
              <w:rPr>
                <w:b/>
                <w:bCs w:val="0"/>
              </w:rPr>
            </w:pPr>
            <w:proofErr w:type="spellStart"/>
            <w:r w:rsidRPr="000B52C6">
              <w:rPr>
                <w:b/>
                <w:bCs w:val="0"/>
              </w:rPr>
              <w:t>SBd</w:t>
            </w:r>
            <w:proofErr w:type="spellEnd"/>
            <w:r w:rsidRPr="000B52C6">
              <w:rPr>
                <w:b/>
                <w:bCs w:val="0"/>
              </w:rPr>
              <w:t xml:space="preserve"> arm</w:t>
            </w:r>
          </w:p>
          <w:p w14:paraId="0CC57ED1" w14:textId="77777777" w:rsidR="006B3342" w:rsidRPr="000B52C6" w:rsidRDefault="006B3342" w:rsidP="00513E25">
            <w:pPr>
              <w:pStyle w:val="TableText0"/>
              <w:jc w:val="center"/>
              <w:rPr>
                <w:b/>
                <w:bCs w:val="0"/>
              </w:rPr>
            </w:pPr>
            <w:r w:rsidRPr="000B52C6">
              <w:rPr>
                <w:b/>
                <w:bCs w:val="0"/>
              </w:rPr>
              <w:t>(N=195)</w:t>
            </w:r>
          </w:p>
          <w:p w14:paraId="0F9EC4F6" w14:textId="77777777" w:rsidR="006B3342" w:rsidRPr="000B52C6" w:rsidRDefault="006B3342" w:rsidP="00513E25">
            <w:pPr>
              <w:pStyle w:val="TableText0"/>
              <w:jc w:val="center"/>
              <w:rPr>
                <w:b/>
                <w:bCs w:val="0"/>
              </w:rPr>
            </w:pPr>
            <w:r w:rsidRPr="000B52C6">
              <w:rPr>
                <w:b/>
                <w:bCs w:val="0"/>
              </w:rPr>
              <w:t>n (%)</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F6CB36" w14:textId="77777777" w:rsidR="006B3342" w:rsidRPr="000B52C6" w:rsidRDefault="006B3342" w:rsidP="00513E25">
            <w:pPr>
              <w:pStyle w:val="TableText0"/>
              <w:jc w:val="center"/>
              <w:rPr>
                <w:b/>
                <w:bCs w:val="0"/>
              </w:rPr>
            </w:pPr>
            <w:r w:rsidRPr="000B52C6">
              <w:rPr>
                <w:b/>
                <w:bCs w:val="0"/>
              </w:rPr>
              <w:t>Bd arm</w:t>
            </w:r>
          </w:p>
          <w:p w14:paraId="0EDEB927" w14:textId="77777777" w:rsidR="006B3342" w:rsidRPr="000B52C6" w:rsidRDefault="006B3342" w:rsidP="00513E25">
            <w:pPr>
              <w:pStyle w:val="TableText0"/>
              <w:jc w:val="center"/>
              <w:rPr>
                <w:b/>
                <w:bCs w:val="0"/>
              </w:rPr>
            </w:pPr>
            <w:r w:rsidRPr="000B52C6">
              <w:rPr>
                <w:b/>
                <w:bCs w:val="0"/>
              </w:rPr>
              <w:t>(N=204)</w:t>
            </w:r>
          </w:p>
          <w:p w14:paraId="1171BB2D" w14:textId="77777777" w:rsidR="006B3342" w:rsidRPr="000B52C6" w:rsidRDefault="006B3342" w:rsidP="00513E25">
            <w:pPr>
              <w:pStyle w:val="TableText0"/>
              <w:jc w:val="center"/>
              <w:rPr>
                <w:b/>
                <w:bCs w:val="0"/>
              </w:rPr>
            </w:pPr>
            <w:r w:rsidRPr="000B52C6">
              <w:rPr>
                <w:b/>
                <w:bCs w:val="0"/>
              </w:rPr>
              <w:t>n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6750E" w14:textId="77777777" w:rsidR="006B3342" w:rsidRPr="000B52C6" w:rsidRDefault="006B3342" w:rsidP="00513E25">
            <w:pPr>
              <w:pStyle w:val="TableText0"/>
              <w:jc w:val="center"/>
              <w:rPr>
                <w:b/>
                <w:bCs w:val="0"/>
              </w:rPr>
            </w:pPr>
            <w:r w:rsidRPr="000B52C6">
              <w:rPr>
                <w:b/>
                <w:bCs w:val="0"/>
              </w:rPr>
              <w:t>OR</w:t>
            </w:r>
          </w:p>
          <w:p w14:paraId="05656D69" w14:textId="77777777" w:rsidR="006B3342" w:rsidRPr="000B52C6" w:rsidRDefault="006B3342" w:rsidP="00513E25">
            <w:pPr>
              <w:pStyle w:val="TableText0"/>
              <w:jc w:val="center"/>
              <w:rPr>
                <w:b/>
                <w:bCs w:val="0"/>
                <w:iCs/>
              </w:rPr>
            </w:pPr>
            <w:r w:rsidRPr="000B52C6">
              <w:rPr>
                <w:b/>
              </w:rPr>
              <w:t xml:space="preserve">(95% </w:t>
            </w:r>
            <w:proofErr w:type="gramStart"/>
            <w:r w:rsidRPr="000B52C6">
              <w:rPr>
                <w:b/>
              </w:rPr>
              <w:t>CI)</w:t>
            </w:r>
            <w:r w:rsidRPr="000B52C6">
              <w:rPr>
                <w:b/>
                <w:vertAlign w:val="superscript"/>
              </w:rPr>
              <w:t>b</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230806" w14:textId="77777777" w:rsidR="006B3342" w:rsidRPr="000B52C6" w:rsidRDefault="006B3342" w:rsidP="00513E25">
            <w:pPr>
              <w:pStyle w:val="TableText0"/>
              <w:jc w:val="center"/>
              <w:rPr>
                <w:b/>
                <w:bCs w:val="0"/>
                <w:iCs/>
              </w:rPr>
            </w:pPr>
            <w:r w:rsidRPr="000B52C6">
              <w:rPr>
                <w:b/>
                <w:bCs w:val="0"/>
                <w:iCs/>
              </w:rPr>
              <w:t>RR</w:t>
            </w:r>
          </w:p>
          <w:p w14:paraId="1DF78E78" w14:textId="77777777" w:rsidR="006B3342" w:rsidRPr="000B52C6" w:rsidRDefault="006B3342" w:rsidP="00513E25">
            <w:pPr>
              <w:pStyle w:val="TableText0"/>
              <w:jc w:val="center"/>
              <w:rPr>
                <w:b/>
                <w:bCs w:val="0"/>
                <w:iCs/>
              </w:rPr>
            </w:pPr>
            <w:r w:rsidRPr="000B52C6">
              <w:rPr>
                <w:b/>
                <w:bCs w:val="0"/>
                <w:iCs/>
              </w:rPr>
              <w:t xml:space="preserve">(95% </w:t>
            </w:r>
            <w:proofErr w:type="gramStart"/>
            <w:r w:rsidRPr="000B52C6">
              <w:rPr>
                <w:b/>
                <w:bCs w:val="0"/>
                <w:iCs/>
              </w:rPr>
              <w:t>CI)</w:t>
            </w:r>
            <w:r w:rsidRPr="000B52C6">
              <w:rPr>
                <w:b/>
                <w:bCs w:val="0"/>
                <w:iCs/>
                <w:vertAlign w:val="superscript"/>
              </w:rPr>
              <w:t>a</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216597" w14:textId="77777777" w:rsidR="006B3342" w:rsidRPr="000B52C6" w:rsidRDefault="006B3342" w:rsidP="00513E25">
            <w:pPr>
              <w:pStyle w:val="TableText0"/>
              <w:jc w:val="center"/>
              <w:rPr>
                <w:b/>
                <w:bCs w:val="0"/>
                <w:iCs/>
              </w:rPr>
            </w:pPr>
            <w:r w:rsidRPr="000B52C6">
              <w:rPr>
                <w:b/>
                <w:bCs w:val="0"/>
                <w:iCs/>
              </w:rPr>
              <w:t>RD</w:t>
            </w:r>
          </w:p>
          <w:p w14:paraId="45431D15" w14:textId="77777777" w:rsidR="006B3342" w:rsidRPr="000B52C6" w:rsidRDefault="006B3342" w:rsidP="00513E25">
            <w:pPr>
              <w:pStyle w:val="TableText0"/>
              <w:jc w:val="center"/>
              <w:rPr>
                <w:b/>
                <w:bCs w:val="0"/>
              </w:rPr>
            </w:pPr>
            <w:r w:rsidRPr="000B52C6">
              <w:rPr>
                <w:b/>
                <w:bCs w:val="0"/>
                <w:iCs/>
              </w:rPr>
              <w:t xml:space="preserve">(95% </w:t>
            </w:r>
            <w:proofErr w:type="gramStart"/>
            <w:r w:rsidRPr="000B52C6">
              <w:rPr>
                <w:b/>
                <w:bCs w:val="0"/>
                <w:iCs/>
              </w:rPr>
              <w:t>CI)</w:t>
            </w:r>
            <w:r w:rsidRPr="000B52C6">
              <w:rPr>
                <w:b/>
                <w:bCs w:val="0"/>
                <w:iCs/>
                <w:vertAlign w:val="superscript"/>
              </w:rPr>
              <w:t>a</w:t>
            </w:r>
            <w:proofErr w:type="gramEnd"/>
          </w:p>
        </w:tc>
      </w:tr>
      <w:tr w:rsidR="006B3342" w:rsidRPr="000B52C6" w14:paraId="4E2286CC" w14:textId="77777777" w:rsidTr="00513E25">
        <w:tc>
          <w:tcPr>
            <w:tcW w:w="17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FF9CF3" w14:textId="77777777" w:rsidR="006B3342" w:rsidRPr="000B52C6" w:rsidRDefault="006B3342" w:rsidP="00513E25">
            <w:pPr>
              <w:pStyle w:val="TableText0"/>
            </w:pPr>
            <w:r w:rsidRPr="000B52C6">
              <w:t>Patients with ≥1 Grade 3+ TEAE</w:t>
            </w: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3350E8B" w14:textId="77777777" w:rsidR="006B3342" w:rsidRPr="000B52C6" w:rsidRDefault="006B3342" w:rsidP="00513E25">
            <w:pPr>
              <w:pStyle w:val="TableText0"/>
              <w:jc w:val="center"/>
            </w:pPr>
            <w:r w:rsidRPr="000B52C6">
              <w:t>166 (85.1)</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7B8C11" w14:textId="77777777" w:rsidR="006B3342" w:rsidRPr="000B52C6" w:rsidRDefault="006B3342" w:rsidP="00513E25">
            <w:pPr>
              <w:pStyle w:val="TableText0"/>
              <w:jc w:val="center"/>
            </w:pPr>
            <w:r w:rsidRPr="000B52C6">
              <w:t>125 (61.3)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92A0B" w14:textId="77777777" w:rsidR="006B3342" w:rsidRPr="000B52C6" w:rsidRDefault="006B3342" w:rsidP="00513E25">
            <w:pPr>
              <w:pStyle w:val="TableText0"/>
              <w:jc w:val="center"/>
              <w:rPr>
                <w:b/>
                <w:bCs w:val="0"/>
                <w:iCs/>
              </w:rPr>
            </w:pPr>
            <w:r w:rsidRPr="000B52C6">
              <w:rPr>
                <w:b/>
                <w:iCs/>
              </w:rPr>
              <w:t>3.62 (2.23, 5.87)</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D8EA583" w14:textId="77777777" w:rsidR="006B3342" w:rsidRPr="000B52C6" w:rsidRDefault="006B3342" w:rsidP="00513E25">
            <w:pPr>
              <w:pStyle w:val="TableText0"/>
              <w:jc w:val="center"/>
              <w:rPr>
                <w:b/>
                <w:bCs w:val="0"/>
                <w:iCs/>
              </w:rPr>
            </w:pPr>
            <w:r w:rsidRPr="000B52C6">
              <w:rPr>
                <w:b/>
                <w:bCs w:val="0"/>
                <w:iCs/>
              </w:rPr>
              <w:t>1.39</w:t>
            </w:r>
          </w:p>
          <w:p w14:paraId="7470714C" w14:textId="77777777" w:rsidR="006B3342" w:rsidRPr="000B52C6" w:rsidRDefault="006B3342" w:rsidP="00513E25">
            <w:pPr>
              <w:pStyle w:val="TableText0"/>
              <w:jc w:val="center"/>
              <w:rPr>
                <w:b/>
                <w:bCs w:val="0"/>
                <w:iCs/>
              </w:rPr>
            </w:pPr>
            <w:r w:rsidRPr="000B52C6">
              <w:rPr>
                <w:b/>
                <w:bCs w:val="0"/>
                <w:iCs/>
              </w:rPr>
              <w:t xml:space="preserve"> (1.23, 1.57)</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B7613B" w14:textId="77777777" w:rsidR="006B3342" w:rsidRPr="000B52C6" w:rsidRDefault="006B3342" w:rsidP="00513E25">
            <w:pPr>
              <w:pStyle w:val="TableText0"/>
              <w:jc w:val="center"/>
              <w:rPr>
                <w:b/>
                <w:bCs w:val="0"/>
                <w:iCs/>
              </w:rPr>
            </w:pPr>
            <w:r w:rsidRPr="000B52C6">
              <w:rPr>
                <w:b/>
                <w:bCs w:val="0"/>
                <w:iCs/>
              </w:rPr>
              <w:t xml:space="preserve">0.24 </w:t>
            </w:r>
          </w:p>
          <w:p w14:paraId="4E19C835" w14:textId="77777777" w:rsidR="006B3342" w:rsidRPr="000B52C6" w:rsidRDefault="006B3342" w:rsidP="00513E25">
            <w:pPr>
              <w:pStyle w:val="TableText0"/>
              <w:jc w:val="center"/>
            </w:pPr>
            <w:r w:rsidRPr="000B52C6">
              <w:rPr>
                <w:b/>
                <w:bCs w:val="0"/>
                <w:iCs/>
              </w:rPr>
              <w:t>(0.16, 0.32)</w:t>
            </w:r>
          </w:p>
        </w:tc>
      </w:tr>
      <w:tr w:rsidR="006B3342" w:rsidRPr="000B52C6" w14:paraId="6004B84B" w14:textId="77777777" w:rsidTr="00513E25">
        <w:tc>
          <w:tcPr>
            <w:tcW w:w="17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9A2F61" w14:textId="77777777" w:rsidR="006B3342" w:rsidRPr="000B52C6" w:rsidRDefault="006B3342" w:rsidP="00513E25">
            <w:pPr>
              <w:pStyle w:val="TableText0"/>
            </w:pPr>
            <w:r w:rsidRPr="000B52C6">
              <w:t xml:space="preserve">Thrombocytopenia </w:t>
            </w: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186BF6" w14:textId="77777777" w:rsidR="006B3342" w:rsidRPr="000B52C6" w:rsidRDefault="006B3342" w:rsidP="00513E25">
            <w:pPr>
              <w:pStyle w:val="TableText0"/>
              <w:jc w:val="center"/>
            </w:pPr>
            <w:r w:rsidRPr="000B52C6">
              <w:t>77 (39.5)</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F2A066" w14:textId="77777777" w:rsidR="006B3342" w:rsidRPr="000B52C6" w:rsidRDefault="006B3342" w:rsidP="00513E25">
            <w:pPr>
              <w:pStyle w:val="TableText0"/>
              <w:jc w:val="center"/>
            </w:pPr>
            <w:r w:rsidRPr="000B52C6">
              <w:t>35 (17.2)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02F56" w14:textId="77777777" w:rsidR="006B3342" w:rsidRPr="000B52C6" w:rsidRDefault="006B3342" w:rsidP="00513E25">
            <w:pPr>
              <w:pStyle w:val="TableText0"/>
              <w:jc w:val="center"/>
              <w:rPr>
                <w:b/>
                <w:bCs w:val="0"/>
              </w:rPr>
            </w:pPr>
            <w:r w:rsidRPr="000B52C6">
              <w:rPr>
                <w:b/>
                <w:bCs w:val="0"/>
              </w:rPr>
              <w:t xml:space="preserve">3.15 </w:t>
            </w:r>
          </w:p>
          <w:p w14:paraId="3324DE9E" w14:textId="77777777" w:rsidR="006B3342" w:rsidRPr="000B52C6" w:rsidRDefault="006B3342" w:rsidP="00513E25">
            <w:pPr>
              <w:pStyle w:val="TableText0"/>
              <w:jc w:val="center"/>
              <w:rPr>
                <w:b/>
                <w:bCs w:val="0"/>
                <w:iCs/>
              </w:rPr>
            </w:pPr>
            <w:r w:rsidRPr="000B52C6">
              <w:rPr>
                <w:b/>
              </w:rPr>
              <w:t>(1.98, 5.01)</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87D2E37" w14:textId="77777777" w:rsidR="006B3342" w:rsidRPr="000B52C6" w:rsidRDefault="006B3342" w:rsidP="00513E25">
            <w:pPr>
              <w:pStyle w:val="TableText0"/>
              <w:jc w:val="center"/>
              <w:rPr>
                <w:b/>
                <w:bCs w:val="0"/>
                <w:iCs/>
              </w:rPr>
            </w:pPr>
            <w:r w:rsidRPr="000B52C6">
              <w:rPr>
                <w:b/>
                <w:bCs w:val="0"/>
                <w:iCs/>
              </w:rPr>
              <w:t>2.30</w:t>
            </w:r>
          </w:p>
          <w:p w14:paraId="6562AD26" w14:textId="77777777" w:rsidR="006B3342" w:rsidRPr="000B52C6" w:rsidRDefault="006B3342" w:rsidP="00513E25">
            <w:pPr>
              <w:pStyle w:val="TableText0"/>
              <w:jc w:val="center"/>
              <w:rPr>
                <w:b/>
                <w:bCs w:val="0"/>
                <w:iCs/>
              </w:rPr>
            </w:pPr>
            <w:r w:rsidRPr="000B52C6">
              <w:rPr>
                <w:b/>
                <w:bCs w:val="0"/>
                <w:iCs/>
              </w:rPr>
              <w:t xml:space="preserve"> (1.63, 3.26)</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997B5A" w14:textId="77777777" w:rsidR="006B3342" w:rsidRPr="000B52C6" w:rsidRDefault="006B3342" w:rsidP="00513E25">
            <w:pPr>
              <w:pStyle w:val="TableText0"/>
              <w:jc w:val="center"/>
              <w:rPr>
                <w:b/>
                <w:bCs w:val="0"/>
                <w:iCs/>
              </w:rPr>
            </w:pPr>
            <w:r w:rsidRPr="000B52C6">
              <w:rPr>
                <w:b/>
                <w:bCs w:val="0"/>
                <w:iCs/>
              </w:rPr>
              <w:t xml:space="preserve">0.22 </w:t>
            </w:r>
          </w:p>
          <w:p w14:paraId="3C1DD86E" w14:textId="77777777" w:rsidR="006B3342" w:rsidRPr="000B52C6" w:rsidRDefault="006B3342" w:rsidP="00513E25">
            <w:pPr>
              <w:pStyle w:val="TableText0"/>
              <w:jc w:val="center"/>
              <w:rPr>
                <w:b/>
                <w:bCs w:val="0"/>
              </w:rPr>
            </w:pPr>
            <w:r w:rsidRPr="000B52C6">
              <w:rPr>
                <w:b/>
                <w:bCs w:val="0"/>
                <w:iCs/>
              </w:rPr>
              <w:t>(0.14, 0.31)</w:t>
            </w:r>
          </w:p>
        </w:tc>
      </w:tr>
      <w:tr w:rsidR="006B3342" w:rsidRPr="000B52C6" w14:paraId="0E3D399E" w14:textId="77777777" w:rsidTr="00513E25">
        <w:tc>
          <w:tcPr>
            <w:tcW w:w="17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01F0843" w14:textId="77777777" w:rsidR="006B3342" w:rsidRPr="000B52C6" w:rsidRDefault="006B3342" w:rsidP="00513E25">
            <w:pPr>
              <w:pStyle w:val="TableText0"/>
            </w:pPr>
            <w:r w:rsidRPr="000B52C6">
              <w:t xml:space="preserve">Fatigue </w:t>
            </w: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8CC536" w14:textId="77777777" w:rsidR="006B3342" w:rsidRPr="000B52C6" w:rsidRDefault="006B3342" w:rsidP="00513E25">
            <w:pPr>
              <w:pStyle w:val="TableText0"/>
              <w:jc w:val="center"/>
            </w:pPr>
            <w:r w:rsidRPr="000B52C6">
              <w:t>26 (13.3)</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767E6A" w14:textId="77777777" w:rsidR="006B3342" w:rsidRPr="000B52C6" w:rsidRDefault="006B3342" w:rsidP="00513E25">
            <w:pPr>
              <w:pStyle w:val="TableText0"/>
              <w:jc w:val="center"/>
            </w:pPr>
            <w:r w:rsidRPr="000B52C6">
              <w:t>2 (1.0)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C5B28" w14:textId="77777777" w:rsidR="006B3342" w:rsidRPr="000B52C6" w:rsidRDefault="006B3342" w:rsidP="00513E25">
            <w:pPr>
              <w:pStyle w:val="TableText0"/>
              <w:jc w:val="center"/>
              <w:rPr>
                <w:b/>
                <w:bCs w:val="0"/>
              </w:rPr>
            </w:pPr>
            <w:r w:rsidRPr="000B52C6">
              <w:rPr>
                <w:b/>
                <w:bCs w:val="0"/>
              </w:rPr>
              <w:t xml:space="preserve">15.54 </w:t>
            </w:r>
          </w:p>
          <w:p w14:paraId="0CA205A5" w14:textId="77777777" w:rsidR="006B3342" w:rsidRPr="000B52C6" w:rsidRDefault="006B3342" w:rsidP="00513E25">
            <w:pPr>
              <w:pStyle w:val="TableText0"/>
              <w:jc w:val="center"/>
              <w:rPr>
                <w:b/>
                <w:bCs w:val="0"/>
                <w:iCs/>
              </w:rPr>
            </w:pPr>
            <w:r w:rsidRPr="000B52C6">
              <w:rPr>
                <w:b/>
              </w:rPr>
              <w:t>(3.64, 66.42)</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BF5066" w14:textId="77777777" w:rsidR="006B3342" w:rsidRPr="000B52C6" w:rsidRDefault="006B3342" w:rsidP="00513E25">
            <w:pPr>
              <w:pStyle w:val="TableText0"/>
              <w:jc w:val="center"/>
              <w:rPr>
                <w:b/>
                <w:bCs w:val="0"/>
                <w:iCs/>
              </w:rPr>
            </w:pPr>
            <w:r w:rsidRPr="000B52C6">
              <w:rPr>
                <w:b/>
                <w:bCs w:val="0"/>
                <w:iCs/>
              </w:rPr>
              <w:t xml:space="preserve">13.60 </w:t>
            </w:r>
          </w:p>
          <w:p w14:paraId="4C7C4181" w14:textId="77777777" w:rsidR="006B3342" w:rsidRPr="000B52C6" w:rsidRDefault="006B3342" w:rsidP="00513E25">
            <w:pPr>
              <w:pStyle w:val="TableText0"/>
              <w:jc w:val="center"/>
              <w:rPr>
                <w:b/>
                <w:bCs w:val="0"/>
                <w:iCs/>
              </w:rPr>
            </w:pPr>
            <w:r w:rsidRPr="000B52C6">
              <w:rPr>
                <w:b/>
                <w:bCs w:val="0"/>
                <w:iCs/>
              </w:rPr>
              <w:t>(3.27, 56.53)</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E9D3A5" w14:textId="77777777" w:rsidR="006B3342" w:rsidRPr="000B52C6" w:rsidRDefault="006B3342" w:rsidP="00513E25">
            <w:pPr>
              <w:pStyle w:val="TableText0"/>
              <w:jc w:val="center"/>
              <w:rPr>
                <w:b/>
                <w:bCs w:val="0"/>
                <w:iCs/>
              </w:rPr>
            </w:pPr>
            <w:r w:rsidRPr="000B52C6">
              <w:rPr>
                <w:b/>
                <w:bCs w:val="0"/>
                <w:iCs/>
              </w:rPr>
              <w:t xml:space="preserve">0.12 </w:t>
            </w:r>
          </w:p>
          <w:p w14:paraId="06693C5C" w14:textId="77777777" w:rsidR="006B3342" w:rsidRPr="000B52C6" w:rsidRDefault="006B3342" w:rsidP="00513E25">
            <w:pPr>
              <w:pStyle w:val="TableText0"/>
              <w:jc w:val="center"/>
              <w:rPr>
                <w:b/>
                <w:bCs w:val="0"/>
              </w:rPr>
            </w:pPr>
            <w:r w:rsidRPr="000B52C6">
              <w:rPr>
                <w:b/>
                <w:bCs w:val="0"/>
                <w:iCs/>
              </w:rPr>
              <w:t>(0.07, 0.17)</w:t>
            </w:r>
          </w:p>
        </w:tc>
      </w:tr>
      <w:tr w:rsidR="006B3342" w:rsidRPr="000B52C6" w14:paraId="559D95EB" w14:textId="77777777" w:rsidTr="00513E25">
        <w:tc>
          <w:tcPr>
            <w:tcW w:w="17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DD80B9C" w14:textId="77777777" w:rsidR="006B3342" w:rsidRPr="000B52C6" w:rsidRDefault="006B3342" w:rsidP="00513E25">
            <w:pPr>
              <w:pStyle w:val="TableText0"/>
            </w:pPr>
            <w:r w:rsidRPr="000B52C6">
              <w:t xml:space="preserve">Neutropenia </w:t>
            </w: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44235C4" w14:textId="77777777" w:rsidR="006B3342" w:rsidRPr="000B52C6" w:rsidRDefault="006B3342" w:rsidP="00513E25">
            <w:pPr>
              <w:pStyle w:val="TableText0"/>
              <w:jc w:val="center"/>
            </w:pPr>
            <w:r w:rsidRPr="000B52C6">
              <w:t>17 (8.7)</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156EBB" w14:textId="77777777" w:rsidR="006B3342" w:rsidRPr="000B52C6" w:rsidRDefault="006B3342" w:rsidP="00513E25">
            <w:pPr>
              <w:pStyle w:val="TableText0"/>
              <w:jc w:val="center"/>
            </w:pPr>
            <w:r w:rsidRPr="000B52C6">
              <w:t>7 (3.4)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5BD32" w14:textId="77777777" w:rsidR="006B3342" w:rsidRPr="000B52C6" w:rsidRDefault="006B3342" w:rsidP="00513E25">
            <w:pPr>
              <w:pStyle w:val="TableText0"/>
              <w:jc w:val="center"/>
              <w:rPr>
                <w:b/>
                <w:bCs w:val="0"/>
              </w:rPr>
            </w:pPr>
            <w:r w:rsidRPr="000B52C6">
              <w:rPr>
                <w:b/>
                <w:bCs w:val="0"/>
              </w:rPr>
              <w:t xml:space="preserve">2.69 </w:t>
            </w:r>
          </w:p>
          <w:p w14:paraId="4E780905" w14:textId="77777777" w:rsidR="006B3342" w:rsidRPr="000B52C6" w:rsidRDefault="006B3342" w:rsidP="00513E25">
            <w:pPr>
              <w:pStyle w:val="TableText0"/>
              <w:jc w:val="center"/>
              <w:rPr>
                <w:b/>
                <w:bCs w:val="0"/>
                <w:iCs/>
              </w:rPr>
            </w:pPr>
            <w:r w:rsidRPr="000B52C6">
              <w:rPr>
                <w:b/>
              </w:rPr>
              <w:t>(1.09, 6.63)</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DFEE732" w14:textId="77777777" w:rsidR="006B3342" w:rsidRPr="000B52C6" w:rsidRDefault="006B3342" w:rsidP="00513E25">
            <w:pPr>
              <w:pStyle w:val="TableText0"/>
              <w:jc w:val="center"/>
              <w:rPr>
                <w:b/>
                <w:bCs w:val="0"/>
                <w:iCs/>
              </w:rPr>
            </w:pPr>
            <w:r w:rsidRPr="000B52C6">
              <w:rPr>
                <w:b/>
                <w:bCs w:val="0"/>
                <w:iCs/>
              </w:rPr>
              <w:t xml:space="preserve">2.54 </w:t>
            </w:r>
          </w:p>
          <w:p w14:paraId="66F855F5" w14:textId="77777777" w:rsidR="006B3342" w:rsidRPr="000B52C6" w:rsidRDefault="006B3342" w:rsidP="00513E25">
            <w:pPr>
              <w:pStyle w:val="TableText0"/>
              <w:jc w:val="center"/>
              <w:rPr>
                <w:b/>
                <w:bCs w:val="0"/>
                <w:iCs/>
              </w:rPr>
            </w:pPr>
            <w:r w:rsidRPr="000B52C6">
              <w:rPr>
                <w:b/>
                <w:bCs w:val="0"/>
                <w:iCs/>
              </w:rPr>
              <w:t>(1.08, 5.99)</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068E50" w14:textId="77777777" w:rsidR="006B3342" w:rsidRPr="000B52C6" w:rsidRDefault="006B3342" w:rsidP="00513E25">
            <w:pPr>
              <w:pStyle w:val="TableText0"/>
              <w:jc w:val="center"/>
              <w:rPr>
                <w:b/>
                <w:bCs w:val="0"/>
                <w:iCs/>
              </w:rPr>
            </w:pPr>
            <w:r w:rsidRPr="000B52C6">
              <w:rPr>
                <w:b/>
                <w:bCs w:val="0"/>
                <w:iCs/>
              </w:rPr>
              <w:t xml:space="preserve">0.05 </w:t>
            </w:r>
          </w:p>
          <w:p w14:paraId="768E8BFE" w14:textId="77777777" w:rsidR="006B3342" w:rsidRPr="000B52C6" w:rsidRDefault="006B3342" w:rsidP="00513E25">
            <w:pPr>
              <w:pStyle w:val="TableText0"/>
              <w:jc w:val="center"/>
              <w:rPr>
                <w:b/>
                <w:bCs w:val="0"/>
              </w:rPr>
            </w:pPr>
            <w:r w:rsidRPr="000B52C6">
              <w:rPr>
                <w:b/>
                <w:bCs w:val="0"/>
                <w:iCs/>
              </w:rPr>
              <w:t>(0.01, 0.10)</w:t>
            </w:r>
          </w:p>
        </w:tc>
      </w:tr>
      <w:tr w:rsidR="006B3342" w:rsidRPr="000B52C6" w14:paraId="1D3249E1" w14:textId="77777777" w:rsidTr="00513E25">
        <w:tc>
          <w:tcPr>
            <w:tcW w:w="17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98D41F3" w14:textId="77777777" w:rsidR="006B3342" w:rsidRPr="000B52C6" w:rsidRDefault="006B3342" w:rsidP="00513E25">
            <w:pPr>
              <w:pStyle w:val="TableText0"/>
            </w:pPr>
            <w:r w:rsidRPr="000B52C6">
              <w:t xml:space="preserve">Cataract </w:t>
            </w: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27B821" w14:textId="77777777" w:rsidR="006B3342" w:rsidRPr="000B52C6" w:rsidRDefault="006B3342" w:rsidP="00513E25">
            <w:pPr>
              <w:pStyle w:val="TableText0"/>
              <w:jc w:val="center"/>
            </w:pPr>
            <w:r w:rsidRPr="000B52C6">
              <w:t>17 (8.7)</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CFB450" w14:textId="77777777" w:rsidR="006B3342" w:rsidRPr="000B52C6" w:rsidRDefault="006B3342" w:rsidP="00513E25">
            <w:pPr>
              <w:pStyle w:val="TableText0"/>
              <w:jc w:val="center"/>
            </w:pPr>
            <w:r w:rsidRPr="000B52C6">
              <w:t>3 (1.5)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5313C" w14:textId="77777777" w:rsidR="006B3342" w:rsidRPr="000B52C6" w:rsidRDefault="006B3342" w:rsidP="00513E25">
            <w:pPr>
              <w:pStyle w:val="TableText0"/>
              <w:jc w:val="center"/>
              <w:rPr>
                <w:b/>
                <w:bCs w:val="0"/>
                <w:iCs/>
              </w:rPr>
            </w:pPr>
            <w:r w:rsidRPr="000B52C6">
              <w:rPr>
                <w:b/>
                <w:iCs/>
              </w:rPr>
              <w:t>6.40 (1.84, 22.20)</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D7EB246" w14:textId="77777777" w:rsidR="006B3342" w:rsidRPr="000B52C6" w:rsidRDefault="006B3342" w:rsidP="00513E25">
            <w:pPr>
              <w:pStyle w:val="TableText0"/>
              <w:jc w:val="center"/>
              <w:rPr>
                <w:b/>
                <w:bCs w:val="0"/>
                <w:iCs/>
              </w:rPr>
            </w:pPr>
            <w:r w:rsidRPr="000B52C6">
              <w:rPr>
                <w:b/>
                <w:bCs w:val="0"/>
                <w:iCs/>
              </w:rPr>
              <w:t xml:space="preserve">5.93 </w:t>
            </w:r>
          </w:p>
          <w:p w14:paraId="7089FB59" w14:textId="77777777" w:rsidR="006B3342" w:rsidRPr="000B52C6" w:rsidRDefault="006B3342" w:rsidP="00513E25">
            <w:pPr>
              <w:pStyle w:val="TableText0"/>
              <w:jc w:val="center"/>
              <w:rPr>
                <w:b/>
                <w:bCs w:val="0"/>
                <w:iCs/>
              </w:rPr>
            </w:pPr>
            <w:r w:rsidRPr="000B52C6">
              <w:rPr>
                <w:b/>
                <w:bCs w:val="0"/>
                <w:iCs/>
              </w:rPr>
              <w:t>(1.76, 19.91)</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7C6FF4" w14:textId="77777777" w:rsidR="006B3342" w:rsidRPr="000B52C6" w:rsidRDefault="006B3342" w:rsidP="00513E25">
            <w:pPr>
              <w:pStyle w:val="TableText0"/>
              <w:jc w:val="center"/>
              <w:rPr>
                <w:b/>
                <w:bCs w:val="0"/>
                <w:iCs/>
              </w:rPr>
            </w:pPr>
            <w:r w:rsidRPr="000B52C6">
              <w:rPr>
                <w:b/>
                <w:bCs w:val="0"/>
                <w:iCs/>
              </w:rPr>
              <w:t xml:space="preserve">0.07 </w:t>
            </w:r>
          </w:p>
          <w:p w14:paraId="58DFCFC3" w14:textId="77777777" w:rsidR="006B3342" w:rsidRPr="000B52C6" w:rsidRDefault="006B3342" w:rsidP="00513E25">
            <w:pPr>
              <w:pStyle w:val="TableText0"/>
              <w:jc w:val="center"/>
            </w:pPr>
            <w:r w:rsidRPr="000B52C6">
              <w:rPr>
                <w:b/>
                <w:bCs w:val="0"/>
                <w:iCs/>
              </w:rPr>
              <w:t>(0.03, 0.12)</w:t>
            </w:r>
          </w:p>
        </w:tc>
      </w:tr>
      <w:tr w:rsidR="006B3342" w:rsidRPr="000B52C6" w14:paraId="5AB7E2E7" w14:textId="77777777" w:rsidTr="00513E25">
        <w:tc>
          <w:tcPr>
            <w:tcW w:w="17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48EEA4" w14:textId="77777777" w:rsidR="006B3342" w:rsidRPr="000B52C6" w:rsidRDefault="006B3342" w:rsidP="00513E25">
            <w:pPr>
              <w:pStyle w:val="TableText0"/>
            </w:pPr>
            <w:r w:rsidRPr="000B52C6">
              <w:t xml:space="preserve">Nausea </w:t>
            </w: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F7E25E" w14:textId="77777777" w:rsidR="006B3342" w:rsidRPr="000B52C6" w:rsidRDefault="006B3342" w:rsidP="00513E25">
            <w:pPr>
              <w:pStyle w:val="TableText0"/>
              <w:jc w:val="center"/>
            </w:pPr>
            <w:r w:rsidRPr="000B52C6">
              <w:t>15 (7.7)</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B4135A" w14:textId="77777777" w:rsidR="006B3342" w:rsidRPr="000B52C6" w:rsidRDefault="006B3342" w:rsidP="00513E25">
            <w:pPr>
              <w:pStyle w:val="TableText0"/>
              <w:jc w:val="center"/>
            </w:pPr>
            <w:r w:rsidRPr="000B52C6">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7506C" w14:textId="77777777" w:rsidR="006B3342" w:rsidRPr="000B52C6" w:rsidRDefault="006B3342" w:rsidP="00513E25">
            <w:pPr>
              <w:pStyle w:val="TableText0"/>
              <w:jc w:val="center"/>
              <w:rPr>
                <w:b/>
                <w:bCs w:val="0"/>
                <w:iCs/>
              </w:rPr>
            </w:pPr>
            <w:r w:rsidRPr="000B52C6">
              <w:rPr>
                <w:iCs/>
              </w:rPr>
              <w:t>NE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0B4E1ED" w14:textId="77777777" w:rsidR="006B3342" w:rsidRPr="000B52C6" w:rsidRDefault="006B3342" w:rsidP="00513E25">
            <w:pPr>
              <w:pStyle w:val="TableText0"/>
              <w:jc w:val="center"/>
              <w:rPr>
                <w:iCs/>
              </w:rPr>
            </w:pPr>
            <w:r w:rsidRPr="000B52C6">
              <w:rPr>
                <w:iCs/>
              </w:rPr>
              <w:t>NE</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64C1EC3" w14:textId="77777777" w:rsidR="006B3342" w:rsidRPr="000B52C6" w:rsidRDefault="006B3342" w:rsidP="00513E25">
            <w:pPr>
              <w:pStyle w:val="TableText0"/>
              <w:jc w:val="center"/>
              <w:rPr>
                <w:b/>
                <w:bCs w:val="0"/>
                <w:iCs/>
              </w:rPr>
            </w:pPr>
            <w:r w:rsidRPr="000B52C6">
              <w:rPr>
                <w:b/>
                <w:bCs w:val="0"/>
                <w:iCs/>
              </w:rPr>
              <w:t xml:space="preserve">0.08 </w:t>
            </w:r>
          </w:p>
          <w:p w14:paraId="5144E2A6" w14:textId="77777777" w:rsidR="006B3342" w:rsidRPr="000B52C6" w:rsidRDefault="006B3342" w:rsidP="00513E25">
            <w:pPr>
              <w:pStyle w:val="TableText0"/>
              <w:jc w:val="center"/>
            </w:pPr>
            <w:r w:rsidRPr="000B52C6">
              <w:rPr>
                <w:b/>
                <w:bCs w:val="0"/>
                <w:iCs/>
              </w:rPr>
              <w:t>(0.04, 0.11)</w:t>
            </w:r>
          </w:p>
        </w:tc>
      </w:tr>
      <w:tr w:rsidR="006B3342" w:rsidRPr="000B52C6" w14:paraId="23E3EB39" w14:textId="77777777" w:rsidTr="00513E25">
        <w:tc>
          <w:tcPr>
            <w:tcW w:w="17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B88A7A2" w14:textId="77777777" w:rsidR="006B3342" w:rsidRPr="000B52C6" w:rsidRDefault="006B3342" w:rsidP="00513E25">
            <w:pPr>
              <w:pStyle w:val="TableText0"/>
            </w:pPr>
            <w:r w:rsidRPr="000B52C6">
              <w:t xml:space="preserve">Diarrhoea </w:t>
            </w: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493EB63" w14:textId="77777777" w:rsidR="006B3342" w:rsidRPr="000B52C6" w:rsidRDefault="006B3342" w:rsidP="00513E25">
            <w:pPr>
              <w:pStyle w:val="TableText0"/>
              <w:jc w:val="center"/>
            </w:pPr>
            <w:r w:rsidRPr="000B52C6">
              <w:t>12 (6.2)</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9BA0044" w14:textId="77777777" w:rsidR="006B3342" w:rsidRPr="000B52C6" w:rsidRDefault="006B3342" w:rsidP="00513E25">
            <w:pPr>
              <w:pStyle w:val="TableText0"/>
              <w:jc w:val="center"/>
            </w:pPr>
            <w:r w:rsidRPr="000B52C6">
              <w:t>1 (0.5)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91F99" w14:textId="77777777" w:rsidR="006B3342" w:rsidRPr="000B52C6" w:rsidRDefault="006B3342" w:rsidP="00513E25">
            <w:pPr>
              <w:pStyle w:val="TableText0"/>
              <w:jc w:val="center"/>
              <w:rPr>
                <w:b/>
                <w:bCs w:val="0"/>
              </w:rPr>
            </w:pPr>
            <w:r w:rsidRPr="000B52C6">
              <w:rPr>
                <w:b/>
                <w:bCs w:val="0"/>
              </w:rPr>
              <w:t xml:space="preserve">13.31 </w:t>
            </w:r>
          </w:p>
          <w:p w14:paraId="262E03D4" w14:textId="77777777" w:rsidR="006B3342" w:rsidRPr="000B52C6" w:rsidRDefault="006B3342" w:rsidP="00513E25">
            <w:pPr>
              <w:pStyle w:val="TableText0"/>
              <w:jc w:val="center"/>
              <w:rPr>
                <w:b/>
                <w:bCs w:val="0"/>
                <w:iCs/>
              </w:rPr>
            </w:pPr>
            <w:r w:rsidRPr="000B52C6">
              <w:rPr>
                <w:b/>
              </w:rPr>
              <w:t>(1.71, 103.38)</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55AE49" w14:textId="77777777" w:rsidR="006B3342" w:rsidRPr="000B52C6" w:rsidRDefault="006B3342" w:rsidP="00513E25">
            <w:pPr>
              <w:pStyle w:val="TableText0"/>
              <w:jc w:val="center"/>
              <w:rPr>
                <w:b/>
                <w:bCs w:val="0"/>
                <w:iCs/>
              </w:rPr>
            </w:pPr>
            <w:r w:rsidRPr="000B52C6">
              <w:rPr>
                <w:b/>
                <w:bCs w:val="0"/>
                <w:iCs/>
              </w:rPr>
              <w:t xml:space="preserve">12.55 </w:t>
            </w:r>
          </w:p>
          <w:p w14:paraId="480C114B" w14:textId="77777777" w:rsidR="006B3342" w:rsidRPr="000B52C6" w:rsidRDefault="006B3342" w:rsidP="00513E25">
            <w:pPr>
              <w:pStyle w:val="TableText0"/>
              <w:jc w:val="center"/>
              <w:rPr>
                <w:b/>
                <w:bCs w:val="0"/>
                <w:iCs/>
              </w:rPr>
            </w:pPr>
            <w:r w:rsidRPr="000B52C6">
              <w:rPr>
                <w:b/>
                <w:bCs w:val="0"/>
                <w:iCs/>
              </w:rPr>
              <w:t>(1.65, 95.64)</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003DDF" w14:textId="77777777" w:rsidR="006B3342" w:rsidRPr="000B52C6" w:rsidRDefault="006B3342" w:rsidP="00513E25">
            <w:pPr>
              <w:pStyle w:val="TableText0"/>
              <w:jc w:val="center"/>
              <w:rPr>
                <w:b/>
                <w:bCs w:val="0"/>
                <w:iCs/>
              </w:rPr>
            </w:pPr>
            <w:r w:rsidRPr="000B52C6">
              <w:rPr>
                <w:b/>
                <w:bCs w:val="0"/>
                <w:iCs/>
              </w:rPr>
              <w:t xml:space="preserve">0.06 </w:t>
            </w:r>
          </w:p>
          <w:p w14:paraId="2E523C66" w14:textId="77777777" w:rsidR="006B3342" w:rsidRPr="000B52C6" w:rsidRDefault="006B3342" w:rsidP="00513E25">
            <w:pPr>
              <w:pStyle w:val="TableText0"/>
              <w:jc w:val="center"/>
              <w:rPr>
                <w:b/>
                <w:bCs w:val="0"/>
              </w:rPr>
            </w:pPr>
            <w:r w:rsidRPr="000B52C6">
              <w:rPr>
                <w:b/>
                <w:bCs w:val="0"/>
                <w:iCs/>
              </w:rPr>
              <w:t>(0.02, 0.09)</w:t>
            </w:r>
          </w:p>
        </w:tc>
      </w:tr>
    </w:tbl>
    <w:p w14:paraId="79C3BF32" w14:textId="77777777" w:rsidR="006B3342" w:rsidRPr="000B52C6" w:rsidRDefault="006B3342" w:rsidP="006B3342">
      <w:pPr>
        <w:pStyle w:val="TableFigureFooter"/>
        <w:keepNext/>
      </w:pPr>
      <w:r w:rsidRPr="000B52C6">
        <w:t>Source: Table 2-31, p112 of the resubmission.</w:t>
      </w:r>
    </w:p>
    <w:p w14:paraId="658AEB08" w14:textId="77777777" w:rsidR="006B3342" w:rsidRPr="000B52C6" w:rsidRDefault="006B3342" w:rsidP="006B3342">
      <w:pPr>
        <w:pStyle w:val="TableFigureFooter"/>
        <w:keepNext/>
      </w:pPr>
      <w:r w:rsidRPr="000B52C6">
        <w:t xml:space="preserve">Abbreviations: Bd = bortezomib + dexamethasone; CI = confidence interval; MedDRA = Medical Dictionary for Regulatory Activities; NE = not estimable; RD = risk difference; RR = relative risk; </w:t>
      </w:r>
      <w:proofErr w:type="spellStart"/>
      <w:r w:rsidRPr="000B52C6">
        <w:t>SBd</w:t>
      </w:r>
      <w:proofErr w:type="spellEnd"/>
      <w:r w:rsidRPr="000B52C6">
        <w:t xml:space="preserve"> = </w:t>
      </w:r>
      <w:proofErr w:type="spellStart"/>
      <w:r w:rsidRPr="000B52C6">
        <w:t>selinexor</w:t>
      </w:r>
      <w:proofErr w:type="spellEnd"/>
      <w:r w:rsidRPr="000B52C6">
        <w:t xml:space="preserve"> + bortezomib + dexamethasone; TEAE = treatment emergent adverse events.</w:t>
      </w:r>
    </w:p>
    <w:p w14:paraId="1D677424" w14:textId="77777777" w:rsidR="006B3342" w:rsidRPr="000B52C6" w:rsidRDefault="006B3342" w:rsidP="006B3342">
      <w:pPr>
        <w:pStyle w:val="TableFigureFooter"/>
        <w:keepNext/>
        <w:rPr>
          <w:rFonts w:eastAsia="Calibri"/>
        </w:rPr>
      </w:pPr>
      <w:r w:rsidRPr="000B52C6">
        <w:t xml:space="preserve">Notes: </w:t>
      </w:r>
      <w:r w:rsidRPr="000B52C6">
        <w:rPr>
          <w:rFonts w:eastAsia="Calibri"/>
          <w:b/>
          <w:bCs/>
        </w:rPr>
        <w:t>Bold</w:t>
      </w:r>
      <w:r w:rsidRPr="000B52C6">
        <w:rPr>
          <w:rFonts w:eastAsia="Calibri"/>
        </w:rPr>
        <w:t xml:space="preserve"> indicates statistically significant results.</w:t>
      </w:r>
    </w:p>
    <w:p w14:paraId="24DF4193" w14:textId="77777777" w:rsidR="006B3342" w:rsidRPr="000B52C6" w:rsidRDefault="006B3342" w:rsidP="006B3342">
      <w:pPr>
        <w:pStyle w:val="TableFigureFooter"/>
        <w:keepNext/>
        <w:rPr>
          <w:rStyle w:val="CommentReference"/>
          <w:b w:val="0"/>
          <w:bCs/>
          <w:iCs/>
          <w:sz w:val="18"/>
          <w:szCs w:val="18"/>
        </w:rPr>
      </w:pPr>
      <w:r w:rsidRPr="000B52C6">
        <w:rPr>
          <w:rStyle w:val="CommentReference"/>
          <w:b w:val="0"/>
          <w:bCs/>
          <w:iCs/>
          <w:sz w:val="18"/>
          <w:szCs w:val="18"/>
          <w:shd w:val="clear" w:color="auto" w:fill="C6D9F1" w:themeFill="text2" w:themeFillTint="33"/>
        </w:rPr>
        <w:t>Blue shading</w:t>
      </w:r>
      <w:r w:rsidRPr="000B52C6">
        <w:rPr>
          <w:rStyle w:val="CommentReference"/>
          <w:b w:val="0"/>
          <w:bCs/>
          <w:iCs/>
          <w:sz w:val="18"/>
          <w:szCs w:val="18"/>
        </w:rPr>
        <w:t xml:space="preserve"> indicates data previously seen by the PBAC. </w:t>
      </w:r>
    </w:p>
    <w:p w14:paraId="23E37C98" w14:textId="77777777" w:rsidR="006B3342" w:rsidRPr="000B52C6" w:rsidRDefault="006B3342" w:rsidP="006B3342">
      <w:pPr>
        <w:pStyle w:val="TableFigureFooter"/>
        <w:keepNext/>
        <w:rPr>
          <w:bCs/>
          <w:iCs/>
          <w:sz w:val="16"/>
          <w:szCs w:val="16"/>
        </w:rPr>
      </w:pPr>
      <w:r w:rsidRPr="000B52C6">
        <w:rPr>
          <w:rStyle w:val="CommentReference"/>
          <w:b w:val="0"/>
          <w:bCs/>
          <w:iCs/>
          <w:sz w:val="18"/>
          <w:szCs w:val="18"/>
        </w:rPr>
        <w:t xml:space="preserve">Italics indicates results calculated during evaluation. </w:t>
      </w:r>
    </w:p>
    <w:p w14:paraId="692FA50A" w14:textId="77777777" w:rsidR="006B3342" w:rsidRPr="000B52C6" w:rsidRDefault="006B3342" w:rsidP="006B3342">
      <w:pPr>
        <w:pStyle w:val="TableFigureFooter"/>
        <w:keepNext/>
      </w:pPr>
      <w:r w:rsidRPr="000B52C6">
        <w:t xml:space="preserve">a. </w:t>
      </w:r>
      <w:r w:rsidRPr="000B52C6">
        <w:rPr>
          <w:iCs/>
        </w:rPr>
        <w:t>RD and RR was calculated during the evaluation</w:t>
      </w:r>
      <w:r w:rsidRPr="000B52C6">
        <w:t>.</w:t>
      </w:r>
    </w:p>
    <w:p w14:paraId="63DB57F5" w14:textId="77777777" w:rsidR="006B3342" w:rsidRPr="000B52C6" w:rsidRDefault="006B3342" w:rsidP="006B3342">
      <w:pPr>
        <w:pStyle w:val="TableFigureFooter"/>
        <w:keepNext/>
      </w:pPr>
      <w:r w:rsidRPr="000B52C6">
        <w:t>b. Calculated by the resubmission using Review Manager version 5.4.1.</w:t>
      </w:r>
    </w:p>
    <w:p w14:paraId="545C2F29" w14:textId="77777777" w:rsidR="006B3342" w:rsidRPr="000B52C6" w:rsidRDefault="006B3342" w:rsidP="006B3342">
      <w:pPr>
        <w:pStyle w:val="3-BodyText"/>
        <w:numPr>
          <w:ilvl w:val="0"/>
          <w:numId w:val="0"/>
        </w:numPr>
        <w:rPr>
          <w:u w:val="single"/>
        </w:rPr>
      </w:pPr>
      <w:r w:rsidRPr="000B52C6">
        <w:rPr>
          <w:u w:val="single"/>
        </w:rPr>
        <w:t>Cd versus Bd</w:t>
      </w:r>
    </w:p>
    <w:p w14:paraId="22216514" w14:textId="0939728B" w:rsidR="006B3342" w:rsidRPr="000B52C6" w:rsidRDefault="006B3342" w:rsidP="003D0F32">
      <w:pPr>
        <w:pStyle w:val="3-BodyText"/>
        <w:ind w:left="709" w:hanging="731"/>
      </w:pPr>
      <w:r w:rsidRPr="000B52C6">
        <w:t xml:space="preserve">Overall, 457 (98.7%) patients in the Cd arm and 451 (98.9%) patients in the Bd arm experienced an AE (see </w:t>
      </w:r>
      <w:r w:rsidRPr="000B52C6">
        <w:fldChar w:fldCharType="begin"/>
      </w:r>
      <w:r w:rsidRPr="000B52C6">
        <w:instrText xml:space="preserve"> REF _Ref90370165 \h  \* MERGEFORMAT </w:instrText>
      </w:r>
      <w:r w:rsidRPr="000B52C6">
        <w:fldChar w:fldCharType="separate"/>
      </w:r>
      <w:r w:rsidR="00FF5725" w:rsidRPr="00FF5725">
        <w:t>Table 14</w:t>
      </w:r>
      <w:r w:rsidRPr="000B52C6">
        <w:fldChar w:fldCharType="end"/>
      </w:r>
      <w:r w:rsidRPr="000B52C6">
        <w:t>). Results were statistically significant for Grade 3/4 and any serious AE in favour of Bd.</w:t>
      </w:r>
      <w:r w:rsidRPr="000B52C6">
        <w:rPr>
          <w:iCs/>
        </w:rPr>
        <w:t xml:space="preserve"> Previously PBAC considered that the overall safety profile of carfilzomib was inferior to bortezomib (para 7.5, carfilzomib PSD, July 2017). </w:t>
      </w:r>
    </w:p>
    <w:p w14:paraId="762F7785" w14:textId="51227717" w:rsidR="006B3342" w:rsidRPr="000B52C6" w:rsidRDefault="006B3342" w:rsidP="006B3342">
      <w:pPr>
        <w:keepNext/>
        <w:rPr>
          <w:rFonts w:ascii="Arial Narrow" w:eastAsiaTheme="majorEastAsia" w:hAnsi="Arial Narrow" w:cstheme="majorBidi"/>
          <w:b/>
          <w:bCs/>
          <w:sz w:val="20"/>
        </w:rPr>
      </w:pPr>
      <w:bookmarkStart w:id="37" w:name="_Ref90370165"/>
      <w:r w:rsidRPr="000B52C6">
        <w:rPr>
          <w:rFonts w:ascii="Arial Narrow" w:eastAsiaTheme="majorEastAsia" w:hAnsi="Arial Narrow" w:cstheme="majorBidi"/>
          <w:b/>
          <w:bCs/>
          <w:sz w:val="20"/>
        </w:rPr>
        <w:t xml:space="preserve">Table </w:t>
      </w:r>
      <w:r w:rsidRPr="000B52C6">
        <w:rPr>
          <w:rFonts w:ascii="Arial Narrow" w:eastAsiaTheme="majorEastAsia" w:hAnsi="Arial Narrow" w:cstheme="majorBidi"/>
          <w:b/>
          <w:bCs/>
          <w:sz w:val="20"/>
        </w:rPr>
        <w:fldChar w:fldCharType="begin"/>
      </w:r>
      <w:r w:rsidRPr="000B52C6">
        <w:rPr>
          <w:rFonts w:ascii="Arial Narrow" w:eastAsiaTheme="majorEastAsia" w:hAnsi="Arial Narrow" w:cstheme="majorBidi"/>
          <w:b/>
          <w:bCs/>
          <w:sz w:val="20"/>
        </w:rPr>
        <w:instrText xml:space="preserve"> SEQ Table \* ARABIC </w:instrText>
      </w:r>
      <w:r w:rsidRPr="000B52C6">
        <w:rPr>
          <w:rFonts w:ascii="Arial Narrow" w:eastAsiaTheme="majorEastAsia" w:hAnsi="Arial Narrow" w:cstheme="majorBidi"/>
          <w:b/>
          <w:bCs/>
          <w:sz w:val="20"/>
        </w:rPr>
        <w:fldChar w:fldCharType="separate"/>
      </w:r>
      <w:r w:rsidR="00FF5725">
        <w:rPr>
          <w:rFonts w:ascii="Arial Narrow" w:eastAsiaTheme="majorEastAsia" w:hAnsi="Arial Narrow" w:cstheme="majorBidi"/>
          <w:b/>
          <w:bCs/>
          <w:noProof/>
          <w:sz w:val="20"/>
        </w:rPr>
        <w:t>14</w:t>
      </w:r>
      <w:r w:rsidRPr="000B52C6">
        <w:rPr>
          <w:rFonts w:ascii="Arial Narrow" w:eastAsiaTheme="majorEastAsia" w:hAnsi="Arial Narrow" w:cstheme="majorBidi"/>
          <w:b/>
          <w:bCs/>
          <w:sz w:val="20"/>
        </w:rPr>
        <w:fldChar w:fldCharType="end"/>
      </w:r>
      <w:bookmarkEnd w:id="37"/>
      <w:r w:rsidRPr="000B52C6">
        <w:rPr>
          <w:rFonts w:ascii="Arial Narrow" w:eastAsiaTheme="majorEastAsia" w:hAnsi="Arial Narrow" w:cstheme="majorBidi"/>
          <w:b/>
          <w:bCs/>
          <w:sz w:val="20"/>
        </w:rPr>
        <w:t>: Summary of adverse events (safety population)</w:t>
      </w:r>
    </w:p>
    <w:tbl>
      <w:tblPr>
        <w:tblStyle w:val="TableGrid"/>
        <w:tblW w:w="9498" w:type="dxa"/>
        <w:tblInd w:w="-5" w:type="dxa"/>
        <w:tblBorders>
          <w:insideH w:val="single" w:sz="6" w:space="0" w:color="auto"/>
          <w:insideV w:val="single" w:sz="6" w:space="0" w:color="auto"/>
        </w:tblBorders>
        <w:tblLayout w:type="fixed"/>
        <w:tblLook w:val="04A0" w:firstRow="1" w:lastRow="0" w:firstColumn="1" w:lastColumn="0" w:noHBand="0" w:noVBand="1"/>
      </w:tblPr>
      <w:tblGrid>
        <w:gridCol w:w="2127"/>
        <w:gridCol w:w="1275"/>
        <w:gridCol w:w="1276"/>
        <w:gridCol w:w="1559"/>
        <w:gridCol w:w="1560"/>
        <w:gridCol w:w="1701"/>
      </w:tblGrid>
      <w:tr w:rsidR="006B3342" w:rsidRPr="000B52C6" w14:paraId="0DBB95B2" w14:textId="77777777" w:rsidTr="00513E25">
        <w:trPr>
          <w:trHeight w:val="90"/>
        </w:trPr>
        <w:tc>
          <w:tcPr>
            <w:tcW w:w="2127" w:type="dxa"/>
            <w:tcBorders>
              <w:top w:val="single" w:sz="4" w:space="0" w:color="auto"/>
              <w:left w:val="single" w:sz="4" w:space="0" w:color="auto"/>
              <w:bottom w:val="single" w:sz="6" w:space="0" w:color="auto"/>
              <w:right w:val="single" w:sz="6" w:space="0" w:color="auto"/>
            </w:tcBorders>
            <w:shd w:val="clear" w:color="auto" w:fill="C6D9F1" w:themeFill="text2" w:themeFillTint="33"/>
            <w:vAlign w:val="center"/>
          </w:tcPr>
          <w:p w14:paraId="16091F8E" w14:textId="77777777" w:rsidR="006B3342" w:rsidRPr="000B52C6" w:rsidRDefault="006B3342" w:rsidP="00513E25">
            <w:pPr>
              <w:pStyle w:val="TableText0"/>
              <w:rPr>
                <w:b/>
                <w:bCs w:val="0"/>
              </w:rPr>
            </w:pPr>
          </w:p>
        </w:tc>
        <w:tc>
          <w:tcPr>
            <w:tcW w:w="1275" w:type="dxa"/>
            <w:tcBorders>
              <w:top w:val="single" w:sz="4" w:space="0" w:color="auto"/>
              <w:left w:val="single" w:sz="6" w:space="0" w:color="auto"/>
              <w:bottom w:val="single" w:sz="6" w:space="0" w:color="auto"/>
              <w:right w:val="single" w:sz="6" w:space="0" w:color="auto"/>
            </w:tcBorders>
            <w:shd w:val="clear" w:color="auto" w:fill="C6D9F1" w:themeFill="text2" w:themeFillTint="33"/>
            <w:vAlign w:val="center"/>
            <w:hideMark/>
          </w:tcPr>
          <w:p w14:paraId="770C5656" w14:textId="77777777" w:rsidR="006B3342" w:rsidRPr="000B52C6" w:rsidRDefault="006B3342" w:rsidP="00513E25">
            <w:pPr>
              <w:pStyle w:val="TableText0"/>
              <w:jc w:val="center"/>
              <w:rPr>
                <w:b/>
                <w:bCs w:val="0"/>
              </w:rPr>
            </w:pPr>
            <w:r w:rsidRPr="000B52C6">
              <w:rPr>
                <w:b/>
                <w:bCs w:val="0"/>
              </w:rPr>
              <w:t>Cd</w:t>
            </w:r>
          </w:p>
          <w:p w14:paraId="2F591396" w14:textId="77777777" w:rsidR="006B3342" w:rsidRPr="000B52C6" w:rsidRDefault="006B3342" w:rsidP="00513E25">
            <w:pPr>
              <w:pStyle w:val="TableText0"/>
              <w:jc w:val="center"/>
              <w:rPr>
                <w:b/>
                <w:bCs w:val="0"/>
              </w:rPr>
            </w:pPr>
            <w:r w:rsidRPr="000B52C6">
              <w:rPr>
                <w:b/>
                <w:bCs w:val="0"/>
              </w:rPr>
              <w:t>(N=463) n (%)</w:t>
            </w:r>
          </w:p>
        </w:tc>
        <w:tc>
          <w:tcPr>
            <w:tcW w:w="1276" w:type="dxa"/>
            <w:tcBorders>
              <w:top w:val="single" w:sz="4" w:space="0" w:color="auto"/>
              <w:left w:val="single" w:sz="6" w:space="0" w:color="auto"/>
              <w:bottom w:val="single" w:sz="6" w:space="0" w:color="auto"/>
              <w:right w:val="single" w:sz="6" w:space="0" w:color="auto"/>
            </w:tcBorders>
            <w:shd w:val="clear" w:color="auto" w:fill="C6D9F1" w:themeFill="text2" w:themeFillTint="33"/>
            <w:vAlign w:val="center"/>
            <w:hideMark/>
          </w:tcPr>
          <w:p w14:paraId="07511C2A" w14:textId="77777777" w:rsidR="006B3342" w:rsidRPr="000B52C6" w:rsidRDefault="006B3342" w:rsidP="00513E25">
            <w:pPr>
              <w:pStyle w:val="TableText0"/>
              <w:jc w:val="center"/>
              <w:rPr>
                <w:b/>
                <w:bCs w:val="0"/>
              </w:rPr>
            </w:pPr>
            <w:r w:rsidRPr="000B52C6">
              <w:rPr>
                <w:b/>
                <w:bCs w:val="0"/>
              </w:rPr>
              <w:t>Bd</w:t>
            </w:r>
          </w:p>
          <w:p w14:paraId="4DB2335A" w14:textId="77777777" w:rsidR="006B3342" w:rsidRPr="000B52C6" w:rsidRDefault="006B3342" w:rsidP="00513E25">
            <w:pPr>
              <w:pStyle w:val="TableText0"/>
              <w:jc w:val="center"/>
              <w:rPr>
                <w:b/>
                <w:bCs w:val="0"/>
              </w:rPr>
            </w:pPr>
            <w:r w:rsidRPr="000B52C6">
              <w:rPr>
                <w:b/>
                <w:bCs w:val="0"/>
              </w:rPr>
              <w:t>(N=456) n (%)</w:t>
            </w:r>
          </w:p>
        </w:tc>
        <w:tc>
          <w:tcPr>
            <w:tcW w:w="1559" w:type="dxa"/>
            <w:tcBorders>
              <w:top w:val="single" w:sz="4" w:space="0" w:color="auto"/>
              <w:left w:val="single" w:sz="6" w:space="0" w:color="auto"/>
              <w:bottom w:val="single" w:sz="6" w:space="0" w:color="auto"/>
              <w:right w:val="single" w:sz="6" w:space="0" w:color="auto"/>
            </w:tcBorders>
            <w:shd w:val="clear" w:color="auto" w:fill="auto"/>
            <w:vAlign w:val="center"/>
            <w:hideMark/>
          </w:tcPr>
          <w:p w14:paraId="4868D119" w14:textId="77777777" w:rsidR="006B3342" w:rsidRPr="000B52C6" w:rsidRDefault="006B3342" w:rsidP="00513E25">
            <w:pPr>
              <w:pStyle w:val="TableText0"/>
              <w:jc w:val="center"/>
            </w:pPr>
            <w:r w:rsidRPr="000B52C6">
              <w:rPr>
                <w:b/>
                <w:bCs w:val="0"/>
              </w:rPr>
              <w:t xml:space="preserve">OR (95% </w:t>
            </w:r>
            <w:proofErr w:type="gramStart"/>
            <w:r w:rsidRPr="000B52C6">
              <w:rPr>
                <w:b/>
                <w:bCs w:val="0"/>
              </w:rPr>
              <w:t>CI)</w:t>
            </w:r>
            <w:r w:rsidRPr="000B52C6">
              <w:rPr>
                <w:vertAlign w:val="superscript"/>
              </w:rPr>
              <w:t>a</w:t>
            </w:r>
            <w:proofErr w:type="gramEnd"/>
          </w:p>
        </w:tc>
        <w:tc>
          <w:tcPr>
            <w:tcW w:w="1560" w:type="dxa"/>
            <w:tcBorders>
              <w:top w:val="single" w:sz="4" w:space="0" w:color="auto"/>
              <w:left w:val="single" w:sz="6" w:space="0" w:color="auto"/>
              <w:bottom w:val="single" w:sz="6" w:space="0" w:color="auto"/>
              <w:right w:val="single" w:sz="4" w:space="0" w:color="auto"/>
            </w:tcBorders>
            <w:shd w:val="clear" w:color="auto" w:fill="C6D9F1" w:themeFill="text2" w:themeFillTint="33"/>
            <w:vAlign w:val="center"/>
            <w:hideMark/>
          </w:tcPr>
          <w:p w14:paraId="782A77E8" w14:textId="77777777" w:rsidR="006B3342" w:rsidRPr="000B52C6" w:rsidRDefault="006B3342" w:rsidP="00513E25">
            <w:pPr>
              <w:pStyle w:val="TableText0"/>
              <w:jc w:val="center"/>
              <w:rPr>
                <w:iCs/>
              </w:rPr>
            </w:pPr>
            <w:r w:rsidRPr="000B52C6">
              <w:rPr>
                <w:b/>
                <w:bCs w:val="0"/>
                <w:iCs/>
              </w:rPr>
              <w:t>RR (95% CI)</w:t>
            </w:r>
          </w:p>
        </w:tc>
        <w:tc>
          <w:tcPr>
            <w:tcW w:w="1701" w:type="dxa"/>
            <w:tcBorders>
              <w:top w:val="single" w:sz="4" w:space="0" w:color="auto"/>
              <w:left w:val="single" w:sz="6" w:space="0" w:color="auto"/>
              <w:bottom w:val="single" w:sz="6" w:space="0" w:color="auto"/>
              <w:right w:val="single" w:sz="6" w:space="0" w:color="auto"/>
            </w:tcBorders>
            <w:shd w:val="clear" w:color="auto" w:fill="C6D9F1" w:themeFill="text2" w:themeFillTint="33"/>
            <w:vAlign w:val="center"/>
          </w:tcPr>
          <w:p w14:paraId="1046F898" w14:textId="77777777" w:rsidR="006B3342" w:rsidRPr="000B52C6" w:rsidRDefault="006B3342" w:rsidP="00513E25">
            <w:pPr>
              <w:pStyle w:val="TableText0"/>
              <w:jc w:val="center"/>
              <w:rPr>
                <w:b/>
                <w:bCs w:val="0"/>
              </w:rPr>
            </w:pPr>
            <w:r w:rsidRPr="000B52C6">
              <w:rPr>
                <w:b/>
                <w:bCs w:val="0"/>
              </w:rPr>
              <w:t>RD (95% CI)</w:t>
            </w:r>
            <w:r w:rsidRPr="000B52C6">
              <w:rPr>
                <w:vertAlign w:val="superscript"/>
              </w:rPr>
              <w:t xml:space="preserve"> a</w:t>
            </w:r>
          </w:p>
        </w:tc>
      </w:tr>
      <w:tr w:rsidR="006B3342" w:rsidRPr="000B52C6" w14:paraId="78AC0072" w14:textId="77777777" w:rsidTr="00513E25">
        <w:trPr>
          <w:trHeight w:val="190"/>
        </w:trPr>
        <w:tc>
          <w:tcPr>
            <w:tcW w:w="2127" w:type="dxa"/>
            <w:tcBorders>
              <w:top w:val="single" w:sz="6" w:space="0" w:color="auto"/>
              <w:left w:val="single" w:sz="4" w:space="0" w:color="auto"/>
              <w:bottom w:val="single" w:sz="6" w:space="0" w:color="auto"/>
              <w:right w:val="single" w:sz="6" w:space="0" w:color="auto"/>
            </w:tcBorders>
            <w:shd w:val="clear" w:color="auto" w:fill="C6D9F1" w:themeFill="text2" w:themeFillTint="33"/>
            <w:vAlign w:val="center"/>
            <w:hideMark/>
          </w:tcPr>
          <w:p w14:paraId="706A8329" w14:textId="77777777" w:rsidR="006B3342" w:rsidRPr="000B52C6" w:rsidRDefault="006B3342" w:rsidP="00513E25">
            <w:pPr>
              <w:pStyle w:val="TableText0"/>
            </w:pPr>
            <w:r w:rsidRPr="000B52C6">
              <w:t>Any AE</w:t>
            </w: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4136B042" w14:textId="77777777" w:rsidR="006B3342" w:rsidRPr="000B52C6" w:rsidRDefault="006B3342" w:rsidP="00513E25">
            <w:pPr>
              <w:pStyle w:val="TableText0"/>
              <w:jc w:val="center"/>
            </w:pPr>
            <w:r w:rsidRPr="000B52C6">
              <w:t>457 (98.7)</w:t>
            </w:r>
          </w:p>
        </w:tc>
        <w:tc>
          <w:tcPr>
            <w:tcW w:w="127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6A14B143" w14:textId="77777777" w:rsidR="006B3342" w:rsidRPr="000B52C6" w:rsidRDefault="006B3342" w:rsidP="00513E25">
            <w:pPr>
              <w:pStyle w:val="TableText0"/>
              <w:jc w:val="center"/>
            </w:pPr>
            <w:r w:rsidRPr="000B52C6">
              <w:t>451 (98.9)</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E136A6" w14:textId="77777777" w:rsidR="006B3342" w:rsidRPr="000B52C6" w:rsidRDefault="006B3342" w:rsidP="00513E25">
            <w:pPr>
              <w:pStyle w:val="TableText0"/>
              <w:jc w:val="center"/>
            </w:pPr>
            <w:r w:rsidRPr="000B52C6">
              <w:t>0.84 (0.26, 2.79)</w:t>
            </w:r>
          </w:p>
        </w:tc>
        <w:tc>
          <w:tcPr>
            <w:tcW w:w="1560" w:type="dxa"/>
            <w:tcBorders>
              <w:top w:val="single" w:sz="6" w:space="0" w:color="auto"/>
              <w:left w:val="single" w:sz="6" w:space="0" w:color="auto"/>
              <w:bottom w:val="single" w:sz="6" w:space="0" w:color="auto"/>
              <w:right w:val="single" w:sz="4" w:space="0" w:color="auto"/>
            </w:tcBorders>
            <w:shd w:val="clear" w:color="auto" w:fill="C6D9F1" w:themeFill="text2" w:themeFillTint="33"/>
            <w:vAlign w:val="center"/>
            <w:hideMark/>
          </w:tcPr>
          <w:p w14:paraId="78FA59F0" w14:textId="77777777" w:rsidR="006B3342" w:rsidRPr="000B52C6" w:rsidRDefault="006B3342" w:rsidP="00513E25">
            <w:pPr>
              <w:pStyle w:val="TableText0"/>
              <w:jc w:val="center"/>
              <w:rPr>
                <w:iCs/>
              </w:rPr>
            </w:pPr>
            <w:r w:rsidRPr="000B52C6">
              <w:rPr>
                <w:iCs/>
              </w:rPr>
              <w:t>1.00 (0.98, 1.01)</w:t>
            </w:r>
          </w:p>
        </w:tc>
        <w:tc>
          <w:tcPr>
            <w:tcW w:w="1701"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37595203" w14:textId="77777777" w:rsidR="006B3342" w:rsidRPr="000B52C6" w:rsidRDefault="006B3342" w:rsidP="00513E25">
            <w:pPr>
              <w:pStyle w:val="TableText0"/>
              <w:jc w:val="center"/>
            </w:pPr>
            <w:r w:rsidRPr="000B52C6">
              <w:t>0.00 (-0.02, 0.01)</w:t>
            </w:r>
          </w:p>
        </w:tc>
      </w:tr>
      <w:tr w:rsidR="006B3342" w:rsidRPr="000B52C6" w14:paraId="1130392F" w14:textId="77777777" w:rsidTr="00513E25">
        <w:trPr>
          <w:trHeight w:val="190"/>
        </w:trPr>
        <w:tc>
          <w:tcPr>
            <w:tcW w:w="2127" w:type="dxa"/>
            <w:tcBorders>
              <w:top w:val="single" w:sz="6" w:space="0" w:color="auto"/>
              <w:left w:val="single" w:sz="4" w:space="0" w:color="auto"/>
              <w:bottom w:val="single" w:sz="6" w:space="0" w:color="auto"/>
              <w:right w:val="single" w:sz="6" w:space="0" w:color="auto"/>
            </w:tcBorders>
            <w:shd w:val="clear" w:color="auto" w:fill="C6D9F1" w:themeFill="text2" w:themeFillTint="33"/>
            <w:vAlign w:val="center"/>
            <w:hideMark/>
          </w:tcPr>
          <w:p w14:paraId="799A20ED" w14:textId="77777777" w:rsidR="006B3342" w:rsidRPr="000B52C6" w:rsidRDefault="006B3342" w:rsidP="00513E25">
            <w:pPr>
              <w:pStyle w:val="TableText0"/>
            </w:pPr>
            <w:r w:rsidRPr="000B52C6">
              <w:t>Grade 3 and 4 AEs</w:t>
            </w: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28EE2CB2" w14:textId="77777777" w:rsidR="006B3342" w:rsidRPr="000B52C6" w:rsidRDefault="006B3342" w:rsidP="00513E25">
            <w:pPr>
              <w:pStyle w:val="TableText0"/>
              <w:jc w:val="center"/>
            </w:pPr>
            <w:r w:rsidRPr="000B52C6">
              <w:t>379 (81.9)</w:t>
            </w:r>
          </w:p>
        </w:tc>
        <w:tc>
          <w:tcPr>
            <w:tcW w:w="127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5435613C" w14:textId="77777777" w:rsidR="006B3342" w:rsidRPr="000B52C6" w:rsidRDefault="006B3342" w:rsidP="00513E25">
            <w:pPr>
              <w:pStyle w:val="TableText0"/>
              <w:jc w:val="center"/>
            </w:pPr>
            <w:r w:rsidRPr="000B52C6">
              <w:t>324 (71.1)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E019F5" w14:textId="77777777" w:rsidR="006B3342" w:rsidRPr="000B52C6" w:rsidRDefault="006B3342" w:rsidP="00513E25">
            <w:pPr>
              <w:pStyle w:val="TableText0"/>
              <w:jc w:val="center"/>
              <w:rPr>
                <w:b/>
                <w:bCs w:val="0"/>
              </w:rPr>
            </w:pPr>
            <w:r w:rsidRPr="000B52C6">
              <w:rPr>
                <w:b/>
                <w:bCs w:val="0"/>
              </w:rPr>
              <w:t>1.84 (1.35, 2.51)</w:t>
            </w:r>
          </w:p>
        </w:tc>
        <w:tc>
          <w:tcPr>
            <w:tcW w:w="1560" w:type="dxa"/>
            <w:tcBorders>
              <w:top w:val="single" w:sz="6" w:space="0" w:color="auto"/>
              <w:left w:val="single" w:sz="6" w:space="0" w:color="auto"/>
              <w:bottom w:val="single" w:sz="6" w:space="0" w:color="auto"/>
              <w:right w:val="single" w:sz="4" w:space="0" w:color="auto"/>
            </w:tcBorders>
            <w:shd w:val="clear" w:color="auto" w:fill="C6D9F1" w:themeFill="text2" w:themeFillTint="33"/>
            <w:vAlign w:val="center"/>
            <w:hideMark/>
          </w:tcPr>
          <w:p w14:paraId="165099B5" w14:textId="77777777" w:rsidR="006B3342" w:rsidRPr="000B52C6" w:rsidRDefault="006B3342" w:rsidP="00513E25">
            <w:pPr>
              <w:pStyle w:val="TableText0"/>
              <w:jc w:val="center"/>
              <w:rPr>
                <w:b/>
                <w:bCs w:val="0"/>
                <w:iCs/>
              </w:rPr>
            </w:pPr>
            <w:r w:rsidRPr="000B52C6">
              <w:rPr>
                <w:b/>
                <w:bCs w:val="0"/>
                <w:iCs/>
              </w:rPr>
              <w:t>1.15 (1.07, 1.24)</w:t>
            </w:r>
          </w:p>
        </w:tc>
        <w:tc>
          <w:tcPr>
            <w:tcW w:w="1701"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2D257618" w14:textId="77777777" w:rsidR="006B3342" w:rsidRPr="000B52C6" w:rsidRDefault="006B3342" w:rsidP="00513E25">
            <w:pPr>
              <w:pStyle w:val="TableText0"/>
              <w:jc w:val="center"/>
              <w:rPr>
                <w:b/>
                <w:bCs w:val="0"/>
              </w:rPr>
            </w:pPr>
            <w:r w:rsidRPr="000B52C6">
              <w:rPr>
                <w:b/>
                <w:bCs w:val="0"/>
              </w:rPr>
              <w:t>0.11 (0.05, 0.16)</w:t>
            </w:r>
          </w:p>
        </w:tc>
      </w:tr>
      <w:tr w:rsidR="006B3342" w:rsidRPr="000B52C6" w14:paraId="3B6F37FA" w14:textId="77777777" w:rsidTr="00513E25">
        <w:trPr>
          <w:trHeight w:val="197"/>
        </w:trPr>
        <w:tc>
          <w:tcPr>
            <w:tcW w:w="2127" w:type="dxa"/>
            <w:tcBorders>
              <w:top w:val="single" w:sz="6" w:space="0" w:color="auto"/>
              <w:left w:val="single" w:sz="4" w:space="0" w:color="auto"/>
              <w:bottom w:val="single" w:sz="6" w:space="0" w:color="auto"/>
              <w:right w:val="single" w:sz="6" w:space="0" w:color="auto"/>
            </w:tcBorders>
            <w:shd w:val="clear" w:color="auto" w:fill="C6D9F1" w:themeFill="text2" w:themeFillTint="33"/>
            <w:vAlign w:val="center"/>
            <w:hideMark/>
          </w:tcPr>
          <w:p w14:paraId="020E77FA" w14:textId="77777777" w:rsidR="006B3342" w:rsidRPr="000B52C6" w:rsidRDefault="006B3342" w:rsidP="00513E25">
            <w:pPr>
              <w:pStyle w:val="TableText0"/>
            </w:pPr>
            <w:r w:rsidRPr="000B52C6">
              <w:t>Any serious AE</w:t>
            </w: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001D5245" w14:textId="77777777" w:rsidR="006B3342" w:rsidRPr="000B52C6" w:rsidRDefault="006B3342" w:rsidP="00513E25">
            <w:pPr>
              <w:pStyle w:val="TableText0"/>
              <w:jc w:val="center"/>
            </w:pPr>
            <w:r w:rsidRPr="000B52C6">
              <w:t>279 (60.3)</w:t>
            </w:r>
          </w:p>
        </w:tc>
        <w:tc>
          <w:tcPr>
            <w:tcW w:w="127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7FE9C721" w14:textId="77777777" w:rsidR="006B3342" w:rsidRPr="000B52C6" w:rsidRDefault="006B3342" w:rsidP="00513E25">
            <w:pPr>
              <w:pStyle w:val="TableText0"/>
              <w:jc w:val="center"/>
            </w:pPr>
            <w:r w:rsidRPr="000B52C6">
              <w:t>183 (40.1)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893851" w14:textId="77777777" w:rsidR="006B3342" w:rsidRPr="000B52C6" w:rsidRDefault="006B3342" w:rsidP="00513E25">
            <w:pPr>
              <w:pStyle w:val="TableText0"/>
              <w:jc w:val="center"/>
              <w:rPr>
                <w:b/>
                <w:bCs w:val="0"/>
              </w:rPr>
            </w:pPr>
            <w:r w:rsidRPr="000B52C6">
              <w:rPr>
                <w:b/>
                <w:bCs w:val="0"/>
              </w:rPr>
              <w:t>2.26 (1.74, 2.95)</w:t>
            </w:r>
          </w:p>
        </w:tc>
        <w:tc>
          <w:tcPr>
            <w:tcW w:w="1560" w:type="dxa"/>
            <w:tcBorders>
              <w:top w:val="single" w:sz="6" w:space="0" w:color="auto"/>
              <w:left w:val="single" w:sz="6" w:space="0" w:color="auto"/>
              <w:bottom w:val="single" w:sz="6" w:space="0" w:color="auto"/>
              <w:right w:val="single" w:sz="4" w:space="0" w:color="auto"/>
            </w:tcBorders>
            <w:shd w:val="clear" w:color="auto" w:fill="C6D9F1" w:themeFill="text2" w:themeFillTint="33"/>
            <w:vAlign w:val="center"/>
            <w:hideMark/>
          </w:tcPr>
          <w:p w14:paraId="19424455" w14:textId="77777777" w:rsidR="006B3342" w:rsidRPr="000B52C6" w:rsidRDefault="006B3342" w:rsidP="00513E25">
            <w:pPr>
              <w:pStyle w:val="TableText0"/>
              <w:jc w:val="center"/>
              <w:rPr>
                <w:b/>
                <w:bCs w:val="0"/>
                <w:iCs/>
              </w:rPr>
            </w:pPr>
            <w:r w:rsidRPr="000B52C6">
              <w:rPr>
                <w:b/>
                <w:bCs w:val="0"/>
                <w:iCs/>
              </w:rPr>
              <w:t>1.50 (1.31, 1.72)</w:t>
            </w:r>
          </w:p>
        </w:tc>
        <w:tc>
          <w:tcPr>
            <w:tcW w:w="1701"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1E44409B" w14:textId="77777777" w:rsidR="006B3342" w:rsidRPr="000B52C6" w:rsidRDefault="006B3342" w:rsidP="00513E25">
            <w:pPr>
              <w:pStyle w:val="TableText0"/>
              <w:jc w:val="center"/>
              <w:rPr>
                <w:b/>
                <w:bCs w:val="0"/>
              </w:rPr>
            </w:pPr>
            <w:r w:rsidRPr="000B52C6">
              <w:rPr>
                <w:b/>
                <w:bCs w:val="0"/>
              </w:rPr>
              <w:t>0.20 (0.14, 0.26)</w:t>
            </w:r>
          </w:p>
        </w:tc>
      </w:tr>
      <w:tr w:rsidR="006B3342" w:rsidRPr="000B52C6" w14:paraId="7F03D36F" w14:textId="77777777" w:rsidTr="00513E25">
        <w:trPr>
          <w:trHeight w:val="197"/>
        </w:trPr>
        <w:tc>
          <w:tcPr>
            <w:tcW w:w="2127" w:type="dxa"/>
            <w:tcBorders>
              <w:top w:val="single" w:sz="6" w:space="0" w:color="auto"/>
              <w:left w:val="single" w:sz="4" w:space="0" w:color="auto"/>
              <w:bottom w:val="single" w:sz="6" w:space="0" w:color="auto"/>
              <w:right w:val="single" w:sz="6" w:space="0" w:color="auto"/>
            </w:tcBorders>
            <w:shd w:val="clear" w:color="auto" w:fill="C6D9F1" w:themeFill="text2" w:themeFillTint="33"/>
            <w:vAlign w:val="center"/>
            <w:hideMark/>
          </w:tcPr>
          <w:p w14:paraId="34C3381B" w14:textId="77777777" w:rsidR="006B3342" w:rsidRPr="000B52C6" w:rsidRDefault="006B3342" w:rsidP="00513E25">
            <w:pPr>
              <w:pStyle w:val="TableText0"/>
            </w:pPr>
            <w:r w:rsidRPr="000B52C6">
              <w:t>Any Adverse Event Leading to carfilzomib or bortezomib dose reduction</w:t>
            </w: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404C25D2" w14:textId="77777777" w:rsidR="006B3342" w:rsidRPr="000B52C6" w:rsidRDefault="006B3342" w:rsidP="00513E25">
            <w:pPr>
              <w:pStyle w:val="TableText0"/>
              <w:jc w:val="center"/>
            </w:pPr>
            <w:r w:rsidRPr="000B52C6">
              <w:t>138 (29.8)</w:t>
            </w:r>
          </w:p>
        </w:tc>
        <w:tc>
          <w:tcPr>
            <w:tcW w:w="127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4453C41A" w14:textId="77777777" w:rsidR="006B3342" w:rsidRPr="000B52C6" w:rsidRDefault="006B3342" w:rsidP="00513E25">
            <w:pPr>
              <w:pStyle w:val="TableText0"/>
              <w:jc w:val="center"/>
            </w:pPr>
            <w:r w:rsidRPr="000B52C6">
              <w:t>226 (49.6)</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C96F8FA" w14:textId="77777777" w:rsidR="006B3342" w:rsidRPr="000B52C6" w:rsidRDefault="006B3342" w:rsidP="00513E25">
            <w:pPr>
              <w:pStyle w:val="TableText0"/>
              <w:jc w:val="center"/>
              <w:rPr>
                <w:b/>
                <w:bCs w:val="0"/>
                <w:iCs/>
              </w:rPr>
            </w:pPr>
            <w:r w:rsidRPr="000B52C6">
              <w:rPr>
                <w:b/>
                <w:bCs w:val="0"/>
                <w:iCs/>
              </w:rPr>
              <w:t xml:space="preserve">0.43 (0.33, 0.57) </w:t>
            </w:r>
          </w:p>
        </w:tc>
        <w:tc>
          <w:tcPr>
            <w:tcW w:w="1560" w:type="dxa"/>
            <w:tcBorders>
              <w:top w:val="single" w:sz="6" w:space="0" w:color="auto"/>
              <w:left w:val="single" w:sz="6" w:space="0" w:color="auto"/>
              <w:bottom w:val="single" w:sz="6" w:space="0" w:color="auto"/>
              <w:right w:val="single" w:sz="4" w:space="0" w:color="auto"/>
            </w:tcBorders>
            <w:shd w:val="clear" w:color="auto" w:fill="C6D9F1" w:themeFill="text2" w:themeFillTint="33"/>
            <w:vAlign w:val="center"/>
          </w:tcPr>
          <w:p w14:paraId="26DA7F5D" w14:textId="77777777" w:rsidR="006B3342" w:rsidRPr="000B52C6" w:rsidRDefault="006B3342" w:rsidP="00513E25">
            <w:pPr>
              <w:pStyle w:val="TableText0"/>
              <w:jc w:val="center"/>
              <w:rPr>
                <w:iCs/>
              </w:rPr>
            </w:pPr>
            <w:r w:rsidRPr="000B52C6">
              <w:rPr>
                <w:b/>
                <w:bCs w:val="0"/>
                <w:iCs/>
              </w:rPr>
              <w:t>0.60 (0.51, 0.71)</w:t>
            </w:r>
          </w:p>
        </w:tc>
        <w:tc>
          <w:tcPr>
            <w:tcW w:w="1701"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2754E5E2" w14:textId="77777777" w:rsidR="006B3342" w:rsidRPr="000B52C6" w:rsidRDefault="006B3342" w:rsidP="00513E25">
            <w:pPr>
              <w:pStyle w:val="TableText0"/>
              <w:jc w:val="center"/>
              <w:rPr>
                <w:b/>
                <w:bCs w:val="0"/>
                <w:iCs/>
              </w:rPr>
            </w:pPr>
            <w:r w:rsidRPr="000B52C6">
              <w:rPr>
                <w:b/>
                <w:bCs w:val="0"/>
                <w:iCs/>
              </w:rPr>
              <w:t>-0.20 (-0.26, -0.14)</w:t>
            </w:r>
          </w:p>
        </w:tc>
      </w:tr>
      <w:tr w:rsidR="006B3342" w:rsidRPr="000B52C6" w14:paraId="1BBE780B" w14:textId="77777777" w:rsidTr="00513E25">
        <w:trPr>
          <w:trHeight w:val="388"/>
        </w:trPr>
        <w:tc>
          <w:tcPr>
            <w:tcW w:w="2127" w:type="dxa"/>
            <w:tcBorders>
              <w:top w:val="single" w:sz="6" w:space="0" w:color="auto"/>
              <w:left w:val="single" w:sz="4" w:space="0" w:color="auto"/>
              <w:bottom w:val="single" w:sz="6" w:space="0" w:color="auto"/>
              <w:right w:val="single" w:sz="6" w:space="0" w:color="auto"/>
            </w:tcBorders>
            <w:shd w:val="clear" w:color="auto" w:fill="C6D9F1" w:themeFill="text2" w:themeFillTint="33"/>
            <w:vAlign w:val="center"/>
            <w:hideMark/>
          </w:tcPr>
          <w:p w14:paraId="50D33C57" w14:textId="77777777" w:rsidR="006B3342" w:rsidRPr="000B52C6" w:rsidRDefault="006B3342" w:rsidP="00513E25">
            <w:pPr>
              <w:pStyle w:val="TableText0"/>
            </w:pPr>
            <w:r w:rsidRPr="000B52C6">
              <w:t>Any AE leading to discontinuation of study treatment</w:t>
            </w: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52BEA88D" w14:textId="77777777" w:rsidR="006B3342" w:rsidRPr="000B52C6" w:rsidRDefault="006B3342" w:rsidP="00513E25">
            <w:pPr>
              <w:pStyle w:val="TableText0"/>
              <w:jc w:val="center"/>
            </w:pPr>
            <w:r w:rsidRPr="000B52C6">
              <w:t>137 (29.6)</w:t>
            </w:r>
          </w:p>
        </w:tc>
        <w:tc>
          <w:tcPr>
            <w:tcW w:w="127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775505FB" w14:textId="77777777" w:rsidR="006B3342" w:rsidRPr="000B52C6" w:rsidRDefault="006B3342" w:rsidP="00513E25">
            <w:pPr>
              <w:pStyle w:val="TableText0"/>
              <w:jc w:val="center"/>
            </w:pPr>
            <w:r w:rsidRPr="000B52C6">
              <w:t>121 (26.5)</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13D36972" w14:textId="77777777" w:rsidR="006B3342" w:rsidRPr="000B52C6" w:rsidRDefault="006B3342" w:rsidP="00513E25">
            <w:pPr>
              <w:pStyle w:val="TableText0"/>
              <w:jc w:val="center"/>
            </w:pPr>
            <w:r w:rsidRPr="000B52C6">
              <w:t>1.16 (0.87, 1.55)</w:t>
            </w:r>
          </w:p>
        </w:tc>
        <w:tc>
          <w:tcPr>
            <w:tcW w:w="1560" w:type="dxa"/>
            <w:tcBorders>
              <w:top w:val="single" w:sz="6" w:space="0" w:color="auto"/>
              <w:left w:val="single" w:sz="6" w:space="0" w:color="auto"/>
              <w:bottom w:val="single" w:sz="6" w:space="0" w:color="auto"/>
              <w:right w:val="single" w:sz="4" w:space="0" w:color="auto"/>
            </w:tcBorders>
            <w:shd w:val="clear" w:color="auto" w:fill="C6D9F1" w:themeFill="text2" w:themeFillTint="33"/>
            <w:vAlign w:val="center"/>
          </w:tcPr>
          <w:p w14:paraId="3080E640" w14:textId="77777777" w:rsidR="006B3342" w:rsidRPr="000B52C6" w:rsidRDefault="006B3342" w:rsidP="00513E25">
            <w:pPr>
              <w:pStyle w:val="TableText0"/>
              <w:jc w:val="center"/>
              <w:rPr>
                <w:iCs/>
              </w:rPr>
            </w:pPr>
            <w:r w:rsidRPr="000B52C6">
              <w:rPr>
                <w:iCs/>
              </w:rPr>
              <w:t>1.12 (0.91, 1.37)</w:t>
            </w:r>
          </w:p>
        </w:tc>
        <w:tc>
          <w:tcPr>
            <w:tcW w:w="1701"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5C0DE2B1" w14:textId="77777777" w:rsidR="006B3342" w:rsidRPr="000B52C6" w:rsidRDefault="006B3342" w:rsidP="00513E25">
            <w:pPr>
              <w:pStyle w:val="TableText0"/>
              <w:jc w:val="center"/>
            </w:pPr>
            <w:r w:rsidRPr="000B52C6">
              <w:t>0.03 (-0.03, 0.09)</w:t>
            </w:r>
          </w:p>
        </w:tc>
      </w:tr>
      <w:tr w:rsidR="006B3342" w:rsidRPr="000B52C6" w14:paraId="0F2B3BE2" w14:textId="77777777" w:rsidTr="00513E25">
        <w:trPr>
          <w:trHeight w:val="388"/>
        </w:trPr>
        <w:tc>
          <w:tcPr>
            <w:tcW w:w="2127" w:type="dxa"/>
            <w:tcBorders>
              <w:top w:val="single" w:sz="6" w:space="0" w:color="auto"/>
              <w:left w:val="single" w:sz="4" w:space="0" w:color="auto"/>
              <w:bottom w:val="single" w:sz="4" w:space="0" w:color="auto"/>
              <w:right w:val="single" w:sz="6" w:space="0" w:color="auto"/>
            </w:tcBorders>
            <w:shd w:val="clear" w:color="auto" w:fill="C6D9F1" w:themeFill="text2" w:themeFillTint="33"/>
            <w:vAlign w:val="center"/>
            <w:hideMark/>
          </w:tcPr>
          <w:p w14:paraId="75100C5E" w14:textId="77777777" w:rsidR="006B3342" w:rsidRPr="000B52C6" w:rsidRDefault="006B3342" w:rsidP="00513E25">
            <w:pPr>
              <w:pStyle w:val="TableText0"/>
            </w:pPr>
            <w:r w:rsidRPr="000B52C6">
              <w:t>Any adverse event leading to death</w:t>
            </w:r>
          </w:p>
        </w:tc>
        <w:tc>
          <w:tcPr>
            <w:tcW w:w="1275" w:type="dxa"/>
            <w:tcBorders>
              <w:top w:val="single" w:sz="6" w:space="0" w:color="auto"/>
              <w:left w:val="single" w:sz="6" w:space="0" w:color="auto"/>
              <w:bottom w:val="single" w:sz="4" w:space="0" w:color="auto"/>
              <w:right w:val="single" w:sz="6" w:space="0" w:color="auto"/>
            </w:tcBorders>
            <w:shd w:val="clear" w:color="auto" w:fill="C6D9F1" w:themeFill="text2" w:themeFillTint="33"/>
            <w:vAlign w:val="center"/>
            <w:hideMark/>
          </w:tcPr>
          <w:p w14:paraId="03B77234" w14:textId="77777777" w:rsidR="006B3342" w:rsidRPr="000B52C6" w:rsidRDefault="006B3342" w:rsidP="00513E25">
            <w:pPr>
              <w:pStyle w:val="TableText0"/>
              <w:jc w:val="center"/>
            </w:pPr>
            <w:r w:rsidRPr="000B52C6">
              <w:t>32 (6.9)</w:t>
            </w:r>
          </w:p>
        </w:tc>
        <w:tc>
          <w:tcPr>
            <w:tcW w:w="1276" w:type="dxa"/>
            <w:tcBorders>
              <w:top w:val="single" w:sz="6" w:space="0" w:color="auto"/>
              <w:left w:val="single" w:sz="6" w:space="0" w:color="auto"/>
              <w:bottom w:val="single" w:sz="4" w:space="0" w:color="auto"/>
              <w:right w:val="single" w:sz="6" w:space="0" w:color="auto"/>
            </w:tcBorders>
            <w:shd w:val="clear" w:color="auto" w:fill="C6D9F1" w:themeFill="text2" w:themeFillTint="33"/>
            <w:vAlign w:val="center"/>
            <w:hideMark/>
          </w:tcPr>
          <w:p w14:paraId="2FA4F8B4" w14:textId="77777777" w:rsidR="006B3342" w:rsidRPr="000B52C6" w:rsidRDefault="006B3342" w:rsidP="00513E25">
            <w:pPr>
              <w:pStyle w:val="TableText0"/>
              <w:jc w:val="center"/>
            </w:pPr>
            <w:r w:rsidRPr="000B52C6">
              <w:t>22 (4.8)</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66E5D3A0" w14:textId="77777777" w:rsidR="006B3342" w:rsidRPr="000B52C6" w:rsidRDefault="006B3342" w:rsidP="00513E25">
            <w:pPr>
              <w:pStyle w:val="TableText0"/>
              <w:jc w:val="center"/>
            </w:pPr>
            <w:r w:rsidRPr="000B52C6">
              <w:t>1.46 (0.84, 2.56)</w:t>
            </w:r>
          </w:p>
        </w:tc>
        <w:tc>
          <w:tcPr>
            <w:tcW w:w="1560" w:type="dxa"/>
            <w:tcBorders>
              <w:top w:val="single" w:sz="6" w:space="0" w:color="auto"/>
              <w:left w:val="single" w:sz="6" w:space="0" w:color="auto"/>
              <w:bottom w:val="single" w:sz="4" w:space="0" w:color="auto"/>
              <w:right w:val="single" w:sz="4" w:space="0" w:color="auto"/>
            </w:tcBorders>
            <w:shd w:val="clear" w:color="auto" w:fill="C6D9F1" w:themeFill="text2" w:themeFillTint="33"/>
            <w:vAlign w:val="center"/>
            <w:hideMark/>
          </w:tcPr>
          <w:p w14:paraId="19F490D9" w14:textId="77777777" w:rsidR="006B3342" w:rsidRPr="000B52C6" w:rsidRDefault="006B3342" w:rsidP="00513E25">
            <w:pPr>
              <w:pStyle w:val="TableText0"/>
              <w:jc w:val="center"/>
              <w:rPr>
                <w:iCs/>
              </w:rPr>
            </w:pPr>
            <w:r w:rsidRPr="000B52C6">
              <w:rPr>
                <w:iCs/>
              </w:rPr>
              <w:t>1.43 (0.85, 2.43)</w:t>
            </w:r>
          </w:p>
        </w:tc>
        <w:tc>
          <w:tcPr>
            <w:tcW w:w="1701" w:type="dxa"/>
            <w:tcBorders>
              <w:top w:val="single" w:sz="6" w:space="0" w:color="auto"/>
              <w:left w:val="single" w:sz="6" w:space="0" w:color="auto"/>
              <w:bottom w:val="single" w:sz="4" w:space="0" w:color="auto"/>
              <w:right w:val="single" w:sz="6" w:space="0" w:color="auto"/>
            </w:tcBorders>
            <w:shd w:val="clear" w:color="auto" w:fill="C6D9F1" w:themeFill="text2" w:themeFillTint="33"/>
            <w:vAlign w:val="center"/>
          </w:tcPr>
          <w:p w14:paraId="566581A3" w14:textId="77777777" w:rsidR="006B3342" w:rsidRPr="000B52C6" w:rsidRDefault="006B3342" w:rsidP="00513E25">
            <w:pPr>
              <w:pStyle w:val="TableText0"/>
              <w:jc w:val="center"/>
            </w:pPr>
            <w:r w:rsidRPr="000B52C6">
              <w:t>0.02 (-0.01, 0.05)</w:t>
            </w:r>
          </w:p>
        </w:tc>
      </w:tr>
    </w:tbl>
    <w:p w14:paraId="08A515A3" w14:textId="77777777" w:rsidR="006B3342" w:rsidRPr="000B52C6" w:rsidRDefault="006B3342" w:rsidP="006B3342">
      <w:pPr>
        <w:pStyle w:val="TableFigureFooter"/>
      </w:pPr>
      <w:r w:rsidRPr="000B52C6">
        <w:t>Source: Table 2-40, p125 of the resubmission.</w:t>
      </w:r>
    </w:p>
    <w:p w14:paraId="403BBB19" w14:textId="77777777" w:rsidR="006B3342" w:rsidRPr="000B52C6" w:rsidRDefault="006B3342" w:rsidP="006B3342">
      <w:pPr>
        <w:pStyle w:val="TableFigureFooter"/>
      </w:pPr>
      <w:r w:rsidRPr="000B52C6">
        <w:t xml:space="preserve">Abbreviations: AE = adverse event; Bd = bortezomib + dexamethasone; Cd= carfilzomib + dexamethasone; CI = confidence interval; N = total number of patients; n = number of patients; OR = odds ratio; RD = risk difference. </w:t>
      </w:r>
    </w:p>
    <w:p w14:paraId="4E85805A" w14:textId="77777777" w:rsidR="006B3342" w:rsidRPr="000B52C6" w:rsidRDefault="006B3342" w:rsidP="006B3342">
      <w:pPr>
        <w:pStyle w:val="TableFigureFooter"/>
      </w:pPr>
      <w:r w:rsidRPr="000B52C6">
        <w:t xml:space="preserve">Notes: </w:t>
      </w:r>
      <w:r w:rsidRPr="000B52C6">
        <w:rPr>
          <w:rFonts w:eastAsia="Calibri"/>
          <w:b/>
          <w:bCs/>
        </w:rPr>
        <w:t>Bold</w:t>
      </w:r>
      <w:r w:rsidRPr="000B52C6">
        <w:rPr>
          <w:rFonts w:eastAsia="Calibri"/>
        </w:rPr>
        <w:t xml:space="preserve"> indicates statistically significant results.</w:t>
      </w:r>
      <w:r w:rsidRPr="000B52C6">
        <w:t xml:space="preserve"> </w:t>
      </w:r>
    </w:p>
    <w:p w14:paraId="7299E777" w14:textId="77777777" w:rsidR="006B3342" w:rsidRPr="000B52C6" w:rsidRDefault="006B3342" w:rsidP="006B3342">
      <w:pPr>
        <w:pStyle w:val="TableFigureFooter"/>
        <w:rPr>
          <w:rStyle w:val="CommentReference"/>
          <w:b w:val="0"/>
          <w:bCs/>
          <w:iCs/>
          <w:sz w:val="18"/>
          <w:szCs w:val="18"/>
        </w:rPr>
      </w:pPr>
      <w:r w:rsidRPr="000B52C6">
        <w:rPr>
          <w:rStyle w:val="CommentReference"/>
          <w:b w:val="0"/>
          <w:bCs/>
          <w:iCs/>
          <w:sz w:val="18"/>
          <w:szCs w:val="18"/>
          <w:shd w:val="clear" w:color="auto" w:fill="C6D9F1" w:themeFill="text2" w:themeFillTint="33"/>
        </w:rPr>
        <w:t>Blue shading</w:t>
      </w:r>
      <w:r w:rsidRPr="000B52C6">
        <w:rPr>
          <w:rStyle w:val="CommentReference"/>
          <w:b w:val="0"/>
          <w:bCs/>
          <w:iCs/>
          <w:sz w:val="18"/>
          <w:szCs w:val="18"/>
        </w:rPr>
        <w:t xml:space="preserve"> indicates data previously seen by the PBAC. </w:t>
      </w:r>
    </w:p>
    <w:p w14:paraId="1551BA37" w14:textId="77777777" w:rsidR="006B3342" w:rsidRPr="000B52C6" w:rsidRDefault="006B3342" w:rsidP="006B3342">
      <w:pPr>
        <w:pStyle w:val="TableFigureFooter"/>
        <w:rPr>
          <w:bCs/>
          <w:iCs/>
          <w:szCs w:val="18"/>
        </w:rPr>
      </w:pPr>
      <w:r w:rsidRPr="000B52C6">
        <w:rPr>
          <w:iCs/>
        </w:rPr>
        <w:t xml:space="preserve">RR was calculated during the evaluation. </w:t>
      </w:r>
    </w:p>
    <w:p w14:paraId="7B619EBA" w14:textId="77777777" w:rsidR="006B3342" w:rsidRPr="000B52C6" w:rsidRDefault="006B3342" w:rsidP="006B3342">
      <w:pPr>
        <w:pStyle w:val="TableFigureFooter"/>
      </w:pPr>
      <w:r w:rsidRPr="000B52C6">
        <w:t>a. Calculated by the resubmission using Review Manager version 5.4.1.</w:t>
      </w:r>
    </w:p>
    <w:p w14:paraId="6B134219" w14:textId="612D112E" w:rsidR="006B3342" w:rsidRPr="000B52C6" w:rsidRDefault="006B3342" w:rsidP="00D2061D">
      <w:pPr>
        <w:pStyle w:val="3-BodyText"/>
        <w:snapToGrid w:val="0"/>
        <w:ind w:left="720" w:hanging="720"/>
      </w:pPr>
      <w:r w:rsidRPr="000B52C6">
        <w:rPr>
          <w:iCs/>
        </w:rPr>
        <w:t xml:space="preserve">The </w:t>
      </w:r>
      <w:proofErr w:type="gramStart"/>
      <w:r w:rsidRPr="000B52C6">
        <w:rPr>
          <w:iCs/>
        </w:rPr>
        <w:t>most commonly experienced</w:t>
      </w:r>
      <w:proofErr w:type="gramEnd"/>
      <w:r w:rsidRPr="000B52C6">
        <w:rPr>
          <w:iCs/>
        </w:rPr>
        <w:t xml:space="preserve"> Grade ≥ 3 AE in the Cd arm were anaemia (17.3%) and hypertension (14.9%). Compared with Bd, a statistically significantly higher proportion of Cd patients experienced anaemia, pyrexia, hypertension, dyspnoea, and cardiac failure with the absolute risk of 6% of cardiac failure with Cd (see </w:t>
      </w:r>
      <w:r w:rsidRPr="000B52C6">
        <w:rPr>
          <w:iCs/>
        </w:rPr>
        <w:fldChar w:fldCharType="begin"/>
      </w:r>
      <w:r w:rsidRPr="000B52C6">
        <w:rPr>
          <w:iCs/>
        </w:rPr>
        <w:instrText xml:space="preserve"> REF _Ref90370181 \h </w:instrText>
      </w:r>
      <w:r w:rsidRPr="000B52C6">
        <w:rPr>
          <w:iCs/>
        </w:rPr>
      </w:r>
      <w:r w:rsidRPr="000B52C6">
        <w:rPr>
          <w:iCs/>
        </w:rPr>
        <w:fldChar w:fldCharType="separate"/>
      </w:r>
      <w:r w:rsidR="00FF5725" w:rsidRPr="000B52C6">
        <w:t xml:space="preserve">Table </w:t>
      </w:r>
      <w:r w:rsidR="00FF5725">
        <w:rPr>
          <w:noProof/>
        </w:rPr>
        <w:t>15</w:t>
      </w:r>
      <w:r w:rsidRPr="000B52C6">
        <w:rPr>
          <w:iCs/>
        </w:rPr>
        <w:fldChar w:fldCharType="end"/>
      </w:r>
      <w:r w:rsidRPr="000B52C6">
        <w:rPr>
          <w:iCs/>
        </w:rPr>
        <w:t xml:space="preserve">). </w:t>
      </w:r>
    </w:p>
    <w:p w14:paraId="5CDBB516" w14:textId="562B1B90" w:rsidR="006B3342" w:rsidRPr="000B52C6" w:rsidRDefault="006B3342" w:rsidP="006B3342">
      <w:pPr>
        <w:pStyle w:val="TableFigureHeading"/>
        <w:contextualSpacing/>
      </w:pPr>
      <w:bookmarkStart w:id="38" w:name="_Ref90370181"/>
      <w:r w:rsidRPr="000B52C6">
        <w:t xml:space="preserve">Table </w:t>
      </w:r>
      <w:r w:rsidR="00FF5725">
        <w:fldChar w:fldCharType="begin"/>
      </w:r>
      <w:r w:rsidR="00FF5725">
        <w:instrText xml:space="preserve"> SEQ Table \* ARABIC </w:instrText>
      </w:r>
      <w:r w:rsidR="00FF5725">
        <w:fldChar w:fldCharType="separate"/>
      </w:r>
      <w:r w:rsidR="00FF5725">
        <w:rPr>
          <w:noProof/>
        </w:rPr>
        <w:t>15</w:t>
      </w:r>
      <w:r w:rsidR="00FF5725">
        <w:fldChar w:fldCharType="end"/>
      </w:r>
      <w:bookmarkEnd w:id="38"/>
      <w:r w:rsidRPr="000B52C6">
        <w:t>: Treatment-emergent adverse events of Grade 3 or higher (safety population)</w:t>
      </w:r>
    </w:p>
    <w:tbl>
      <w:tblPr>
        <w:tblStyle w:val="THEMA"/>
        <w:tblW w:w="5000" w:type="pct"/>
        <w:tblLook w:val="04A0" w:firstRow="1" w:lastRow="0" w:firstColumn="1" w:lastColumn="0" w:noHBand="0" w:noVBand="1"/>
      </w:tblPr>
      <w:tblGrid>
        <w:gridCol w:w="2215"/>
        <w:gridCol w:w="1318"/>
        <w:gridCol w:w="1271"/>
        <w:gridCol w:w="1405"/>
        <w:gridCol w:w="1405"/>
        <w:gridCol w:w="1403"/>
      </w:tblGrid>
      <w:tr w:rsidR="006B3342" w:rsidRPr="000B52C6" w14:paraId="220DBF00" w14:textId="77777777" w:rsidTr="00513E25">
        <w:trPr>
          <w:cnfStyle w:val="100000000000" w:firstRow="1" w:lastRow="0" w:firstColumn="0" w:lastColumn="0" w:oddVBand="0" w:evenVBand="0" w:oddHBand="0" w:evenHBand="0" w:firstRowFirstColumn="0" w:firstRowLastColumn="0" w:lastRowFirstColumn="0" w:lastRowLastColumn="0"/>
          <w:trHeight w:val="525"/>
        </w:trPr>
        <w:tc>
          <w:tcPr>
            <w:tcW w:w="1228" w:type="pct"/>
            <w:shd w:val="clear" w:color="auto" w:fill="C6D9F1" w:themeFill="text2" w:themeFillTint="33"/>
            <w:hideMark/>
          </w:tcPr>
          <w:p w14:paraId="73BEFE81" w14:textId="77777777" w:rsidR="006B3342" w:rsidRPr="000B52C6" w:rsidRDefault="006B3342" w:rsidP="00513E25">
            <w:pPr>
              <w:pStyle w:val="TableFigureHeading"/>
              <w:contextualSpacing/>
              <w:rPr>
                <w:b/>
                <w:lang w:val="en-AU" w:eastAsia="en-AU" w:bidi="ar-SA"/>
              </w:rPr>
            </w:pPr>
            <w:r w:rsidRPr="000B52C6">
              <w:rPr>
                <w:b/>
                <w:lang w:val="en-AU" w:eastAsia="en-AU" w:bidi="ar-SA"/>
              </w:rPr>
              <w:t>Event</w:t>
            </w:r>
          </w:p>
        </w:tc>
        <w:tc>
          <w:tcPr>
            <w:tcW w:w="731" w:type="pct"/>
            <w:shd w:val="clear" w:color="auto" w:fill="C6D9F1" w:themeFill="text2" w:themeFillTint="33"/>
            <w:vAlign w:val="center"/>
            <w:hideMark/>
          </w:tcPr>
          <w:p w14:paraId="0136A230" w14:textId="77777777" w:rsidR="006B3342" w:rsidRPr="000B52C6" w:rsidRDefault="006B3342" w:rsidP="00513E25">
            <w:pPr>
              <w:pStyle w:val="TableFigureHeading"/>
              <w:contextualSpacing/>
              <w:rPr>
                <w:b/>
                <w:lang w:val="en-AU" w:eastAsia="en-AU" w:bidi="ar-SA"/>
              </w:rPr>
            </w:pPr>
            <w:r w:rsidRPr="000B52C6">
              <w:rPr>
                <w:b/>
                <w:lang w:val="en-AU" w:eastAsia="en-AU" w:bidi="ar-SA"/>
              </w:rPr>
              <w:t xml:space="preserve">Cd </w:t>
            </w:r>
          </w:p>
          <w:p w14:paraId="27F8C0B7" w14:textId="77777777" w:rsidR="006B3342" w:rsidRPr="000B52C6" w:rsidRDefault="006B3342" w:rsidP="00513E25">
            <w:pPr>
              <w:pStyle w:val="TableFigureHeading"/>
              <w:contextualSpacing/>
              <w:rPr>
                <w:b/>
                <w:lang w:val="en-AU" w:eastAsia="en-AU" w:bidi="ar-SA"/>
              </w:rPr>
            </w:pPr>
            <w:r w:rsidRPr="000B52C6">
              <w:rPr>
                <w:b/>
                <w:lang w:val="en-AU" w:eastAsia="en-AU" w:bidi="ar-SA"/>
              </w:rPr>
              <w:t>(N = 195), n (%)</w:t>
            </w:r>
          </w:p>
        </w:tc>
        <w:tc>
          <w:tcPr>
            <w:tcW w:w="705" w:type="pct"/>
            <w:shd w:val="clear" w:color="auto" w:fill="C6D9F1" w:themeFill="text2" w:themeFillTint="33"/>
            <w:vAlign w:val="center"/>
          </w:tcPr>
          <w:p w14:paraId="0D05E595" w14:textId="77777777" w:rsidR="006B3342" w:rsidRPr="000B52C6" w:rsidRDefault="006B3342" w:rsidP="00513E25">
            <w:pPr>
              <w:pStyle w:val="TableFigureHeading"/>
              <w:contextualSpacing/>
              <w:rPr>
                <w:b/>
                <w:lang w:val="en-AU" w:eastAsia="en-AU" w:bidi="ar-SA"/>
              </w:rPr>
            </w:pPr>
            <w:r w:rsidRPr="000B52C6">
              <w:rPr>
                <w:b/>
                <w:lang w:val="en-AU" w:eastAsia="en-AU" w:bidi="ar-SA"/>
              </w:rPr>
              <w:t xml:space="preserve">Bd </w:t>
            </w:r>
          </w:p>
          <w:p w14:paraId="36452D7B" w14:textId="77777777" w:rsidR="006B3342" w:rsidRPr="000B52C6" w:rsidRDefault="006B3342" w:rsidP="00513E25">
            <w:pPr>
              <w:pStyle w:val="TableFigureHeading"/>
              <w:contextualSpacing/>
              <w:rPr>
                <w:b/>
                <w:lang w:val="en-AU" w:eastAsia="en-AU" w:bidi="ar-SA"/>
              </w:rPr>
            </w:pPr>
            <w:r w:rsidRPr="000B52C6">
              <w:rPr>
                <w:b/>
                <w:lang w:val="en-AU" w:eastAsia="en-AU" w:bidi="ar-SA"/>
              </w:rPr>
              <w:t>(N=204), n (%)</w:t>
            </w:r>
          </w:p>
        </w:tc>
        <w:tc>
          <w:tcPr>
            <w:tcW w:w="779" w:type="pct"/>
            <w:shd w:val="clear" w:color="auto" w:fill="auto"/>
            <w:vAlign w:val="center"/>
          </w:tcPr>
          <w:p w14:paraId="16EE8730" w14:textId="77777777" w:rsidR="006B3342" w:rsidRPr="000B52C6" w:rsidRDefault="006B3342" w:rsidP="00513E25">
            <w:pPr>
              <w:pStyle w:val="TableFigureHeading"/>
              <w:contextualSpacing/>
              <w:rPr>
                <w:b/>
                <w:lang w:val="en-AU" w:eastAsia="en-AU" w:bidi="ar-SA"/>
              </w:rPr>
            </w:pPr>
            <w:r w:rsidRPr="000B52C6">
              <w:rPr>
                <w:b/>
                <w:lang w:val="en-AU" w:eastAsia="en-AU" w:bidi="ar-SA"/>
              </w:rPr>
              <w:t xml:space="preserve">OR (95% </w:t>
            </w:r>
            <w:proofErr w:type="gramStart"/>
            <w:r w:rsidRPr="000B52C6">
              <w:rPr>
                <w:b/>
                <w:lang w:val="en-AU" w:eastAsia="en-AU" w:bidi="ar-SA"/>
              </w:rPr>
              <w:t>CI)a</w:t>
            </w:r>
            <w:proofErr w:type="gramEnd"/>
          </w:p>
        </w:tc>
        <w:tc>
          <w:tcPr>
            <w:tcW w:w="779" w:type="pct"/>
            <w:shd w:val="clear" w:color="auto" w:fill="C6D9F1" w:themeFill="text2" w:themeFillTint="33"/>
            <w:vAlign w:val="center"/>
          </w:tcPr>
          <w:p w14:paraId="57C500C5" w14:textId="77777777" w:rsidR="006B3342" w:rsidRPr="000B52C6" w:rsidRDefault="006B3342" w:rsidP="00513E25">
            <w:pPr>
              <w:pStyle w:val="TableFigureHeading"/>
              <w:contextualSpacing/>
              <w:rPr>
                <w:b/>
                <w:lang w:val="en-AU" w:eastAsia="en-AU" w:bidi="ar-SA"/>
              </w:rPr>
            </w:pPr>
            <w:r w:rsidRPr="000B52C6">
              <w:rPr>
                <w:b/>
                <w:lang w:val="en-AU" w:eastAsia="en-AU" w:bidi="ar-SA"/>
              </w:rPr>
              <w:t>RR (95% CI)</w:t>
            </w:r>
          </w:p>
        </w:tc>
        <w:tc>
          <w:tcPr>
            <w:tcW w:w="778" w:type="pct"/>
            <w:shd w:val="clear" w:color="auto" w:fill="C6D9F1" w:themeFill="text2" w:themeFillTint="33"/>
            <w:vAlign w:val="center"/>
          </w:tcPr>
          <w:p w14:paraId="3BBB7895" w14:textId="77777777" w:rsidR="006B3342" w:rsidRPr="000B52C6" w:rsidRDefault="006B3342" w:rsidP="00513E25">
            <w:pPr>
              <w:pStyle w:val="TableFigureHeading"/>
              <w:contextualSpacing/>
              <w:rPr>
                <w:b/>
                <w:lang w:val="en-AU" w:eastAsia="en-AU" w:bidi="ar-SA"/>
              </w:rPr>
            </w:pPr>
            <w:r w:rsidRPr="000B52C6">
              <w:rPr>
                <w:b/>
                <w:lang w:val="en-AU" w:eastAsia="en-AU" w:bidi="ar-SA"/>
              </w:rPr>
              <w:t xml:space="preserve">RD (95% </w:t>
            </w:r>
            <w:proofErr w:type="gramStart"/>
            <w:r w:rsidRPr="000B52C6">
              <w:rPr>
                <w:b/>
                <w:lang w:val="en-AU" w:eastAsia="en-AU" w:bidi="ar-SA"/>
              </w:rPr>
              <w:t>CI)a</w:t>
            </w:r>
            <w:proofErr w:type="gramEnd"/>
            <w:r w:rsidRPr="000B52C6">
              <w:rPr>
                <w:b/>
                <w:lang w:val="en-AU" w:eastAsia="en-AU" w:bidi="ar-SA"/>
              </w:rPr>
              <w:t xml:space="preserve"> </w:t>
            </w:r>
          </w:p>
        </w:tc>
      </w:tr>
      <w:tr w:rsidR="006B3342" w:rsidRPr="000B52C6" w14:paraId="547720E6" w14:textId="77777777" w:rsidTr="00513E25">
        <w:trPr>
          <w:trHeight w:val="70"/>
        </w:trPr>
        <w:tc>
          <w:tcPr>
            <w:tcW w:w="1228" w:type="pct"/>
            <w:shd w:val="clear" w:color="auto" w:fill="C6D9F1" w:themeFill="text2" w:themeFillTint="33"/>
            <w:noWrap/>
            <w:hideMark/>
          </w:tcPr>
          <w:p w14:paraId="046538CC" w14:textId="77777777" w:rsidR="006B3342" w:rsidRPr="000B52C6" w:rsidRDefault="006B3342" w:rsidP="00513E25">
            <w:pPr>
              <w:pStyle w:val="TableText0"/>
              <w:rPr>
                <w:lang w:val="en-AU" w:eastAsia="en-AU" w:bidi="ar-SA"/>
              </w:rPr>
            </w:pPr>
            <w:r w:rsidRPr="000B52C6">
              <w:rPr>
                <w:lang w:val="en-AU" w:eastAsia="en-AU" w:bidi="ar-SA"/>
              </w:rPr>
              <w:t xml:space="preserve">Anaemia </w:t>
            </w:r>
          </w:p>
        </w:tc>
        <w:tc>
          <w:tcPr>
            <w:tcW w:w="731" w:type="pct"/>
            <w:shd w:val="clear" w:color="auto" w:fill="C6D9F1" w:themeFill="text2" w:themeFillTint="33"/>
            <w:noWrap/>
            <w:vAlign w:val="center"/>
          </w:tcPr>
          <w:p w14:paraId="3A409CC3" w14:textId="77777777" w:rsidR="006B3342" w:rsidRPr="000B52C6" w:rsidRDefault="006B3342" w:rsidP="00513E25">
            <w:pPr>
              <w:pStyle w:val="TableText0"/>
              <w:jc w:val="center"/>
              <w:rPr>
                <w:lang w:val="en-AU" w:eastAsia="en-AU" w:bidi="ar-SA"/>
              </w:rPr>
            </w:pPr>
            <w:r w:rsidRPr="000B52C6">
              <w:rPr>
                <w:lang w:val="en-AU" w:eastAsia="en-AU" w:bidi="ar-SA"/>
              </w:rPr>
              <w:t>80 (17.3)</w:t>
            </w:r>
          </w:p>
        </w:tc>
        <w:tc>
          <w:tcPr>
            <w:tcW w:w="705" w:type="pct"/>
            <w:shd w:val="clear" w:color="auto" w:fill="C6D9F1" w:themeFill="text2" w:themeFillTint="33"/>
            <w:vAlign w:val="center"/>
          </w:tcPr>
          <w:p w14:paraId="5BCAB696" w14:textId="77777777" w:rsidR="006B3342" w:rsidRPr="000B52C6" w:rsidRDefault="006B3342" w:rsidP="00513E25">
            <w:pPr>
              <w:pStyle w:val="TableText0"/>
              <w:jc w:val="center"/>
              <w:rPr>
                <w:lang w:val="en-AU" w:eastAsia="en-AU" w:bidi="ar-SA"/>
              </w:rPr>
            </w:pPr>
            <w:r w:rsidRPr="000B52C6">
              <w:rPr>
                <w:lang w:val="en-AU" w:eastAsia="en-AU" w:bidi="ar-SA"/>
              </w:rPr>
              <w:t>46 (10.1)</w:t>
            </w:r>
          </w:p>
        </w:tc>
        <w:tc>
          <w:tcPr>
            <w:tcW w:w="779" w:type="pct"/>
            <w:shd w:val="clear" w:color="auto" w:fill="auto"/>
            <w:vAlign w:val="center"/>
          </w:tcPr>
          <w:p w14:paraId="0ACB78DB"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1.86 (1.26, 2.75)</w:t>
            </w:r>
          </w:p>
        </w:tc>
        <w:tc>
          <w:tcPr>
            <w:tcW w:w="779" w:type="pct"/>
            <w:shd w:val="clear" w:color="auto" w:fill="C6D9F1" w:themeFill="text2" w:themeFillTint="33"/>
            <w:vAlign w:val="center"/>
          </w:tcPr>
          <w:p w14:paraId="3AE80D4D" w14:textId="77777777" w:rsidR="006B3342" w:rsidRPr="000B52C6" w:rsidRDefault="006B3342" w:rsidP="00513E25">
            <w:pPr>
              <w:pStyle w:val="TableText0"/>
              <w:jc w:val="center"/>
              <w:rPr>
                <w:b/>
                <w:bCs w:val="0"/>
                <w:iCs/>
                <w:lang w:val="en-AU" w:eastAsia="en-AU" w:bidi="ar-SA"/>
              </w:rPr>
            </w:pPr>
            <w:r w:rsidRPr="000B52C6">
              <w:rPr>
                <w:b/>
                <w:bCs w:val="0"/>
                <w:iCs/>
                <w:lang w:val="en-AU"/>
              </w:rPr>
              <w:t>1.71 (1.22, 2.40)</w:t>
            </w:r>
          </w:p>
        </w:tc>
        <w:tc>
          <w:tcPr>
            <w:tcW w:w="778" w:type="pct"/>
            <w:shd w:val="clear" w:color="auto" w:fill="C6D9F1" w:themeFill="text2" w:themeFillTint="33"/>
            <w:vAlign w:val="center"/>
          </w:tcPr>
          <w:p w14:paraId="73530F19" w14:textId="77777777" w:rsidR="006B3342" w:rsidRPr="000B52C6" w:rsidRDefault="006B3342" w:rsidP="00513E25">
            <w:pPr>
              <w:pStyle w:val="TableText0"/>
              <w:jc w:val="center"/>
              <w:rPr>
                <w:b/>
                <w:bCs w:val="0"/>
                <w:lang w:val="en-AU"/>
              </w:rPr>
            </w:pPr>
            <w:r w:rsidRPr="000B52C6">
              <w:rPr>
                <w:b/>
                <w:bCs w:val="0"/>
                <w:lang w:val="en-AU" w:eastAsia="en-AU" w:bidi="ar-SA"/>
              </w:rPr>
              <w:t>0.07 (0.03, 0.12)</w:t>
            </w:r>
          </w:p>
        </w:tc>
      </w:tr>
      <w:tr w:rsidR="006B3342" w:rsidRPr="000B52C6" w14:paraId="446A60E8" w14:textId="77777777" w:rsidTr="00513E25">
        <w:trPr>
          <w:trHeight w:val="68"/>
        </w:trPr>
        <w:tc>
          <w:tcPr>
            <w:tcW w:w="1228" w:type="pct"/>
            <w:shd w:val="clear" w:color="auto" w:fill="C6D9F1" w:themeFill="text2" w:themeFillTint="33"/>
            <w:noWrap/>
            <w:hideMark/>
          </w:tcPr>
          <w:p w14:paraId="79360A44" w14:textId="77777777" w:rsidR="006B3342" w:rsidRPr="000B52C6" w:rsidRDefault="006B3342" w:rsidP="00513E25">
            <w:pPr>
              <w:pStyle w:val="TableText0"/>
              <w:rPr>
                <w:lang w:val="en-AU" w:eastAsia="en-AU" w:bidi="ar-SA"/>
              </w:rPr>
            </w:pPr>
            <w:r w:rsidRPr="000B52C6">
              <w:rPr>
                <w:lang w:val="en-AU" w:eastAsia="en-AU" w:bidi="ar-SA"/>
              </w:rPr>
              <w:t>Diarrhoea</w:t>
            </w:r>
          </w:p>
        </w:tc>
        <w:tc>
          <w:tcPr>
            <w:tcW w:w="731" w:type="pct"/>
            <w:shd w:val="clear" w:color="auto" w:fill="C6D9F1" w:themeFill="text2" w:themeFillTint="33"/>
            <w:noWrap/>
            <w:vAlign w:val="center"/>
          </w:tcPr>
          <w:p w14:paraId="2934D66E" w14:textId="77777777" w:rsidR="006B3342" w:rsidRPr="000B52C6" w:rsidRDefault="006B3342" w:rsidP="00513E25">
            <w:pPr>
              <w:pStyle w:val="TableText0"/>
              <w:jc w:val="center"/>
              <w:rPr>
                <w:lang w:val="en-AU" w:eastAsia="en-AU" w:bidi="ar-SA"/>
              </w:rPr>
            </w:pPr>
            <w:r w:rsidRPr="000B52C6">
              <w:rPr>
                <w:lang w:val="en-AU" w:eastAsia="en-AU" w:bidi="ar-SA"/>
              </w:rPr>
              <w:t>19 (4.1)</w:t>
            </w:r>
          </w:p>
        </w:tc>
        <w:tc>
          <w:tcPr>
            <w:tcW w:w="705" w:type="pct"/>
            <w:shd w:val="clear" w:color="auto" w:fill="C6D9F1" w:themeFill="text2" w:themeFillTint="33"/>
            <w:vAlign w:val="center"/>
          </w:tcPr>
          <w:p w14:paraId="6B12FA06" w14:textId="77777777" w:rsidR="006B3342" w:rsidRPr="000B52C6" w:rsidRDefault="006B3342" w:rsidP="00513E25">
            <w:pPr>
              <w:pStyle w:val="TableText0"/>
              <w:jc w:val="center"/>
              <w:rPr>
                <w:lang w:val="en-AU" w:eastAsia="en-AU" w:bidi="ar-SA"/>
              </w:rPr>
            </w:pPr>
            <w:r w:rsidRPr="000B52C6">
              <w:rPr>
                <w:lang w:val="en-AU" w:eastAsia="en-AU" w:bidi="ar-SA"/>
              </w:rPr>
              <w:t>40 (8.8)</w:t>
            </w:r>
          </w:p>
        </w:tc>
        <w:tc>
          <w:tcPr>
            <w:tcW w:w="779" w:type="pct"/>
            <w:shd w:val="clear" w:color="auto" w:fill="auto"/>
            <w:vAlign w:val="center"/>
          </w:tcPr>
          <w:p w14:paraId="520E9DA2"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0.45 (0.25, 0.78)</w:t>
            </w:r>
          </w:p>
        </w:tc>
        <w:tc>
          <w:tcPr>
            <w:tcW w:w="779" w:type="pct"/>
            <w:shd w:val="clear" w:color="auto" w:fill="C6D9F1" w:themeFill="text2" w:themeFillTint="33"/>
            <w:vAlign w:val="center"/>
          </w:tcPr>
          <w:p w14:paraId="15C22798" w14:textId="77777777" w:rsidR="006B3342" w:rsidRPr="000B52C6" w:rsidRDefault="006B3342" w:rsidP="00513E25">
            <w:pPr>
              <w:pStyle w:val="TableText0"/>
              <w:jc w:val="center"/>
              <w:rPr>
                <w:b/>
                <w:bCs w:val="0"/>
                <w:iCs/>
                <w:lang w:val="en-AU" w:eastAsia="en-AU" w:bidi="ar-SA"/>
              </w:rPr>
            </w:pPr>
            <w:r w:rsidRPr="000B52C6">
              <w:rPr>
                <w:b/>
                <w:bCs w:val="0"/>
                <w:iCs/>
                <w:lang w:val="en-AU"/>
              </w:rPr>
              <w:t>0.47 (0.28, 0.80)</w:t>
            </w:r>
          </w:p>
        </w:tc>
        <w:tc>
          <w:tcPr>
            <w:tcW w:w="778" w:type="pct"/>
            <w:shd w:val="clear" w:color="auto" w:fill="C6D9F1" w:themeFill="text2" w:themeFillTint="33"/>
            <w:vAlign w:val="center"/>
          </w:tcPr>
          <w:p w14:paraId="5475C098" w14:textId="77777777" w:rsidR="006B3342" w:rsidRPr="000B52C6" w:rsidRDefault="006B3342" w:rsidP="00513E25">
            <w:pPr>
              <w:pStyle w:val="TableText0"/>
              <w:jc w:val="center"/>
              <w:rPr>
                <w:b/>
                <w:bCs w:val="0"/>
                <w:lang w:val="en-AU"/>
              </w:rPr>
            </w:pPr>
            <w:r w:rsidRPr="000B52C6">
              <w:rPr>
                <w:b/>
                <w:bCs w:val="0"/>
                <w:lang w:val="en-AU" w:eastAsia="en-AU" w:bidi="ar-SA"/>
              </w:rPr>
              <w:t>-0.05 (-0.08, -0.02)</w:t>
            </w:r>
          </w:p>
        </w:tc>
      </w:tr>
      <w:tr w:rsidR="006B3342" w:rsidRPr="000B52C6" w14:paraId="17DD7517" w14:textId="77777777" w:rsidTr="00513E25">
        <w:trPr>
          <w:trHeight w:val="68"/>
        </w:trPr>
        <w:tc>
          <w:tcPr>
            <w:tcW w:w="1228" w:type="pct"/>
            <w:shd w:val="clear" w:color="auto" w:fill="C6D9F1" w:themeFill="text2" w:themeFillTint="33"/>
            <w:noWrap/>
            <w:hideMark/>
          </w:tcPr>
          <w:p w14:paraId="40148E61" w14:textId="77777777" w:rsidR="006B3342" w:rsidRPr="000B52C6" w:rsidRDefault="006B3342" w:rsidP="00513E25">
            <w:pPr>
              <w:pStyle w:val="TableText0"/>
              <w:rPr>
                <w:lang w:val="en-AU" w:eastAsia="en-AU" w:bidi="ar-SA"/>
              </w:rPr>
            </w:pPr>
            <w:r w:rsidRPr="000B52C6">
              <w:rPr>
                <w:lang w:val="en-AU" w:eastAsia="en-AU" w:bidi="ar-SA"/>
              </w:rPr>
              <w:t>Pyrexia</w:t>
            </w:r>
          </w:p>
        </w:tc>
        <w:tc>
          <w:tcPr>
            <w:tcW w:w="731" w:type="pct"/>
            <w:shd w:val="clear" w:color="auto" w:fill="C6D9F1" w:themeFill="text2" w:themeFillTint="33"/>
            <w:noWrap/>
            <w:vAlign w:val="center"/>
          </w:tcPr>
          <w:p w14:paraId="6FA700DE" w14:textId="77777777" w:rsidR="006B3342" w:rsidRPr="000B52C6" w:rsidRDefault="006B3342" w:rsidP="00513E25">
            <w:pPr>
              <w:pStyle w:val="TableText0"/>
              <w:jc w:val="center"/>
              <w:rPr>
                <w:lang w:val="en-AU" w:eastAsia="en-AU" w:bidi="ar-SA"/>
              </w:rPr>
            </w:pPr>
            <w:r w:rsidRPr="000B52C6">
              <w:rPr>
                <w:lang w:val="en-AU" w:eastAsia="en-AU" w:bidi="ar-SA"/>
              </w:rPr>
              <w:t>14 (3.0)</w:t>
            </w:r>
          </w:p>
        </w:tc>
        <w:tc>
          <w:tcPr>
            <w:tcW w:w="705" w:type="pct"/>
            <w:shd w:val="clear" w:color="auto" w:fill="C6D9F1" w:themeFill="text2" w:themeFillTint="33"/>
            <w:vAlign w:val="center"/>
          </w:tcPr>
          <w:p w14:paraId="74D9387C" w14:textId="77777777" w:rsidR="006B3342" w:rsidRPr="000B52C6" w:rsidRDefault="006B3342" w:rsidP="00513E25">
            <w:pPr>
              <w:pStyle w:val="TableText0"/>
              <w:jc w:val="center"/>
              <w:rPr>
                <w:lang w:val="en-AU" w:eastAsia="en-AU" w:bidi="ar-SA"/>
              </w:rPr>
            </w:pPr>
            <w:r w:rsidRPr="000B52C6">
              <w:rPr>
                <w:lang w:val="en-AU" w:eastAsia="en-AU" w:bidi="ar-SA"/>
              </w:rPr>
              <w:t>3 (0.7)</w:t>
            </w:r>
          </w:p>
        </w:tc>
        <w:tc>
          <w:tcPr>
            <w:tcW w:w="779" w:type="pct"/>
            <w:shd w:val="clear" w:color="auto" w:fill="auto"/>
            <w:vAlign w:val="center"/>
          </w:tcPr>
          <w:p w14:paraId="4C58E65B"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4.71 (1.34, 16.5)</w:t>
            </w:r>
          </w:p>
        </w:tc>
        <w:tc>
          <w:tcPr>
            <w:tcW w:w="779" w:type="pct"/>
            <w:shd w:val="clear" w:color="auto" w:fill="C6D9F1" w:themeFill="text2" w:themeFillTint="33"/>
            <w:vAlign w:val="center"/>
          </w:tcPr>
          <w:p w14:paraId="098A0DE6" w14:textId="77777777" w:rsidR="006B3342" w:rsidRPr="000B52C6" w:rsidRDefault="006B3342" w:rsidP="00513E25">
            <w:pPr>
              <w:pStyle w:val="TableText0"/>
              <w:jc w:val="center"/>
              <w:rPr>
                <w:b/>
                <w:bCs w:val="0"/>
                <w:iCs/>
                <w:lang w:val="en-AU" w:eastAsia="en-AU" w:bidi="ar-SA"/>
              </w:rPr>
            </w:pPr>
            <w:r w:rsidRPr="000B52C6">
              <w:rPr>
                <w:b/>
                <w:bCs w:val="0"/>
                <w:iCs/>
                <w:lang w:val="en-AU"/>
              </w:rPr>
              <w:t>4.60 (1.33, 15.89)</w:t>
            </w:r>
          </w:p>
        </w:tc>
        <w:tc>
          <w:tcPr>
            <w:tcW w:w="778" w:type="pct"/>
            <w:shd w:val="clear" w:color="auto" w:fill="C6D9F1" w:themeFill="text2" w:themeFillTint="33"/>
            <w:vAlign w:val="center"/>
          </w:tcPr>
          <w:p w14:paraId="1043E60F" w14:textId="77777777" w:rsidR="006B3342" w:rsidRPr="000B52C6" w:rsidRDefault="006B3342" w:rsidP="00513E25">
            <w:pPr>
              <w:pStyle w:val="TableText0"/>
              <w:jc w:val="center"/>
              <w:rPr>
                <w:b/>
                <w:bCs w:val="0"/>
                <w:lang w:val="en-AU"/>
              </w:rPr>
            </w:pPr>
            <w:r w:rsidRPr="000B52C6">
              <w:rPr>
                <w:b/>
                <w:bCs w:val="0"/>
                <w:lang w:val="en-AU" w:eastAsia="en-AU" w:bidi="ar-SA"/>
              </w:rPr>
              <w:t>0.02 (0.01, 0.04)</w:t>
            </w:r>
          </w:p>
        </w:tc>
      </w:tr>
      <w:tr w:rsidR="006B3342" w:rsidRPr="000B52C6" w14:paraId="41B829FF" w14:textId="77777777" w:rsidTr="00513E25">
        <w:trPr>
          <w:trHeight w:val="68"/>
        </w:trPr>
        <w:tc>
          <w:tcPr>
            <w:tcW w:w="1228" w:type="pct"/>
            <w:shd w:val="clear" w:color="auto" w:fill="C6D9F1" w:themeFill="text2" w:themeFillTint="33"/>
            <w:noWrap/>
            <w:hideMark/>
          </w:tcPr>
          <w:p w14:paraId="25E1AA34" w14:textId="77777777" w:rsidR="006B3342" w:rsidRPr="000B52C6" w:rsidRDefault="006B3342" w:rsidP="00513E25">
            <w:pPr>
              <w:pStyle w:val="TableText0"/>
              <w:rPr>
                <w:lang w:val="en-AU" w:eastAsia="en-AU" w:bidi="ar-SA"/>
              </w:rPr>
            </w:pPr>
            <w:r w:rsidRPr="000B52C6">
              <w:rPr>
                <w:lang w:val="en-AU" w:eastAsia="en-AU" w:bidi="ar-SA"/>
              </w:rPr>
              <w:t>Hypertension</w:t>
            </w:r>
          </w:p>
        </w:tc>
        <w:tc>
          <w:tcPr>
            <w:tcW w:w="731" w:type="pct"/>
            <w:shd w:val="clear" w:color="auto" w:fill="C6D9F1" w:themeFill="text2" w:themeFillTint="33"/>
            <w:noWrap/>
            <w:vAlign w:val="center"/>
          </w:tcPr>
          <w:p w14:paraId="5D4B653B" w14:textId="77777777" w:rsidR="006B3342" w:rsidRPr="000B52C6" w:rsidRDefault="006B3342" w:rsidP="00513E25">
            <w:pPr>
              <w:pStyle w:val="TableText0"/>
              <w:jc w:val="center"/>
              <w:rPr>
                <w:lang w:val="en-AU" w:eastAsia="en-AU" w:bidi="ar-SA"/>
              </w:rPr>
            </w:pPr>
            <w:r w:rsidRPr="000B52C6">
              <w:rPr>
                <w:lang w:val="en-AU" w:eastAsia="en-AU" w:bidi="ar-SA"/>
              </w:rPr>
              <w:t>69 (14.9)</w:t>
            </w:r>
          </w:p>
        </w:tc>
        <w:tc>
          <w:tcPr>
            <w:tcW w:w="705" w:type="pct"/>
            <w:shd w:val="clear" w:color="auto" w:fill="C6D9F1" w:themeFill="text2" w:themeFillTint="33"/>
            <w:vAlign w:val="center"/>
          </w:tcPr>
          <w:p w14:paraId="30776831" w14:textId="77777777" w:rsidR="006B3342" w:rsidRPr="000B52C6" w:rsidRDefault="006B3342" w:rsidP="00513E25">
            <w:pPr>
              <w:pStyle w:val="TableText0"/>
              <w:jc w:val="center"/>
              <w:rPr>
                <w:lang w:val="en-AU" w:eastAsia="en-AU" w:bidi="ar-SA"/>
              </w:rPr>
            </w:pPr>
            <w:r w:rsidRPr="000B52C6">
              <w:rPr>
                <w:lang w:val="en-AU" w:eastAsia="en-AU" w:bidi="ar-SA"/>
              </w:rPr>
              <w:t>15 (3.3)</w:t>
            </w:r>
          </w:p>
        </w:tc>
        <w:tc>
          <w:tcPr>
            <w:tcW w:w="779" w:type="pct"/>
            <w:shd w:val="clear" w:color="auto" w:fill="auto"/>
            <w:vAlign w:val="center"/>
          </w:tcPr>
          <w:p w14:paraId="6FE4FEE2"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5.15 (2.9, 9.15)</w:t>
            </w:r>
          </w:p>
        </w:tc>
        <w:tc>
          <w:tcPr>
            <w:tcW w:w="779" w:type="pct"/>
            <w:shd w:val="clear" w:color="auto" w:fill="C6D9F1" w:themeFill="text2" w:themeFillTint="33"/>
            <w:vAlign w:val="center"/>
          </w:tcPr>
          <w:p w14:paraId="3F131133" w14:textId="77777777" w:rsidR="006B3342" w:rsidRPr="000B52C6" w:rsidRDefault="006B3342" w:rsidP="00513E25">
            <w:pPr>
              <w:pStyle w:val="TableText0"/>
              <w:jc w:val="center"/>
              <w:rPr>
                <w:b/>
                <w:bCs w:val="0"/>
                <w:iCs/>
                <w:lang w:val="en-AU" w:eastAsia="en-AU" w:bidi="ar-SA"/>
              </w:rPr>
            </w:pPr>
            <w:r w:rsidRPr="000B52C6">
              <w:rPr>
                <w:b/>
                <w:bCs w:val="0"/>
                <w:iCs/>
                <w:lang w:val="en-AU"/>
              </w:rPr>
              <w:t>4.53 (2.63, 7.80)</w:t>
            </w:r>
          </w:p>
        </w:tc>
        <w:tc>
          <w:tcPr>
            <w:tcW w:w="778" w:type="pct"/>
            <w:shd w:val="clear" w:color="auto" w:fill="C6D9F1" w:themeFill="text2" w:themeFillTint="33"/>
            <w:vAlign w:val="center"/>
          </w:tcPr>
          <w:p w14:paraId="598796FC" w14:textId="77777777" w:rsidR="006B3342" w:rsidRPr="000B52C6" w:rsidRDefault="006B3342" w:rsidP="00513E25">
            <w:pPr>
              <w:pStyle w:val="TableText0"/>
              <w:jc w:val="center"/>
              <w:rPr>
                <w:b/>
                <w:bCs w:val="0"/>
                <w:lang w:val="en-AU"/>
              </w:rPr>
            </w:pPr>
            <w:r w:rsidRPr="000B52C6">
              <w:rPr>
                <w:b/>
                <w:bCs w:val="0"/>
                <w:lang w:val="en-AU" w:eastAsia="en-AU" w:bidi="ar-SA"/>
              </w:rPr>
              <w:t>0.12 (0.08, 0.15)</w:t>
            </w:r>
          </w:p>
        </w:tc>
      </w:tr>
      <w:tr w:rsidR="006B3342" w:rsidRPr="000B52C6" w14:paraId="47EEB188" w14:textId="77777777" w:rsidTr="00513E25">
        <w:trPr>
          <w:trHeight w:val="68"/>
        </w:trPr>
        <w:tc>
          <w:tcPr>
            <w:tcW w:w="1228" w:type="pct"/>
            <w:shd w:val="clear" w:color="auto" w:fill="C6D9F1" w:themeFill="text2" w:themeFillTint="33"/>
            <w:noWrap/>
            <w:hideMark/>
          </w:tcPr>
          <w:p w14:paraId="512FFD6B" w14:textId="77777777" w:rsidR="006B3342" w:rsidRPr="000B52C6" w:rsidRDefault="006B3342" w:rsidP="00513E25">
            <w:pPr>
              <w:pStyle w:val="TableText0"/>
              <w:rPr>
                <w:lang w:val="en-AU" w:eastAsia="en-AU" w:bidi="ar-SA"/>
              </w:rPr>
            </w:pPr>
            <w:r w:rsidRPr="000B52C6">
              <w:rPr>
                <w:lang w:val="en-AU" w:eastAsia="en-AU" w:bidi="ar-SA"/>
              </w:rPr>
              <w:t>Dyspnoea</w:t>
            </w:r>
          </w:p>
        </w:tc>
        <w:tc>
          <w:tcPr>
            <w:tcW w:w="731" w:type="pct"/>
            <w:shd w:val="clear" w:color="auto" w:fill="C6D9F1" w:themeFill="text2" w:themeFillTint="33"/>
            <w:noWrap/>
            <w:vAlign w:val="center"/>
          </w:tcPr>
          <w:p w14:paraId="3919CD49" w14:textId="77777777" w:rsidR="006B3342" w:rsidRPr="000B52C6" w:rsidRDefault="006B3342" w:rsidP="00513E25">
            <w:pPr>
              <w:pStyle w:val="TableText0"/>
              <w:jc w:val="center"/>
              <w:rPr>
                <w:lang w:val="en-AU" w:eastAsia="en-AU" w:bidi="ar-SA"/>
              </w:rPr>
            </w:pPr>
            <w:r w:rsidRPr="000B52C6">
              <w:rPr>
                <w:lang w:val="en-AU" w:eastAsia="en-AU" w:bidi="ar-SA"/>
              </w:rPr>
              <w:t>29 (6.3)</w:t>
            </w:r>
          </w:p>
        </w:tc>
        <w:tc>
          <w:tcPr>
            <w:tcW w:w="705" w:type="pct"/>
            <w:shd w:val="clear" w:color="auto" w:fill="C6D9F1" w:themeFill="text2" w:themeFillTint="33"/>
            <w:vAlign w:val="center"/>
          </w:tcPr>
          <w:p w14:paraId="2DE53413" w14:textId="77777777" w:rsidR="006B3342" w:rsidRPr="000B52C6" w:rsidRDefault="006B3342" w:rsidP="00513E25">
            <w:pPr>
              <w:pStyle w:val="TableText0"/>
              <w:jc w:val="center"/>
              <w:rPr>
                <w:lang w:val="en-AU" w:eastAsia="en-AU" w:bidi="ar-SA"/>
              </w:rPr>
            </w:pPr>
            <w:r w:rsidRPr="000B52C6">
              <w:rPr>
                <w:lang w:val="en-AU" w:eastAsia="en-AU" w:bidi="ar-SA"/>
              </w:rPr>
              <w:t>10 (2.2)</w:t>
            </w:r>
          </w:p>
        </w:tc>
        <w:tc>
          <w:tcPr>
            <w:tcW w:w="779" w:type="pct"/>
            <w:shd w:val="clear" w:color="auto" w:fill="auto"/>
            <w:vAlign w:val="center"/>
          </w:tcPr>
          <w:p w14:paraId="4D0B8C7A"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2.98 (1.44, 6.19)</w:t>
            </w:r>
          </w:p>
        </w:tc>
        <w:tc>
          <w:tcPr>
            <w:tcW w:w="779" w:type="pct"/>
            <w:shd w:val="clear" w:color="auto" w:fill="C6D9F1" w:themeFill="text2" w:themeFillTint="33"/>
            <w:vAlign w:val="center"/>
          </w:tcPr>
          <w:p w14:paraId="4F18FA6A" w14:textId="77777777" w:rsidR="006B3342" w:rsidRPr="000B52C6" w:rsidRDefault="006B3342" w:rsidP="00513E25">
            <w:pPr>
              <w:pStyle w:val="TableText0"/>
              <w:jc w:val="center"/>
              <w:rPr>
                <w:b/>
                <w:bCs w:val="0"/>
                <w:iCs/>
                <w:lang w:val="en-AU" w:eastAsia="en-AU" w:bidi="ar-SA"/>
              </w:rPr>
            </w:pPr>
            <w:r w:rsidRPr="000B52C6">
              <w:rPr>
                <w:b/>
                <w:bCs w:val="0"/>
                <w:iCs/>
                <w:lang w:val="en-AU"/>
              </w:rPr>
              <w:t>2.86 (1.41, 5.79)</w:t>
            </w:r>
          </w:p>
        </w:tc>
        <w:tc>
          <w:tcPr>
            <w:tcW w:w="778" w:type="pct"/>
            <w:shd w:val="clear" w:color="auto" w:fill="C6D9F1" w:themeFill="text2" w:themeFillTint="33"/>
            <w:vAlign w:val="center"/>
          </w:tcPr>
          <w:p w14:paraId="0C4B8309" w14:textId="77777777" w:rsidR="006B3342" w:rsidRPr="000B52C6" w:rsidRDefault="006B3342" w:rsidP="00513E25">
            <w:pPr>
              <w:pStyle w:val="TableText0"/>
              <w:jc w:val="center"/>
              <w:rPr>
                <w:b/>
                <w:bCs w:val="0"/>
                <w:lang w:val="en-AU"/>
              </w:rPr>
            </w:pPr>
            <w:r w:rsidRPr="000B52C6">
              <w:rPr>
                <w:b/>
                <w:bCs w:val="0"/>
                <w:lang w:val="en-AU" w:eastAsia="en-AU" w:bidi="ar-SA"/>
              </w:rPr>
              <w:t>0.04 (0.01, 0.07)</w:t>
            </w:r>
          </w:p>
        </w:tc>
      </w:tr>
      <w:tr w:rsidR="006B3342" w:rsidRPr="000B52C6" w14:paraId="3D1640D1" w14:textId="77777777" w:rsidTr="00513E25">
        <w:trPr>
          <w:trHeight w:val="68"/>
        </w:trPr>
        <w:tc>
          <w:tcPr>
            <w:tcW w:w="1228" w:type="pct"/>
            <w:shd w:val="clear" w:color="auto" w:fill="C6D9F1" w:themeFill="text2" w:themeFillTint="33"/>
            <w:noWrap/>
            <w:hideMark/>
          </w:tcPr>
          <w:p w14:paraId="2B1D9044" w14:textId="77777777" w:rsidR="006B3342" w:rsidRPr="000B52C6" w:rsidRDefault="006B3342" w:rsidP="00513E25">
            <w:pPr>
              <w:pStyle w:val="TableText0"/>
              <w:rPr>
                <w:lang w:val="en-AU" w:eastAsia="en-AU" w:bidi="ar-SA"/>
              </w:rPr>
            </w:pPr>
            <w:r w:rsidRPr="000B52C6">
              <w:rPr>
                <w:lang w:val="en-AU" w:eastAsia="en-AU" w:bidi="ar-SA"/>
              </w:rPr>
              <w:t>Cardiac failure</w:t>
            </w:r>
          </w:p>
        </w:tc>
        <w:tc>
          <w:tcPr>
            <w:tcW w:w="731" w:type="pct"/>
            <w:shd w:val="clear" w:color="auto" w:fill="C6D9F1" w:themeFill="text2" w:themeFillTint="33"/>
            <w:noWrap/>
            <w:vAlign w:val="center"/>
          </w:tcPr>
          <w:p w14:paraId="28343CB9" w14:textId="77777777" w:rsidR="006B3342" w:rsidRPr="000B52C6" w:rsidRDefault="006B3342" w:rsidP="00513E25">
            <w:pPr>
              <w:pStyle w:val="TableText0"/>
              <w:jc w:val="center"/>
              <w:rPr>
                <w:lang w:val="en-AU" w:eastAsia="en-AU" w:bidi="ar-SA"/>
              </w:rPr>
            </w:pPr>
            <w:r w:rsidRPr="000B52C6">
              <w:rPr>
                <w:lang w:val="en-AU" w:eastAsia="en-AU" w:bidi="ar-SA"/>
              </w:rPr>
              <w:t>28 (6.0)</w:t>
            </w:r>
          </w:p>
        </w:tc>
        <w:tc>
          <w:tcPr>
            <w:tcW w:w="705" w:type="pct"/>
            <w:shd w:val="clear" w:color="auto" w:fill="C6D9F1" w:themeFill="text2" w:themeFillTint="33"/>
            <w:vAlign w:val="center"/>
          </w:tcPr>
          <w:p w14:paraId="770A4BA3" w14:textId="77777777" w:rsidR="006B3342" w:rsidRPr="000B52C6" w:rsidRDefault="006B3342" w:rsidP="00513E25">
            <w:pPr>
              <w:pStyle w:val="TableText0"/>
              <w:jc w:val="center"/>
              <w:rPr>
                <w:lang w:val="en-AU" w:eastAsia="en-AU" w:bidi="ar-SA"/>
              </w:rPr>
            </w:pPr>
            <w:r w:rsidRPr="000B52C6">
              <w:rPr>
                <w:lang w:val="en-AU" w:eastAsia="en-AU" w:bidi="ar-SA"/>
              </w:rPr>
              <w:t>9 (2.0)</w:t>
            </w:r>
          </w:p>
        </w:tc>
        <w:tc>
          <w:tcPr>
            <w:tcW w:w="779" w:type="pct"/>
            <w:shd w:val="clear" w:color="auto" w:fill="auto"/>
            <w:vAlign w:val="center"/>
          </w:tcPr>
          <w:p w14:paraId="6104A286"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3.2 (1.49, 6.85)</w:t>
            </w:r>
          </w:p>
        </w:tc>
        <w:tc>
          <w:tcPr>
            <w:tcW w:w="779" w:type="pct"/>
            <w:shd w:val="clear" w:color="auto" w:fill="C6D9F1" w:themeFill="text2" w:themeFillTint="33"/>
            <w:vAlign w:val="center"/>
          </w:tcPr>
          <w:p w14:paraId="09DBE7B1" w14:textId="77777777" w:rsidR="006B3342" w:rsidRPr="000B52C6" w:rsidRDefault="006B3342" w:rsidP="00513E25">
            <w:pPr>
              <w:pStyle w:val="TableText0"/>
              <w:jc w:val="center"/>
              <w:rPr>
                <w:b/>
                <w:bCs w:val="0"/>
                <w:iCs/>
                <w:lang w:val="en-AU" w:eastAsia="en-AU" w:bidi="ar-SA"/>
              </w:rPr>
            </w:pPr>
            <w:r w:rsidRPr="000B52C6">
              <w:rPr>
                <w:b/>
                <w:bCs w:val="0"/>
                <w:iCs/>
                <w:lang w:val="en-AU"/>
              </w:rPr>
              <w:t>3.06 (1.46, 6.42)</w:t>
            </w:r>
          </w:p>
        </w:tc>
        <w:tc>
          <w:tcPr>
            <w:tcW w:w="778" w:type="pct"/>
            <w:shd w:val="clear" w:color="auto" w:fill="C6D9F1" w:themeFill="text2" w:themeFillTint="33"/>
            <w:vAlign w:val="center"/>
          </w:tcPr>
          <w:p w14:paraId="54543230" w14:textId="77777777" w:rsidR="006B3342" w:rsidRPr="000B52C6" w:rsidRDefault="006B3342" w:rsidP="00513E25">
            <w:pPr>
              <w:pStyle w:val="TableText0"/>
              <w:jc w:val="center"/>
              <w:rPr>
                <w:b/>
                <w:bCs w:val="0"/>
                <w:lang w:val="en-AU"/>
              </w:rPr>
            </w:pPr>
            <w:r w:rsidRPr="000B52C6">
              <w:rPr>
                <w:b/>
                <w:bCs w:val="0"/>
                <w:lang w:val="en-AU" w:eastAsia="en-AU" w:bidi="ar-SA"/>
              </w:rPr>
              <w:t>0.04 (0.02, 0.07)</w:t>
            </w:r>
          </w:p>
        </w:tc>
      </w:tr>
      <w:tr w:rsidR="006B3342" w:rsidRPr="000B52C6" w14:paraId="61217B63" w14:textId="77777777" w:rsidTr="00513E25">
        <w:trPr>
          <w:trHeight w:val="68"/>
        </w:trPr>
        <w:tc>
          <w:tcPr>
            <w:tcW w:w="1228" w:type="pct"/>
            <w:shd w:val="clear" w:color="auto" w:fill="C6D9F1" w:themeFill="text2" w:themeFillTint="33"/>
            <w:noWrap/>
            <w:hideMark/>
          </w:tcPr>
          <w:p w14:paraId="19C1628D" w14:textId="77777777" w:rsidR="006B3342" w:rsidRPr="000B52C6" w:rsidRDefault="006B3342" w:rsidP="00513E25">
            <w:pPr>
              <w:pStyle w:val="TableText0"/>
              <w:rPr>
                <w:lang w:val="en-AU" w:eastAsia="en-AU" w:bidi="ar-SA"/>
              </w:rPr>
            </w:pPr>
            <w:r w:rsidRPr="000B52C6">
              <w:rPr>
                <w:lang w:val="en-AU" w:eastAsia="en-AU" w:bidi="ar-SA"/>
              </w:rPr>
              <w:t>Peripheral neuropathy (PN)</w:t>
            </w:r>
          </w:p>
        </w:tc>
        <w:tc>
          <w:tcPr>
            <w:tcW w:w="731" w:type="pct"/>
            <w:shd w:val="clear" w:color="auto" w:fill="C6D9F1" w:themeFill="text2" w:themeFillTint="33"/>
            <w:noWrap/>
            <w:vAlign w:val="center"/>
          </w:tcPr>
          <w:p w14:paraId="2AEE7FC9" w14:textId="77777777" w:rsidR="006B3342" w:rsidRPr="000B52C6" w:rsidRDefault="006B3342" w:rsidP="00513E25">
            <w:pPr>
              <w:pStyle w:val="TableText0"/>
              <w:jc w:val="center"/>
              <w:rPr>
                <w:lang w:val="en-AU" w:eastAsia="en-AU" w:bidi="ar-SA"/>
              </w:rPr>
            </w:pPr>
            <w:r w:rsidRPr="000B52C6">
              <w:rPr>
                <w:lang w:val="en-AU" w:eastAsia="en-AU" w:bidi="ar-SA"/>
              </w:rPr>
              <w:t>11 (2.4)</w:t>
            </w:r>
          </w:p>
        </w:tc>
        <w:tc>
          <w:tcPr>
            <w:tcW w:w="705" w:type="pct"/>
            <w:shd w:val="clear" w:color="auto" w:fill="C6D9F1" w:themeFill="text2" w:themeFillTint="33"/>
            <w:vAlign w:val="center"/>
          </w:tcPr>
          <w:p w14:paraId="1AA8FD37" w14:textId="77777777" w:rsidR="006B3342" w:rsidRPr="000B52C6" w:rsidRDefault="006B3342" w:rsidP="00513E25">
            <w:pPr>
              <w:pStyle w:val="TableText0"/>
              <w:jc w:val="center"/>
              <w:rPr>
                <w:lang w:val="en-AU" w:eastAsia="en-AU" w:bidi="ar-SA"/>
              </w:rPr>
            </w:pPr>
            <w:r w:rsidRPr="000B52C6">
              <w:rPr>
                <w:lang w:val="en-AU" w:eastAsia="en-AU" w:bidi="ar-SA"/>
              </w:rPr>
              <w:t>44 (9.6)</w:t>
            </w:r>
          </w:p>
        </w:tc>
        <w:tc>
          <w:tcPr>
            <w:tcW w:w="779" w:type="pct"/>
            <w:shd w:val="clear" w:color="auto" w:fill="auto"/>
            <w:vAlign w:val="center"/>
          </w:tcPr>
          <w:p w14:paraId="6006ED7D"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0.23 (0.12, 0.45)</w:t>
            </w:r>
          </w:p>
        </w:tc>
        <w:tc>
          <w:tcPr>
            <w:tcW w:w="779" w:type="pct"/>
            <w:shd w:val="clear" w:color="auto" w:fill="C6D9F1" w:themeFill="text2" w:themeFillTint="33"/>
            <w:vAlign w:val="center"/>
          </w:tcPr>
          <w:p w14:paraId="04D1AB55" w14:textId="77777777" w:rsidR="006B3342" w:rsidRPr="000B52C6" w:rsidRDefault="006B3342" w:rsidP="00513E25">
            <w:pPr>
              <w:pStyle w:val="TableText0"/>
              <w:jc w:val="center"/>
              <w:rPr>
                <w:b/>
                <w:bCs w:val="0"/>
                <w:iCs/>
                <w:lang w:val="en-AU" w:eastAsia="en-AU" w:bidi="ar-SA"/>
              </w:rPr>
            </w:pPr>
            <w:r w:rsidRPr="000B52C6">
              <w:rPr>
                <w:b/>
                <w:bCs w:val="0"/>
                <w:iCs/>
                <w:lang w:val="en-AU"/>
              </w:rPr>
              <w:t>0.25 (0.13, 0.47)</w:t>
            </w:r>
          </w:p>
        </w:tc>
        <w:tc>
          <w:tcPr>
            <w:tcW w:w="778" w:type="pct"/>
            <w:shd w:val="clear" w:color="auto" w:fill="C6D9F1" w:themeFill="text2" w:themeFillTint="33"/>
            <w:vAlign w:val="center"/>
          </w:tcPr>
          <w:p w14:paraId="7AA683F6" w14:textId="77777777" w:rsidR="006B3342" w:rsidRPr="000B52C6" w:rsidRDefault="006B3342" w:rsidP="00513E25">
            <w:pPr>
              <w:pStyle w:val="TableText0"/>
              <w:jc w:val="center"/>
              <w:rPr>
                <w:b/>
                <w:bCs w:val="0"/>
                <w:lang w:val="en-AU"/>
              </w:rPr>
            </w:pPr>
            <w:r w:rsidRPr="000B52C6">
              <w:rPr>
                <w:b/>
                <w:bCs w:val="0"/>
                <w:lang w:val="en-AU" w:eastAsia="en-AU" w:bidi="ar-SA"/>
              </w:rPr>
              <w:t>-0.07 (-0.1, -0.04)</w:t>
            </w:r>
          </w:p>
        </w:tc>
      </w:tr>
    </w:tbl>
    <w:p w14:paraId="5C876B17" w14:textId="77777777" w:rsidR="006B3342" w:rsidRPr="000B52C6" w:rsidRDefault="006B3342" w:rsidP="006B3342">
      <w:pPr>
        <w:pStyle w:val="TableFigureFooter"/>
        <w:keepNext/>
      </w:pPr>
      <w:r w:rsidRPr="000B52C6">
        <w:t>Source: Table 2-41, p126 of the resubmission.</w:t>
      </w:r>
    </w:p>
    <w:p w14:paraId="5224414C" w14:textId="77777777" w:rsidR="006B3342" w:rsidRPr="000B52C6" w:rsidRDefault="006B3342" w:rsidP="006B3342">
      <w:pPr>
        <w:pStyle w:val="TableFigureFooter"/>
        <w:keepNext/>
      </w:pPr>
      <w:r w:rsidRPr="000B52C6">
        <w:t xml:space="preserve">Abbreviations: Bd = bortezomib + dexamethasone; Cd= carfilzomib + dexamethasone; CI = confidence interval; N = total number of patients; n = number of patients; OR = odds ratio; RD = risk difference. </w:t>
      </w:r>
    </w:p>
    <w:p w14:paraId="53E9E8AF" w14:textId="77777777" w:rsidR="006B3342" w:rsidRPr="000B52C6" w:rsidRDefault="006B3342" w:rsidP="006B3342">
      <w:pPr>
        <w:pStyle w:val="TableFigureFooter"/>
        <w:keepNext/>
        <w:rPr>
          <w:rFonts w:eastAsia="Calibri"/>
        </w:rPr>
      </w:pPr>
      <w:r w:rsidRPr="000B52C6">
        <w:t xml:space="preserve">Notes: </w:t>
      </w:r>
      <w:r w:rsidRPr="000B52C6">
        <w:rPr>
          <w:rFonts w:eastAsia="Calibri"/>
          <w:b/>
          <w:bCs/>
        </w:rPr>
        <w:t>Bold</w:t>
      </w:r>
      <w:r w:rsidRPr="000B52C6">
        <w:rPr>
          <w:rFonts w:eastAsia="Calibri"/>
        </w:rPr>
        <w:t xml:space="preserve"> indicates statistically significant results.</w:t>
      </w:r>
    </w:p>
    <w:p w14:paraId="4F9066E0" w14:textId="77777777" w:rsidR="006B3342" w:rsidRPr="000B52C6" w:rsidRDefault="006B3342" w:rsidP="006B3342">
      <w:pPr>
        <w:pStyle w:val="TableFigureFooter"/>
        <w:keepNext/>
        <w:rPr>
          <w:rStyle w:val="CommentReference"/>
          <w:b w:val="0"/>
          <w:bCs/>
          <w:iCs/>
          <w:sz w:val="18"/>
          <w:szCs w:val="18"/>
        </w:rPr>
      </w:pPr>
      <w:r w:rsidRPr="000B52C6">
        <w:rPr>
          <w:rStyle w:val="CommentReference"/>
          <w:b w:val="0"/>
          <w:bCs/>
          <w:iCs/>
          <w:sz w:val="18"/>
          <w:szCs w:val="18"/>
          <w:shd w:val="clear" w:color="auto" w:fill="C6D9F1" w:themeFill="text2" w:themeFillTint="33"/>
        </w:rPr>
        <w:t>Blue shading</w:t>
      </w:r>
      <w:r w:rsidRPr="000B52C6">
        <w:rPr>
          <w:rStyle w:val="CommentReference"/>
          <w:b w:val="0"/>
          <w:bCs/>
          <w:iCs/>
          <w:sz w:val="18"/>
          <w:szCs w:val="18"/>
        </w:rPr>
        <w:t xml:space="preserve"> indicates data previously seen by the PBAC. </w:t>
      </w:r>
    </w:p>
    <w:p w14:paraId="71C78F64" w14:textId="77777777" w:rsidR="006B3342" w:rsidRPr="000B52C6" w:rsidRDefault="006B3342" w:rsidP="006B3342">
      <w:pPr>
        <w:pStyle w:val="TableFigureFooter"/>
        <w:keepNext/>
        <w:rPr>
          <w:bCs/>
          <w:iCs/>
          <w:szCs w:val="18"/>
        </w:rPr>
      </w:pPr>
      <w:r w:rsidRPr="000B52C6">
        <w:rPr>
          <w:iCs/>
        </w:rPr>
        <w:t xml:space="preserve">RR was calculated during the evaluation. </w:t>
      </w:r>
    </w:p>
    <w:p w14:paraId="0FD4DE60" w14:textId="77777777" w:rsidR="006B3342" w:rsidRPr="000B52C6" w:rsidRDefault="006B3342" w:rsidP="006B3342">
      <w:pPr>
        <w:pStyle w:val="TableFigureFooter"/>
        <w:keepNext/>
      </w:pPr>
      <w:r w:rsidRPr="000B52C6">
        <w:t>a. Calculated by the resubmission using Review Manager version 5.4.1.</w:t>
      </w:r>
    </w:p>
    <w:p w14:paraId="325D0D70" w14:textId="77777777" w:rsidR="006B3342" w:rsidRPr="000B52C6" w:rsidRDefault="006B3342" w:rsidP="00703546">
      <w:pPr>
        <w:pStyle w:val="3-BodyText"/>
        <w:keepNext/>
        <w:numPr>
          <w:ilvl w:val="0"/>
          <w:numId w:val="0"/>
        </w:numPr>
        <w:ind w:left="720" w:hanging="720"/>
        <w:rPr>
          <w:u w:val="single"/>
        </w:rPr>
      </w:pPr>
      <w:r w:rsidRPr="000B52C6">
        <w:rPr>
          <w:u w:val="single"/>
        </w:rPr>
        <w:t>Safety ITC (</w:t>
      </w:r>
      <w:proofErr w:type="spellStart"/>
      <w:r w:rsidRPr="000B52C6">
        <w:rPr>
          <w:u w:val="single"/>
        </w:rPr>
        <w:t>SBd</w:t>
      </w:r>
      <w:proofErr w:type="spellEnd"/>
      <w:r w:rsidRPr="000B52C6">
        <w:rPr>
          <w:u w:val="single"/>
        </w:rPr>
        <w:t xml:space="preserve"> versus Cd)</w:t>
      </w:r>
    </w:p>
    <w:p w14:paraId="36D93EC1" w14:textId="049C0467" w:rsidR="006B3342" w:rsidRPr="000B52C6" w:rsidRDefault="006B3342" w:rsidP="00EA1E63">
      <w:pPr>
        <w:pStyle w:val="3-BodyText"/>
        <w:ind w:left="720" w:hanging="720"/>
      </w:pPr>
      <w:r w:rsidRPr="000B52C6">
        <w:t xml:space="preserve">The resubmission presented an unadjusted ITC with respect to safety outcomes for </w:t>
      </w:r>
      <w:proofErr w:type="spellStart"/>
      <w:r w:rsidRPr="000B52C6">
        <w:t>SBd</w:t>
      </w:r>
      <w:proofErr w:type="spellEnd"/>
      <w:r w:rsidRPr="000B52C6">
        <w:t xml:space="preserve"> versus Cd</w:t>
      </w:r>
      <w:r w:rsidR="00F20900" w:rsidRPr="000B52C6">
        <w:t xml:space="preserve"> via Bd as a common reference</w:t>
      </w:r>
      <w:r w:rsidR="008D4C0C" w:rsidRPr="000B52C6">
        <w:t xml:space="preserve"> based on BOSTON and ENDEAVOR</w:t>
      </w:r>
      <w:r w:rsidRPr="000B52C6">
        <w:t>.</w:t>
      </w:r>
      <w:r w:rsidR="00EA1E63" w:rsidRPr="000B52C6">
        <w:t xml:space="preserve"> Events for inclusion in the ITC </w:t>
      </w:r>
      <w:r w:rsidR="00F11166" w:rsidRPr="000B52C6">
        <w:t>were</w:t>
      </w:r>
      <w:r w:rsidR="00EA1E63" w:rsidRPr="000B52C6">
        <w:t xml:space="preserve"> based on the </w:t>
      </w:r>
      <w:r w:rsidR="007B6B1C" w:rsidRPr="000B52C6">
        <w:t>original</w:t>
      </w:r>
      <w:r w:rsidR="00EA1E63" w:rsidRPr="000B52C6">
        <w:t xml:space="preserve"> data cut of BOSTON (February 2020) and the latest data cut of ENDEAVOR (July 2017).</w:t>
      </w:r>
      <w:r w:rsidRPr="000B52C6">
        <w:t xml:space="preserve"> </w:t>
      </w:r>
    </w:p>
    <w:p w14:paraId="47494D60" w14:textId="29544428" w:rsidR="006B3342" w:rsidRPr="000B52C6" w:rsidRDefault="006B3342" w:rsidP="006B3342">
      <w:pPr>
        <w:pStyle w:val="3-BodyText"/>
        <w:ind w:left="720" w:hanging="720"/>
      </w:pPr>
      <w:r w:rsidRPr="000B52C6">
        <w:t xml:space="preserve">Results of safety ITCs with respect to overall AEs showed no statistically significant differences were observed between </w:t>
      </w:r>
      <w:proofErr w:type="spellStart"/>
      <w:r w:rsidRPr="000B52C6">
        <w:t>SBd</w:t>
      </w:r>
      <w:proofErr w:type="spellEnd"/>
      <w:r w:rsidRPr="000B52C6">
        <w:t xml:space="preserve"> and Cd with respect to any AE, Grade 3 or higher TEAEs, any SAE, AEs leading to discontinuation and AEs resulting in death when the analyses were performed on the OR. However, a statistically significant difference in Grade 3 or higher TEAEs in favour of Cd was observed when the RD was considered (see </w:t>
      </w:r>
      <w:r w:rsidRPr="000B52C6">
        <w:fldChar w:fldCharType="begin"/>
      </w:r>
      <w:r w:rsidRPr="000B52C6">
        <w:instrText xml:space="preserve"> REF _Ref90370199 \h  \* MERGEFORMAT </w:instrText>
      </w:r>
      <w:r w:rsidRPr="000B52C6">
        <w:fldChar w:fldCharType="separate"/>
      </w:r>
      <w:r w:rsidR="00FF5725" w:rsidRPr="00FF5725">
        <w:t>Table 16</w:t>
      </w:r>
      <w:r w:rsidRPr="000B52C6">
        <w:fldChar w:fldCharType="end"/>
      </w:r>
      <w:r w:rsidRPr="000B52C6">
        <w:t xml:space="preserve">).  </w:t>
      </w:r>
    </w:p>
    <w:p w14:paraId="53CB07BB" w14:textId="77777777" w:rsidR="009B03EF" w:rsidRPr="000B52C6" w:rsidRDefault="006B3342" w:rsidP="003C2C6F">
      <w:pPr>
        <w:pStyle w:val="3-BodyText"/>
        <w:ind w:left="720" w:hanging="720"/>
        <w:rPr>
          <w:iCs/>
        </w:rPr>
      </w:pPr>
      <w:r w:rsidRPr="000B52C6">
        <w:rPr>
          <w:iCs/>
        </w:rPr>
        <w:t xml:space="preserve">Results obtained </w:t>
      </w:r>
      <w:proofErr w:type="gramStart"/>
      <w:r w:rsidRPr="000B52C6">
        <w:rPr>
          <w:iCs/>
        </w:rPr>
        <w:t>on the basis of</w:t>
      </w:r>
      <w:proofErr w:type="gramEnd"/>
      <w:r w:rsidRPr="000B52C6">
        <w:rPr>
          <w:iCs/>
        </w:rPr>
        <w:t xml:space="preserve"> the unadjusted ITC are confounded by the underlying transitivity issues between the studies (BOSTON and ENDEAVOR) such as the unknown effects of the differences in baseline disease characteristics between the trials, differences in the time at which the studies were conducted and differences in the maturity of the data. The resubmission did not present safety analyses for overall AEs based on an adjusted ITC or STC.</w:t>
      </w:r>
      <w:r w:rsidR="009B03EF" w:rsidRPr="000B52C6">
        <w:rPr>
          <w:iCs/>
        </w:rPr>
        <w:t xml:space="preserve"> </w:t>
      </w:r>
    </w:p>
    <w:p w14:paraId="583C1F51" w14:textId="2A1BF471" w:rsidR="009B03EF" w:rsidRPr="000B52C6" w:rsidRDefault="009B03EF" w:rsidP="003C2C6F">
      <w:pPr>
        <w:pStyle w:val="3-BodyText"/>
        <w:ind w:left="720" w:hanging="720"/>
        <w:rPr>
          <w:iCs/>
        </w:rPr>
      </w:pPr>
      <w:r w:rsidRPr="000B52C6">
        <w:t>The PBAC noted the limitations of the unadjusted ITC and considered that underlying transitivity issues between the studies had potential to confound the results.</w:t>
      </w:r>
    </w:p>
    <w:p w14:paraId="09BA2F61" w14:textId="32EF28E0" w:rsidR="006B3342" w:rsidRPr="000B52C6" w:rsidRDefault="006B3342" w:rsidP="006B3342">
      <w:pPr>
        <w:pStyle w:val="TableFigureHeading"/>
        <w:rPr>
          <w:rStyle w:val="CommentReference"/>
          <w:b/>
          <w:bCs w:val="0"/>
          <w:szCs w:val="24"/>
        </w:rPr>
      </w:pPr>
      <w:bookmarkStart w:id="39" w:name="_Ref90370199"/>
      <w:r w:rsidRPr="000B52C6">
        <w:rPr>
          <w:rStyle w:val="CommentReference"/>
          <w:b/>
          <w:bCs w:val="0"/>
          <w:szCs w:val="24"/>
        </w:rPr>
        <w:t xml:space="preserve">Table </w:t>
      </w:r>
      <w:r w:rsidRPr="000B52C6">
        <w:rPr>
          <w:rStyle w:val="CommentReference"/>
          <w:b/>
          <w:bCs w:val="0"/>
          <w:szCs w:val="24"/>
        </w:rPr>
        <w:fldChar w:fldCharType="begin"/>
      </w:r>
      <w:r w:rsidRPr="000B52C6">
        <w:rPr>
          <w:rStyle w:val="CommentReference"/>
          <w:b/>
          <w:bCs w:val="0"/>
          <w:szCs w:val="24"/>
        </w:rPr>
        <w:instrText xml:space="preserve"> SEQ Table \* ARABIC </w:instrText>
      </w:r>
      <w:r w:rsidRPr="000B52C6">
        <w:rPr>
          <w:rStyle w:val="CommentReference"/>
          <w:b/>
          <w:bCs w:val="0"/>
          <w:szCs w:val="24"/>
        </w:rPr>
        <w:fldChar w:fldCharType="separate"/>
      </w:r>
      <w:r w:rsidR="00FF5725">
        <w:rPr>
          <w:rStyle w:val="CommentReference"/>
          <w:b/>
          <w:bCs w:val="0"/>
          <w:noProof/>
          <w:szCs w:val="24"/>
        </w:rPr>
        <w:t>16</w:t>
      </w:r>
      <w:r w:rsidRPr="000B52C6">
        <w:rPr>
          <w:rStyle w:val="CommentReference"/>
          <w:b/>
          <w:bCs w:val="0"/>
          <w:szCs w:val="24"/>
        </w:rPr>
        <w:fldChar w:fldCharType="end"/>
      </w:r>
      <w:bookmarkEnd w:id="39"/>
      <w:r w:rsidRPr="000B52C6">
        <w:rPr>
          <w:rStyle w:val="CommentReference"/>
          <w:b/>
          <w:bCs w:val="0"/>
          <w:szCs w:val="24"/>
        </w:rPr>
        <w:t>: Results of indirect comparison for overall AEs (</w:t>
      </w:r>
      <w:proofErr w:type="spellStart"/>
      <w:r w:rsidRPr="000B52C6">
        <w:rPr>
          <w:rStyle w:val="CommentReference"/>
          <w:b/>
          <w:bCs w:val="0"/>
          <w:szCs w:val="24"/>
        </w:rPr>
        <w:t>SBd</w:t>
      </w:r>
      <w:proofErr w:type="spellEnd"/>
      <w:r w:rsidRPr="000B52C6">
        <w:rPr>
          <w:rStyle w:val="CommentReference"/>
          <w:b/>
          <w:bCs w:val="0"/>
          <w:szCs w:val="24"/>
        </w:rPr>
        <w:t xml:space="preserve"> versus Cd)</w:t>
      </w:r>
    </w:p>
    <w:tbl>
      <w:tblPr>
        <w:tblStyle w:val="THEMA"/>
        <w:tblW w:w="5185" w:type="pct"/>
        <w:tblLayout w:type="fixed"/>
        <w:tblLook w:val="04A0" w:firstRow="1" w:lastRow="0" w:firstColumn="1" w:lastColumn="0" w:noHBand="0" w:noVBand="1"/>
      </w:tblPr>
      <w:tblGrid>
        <w:gridCol w:w="1553"/>
        <w:gridCol w:w="1137"/>
        <w:gridCol w:w="1133"/>
        <w:gridCol w:w="1135"/>
        <w:gridCol w:w="1133"/>
        <w:gridCol w:w="1560"/>
        <w:gridCol w:w="1700"/>
      </w:tblGrid>
      <w:tr w:rsidR="006B3342" w:rsidRPr="000B52C6" w14:paraId="718D89F5" w14:textId="77777777" w:rsidTr="005640E7">
        <w:trPr>
          <w:cnfStyle w:val="100000000000" w:firstRow="1" w:lastRow="0" w:firstColumn="0" w:lastColumn="0" w:oddVBand="0" w:evenVBand="0" w:oddHBand="0" w:evenHBand="0" w:firstRowFirstColumn="0" w:firstRowLastColumn="0" w:lastRowFirstColumn="0" w:lastRowLastColumn="0"/>
          <w:trHeight w:val="525"/>
          <w:tblHeader/>
        </w:trPr>
        <w:tc>
          <w:tcPr>
            <w:tcW w:w="830" w:type="pct"/>
            <w:tcBorders>
              <w:bottom w:val="nil"/>
            </w:tcBorders>
            <w:shd w:val="clear" w:color="auto" w:fill="auto"/>
            <w:tcMar>
              <w:left w:w="28" w:type="dxa"/>
              <w:right w:w="28" w:type="dxa"/>
            </w:tcMar>
            <w:vAlign w:val="center"/>
          </w:tcPr>
          <w:p w14:paraId="46B84B38" w14:textId="77777777" w:rsidR="006B3342" w:rsidRPr="000B52C6" w:rsidRDefault="006B3342" w:rsidP="00513E25">
            <w:pPr>
              <w:pStyle w:val="TableText0"/>
              <w:jc w:val="center"/>
              <w:rPr>
                <w:lang w:val="en-AU" w:eastAsia="en-AU" w:bidi="ar-SA"/>
              </w:rPr>
            </w:pPr>
          </w:p>
        </w:tc>
        <w:tc>
          <w:tcPr>
            <w:tcW w:w="1214" w:type="pct"/>
            <w:gridSpan w:val="2"/>
            <w:shd w:val="clear" w:color="auto" w:fill="auto"/>
            <w:tcMar>
              <w:left w:w="28" w:type="dxa"/>
              <w:right w:w="28" w:type="dxa"/>
            </w:tcMar>
            <w:vAlign w:val="center"/>
          </w:tcPr>
          <w:p w14:paraId="07E61A68" w14:textId="77777777" w:rsidR="006B3342" w:rsidRPr="000B52C6" w:rsidRDefault="006B3342" w:rsidP="00513E25">
            <w:pPr>
              <w:pStyle w:val="TableText0"/>
              <w:jc w:val="center"/>
              <w:rPr>
                <w:b w:val="0"/>
                <w:bCs w:val="0"/>
                <w:lang w:val="en-AU"/>
              </w:rPr>
            </w:pPr>
            <w:r w:rsidRPr="000B52C6">
              <w:rPr>
                <w:bCs w:val="0"/>
                <w:lang w:val="en-AU"/>
              </w:rPr>
              <w:t>BOSTON</w:t>
            </w:r>
          </w:p>
          <w:p w14:paraId="272A78EA" w14:textId="53916FB4" w:rsidR="00CD36C0" w:rsidRPr="000B52C6" w:rsidRDefault="00CD36C0" w:rsidP="00513E25">
            <w:pPr>
              <w:pStyle w:val="TableText0"/>
              <w:jc w:val="center"/>
              <w:rPr>
                <w:bCs w:val="0"/>
                <w:lang w:val="en-AU"/>
              </w:rPr>
            </w:pPr>
            <w:r w:rsidRPr="000B52C6">
              <w:rPr>
                <w:bCs w:val="0"/>
                <w:lang w:val="en-AU"/>
              </w:rPr>
              <w:t>(</w:t>
            </w:r>
            <w:proofErr w:type="spellStart"/>
            <w:r w:rsidRPr="000B52C6">
              <w:rPr>
                <w:bCs w:val="0"/>
                <w:lang w:val="en-AU"/>
              </w:rPr>
              <w:t>SBd</w:t>
            </w:r>
            <w:proofErr w:type="spellEnd"/>
            <w:r w:rsidRPr="000B52C6">
              <w:rPr>
                <w:bCs w:val="0"/>
                <w:lang w:val="en-AU"/>
              </w:rPr>
              <w:t xml:space="preserve"> versus Bd)</w:t>
            </w:r>
          </w:p>
        </w:tc>
        <w:tc>
          <w:tcPr>
            <w:tcW w:w="1213" w:type="pct"/>
            <w:gridSpan w:val="2"/>
            <w:shd w:val="clear" w:color="auto" w:fill="auto"/>
            <w:tcMar>
              <w:left w:w="28" w:type="dxa"/>
              <w:right w:w="28" w:type="dxa"/>
            </w:tcMar>
            <w:vAlign w:val="center"/>
          </w:tcPr>
          <w:p w14:paraId="5D7DF87E" w14:textId="77777777" w:rsidR="006B3342" w:rsidRPr="000B52C6" w:rsidRDefault="006B3342" w:rsidP="00513E25">
            <w:pPr>
              <w:pStyle w:val="TableText0"/>
              <w:jc w:val="center"/>
              <w:rPr>
                <w:b w:val="0"/>
                <w:lang w:val="en-AU" w:eastAsia="en-AU" w:bidi="ar-SA"/>
              </w:rPr>
            </w:pPr>
            <w:r w:rsidRPr="000B52C6">
              <w:rPr>
                <w:lang w:val="en-AU" w:eastAsia="en-AU" w:bidi="ar-SA"/>
              </w:rPr>
              <w:t>ENDEAVOR</w:t>
            </w:r>
          </w:p>
          <w:p w14:paraId="236D6D1F" w14:textId="50B78E88" w:rsidR="00CD36C0" w:rsidRPr="000B52C6" w:rsidRDefault="00CD36C0" w:rsidP="00513E25">
            <w:pPr>
              <w:pStyle w:val="TableText0"/>
              <w:jc w:val="center"/>
              <w:rPr>
                <w:b w:val="0"/>
                <w:lang w:val="en-AU"/>
              </w:rPr>
            </w:pPr>
            <w:r w:rsidRPr="000B52C6">
              <w:rPr>
                <w:lang w:val="en-AU"/>
              </w:rPr>
              <w:t>(Cd versus Bd)</w:t>
            </w:r>
          </w:p>
        </w:tc>
        <w:tc>
          <w:tcPr>
            <w:tcW w:w="1743" w:type="pct"/>
            <w:gridSpan w:val="2"/>
            <w:shd w:val="clear" w:color="auto" w:fill="auto"/>
            <w:tcMar>
              <w:left w:w="28" w:type="dxa"/>
              <w:right w:w="28" w:type="dxa"/>
            </w:tcMar>
            <w:vAlign w:val="center"/>
          </w:tcPr>
          <w:p w14:paraId="48EA58B5" w14:textId="77777777" w:rsidR="006B3342" w:rsidRPr="000B52C6" w:rsidRDefault="006B3342" w:rsidP="00513E25">
            <w:pPr>
              <w:pStyle w:val="TableText0"/>
              <w:jc w:val="center"/>
              <w:rPr>
                <w:b w:val="0"/>
                <w:lang w:val="en-AU" w:eastAsia="en-AU" w:bidi="ar-SA"/>
              </w:rPr>
            </w:pPr>
            <w:r w:rsidRPr="000B52C6">
              <w:rPr>
                <w:lang w:val="en-AU" w:eastAsia="en-AU" w:bidi="ar-SA"/>
              </w:rPr>
              <w:t>Indirect estimate of effect</w:t>
            </w:r>
          </w:p>
          <w:p w14:paraId="37FFF602" w14:textId="0F39C84E" w:rsidR="00CD36C0" w:rsidRPr="000B52C6" w:rsidRDefault="00CD36C0" w:rsidP="00513E25">
            <w:pPr>
              <w:pStyle w:val="TableText0"/>
              <w:jc w:val="center"/>
              <w:rPr>
                <w:lang w:val="en-AU" w:eastAsia="en-AU" w:bidi="ar-SA"/>
              </w:rPr>
            </w:pPr>
            <w:r w:rsidRPr="000B52C6">
              <w:rPr>
                <w:lang w:val="en-AU" w:eastAsia="en-AU" w:bidi="ar-SA"/>
              </w:rPr>
              <w:t>(</w:t>
            </w:r>
            <w:proofErr w:type="spellStart"/>
            <w:r w:rsidRPr="000B52C6">
              <w:rPr>
                <w:lang w:val="en-AU" w:eastAsia="en-AU" w:bidi="ar-SA"/>
              </w:rPr>
              <w:t>SBd</w:t>
            </w:r>
            <w:proofErr w:type="spellEnd"/>
            <w:r w:rsidRPr="000B52C6">
              <w:rPr>
                <w:lang w:val="en-AU" w:eastAsia="en-AU" w:bidi="ar-SA"/>
              </w:rPr>
              <w:t xml:space="preserve"> versus Cd)</w:t>
            </w:r>
          </w:p>
        </w:tc>
      </w:tr>
      <w:tr w:rsidR="006B3342" w:rsidRPr="000B52C6" w14:paraId="5C2CFF47" w14:textId="77777777" w:rsidTr="005640E7">
        <w:trPr>
          <w:cnfStyle w:val="100000000000" w:firstRow="1" w:lastRow="0" w:firstColumn="0" w:lastColumn="0" w:oddVBand="0" w:evenVBand="0" w:oddHBand="0" w:evenHBand="0" w:firstRowFirstColumn="0" w:firstRowLastColumn="0" w:lastRowFirstColumn="0" w:lastRowLastColumn="0"/>
          <w:trHeight w:val="525"/>
          <w:tblHeader/>
        </w:trPr>
        <w:tc>
          <w:tcPr>
            <w:tcW w:w="830" w:type="pct"/>
            <w:tcBorders>
              <w:top w:val="nil"/>
            </w:tcBorders>
            <w:shd w:val="clear" w:color="auto" w:fill="auto"/>
            <w:tcMar>
              <w:left w:w="28" w:type="dxa"/>
              <w:right w:w="28" w:type="dxa"/>
            </w:tcMar>
            <w:vAlign w:val="center"/>
            <w:hideMark/>
          </w:tcPr>
          <w:p w14:paraId="5DF27709" w14:textId="77777777" w:rsidR="006B3342" w:rsidRPr="000B52C6" w:rsidRDefault="006B3342" w:rsidP="00513E25">
            <w:pPr>
              <w:pStyle w:val="TableText0"/>
              <w:rPr>
                <w:lang w:val="en-AU" w:eastAsia="en-AU" w:bidi="ar-SA"/>
              </w:rPr>
            </w:pPr>
            <w:r w:rsidRPr="000B52C6">
              <w:rPr>
                <w:lang w:val="en-AU" w:eastAsia="en-AU" w:bidi="ar-SA"/>
              </w:rPr>
              <w:t>Adverse event, n (%)</w:t>
            </w:r>
          </w:p>
          <w:p w14:paraId="39CD7800" w14:textId="77777777" w:rsidR="006B3342" w:rsidRPr="000B52C6" w:rsidRDefault="006B3342" w:rsidP="00513E25">
            <w:pPr>
              <w:pStyle w:val="TableText0"/>
              <w:rPr>
                <w:lang w:val="en-AU" w:eastAsia="en-AU" w:bidi="ar-SA"/>
              </w:rPr>
            </w:pPr>
            <w:r w:rsidRPr="000B52C6">
              <w:rPr>
                <w:lang w:val="en-AU" w:eastAsia="en-AU" w:bidi="ar-SA"/>
              </w:rPr>
              <w:t>Grade</w:t>
            </w:r>
          </w:p>
        </w:tc>
        <w:tc>
          <w:tcPr>
            <w:tcW w:w="608" w:type="pct"/>
            <w:shd w:val="clear" w:color="auto" w:fill="auto"/>
            <w:tcMar>
              <w:left w:w="28" w:type="dxa"/>
              <w:right w:w="28" w:type="dxa"/>
            </w:tcMar>
            <w:vAlign w:val="center"/>
          </w:tcPr>
          <w:p w14:paraId="1A8168C6" w14:textId="77777777" w:rsidR="006B3342" w:rsidRPr="000B52C6" w:rsidRDefault="006B3342" w:rsidP="00513E25">
            <w:pPr>
              <w:pStyle w:val="TableText0"/>
              <w:jc w:val="center"/>
              <w:rPr>
                <w:lang w:val="en-AU" w:eastAsia="en-AU" w:bidi="ar-SA"/>
              </w:rPr>
            </w:pPr>
            <w:r w:rsidRPr="000B52C6">
              <w:rPr>
                <w:lang w:val="en-AU" w:eastAsia="en-AU" w:bidi="ar-SA"/>
              </w:rPr>
              <w:t xml:space="preserve">OR (95% </w:t>
            </w:r>
            <w:proofErr w:type="gramStart"/>
            <w:r w:rsidRPr="000B52C6">
              <w:rPr>
                <w:lang w:val="en-AU" w:eastAsia="en-AU" w:bidi="ar-SA"/>
              </w:rPr>
              <w:t>CI)</w:t>
            </w:r>
            <w:r w:rsidRPr="000B52C6">
              <w:rPr>
                <w:vertAlign w:val="superscript"/>
                <w:lang w:val="en-AU" w:eastAsia="en-AU" w:bidi="ar-SA"/>
              </w:rPr>
              <w:t>a</w:t>
            </w:r>
            <w:proofErr w:type="gramEnd"/>
          </w:p>
        </w:tc>
        <w:tc>
          <w:tcPr>
            <w:tcW w:w="606" w:type="pct"/>
            <w:shd w:val="clear" w:color="auto" w:fill="auto"/>
            <w:tcMar>
              <w:left w:w="28" w:type="dxa"/>
              <w:right w:w="28" w:type="dxa"/>
            </w:tcMar>
            <w:vAlign w:val="center"/>
          </w:tcPr>
          <w:p w14:paraId="719D466C" w14:textId="77777777" w:rsidR="006B3342" w:rsidRPr="000B52C6" w:rsidRDefault="006B3342" w:rsidP="00513E25">
            <w:pPr>
              <w:pStyle w:val="TableText0"/>
              <w:jc w:val="center"/>
              <w:rPr>
                <w:lang w:val="en-AU" w:eastAsia="en-AU" w:bidi="ar-SA"/>
              </w:rPr>
            </w:pPr>
            <w:r w:rsidRPr="000B52C6">
              <w:rPr>
                <w:lang w:val="en-AU" w:eastAsia="en-AU" w:bidi="ar-SA"/>
              </w:rPr>
              <w:t xml:space="preserve">RD (95% </w:t>
            </w:r>
            <w:proofErr w:type="gramStart"/>
            <w:r w:rsidRPr="000B52C6">
              <w:rPr>
                <w:lang w:val="en-AU" w:eastAsia="en-AU" w:bidi="ar-SA"/>
              </w:rPr>
              <w:t>CI)</w:t>
            </w:r>
            <w:r w:rsidRPr="000B52C6">
              <w:rPr>
                <w:vertAlign w:val="superscript"/>
                <w:lang w:val="en-AU" w:eastAsia="en-AU" w:bidi="ar-SA"/>
              </w:rPr>
              <w:t>a</w:t>
            </w:r>
            <w:proofErr w:type="gramEnd"/>
          </w:p>
        </w:tc>
        <w:tc>
          <w:tcPr>
            <w:tcW w:w="607" w:type="pct"/>
            <w:shd w:val="clear" w:color="auto" w:fill="auto"/>
            <w:tcMar>
              <w:left w:w="28" w:type="dxa"/>
              <w:right w:w="28" w:type="dxa"/>
            </w:tcMar>
            <w:vAlign w:val="center"/>
          </w:tcPr>
          <w:p w14:paraId="39A39CEA" w14:textId="77777777" w:rsidR="006B3342" w:rsidRPr="000B52C6" w:rsidRDefault="006B3342" w:rsidP="00513E25">
            <w:pPr>
              <w:pStyle w:val="TableText0"/>
              <w:jc w:val="center"/>
              <w:rPr>
                <w:b w:val="0"/>
                <w:lang w:val="en-AU" w:eastAsia="en-AU" w:bidi="ar-SA"/>
              </w:rPr>
            </w:pPr>
            <w:r w:rsidRPr="000B52C6">
              <w:rPr>
                <w:lang w:val="en-AU" w:eastAsia="en-AU" w:bidi="ar-SA"/>
              </w:rPr>
              <w:t xml:space="preserve">OR </w:t>
            </w:r>
          </w:p>
          <w:p w14:paraId="54C78444" w14:textId="77777777" w:rsidR="006B3342" w:rsidRPr="000B52C6" w:rsidRDefault="006B3342" w:rsidP="00513E25">
            <w:pPr>
              <w:pStyle w:val="TableText0"/>
              <w:jc w:val="center"/>
              <w:rPr>
                <w:lang w:val="en-AU" w:eastAsia="en-AU" w:bidi="ar-SA"/>
              </w:rPr>
            </w:pPr>
            <w:r w:rsidRPr="000B52C6">
              <w:rPr>
                <w:lang w:val="en-AU" w:eastAsia="en-AU" w:bidi="ar-SA"/>
              </w:rPr>
              <w:t xml:space="preserve">(95% CI) </w:t>
            </w:r>
            <w:r w:rsidRPr="000B52C6">
              <w:rPr>
                <w:vertAlign w:val="superscript"/>
                <w:lang w:val="en-AU" w:eastAsia="en-AU" w:bidi="ar-SA"/>
              </w:rPr>
              <w:t>a</w:t>
            </w:r>
          </w:p>
        </w:tc>
        <w:tc>
          <w:tcPr>
            <w:tcW w:w="606" w:type="pct"/>
            <w:shd w:val="clear" w:color="auto" w:fill="auto"/>
            <w:tcMar>
              <w:left w:w="28" w:type="dxa"/>
              <w:right w:w="28" w:type="dxa"/>
            </w:tcMar>
            <w:vAlign w:val="center"/>
          </w:tcPr>
          <w:p w14:paraId="0529F495" w14:textId="77777777" w:rsidR="006B3342" w:rsidRPr="000B52C6" w:rsidRDefault="006B3342" w:rsidP="00513E25">
            <w:pPr>
              <w:pStyle w:val="TableText0"/>
              <w:jc w:val="center"/>
              <w:rPr>
                <w:b w:val="0"/>
                <w:lang w:val="en-AU" w:eastAsia="en-AU" w:bidi="ar-SA"/>
              </w:rPr>
            </w:pPr>
            <w:r w:rsidRPr="000B52C6">
              <w:rPr>
                <w:lang w:val="en-AU" w:eastAsia="en-AU" w:bidi="ar-SA"/>
              </w:rPr>
              <w:t xml:space="preserve">RD </w:t>
            </w:r>
          </w:p>
          <w:p w14:paraId="35989D5F" w14:textId="77777777" w:rsidR="006B3342" w:rsidRPr="000B52C6" w:rsidRDefault="006B3342" w:rsidP="00513E25">
            <w:pPr>
              <w:pStyle w:val="TableText0"/>
              <w:jc w:val="center"/>
              <w:rPr>
                <w:lang w:val="en-AU" w:eastAsia="en-AU" w:bidi="ar-SA"/>
              </w:rPr>
            </w:pPr>
            <w:r w:rsidRPr="000B52C6">
              <w:rPr>
                <w:lang w:val="en-AU" w:eastAsia="en-AU" w:bidi="ar-SA"/>
              </w:rPr>
              <w:t xml:space="preserve">(95% CI) </w:t>
            </w:r>
            <w:r w:rsidRPr="000B52C6">
              <w:rPr>
                <w:vertAlign w:val="superscript"/>
                <w:lang w:val="en-AU" w:eastAsia="en-AU" w:bidi="ar-SA"/>
              </w:rPr>
              <w:t>a</w:t>
            </w:r>
          </w:p>
        </w:tc>
        <w:tc>
          <w:tcPr>
            <w:tcW w:w="834" w:type="pct"/>
            <w:shd w:val="clear" w:color="auto" w:fill="auto"/>
            <w:tcMar>
              <w:left w:w="28" w:type="dxa"/>
              <w:right w:w="28" w:type="dxa"/>
            </w:tcMar>
            <w:vAlign w:val="center"/>
            <w:hideMark/>
          </w:tcPr>
          <w:p w14:paraId="3ADA038E" w14:textId="77777777" w:rsidR="006B3342" w:rsidRPr="000B52C6" w:rsidRDefault="006B3342" w:rsidP="00513E25">
            <w:pPr>
              <w:pStyle w:val="TableText0"/>
              <w:jc w:val="center"/>
              <w:rPr>
                <w:b w:val="0"/>
                <w:lang w:val="en-AU" w:eastAsia="en-AU" w:bidi="ar-SA"/>
              </w:rPr>
            </w:pPr>
            <w:r w:rsidRPr="000B52C6">
              <w:rPr>
                <w:lang w:val="en-AU" w:eastAsia="en-AU" w:bidi="ar-SA"/>
              </w:rPr>
              <w:t xml:space="preserve">OR </w:t>
            </w:r>
          </w:p>
          <w:p w14:paraId="58C72159" w14:textId="77777777" w:rsidR="006B3342" w:rsidRPr="000B52C6" w:rsidRDefault="006B3342" w:rsidP="00513E25">
            <w:pPr>
              <w:pStyle w:val="TableText0"/>
              <w:jc w:val="center"/>
              <w:rPr>
                <w:lang w:val="en-AU" w:eastAsia="en-AU" w:bidi="ar-SA"/>
              </w:rPr>
            </w:pPr>
            <w:r w:rsidRPr="000B52C6">
              <w:rPr>
                <w:lang w:val="en-AU" w:eastAsia="en-AU" w:bidi="ar-SA"/>
              </w:rPr>
              <w:t>(95% CI); p-value</w:t>
            </w:r>
          </w:p>
        </w:tc>
        <w:tc>
          <w:tcPr>
            <w:tcW w:w="909" w:type="pct"/>
            <w:shd w:val="clear" w:color="auto" w:fill="auto"/>
            <w:tcMar>
              <w:left w:w="28" w:type="dxa"/>
              <w:right w:w="28" w:type="dxa"/>
            </w:tcMar>
            <w:vAlign w:val="center"/>
          </w:tcPr>
          <w:p w14:paraId="6A572719" w14:textId="77777777" w:rsidR="006B3342" w:rsidRPr="000B52C6" w:rsidRDefault="006B3342" w:rsidP="00513E25">
            <w:pPr>
              <w:pStyle w:val="TableText0"/>
              <w:jc w:val="center"/>
              <w:rPr>
                <w:b w:val="0"/>
                <w:lang w:val="en-AU" w:eastAsia="en-AU" w:bidi="ar-SA"/>
              </w:rPr>
            </w:pPr>
            <w:r w:rsidRPr="000B52C6">
              <w:rPr>
                <w:lang w:val="en-AU" w:eastAsia="en-AU" w:bidi="ar-SA"/>
              </w:rPr>
              <w:t xml:space="preserve">RD </w:t>
            </w:r>
          </w:p>
          <w:p w14:paraId="2C83ED22" w14:textId="77777777" w:rsidR="006B3342" w:rsidRPr="000B52C6" w:rsidRDefault="006B3342" w:rsidP="00513E25">
            <w:pPr>
              <w:pStyle w:val="TableText0"/>
              <w:jc w:val="center"/>
              <w:rPr>
                <w:lang w:val="en-AU" w:eastAsia="en-AU" w:bidi="ar-SA"/>
              </w:rPr>
            </w:pPr>
            <w:r w:rsidRPr="000B52C6">
              <w:rPr>
                <w:lang w:val="en-AU" w:eastAsia="en-AU" w:bidi="ar-SA"/>
              </w:rPr>
              <w:t>(95% CI); p-value</w:t>
            </w:r>
          </w:p>
        </w:tc>
      </w:tr>
      <w:tr w:rsidR="006B3342" w:rsidRPr="000B52C6" w14:paraId="11BB9273" w14:textId="77777777" w:rsidTr="005640E7">
        <w:trPr>
          <w:trHeight w:val="300"/>
        </w:trPr>
        <w:tc>
          <w:tcPr>
            <w:tcW w:w="830" w:type="pct"/>
            <w:shd w:val="clear" w:color="auto" w:fill="auto"/>
            <w:noWrap/>
            <w:tcMar>
              <w:left w:w="28" w:type="dxa"/>
              <w:right w:w="28" w:type="dxa"/>
            </w:tcMar>
            <w:vAlign w:val="center"/>
            <w:hideMark/>
          </w:tcPr>
          <w:p w14:paraId="454A1D09" w14:textId="77777777" w:rsidR="006B3342" w:rsidRPr="000B52C6" w:rsidRDefault="006B3342" w:rsidP="00513E25">
            <w:pPr>
              <w:pStyle w:val="TableText0"/>
              <w:rPr>
                <w:lang w:val="en-AU" w:eastAsia="en-AU" w:bidi="ar-SA"/>
              </w:rPr>
            </w:pPr>
            <w:r w:rsidRPr="000B52C6">
              <w:rPr>
                <w:lang w:val="en-AU" w:eastAsia="en-AU" w:bidi="ar-SA"/>
              </w:rPr>
              <w:t>Any AE</w:t>
            </w:r>
          </w:p>
        </w:tc>
        <w:tc>
          <w:tcPr>
            <w:tcW w:w="608" w:type="pct"/>
            <w:shd w:val="clear" w:color="auto" w:fill="auto"/>
            <w:tcMar>
              <w:left w:w="28" w:type="dxa"/>
              <w:right w:w="28" w:type="dxa"/>
            </w:tcMar>
            <w:vAlign w:val="center"/>
          </w:tcPr>
          <w:p w14:paraId="4748BEBB" w14:textId="77777777" w:rsidR="006B3342" w:rsidRPr="000B52C6" w:rsidRDefault="006B3342" w:rsidP="00513E25">
            <w:pPr>
              <w:pStyle w:val="TableText0"/>
              <w:jc w:val="center"/>
              <w:rPr>
                <w:lang w:val="en-AU" w:eastAsia="en-AU" w:bidi="ar-SA"/>
              </w:rPr>
            </w:pPr>
            <w:r w:rsidRPr="000B52C6">
              <w:rPr>
                <w:lang w:val="en-AU" w:eastAsia="en-AU" w:bidi="ar-SA"/>
              </w:rPr>
              <w:t xml:space="preserve">5.88 </w:t>
            </w:r>
          </w:p>
          <w:p w14:paraId="4CC9EB51" w14:textId="77777777" w:rsidR="006B3342" w:rsidRPr="000B52C6" w:rsidRDefault="006B3342" w:rsidP="00513E25">
            <w:pPr>
              <w:pStyle w:val="TableText0"/>
              <w:jc w:val="center"/>
              <w:rPr>
                <w:lang w:val="en-AU" w:eastAsia="en-AU" w:bidi="ar-SA"/>
              </w:rPr>
            </w:pPr>
            <w:r w:rsidRPr="000B52C6">
              <w:rPr>
                <w:lang w:val="en-AU" w:eastAsia="en-AU" w:bidi="ar-SA"/>
              </w:rPr>
              <w:t>(0.7, 49.28)</w:t>
            </w:r>
          </w:p>
        </w:tc>
        <w:tc>
          <w:tcPr>
            <w:tcW w:w="606" w:type="pct"/>
            <w:shd w:val="clear" w:color="auto" w:fill="auto"/>
            <w:tcMar>
              <w:left w:w="28" w:type="dxa"/>
              <w:right w:w="28" w:type="dxa"/>
            </w:tcMar>
            <w:vAlign w:val="center"/>
          </w:tcPr>
          <w:p w14:paraId="79556507" w14:textId="77777777" w:rsidR="006B3342" w:rsidRPr="000B52C6" w:rsidRDefault="006B3342" w:rsidP="00513E25">
            <w:pPr>
              <w:pStyle w:val="TableText0"/>
              <w:jc w:val="center"/>
              <w:rPr>
                <w:lang w:val="en-AU" w:eastAsia="en-AU" w:bidi="ar-SA"/>
              </w:rPr>
            </w:pPr>
            <w:r w:rsidRPr="000B52C6">
              <w:rPr>
                <w:lang w:val="en-AU" w:eastAsia="en-AU" w:bidi="ar-SA"/>
              </w:rPr>
              <w:t xml:space="preserve">0.02 </w:t>
            </w:r>
          </w:p>
          <w:p w14:paraId="5C11BF3E" w14:textId="77777777" w:rsidR="006B3342" w:rsidRPr="000B52C6" w:rsidRDefault="006B3342" w:rsidP="00513E25">
            <w:pPr>
              <w:pStyle w:val="TableText0"/>
              <w:jc w:val="center"/>
              <w:rPr>
                <w:lang w:val="en-AU" w:eastAsia="en-AU" w:bidi="ar-SA"/>
              </w:rPr>
            </w:pPr>
            <w:r w:rsidRPr="000B52C6">
              <w:rPr>
                <w:lang w:val="en-AU" w:eastAsia="en-AU" w:bidi="ar-SA"/>
              </w:rPr>
              <w:t>(0, 0.05)</w:t>
            </w:r>
          </w:p>
        </w:tc>
        <w:tc>
          <w:tcPr>
            <w:tcW w:w="607" w:type="pct"/>
            <w:shd w:val="clear" w:color="auto" w:fill="auto"/>
            <w:tcMar>
              <w:left w:w="28" w:type="dxa"/>
              <w:right w:w="28" w:type="dxa"/>
            </w:tcMar>
            <w:vAlign w:val="center"/>
          </w:tcPr>
          <w:p w14:paraId="2FE2978C" w14:textId="77777777" w:rsidR="006B3342" w:rsidRPr="000B52C6" w:rsidRDefault="006B3342" w:rsidP="00513E25">
            <w:pPr>
              <w:pStyle w:val="TableText0"/>
              <w:jc w:val="center"/>
              <w:rPr>
                <w:lang w:val="en-AU" w:eastAsia="en-AU" w:bidi="ar-SA"/>
              </w:rPr>
            </w:pPr>
            <w:r w:rsidRPr="000B52C6">
              <w:rPr>
                <w:lang w:val="en-AU" w:eastAsia="en-AU" w:bidi="ar-SA"/>
              </w:rPr>
              <w:t xml:space="preserve">0.84 </w:t>
            </w:r>
          </w:p>
          <w:p w14:paraId="22DCB086" w14:textId="77777777" w:rsidR="006B3342" w:rsidRPr="000B52C6" w:rsidRDefault="006B3342" w:rsidP="00513E25">
            <w:pPr>
              <w:pStyle w:val="TableText0"/>
              <w:jc w:val="center"/>
              <w:rPr>
                <w:lang w:val="en-AU" w:eastAsia="en-AU" w:bidi="ar-SA"/>
              </w:rPr>
            </w:pPr>
            <w:r w:rsidRPr="000B52C6">
              <w:rPr>
                <w:lang w:val="en-AU" w:eastAsia="en-AU" w:bidi="ar-SA"/>
              </w:rPr>
              <w:t>(0.26, 2.79)</w:t>
            </w:r>
          </w:p>
        </w:tc>
        <w:tc>
          <w:tcPr>
            <w:tcW w:w="606" w:type="pct"/>
            <w:shd w:val="clear" w:color="auto" w:fill="auto"/>
            <w:tcMar>
              <w:left w:w="28" w:type="dxa"/>
              <w:right w:w="28" w:type="dxa"/>
            </w:tcMar>
            <w:vAlign w:val="center"/>
          </w:tcPr>
          <w:p w14:paraId="076CD648" w14:textId="77777777" w:rsidR="006B3342" w:rsidRPr="000B52C6" w:rsidRDefault="006B3342" w:rsidP="00513E25">
            <w:pPr>
              <w:pStyle w:val="TableText0"/>
              <w:jc w:val="center"/>
              <w:rPr>
                <w:lang w:val="en-AU" w:eastAsia="en-AU" w:bidi="ar-SA"/>
              </w:rPr>
            </w:pPr>
            <w:r w:rsidRPr="000B52C6">
              <w:rPr>
                <w:lang w:val="en-AU" w:eastAsia="en-AU" w:bidi="ar-SA"/>
              </w:rPr>
              <w:t xml:space="preserve">0 </w:t>
            </w:r>
          </w:p>
          <w:p w14:paraId="75653436" w14:textId="77777777" w:rsidR="006B3342" w:rsidRPr="000B52C6" w:rsidRDefault="006B3342" w:rsidP="00513E25">
            <w:pPr>
              <w:pStyle w:val="TableText0"/>
              <w:jc w:val="center"/>
              <w:rPr>
                <w:lang w:val="en-AU" w:eastAsia="en-AU" w:bidi="ar-SA"/>
              </w:rPr>
            </w:pPr>
            <w:r w:rsidRPr="000B52C6">
              <w:rPr>
                <w:lang w:val="en-AU" w:eastAsia="en-AU" w:bidi="ar-SA"/>
              </w:rPr>
              <w:t>(-0.02, 0.01)</w:t>
            </w:r>
          </w:p>
        </w:tc>
        <w:tc>
          <w:tcPr>
            <w:tcW w:w="834" w:type="pct"/>
            <w:shd w:val="clear" w:color="auto" w:fill="auto"/>
            <w:noWrap/>
            <w:tcMar>
              <w:left w:w="28" w:type="dxa"/>
              <w:right w:w="28" w:type="dxa"/>
            </w:tcMar>
            <w:vAlign w:val="center"/>
          </w:tcPr>
          <w:p w14:paraId="4690F454" w14:textId="77777777" w:rsidR="006B3342" w:rsidRPr="000B52C6" w:rsidRDefault="006B3342" w:rsidP="00513E25">
            <w:pPr>
              <w:pStyle w:val="TableText0"/>
              <w:jc w:val="center"/>
              <w:rPr>
                <w:lang w:val="en-AU" w:eastAsia="en-AU" w:bidi="ar-SA"/>
              </w:rPr>
            </w:pPr>
            <w:r w:rsidRPr="000B52C6">
              <w:rPr>
                <w:lang w:val="en-AU" w:eastAsia="en-AU" w:bidi="ar-SA"/>
              </w:rPr>
              <w:t xml:space="preserve">7.00 </w:t>
            </w:r>
          </w:p>
          <w:p w14:paraId="41FA05F8" w14:textId="77777777" w:rsidR="006B3342" w:rsidRPr="000B52C6" w:rsidRDefault="006B3342" w:rsidP="00513E25">
            <w:pPr>
              <w:pStyle w:val="TableText0"/>
              <w:jc w:val="center"/>
              <w:rPr>
                <w:lang w:val="en-AU" w:eastAsia="en-AU" w:bidi="ar-SA"/>
              </w:rPr>
            </w:pPr>
            <w:r w:rsidRPr="000B52C6">
              <w:rPr>
                <w:lang w:val="en-AU" w:eastAsia="en-AU" w:bidi="ar-SA"/>
              </w:rPr>
              <w:t>(0.61, 79.96); 0.117</w:t>
            </w:r>
          </w:p>
        </w:tc>
        <w:tc>
          <w:tcPr>
            <w:tcW w:w="909" w:type="pct"/>
            <w:shd w:val="clear" w:color="auto" w:fill="auto"/>
            <w:tcMar>
              <w:left w:w="28" w:type="dxa"/>
              <w:right w:w="28" w:type="dxa"/>
            </w:tcMar>
            <w:vAlign w:val="center"/>
          </w:tcPr>
          <w:p w14:paraId="2FC3D190" w14:textId="77777777" w:rsidR="006B3342" w:rsidRPr="000B52C6" w:rsidRDefault="006B3342" w:rsidP="00513E25">
            <w:pPr>
              <w:pStyle w:val="TableText0"/>
              <w:jc w:val="center"/>
              <w:rPr>
                <w:lang w:val="en-AU" w:eastAsia="en-AU" w:bidi="ar-SA"/>
              </w:rPr>
            </w:pPr>
            <w:r w:rsidRPr="000B52C6">
              <w:rPr>
                <w:lang w:val="en-AU" w:eastAsia="en-AU" w:bidi="ar-SA"/>
              </w:rPr>
              <w:t xml:space="preserve">0.02 </w:t>
            </w:r>
          </w:p>
          <w:p w14:paraId="064B4C52" w14:textId="77777777" w:rsidR="006B3342" w:rsidRPr="000B52C6" w:rsidRDefault="006B3342" w:rsidP="00513E25">
            <w:pPr>
              <w:pStyle w:val="TableText0"/>
              <w:jc w:val="center"/>
              <w:rPr>
                <w:lang w:val="en-AU" w:eastAsia="en-AU" w:bidi="ar-SA"/>
              </w:rPr>
            </w:pPr>
            <w:r w:rsidRPr="000B52C6">
              <w:rPr>
                <w:lang w:val="en-AU" w:eastAsia="en-AU" w:bidi="ar-SA"/>
              </w:rPr>
              <w:t>(-0.01, 0.05); 0.179</w:t>
            </w:r>
          </w:p>
        </w:tc>
      </w:tr>
      <w:tr w:rsidR="006B3342" w:rsidRPr="000B52C6" w14:paraId="27C4DC9D" w14:textId="77777777" w:rsidTr="005640E7">
        <w:trPr>
          <w:trHeight w:val="300"/>
        </w:trPr>
        <w:tc>
          <w:tcPr>
            <w:tcW w:w="830" w:type="pct"/>
            <w:shd w:val="clear" w:color="auto" w:fill="auto"/>
            <w:noWrap/>
            <w:tcMar>
              <w:left w:w="28" w:type="dxa"/>
              <w:right w:w="28" w:type="dxa"/>
            </w:tcMar>
            <w:vAlign w:val="center"/>
            <w:hideMark/>
          </w:tcPr>
          <w:p w14:paraId="63EE0324" w14:textId="77777777" w:rsidR="006B3342" w:rsidRPr="000B52C6" w:rsidRDefault="006B3342" w:rsidP="00513E25">
            <w:pPr>
              <w:pStyle w:val="TableText0"/>
              <w:rPr>
                <w:lang w:val="en-AU" w:eastAsia="en-AU" w:bidi="ar-SA"/>
              </w:rPr>
            </w:pPr>
            <w:r w:rsidRPr="000B52C6">
              <w:rPr>
                <w:lang w:val="en-AU" w:eastAsia="en-AU" w:bidi="ar-SA"/>
              </w:rPr>
              <w:t>Grade 3 and 4 AEs</w:t>
            </w:r>
          </w:p>
        </w:tc>
        <w:tc>
          <w:tcPr>
            <w:tcW w:w="608" w:type="pct"/>
            <w:shd w:val="clear" w:color="auto" w:fill="auto"/>
            <w:tcMar>
              <w:left w:w="28" w:type="dxa"/>
              <w:right w:w="28" w:type="dxa"/>
            </w:tcMar>
            <w:vAlign w:val="center"/>
          </w:tcPr>
          <w:p w14:paraId="3CFB7337" w14:textId="77777777" w:rsidR="006B3342" w:rsidRPr="000B52C6" w:rsidRDefault="006B3342" w:rsidP="00513E25">
            <w:pPr>
              <w:pStyle w:val="TableText0"/>
              <w:jc w:val="center"/>
              <w:rPr>
                <w:lang w:val="en-AU" w:eastAsia="en-AU" w:bidi="ar-SA"/>
              </w:rPr>
            </w:pPr>
            <w:r w:rsidRPr="000B52C6">
              <w:rPr>
                <w:lang w:val="en-AU" w:eastAsia="en-AU" w:bidi="ar-SA"/>
              </w:rPr>
              <w:t xml:space="preserve">2.97 </w:t>
            </w:r>
          </w:p>
          <w:p w14:paraId="157FD77B" w14:textId="77777777" w:rsidR="006B3342" w:rsidRPr="000B52C6" w:rsidRDefault="006B3342" w:rsidP="00513E25">
            <w:pPr>
              <w:pStyle w:val="TableText0"/>
              <w:jc w:val="center"/>
              <w:rPr>
                <w:lang w:val="en-AU" w:eastAsia="en-AU" w:bidi="ar-SA"/>
              </w:rPr>
            </w:pPr>
            <w:r w:rsidRPr="000B52C6">
              <w:rPr>
                <w:lang w:val="en-AU" w:eastAsia="en-AU" w:bidi="ar-SA"/>
              </w:rPr>
              <w:t>(1.91, 4.61)</w:t>
            </w:r>
          </w:p>
        </w:tc>
        <w:tc>
          <w:tcPr>
            <w:tcW w:w="606" w:type="pct"/>
            <w:shd w:val="clear" w:color="auto" w:fill="auto"/>
            <w:tcMar>
              <w:left w:w="28" w:type="dxa"/>
              <w:right w:w="28" w:type="dxa"/>
            </w:tcMar>
            <w:vAlign w:val="center"/>
          </w:tcPr>
          <w:p w14:paraId="647A3CA2" w14:textId="77777777" w:rsidR="006B3342" w:rsidRPr="000B52C6" w:rsidRDefault="006B3342" w:rsidP="00513E25">
            <w:pPr>
              <w:pStyle w:val="TableText0"/>
              <w:jc w:val="center"/>
              <w:rPr>
                <w:lang w:val="en-AU" w:eastAsia="en-AU" w:bidi="ar-SA"/>
              </w:rPr>
            </w:pPr>
            <w:r w:rsidRPr="000B52C6">
              <w:rPr>
                <w:lang w:val="en-AU" w:eastAsia="en-AU" w:bidi="ar-SA"/>
              </w:rPr>
              <w:t xml:space="preserve">0.23 </w:t>
            </w:r>
          </w:p>
          <w:p w14:paraId="40750079" w14:textId="77777777" w:rsidR="006B3342" w:rsidRPr="000B52C6" w:rsidRDefault="006B3342" w:rsidP="00513E25">
            <w:pPr>
              <w:pStyle w:val="TableText0"/>
              <w:jc w:val="center"/>
              <w:rPr>
                <w:lang w:val="en-AU" w:eastAsia="en-AU" w:bidi="ar-SA"/>
              </w:rPr>
            </w:pPr>
            <w:r w:rsidRPr="000B52C6">
              <w:rPr>
                <w:lang w:val="en-AU" w:eastAsia="en-AU" w:bidi="ar-SA"/>
              </w:rPr>
              <w:t>(0.14, 0.32)</w:t>
            </w:r>
          </w:p>
        </w:tc>
        <w:tc>
          <w:tcPr>
            <w:tcW w:w="607" w:type="pct"/>
            <w:shd w:val="clear" w:color="auto" w:fill="auto"/>
            <w:tcMar>
              <w:left w:w="28" w:type="dxa"/>
              <w:right w:w="28" w:type="dxa"/>
            </w:tcMar>
            <w:vAlign w:val="center"/>
          </w:tcPr>
          <w:p w14:paraId="639FF1D4" w14:textId="77777777" w:rsidR="006B3342" w:rsidRPr="000B52C6" w:rsidRDefault="006B3342" w:rsidP="00513E25">
            <w:pPr>
              <w:pStyle w:val="TableText0"/>
              <w:jc w:val="center"/>
              <w:rPr>
                <w:lang w:val="en-AU" w:eastAsia="en-AU" w:bidi="ar-SA"/>
              </w:rPr>
            </w:pPr>
            <w:r w:rsidRPr="000B52C6">
              <w:rPr>
                <w:lang w:val="en-AU" w:eastAsia="en-AU" w:bidi="ar-SA"/>
              </w:rPr>
              <w:t xml:space="preserve">1.84 </w:t>
            </w:r>
          </w:p>
          <w:p w14:paraId="0A0D43FC" w14:textId="77777777" w:rsidR="006B3342" w:rsidRPr="000B52C6" w:rsidRDefault="006B3342" w:rsidP="00513E25">
            <w:pPr>
              <w:pStyle w:val="TableText0"/>
              <w:jc w:val="center"/>
              <w:rPr>
                <w:lang w:val="en-AU" w:eastAsia="en-AU" w:bidi="ar-SA"/>
              </w:rPr>
            </w:pPr>
            <w:r w:rsidRPr="000B52C6">
              <w:rPr>
                <w:lang w:val="en-AU" w:eastAsia="en-AU" w:bidi="ar-SA"/>
              </w:rPr>
              <w:t>(1.35, 2.51)</w:t>
            </w:r>
          </w:p>
        </w:tc>
        <w:tc>
          <w:tcPr>
            <w:tcW w:w="606" w:type="pct"/>
            <w:shd w:val="clear" w:color="auto" w:fill="auto"/>
            <w:tcMar>
              <w:left w:w="28" w:type="dxa"/>
              <w:right w:w="28" w:type="dxa"/>
            </w:tcMar>
            <w:vAlign w:val="center"/>
          </w:tcPr>
          <w:p w14:paraId="39F5D897" w14:textId="77777777" w:rsidR="006B3342" w:rsidRPr="000B52C6" w:rsidRDefault="006B3342" w:rsidP="00513E25">
            <w:pPr>
              <w:pStyle w:val="TableText0"/>
              <w:jc w:val="center"/>
              <w:rPr>
                <w:lang w:val="en-AU" w:eastAsia="en-AU" w:bidi="ar-SA"/>
              </w:rPr>
            </w:pPr>
            <w:r w:rsidRPr="000B52C6">
              <w:rPr>
                <w:lang w:val="en-AU" w:eastAsia="en-AU" w:bidi="ar-SA"/>
              </w:rPr>
              <w:t xml:space="preserve">0.11 </w:t>
            </w:r>
          </w:p>
          <w:p w14:paraId="2782DB9E" w14:textId="77777777" w:rsidR="006B3342" w:rsidRPr="000B52C6" w:rsidRDefault="006B3342" w:rsidP="00513E25">
            <w:pPr>
              <w:pStyle w:val="TableText0"/>
              <w:jc w:val="center"/>
              <w:rPr>
                <w:lang w:val="en-AU" w:eastAsia="en-AU" w:bidi="ar-SA"/>
              </w:rPr>
            </w:pPr>
            <w:r w:rsidRPr="000B52C6">
              <w:rPr>
                <w:lang w:val="en-AU" w:eastAsia="en-AU" w:bidi="ar-SA"/>
              </w:rPr>
              <w:t>(0.05, 0.16)</w:t>
            </w:r>
          </w:p>
        </w:tc>
        <w:tc>
          <w:tcPr>
            <w:tcW w:w="834" w:type="pct"/>
            <w:shd w:val="clear" w:color="auto" w:fill="auto"/>
            <w:noWrap/>
            <w:tcMar>
              <w:left w:w="28" w:type="dxa"/>
              <w:right w:w="28" w:type="dxa"/>
            </w:tcMar>
            <w:vAlign w:val="center"/>
          </w:tcPr>
          <w:p w14:paraId="6230102B" w14:textId="77777777" w:rsidR="006B3342" w:rsidRPr="000B52C6" w:rsidRDefault="006B3342" w:rsidP="00513E25">
            <w:pPr>
              <w:pStyle w:val="TableText0"/>
              <w:jc w:val="center"/>
              <w:rPr>
                <w:lang w:val="en-AU" w:eastAsia="en-AU" w:bidi="ar-SA"/>
              </w:rPr>
            </w:pPr>
            <w:r w:rsidRPr="000B52C6">
              <w:rPr>
                <w:lang w:val="en-AU" w:eastAsia="en-AU" w:bidi="ar-SA"/>
              </w:rPr>
              <w:t xml:space="preserve">1.61 </w:t>
            </w:r>
          </w:p>
          <w:p w14:paraId="68E91E4E" w14:textId="77777777" w:rsidR="006B3342" w:rsidRPr="000B52C6" w:rsidRDefault="006B3342" w:rsidP="00513E25">
            <w:pPr>
              <w:pStyle w:val="TableText0"/>
              <w:jc w:val="center"/>
              <w:rPr>
                <w:lang w:val="en-AU" w:eastAsia="en-AU" w:bidi="ar-SA"/>
              </w:rPr>
            </w:pPr>
            <w:r w:rsidRPr="000B52C6">
              <w:rPr>
                <w:lang w:val="en-AU" w:eastAsia="en-AU" w:bidi="ar-SA"/>
              </w:rPr>
              <w:t>(0.94, 2.77); 0.082</w:t>
            </w:r>
          </w:p>
        </w:tc>
        <w:tc>
          <w:tcPr>
            <w:tcW w:w="909" w:type="pct"/>
            <w:shd w:val="clear" w:color="auto" w:fill="auto"/>
            <w:tcMar>
              <w:left w:w="28" w:type="dxa"/>
              <w:right w:w="28" w:type="dxa"/>
            </w:tcMar>
            <w:vAlign w:val="center"/>
          </w:tcPr>
          <w:p w14:paraId="523C8AA0"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0.12 </w:t>
            </w:r>
          </w:p>
          <w:p w14:paraId="779EF25D"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(0.01, 0.23); 0.026</w:t>
            </w:r>
          </w:p>
        </w:tc>
      </w:tr>
      <w:tr w:rsidR="006B3342" w:rsidRPr="000B52C6" w14:paraId="75E53DA0" w14:textId="77777777" w:rsidTr="005640E7">
        <w:trPr>
          <w:trHeight w:val="300"/>
        </w:trPr>
        <w:tc>
          <w:tcPr>
            <w:tcW w:w="830" w:type="pct"/>
            <w:shd w:val="clear" w:color="auto" w:fill="auto"/>
            <w:noWrap/>
            <w:tcMar>
              <w:left w:w="28" w:type="dxa"/>
              <w:right w:w="28" w:type="dxa"/>
            </w:tcMar>
            <w:vAlign w:val="center"/>
            <w:hideMark/>
          </w:tcPr>
          <w:p w14:paraId="46502C35" w14:textId="77777777" w:rsidR="006B3342" w:rsidRPr="000B52C6" w:rsidRDefault="006B3342" w:rsidP="00513E25">
            <w:pPr>
              <w:pStyle w:val="TableText0"/>
              <w:rPr>
                <w:lang w:val="en-AU" w:eastAsia="en-AU" w:bidi="ar-SA"/>
              </w:rPr>
            </w:pPr>
            <w:r w:rsidRPr="000B52C6">
              <w:rPr>
                <w:lang w:val="en-AU" w:eastAsia="en-AU" w:bidi="ar-SA"/>
              </w:rPr>
              <w:t>Any serious AE</w:t>
            </w:r>
          </w:p>
        </w:tc>
        <w:tc>
          <w:tcPr>
            <w:tcW w:w="608" w:type="pct"/>
            <w:shd w:val="clear" w:color="auto" w:fill="auto"/>
            <w:tcMar>
              <w:left w:w="28" w:type="dxa"/>
              <w:right w:w="28" w:type="dxa"/>
            </w:tcMar>
            <w:vAlign w:val="center"/>
          </w:tcPr>
          <w:p w14:paraId="0CBCB770" w14:textId="77777777" w:rsidR="006B3342" w:rsidRPr="000B52C6" w:rsidRDefault="006B3342" w:rsidP="00513E25">
            <w:pPr>
              <w:pStyle w:val="TableText0"/>
              <w:jc w:val="center"/>
              <w:rPr>
                <w:lang w:val="en-AU" w:eastAsia="en-AU" w:bidi="ar-SA"/>
              </w:rPr>
            </w:pPr>
            <w:r w:rsidRPr="000B52C6">
              <w:rPr>
                <w:lang w:val="en-AU" w:eastAsia="en-AU" w:bidi="ar-SA"/>
              </w:rPr>
              <w:t xml:space="preserve">1.77 </w:t>
            </w:r>
          </w:p>
          <w:p w14:paraId="3ED5F06C" w14:textId="77777777" w:rsidR="006B3342" w:rsidRPr="000B52C6" w:rsidRDefault="006B3342" w:rsidP="00513E25">
            <w:pPr>
              <w:pStyle w:val="TableText0"/>
              <w:jc w:val="center"/>
              <w:rPr>
                <w:lang w:val="en-AU" w:eastAsia="en-AU" w:bidi="ar-SA"/>
              </w:rPr>
            </w:pPr>
            <w:r w:rsidRPr="000B52C6">
              <w:rPr>
                <w:lang w:val="en-AU" w:eastAsia="en-AU" w:bidi="ar-SA"/>
              </w:rPr>
              <w:t>(1.19, 2.64)</w:t>
            </w:r>
          </w:p>
        </w:tc>
        <w:tc>
          <w:tcPr>
            <w:tcW w:w="606" w:type="pct"/>
            <w:shd w:val="clear" w:color="auto" w:fill="auto"/>
            <w:tcMar>
              <w:left w:w="28" w:type="dxa"/>
              <w:right w:w="28" w:type="dxa"/>
            </w:tcMar>
            <w:vAlign w:val="center"/>
          </w:tcPr>
          <w:p w14:paraId="30752392" w14:textId="77777777" w:rsidR="006B3342" w:rsidRPr="000B52C6" w:rsidRDefault="006B3342" w:rsidP="00513E25">
            <w:pPr>
              <w:pStyle w:val="TableText0"/>
              <w:jc w:val="center"/>
              <w:rPr>
                <w:lang w:val="en-AU" w:eastAsia="en-AU" w:bidi="ar-SA"/>
              </w:rPr>
            </w:pPr>
            <w:r w:rsidRPr="000B52C6">
              <w:rPr>
                <w:lang w:val="en-AU" w:eastAsia="en-AU" w:bidi="ar-SA"/>
              </w:rPr>
              <w:t xml:space="preserve">0.14 </w:t>
            </w:r>
          </w:p>
          <w:p w14:paraId="18E264B2" w14:textId="77777777" w:rsidR="006B3342" w:rsidRPr="000B52C6" w:rsidRDefault="006B3342" w:rsidP="00513E25">
            <w:pPr>
              <w:pStyle w:val="TableText0"/>
              <w:jc w:val="center"/>
              <w:rPr>
                <w:lang w:val="en-AU" w:eastAsia="en-AU" w:bidi="ar-SA"/>
              </w:rPr>
            </w:pPr>
            <w:r w:rsidRPr="000B52C6">
              <w:rPr>
                <w:lang w:val="en-AU" w:eastAsia="en-AU" w:bidi="ar-SA"/>
              </w:rPr>
              <w:t>(0.04, 0.24)</w:t>
            </w:r>
          </w:p>
        </w:tc>
        <w:tc>
          <w:tcPr>
            <w:tcW w:w="607" w:type="pct"/>
            <w:shd w:val="clear" w:color="auto" w:fill="auto"/>
            <w:tcMar>
              <w:left w:w="28" w:type="dxa"/>
              <w:right w:w="28" w:type="dxa"/>
            </w:tcMar>
            <w:vAlign w:val="center"/>
          </w:tcPr>
          <w:p w14:paraId="403DAD2C" w14:textId="77777777" w:rsidR="006B3342" w:rsidRPr="000B52C6" w:rsidRDefault="006B3342" w:rsidP="00513E25">
            <w:pPr>
              <w:pStyle w:val="TableText0"/>
              <w:jc w:val="center"/>
              <w:rPr>
                <w:lang w:val="en-AU" w:eastAsia="en-AU" w:bidi="ar-SA"/>
              </w:rPr>
            </w:pPr>
            <w:r w:rsidRPr="000B52C6">
              <w:rPr>
                <w:lang w:val="en-AU" w:eastAsia="en-AU" w:bidi="ar-SA"/>
              </w:rPr>
              <w:t xml:space="preserve">2.26 </w:t>
            </w:r>
          </w:p>
          <w:p w14:paraId="192946C8" w14:textId="77777777" w:rsidR="006B3342" w:rsidRPr="000B52C6" w:rsidRDefault="006B3342" w:rsidP="00513E25">
            <w:pPr>
              <w:pStyle w:val="TableText0"/>
              <w:jc w:val="center"/>
              <w:rPr>
                <w:lang w:val="en-AU" w:eastAsia="en-AU" w:bidi="ar-SA"/>
              </w:rPr>
            </w:pPr>
            <w:r w:rsidRPr="000B52C6">
              <w:rPr>
                <w:lang w:val="en-AU" w:eastAsia="en-AU" w:bidi="ar-SA"/>
              </w:rPr>
              <w:t>(1.74, 2.95)</w:t>
            </w:r>
          </w:p>
        </w:tc>
        <w:tc>
          <w:tcPr>
            <w:tcW w:w="606" w:type="pct"/>
            <w:shd w:val="clear" w:color="auto" w:fill="auto"/>
            <w:tcMar>
              <w:left w:w="28" w:type="dxa"/>
              <w:right w:w="28" w:type="dxa"/>
            </w:tcMar>
            <w:vAlign w:val="center"/>
          </w:tcPr>
          <w:p w14:paraId="5F8D194E" w14:textId="77777777" w:rsidR="006B3342" w:rsidRPr="000B52C6" w:rsidRDefault="006B3342" w:rsidP="00513E25">
            <w:pPr>
              <w:pStyle w:val="TableText0"/>
              <w:jc w:val="center"/>
              <w:rPr>
                <w:lang w:val="en-AU" w:eastAsia="en-AU" w:bidi="ar-SA"/>
              </w:rPr>
            </w:pPr>
            <w:r w:rsidRPr="000B52C6">
              <w:rPr>
                <w:lang w:val="en-AU" w:eastAsia="en-AU" w:bidi="ar-SA"/>
              </w:rPr>
              <w:t xml:space="preserve">0.2 </w:t>
            </w:r>
          </w:p>
          <w:p w14:paraId="4310BD72" w14:textId="77777777" w:rsidR="006B3342" w:rsidRPr="000B52C6" w:rsidRDefault="006B3342" w:rsidP="00513E25">
            <w:pPr>
              <w:pStyle w:val="TableText0"/>
              <w:jc w:val="center"/>
              <w:rPr>
                <w:lang w:val="en-AU" w:eastAsia="en-AU" w:bidi="ar-SA"/>
              </w:rPr>
            </w:pPr>
            <w:r w:rsidRPr="000B52C6">
              <w:rPr>
                <w:lang w:val="en-AU" w:eastAsia="en-AU" w:bidi="ar-SA"/>
              </w:rPr>
              <w:t>(0.14, 0.26)</w:t>
            </w:r>
          </w:p>
        </w:tc>
        <w:tc>
          <w:tcPr>
            <w:tcW w:w="834" w:type="pct"/>
            <w:shd w:val="clear" w:color="auto" w:fill="auto"/>
            <w:noWrap/>
            <w:tcMar>
              <w:left w:w="28" w:type="dxa"/>
              <w:right w:w="28" w:type="dxa"/>
            </w:tcMar>
            <w:vAlign w:val="center"/>
          </w:tcPr>
          <w:p w14:paraId="74409EC5" w14:textId="77777777" w:rsidR="006B3342" w:rsidRPr="000B52C6" w:rsidRDefault="006B3342" w:rsidP="00513E25">
            <w:pPr>
              <w:pStyle w:val="TableText0"/>
              <w:jc w:val="center"/>
              <w:rPr>
                <w:lang w:val="en-AU" w:eastAsia="en-AU" w:bidi="ar-SA"/>
              </w:rPr>
            </w:pPr>
            <w:r w:rsidRPr="000B52C6">
              <w:rPr>
                <w:lang w:val="en-AU" w:eastAsia="en-AU" w:bidi="ar-SA"/>
              </w:rPr>
              <w:t xml:space="preserve">0.78 </w:t>
            </w:r>
          </w:p>
          <w:p w14:paraId="6E17DC08" w14:textId="77777777" w:rsidR="006B3342" w:rsidRPr="000B52C6" w:rsidRDefault="006B3342" w:rsidP="00513E25">
            <w:pPr>
              <w:pStyle w:val="TableText0"/>
              <w:jc w:val="center"/>
              <w:rPr>
                <w:lang w:val="en-AU" w:eastAsia="en-AU" w:bidi="ar-SA"/>
              </w:rPr>
            </w:pPr>
            <w:r w:rsidRPr="000B52C6">
              <w:rPr>
                <w:lang w:val="en-AU" w:eastAsia="en-AU" w:bidi="ar-SA"/>
              </w:rPr>
              <w:t>(0.49, 1.26); 0.316</w:t>
            </w:r>
          </w:p>
        </w:tc>
        <w:tc>
          <w:tcPr>
            <w:tcW w:w="909" w:type="pct"/>
            <w:shd w:val="clear" w:color="auto" w:fill="auto"/>
            <w:tcMar>
              <w:left w:w="28" w:type="dxa"/>
              <w:right w:w="28" w:type="dxa"/>
            </w:tcMar>
            <w:vAlign w:val="center"/>
          </w:tcPr>
          <w:p w14:paraId="24611179" w14:textId="77777777" w:rsidR="006B3342" w:rsidRPr="000B52C6" w:rsidRDefault="006B3342" w:rsidP="00513E25">
            <w:pPr>
              <w:pStyle w:val="TableText0"/>
              <w:jc w:val="center"/>
              <w:rPr>
                <w:lang w:val="en-AU" w:eastAsia="en-AU" w:bidi="ar-SA"/>
              </w:rPr>
            </w:pPr>
            <w:r w:rsidRPr="000B52C6">
              <w:rPr>
                <w:lang w:val="en-AU" w:eastAsia="en-AU" w:bidi="ar-SA"/>
              </w:rPr>
              <w:t xml:space="preserve">-0.06 </w:t>
            </w:r>
          </w:p>
          <w:p w14:paraId="3AE81E75" w14:textId="77777777" w:rsidR="006B3342" w:rsidRPr="000B52C6" w:rsidRDefault="006B3342" w:rsidP="00513E25">
            <w:pPr>
              <w:pStyle w:val="TableText0"/>
              <w:jc w:val="center"/>
              <w:rPr>
                <w:lang w:val="en-AU" w:eastAsia="en-AU" w:bidi="ar-SA"/>
              </w:rPr>
            </w:pPr>
            <w:r w:rsidRPr="000B52C6">
              <w:rPr>
                <w:lang w:val="en-AU" w:eastAsia="en-AU" w:bidi="ar-SA"/>
              </w:rPr>
              <w:t>(-0.18, 0.06); 0.313</w:t>
            </w:r>
          </w:p>
        </w:tc>
      </w:tr>
      <w:tr w:rsidR="006B3342" w:rsidRPr="000B52C6" w14:paraId="5C0936E6" w14:textId="77777777" w:rsidTr="005640E7">
        <w:trPr>
          <w:trHeight w:val="300"/>
        </w:trPr>
        <w:tc>
          <w:tcPr>
            <w:tcW w:w="830" w:type="pct"/>
            <w:shd w:val="clear" w:color="auto" w:fill="auto"/>
            <w:noWrap/>
            <w:tcMar>
              <w:left w:w="28" w:type="dxa"/>
              <w:right w:w="28" w:type="dxa"/>
            </w:tcMar>
            <w:vAlign w:val="center"/>
            <w:hideMark/>
          </w:tcPr>
          <w:p w14:paraId="767A1C22" w14:textId="77777777" w:rsidR="006B3342" w:rsidRPr="000B52C6" w:rsidRDefault="006B3342" w:rsidP="00513E25">
            <w:pPr>
              <w:pStyle w:val="TableText0"/>
              <w:rPr>
                <w:lang w:val="en-AU" w:eastAsia="en-AU" w:bidi="ar-SA"/>
              </w:rPr>
            </w:pPr>
            <w:r w:rsidRPr="000B52C6">
              <w:rPr>
                <w:lang w:val="en-AU" w:eastAsia="en-AU" w:bidi="ar-SA"/>
              </w:rPr>
              <w:t>Any AE leading to discontinuation of study treatment</w:t>
            </w:r>
          </w:p>
        </w:tc>
        <w:tc>
          <w:tcPr>
            <w:tcW w:w="608" w:type="pct"/>
            <w:shd w:val="clear" w:color="auto" w:fill="auto"/>
            <w:tcMar>
              <w:left w:w="28" w:type="dxa"/>
              <w:right w:w="28" w:type="dxa"/>
            </w:tcMar>
            <w:vAlign w:val="center"/>
          </w:tcPr>
          <w:p w14:paraId="45962BAD" w14:textId="77777777" w:rsidR="006B3342" w:rsidRPr="000B52C6" w:rsidRDefault="006B3342" w:rsidP="00513E25">
            <w:pPr>
              <w:pStyle w:val="TableText0"/>
              <w:jc w:val="center"/>
              <w:rPr>
                <w:lang w:val="en-AU" w:eastAsia="en-AU" w:bidi="ar-SA"/>
              </w:rPr>
            </w:pPr>
            <w:r w:rsidRPr="000B52C6">
              <w:rPr>
                <w:lang w:val="en-AU" w:eastAsia="en-AU" w:bidi="ar-SA"/>
              </w:rPr>
              <w:t xml:space="preserve">1.43 </w:t>
            </w:r>
          </w:p>
          <w:p w14:paraId="2D167845" w14:textId="77777777" w:rsidR="006B3342" w:rsidRPr="000B52C6" w:rsidRDefault="006B3342" w:rsidP="00513E25">
            <w:pPr>
              <w:pStyle w:val="TableText0"/>
              <w:jc w:val="center"/>
              <w:rPr>
                <w:lang w:val="en-AU" w:eastAsia="en-AU" w:bidi="ar-SA"/>
              </w:rPr>
            </w:pPr>
            <w:r w:rsidRPr="000B52C6">
              <w:rPr>
                <w:lang w:val="en-AU" w:eastAsia="en-AU" w:bidi="ar-SA"/>
              </w:rPr>
              <w:t>(0.86, 2.39)</w:t>
            </w:r>
          </w:p>
        </w:tc>
        <w:tc>
          <w:tcPr>
            <w:tcW w:w="606" w:type="pct"/>
            <w:shd w:val="clear" w:color="auto" w:fill="auto"/>
            <w:tcMar>
              <w:left w:w="28" w:type="dxa"/>
              <w:right w:w="28" w:type="dxa"/>
            </w:tcMar>
            <w:vAlign w:val="center"/>
          </w:tcPr>
          <w:p w14:paraId="5210C289" w14:textId="77777777" w:rsidR="006B3342" w:rsidRPr="000B52C6" w:rsidRDefault="006B3342" w:rsidP="00513E25">
            <w:pPr>
              <w:pStyle w:val="TableText0"/>
              <w:jc w:val="center"/>
              <w:rPr>
                <w:lang w:val="en-AU" w:eastAsia="en-AU" w:bidi="ar-SA"/>
              </w:rPr>
            </w:pPr>
            <w:r w:rsidRPr="000B52C6">
              <w:rPr>
                <w:lang w:val="en-AU" w:eastAsia="en-AU" w:bidi="ar-SA"/>
              </w:rPr>
              <w:t xml:space="preserve">0.05 </w:t>
            </w:r>
          </w:p>
          <w:p w14:paraId="6803E8F2" w14:textId="77777777" w:rsidR="006B3342" w:rsidRPr="000B52C6" w:rsidRDefault="006B3342" w:rsidP="00513E25">
            <w:pPr>
              <w:pStyle w:val="TableText0"/>
              <w:jc w:val="center"/>
              <w:rPr>
                <w:lang w:val="en-AU" w:eastAsia="en-AU" w:bidi="ar-SA"/>
              </w:rPr>
            </w:pPr>
            <w:r w:rsidRPr="000B52C6">
              <w:rPr>
                <w:lang w:val="en-AU" w:eastAsia="en-AU" w:bidi="ar-SA"/>
              </w:rPr>
              <w:t>(-0.02, 0.13)</w:t>
            </w:r>
          </w:p>
        </w:tc>
        <w:tc>
          <w:tcPr>
            <w:tcW w:w="607" w:type="pct"/>
            <w:shd w:val="clear" w:color="auto" w:fill="auto"/>
            <w:tcMar>
              <w:left w:w="28" w:type="dxa"/>
              <w:right w:w="28" w:type="dxa"/>
            </w:tcMar>
            <w:vAlign w:val="center"/>
          </w:tcPr>
          <w:p w14:paraId="790C6A52" w14:textId="77777777" w:rsidR="006B3342" w:rsidRPr="000B52C6" w:rsidRDefault="006B3342" w:rsidP="00513E25">
            <w:pPr>
              <w:pStyle w:val="TableText0"/>
              <w:jc w:val="center"/>
              <w:rPr>
                <w:lang w:val="en-AU" w:eastAsia="en-AU" w:bidi="ar-SA"/>
              </w:rPr>
            </w:pPr>
            <w:r w:rsidRPr="000B52C6">
              <w:rPr>
                <w:lang w:val="en-AU" w:eastAsia="en-AU" w:bidi="ar-SA"/>
              </w:rPr>
              <w:t xml:space="preserve">1.16 </w:t>
            </w:r>
          </w:p>
          <w:p w14:paraId="6C57C6E5" w14:textId="77777777" w:rsidR="006B3342" w:rsidRPr="000B52C6" w:rsidRDefault="006B3342" w:rsidP="00513E25">
            <w:pPr>
              <w:pStyle w:val="TableText0"/>
              <w:jc w:val="center"/>
              <w:rPr>
                <w:lang w:val="en-AU" w:eastAsia="en-AU" w:bidi="ar-SA"/>
              </w:rPr>
            </w:pPr>
            <w:r w:rsidRPr="000B52C6">
              <w:rPr>
                <w:lang w:val="en-AU" w:eastAsia="en-AU" w:bidi="ar-SA"/>
              </w:rPr>
              <w:t>(0.87, 1.55)</w:t>
            </w:r>
          </w:p>
        </w:tc>
        <w:tc>
          <w:tcPr>
            <w:tcW w:w="606" w:type="pct"/>
            <w:shd w:val="clear" w:color="auto" w:fill="auto"/>
            <w:tcMar>
              <w:left w:w="28" w:type="dxa"/>
              <w:right w:w="28" w:type="dxa"/>
            </w:tcMar>
            <w:vAlign w:val="center"/>
          </w:tcPr>
          <w:p w14:paraId="7E7629D0" w14:textId="77777777" w:rsidR="006B3342" w:rsidRPr="000B52C6" w:rsidRDefault="006B3342" w:rsidP="00513E25">
            <w:pPr>
              <w:pStyle w:val="TableText0"/>
              <w:jc w:val="center"/>
              <w:rPr>
                <w:lang w:val="en-AU" w:eastAsia="en-AU" w:bidi="ar-SA"/>
              </w:rPr>
            </w:pPr>
            <w:r w:rsidRPr="000B52C6">
              <w:rPr>
                <w:lang w:val="en-AU" w:eastAsia="en-AU" w:bidi="ar-SA"/>
              </w:rPr>
              <w:t xml:space="preserve">0.03 </w:t>
            </w:r>
          </w:p>
          <w:p w14:paraId="162EFCB0" w14:textId="77777777" w:rsidR="006B3342" w:rsidRPr="000B52C6" w:rsidRDefault="006B3342" w:rsidP="00513E25">
            <w:pPr>
              <w:pStyle w:val="TableText0"/>
              <w:jc w:val="center"/>
              <w:rPr>
                <w:lang w:val="en-AU" w:eastAsia="en-AU" w:bidi="ar-SA"/>
              </w:rPr>
            </w:pPr>
            <w:r w:rsidRPr="000B52C6">
              <w:rPr>
                <w:lang w:val="en-AU" w:eastAsia="en-AU" w:bidi="ar-SA"/>
              </w:rPr>
              <w:t>(-0.03, 0.09)</w:t>
            </w:r>
          </w:p>
        </w:tc>
        <w:tc>
          <w:tcPr>
            <w:tcW w:w="834" w:type="pct"/>
            <w:shd w:val="clear" w:color="auto" w:fill="auto"/>
            <w:noWrap/>
            <w:tcMar>
              <w:left w:w="28" w:type="dxa"/>
              <w:right w:w="28" w:type="dxa"/>
            </w:tcMar>
            <w:vAlign w:val="center"/>
          </w:tcPr>
          <w:p w14:paraId="23A0A39C" w14:textId="77777777" w:rsidR="006B3342" w:rsidRPr="000B52C6" w:rsidRDefault="006B3342" w:rsidP="00513E25">
            <w:pPr>
              <w:pStyle w:val="TableText0"/>
              <w:jc w:val="center"/>
              <w:rPr>
                <w:lang w:val="en-AU" w:eastAsia="en-AU" w:bidi="ar-SA"/>
              </w:rPr>
            </w:pPr>
            <w:r w:rsidRPr="000B52C6">
              <w:rPr>
                <w:lang w:val="en-AU" w:eastAsia="en-AU" w:bidi="ar-SA"/>
              </w:rPr>
              <w:t xml:space="preserve">1.23 </w:t>
            </w:r>
          </w:p>
          <w:p w14:paraId="64B16FEF" w14:textId="77777777" w:rsidR="006B3342" w:rsidRPr="000B52C6" w:rsidRDefault="006B3342" w:rsidP="00513E25">
            <w:pPr>
              <w:pStyle w:val="TableText0"/>
              <w:jc w:val="center"/>
              <w:rPr>
                <w:lang w:val="en-AU" w:eastAsia="en-AU" w:bidi="ar-SA"/>
              </w:rPr>
            </w:pPr>
            <w:r w:rsidRPr="000B52C6">
              <w:rPr>
                <w:lang w:val="en-AU" w:eastAsia="en-AU" w:bidi="ar-SA"/>
              </w:rPr>
              <w:t>(0.69, 2.22); 0.485</w:t>
            </w:r>
          </w:p>
        </w:tc>
        <w:tc>
          <w:tcPr>
            <w:tcW w:w="909" w:type="pct"/>
            <w:shd w:val="clear" w:color="auto" w:fill="auto"/>
            <w:tcMar>
              <w:left w:w="28" w:type="dxa"/>
              <w:right w:w="28" w:type="dxa"/>
            </w:tcMar>
            <w:vAlign w:val="center"/>
          </w:tcPr>
          <w:p w14:paraId="062022FB" w14:textId="77777777" w:rsidR="006B3342" w:rsidRPr="000B52C6" w:rsidRDefault="006B3342" w:rsidP="00513E25">
            <w:pPr>
              <w:pStyle w:val="TableText0"/>
              <w:jc w:val="center"/>
              <w:rPr>
                <w:lang w:val="en-AU" w:eastAsia="en-AU" w:bidi="ar-SA"/>
              </w:rPr>
            </w:pPr>
            <w:r w:rsidRPr="000B52C6">
              <w:rPr>
                <w:lang w:val="en-AU" w:eastAsia="en-AU" w:bidi="ar-SA"/>
              </w:rPr>
              <w:t xml:space="preserve">0.02 </w:t>
            </w:r>
          </w:p>
          <w:p w14:paraId="19EAB407" w14:textId="77777777" w:rsidR="006B3342" w:rsidRPr="000B52C6" w:rsidRDefault="006B3342" w:rsidP="00513E25">
            <w:pPr>
              <w:pStyle w:val="TableText0"/>
              <w:jc w:val="center"/>
              <w:rPr>
                <w:lang w:val="en-AU" w:eastAsia="en-AU" w:bidi="ar-SA"/>
              </w:rPr>
            </w:pPr>
            <w:r w:rsidRPr="000B52C6">
              <w:rPr>
                <w:lang w:val="en-AU" w:eastAsia="en-AU" w:bidi="ar-SA"/>
              </w:rPr>
              <w:t>(-0.08, 0.12); 0.683</w:t>
            </w:r>
          </w:p>
        </w:tc>
      </w:tr>
      <w:tr w:rsidR="006B3342" w:rsidRPr="000B52C6" w14:paraId="235515D0" w14:textId="77777777" w:rsidTr="005640E7">
        <w:trPr>
          <w:trHeight w:val="300"/>
        </w:trPr>
        <w:tc>
          <w:tcPr>
            <w:tcW w:w="830" w:type="pct"/>
            <w:shd w:val="clear" w:color="auto" w:fill="auto"/>
            <w:noWrap/>
            <w:tcMar>
              <w:left w:w="28" w:type="dxa"/>
              <w:right w:w="28" w:type="dxa"/>
            </w:tcMar>
            <w:vAlign w:val="center"/>
            <w:hideMark/>
          </w:tcPr>
          <w:p w14:paraId="688C04E5" w14:textId="77777777" w:rsidR="006B3342" w:rsidRPr="000B52C6" w:rsidRDefault="006B3342" w:rsidP="00513E25">
            <w:pPr>
              <w:pStyle w:val="TableText0"/>
              <w:rPr>
                <w:lang w:val="en-AU" w:eastAsia="en-AU" w:bidi="ar-SA"/>
              </w:rPr>
            </w:pPr>
            <w:r w:rsidRPr="000B52C6">
              <w:rPr>
                <w:lang w:val="en-AU" w:eastAsia="en-AU" w:bidi="ar-SA"/>
              </w:rPr>
              <w:t>AE leading to Deaths</w:t>
            </w:r>
          </w:p>
        </w:tc>
        <w:tc>
          <w:tcPr>
            <w:tcW w:w="608" w:type="pct"/>
            <w:shd w:val="clear" w:color="auto" w:fill="auto"/>
            <w:tcMar>
              <w:left w:w="28" w:type="dxa"/>
              <w:right w:w="28" w:type="dxa"/>
            </w:tcMar>
            <w:vAlign w:val="center"/>
          </w:tcPr>
          <w:p w14:paraId="5EA4C23F" w14:textId="77777777" w:rsidR="006B3342" w:rsidRPr="000B52C6" w:rsidRDefault="006B3342" w:rsidP="00513E25">
            <w:pPr>
              <w:pStyle w:val="TableText0"/>
              <w:jc w:val="center"/>
              <w:rPr>
                <w:lang w:val="en-AU" w:eastAsia="en-AU" w:bidi="ar-SA"/>
              </w:rPr>
            </w:pPr>
            <w:r w:rsidRPr="000B52C6">
              <w:rPr>
                <w:lang w:val="en-AU" w:eastAsia="en-AU" w:bidi="ar-SA"/>
              </w:rPr>
              <w:t xml:space="preserve">1.15 </w:t>
            </w:r>
          </w:p>
          <w:p w14:paraId="71BCCACB" w14:textId="77777777" w:rsidR="006B3342" w:rsidRPr="000B52C6" w:rsidRDefault="006B3342" w:rsidP="00513E25">
            <w:pPr>
              <w:pStyle w:val="TableText0"/>
              <w:jc w:val="center"/>
              <w:rPr>
                <w:lang w:val="en-AU" w:eastAsia="en-AU" w:bidi="ar-SA"/>
              </w:rPr>
            </w:pPr>
            <w:r w:rsidRPr="000B52C6">
              <w:rPr>
                <w:lang w:val="en-AU" w:eastAsia="en-AU" w:bidi="ar-SA"/>
              </w:rPr>
              <w:t>(0.5, 2.67)</w:t>
            </w:r>
          </w:p>
        </w:tc>
        <w:tc>
          <w:tcPr>
            <w:tcW w:w="606" w:type="pct"/>
            <w:shd w:val="clear" w:color="auto" w:fill="auto"/>
            <w:tcMar>
              <w:left w:w="28" w:type="dxa"/>
              <w:right w:w="28" w:type="dxa"/>
            </w:tcMar>
            <w:vAlign w:val="center"/>
          </w:tcPr>
          <w:p w14:paraId="72BCBAC4" w14:textId="77777777" w:rsidR="006B3342" w:rsidRPr="000B52C6" w:rsidRDefault="006B3342" w:rsidP="00513E25">
            <w:pPr>
              <w:pStyle w:val="TableText0"/>
              <w:jc w:val="center"/>
              <w:rPr>
                <w:lang w:val="en-AU" w:eastAsia="en-AU" w:bidi="ar-SA"/>
              </w:rPr>
            </w:pPr>
            <w:r w:rsidRPr="000B52C6">
              <w:rPr>
                <w:lang w:val="en-AU" w:eastAsia="en-AU" w:bidi="ar-SA"/>
              </w:rPr>
              <w:t xml:space="preserve">0.01 </w:t>
            </w:r>
          </w:p>
          <w:p w14:paraId="4D55D622" w14:textId="77777777" w:rsidR="006B3342" w:rsidRPr="000B52C6" w:rsidRDefault="006B3342" w:rsidP="00513E25">
            <w:pPr>
              <w:pStyle w:val="TableText0"/>
              <w:jc w:val="center"/>
              <w:rPr>
                <w:lang w:val="en-AU" w:eastAsia="en-AU" w:bidi="ar-SA"/>
              </w:rPr>
            </w:pPr>
            <w:r w:rsidRPr="000B52C6">
              <w:rPr>
                <w:lang w:val="en-AU" w:eastAsia="en-AU" w:bidi="ar-SA"/>
              </w:rPr>
              <w:t>(-0.04, 0.05)</w:t>
            </w:r>
          </w:p>
        </w:tc>
        <w:tc>
          <w:tcPr>
            <w:tcW w:w="607" w:type="pct"/>
            <w:shd w:val="clear" w:color="auto" w:fill="auto"/>
            <w:tcMar>
              <w:left w:w="28" w:type="dxa"/>
              <w:right w:w="28" w:type="dxa"/>
            </w:tcMar>
            <w:vAlign w:val="center"/>
          </w:tcPr>
          <w:p w14:paraId="7104A39A" w14:textId="77777777" w:rsidR="006B3342" w:rsidRPr="000B52C6" w:rsidRDefault="006B3342" w:rsidP="00513E25">
            <w:pPr>
              <w:pStyle w:val="TableText0"/>
              <w:jc w:val="center"/>
              <w:rPr>
                <w:lang w:val="en-AU" w:eastAsia="en-AU" w:bidi="ar-SA"/>
              </w:rPr>
            </w:pPr>
            <w:r w:rsidRPr="000B52C6">
              <w:rPr>
                <w:lang w:val="en-AU" w:eastAsia="en-AU" w:bidi="ar-SA"/>
              </w:rPr>
              <w:t xml:space="preserve">1.46 </w:t>
            </w:r>
          </w:p>
          <w:p w14:paraId="5A052F33" w14:textId="77777777" w:rsidR="006B3342" w:rsidRPr="000B52C6" w:rsidRDefault="006B3342" w:rsidP="00513E25">
            <w:pPr>
              <w:pStyle w:val="TableText0"/>
              <w:jc w:val="center"/>
              <w:rPr>
                <w:lang w:val="en-AU" w:eastAsia="en-AU" w:bidi="ar-SA"/>
              </w:rPr>
            </w:pPr>
            <w:r w:rsidRPr="000B52C6">
              <w:rPr>
                <w:lang w:val="en-AU" w:eastAsia="en-AU" w:bidi="ar-SA"/>
              </w:rPr>
              <w:t>(0.84, 2.56)</w:t>
            </w:r>
          </w:p>
        </w:tc>
        <w:tc>
          <w:tcPr>
            <w:tcW w:w="606" w:type="pct"/>
            <w:shd w:val="clear" w:color="auto" w:fill="auto"/>
            <w:tcMar>
              <w:left w:w="28" w:type="dxa"/>
              <w:right w:w="28" w:type="dxa"/>
            </w:tcMar>
            <w:vAlign w:val="center"/>
          </w:tcPr>
          <w:p w14:paraId="13F092DE" w14:textId="77777777" w:rsidR="006B3342" w:rsidRPr="000B52C6" w:rsidRDefault="006B3342" w:rsidP="00513E25">
            <w:pPr>
              <w:pStyle w:val="TableText0"/>
              <w:jc w:val="center"/>
              <w:rPr>
                <w:lang w:val="en-AU" w:eastAsia="en-AU" w:bidi="ar-SA"/>
              </w:rPr>
            </w:pPr>
            <w:r w:rsidRPr="000B52C6">
              <w:rPr>
                <w:lang w:val="en-AU" w:eastAsia="en-AU" w:bidi="ar-SA"/>
              </w:rPr>
              <w:t xml:space="preserve">0.02 </w:t>
            </w:r>
          </w:p>
          <w:p w14:paraId="0F3F123D" w14:textId="77777777" w:rsidR="006B3342" w:rsidRPr="000B52C6" w:rsidRDefault="006B3342" w:rsidP="00513E25">
            <w:pPr>
              <w:pStyle w:val="TableText0"/>
              <w:jc w:val="center"/>
              <w:rPr>
                <w:lang w:val="en-AU" w:eastAsia="en-AU" w:bidi="ar-SA"/>
              </w:rPr>
            </w:pPr>
            <w:r w:rsidRPr="000B52C6">
              <w:rPr>
                <w:lang w:val="en-AU" w:eastAsia="en-AU" w:bidi="ar-SA"/>
              </w:rPr>
              <w:t>(-0.01, 0.05)</w:t>
            </w:r>
          </w:p>
        </w:tc>
        <w:tc>
          <w:tcPr>
            <w:tcW w:w="834" w:type="pct"/>
            <w:shd w:val="clear" w:color="auto" w:fill="auto"/>
            <w:noWrap/>
            <w:tcMar>
              <w:left w:w="28" w:type="dxa"/>
              <w:right w:w="28" w:type="dxa"/>
            </w:tcMar>
            <w:vAlign w:val="center"/>
          </w:tcPr>
          <w:p w14:paraId="01AB5B7F" w14:textId="77777777" w:rsidR="006B3342" w:rsidRPr="000B52C6" w:rsidRDefault="006B3342" w:rsidP="00513E25">
            <w:pPr>
              <w:pStyle w:val="TableText0"/>
              <w:jc w:val="center"/>
              <w:rPr>
                <w:lang w:val="en-AU" w:eastAsia="en-AU" w:bidi="ar-SA"/>
              </w:rPr>
            </w:pPr>
            <w:r w:rsidRPr="000B52C6">
              <w:rPr>
                <w:lang w:val="en-AU" w:eastAsia="en-AU" w:bidi="ar-SA"/>
              </w:rPr>
              <w:t xml:space="preserve">0.79 </w:t>
            </w:r>
          </w:p>
          <w:p w14:paraId="25E1C67E" w14:textId="77777777" w:rsidR="006B3342" w:rsidRPr="000B52C6" w:rsidRDefault="006B3342" w:rsidP="00513E25">
            <w:pPr>
              <w:pStyle w:val="TableText0"/>
              <w:jc w:val="center"/>
              <w:rPr>
                <w:lang w:val="en-AU" w:eastAsia="en-AU" w:bidi="ar-SA"/>
              </w:rPr>
            </w:pPr>
            <w:r w:rsidRPr="000B52C6">
              <w:rPr>
                <w:lang w:val="en-AU" w:eastAsia="en-AU" w:bidi="ar-SA"/>
              </w:rPr>
              <w:t>(0.29, 2.15); 0.642</w:t>
            </w:r>
          </w:p>
        </w:tc>
        <w:tc>
          <w:tcPr>
            <w:tcW w:w="909" w:type="pct"/>
            <w:shd w:val="clear" w:color="auto" w:fill="auto"/>
            <w:tcMar>
              <w:left w:w="28" w:type="dxa"/>
              <w:right w:w="28" w:type="dxa"/>
            </w:tcMar>
            <w:vAlign w:val="center"/>
          </w:tcPr>
          <w:p w14:paraId="6188A1D2" w14:textId="77777777" w:rsidR="006B3342" w:rsidRPr="000B52C6" w:rsidRDefault="006B3342" w:rsidP="00513E25">
            <w:pPr>
              <w:pStyle w:val="TableText0"/>
              <w:jc w:val="center"/>
              <w:rPr>
                <w:lang w:val="en-AU" w:eastAsia="en-AU" w:bidi="ar-SA"/>
              </w:rPr>
            </w:pPr>
            <w:r w:rsidRPr="000B52C6">
              <w:rPr>
                <w:lang w:val="en-AU" w:eastAsia="en-AU" w:bidi="ar-SA"/>
              </w:rPr>
              <w:t xml:space="preserve">-0.01 </w:t>
            </w:r>
          </w:p>
          <w:p w14:paraId="51B4E229" w14:textId="77777777" w:rsidR="006B3342" w:rsidRPr="000B52C6" w:rsidRDefault="006B3342" w:rsidP="00513E25">
            <w:pPr>
              <w:pStyle w:val="TableText0"/>
              <w:jc w:val="center"/>
              <w:rPr>
                <w:lang w:val="en-AU" w:eastAsia="en-AU" w:bidi="ar-SA"/>
              </w:rPr>
            </w:pPr>
            <w:r w:rsidRPr="000B52C6">
              <w:rPr>
                <w:lang w:val="en-AU" w:eastAsia="en-AU" w:bidi="ar-SA"/>
              </w:rPr>
              <w:t>(-0.06, 0.04); 0.717</w:t>
            </w:r>
          </w:p>
        </w:tc>
      </w:tr>
    </w:tbl>
    <w:p w14:paraId="12329B04" w14:textId="77777777" w:rsidR="006B3342" w:rsidRPr="000B52C6" w:rsidRDefault="006B3342" w:rsidP="006B3342">
      <w:pPr>
        <w:pStyle w:val="TableFigureFooter"/>
      </w:pPr>
      <w:r w:rsidRPr="000B52C6">
        <w:t>Source: Table 2-45, pp137 of the resubmission.</w:t>
      </w:r>
    </w:p>
    <w:p w14:paraId="3A71A2BF" w14:textId="77777777" w:rsidR="006B3342" w:rsidRPr="000B52C6" w:rsidRDefault="006B3342" w:rsidP="006B3342">
      <w:pPr>
        <w:pStyle w:val="TableFigureFooter"/>
      </w:pPr>
      <w:r w:rsidRPr="000B52C6">
        <w:t xml:space="preserve">Abbreviations: AE = adverse events; Bd = bortezomib + dexamethasone; Cd = carfilzomib + dexamethasone; CI = confidence interval; OR = odds ratio; RD = risk difference; </w:t>
      </w:r>
      <w:proofErr w:type="spellStart"/>
      <w:r w:rsidRPr="000B52C6">
        <w:t>SBd</w:t>
      </w:r>
      <w:proofErr w:type="spellEnd"/>
      <w:r w:rsidRPr="000B52C6">
        <w:t xml:space="preserve"> = </w:t>
      </w:r>
      <w:proofErr w:type="spellStart"/>
      <w:r w:rsidRPr="000B52C6">
        <w:t>selinexor</w:t>
      </w:r>
      <w:proofErr w:type="spellEnd"/>
      <w:r w:rsidRPr="000B52C6">
        <w:t xml:space="preserve"> + bortezomib + dexamethasone. </w:t>
      </w:r>
    </w:p>
    <w:p w14:paraId="347D5F5D" w14:textId="77777777" w:rsidR="006B3342" w:rsidRPr="000B52C6" w:rsidRDefault="006B3342" w:rsidP="006B3342">
      <w:pPr>
        <w:pStyle w:val="TableFigureFooter"/>
      </w:pPr>
      <w:r w:rsidRPr="000B52C6">
        <w:t xml:space="preserve">Note: a. Calculated by the resubmission using Review Manager version 5.4.1. </w:t>
      </w:r>
    </w:p>
    <w:p w14:paraId="48C054CB" w14:textId="52DECDFB" w:rsidR="006B3342" w:rsidRPr="000B52C6" w:rsidRDefault="006B3342" w:rsidP="006B3342">
      <w:pPr>
        <w:pStyle w:val="3-BodyText"/>
        <w:ind w:left="720" w:hanging="720"/>
      </w:pPr>
      <w:r w:rsidRPr="000B52C6">
        <w:t xml:space="preserve">Results of safety ITCs with respect to individual Grade ≥ 3 TEAEs for </w:t>
      </w:r>
      <w:proofErr w:type="spellStart"/>
      <w:r w:rsidRPr="000B52C6">
        <w:t>SBd</w:t>
      </w:r>
      <w:proofErr w:type="spellEnd"/>
      <w:r w:rsidRPr="000B52C6">
        <w:t xml:space="preserve"> vs Cd showed statistically significant differences in favour of </w:t>
      </w:r>
      <w:proofErr w:type="spellStart"/>
      <w:r w:rsidRPr="000B52C6">
        <w:t>SBd</w:t>
      </w:r>
      <w:proofErr w:type="spellEnd"/>
      <w:r w:rsidRPr="000B52C6">
        <w:t xml:space="preserve"> with respect to hypertension (OR= 0.27 (95% CI: 0.08, 0.93) and dyspnoea (OR= 0.07 (95% CI: 0.01, 0.74). Conversely, statistically significant differences in favour of Cd were observed for fatigue (OR= 17.46 (95% CI: 3.76, 81.12), diarrhoea (OR= 29.58 (95% CI: 3.52, 248.49) and thrombocytopaenia (OR= 3.80 (95% CI: 2.09, 6.9) (see </w:t>
      </w:r>
      <w:r w:rsidRPr="000B52C6">
        <w:fldChar w:fldCharType="begin"/>
      </w:r>
      <w:r w:rsidRPr="000B52C6">
        <w:instrText xml:space="preserve"> REF _Ref90370213 \h  \* MERGEFORMAT </w:instrText>
      </w:r>
      <w:r w:rsidRPr="000B52C6">
        <w:fldChar w:fldCharType="separate"/>
      </w:r>
      <w:r w:rsidR="00FF5725" w:rsidRPr="00FF5725">
        <w:t>Table 17</w:t>
      </w:r>
      <w:r w:rsidRPr="000B52C6">
        <w:fldChar w:fldCharType="end"/>
      </w:r>
      <w:r w:rsidRPr="000B52C6">
        <w:t xml:space="preserve">). </w:t>
      </w:r>
    </w:p>
    <w:p w14:paraId="1581B9B4" w14:textId="7AD709D6" w:rsidR="006B3342" w:rsidRPr="000B52C6" w:rsidRDefault="006B3342" w:rsidP="006B3342">
      <w:pPr>
        <w:pStyle w:val="3-BodyText"/>
        <w:ind w:left="720" w:hanging="720"/>
        <w:rPr>
          <w:color w:val="0066FF"/>
        </w:rPr>
      </w:pPr>
      <w:r w:rsidRPr="000B52C6">
        <w:rPr>
          <w:iCs/>
        </w:rPr>
        <w:t xml:space="preserve">These results should be interpreted with caution given the indirect nature of the evidence and the underlying transitivity issues between the studies. The resubmission did not present safety analyses for TEAEs of Grade 3 or higher based on an adjusted ITC or STC. The PBAC previously noted that </w:t>
      </w:r>
      <w:proofErr w:type="spellStart"/>
      <w:r w:rsidRPr="000B52C6">
        <w:rPr>
          <w:iCs/>
        </w:rPr>
        <w:t>SBd</w:t>
      </w:r>
      <w:proofErr w:type="spellEnd"/>
      <w:r w:rsidRPr="000B52C6">
        <w:rPr>
          <w:iCs/>
        </w:rPr>
        <w:t xml:space="preserve"> was associated with higher rates of haematological events compared to Cd; whereas Cd was associated with higher rates of cardiac </w:t>
      </w:r>
      <w:proofErr w:type="gramStart"/>
      <w:r w:rsidRPr="000B52C6">
        <w:rPr>
          <w:iCs/>
        </w:rPr>
        <w:t>failure, and</w:t>
      </w:r>
      <w:proofErr w:type="gramEnd"/>
      <w:r w:rsidRPr="000B52C6">
        <w:rPr>
          <w:iCs/>
        </w:rPr>
        <w:t xml:space="preserve"> considered that the comparison was difficult to interpret due to the transitivity issues between the trials </w:t>
      </w:r>
      <w:r w:rsidR="00365C52" w:rsidRPr="000B52C6">
        <w:rPr>
          <w:iCs/>
        </w:rPr>
        <w:t xml:space="preserve">and the absence of data presented for the Bd common reference arms </w:t>
      </w:r>
      <w:r w:rsidRPr="000B52C6">
        <w:rPr>
          <w:iCs/>
        </w:rPr>
        <w:t xml:space="preserve">(para. 7.10, </w:t>
      </w:r>
      <w:proofErr w:type="spellStart"/>
      <w:r w:rsidRPr="000B52C6">
        <w:rPr>
          <w:iCs/>
        </w:rPr>
        <w:t>selinexor</w:t>
      </w:r>
      <w:proofErr w:type="spellEnd"/>
      <w:r w:rsidRPr="000B52C6">
        <w:rPr>
          <w:iCs/>
        </w:rPr>
        <w:t xml:space="preserve">, PBAC </w:t>
      </w:r>
      <w:r w:rsidR="00251F38">
        <w:rPr>
          <w:iCs/>
        </w:rPr>
        <w:t>PSD</w:t>
      </w:r>
      <w:r w:rsidRPr="000B52C6">
        <w:rPr>
          <w:iCs/>
        </w:rPr>
        <w:t>, July 2021 PBAC meeting)</w:t>
      </w:r>
      <w:r w:rsidR="006C46FA" w:rsidRPr="000B52C6">
        <w:rPr>
          <w:iCs/>
        </w:rPr>
        <w:t xml:space="preserve"> (see </w:t>
      </w:r>
      <w:r w:rsidR="006C46FA" w:rsidRPr="000B52C6">
        <w:rPr>
          <w:iCs/>
        </w:rPr>
        <w:fldChar w:fldCharType="begin"/>
      </w:r>
      <w:r w:rsidR="006C46FA" w:rsidRPr="000B52C6">
        <w:rPr>
          <w:iCs/>
        </w:rPr>
        <w:instrText xml:space="preserve"> REF _Ref90370132 \h  \* MERGEFORMAT </w:instrText>
      </w:r>
      <w:r w:rsidR="006C46FA" w:rsidRPr="000B52C6">
        <w:rPr>
          <w:iCs/>
        </w:rPr>
      </w:r>
      <w:r w:rsidR="006C46FA" w:rsidRPr="000B52C6">
        <w:rPr>
          <w:iCs/>
        </w:rPr>
        <w:fldChar w:fldCharType="separate"/>
      </w:r>
      <w:r w:rsidR="00FF5725" w:rsidRPr="00FF5725">
        <w:rPr>
          <w:iCs/>
        </w:rPr>
        <w:t>Table 13</w:t>
      </w:r>
      <w:r w:rsidR="006C46FA" w:rsidRPr="000B52C6">
        <w:rPr>
          <w:iCs/>
        </w:rPr>
        <w:fldChar w:fldCharType="end"/>
      </w:r>
      <w:r w:rsidR="006C46FA" w:rsidRPr="000B52C6">
        <w:rPr>
          <w:iCs/>
        </w:rPr>
        <w:t xml:space="preserve"> and </w:t>
      </w:r>
      <w:r w:rsidR="006C46FA" w:rsidRPr="000B52C6">
        <w:rPr>
          <w:iCs/>
        </w:rPr>
        <w:fldChar w:fldCharType="begin"/>
      </w:r>
      <w:r w:rsidR="006C46FA" w:rsidRPr="000B52C6">
        <w:rPr>
          <w:iCs/>
        </w:rPr>
        <w:instrText xml:space="preserve"> REF _Ref90370181 \h  \* MERGEFORMAT </w:instrText>
      </w:r>
      <w:r w:rsidR="006C46FA" w:rsidRPr="000B52C6">
        <w:rPr>
          <w:iCs/>
        </w:rPr>
      </w:r>
      <w:r w:rsidR="006C46FA" w:rsidRPr="000B52C6">
        <w:rPr>
          <w:iCs/>
        </w:rPr>
        <w:fldChar w:fldCharType="separate"/>
      </w:r>
      <w:r w:rsidR="00FF5725" w:rsidRPr="00FF5725">
        <w:rPr>
          <w:iCs/>
        </w:rPr>
        <w:t>Table 15</w:t>
      </w:r>
      <w:r w:rsidR="006C46FA" w:rsidRPr="000B52C6">
        <w:rPr>
          <w:iCs/>
        </w:rPr>
        <w:fldChar w:fldCharType="end"/>
      </w:r>
      <w:r w:rsidR="006C46FA" w:rsidRPr="000B52C6">
        <w:rPr>
          <w:iCs/>
        </w:rPr>
        <w:t>)</w:t>
      </w:r>
      <w:r w:rsidRPr="000B52C6">
        <w:rPr>
          <w:iCs/>
        </w:rPr>
        <w:t>.</w:t>
      </w:r>
    </w:p>
    <w:p w14:paraId="35BC8297" w14:textId="6887C25E" w:rsidR="005A06DC" w:rsidRPr="000B52C6" w:rsidRDefault="005A06DC" w:rsidP="005A06DC">
      <w:pPr>
        <w:pStyle w:val="3-BodyText"/>
        <w:ind w:left="720" w:hanging="720"/>
        <w:rPr>
          <w:rFonts w:eastAsia="Calibri"/>
        </w:rPr>
      </w:pPr>
      <w:r w:rsidRPr="000B52C6">
        <w:rPr>
          <w:rFonts w:eastAsia="Calibri"/>
        </w:rPr>
        <w:t>The PSCR stated that w</w:t>
      </w:r>
      <w:r w:rsidRPr="000B52C6">
        <w:t xml:space="preserve">hilst the safety analyses were not adjusted for differences in baseline characteristics, the results were intuitive and broadly consistent with the known safety profile of </w:t>
      </w:r>
      <w:proofErr w:type="spellStart"/>
      <w:r w:rsidRPr="000B52C6">
        <w:t>SBd</w:t>
      </w:r>
      <w:proofErr w:type="spellEnd"/>
      <w:r w:rsidRPr="000B52C6">
        <w:t xml:space="preserve"> and Cd. The resubmission sought to </w:t>
      </w:r>
      <w:r w:rsidRPr="000B52C6">
        <w:rPr>
          <w:rFonts w:eastAsia="Calibri"/>
        </w:rPr>
        <w:t xml:space="preserve">address any remaining uncertainty in the analyses of safety, by including the cost of the AEs that were more prevalent with </w:t>
      </w:r>
      <w:proofErr w:type="spellStart"/>
      <w:r w:rsidRPr="000B52C6">
        <w:rPr>
          <w:rFonts w:eastAsia="Calibri"/>
        </w:rPr>
        <w:t>SBd</w:t>
      </w:r>
      <w:proofErr w:type="spellEnd"/>
      <w:r w:rsidRPr="000B52C6">
        <w:rPr>
          <w:rFonts w:eastAsia="Calibri"/>
        </w:rPr>
        <w:t xml:space="preserve"> in the CMA, but not including those more prevalent with Cd.</w:t>
      </w:r>
    </w:p>
    <w:p w14:paraId="4E25230A" w14:textId="77777777" w:rsidR="005A06DC" w:rsidRPr="000B52C6" w:rsidRDefault="005A06DC" w:rsidP="00FD5141"/>
    <w:p w14:paraId="2CBDEC95" w14:textId="47CA9E04" w:rsidR="006B3342" w:rsidRPr="000B52C6" w:rsidRDefault="006B3342" w:rsidP="006B3342">
      <w:pPr>
        <w:pStyle w:val="TableFigureHeading"/>
        <w:rPr>
          <w:rStyle w:val="CommentReference"/>
          <w:b/>
          <w:bCs w:val="0"/>
          <w:szCs w:val="24"/>
        </w:rPr>
      </w:pPr>
      <w:bookmarkStart w:id="40" w:name="_Ref90370213"/>
      <w:r w:rsidRPr="000B52C6">
        <w:rPr>
          <w:rStyle w:val="CommentReference"/>
          <w:b/>
          <w:bCs w:val="0"/>
          <w:szCs w:val="24"/>
        </w:rPr>
        <w:t xml:space="preserve">Table </w:t>
      </w:r>
      <w:r w:rsidRPr="000B52C6">
        <w:rPr>
          <w:rStyle w:val="CommentReference"/>
          <w:b/>
          <w:bCs w:val="0"/>
          <w:szCs w:val="24"/>
        </w:rPr>
        <w:fldChar w:fldCharType="begin"/>
      </w:r>
      <w:r w:rsidRPr="000B52C6">
        <w:rPr>
          <w:rStyle w:val="CommentReference"/>
          <w:b/>
          <w:bCs w:val="0"/>
          <w:szCs w:val="24"/>
        </w:rPr>
        <w:instrText xml:space="preserve"> SEQ Table \* ARABIC </w:instrText>
      </w:r>
      <w:r w:rsidRPr="000B52C6">
        <w:rPr>
          <w:rStyle w:val="CommentReference"/>
          <w:b/>
          <w:bCs w:val="0"/>
          <w:szCs w:val="24"/>
        </w:rPr>
        <w:fldChar w:fldCharType="separate"/>
      </w:r>
      <w:r w:rsidR="00FF5725">
        <w:rPr>
          <w:rStyle w:val="CommentReference"/>
          <w:b/>
          <w:bCs w:val="0"/>
          <w:noProof/>
          <w:szCs w:val="24"/>
        </w:rPr>
        <w:t>17</w:t>
      </w:r>
      <w:r w:rsidRPr="000B52C6">
        <w:rPr>
          <w:rStyle w:val="CommentReference"/>
          <w:b/>
          <w:bCs w:val="0"/>
          <w:szCs w:val="24"/>
        </w:rPr>
        <w:fldChar w:fldCharType="end"/>
      </w:r>
      <w:bookmarkEnd w:id="40"/>
      <w:r w:rsidRPr="000B52C6">
        <w:rPr>
          <w:rStyle w:val="CommentReference"/>
          <w:b/>
          <w:bCs w:val="0"/>
          <w:szCs w:val="24"/>
        </w:rPr>
        <w:t>: Results of indirect comparison for TEAE of Grade 3 or higher (</w:t>
      </w:r>
      <w:proofErr w:type="spellStart"/>
      <w:r w:rsidRPr="000B52C6">
        <w:rPr>
          <w:rStyle w:val="CommentReference"/>
          <w:b/>
          <w:bCs w:val="0"/>
          <w:szCs w:val="24"/>
        </w:rPr>
        <w:t>SBd</w:t>
      </w:r>
      <w:proofErr w:type="spellEnd"/>
      <w:r w:rsidRPr="000B52C6">
        <w:rPr>
          <w:rStyle w:val="CommentReference"/>
          <w:b/>
          <w:bCs w:val="0"/>
          <w:szCs w:val="24"/>
        </w:rPr>
        <w:t xml:space="preserve"> versus Cd)</w:t>
      </w:r>
    </w:p>
    <w:tbl>
      <w:tblPr>
        <w:tblStyle w:val="THEMA"/>
        <w:tblW w:w="5028" w:type="pct"/>
        <w:tblLayout w:type="fixed"/>
        <w:tblLook w:val="04A0" w:firstRow="1" w:lastRow="0" w:firstColumn="1" w:lastColumn="0" w:noHBand="0" w:noVBand="1"/>
      </w:tblPr>
      <w:tblGrid>
        <w:gridCol w:w="1697"/>
        <w:gridCol w:w="1275"/>
        <w:gridCol w:w="1133"/>
        <w:gridCol w:w="1133"/>
        <w:gridCol w:w="1277"/>
        <w:gridCol w:w="1277"/>
        <w:gridCol w:w="1275"/>
      </w:tblGrid>
      <w:tr w:rsidR="006B3342" w:rsidRPr="000B52C6" w14:paraId="6585A266" w14:textId="77777777" w:rsidTr="005640E7">
        <w:trPr>
          <w:cnfStyle w:val="100000000000" w:firstRow="1" w:lastRow="0" w:firstColumn="0" w:lastColumn="0" w:oddVBand="0" w:evenVBand="0" w:oddHBand="0" w:evenHBand="0" w:firstRowFirstColumn="0" w:firstRowLastColumn="0" w:lastRowFirstColumn="0" w:lastRowLastColumn="0"/>
          <w:trHeight w:val="525"/>
        </w:trPr>
        <w:tc>
          <w:tcPr>
            <w:tcW w:w="936" w:type="pct"/>
            <w:vMerge w:val="restart"/>
            <w:shd w:val="clear" w:color="auto" w:fill="auto"/>
            <w:tcMar>
              <w:left w:w="28" w:type="dxa"/>
              <w:right w:w="28" w:type="dxa"/>
            </w:tcMar>
          </w:tcPr>
          <w:p w14:paraId="0D29E0D5" w14:textId="77777777" w:rsidR="006B3342" w:rsidRPr="000B52C6" w:rsidRDefault="006B3342" w:rsidP="00513E25">
            <w:pPr>
              <w:pStyle w:val="TableText0"/>
              <w:rPr>
                <w:lang w:val="en-AU" w:eastAsia="en-AU" w:bidi="ar-SA"/>
              </w:rPr>
            </w:pPr>
            <w:r w:rsidRPr="000B52C6">
              <w:rPr>
                <w:lang w:val="en-AU" w:eastAsia="en-AU" w:bidi="ar-SA"/>
              </w:rPr>
              <w:t>Adverse event</w:t>
            </w:r>
          </w:p>
        </w:tc>
        <w:tc>
          <w:tcPr>
            <w:tcW w:w="1328" w:type="pct"/>
            <w:gridSpan w:val="2"/>
            <w:shd w:val="clear" w:color="auto" w:fill="auto"/>
            <w:tcMar>
              <w:left w:w="28" w:type="dxa"/>
              <w:right w:w="28" w:type="dxa"/>
            </w:tcMar>
            <w:vAlign w:val="center"/>
          </w:tcPr>
          <w:p w14:paraId="1AA2F08C" w14:textId="77777777" w:rsidR="006B3342" w:rsidRPr="000B52C6" w:rsidRDefault="006B3342" w:rsidP="00513E25">
            <w:pPr>
              <w:pStyle w:val="TableText0"/>
              <w:jc w:val="center"/>
              <w:rPr>
                <w:b w:val="0"/>
                <w:lang w:val="en-AU" w:eastAsia="en-AU" w:bidi="ar-SA"/>
              </w:rPr>
            </w:pPr>
            <w:r w:rsidRPr="000B52C6">
              <w:rPr>
                <w:lang w:val="en-AU" w:eastAsia="en-AU" w:bidi="ar-SA"/>
              </w:rPr>
              <w:t>BOSTON</w:t>
            </w:r>
          </w:p>
          <w:p w14:paraId="77F2E1EE" w14:textId="77777777" w:rsidR="006B3342" w:rsidRPr="000B52C6" w:rsidRDefault="006B3342" w:rsidP="00513E25">
            <w:pPr>
              <w:pStyle w:val="TableText0"/>
              <w:jc w:val="center"/>
              <w:rPr>
                <w:lang w:val="en-AU" w:eastAsia="en-AU" w:bidi="ar-SA"/>
              </w:rPr>
            </w:pPr>
            <w:r w:rsidRPr="000B52C6">
              <w:rPr>
                <w:lang w:val="en-AU" w:eastAsia="en-AU" w:bidi="ar-SA"/>
              </w:rPr>
              <w:t>(</w:t>
            </w:r>
            <w:proofErr w:type="spellStart"/>
            <w:r w:rsidRPr="000B52C6">
              <w:rPr>
                <w:lang w:val="en-AU" w:eastAsia="en-AU" w:bidi="ar-SA"/>
              </w:rPr>
              <w:t>SBd</w:t>
            </w:r>
            <w:proofErr w:type="spellEnd"/>
            <w:r w:rsidRPr="000B52C6">
              <w:rPr>
                <w:lang w:val="en-AU" w:eastAsia="en-AU" w:bidi="ar-SA"/>
              </w:rPr>
              <w:t xml:space="preserve"> versus Bd)</w:t>
            </w:r>
          </w:p>
        </w:tc>
        <w:tc>
          <w:tcPr>
            <w:tcW w:w="1329" w:type="pct"/>
            <w:gridSpan w:val="2"/>
            <w:shd w:val="clear" w:color="auto" w:fill="auto"/>
            <w:tcMar>
              <w:left w:w="28" w:type="dxa"/>
              <w:right w:w="28" w:type="dxa"/>
            </w:tcMar>
            <w:vAlign w:val="center"/>
          </w:tcPr>
          <w:p w14:paraId="3BD254B5" w14:textId="77777777" w:rsidR="006B3342" w:rsidRPr="000B52C6" w:rsidRDefault="006B3342" w:rsidP="00513E25">
            <w:pPr>
              <w:pStyle w:val="TableText0"/>
              <w:jc w:val="center"/>
              <w:rPr>
                <w:b w:val="0"/>
                <w:lang w:val="en-AU" w:eastAsia="en-AU" w:bidi="ar-SA"/>
              </w:rPr>
            </w:pPr>
            <w:r w:rsidRPr="000B52C6">
              <w:rPr>
                <w:lang w:val="en-AU" w:eastAsia="en-AU" w:bidi="ar-SA"/>
              </w:rPr>
              <w:t>ENDEAVOR</w:t>
            </w:r>
          </w:p>
          <w:p w14:paraId="0F08774D" w14:textId="77777777" w:rsidR="006B3342" w:rsidRPr="000B52C6" w:rsidRDefault="006B3342" w:rsidP="00513E25">
            <w:pPr>
              <w:pStyle w:val="TableText0"/>
              <w:jc w:val="center"/>
              <w:rPr>
                <w:lang w:val="en-AU" w:eastAsia="en-AU" w:bidi="ar-SA"/>
              </w:rPr>
            </w:pPr>
            <w:r w:rsidRPr="000B52C6">
              <w:rPr>
                <w:lang w:val="en-AU" w:eastAsia="en-AU" w:bidi="ar-SA"/>
              </w:rPr>
              <w:t>(Cd versus Bd)</w:t>
            </w:r>
          </w:p>
        </w:tc>
        <w:tc>
          <w:tcPr>
            <w:tcW w:w="1407" w:type="pct"/>
            <w:gridSpan w:val="2"/>
            <w:shd w:val="clear" w:color="auto" w:fill="auto"/>
            <w:tcMar>
              <w:left w:w="28" w:type="dxa"/>
              <w:right w:w="28" w:type="dxa"/>
            </w:tcMar>
            <w:vAlign w:val="center"/>
          </w:tcPr>
          <w:p w14:paraId="52D58CC1" w14:textId="77777777" w:rsidR="006B3342" w:rsidRPr="000B52C6" w:rsidRDefault="006B3342" w:rsidP="00513E25">
            <w:pPr>
              <w:pStyle w:val="TableText0"/>
              <w:jc w:val="center"/>
              <w:rPr>
                <w:lang w:val="en-AU" w:eastAsia="en-AU" w:bidi="ar-SA"/>
              </w:rPr>
            </w:pPr>
            <w:r w:rsidRPr="000B52C6">
              <w:rPr>
                <w:lang w:val="en-AU" w:eastAsia="en-AU" w:bidi="ar-SA"/>
              </w:rPr>
              <w:t>Indirect estimate of effect</w:t>
            </w:r>
          </w:p>
        </w:tc>
      </w:tr>
      <w:tr w:rsidR="006B3342" w:rsidRPr="000B52C6" w14:paraId="11DC65D1" w14:textId="77777777" w:rsidTr="005640E7">
        <w:trPr>
          <w:trHeight w:val="525"/>
        </w:trPr>
        <w:tc>
          <w:tcPr>
            <w:tcW w:w="936" w:type="pct"/>
            <w:vMerge/>
            <w:shd w:val="clear" w:color="auto" w:fill="auto"/>
            <w:tcMar>
              <w:left w:w="28" w:type="dxa"/>
              <w:right w:w="28" w:type="dxa"/>
            </w:tcMar>
            <w:hideMark/>
          </w:tcPr>
          <w:p w14:paraId="52B41E89" w14:textId="77777777" w:rsidR="006B3342" w:rsidRPr="000B52C6" w:rsidRDefault="006B3342" w:rsidP="00513E25">
            <w:pPr>
              <w:pStyle w:val="TableText0"/>
              <w:rPr>
                <w:lang w:val="en-AU" w:eastAsia="en-AU" w:bidi="ar-SA"/>
              </w:rPr>
            </w:pPr>
          </w:p>
        </w:tc>
        <w:tc>
          <w:tcPr>
            <w:tcW w:w="703" w:type="pct"/>
            <w:shd w:val="clear" w:color="auto" w:fill="auto"/>
            <w:tcMar>
              <w:left w:w="28" w:type="dxa"/>
              <w:right w:w="28" w:type="dxa"/>
            </w:tcMar>
            <w:vAlign w:val="center"/>
          </w:tcPr>
          <w:p w14:paraId="630454CB"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OR </w:t>
            </w:r>
          </w:p>
          <w:p w14:paraId="3835E695"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(95% </w:t>
            </w:r>
            <w:proofErr w:type="gramStart"/>
            <w:r w:rsidRPr="000B52C6">
              <w:rPr>
                <w:b/>
                <w:bCs w:val="0"/>
                <w:lang w:val="en-AU" w:eastAsia="en-AU" w:bidi="ar-SA"/>
              </w:rPr>
              <w:t>CI)</w:t>
            </w:r>
            <w:r w:rsidRPr="000B52C6">
              <w:rPr>
                <w:b/>
                <w:bCs w:val="0"/>
                <w:vertAlign w:val="superscript"/>
                <w:lang w:val="en-AU" w:eastAsia="en-AU" w:bidi="ar-SA"/>
              </w:rPr>
              <w:t>a</w:t>
            </w:r>
            <w:proofErr w:type="gramEnd"/>
          </w:p>
        </w:tc>
        <w:tc>
          <w:tcPr>
            <w:tcW w:w="625" w:type="pct"/>
            <w:shd w:val="clear" w:color="auto" w:fill="auto"/>
            <w:tcMar>
              <w:left w:w="28" w:type="dxa"/>
              <w:right w:w="28" w:type="dxa"/>
            </w:tcMar>
            <w:vAlign w:val="center"/>
          </w:tcPr>
          <w:p w14:paraId="06DBBF1E"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RD </w:t>
            </w:r>
          </w:p>
          <w:p w14:paraId="373FA556"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(95% </w:t>
            </w:r>
            <w:proofErr w:type="gramStart"/>
            <w:r w:rsidRPr="000B52C6">
              <w:rPr>
                <w:b/>
                <w:bCs w:val="0"/>
                <w:lang w:val="en-AU" w:eastAsia="en-AU" w:bidi="ar-SA"/>
              </w:rPr>
              <w:t>CI)</w:t>
            </w:r>
            <w:r w:rsidRPr="000B52C6">
              <w:rPr>
                <w:b/>
                <w:bCs w:val="0"/>
                <w:vertAlign w:val="superscript"/>
                <w:lang w:val="en-AU" w:eastAsia="en-AU" w:bidi="ar-SA"/>
              </w:rPr>
              <w:t>a</w:t>
            </w:r>
            <w:proofErr w:type="gramEnd"/>
          </w:p>
        </w:tc>
        <w:tc>
          <w:tcPr>
            <w:tcW w:w="625" w:type="pct"/>
            <w:shd w:val="clear" w:color="auto" w:fill="auto"/>
            <w:tcMar>
              <w:left w:w="28" w:type="dxa"/>
              <w:right w:w="28" w:type="dxa"/>
            </w:tcMar>
            <w:vAlign w:val="center"/>
          </w:tcPr>
          <w:p w14:paraId="1FB69A01"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OR</w:t>
            </w:r>
          </w:p>
          <w:p w14:paraId="3B3ECFF6"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(95% </w:t>
            </w:r>
            <w:proofErr w:type="gramStart"/>
            <w:r w:rsidRPr="000B52C6">
              <w:rPr>
                <w:b/>
                <w:bCs w:val="0"/>
                <w:lang w:val="en-AU" w:eastAsia="en-AU" w:bidi="ar-SA"/>
              </w:rPr>
              <w:t>CI)</w:t>
            </w:r>
            <w:r w:rsidRPr="000B52C6">
              <w:rPr>
                <w:b/>
                <w:bCs w:val="0"/>
                <w:vertAlign w:val="superscript"/>
                <w:lang w:val="en-AU" w:eastAsia="en-AU" w:bidi="ar-SA"/>
              </w:rPr>
              <w:t>a</w:t>
            </w:r>
            <w:proofErr w:type="gramEnd"/>
          </w:p>
        </w:tc>
        <w:tc>
          <w:tcPr>
            <w:tcW w:w="704" w:type="pct"/>
            <w:shd w:val="clear" w:color="auto" w:fill="auto"/>
            <w:tcMar>
              <w:left w:w="28" w:type="dxa"/>
              <w:right w:w="28" w:type="dxa"/>
            </w:tcMar>
            <w:vAlign w:val="center"/>
          </w:tcPr>
          <w:p w14:paraId="73BCE1A9"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RD</w:t>
            </w:r>
          </w:p>
          <w:p w14:paraId="302A13AC"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(95% </w:t>
            </w:r>
            <w:proofErr w:type="gramStart"/>
            <w:r w:rsidRPr="000B52C6">
              <w:rPr>
                <w:b/>
                <w:bCs w:val="0"/>
                <w:lang w:val="en-AU" w:eastAsia="en-AU" w:bidi="ar-SA"/>
              </w:rPr>
              <w:t>CI)</w:t>
            </w:r>
            <w:r w:rsidRPr="000B52C6">
              <w:rPr>
                <w:b/>
                <w:bCs w:val="0"/>
                <w:vertAlign w:val="superscript"/>
                <w:lang w:val="en-AU" w:eastAsia="en-AU" w:bidi="ar-SA"/>
              </w:rPr>
              <w:t>a</w:t>
            </w:r>
            <w:proofErr w:type="gramEnd"/>
          </w:p>
        </w:tc>
        <w:tc>
          <w:tcPr>
            <w:tcW w:w="704" w:type="pct"/>
            <w:shd w:val="clear" w:color="auto" w:fill="auto"/>
            <w:tcMar>
              <w:left w:w="28" w:type="dxa"/>
              <w:right w:w="28" w:type="dxa"/>
            </w:tcMar>
            <w:vAlign w:val="center"/>
          </w:tcPr>
          <w:p w14:paraId="594169F3"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OR </w:t>
            </w:r>
          </w:p>
          <w:p w14:paraId="3D8A7F85"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(95% CI)</w:t>
            </w:r>
          </w:p>
        </w:tc>
        <w:tc>
          <w:tcPr>
            <w:tcW w:w="703" w:type="pct"/>
            <w:shd w:val="clear" w:color="auto" w:fill="auto"/>
            <w:tcMar>
              <w:left w:w="28" w:type="dxa"/>
              <w:right w:w="28" w:type="dxa"/>
            </w:tcMar>
            <w:vAlign w:val="center"/>
          </w:tcPr>
          <w:p w14:paraId="054AEEE8"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RD </w:t>
            </w:r>
          </w:p>
          <w:p w14:paraId="26BBE8BD"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(95% CI)</w:t>
            </w:r>
          </w:p>
        </w:tc>
      </w:tr>
      <w:tr w:rsidR="006B3342" w:rsidRPr="000B52C6" w14:paraId="3E39DB4A" w14:textId="77777777" w:rsidTr="005640E7">
        <w:trPr>
          <w:trHeight w:val="70"/>
        </w:trPr>
        <w:tc>
          <w:tcPr>
            <w:tcW w:w="936" w:type="pct"/>
            <w:shd w:val="clear" w:color="auto" w:fill="auto"/>
            <w:noWrap/>
            <w:tcMar>
              <w:left w:w="28" w:type="dxa"/>
              <w:right w:w="28" w:type="dxa"/>
            </w:tcMar>
            <w:hideMark/>
          </w:tcPr>
          <w:p w14:paraId="4F3ABD85" w14:textId="77777777" w:rsidR="006B3342" w:rsidRPr="000B52C6" w:rsidRDefault="006B3342" w:rsidP="00513E25">
            <w:pPr>
              <w:pStyle w:val="TableText0"/>
              <w:rPr>
                <w:lang w:val="en-AU" w:eastAsia="en-AU" w:bidi="ar-SA"/>
              </w:rPr>
            </w:pPr>
            <w:r w:rsidRPr="000B52C6">
              <w:rPr>
                <w:lang w:val="en-AU" w:eastAsia="en-AU" w:bidi="ar-SA"/>
              </w:rPr>
              <w:t xml:space="preserve">Anaemia </w:t>
            </w:r>
          </w:p>
        </w:tc>
        <w:tc>
          <w:tcPr>
            <w:tcW w:w="703" w:type="pct"/>
            <w:shd w:val="clear" w:color="auto" w:fill="auto"/>
            <w:tcMar>
              <w:left w:w="28" w:type="dxa"/>
              <w:right w:w="28" w:type="dxa"/>
            </w:tcMar>
            <w:vAlign w:val="center"/>
          </w:tcPr>
          <w:p w14:paraId="1B8572CE" w14:textId="77777777" w:rsidR="006B3342" w:rsidRPr="000B52C6" w:rsidRDefault="006B3342" w:rsidP="00513E25">
            <w:pPr>
              <w:pStyle w:val="TableText0"/>
              <w:jc w:val="center"/>
              <w:rPr>
                <w:lang w:val="en-AU" w:eastAsia="en-AU" w:bidi="ar-SA"/>
              </w:rPr>
            </w:pPr>
            <w:r w:rsidRPr="000B52C6">
              <w:rPr>
                <w:lang w:val="en-AU" w:eastAsia="en-AU" w:bidi="ar-SA"/>
              </w:rPr>
              <w:t xml:space="preserve">1.65 </w:t>
            </w:r>
          </w:p>
          <w:p w14:paraId="69921A5B" w14:textId="77777777" w:rsidR="006B3342" w:rsidRPr="000B52C6" w:rsidRDefault="006B3342" w:rsidP="00513E25">
            <w:pPr>
              <w:pStyle w:val="TableText0"/>
              <w:jc w:val="center"/>
              <w:rPr>
                <w:lang w:val="en-AU" w:eastAsia="en-AU" w:bidi="ar-SA"/>
              </w:rPr>
            </w:pPr>
            <w:r w:rsidRPr="000B52C6">
              <w:rPr>
                <w:lang w:val="en-AU" w:eastAsia="en-AU" w:bidi="ar-SA"/>
              </w:rPr>
              <w:t>(0.91, 2.98)</w:t>
            </w:r>
          </w:p>
        </w:tc>
        <w:tc>
          <w:tcPr>
            <w:tcW w:w="625" w:type="pct"/>
            <w:shd w:val="clear" w:color="auto" w:fill="auto"/>
            <w:tcMar>
              <w:left w:w="28" w:type="dxa"/>
              <w:right w:w="28" w:type="dxa"/>
            </w:tcMar>
            <w:vAlign w:val="center"/>
          </w:tcPr>
          <w:p w14:paraId="250A06E0" w14:textId="77777777" w:rsidR="006B3342" w:rsidRPr="000B52C6" w:rsidRDefault="006B3342" w:rsidP="00513E25">
            <w:pPr>
              <w:pStyle w:val="TableText0"/>
              <w:jc w:val="center"/>
              <w:rPr>
                <w:lang w:val="en-AU" w:eastAsia="en-AU" w:bidi="ar-SA"/>
              </w:rPr>
            </w:pPr>
            <w:r w:rsidRPr="000B52C6">
              <w:rPr>
                <w:lang w:val="en-AU" w:eastAsia="en-AU" w:bidi="ar-SA"/>
              </w:rPr>
              <w:t xml:space="preserve">0.06 </w:t>
            </w:r>
          </w:p>
          <w:p w14:paraId="0CB695D9" w14:textId="77777777" w:rsidR="006B3342" w:rsidRPr="000B52C6" w:rsidRDefault="006B3342" w:rsidP="00513E25">
            <w:pPr>
              <w:pStyle w:val="TableText0"/>
              <w:jc w:val="center"/>
              <w:rPr>
                <w:lang w:val="en-AU" w:eastAsia="en-AU" w:bidi="ar-SA"/>
              </w:rPr>
            </w:pPr>
            <w:r w:rsidRPr="000B52C6">
              <w:rPr>
                <w:lang w:val="en-AU" w:eastAsia="en-AU" w:bidi="ar-SA"/>
              </w:rPr>
              <w:t>(-0.01, 0.12)</w:t>
            </w:r>
          </w:p>
        </w:tc>
        <w:tc>
          <w:tcPr>
            <w:tcW w:w="625" w:type="pct"/>
            <w:shd w:val="clear" w:color="auto" w:fill="auto"/>
            <w:tcMar>
              <w:left w:w="28" w:type="dxa"/>
              <w:right w:w="28" w:type="dxa"/>
            </w:tcMar>
            <w:vAlign w:val="center"/>
          </w:tcPr>
          <w:p w14:paraId="539F4A79" w14:textId="77777777" w:rsidR="006B3342" w:rsidRPr="000B52C6" w:rsidRDefault="006B3342" w:rsidP="00513E25">
            <w:pPr>
              <w:pStyle w:val="TableText0"/>
              <w:jc w:val="center"/>
              <w:rPr>
                <w:lang w:val="en-AU" w:eastAsia="en-AU" w:bidi="ar-SA"/>
              </w:rPr>
            </w:pPr>
            <w:r w:rsidRPr="000B52C6">
              <w:rPr>
                <w:lang w:val="en-AU" w:eastAsia="en-AU" w:bidi="ar-SA"/>
              </w:rPr>
              <w:t xml:space="preserve">1.86 </w:t>
            </w:r>
          </w:p>
          <w:p w14:paraId="20F8D6FB" w14:textId="77777777" w:rsidR="006B3342" w:rsidRPr="000B52C6" w:rsidRDefault="006B3342" w:rsidP="00513E25">
            <w:pPr>
              <w:pStyle w:val="TableText0"/>
              <w:jc w:val="center"/>
              <w:rPr>
                <w:lang w:val="en-AU" w:eastAsia="en-AU" w:bidi="ar-SA"/>
              </w:rPr>
            </w:pPr>
            <w:r w:rsidRPr="000B52C6">
              <w:rPr>
                <w:lang w:val="en-AU" w:eastAsia="en-AU" w:bidi="ar-SA"/>
              </w:rPr>
              <w:t>(1.26, 2.75)</w:t>
            </w:r>
          </w:p>
        </w:tc>
        <w:tc>
          <w:tcPr>
            <w:tcW w:w="704" w:type="pct"/>
            <w:shd w:val="clear" w:color="auto" w:fill="auto"/>
            <w:tcMar>
              <w:left w:w="28" w:type="dxa"/>
              <w:right w:w="28" w:type="dxa"/>
            </w:tcMar>
            <w:vAlign w:val="center"/>
          </w:tcPr>
          <w:p w14:paraId="055C188E" w14:textId="77777777" w:rsidR="006B3342" w:rsidRPr="000B52C6" w:rsidRDefault="006B3342" w:rsidP="00513E25">
            <w:pPr>
              <w:pStyle w:val="TableText0"/>
              <w:jc w:val="center"/>
              <w:rPr>
                <w:lang w:val="en-AU" w:eastAsia="en-AU" w:bidi="ar-SA"/>
              </w:rPr>
            </w:pPr>
            <w:r w:rsidRPr="000B52C6">
              <w:rPr>
                <w:lang w:val="en-AU" w:eastAsia="en-AU" w:bidi="ar-SA"/>
              </w:rPr>
              <w:t xml:space="preserve">0.07 </w:t>
            </w:r>
          </w:p>
          <w:p w14:paraId="3926A9FF" w14:textId="77777777" w:rsidR="006B3342" w:rsidRPr="000B52C6" w:rsidRDefault="006B3342" w:rsidP="00513E25">
            <w:pPr>
              <w:pStyle w:val="TableText0"/>
              <w:jc w:val="center"/>
              <w:rPr>
                <w:lang w:val="en-AU" w:eastAsia="en-AU" w:bidi="ar-SA"/>
              </w:rPr>
            </w:pPr>
            <w:r w:rsidRPr="000B52C6">
              <w:rPr>
                <w:lang w:val="en-AU" w:eastAsia="en-AU" w:bidi="ar-SA"/>
              </w:rPr>
              <w:t>(0.03, 0.12)</w:t>
            </w:r>
          </w:p>
        </w:tc>
        <w:tc>
          <w:tcPr>
            <w:tcW w:w="704" w:type="pct"/>
            <w:shd w:val="clear" w:color="auto" w:fill="auto"/>
            <w:tcMar>
              <w:left w:w="28" w:type="dxa"/>
              <w:right w:w="28" w:type="dxa"/>
            </w:tcMar>
            <w:vAlign w:val="center"/>
          </w:tcPr>
          <w:p w14:paraId="1B546E23" w14:textId="77777777" w:rsidR="006B3342" w:rsidRPr="000B52C6" w:rsidRDefault="006B3342" w:rsidP="00513E25">
            <w:pPr>
              <w:pStyle w:val="TableText0"/>
              <w:jc w:val="center"/>
              <w:rPr>
                <w:lang w:val="en-AU" w:eastAsia="en-AU" w:bidi="ar-SA"/>
              </w:rPr>
            </w:pPr>
            <w:r w:rsidRPr="000B52C6">
              <w:rPr>
                <w:lang w:val="en-AU" w:eastAsia="en-AU" w:bidi="ar-SA"/>
              </w:rPr>
              <w:t xml:space="preserve">0.89 </w:t>
            </w:r>
          </w:p>
          <w:p w14:paraId="1111E7AB" w14:textId="77777777" w:rsidR="006B3342" w:rsidRPr="000B52C6" w:rsidRDefault="006B3342" w:rsidP="00513E25">
            <w:pPr>
              <w:pStyle w:val="TableText0"/>
              <w:jc w:val="center"/>
              <w:rPr>
                <w:lang w:val="en-AU" w:eastAsia="en-AU" w:bidi="ar-SA"/>
              </w:rPr>
            </w:pPr>
            <w:r w:rsidRPr="000B52C6">
              <w:rPr>
                <w:lang w:val="en-AU" w:eastAsia="en-AU" w:bidi="ar-SA"/>
              </w:rPr>
              <w:t>(0.44, 1.8)</w:t>
            </w:r>
          </w:p>
        </w:tc>
        <w:tc>
          <w:tcPr>
            <w:tcW w:w="703" w:type="pct"/>
            <w:shd w:val="clear" w:color="auto" w:fill="auto"/>
            <w:tcMar>
              <w:left w:w="28" w:type="dxa"/>
              <w:right w:w="28" w:type="dxa"/>
            </w:tcMar>
            <w:vAlign w:val="center"/>
          </w:tcPr>
          <w:p w14:paraId="76F15260" w14:textId="77777777" w:rsidR="006B3342" w:rsidRPr="000B52C6" w:rsidRDefault="006B3342" w:rsidP="00513E25">
            <w:pPr>
              <w:pStyle w:val="TableText0"/>
              <w:jc w:val="center"/>
              <w:rPr>
                <w:lang w:val="en-AU" w:eastAsia="en-AU" w:bidi="ar-SA"/>
              </w:rPr>
            </w:pPr>
            <w:r w:rsidRPr="000B52C6">
              <w:rPr>
                <w:lang w:val="en-AU" w:eastAsia="en-AU" w:bidi="ar-SA"/>
              </w:rPr>
              <w:t xml:space="preserve">-0.01 </w:t>
            </w:r>
          </w:p>
          <w:p w14:paraId="22F2231D" w14:textId="77777777" w:rsidR="006B3342" w:rsidRPr="000B52C6" w:rsidRDefault="006B3342" w:rsidP="00513E25">
            <w:pPr>
              <w:pStyle w:val="TableText0"/>
              <w:jc w:val="center"/>
              <w:rPr>
                <w:lang w:val="en-AU" w:eastAsia="en-AU" w:bidi="ar-SA"/>
              </w:rPr>
            </w:pPr>
            <w:r w:rsidRPr="000B52C6">
              <w:rPr>
                <w:lang w:val="en-AU" w:eastAsia="en-AU" w:bidi="ar-SA"/>
              </w:rPr>
              <w:t>(-0.09, 0.07)</w:t>
            </w:r>
          </w:p>
        </w:tc>
      </w:tr>
      <w:tr w:rsidR="006B3342" w:rsidRPr="000B52C6" w14:paraId="228132B4" w14:textId="77777777" w:rsidTr="005640E7">
        <w:trPr>
          <w:trHeight w:val="68"/>
        </w:trPr>
        <w:tc>
          <w:tcPr>
            <w:tcW w:w="936" w:type="pct"/>
            <w:shd w:val="clear" w:color="auto" w:fill="auto"/>
            <w:noWrap/>
            <w:tcMar>
              <w:left w:w="28" w:type="dxa"/>
              <w:right w:w="28" w:type="dxa"/>
            </w:tcMar>
            <w:hideMark/>
          </w:tcPr>
          <w:p w14:paraId="4C9E71DC" w14:textId="77777777" w:rsidR="006B3342" w:rsidRPr="000B52C6" w:rsidRDefault="006B3342" w:rsidP="00513E25">
            <w:pPr>
              <w:pStyle w:val="TableText0"/>
              <w:rPr>
                <w:lang w:val="en-AU" w:eastAsia="en-AU" w:bidi="ar-SA"/>
              </w:rPr>
            </w:pPr>
            <w:r w:rsidRPr="000B52C6">
              <w:rPr>
                <w:lang w:val="en-AU" w:eastAsia="en-AU" w:bidi="ar-SA"/>
              </w:rPr>
              <w:t>Diarrhoea</w:t>
            </w:r>
          </w:p>
        </w:tc>
        <w:tc>
          <w:tcPr>
            <w:tcW w:w="703" w:type="pct"/>
            <w:shd w:val="clear" w:color="auto" w:fill="auto"/>
            <w:tcMar>
              <w:left w:w="28" w:type="dxa"/>
              <w:right w:w="28" w:type="dxa"/>
            </w:tcMar>
            <w:vAlign w:val="center"/>
          </w:tcPr>
          <w:p w14:paraId="7582E5CD" w14:textId="77777777" w:rsidR="006B3342" w:rsidRPr="000B52C6" w:rsidRDefault="006B3342" w:rsidP="00513E25">
            <w:pPr>
              <w:pStyle w:val="TableText0"/>
              <w:jc w:val="center"/>
              <w:rPr>
                <w:lang w:val="en-AU" w:eastAsia="en-AU" w:bidi="ar-SA"/>
              </w:rPr>
            </w:pPr>
            <w:r w:rsidRPr="000B52C6">
              <w:rPr>
                <w:lang w:val="en-AU" w:eastAsia="en-AU" w:bidi="ar-SA"/>
              </w:rPr>
              <w:t xml:space="preserve">13.31 </w:t>
            </w:r>
          </w:p>
          <w:p w14:paraId="39B6E45B" w14:textId="77777777" w:rsidR="006B3342" w:rsidRPr="000B52C6" w:rsidRDefault="006B3342" w:rsidP="00513E25">
            <w:pPr>
              <w:pStyle w:val="TableText0"/>
              <w:jc w:val="center"/>
              <w:rPr>
                <w:lang w:val="en-AU" w:eastAsia="en-AU" w:bidi="ar-SA"/>
              </w:rPr>
            </w:pPr>
            <w:r w:rsidRPr="000B52C6">
              <w:rPr>
                <w:lang w:val="en-AU" w:eastAsia="en-AU" w:bidi="ar-SA"/>
              </w:rPr>
              <w:t>(1.71, 103.38)</w:t>
            </w:r>
          </w:p>
        </w:tc>
        <w:tc>
          <w:tcPr>
            <w:tcW w:w="625" w:type="pct"/>
            <w:shd w:val="clear" w:color="auto" w:fill="auto"/>
            <w:tcMar>
              <w:left w:w="28" w:type="dxa"/>
              <w:right w:w="28" w:type="dxa"/>
            </w:tcMar>
            <w:vAlign w:val="center"/>
          </w:tcPr>
          <w:p w14:paraId="38634CB4" w14:textId="77777777" w:rsidR="006B3342" w:rsidRPr="000B52C6" w:rsidRDefault="006B3342" w:rsidP="00513E25">
            <w:pPr>
              <w:pStyle w:val="TableText0"/>
              <w:jc w:val="center"/>
              <w:rPr>
                <w:lang w:val="en-AU" w:eastAsia="en-AU" w:bidi="ar-SA"/>
              </w:rPr>
            </w:pPr>
            <w:r w:rsidRPr="000B52C6">
              <w:rPr>
                <w:lang w:val="en-AU" w:eastAsia="en-AU" w:bidi="ar-SA"/>
              </w:rPr>
              <w:t xml:space="preserve">0.06 </w:t>
            </w:r>
          </w:p>
          <w:p w14:paraId="54826078" w14:textId="77777777" w:rsidR="006B3342" w:rsidRPr="000B52C6" w:rsidRDefault="006B3342" w:rsidP="00513E25">
            <w:pPr>
              <w:pStyle w:val="TableText0"/>
              <w:jc w:val="center"/>
              <w:rPr>
                <w:lang w:val="en-AU" w:eastAsia="en-AU" w:bidi="ar-SA"/>
              </w:rPr>
            </w:pPr>
            <w:r w:rsidRPr="000B52C6">
              <w:rPr>
                <w:lang w:val="en-AU" w:eastAsia="en-AU" w:bidi="ar-SA"/>
              </w:rPr>
              <w:t>(0.02, 0.09)</w:t>
            </w:r>
          </w:p>
        </w:tc>
        <w:tc>
          <w:tcPr>
            <w:tcW w:w="625" w:type="pct"/>
            <w:shd w:val="clear" w:color="auto" w:fill="auto"/>
            <w:tcMar>
              <w:left w:w="28" w:type="dxa"/>
              <w:right w:w="28" w:type="dxa"/>
            </w:tcMar>
            <w:vAlign w:val="center"/>
          </w:tcPr>
          <w:p w14:paraId="28BBB596" w14:textId="77777777" w:rsidR="006B3342" w:rsidRPr="000B52C6" w:rsidRDefault="006B3342" w:rsidP="00513E25">
            <w:pPr>
              <w:pStyle w:val="TableText0"/>
              <w:jc w:val="center"/>
              <w:rPr>
                <w:lang w:val="en-AU" w:eastAsia="en-AU" w:bidi="ar-SA"/>
              </w:rPr>
            </w:pPr>
            <w:r w:rsidRPr="000B52C6">
              <w:rPr>
                <w:lang w:val="en-AU" w:eastAsia="en-AU" w:bidi="ar-SA"/>
              </w:rPr>
              <w:t xml:space="preserve">0.45 </w:t>
            </w:r>
          </w:p>
          <w:p w14:paraId="4431F4BD" w14:textId="77777777" w:rsidR="006B3342" w:rsidRPr="000B52C6" w:rsidRDefault="006B3342" w:rsidP="00513E25">
            <w:pPr>
              <w:pStyle w:val="TableText0"/>
              <w:jc w:val="center"/>
              <w:rPr>
                <w:lang w:val="en-AU" w:eastAsia="en-AU" w:bidi="ar-SA"/>
              </w:rPr>
            </w:pPr>
            <w:r w:rsidRPr="000B52C6">
              <w:rPr>
                <w:lang w:val="en-AU" w:eastAsia="en-AU" w:bidi="ar-SA"/>
              </w:rPr>
              <w:t>(0.25, 0.78)</w:t>
            </w:r>
          </w:p>
        </w:tc>
        <w:tc>
          <w:tcPr>
            <w:tcW w:w="704" w:type="pct"/>
            <w:shd w:val="clear" w:color="auto" w:fill="auto"/>
            <w:tcMar>
              <w:left w:w="28" w:type="dxa"/>
              <w:right w:w="28" w:type="dxa"/>
            </w:tcMar>
            <w:vAlign w:val="center"/>
          </w:tcPr>
          <w:p w14:paraId="4B86C7CF" w14:textId="77777777" w:rsidR="006B3342" w:rsidRPr="000B52C6" w:rsidRDefault="006B3342" w:rsidP="00513E25">
            <w:pPr>
              <w:pStyle w:val="TableText0"/>
              <w:jc w:val="center"/>
              <w:rPr>
                <w:lang w:val="en-AU" w:eastAsia="en-AU" w:bidi="ar-SA"/>
              </w:rPr>
            </w:pPr>
            <w:r w:rsidRPr="000B52C6">
              <w:rPr>
                <w:lang w:val="en-AU" w:eastAsia="en-AU" w:bidi="ar-SA"/>
              </w:rPr>
              <w:t xml:space="preserve">-0.05 </w:t>
            </w:r>
          </w:p>
          <w:p w14:paraId="0CAC1F2D" w14:textId="77777777" w:rsidR="006B3342" w:rsidRPr="000B52C6" w:rsidRDefault="006B3342" w:rsidP="00513E25">
            <w:pPr>
              <w:pStyle w:val="TableText0"/>
              <w:jc w:val="center"/>
              <w:rPr>
                <w:lang w:val="en-AU" w:eastAsia="en-AU" w:bidi="ar-SA"/>
              </w:rPr>
            </w:pPr>
            <w:r w:rsidRPr="000B52C6">
              <w:rPr>
                <w:lang w:val="en-AU" w:eastAsia="en-AU" w:bidi="ar-SA"/>
              </w:rPr>
              <w:t>(-0.08, -0.02)</w:t>
            </w:r>
          </w:p>
        </w:tc>
        <w:tc>
          <w:tcPr>
            <w:tcW w:w="704" w:type="pct"/>
            <w:shd w:val="clear" w:color="auto" w:fill="auto"/>
            <w:tcMar>
              <w:left w:w="28" w:type="dxa"/>
              <w:right w:w="28" w:type="dxa"/>
            </w:tcMar>
            <w:vAlign w:val="center"/>
          </w:tcPr>
          <w:p w14:paraId="4234C60F"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29.58 </w:t>
            </w:r>
          </w:p>
          <w:p w14:paraId="7D9EF693"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(3.52, 248.49)</w:t>
            </w:r>
          </w:p>
        </w:tc>
        <w:tc>
          <w:tcPr>
            <w:tcW w:w="703" w:type="pct"/>
            <w:shd w:val="clear" w:color="auto" w:fill="auto"/>
            <w:tcMar>
              <w:left w:w="28" w:type="dxa"/>
              <w:right w:w="28" w:type="dxa"/>
            </w:tcMar>
            <w:vAlign w:val="center"/>
          </w:tcPr>
          <w:p w14:paraId="56667065"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0.11 </w:t>
            </w:r>
          </w:p>
          <w:p w14:paraId="32F2AA6F"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(0.06, 0.16)</w:t>
            </w:r>
          </w:p>
        </w:tc>
      </w:tr>
      <w:tr w:rsidR="006B3342" w:rsidRPr="000B52C6" w14:paraId="5D555A90" w14:textId="77777777" w:rsidTr="005640E7">
        <w:trPr>
          <w:trHeight w:val="68"/>
        </w:trPr>
        <w:tc>
          <w:tcPr>
            <w:tcW w:w="936" w:type="pct"/>
            <w:shd w:val="clear" w:color="auto" w:fill="auto"/>
            <w:noWrap/>
            <w:tcMar>
              <w:left w:w="28" w:type="dxa"/>
              <w:right w:w="28" w:type="dxa"/>
            </w:tcMar>
            <w:hideMark/>
          </w:tcPr>
          <w:p w14:paraId="5182D6B7" w14:textId="77777777" w:rsidR="006B3342" w:rsidRPr="000B52C6" w:rsidRDefault="006B3342" w:rsidP="00513E25">
            <w:pPr>
              <w:pStyle w:val="TableText0"/>
              <w:rPr>
                <w:lang w:val="en-AU" w:eastAsia="en-AU" w:bidi="ar-SA"/>
              </w:rPr>
            </w:pPr>
            <w:r w:rsidRPr="000B52C6">
              <w:rPr>
                <w:lang w:val="en-AU" w:eastAsia="en-AU" w:bidi="ar-SA"/>
              </w:rPr>
              <w:t>Pyrexia</w:t>
            </w:r>
          </w:p>
        </w:tc>
        <w:tc>
          <w:tcPr>
            <w:tcW w:w="703" w:type="pct"/>
            <w:shd w:val="clear" w:color="auto" w:fill="auto"/>
            <w:tcMar>
              <w:left w:w="28" w:type="dxa"/>
              <w:right w:w="28" w:type="dxa"/>
            </w:tcMar>
            <w:vAlign w:val="center"/>
          </w:tcPr>
          <w:p w14:paraId="23741495" w14:textId="77777777" w:rsidR="006B3342" w:rsidRPr="000B52C6" w:rsidRDefault="006B3342" w:rsidP="00513E25">
            <w:pPr>
              <w:pStyle w:val="TableText0"/>
              <w:jc w:val="center"/>
              <w:rPr>
                <w:lang w:val="en-AU" w:eastAsia="en-AU" w:bidi="ar-SA"/>
              </w:rPr>
            </w:pPr>
            <w:r w:rsidRPr="000B52C6">
              <w:rPr>
                <w:lang w:val="en-AU" w:eastAsia="en-AU" w:bidi="ar-SA"/>
              </w:rPr>
              <w:t xml:space="preserve">1.58 </w:t>
            </w:r>
          </w:p>
          <w:p w14:paraId="37465366" w14:textId="77777777" w:rsidR="006B3342" w:rsidRPr="000B52C6" w:rsidRDefault="006B3342" w:rsidP="00513E25">
            <w:pPr>
              <w:pStyle w:val="TableText0"/>
              <w:jc w:val="center"/>
              <w:rPr>
                <w:lang w:val="en-AU" w:eastAsia="en-AU" w:bidi="ar-SA"/>
              </w:rPr>
            </w:pPr>
            <w:r w:rsidRPr="000B52C6">
              <w:rPr>
                <w:lang w:val="en-AU" w:eastAsia="en-AU" w:bidi="ar-SA"/>
              </w:rPr>
              <w:t>(0.26, 9.55)</w:t>
            </w:r>
          </w:p>
        </w:tc>
        <w:tc>
          <w:tcPr>
            <w:tcW w:w="625" w:type="pct"/>
            <w:shd w:val="clear" w:color="auto" w:fill="auto"/>
            <w:tcMar>
              <w:left w:w="28" w:type="dxa"/>
              <w:right w:w="28" w:type="dxa"/>
            </w:tcMar>
            <w:vAlign w:val="center"/>
          </w:tcPr>
          <w:p w14:paraId="1FFA3D88" w14:textId="77777777" w:rsidR="006B3342" w:rsidRPr="000B52C6" w:rsidRDefault="006B3342" w:rsidP="00513E25">
            <w:pPr>
              <w:pStyle w:val="TableText0"/>
              <w:jc w:val="center"/>
              <w:rPr>
                <w:lang w:val="en-AU" w:eastAsia="en-AU" w:bidi="ar-SA"/>
              </w:rPr>
            </w:pPr>
            <w:r w:rsidRPr="000B52C6">
              <w:rPr>
                <w:lang w:val="en-AU" w:eastAsia="en-AU" w:bidi="ar-SA"/>
              </w:rPr>
              <w:t xml:space="preserve">0.01 </w:t>
            </w:r>
          </w:p>
          <w:p w14:paraId="5E175D33" w14:textId="77777777" w:rsidR="006B3342" w:rsidRPr="000B52C6" w:rsidRDefault="006B3342" w:rsidP="00513E25">
            <w:pPr>
              <w:pStyle w:val="TableText0"/>
              <w:jc w:val="center"/>
              <w:rPr>
                <w:lang w:val="en-AU" w:eastAsia="en-AU" w:bidi="ar-SA"/>
              </w:rPr>
            </w:pPr>
            <w:r w:rsidRPr="000B52C6">
              <w:rPr>
                <w:lang w:val="en-AU" w:eastAsia="en-AU" w:bidi="ar-SA"/>
              </w:rPr>
              <w:t>(-0.02, 0.03)</w:t>
            </w:r>
          </w:p>
        </w:tc>
        <w:tc>
          <w:tcPr>
            <w:tcW w:w="625" w:type="pct"/>
            <w:shd w:val="clear" w:color="auto" w:fill="auto"/>
            <w:tcMar>
              <w:left w:w="28" w:type="dxa"/>
              <w:right w:w="28" w:type="dxa"/>
            </w:tcMar>
            <w:vAlign w:val="center"/>
          </w:tcPr>
          <w:p w14:paraId="415F62B7" w14:textId="77777777" w:rsidR="006B3342" w:rsidRPr="000B52C6" w:rsidRDefault="006B3342" w:rsidP="00513E25">
            <w:pPr>
              <w:pStyle w:val="TableText0"/>
              <w:jc w:val="center"/>
              <w:rPr>
                <w:lang w:val="en-AU" w:eastAsia="en-AU" w:bidi="ar-SA"/>
              </w:rPr>
            </w:pPr>
            <w:r w:rsidRPr="000B52C6">
              <w:rPr>
                <w:lang w:val="en-AU" w:eastAsia="en-AU" w:bidi="ar-SA"/>
              </w:rPr>
              <w:t xml:space="preserve">4.71 </w:t>
            </w:r>
          </w:p>
          <w:p w14:paraId="035AE39F" w14:textId="77777777" w:rsidR="006B3342" w:rsidRPr="000B52C6" w:rsidRDefault="006B3342" w:rsidP="00513E25">
            <w:pPr>
              <w:pStyle w:val="TableText0"/>
              <w:jc w:val="center"/>
              <w:rPr>
                <w:lang w:val="en-AU" w:eastAsia="en-AU" w:bidi="ar-SA"/>
              </w:rPr>
            </w:pPr>
            <w:r w:rsidRPr="000B52C6">
              <w:rPr>
                <w:lang w:val="en-AU" w:eastAsia="en-AU" w:bidi="ar-SA"/>
              </w:rPr>
              <w:t>(1.34, 16.5)</w:t>
            </w:r>
          </w:p>
        </w:tc>
        <w:tc>
          <w:tcPr>
            <w:tcW w:w="704" w:type="pct"/>
            <w:shd w:val="clear" w:color="auto" w:fill="auto"/>
            <w:tcMar>
              <w:left w:w="28" w:type="dxa"/>
              <w:right w:w="28" w:type="dxa"/>
            </w:tcMar>
            <w:vAlign w:val="center"/>
          </w:tcPr>
          <w:p w14:paraId="50DAF5C5" w14:textId="77777777" w:rsidR="006B3342" w:rsidRPr="000B52C6" w:rsidRDefault="006B3342" w:rsidP="00513E25">
            <w:pPr>
              <w:pStyle w:val="TableText0"/>
              <w:jc w:val="center"/>
              <w:rPr>
                <w:lang w:val="en-AU" w:eastAsia="en-AU" w:bidi="ar-SA"/>
              </w:rPr>
            </w:pPr>
            <w:r w:rsidRPr="000B52C6">
              <w:rPr>
                <w:lang w:val="en-AU" w:eastAsia="en-AU" w:bidi="ar-SA"/>
              </w:rPr>
              <w:t xml:space="preserve">0.02 </w:t>
            </w:r>
          </w:p>
          <w:p w14:paraId="7B136A71" w14:textId="77777777" w:rsidR="006B3342" w:rsidRPr="000B52C6" w:rsidRDefault="006B3342" w:rsidP="00513E25">
            <w:pPr>
              <w:pStyle w:val="TableText0"/>
              <w:jc w:val="center"/>
              <w:rPr>
                <w:lang w:val="en-AU" w:eastAsia="en-AU" w:bidi="ar-SA"/>
              </w:rPr>
            </w:pPr>
            <w:r w:rsidRPr="000B52C6">
              <w:rPr>
                <w:lang w:val="en-AU" w:eastAsia="en-AU" w:bidi="ar-SA"/>
              </w:rPr>
              <w:t>(0.01, 0.04)</w:t>
            </w:r>
          </w:p>
        </w:tc>
        <w:tc>
          <w:tcPr>
            <w:tcW w:w="704" w:type="pct"/>
            <w:shd w:val="clear" w:color="auto" w:fill="auto"/>
            <w:tcMar>
              <w:left w:w="28" w:type="dxa"/>
              <w:right w:w="28" w:type="dxa"/>
            </w:tcMar>
            <w:vAlign w:val="center"/>
          </w:tcPr>
          <w:p w14:paraId="32E77620" w14:textId="77777777" w:rsidR="006B3342" w:rsidRPr="000B52C6" w:rsidRDefault="006B3342" w:rsidP="00513E25">
            <w:pPr>
              <w:pStyle w:val="TableText0"/>
              <w:jc w:val="center"/>
              <w:rPr>
                <w:lang w:val="en-AU" w:eastAsia="en-AU" w:bidi="ar-SA"/>
              </w:rPr>
            </w:pPr>
            <w:r w:rsidRPr="000B52C6">
              <w:rPr>
                <w:lang w:val="en-AU" w:eastAsia="en-AU" w:bidi="ar-SA"/>
              </w:rPr>
              <w:t xml:space="preserve">0.34 </w:t>
            </w:r>
          </w:p>
          <w:p w14:paraId="74AB73E0" w14:textId="77777777" w:rsidR="006B3342" w:rsidRPr="000B52C6" w:rsidRDefault="006B3342" w:rsidP="00513E25">
            <w:pPr>
              <w:pStyle w:val="TableText0"/>
              <w:jc w:val="center"/>
              <w:rPr>
                <w:lang w:val="en-AU" w:eastAsia="en-AU" w:bidi="ar-SA"/>
              </w:rPr>
            </w:pPr>
            <w:r w:rsidRPr="000B52C6">
              <w:rPr>
                <w:lang w:val="en-AU" w:eastAsia="en-AU" w:bidi="ar-SA"/>
              </w:rPr>
              <w:t>(0.04, 3.02)</w:t>
            </w:r>
          </w:p>
        </w:tc>
        <w:tc>
          <w:tcPr>
            <w:tcW w:w="703" w:type="pct"/>
            <w:shd w:val="clear" w:color="auto" w:fill="auto"/>
            <w:tcMar>
              <w:left w:w="28" w:type="dxa"/>
              <w:right w:w="28" w:type="dxa"/>
            </w:tcMar>
            <w:vAlign w:val="center"/>
          </w:tcPr>
          <w:p w14:paraId="708958CD" w14:textId="77777777" w:rsidR="006B3342" w:rsidRPr="000B52C6" w:rsidRDefault="006B3342" w:rsidP="00513E25">
            <w:pPr>
              <w:pStyle w:val="TableText0"/>
              <w:jc w:val="center"/>
              <w:rPr>
                <w:lang w:val="en-AU" w:eastAsia="en-AU" w:bidi="ar-SA"/>
              </w:rPr>
            </w:pPr>
            <w:r w:rsidRPr="000B52C6">
              <w:rPr>
                <w:lang w:val="en-AU" w:eastAsia="en-AU" w:bidi="ar-SA"/>
              </w:rPr>
              <w:t xml:space="preserve">-0.01 </w:t>
            </w:r>
          </w:p>
          <w:p w14:paraId="60209733" w14:textId="77777777" w:rsidR="006B3342" w:rsidRPr="000B52C6" w:rsidRDefault="006B3342" w:rsidP="00513E25">
            <w:pPr>
              <w:pStyle w:val="TableText0"/>
              <w:jc w:val="center"/>
              <w:rPr>
                <w:lang w:val="en-AU" w:eastAsia="en-AU" w:bidi="ar-SA"/>
              </w:rPr>
            </w:pPr>
            <w:r w:rsidRPr="000B52C6">
              <w:rPr>
                <w:lang w:val="en-AU" w:eastAsia="en-AU" w:bidi="ar-SA"/>
              </w:rPr>
              <w:t>(-0.04, 0.02)</w:t>
            </w:r>
          </w:p>
        </w:tc>
      </w:tr>
      <w:tr w:rsidR="006B3342" w:rsidRPr="000B52C6" w14:paraId="695A21E3" w14:textId="77777777" w:rsidTr="005640E7">
        <w:trPr>
          <w:trHeight w:val="68"/>
        </w:trPr>
        <w:tc>
          <w:tcPr>
            <w:tcW w:w="936" w:type="pct"/>
            <w:shd w:val="clear" w:color="auto" w:fill="auto"/>
            <w:noWrap/>
            <w:tcMar>
              <w:left w:w="28" w:type="dxa"/>
              <w:right w:w="28" w:type="dxa"/>
            </w:tcMar>
            <w:hideMark/>
          </w:tcPr>
          <w:p w14:paraId="2E803AC1" w14:textId="77777777" w:rsidR="006B3342" w:rsidRPr="000B52C6" w:rsidRDefault="006B3342" w:rsidP="00513E25">
            <w:pPr>
              <w:pStyle w:val="TableText0"/>
              <w:rPr>
                <w:lang w:val="en-AU" w:eastAsia="en-AU" w:bidi="ar-SA"/>
              </w:rPr>
            </w:pPr>
            <w:r w:rsidRPr="000B52C6">
              <w:rPr>
                <w:lang w:val="en-AU" w:eastAsia="en-AU" w:bidi="ar-SA"/>
              </w:rPr>
              <w:t>Hypertension</w:t>
            </w:r>
          </w:p>
        </w:tc>
        <w:tc>
          <w:tcPr>
            <w:tcW w:w="703" w:type="pct"/>
            <w:shd w:val="clear" w:color="auto" w:fill="auto"/>
            <w:tcMar>
              <w:left w:w="28" w:type="dxa"/>
              <w:right w:w="28" w:type="dxa"/>
            </w:tcMar>
            <w:vAlign w:val="center"/>
          </w:tcPr>
          <w:p w14:paraId="085ABBEF" w14:textId="77777777" w:rsidR="006B3342" w:rsidRPr="000B52C6" w:rsidRDefault="006B3342" w:rsidP="00513E25">
            <w:pPr>
              <w:pStyle w:val="TableText0"/>
              <w:jc w:val="center"/>
              <w:rPr>
                <w:lang w:val="en-AU" w:eastAsia="en-AU" w:bidi="ar-SA"/>
              </w:rPr>
            </w:pPr>
            <w:r w:rsidRPr="000B52C6">
              <w:rPr>
                <w:lang w:val="en-AU" w:eastAsia="en-AU" w:bidi="ar-SA"/>
              </w:rPr>
              <w:t xml:space="preserve">1.41 </w:t>
            </w:r>
          </w:p>
          <w:p w14:paraId="1BE86DAF" w14:textId="77777777" w:rsidR="006B3342" w:rsidRPr="000B52C6" w:rsidRDefault="006B3342" w:rsidP="00513E25">
            <w:pPr>
              <w:pStyle w:val="TableText0"/>
              <w:jc w:val="center"/>
              <w:rPr>
                <w:lang w:val="en-AU" w:eastAsia="en-AU" w:bidi="ar-SA"/>
              </w:rPr>
            </w:pPr>
            <w:r w:rsidRPr="000B52C6">
              <w:rPr>
                <w:lang w:val="en-AU" w:eastAsia="en-AU" w:bidi="ar-SA"/>
              </w:rPr>
              <w:t>(0.48, 4.15)</w:t>
            </w:r>
          </w:p>
        </w:tc>
        <w:tc>
          <w:tcPr>
            <w:tcW w:w="625" w:type="pct"/>
            <w:shd w:val="clear" w:color="auto" w:fill="auto"/>
            <w:tcMar>
              <w:left w:w="28" w:type="dxa"/>
              <w:right w:w="28" w:type="dxa"/>
            </w:tcMar>
            <w:vAlign w:val="center"/>
          </w:tcPr>
          <w:p w14:paraId="3EC48C58" w14:textId="77777777" w:rsidR="006B3342" w:rsidRPr="000B52C6" w:rsidRDefault="006B3342" w:rsidP="00513E25">
            <w:pPr>
              <w:pStyle w:val="TableText0"/>
              <w:jc w:val="center"/>
              <w:rPr>
                <w:lang w:val="en-AU" w:eastAsia="en-AU" w:bidi="ar-SA"/>
              </w:rPr>
            </w:pPr>
            <w:r w:rsidRPr="000B52C6">
              <w:rPr>
                <w:lang w:val="en-AU" w:eastAsia="en-AU" w:bidi="ar-SA"/>
              </w:rPr>
              <w:t xml:space="preserve">0.01 </w:t>
            </w:r>
          </w:p>
          <w:p w14:paraId="1548E789" w14:textId="77777777" w:rsidR="006B3342" w:rsidRPr="000B52C6" w:rsidRDefault="006B3342" w:rsidP="00513E25">
            <w:pPr>
              <w:pStyle w:val="TableText0"/>
              <w:jc w:val="center"/>
              <w:rPr>
                <w:lang w:val="en-AU" w:eastAsia="en-AU" w:bidi="ar-SA"/>
              </w:rPr>
            </w:pPr>
            <w:r w:rsidRPr="000B52C6">
              <w:rPr>
                <w:lang w:val="en-AU" w:eastAsia="en-AU" w:bidi="ar-SA"/>
              </w:rPr>
              <w:t>(-0.02, 0.05)</w:t>
            </w:r>
          </w:p>
        </w:tc>
        <w:tc>
          <w:tcPr>
            <w:tcW w:w="625" w:type="pct"/>
            <w:shd w:val="clear" w:color="auto" w:fill="auto"/>
            <w:tcMar>
              <w:left w:w="28" w:type="dxa"/>
              <w:right w:w="28" w:type="dxa"/>
            </w:tcMar>
            <w:vAlign w:val="center"/>
          </w:tcPr>
          <w:p w14:paraId="28E724E6" w14:textId="77777777" w:rsidR="006B3342" w:rsidRPr="000B52C6" w:rsidRDefault="006B3342" w:rsidP="00513E25">
            <w:pPr>
              <w:pStyle w:val="TableText0"/>
              <w:jc w:val="center"/>
              <w:rPr>
                <w:lang w:val="en-AU" w:eastAsia="en-AU" w:bidi="ar-SA"/>
              </w:rPr>
            </w:pPr>
            <w:r w:rsidRPr="000B52C6">
              <w:rPr>
                <w:lang w:val="en-AU" w:eastAsia="en-AU" w:bidi="ar-SA"/>
              </w:rPr>
              <w:t xml:space="preserve">5.15 </w:t>
            </w:r>
          </w:p>
          <w:p w14:paraId="467F52E3" w14:textId="77777777" w:rsidR="006B3342" w:rsidRPr="000B52C6" w:rsidRDefault="006B3342" w:rsidP="00513E25">
            <w:pPr>
              <w:pStyle w:val="TableText0"/>
              <w:jc w:val="center"/>
              <w:rPr>
                <w:lang w:val="en-AU" w:eastAsia="en-AU" w:bidi="ar-SA"/>
              </w:rPr>
            </w:pPr>
            <w:r w:rsidRPr="000B52C6">
              <w:rPr>
                <w:lang w:val="en-AU" w:eastAsia="en-AU" w:bidi="ar-SA"/>
              </w:rPr>
              <w:t>(2.9, 9.15)</w:t>
            </w:r>
          </w:p>
        </w:tc>
        <w:tc>
          <w:tcPr>
            <w:tcW w:w="704" w:type="pct"/>
            <w:shd w:val="clear" w:color="auto" w:fill="auto"/>
            <w:tcMar>
              <w:left w:w="28" w:type="dxa"/>
              <w:right w:w="28" w:type="dxa"/>
            </w:tcMar>
            <w:vAlign w:val="center"/>
          </w:tcPr>
          <w:p w14:paraId="1D9BA54F" w14:textId="77777777" w:rsidR="006B3342" w:rsidRPr="000B52C6" w:rsidRDefault="006B3342" w:rsidP="00513E25">
            <w:pPr>
              <w:pStyle w:val="TableText0"/>
              <w:jc w:val="center"/>
              <w:rPr>
                <w:lang w:val="en-AU" w:eastAsia="en-AU" w:bidi="ar-SA"/>
              </w:rPr>
            </w:pPr>
            <w:r w:rsidRPr="000B52C6">
              <w:rPr>
                <w:lang w:val="en-AU" w:eastAsia="en-AU" w:bidi="ar-SA"/>
              </w:rPr>
              <w:t xml:space="preserve">0.12 </w:t>
            </w:r>
          </w:p>
          <w:p w14:paraId="77218F2E" w14:textId="77777777" w:rsidR="006B3342" w:rsidRPr="000B52C6" w:rsidRDefault="006B3342" w:rsidP="00513E25">
            <w:pPr>
              <w:pStyle w:val="TableText0"/>
              <w:jc w:val="center"/>
              <w:rPr>
                <w:lang w:val="en-AU" w:eastAsia="en-AU" w:bidi="ar-SA"/>
              </w:rPr>
            </w:pPr>
            <w:r w:rsidRPr="000B52C6">
              <w:rPr>
                <w:lang w:val="en-AU" w:eastAsia="en-AU" w:bidi="ar-SA"/>
              </w:rPr>
              <w:t>(0.08, 0.15)</w:t>
            </w:r>
          </w:p>
        </w:tc>
        <w:tc>
          <w:tcPr>
            <w:tcW w:w="704" w:type="pct"/>
            <w:shd w:val="clear" w:color="auto" w:fill="auto"/>
            <w:tcMar>
              <w:left w:w="28" w:type="dxa"/>
              <w:right w:w="28" w:type="dxa"/>
            </w:tcMar>
            <w:vAlign w:val="center"/>
          </w:tcPr>
          <w:p w14:paraId="5D7EBC7D"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0.27 </w:t>
            </w:r>
          </w:p>
          <w:p w14:paraId="6211ED16"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(0.08, 0.93)</w:t>
            </w:r>
          </w:p>
        </w:tc>
        <w:tc>
          <w:tcPr>
            <w:tcW w:w="703" w:type="pct"/>
            <w:shd w:val="clear" w:color="auto" w:fill="auto"/>
            <w:tcMar>
              <w:left w:w="28" w:type="dxa"/>
              <w:right w:w="28" w:type="dxa"/>
            </w:tcMar>
            <w:vAlign w:val="center"/>
          </w:tcPr>
          <w:p w14:paraId="64C1517D"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-0.11 </w:t>
            </w:r>
          </w:p>
          <w:p w14:paraId="676002D9"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(-0.16, -0.06)</w:t>
            </w:r>
          </w:p>
        </w:tc>
      </w:tr>
      <w:tr w:rsidR="006B3342" w:rsidRPr="000B52C6" w14:paraId="03085F6B" w14:textId="77777777" w:rsidTr="005640E7">
        <w:trPr>
          <w:trHeight w:val="68"/>
        </w:trPr>
        <w:tc>
          <w:tcPr>
            <w:tcW w:w="936" w:type="pct"/>
            <w:shd w:val="clear" w:color="auto" w:fill="auto"/>
            <w:noWrap/>
            <w:tcMar>
              <w:left w:w="28" w:type="dxa"/>
              <w:right w:w="28" w:type="dxa"/>
            </w:tcMar>
            <w:hideMark/>
          </w:tcPr>
          <w:p w14:paraId="41D2E040" w14:textId="77777777" w:rsidR="006B3342" w:rsidRPr="000B52C6" w:rsidRDefault="006B3342" w:rsidP="00513E25">
            <w:pPr>
              <w:pStyle w:val="TableText0"/>
              <w:rPr>
                <w:lang w:val="en-AU" w:eastAsia="en-AU" w:bidi="ar-SA"/>
              </w:rPr>
            </w:pPr>
            <w:r w:rsidRPr="000B52C6">
              <w:rPr>
                <w:lang w:val="en-AU" w:eastAsia="en-AU" w:bidi="ar-SA"/>
              </w:rPr>
              <w:t>Fatigue</w:t>
            </w:r>
          </w:p>
        </w:tc>
        <w:tc>
          <w:tcPr>
            <w:tcW w:w="703" w:type="pct"/>
            <w:shd w:val="clear" w:color="auto" w:fill="auto"/>
            <w:tcMar>
              <w:left w:w="28" w:type="dxa"/>
              <w:right w:w="28" w:type="dxa"/>
            </w:tcMar>
            <w:vAlign w:val="center"/>
          </w:tcPr>
          <w:p w14:paraId="51F1C879" w14:textId="77777777" w:rsidR="006B3342" w:rsidRPr="000B52C6" w:rsidRDefault="006B3342" w:rsidP="00513E25">
            <w:pPr>
              <w:pStyle w:val="TableText0"/>
              <w:jc w:val="center"/>
              <w:rPr>
                <w:lang w:val="en-AU" w:eastAsia="en-AU" w:bidi="ar-SA"/>
              </w:rPr>
            </w:pPr>
            <w:r w:rsidRPr="000B52C6">
              <w:rPr>
                <w:lang w:val="en-AU" w:eastAsia="en-AU" w:bidi="ar-SA"/>
              </w:rPr>
              <w:t xml:space="preserve">15.54 </w:t>
            </w:r>
          </w:p>
          <w:p w14:paraId="43A49FE6" w14:textId="77777777" w:rsidR="006B3342" w:rsidRPr="000B52C6" w:rsidRDefault="006B3342" w:rsidP="00513E25">
            <w:pPr>
              <w:pStyle w:val="TableText0"/>
              <w:jc w:val="center"/>
              <w:rPr>
                <w:lang w:val="en-AU" w:eastAsia="en-AU" w:bidi="ar-SA"/>
              </w:rPr>
            </w:pPr>
            <w:r w:rsidRPr="000B52C6">
              <w:rPr>
                <w:lang w:val="en-AU" w:eastAsia="en-AU" w:bidi="ar-SA"/>
              </w:rPr>
              <w:t>(3.64, 66.42)</w:t>
            </w:r>
          </w:p>
        </w:tc>
        <w:tc>
          <w:tcPr>
            <w:tcW w:w="625" w:type="pct"/>
            <w:shd w:val="clear" w:color="auto" w:fill="auto"/>
            <w:tcMar>
              <w:left w:w="28" w:type="dxa"/>
              <w:right w:w="28" w:type="dxa"/>
            </w:tcMar>
            <w:vAlign w:val="center"/>
          </w:tcPr>
          <w:p w14:paraId="1D972182" w14:textId="77777777" w:rsidR="006B3342" w:rsidRPr="000B52C6" w:rsidRDefault="006B3342" w:rsidP="00513E25">
            <w:pPr>
              <w:pStyle w:val="TableText0"/>
              <w:jc w:val="center"/>
              <w:rPr>
                <w:lang w:val="en-AU" w:eastAsia="en-AU" w:bidi="ar-SA"/>
              </w:rPr>
            </w:pPr>
            <w:r w:rsidRPr="000B52C6">
              <w:rPr>
                <w:lang w:val="en-AU" w:eastAsia="en-AU" w:bidi="ar-SA"/>
              </w:rPr>
              <w:t xml:space="preserve">0.12 </w:t>
            </w:r>
          </w:p>
          <w:p w14:paraId="49ED41BB" w14:textId="77777777" w:rsidR="006B3342" w:rsidRPr="000B52C6" w:rsidRDefault="006B3342" w:rsidP="00513E25">
            <w:pPr>
              <w:pStyle w:val="TableText0"/>
              <w:jc w:val="center"/>
              <w:rPr>
                <w:lang w:val="en-AU" w:eastAsia="en-AU" w:bidi="ar-SA"/>
              </w:rPr>
            </w:pPr>
            <w:r w:rsidRPr="000B52C6">
              <w:rPr>
                <w:lang w:val="en-AU" w:eastAsia="en-AU" w:bidi="ar-SA"/>
              </w:rPr>
              <w:t>(0.07, 0.17)</w:t>
            </w:r>
          </w:p>
        </w:tc>
        <w:tc>
          <w:tcPr>
            <w:tcW w:w="625" w:type="pct"/>
            <w:shd w:val="clear" w:color="auto" w:fill="auto"/>
            <w:tcMar>
              <w:left w:w="28" w:type="dxa"/>
              <w:right w:w="28" w:type="dxa"/>
            </w:tcMar>
            <w:vAlign w:val="center"/>
          </w:tcPr>
          <w:p w14:paraId="2DFF840B" w14:textId="77777777" w:rsidR="006B3342" w:rsidRPr="000B52C6" w:rsidRDefault="006B3342" w:rsidP="00513E25">
            <w:pPr>
              <w:pStyle w:val="TableText0"/>
              <w:jc w:val="center"/>
              <w:rPr>
                <w:lang w:val="en-AU" w:eastAsia="en-AU" w:bidi="ar-SA"/>
              </w:rPr>
            </w:pPr>
            <w:r w:rsidRPr="000B52C6">
              <w:rPr>
                <w:lang w:val="en-AU" w:eastAsia="en-AU" w:bidi="ar-SA"/>
              </w:rPr>
              <w:t xml:space="preserve">0.89 </w:t>
            </w:r>
          </w:p>
          <w:p w14:paraId="3E795D0F" w14:textId="77777777" w:rsidR="006B3342" w:rsidRPr="000B52C6" w:rsidRDefault="006B3342" w:rsidP="00513E25">
            <w:pPr>
              <w:pStyle w:val="TableText0"/>
              <w:jc w:val="center"/>
              <w:rPr>
                <w:lang w:val="en-AU" w:eastAsia="en-AU" w:bidi="ar-SA"/>
              </w:rPr>
            </w:pPr>
            <w:r w:rsidRPr="000B52C6">
              <w:rPr>
                <w:lang w:val="en-AU" w:eastAsia="en-AU" w:bidi="ar-SA"/>
              </w:rPr>
              <w:t>(0.54, 1.47)</w:t>
            </w:r>
          </w:p>
        </w:tc>
        <w:tc>
          <w:tcPr>
            <w:tcW w:w="704" w:type="pct"/>
            <w:shd w:val="clear" w:color="auto" w:fill="auto"/>
            <w:tcMar>
              <w:left w:w="28" w:type="dxa"/>
              <w:right w:w="28" w:type="dxa"/>
            </w:tcMar>
            <w:vAlign w:val="center"/>
          </w:tcPr>
          <w:p w14:paraId="50F3D1BA" w14:textId="77777777" w:rsidR="006B3342" w:rsidRPr="000B52C6" w:rsidRDefault="006B3342" w:rsidP="00513E25">
            <w:pPr>
              <w:pStyle w:val="TableText0"/>
              <w:jc w:val="center"/>
              <w:rPr>
                <w:lang w:val="en-AU" w:eastAsia="en-AU" w:bidi="ar-SA"/>
              </w:rPr>
            </w:pPr>
            <w:r w:rsidRPr="000B52C6">
              <w:rPr>
                <w:lang w:val="en-AU" w:eastAsia="en-AU" w:bidi="ar-SA"/>
              </w:rPr>
              <w:t xml:space="preserve">-0.01 </w:t>
            </w:r>
          </w:p>
          <w:p w14:paraId="34C1BF23" w14:textId="77777777" w:rsidR="006B3342" w:rsidRPr="000B52C6" w:rsidRDefault="006B3342" w:rsidP="00513E25">
            <w:pPr>
              <w:pStyle w:val="TableText0"/>
              <w:jc w:val="center"/>
              <w:rPr>
                <w:lang w:val="en-AU" w:eastAsia="en-AU" w:bidi="ar-SA"/>
              </w:rPr>
            </w:pPr>
            <w:r w:rsidRPr="000B52C6">
              <w:rPr>
                <w:lang w:val="en-AU" w:eastAsia="en-AU" w:bidi="ar-SA"/>
              </w:rPr>
              <w:t>(-0.04, 0.03)</w:t>
            </w:r>
          </w:p>
        </w:tc>
        <w:tc>
          <w:tcPr>
            <w:tcW w:w="704" w:type="pct"/>
            <w:shd w:val="clear" w:color="auto" w:fill="auto"/>
            <w:tcMar>
              <w:left w:w="28" w:type="dxa"/>
              <w:right w:w="28" w:type="dxa"/>
            </w:tcMar>
            <w:vAlign w:val="center"/>
          </w:tcPr>
          <w:p w14:paraId="07CE7125"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17.46 </w:t>
            </w:r>
          </w:p>
          <w:p w14:paraId="15D73A3D"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(3.76, 81.12)</w:t>
            </w:r>
          </w:p>
        </w:tc>
        <w:tc>
          <w:tcPr>
            <w:tcW w:w="703" w:type="pct"/>
            <w:shd w:val="clear" w:color="auto" w:fill="auto"/>
            <w:tcMar>
              <w:left w:w="28" w:type="dxa"/>
              <w:right w:w="28" w:type="dxa"/>
            </w:tcMar>
            <w:vAlign w:val="center"/>
          </w:tcPr>
          <w:p w14:paraId="7CE1E68F"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0.13 </w:t>
            </w:r>
          </w:p>
          <w:p w14:paraId="01570931"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(0.07, 0.19)</w:t>
            </w:r>
          </w:p>
        </w:tc>
      </w:tr>
      <w:tr w:rsidR="006B3342" w:rsidRPr="000B52C6" w14:paraId="54B7BB96" w14:textId="77777777" w:rsidTr="005640E7">
        <w:trPr>
          <w:trHeight w:val="68"/>
        </w:trPr>
        <w:tc>
          <w:tcPr>
            <w:tcW w:w="936" w:type="pct"/>
            <w:shd w:val="clear" w:color="auto" w:fill="auto"/>
            <w:noWrap/>
            <w:tcMar>
              <w:left w:w="28" w:type="dxa"/>
              <w:right w:w="28" w:type="dxa"/>
            </w:tcMar>
            <w:hideMark/>
          </w:tcPr>
          <w:p w14:paraId="73412B57" w14:textId="77777777" w:rsidR="006B3342" w:rsidRPr="000B52C6" w:rsidRDefault="006B3342" w:rsidP="00513E25">
            <w:pPr>
              <w:pStyle w:val="TableText0"/>
              <w:rPr>
                <w:lang w:val="en-AU" w:eastAsia="en-AU" w:bidi="ar-SA"/>
              </w:rPr>
            </w:pPr>
            <w:r w:rsidRPr="000B52C6">
              <w:rPr>
                <w:lang w:val="en-AU" w:eastAsia="en-AU" w:bidi="ar-SA"/>
              </w:rPr>
              <w:t>Dyspnoea</w:t>
            </w:r>
          </w:p>
        </w:tc>
        <w:tc>
          <w:tcPr>
            <w:tcW w:w="703" w:type="pct"/>
            <w:shd w:val="clear" w:color="auto" w:fill="auto"/>
            <w:tcMar>
              <w:left w:w="28" w:type="dxa"/>
              <w:right w:w="28" w:type="dxa"/>
            </w:tcMar>
            <w:vAlign w:val="center"/>
          </w:tcPr>
          <w:p w14:paraId="26289909" w14:textId="77777777" w:rsidR="006B3342" w:rsidRPr="000B52C6" w:rsidRDefault="006B3342" w:rsidP="00513E25">
            <w:pPr>
              <w:pStyle w:val="TableText0"/>
              <w:jc w:val="center"/>
              <w:rPr>
                <w:lang w:val="en-AU" w:eastAsia="en-AU" w:bidi="ar-SA"/>
              </w:rPr>
            </w:pPr>
            <w:r w:rsidRPr="000B52C6">
              <w:rPr>
                <w:lang w:val="en-AU" w:eastAsia="en-AU" w:bidi="ar-SA"/>
              </w:rPr>
              <w:t xml:space="preserve">0.21 </w:t>
            </w:r>
          </w:p>
          <w:p w14:paraId="7E83B320" w14:textId="77777777" w:rsidR="006B3342" w:rsidRPr="000B52C6" w:rsidRDefault="006B3342" w:rsidP="00513E25">
            <w:pPr>
              <w:pStyle w:val="TableText0"/>
              <w:jc w:val="center"/>
              <w:rPr>
                <w:lang w:val="en-AU" w:eastAsia="en-AU" w:bidi="ar-SA"/>
              </w:rPr>
            </w:pPr>
            <w:r w:rsidRPr="000B52C6">
              <w:rPr>
                <w:lang w:val="en-AU" w:eastAsia="en-AU" w:bidi="ar-SA"/>
              </w:rPr>
              <w:t>(0.02, 1.77)</w:t>
            </w:r>
          </w:p>
        </w:tc>
        <w:tc>
          <w:tcPr>
            <w:tcW w:w="625" w:type="pct"/>
            <w:shd w:val="clear" w:color="auto" w:fill="auto"/>
            <w:tcMar>
              <w:left w:w="28" w:type="dxa"/>
              <w:right w:w="28" w:type="dxa"/>
            </w:tcMar>
            <w:vAlign w:val="center"/>
          </w:tcPr>
          <w:p w14:paraId="1D7BD00F" w14:textId="77777777" w:rsidR="006B3342" w:rsidRPr="000B52C6" w:rsidRDefault="006B3342" w:rsidP="00513E25">
            <w:pPr>
              <w:pStyle w:val="TableText0"/>
              <w:jc w:val="center"/>
              <w:rPr>
                <w:lang w:val="en-AU" w:eastAsia="en-AU" w:bidi="ar-SA"/>
              </w:rPr>
            </w:pPr>
            <w:r w:rsidRPr="000B52C6">
              <w:rPr>
                <w:lang w:val="en-AU" w:eastAsia="en-AU" w:bidi="ar-SA"/>
              </w:rPr>
              <w:t xml:space="preserve">-0.02 </w:t>
            </w:r>
          </w:p>
          <w:p w14:paraId="31E985A0" w14:textId="77777777" w:rsidR="006B3342" w:rsidRPr="000B52C6" w:rsidRDefault="006B3342" w:rsidP="00513E25">
            <w:pPr>
              <w:pStyle w:val="TableText0"/>
              <w:jc w:val="center"/>
              <w:rPr>
                <w:lang w:val="en-AU" w:eastAsia="en-AU" w:bidi="ar-SA"/>
              </w:rPr>
            </w:pPr>
            <w:r w:rsidRPr="000B52C6">
              <w:rPr>
                <w:lang w:val="en-AU" w:eastAsia="en-AU" w:bidi="ar-SA"/>
              </w:rPr>
              <w:t>(-0.04, 0)</w:t>
            </w:r>
          </w:p>
        </w:tc>
        <w:tc>
          <w:tcPr>
            <w:tcW w:w="625" w:type="pct"/>
            <w:shd w:val="clear" w:color="auto" w:fill="auto"/>
            <w:tcMar>
              <w:left w:w="28" w:type="dxa"/>
              <w:right w:w="28" w:type="dxa"/>
            </w:tcMar>
            <w:vAlign w:val="center"/>
          </w:tcPr>
          <w:p w14:paraId="66B80B1D" w14:textId="77777777" w:rsidR="006B3342" w:rsidRPr="000B52C6" w:rsidRDefault="006B3342" w:rsidP="00513E25">
            <w:pPr>
              <w:pStyle w:val="TableText0"/>
              <w:jc w:val="center"/>
              <w:rPr>
                <w:lang w:val="en-AU" w:eastAsia="en-AU" w:bidi="ar-SA"/>
              </w:rPr>
            </w:pPr>
            <w:r w:rsidRPr="000B52C6">
              <w:rPr>
                <w:lang w:val="en-AU" w:eastAsia="en-AU" w:bidi="ar-SA"/>
              </w:rPr>
              <w:t xml:space="preserve">2.98 </w:t>
            </w:r>
          </w:p>
          <w:p w14:paraId="3D8F3605" w14:textId="77777777" w:rsidR="006B3342" w:rsidRPr="000B52C6" w:rsidRDefault="006B3342" w:rsidP="00513E25">
            <w:pPr>
              <w:pStyle w:val="TableText0"/>
              <w:jc w:val="center"/>
              <w:rPr>
                <w:lang w:val="en-AU" w:eastAsia="en-AU" w:bidi="ar-SA"/>
              </w:rPr>
            </w:pPr>
            <w:r w:rsidRPr="000B52C6">
              <w:rPr>
                <w:lang w:val="en-AU" w:eastAsia="en-AU" w:bidi="ar-SA"/>
              </w:rPr>
              <w:t>(1.44, 6.19)</w:t>
            </w:r>
          </w:p>
        </w:tc>
        <w:tc>
          <w:tcPr>
            <w:tcW w:w="704" w:type="pct"/>
            <w:shd w:val="clear" w:color="auto" w:fill="auto"/>
            <w:tcMar>
              <w:left w:w="28" w:type="dxa"/>
              <w:right w:w="28" w:type="dxa"/>
            </w:tcMar>
            <w:vAlign w:val="center"/>
          </w:tcPr>
          <w:p w14:paraId="3A183988" w14:textId="77777777" w:rsidR="006B3342" w:rsidRPr="000B52C6" w:rsidRDefault="006B3342" w:rsidP="00513E25">
            <w:pPr>
              <w:pStyle w:val="TableText0"/>
              <w:jc w:val="center"/>
              <w:rPr>
                <w:lang w:val="en-AU" w:eastAsia="en-AU" w:bidi="ar-SA"/>
              </w:rPr>
            </w:pPr>
            <w:r w:rsidRPr="000B52C6">
              <w:rPr>
                <w:lang w:val="en-AU" w:eastAsia="en-AU" w:bidi="ar-SA"/>
              </w:rPr>
              <w:t xml:space="preserve">0.04 </w:t>
            </w:r>
          </w:p>
          <w:p w14:paraId="4E63D678" w14:textId="77777777" w:rsidR="006B3342" w:rsidRPr="000B52C6" w:rsidRDefault="006B3342" w:rsidP="00513E25">
            <w:pPr>
              <w:pStyle w:val="TableText0"/>
              <w:jc w:val="center"/>
              <w:rPr>
                <w:lang w:val="en-AU" w:eastAsia="en-AU" w:bidi="ar-SA"/>
              </w:rPr>
            </w:pPr>
            <w:r w:rsidRPr="000B52C6">
              <w:rPr>
                <w:lang w:val="en-AU" w:eastAsia="en-AU" w:bidi="ar-SA"/>
              </w:rPr>
              <w:t>(0.01, 0.07)</w:t>
            </w:r>
          </w:p>
        </w:tc>
        <w:tc>
          <w:tcPr>
            <w:tcW w:w="704" w:type="pct"/>
            <w:shd w:val="clear" w:color="auto" w:fill="auto"/>
            <w:tcMar>
              <w:left w:w="28" w:type="dxa"/>
              <w:right w:w="28" w:type="dxa"/>
            </w:tcMar>
            <w:vAlign w:val="center"/>
          </w:tcPr>
          <w:p w14:paraId="67279F0B"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0.07 </w:t>
            </w:r>
          </w:p>
          <w:p w14:paraId="760D66F3"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(0.01, 0.74)</w:t>
            </w:r>
          </w:p>
        </w:tc>
        <w:tc>
          <w:tcPr>
            <w:tcW w:w="703" w:type="pct"/>
            <w:shd w:val="clear" w:color="auto" w:fill="auto"/>
            <w:tcMar>
              <w:left w:w="28" w:type="dxa"/>
              <w:right w:w="28" w:type="dxa"/>
            </w:tcMar>
            <w:vAlign w:val="center"/>
          </w:tcPr>
          <w:p w14:paraId="7B335F13"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-0.06 </w:t>
            </w:r>
          </w:p>
          <w:p w14:paraId="7CD36432"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(-0.1, -0.02)</w:t>
            </w:r>
          </w:p>
        </w:tc>
      </w:tr>
      <w:tr w:rsidR="006B3342" w:rsidRPr="000B52C6" w14:paraId="5AF5112F" w14:textId="77777777" w:rsidTr="005640E7">
        <w:trPr>
          <w:trHeight w:val="68"/>
        </w:trPr>
        <w:tc>
          <w:tcPr>
            <w:tcW w:w="936" w:type="pct"/>
            <w:shd w:val="clear" w:color="auto" w:fill="auto"/>
            <w:noWrap/>
            <w:tcMar>
              <w:left w:w="28" w:type="dxa"/>
              <w:right w:w="28" w:type="dxa"/>
            </w:tcMar>
            <w:hideMark/>
          </w:tcPr>
          <w:p w14:paraId="27A45936" w14:textId="77777777" w:rsidR="006B3342" w:rsidRPr="000B52C6" w:rsidRDefault="006B3342" w:rsidP="00513E25">
            <w:pPr>
              <w:pStyle w:val="TableText0"/>
              <w:rPr>
                <w:lang w:val="en-AU" w:eastAsia="en-AU" w:bidi="ar-SA"/>
              </w:rPr>
            </w:pPr>
            <w:r w:rsidRPr="000B52C6">
              <w:rPr>
                <w:lang w:val="en-AU" w:eastAsia="en-AU" w:bidi="ar-SA"/>
              </w:rPr>
              <w:t>Cardiac failure</w:t>
            </w:r>
          </w:p>
        </w:tc>
        <w:tc>
          <w:tcPr>
            <w:tcW w:w="703" w:type="pct"/>
            <w:shd w:val="clear" w:color="auto" w:fill="auto"/>
            <w:tcMar>
              <w:left w:w="28" w:type="dxa"/>
              <w:right w:w="28" w:type="dxa"/>
            </w:tcMar>
            <w:vAlign w:val="center"/>
          </w:tcPr>
          <w:p w14:paraId="66FF3FC9" w14:textId="77777777" w:rsidR="006B3342" w:rsidRPr="000B52C6" w:rsidRDefault="006B3342" w:rsidP="00513E25">
            <w:pPr>
              <w:pStyle w:val="TableText0"/>
              <w:jc w:val="center"/>
              <w:rPr>
                <w:lang w:val="en-AU" w:eastAsia="en-AU" w:bidi="ar-SA"/>
              </w:rPr>
            </w:pPr>
            <w:r w:rsidRPr="000B52C6">
              <w:rPr>
                <w:lang w:val="en-AU" w:eastAsia="en-AU" w:bidi="ar-SA"/>
              </w:rPr>
              <w:t xml:space="preserve">0.52 </w:t>
            </w:r>
          </w:p>
          <w:p w14:paraId="693EF3AF" w14:textId="77777777" w:rsidR="006B3342" w:rsidRPr="000B52C6" w:rsidRDefault="006B3342" w:rsidP="00513E25">
            <w:pPr>
              <w:pStyle w:val="TableText0"/>
              <w:jc w:val="center"/>
              <w:rPr>
                <w:lang w:val="en-AU" w:eastAsia="en-AU" w:bidi="ar-SA"/>
              </w:rPr>
            </w:pPr>
            <w:r w:rsidRPr="000B52C6">
              <w:rPr>
                <w:lang w:val="en-AU" w:eastAsia="en-AU" w:bidi="ar-SA"/>
              </w:rPr>
              <w:t>(0.05, 5.79)</w:t>
            </w:r>
          </w:p>
        </w:tc>
        <w:tc>
          <w:tcPr>
            <w:tcW w:w="625" w:type="pct"/>
            <w:shd w:val="clear" w:color="auto" w:fill="auto"/>
            <w:tcMar>
              <w:left w:w="28" w:type="dxa"/>
              <w:right w:w="28" w:type="dxa"/>
            </w:tcMar>
            <w:vAlign w:val="center"/>
          </w:tcPr>
          <w:p w14:paraId="2F176F78" w14:textId="77777777" w:rsidR="006B3342" w:rsidRPr="000B52C6" w:rsidRDefault="006B3342" w:rsidP="00513E25">
            <w:pPr>
              <w:pStyle w:val="TableText0"/>
              <w:jc w:val="center"/>
              <w:rPr>
                <w:lang w:val="en-AU" w:eastAsia="en-AU" w:bidi="ar-SA"/>
              </w:rPr>
            </w:pPr>
            <w:r w:rsidRPr="000B52C6">
              <w:rPr>
                <w:lang w:val="en-AU" w:eastAsia="en-AU" w:bidi="ar-SA"/>
              </w:rPr>
              <w:t xml:space="preserve">0 </w:t>
            </w:r>
          </w:p>
          <w:p w14:paraId="311C21D7" w14:textId="77777777" w:rsidR="006B3342" w:rsidRPr="000B52C6" w:rsidRDefault="006B3342" w:rsidP="00513E25">
            <w:pPr>
              <w:pStyle w:val="TableText0"/>
              <w:jc w:val="center"/>
              <w:rPr>
                <w:lang w:val="en-AU" w:eastAsia="en-AU" w:bidi="ar-SA"/>
              </w:rPr>
            </w:pPr>
            <w:r w:rsidRPr="000B52C6">
              <w:rPr>
                <w:lang w:val="en-AU" w:eastAsia="en-AU" w:bidi="ar-SA"/>
              </w:rPr>
              <w:t>(-0.02, 0.01)</w:t>
            </w:r>
          </w:p>
        </w:tc>
        <w:tc>
          <w:tcPr>
            <w:tcW w:w="625" w:type="pct"/>
            <w:shd w:val="clear" w:color="auto" w:fill="auto"/>
            <w:tcMar>
              <w:left w:w="28" w:type="dxa"/>
              <w:right w:w="28" w:type="dxa"/>
            </w:tcMar>
            <w:vAlign w:val="center"/>
          </w:tcPr>
          <w:p w14:paraId="1F4B0761" w14:textId="77777777" w:rsidR="006B3342" w:rsidRPr="000B52C6" w:rsidRDefault="006B3342" w:rsidP="00513E25">
            <w:pPr>
              <w:pStyle w:val="TableText0"/>
              <w:jc w:val="center"/>
              <w:rPr>
                <w:lang w:val="en-AU" w:eastAsia="en-AU" w:bidi="ar-SA"/>
              </w:rPr>
            </w:pPr>
            <w:r w:rsidRPr="000B52C6">
              <w:rPr>
                <w:lang w:val="en-AU" w:eastAsia="en-AU" w:bidi="ar-SA"/>
              </w:rPr>
              <w:t xml:space="preserve">3.2 </w:t>
            </w:r>
          </w:p>
          <w:p w14:paraId="1C66D8A6" w14:textId="77777777" w:rsidR="006B3342" w:rsidRPr="000B52C6" w:rsidRDefault="006B3342" w:rsidP="00513E25">
            <w:pPr>
              <w:pStyle w:val="TableText0"/>
              <w:jc w:val="center"/>
              <w:rPr>
                <w:lang w:val="en-AU" w:eastAsia="en-AU" w:bidi="ar-SA"/>
              </w:rPr>
            </w:pPr>
            <w:r w:rsidRPr="000B52C6">
              <w:rPr>
                <w:lang w:val="en-AU" w:eastAsia="en-AU" w:bidi="ar-SA"/>
              </w:rPr>
              <w:t>(1.49, 6.85)</w:t>
            </w:r>
          </w:p>
        </w:tc>
        <w:tc>
          <w:tcPr>
            <w:tcW w:w="704" w:type="pct"/>
            <w:shd w:val="clear" w:color="auto" w:fill="auto"/>
            <w:tcMar>
              <w:left w:w="28" w:type="dxa"/>
              <w:right w:w="28" w:type="dxa"/>
            </w:tcMar>
            <w:vAlign w:val="center"/>
          </w:tcPr>
          <w:p w14:paraId="30922BED" w14:textId="77777777" w:rsidR="006B3342" w:rsidRPr="000B52C6" w:rsidRDefault="006B3342" w:rsidP="00513E25">
            <w:pPr>
              <w:pStyle w:val="TableText0"/>
              <w:jc w:val="center"/>
              <w:rPr>
                <w:lang w:val="en-AU" w:eastAsia="en-AU" w:bidi="ar-SA"/>
              </w:rPr>
            </w:pPr>
            <w:r w:rsidRPr="000B52C6">
              <w:rPr>
                <w:lang w:val="en-AU" w:eastAsia="en-AU" w:bidi="ar-SA"/>
              </w:rPr>
              <w:t xml:space="preserve">0.04 </w:t>
            </w:r>
          </w:p>
          <w:p w14:paraId="72ABF1D8" w14:textId="77777777" w:rsidR="006B3342" w:rsidRPr="000B52C6" w:rsidRDefault="006B3342" w:rsidP="00513E25">
            <w:pPr>
              <w:pStyle w:val="TableText0"/>
              <w:jc w:val="center"/>
              <w:rPr>
                <w:lang w:val="en-AU" w:eastAsia="en-AU" w:bidi="ar-SA"/>
              </w:rPr>
            </w:pPr>
            <w:r w:rsidRPr="000B52C6">
              <w:rPr>
                <w:lang w:val="en-AU" w:eastAsia="en-AU" w:bidi="ar-SA"/>
              </w:rPr>
              <w:t>(0.02, 0.07)</w:t>
            </w:r>
          </w:p>
        </w:tc>
        <w:tc>
          <w:tcPr>
            <w:tcW w:w="704" w:type="pct"/>
            <w:shd w:val="clear" w:color="auto" w:fill="auto"/>
            <w:tcMar>
              <w:left w:w="28" w:type="dxa"/>
              <w:right w:w="28" w:type="dxa"/>
            </w:tcMar>
            <w:vAlign w:val="center"/>
          </w:tcPr>
          <w:p w14:paraId="4969E800" w14:textId="77777777" w:rsidR="006B3342" w:rsidRPr="000B52C6" w:rsidRDefault="006B3342" w:rsidP="00513E25">
            <w:pPr>
              <w:pStyle w:val="TableText0"/>
              <w:jc w:val="center"/>
              <w:rPr>
                <w:lang w:val="en-AU" w:eastAsia="en-AU" w:bidi="ar-SA"/>
              </w:rPr>
            </w:pPr>
            <w:r w:rsidRPr="000B52C6">
              <w:rPr>
                <w:lang w:val="en-AU" w:eastAsia="en-AU" w:bidi="ar-SA"/>
              </w:rPr>
              <w:t xml:space="preserve">0.16 </w:t>
            </w:r>
          </w:p>
          <w:p w14:paraId="7EF61DA4" w14:textId="77777777" w:rsidR="006B3342" w:rsidRPr="000B52C6" w:rsidRDefault="006B3342" w:rsidP="00513E25">
            <w:pPr>
              <w:pStyle w:val="TableText0"/>
              <w:jc w:val="center"/>
              <w:rPr>
                <w:lang w:val="en-AU" w:eastAsia="en-AU" w:bidi="ar-SA"/>
              </w:rPr>
            </w:pPr>
            <w:r w:rsidRPr="000B52C6">
              <w:rPr>
                <w:lang w:val="en-AU" w:eastAsia="en-AU" w:bidi="ar-SA"/>
              </w:rPr>
              <w:t>(0.01, 1.97)</w:t>
            </w:r>
          </w:p>
        </w:tc>
        <w:tc>
          <w:tcPr>
            <w:tcW w:w="703" w:type="pct"/>
            <w:shd w:val="clear" w:color="auto" w:fill="auto"/>
            <w:tcMar>
              <w:left w:w="28" w:type="dxa"/>
              <w:right w:w="28" w:type="dxa"/>
            </w:tcMar>
            <w:vAlign w:val="center"/>
          </w:tcPr>
          <w:p w14:paraId="42DC0E05"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-0.04 </w:t>
            </w:r>
          </w:p>
          <w:p w14:paraId="0F12AFF5" w14:textId="77777777" w:rsidR="006B3342" w:rsidRPr="000B52C6" w:rsidRDefault="006B3342" w:rsidP="00513E25">
            <w:pPr>
              <w:pStyle w:val="TableText0"/>
              <w:jc w:val="center"/>
              <w:rPr>
                <w:lang w:val="en-AU" w:eastAsia="en-AU" w:bidi="ar-SA"/>
              </w:rPr>
            </w:pPr>
            <w:r w:rsidRPr="000B52C6">
              <w:rPr>
                <w:b/>
                <w:bCs w:val="0"/>
                <w:lang w:val="en-AU" w:eastAsia="en-AU" w:bidi="ar-SA"/>
              </w:rPr>
              <w:t>(-0.07, -0.01)</w:t>
            </w:r>
          </w:p>
        </w:tc>
      </w:tr>
      <w:tr w:rsidR="006B3342" w:rsidRPr="000B52C6" w14:paraId="7BE954FB" w14:textId="77777777" w:rsidTr="005640E7">
        <w:trPr>
          <w:trHeight w:val="68"/>
        </w:trPr>
        <w:tc>
          <w:tcPr>
            <w:tcW w:w="936" w:type="pct"/>
            <w:shd w:val="clear" w:color="auto" w:fill="auto"/>
            <w:noWrap/>
            <w:tcMar>
              <w:left w:w="28" w:type="dxa"/>
              <w:right w:w="28" w:type="dxa"/>
            </w:tcMar>
            <w:hideMark/>
          </w:tcPr>
          <w:p w14:paraId="06A12759" w14:textId="77777777" w:rsidR="006B3342" w:rsidRPr="000B52C6" w:rsidRDefault="006B3342" w:rsidP="00513E25">
            <w:pPr>
              <w:pStyle w:val="TableText0"/>
              <w:rPr>
                <w:lang w:val="en-AU" w:eastAsia="en-AU" w:bidi="ar-SA"/>
              </w:rPr>
            </w:pPr>
            <w:r w:rsidRPr="000B52C6">
              <w:rPr>
                <w:lang w:val="en-AU" w:eastAsia="en-AU" w:bidi="ar-SA"/>
              </w:rPr>
              <w:t>Ischaemic heart disease</w:t>
            </w:r>
          </w:p>
        </w:tc>
        <w:tc>
          <w:tcPr>
            <w:tcW w:w="703" w:type="pct"/>
            <w:shd w:val="clear" w:color="auto" w:fill="auto"/>
            <w:tcMar>
              <w:left w:w="28" w:type="dxa"/>
              <w:right w:w="28" w:type="dxa"/>
            </w:tcMar>
            <w:vAlign w:val="center"/>
          </w:tcPr>
          <w:p w14:paraId="6F6F2AB1" w14:textId="5E658C9D" w:rsidR="006B3342" w:rsidRPr="000B52C6" w:rsidRDefault="006B3342" w:rsidP="00513E25">
            <w:pPr>
              <w:pStyle w:val="TableText0"/>
              <w:jc w:val="center"/>
              <w:rPr>
                <w:lang w:val="en-AU" w:eastAsia="en-AU" w:bidi="ar-SA"/>
              </w:rPr>
            </w:pPr>
            <w:r w:rsidRPr="000B52C6">
              <w:rPr>
                <w:lang w:val="en-AU" w:eastAsia="en-AU" w:bidi="ar-SA"/>
              </w:rPr>
              <w:t>0.35</w:t>
            </w:r>
          </w:p>
          <w:p w14:paraId="16C5AC55" w14:textId="0EAD376C" w:rsidR="006B3342" w:rsidRPr="000B52C6" w:rsidRDefault="006B3342" w:rsidP="00513E25">
            <w:pPr>
              <w:pStyle w:val="TableText0"/>
              <w:jc w:val="center"/>
              <w:rPr>
                <w:lang w:val="en-AU" w:eastAsia="en-AU" w:bidi="ar-SA"/>
              </w:rPr>
            </w:pPr>
            <w:r w:rsidRPr="000B52C6">
              <w:rPr>
                <w:lang w:val="en-AU" w:eastAsia="en-AU" w:bidi="ar-SA"/>
              </w:rPr>
              <w:t xml:space="preserve">(0.01, </w:t>
            </w:r>
            <w:proofErr w:type="gramStart"/>
            <w:r w:rsidRPr="000B52C6">
              <w:rPr>
                <w:lang w:val="en-AU" w:eastAsia="en-AU" w:bidi="ar-SA"/>
              </w:rPr>
              <w:t>8.57)</w:t>
            </w:r>
            <w:r w:rsidR="00B41302" w:rsidRPr="000B52C6">
              <w:rPr>
                <w:vertAlign w:val="superscript"/>
                <w:lang w:val="en-AU"/>
              </w:rPr>
              <w:t>b</w:t>
            </w:r>
            <w:proofErr w:type="gramEnd"/>
          </w:p>
        </w:tc>
        <w:tc>
          <w:tcPr>
            <w:tcW w:w="625" w:type="pct"/>
            <w:shd w:val="clear" w:color="auto" w:fill="auto"/>
            <w:tcMar>
              <w:left w:w="28" w:type="dxa"/>
              <w:right w:w="28" w:type="dxa"/>
            </w:tcMar>
            <w:vAlign w:val="center"/>
          </w:tcPr>
          <w:p w14:paraId="3870FF3D" w14:textId="77777777" w:rsidR="006B3342" w:rsidRPr="000B52C6" w:rsidRDefault="006B3342" w:rsidP="00513E25">
            <w:pPr>
              <w:pStyle w:val="TableText0"/>
              <w:jc w:val="center"/>
              <w:rPr>
                <w:lang w:val="en-AU" w:eastAsia="en-AU" w:bidi="ar-SA"/>
              </w:rPr>
            </w:pPr>
            <w:r w:rsidRPr="000B52C6">
              <w:rPr>
                <w:lang w:val="en-AU" w:eastAsia="en-AU" w:bidi="ar-SA"/>
              </w:rPr>
              <w:t xml:space="preserve">0 </w:t>
            </w:r>
          </w:p>
          <w:p w14:paraId="61FC9023" w14:textId="65C1B16F" w:rsidR="006B3342" w:rsidRPr="000B52C6" w:rsidRDefault="006B3342" w:rsidP="00513E25">
            <w:pPr>
              <w:pStyle w:val="TableText0"/>
              <w:jc w:val="center"/>
              <w:rPr>
                <w:lang w:val="en-AU" w:eastAsia="en-AU" w:bidi="ar-SA"/>
              </w:rPr>
            </w:pPr>
            <w:r w:rsidRPr="000B52C6">
              <w:rPr>
                <w:lang w:val="en-AU" w:eastAsia="en-AU" w:bidi="ar-SA"/>
              </w:rPr>
              <w:t xml:space="preserve">(-0.02, </w:t>
            </w:r>
            <w:proofErr w:type="gramStart"/>
            <w:r w:rsidRPr="000B52C6">
              <w:rPr>
                <w:lang w:val="en-AU" w:eastAsia="en-AU" w:bidi="ar-SA"/>
              </w:rPr>
              <w:t>0.01)</w:t>
            </w:r>
            <w:r w:rsidR="00B41302" w:rsidRPr="000B52C6">
              <w:rPr>
                <w:vertAlign w:val="superscript"/>
                <w:lang w:val="en-AU"/>
              </w:rPr>
              <w:t>b</w:t>
            </w:r>
            <w:proofErr w:type="gramEnd"/>
          </w:p>
        </w:tc>
        <w:tc>
          <w:tcPr>
            <w:tcW w:w="625" w:type="pct"/>
            <w:shd w:val="clear" w:color="auto" w:fill="auto"/>
            <w:tcMar>
              <w:left w:w="28" w:type="dxa"/>
              <w:right w:w="28" w:type="dxa"/>
            </w:tcMar>
            <w:vAlign w:val="center"/>
          </w:tcPr>
          <w:p w14:paraId="31328BC5" w14:textId="77777777" w:rsidR="006B3342" w:rsidRPr="000B52C6" w:rsidRDefault="006B3342" w:rsidP="00513E25">
            <w:pPr>
              <w:pStyle w:val="TableText0"/>
              <w:jc w:val="center"/>
              <w:rPr>
                <w:lang w:val="en-AU" w:eastAsia="en-AU" w:bidi="ar-SA"/>
              </w:rPr>
            </w:pPr>
            <w:r w:rsidRPr="000B52C6">
              <w:rPr>
                <w:lang w:val="en-AU" w:eastAsia="en-AU" w:bidi="ar-SA"/>
              </w:rPr>
              <w:t xml:space="preserve">1.71 </w:t>
            </w:r>
          </w:p>
          <w:p w14:paraId="7B28E479" w14:textId="77777777" w:rsidR="006B3342" w:rsidRPr="000B52C6" w:rsidRDefault="006B3342" w:rsidP="00513E25">
            <w:pPr>
              <w:pStyle w:val="TableText0"/>
              <w:jc w:val="center"/>
              <w:rPr>
                <w:lang w:val="en-AU" w:eastAsia="en-AU" w:bidi="ar-SA"/>
              </w:rPr>
            </w:pPr>
            <w:r w:rsidRPr="000B52C6">
              <w:rPr>
                <w:lang w:val="en-AU" w:eastAsia="en-AU" w:bidi="ar-SA"/>
              </w:rPr>
              <w:t>(0.67, 4.37)</w:t>
            </w:r>
          </w:p>
        </w:tc>
        <w:tc>
          <w:tcPr>
            <w:tcW w:w="704" w:type="pct"/>
            <w:shd w:val="clear" w:color="auto" w:fill="auto"/>
            <w:tcMar>
              <w:left w:w="28" w:type="dxa"/>
              <w:right w:w="28" w:type="dxa"/>
            </w:tcMar>
            <w:vAlign w:val="center"/>
          </w:tcPr>
          <w:p w14:paraId="6AD1E2FA" w14:textId="77777777" w:rsidR="006B3342" w:rsidRPr="000B52C6" w:rsidRDefault="006B3342" w:rsidP="00513E25">
            <w:pPr>
              <w:pStyle w:val="TableText0"/>
              <w:jc w:val="center"/>
              <w:rPr>
                <w:lang w:val="en-AU" w:eastAsia="en-AU" w:bidi="ar-SA"/>
              </w:rPr>
            </w:pPr>
            <w:r w:rsidRPr="000B52C6">
              <w:rPr>
                <w:lang w:val="en-AU" w:eastAsia="en-AU" w:bidi="ar-SA"/>
              </w:rPr>
              <w:t xml:space="preserve">0.01 </w:t>
            </w:r>
          </w:p>
          <w:p w14:paraId="10FD75C0" w14:textId="77777777" w:rsidR="006B3342" w:rsidRPr="000B52C6" w:rsidRDefault="006B3342" w:rsidP="00513E25">
            <w:pPr>
              <w:pStyle w:val="TableText0"/>
              <w:jc w:val="center"/>
              <w:rPr>
                <w:lang w:val="en-AU" w:eastAsia="en-AU" w:bidi="ar-SA"/>
              </w:rPr>
            </w:pPr>
            <w:r w:rsidRPr="000B52C6">
              <w:rPr>
                <w:lang w:val="en-AU" w:eastAsia="en-AU" w:bidi="ar-SA"/>
              </w:rPr>
              <w:t>(-0.01, 0.03)</w:t>
            </w:r>
          </w:p>
        </w:tc>
        <w:tc>
          <w:tcPr>
            <w:tcW w:w="704" w:type="pct"/>
            <w:shd w:val="clear" w:color="auto" w:fill="auto"/>
            <w:tcMar>
              <w:left w:w="28" w:type="dxa"/>
              <w:right w:w="28" w:type="dxa"/>
            </w:tcMar>
            <w:vAlign w:val="center"/>
          </w:tcPr>
          <w:p w14:paraId="669B1400" w14:textId="77777777" w:rsidR="006B3342" w:rsidRPr="000B52C6" w:rsidRDefault="006B3342" w:rsidP="00513E25">
            <w:pPr>
              <w:pStyle w:val="TableText0"/>
              <w:jc w:val="center"/>
              <w:rPr>
                <w:lang w:val="en-AU" w:eastAsia="en-AU" w:bidi="ar-SA"/>
              </w:rPr>
            </w:pPr>
            <w:r w:rsidRPr="000B52C6">
              <w:rPr>
                <w:lang w:val="en-AU" w:eastAsia="en-AU" w:bidi="ar-SA"/>
              </w:rPr>
              <w:t xml:space="preserve">0.2 </w:t>
            </w:r>
          </w:p>
          <w:p w14:paraId="665B2841" w14:textId="77777777" w:rsidR="006B3342" w:rsidRPr="000B52C6" w:rsidRDefault="006B3342" w:rsidP="00513E25">
            <w:pPr>
              <w:pStyle w:val="TableText0"/>
              <w:jc w:val="center"/>
              <w:rPr>
                <w:lang w:val="en-AU" w:eastAsia="en-AU" w:bidi="ar-SA"/>
              </w:rPr>
            </w:pPr>
            <w:r w:rsidRPr="000B52C6">
              <w:rPr>
                <w:lang w:val="en-AU" w:eastAsia="en-AU" w:bidi="ar-SA"/>
              </w:rPr>
              <w:t>(0.01, 6.81)</w:t>
            </w:r>
          </w:p>
        </w:tc>
        <w:tc>
          <w:tcPr>
            <w:tcW w:w="703" w:type="pct"/>
            <w:shd w:val="clear" w:color="auto" w:fill="auto"/>
            <w:tcMar>
              <w:left w:w="28" w:type="dxa"/>
              <w:right w:w="28" w:type="dxa"/>
            </w:tcMar>
            <w:vAlign w:val="center"/>
          </w:tcPr>
          <w:p w14:paraId="522420CD" w14:textId="77777777" w:rsidR="006B3342" w:rsidRPr="000B52C6" w:rsidRDefault="006B3342" w:rsidP="00513E25">
            <w:pPr>
              <w:pStyle w:val="TableText0"/>
              <w:jc w:val="center"/>
              <w:rPr>
                <w:lang w:val="en-AU" w:eastAsia="en-AU" w:bidi="ar-SA"/>
              </w:rPr>
            </w:pPr>
            <w:r w:rsidRPr="000B52C6">
              <w:rPr>
                <w:lang w:val="en-AU" w:eastAsia="en-AU" w:bidi="ar-SA"/>
              </w:rPr>
              <w:t xml:space="preserve">-0.01 </w:t>
            </w:r>
          </w:p>
          <w:p w14:paraId="4F0B347C" w14:textId="77777777" w:rsidR="006B3342" w:rsidRPr="000B52C6" w:rsidRDefault="006B3342" w:rsidP="00513E25">
            <w:pPr>
              <w:pStyle w:val="TableText0"/>
              <w:jc w:val="center"/>
              <w:rPr>
                <w:lang w:val="en-AU" w:eastAsia="en-AU" w:bidi="ar-SA"/>
              </w:rPr>
            </w:pPr>
            <w:r w:rsidRPr="000B52C6">
              <w:rPr>
                <w:lang w:val="en-AU" w:eastAsia="en-AU" w:bidi="ar-SA"/>
              </w:rPr>
              <w:t>(-0.04, 0.02)</w:t>
            </w:r>
          </w:p>
        </w:tc>
      </w:tr>
      <w:tr w:rsidR="006B3342" w:rsidRPr="000B52C6" w14:paraId="312BCA83" w14:textId="77777777" w:rsidTr="005640E7">
        <w:trPr>
          <w:trHeight w:val="68"/>
        </w:trPr>
        <w:tc>
          <w:tcPr>
            <w:tcW w:w="936" w:type="pct"/>
            <w:shd w:val="clear" w:color="auto" w:fill="auto"/>
            <w:noWrap/>
            <w:tcMar>
              <w:left w:w="28" w:type="dxa"/>
              <w:right w:w="28" w:type="dxa"/>
            </w:tcMar>
            <w:hideMark/>
          </w:tcPr>
          <w:p w14:paraId="416E1C84" w14:textId="77777777" w:rsidR="006B3342" w:rsidRPr="000B52C6" w:rsidRDefault="006B3342" w:rsidP="00513E25">
            <w:pPr>
              <w:pStyle w:val="TableText0"/>
              <w:rPr>
                <w:lang w:val="en-AU" w:eastAsia="en-AU" w:bidi="ar-SA"/>
              </w:rPr>
            </w:pPr>
            <w:r w:rsidRPr="000B52C6">
              <w:rPr>
                <w:lang w:val="en-AU" w:eastAsia="en-AU" w:bidi="ar-SA"/>
              </w:rPr>
              <w:t>Peripheral neuropathy</w:t>
            </w:r>
          </w:p>
        </w:tc>
        <w:tc>
          <w:tcPr>
            <w:tcW w:w="703" w:type="pct"/>
            <w:shd w:val="clear" w:color="auto" w:fill="auto"/>
            <w:tcMar>
              <w:left w:w="28" w:type="dxa"/>
              <w:right w:w="28" w:type="dxa"/>
            </w:tcMar>
            <w:vAlign w:val="center"/>
          </w:tcPr>
          <w:p w14:paraId="3848CD32" w14:textId="77777777" w:rsidR="006B3342" w:rsidRPr="000B52C6" w:rsidRDefault="006B3342" w:rsidP="00513E25">
            <w:pPr>
              <w:pStyle w:val="TableText0"/>
              <w:jc w:val="center"/>
              <w:rPr>
                <w:lang w:val="en-AU" w:eastAsia="en-AU" w:bidi="ar-SA"/>
              </w:rPr>
            </w:pPr>
            <w:r w:rsidRPr="000B52C6">
              <w:rPr>
                <w:lang w:val="en-AU" w:eastAsia="en-AU" w:bidi="ar-SA"/>
              </w:rPr>
              <w:t xml:space="preserve">0.5 </w:t>
            </w:r>
          </w:p>
          <w:p w14:paraId="5BF4B773" w14:textId="77777777" w:rsidR="006B3342" w:rsidRPr="000B52C6" w:rsidRDefault="006B3342" w:rsidP="00513E25">
            <w:pPr>
              <w:pStyle w:val="TableText0"/>
              <w:jc w:val="center"/>
              <w:rPr>
                <w:lang w:val="en-AU" w:eastAsia="en-AU" w:bidi="ar-SA"/>
              </w:rPr>
            </w:pPr>
            <w:r w:rsidRPr="000B52C6">
              <w:rPr>
                <w:lang w:val="en-AU" w:eastAsia="en-AU" w:bidi="ar-SA"/>
              </w:rPr>
              <w:t>(0.22, 1.14)</w:t>
            </w:r>
          </w:p>
        </w:tc>
        <w:tc>
          <w:tcPr>
            <w:tcW w:w="625" w:type="pct"/>
            <w:shd w:val="clear" w:color="auto" w:fill="auto"/>
            <w:tcMar>
              <w:left w:w="28" w:type="dxa"/>
              <w:right w:w="28" w:type="dxa"/>
            </w:tcMar>
            <w:vAlign w:val="center"/>
          </w:tcPr>
          <w:p w14:paraId="562EB122" w14:textId="77777777" w:rsidR="006B3342" w:rsidRPr="000B52C6" w:rsidRDefault="006B3342" w:rsidP="00513E25">
            <w:pPr>
              <w:pStyle w:val="TableText0"/>
              <w:jc w:val="center"/>
              <w:rPr>
                <w:lang w:val="en-AU" w:eastAsia="en-AU" w:bidi="ar-SA"/>
              </w:rPr>
            </w:pPr>
            <w:r w:rsidRPr="000B52C6">
              <w:rPr>
                <w:lang w:val="en-AU" w:eastAsia="en-AU" w:bidi="ar-SA"/>
              </w:rPr>
              <w:t xml:space="preserve">-0.04 </w:t>
            </w:r>
          </w:p>
          <w:p w14:paraId="584E56F1" w14:textId="77777777" w:rsidR="006B3342" w:rsidRPr="000B52C6" w:rsidRDefault="006B3342" w:rsidP="00513E25">
            <w:pPr>
              <w:pStyle w:val="TableText0"/>
              <w:jc w:val="center"/>
              <w:rPr>
                <w:lang w:val="en-AU" w:eastAsia="en-AU" w:bidi="ar-SA"/>
              </w:rPr>
            </w:pPr>
            <w:r w:rsidRPr="000B52C6">
              <w:rPr>
                <w:lang w:val="en-AU" w:eastAsia="en-AU" w:bidi="ar-SA"/>
              </w:rPr>
              <w:t>(-0.09, 0.01)</w:t>
            </w:r>
          </w:p>
        </w:tc>
        <w:tc>
          <w:tcPr>
            <w:tcW w:w="625" w:type="pct"/>
            <w:shd w:val="clear" w:color="auto" w:fill="auto"/>
            <w:tcMar>
              <w:left w:w="28" w:type="dxa"/>
              <w:right w:w="28" w:type="dxa"/>
            </w:tcMar>
            <w:vAlign w:val="center"/>
          </w:tcPr>
          <w:p w14:paraId="506A437A" w14:textId="77777777" w:rsidR="006B3342" w:rsidRPr="000B52C6" w:rsidRDefault="006B3342" w:rsidP="00513E25">
            <w:pPr>
              <w:pStyle w:val="TableText0"/>
              <w:jc w:val="center"/>
              <w:rPr>
                <w:lang w:val="en-AU" w:eastAsia="en-AU" w:bidi="ar-SA"/>
              </w:rPr>
            </w:pPr>
            <w:r w:rsidRPr="000B52C6">
              <w:rPr>
                <w:lang w:val="en-AU" w:eastAsia="en-AU" w:bidi="ar-SA"/>
              </w:rPr>
              <w:t xml:space="preserve">0.23 </w:t>
            </w:r>
          </w:p>
          <w:p w14:paraId="17AB76B1" w14:textId="77777777" w:rsidR="006B3342" w:rsidRPr="000B52C6" w:rsidRDefault="006B3342" w:rsidP="00513E25">
            <w:pPr>
              <w:pStyle w:val="TableText0"/>
              <w:jc w:val="center"/>
              <w:rPr>
                <w:lang w:val="en-AU" w:eastAsia="en-AU" w:bidi="ar-SA"/>
              </w:rPr>
            </w:pPr>
            <w:r w:rsidRPr="000B52C6">
              <w:rPr>
                <w:lang w:val="en-AU" w:eastAsia="en-AU" w:bidi="ar-SA"/>
              </w:rPr>
              <w:t>(0.12, 0.45)</w:t>
            </w:r>
          </w:p>
        </w:tc>
        <w:tc>
          <w:tcPr>
            <w:tcW w:w="704" w:type="pct"/>
            <w:shd w:val="clear" w:color="auto" w:fill="auto"/>
            <w:tcMar>
              <w:left w:w="28" w:type="dxa"/>
              <w:right w:w="28" w:type="dxa"/>
            </w:tcMar>
            <w:vAlign w:val="center"/>
          </w:tcPr>
          <w:p w14:paraId="27F50FD6" w14:textId="77777777" w:rsidR="006B3342" w:rsidRPr="000B52C6" w:rsidRDefault="006B3342" w:rsidP="00513E25">
            <w:pPr>
              <w:pStyle w:val="TableText0"/>
              <w:jc w:val="center"/>
              <w:rPr>
                <w:lang w:val="en-AU" w:eastAsia="en-AU" w:bidi="ar-SA"/>
              </w:rPr>
            </w:pPr>
            <w:r w:rsidRPr="000B52C6">
              <w:rPr>
                <w:lang w:val="en-AU" w:eastAsia="en-AU" w:bidi="ar-SA"/>
              </w:rPr>
              <w:t xml:space="preserve">-0.07 </w:t>
            </w:r>
          </w:p>
          <w:p w14:paraId="7F6D4CAB" w14:textId="77777777" w:rsidR="006B3342" w:rsidRPr="000B52C6" w:rsidRDefault="006B3342" w:rsidP="00513E25">
            <w:pPr>
              <w:pStyle w:val="TableText0"/>
              <w:jc w:val="center"/>
              <w:rPr>
                <w:lang w:val="en-AU" w:eastAsia="en-AU" w:bidi="ar-SA"/>
              </w:rPr>
            </w:pPr>
            <w:r w:rsidRPr="000B52C6">
              <w:rPr>
                <w:lang w:val="en-AU" w:eastAsia="en-AU" w:bidi="ar-SA"/>
              </w:rPr>
              <w:t>(-0.1, -0.04)</w:t>
            </w:r>
          </w:p>
        </w:tc>
        <w:tc>
          <w:tcPr>
            <w:tcW w:w="704" w:type="pct"/>
            <w:shd w:val="clear" w:color="auto" w:fill="auto"/>
            <w:tcMar>
              <w:left w:w="28" w:type="dxa"/>
              <w:right w:w="28" w:type="dxa"/>
            </w:tcMar>
            <w:vAlign w:val="center"/>
          </w:tcPr>
          <w:p w14:paraId="1F234AB6" w14:textId="77777777" w:rsidR="006B3342" w:rsidRPr="000B52C6" w:rsidRDefault="006B3342" w:rsidP="00513E25">
            <w:pPr>
              <w:pStyle w:val="TableText0"/>
              <w:jc w:val="center"/>
              <w:rPr>
                <w:lang w:val="en-AU" w:eastAsia="en-AU" w:bidi="ar-SA"/>
              </w:rPr>
            </w:pPr>
            <w:r w:rsidRPr="000B52C6">
              <w:rPr>
                <w:lang w:val="en-AU" w:eastAsia="en-AU" w:bidi="ar-SA"/>
              </w:rPr>
              <w:t xml:space="preserve">2.17 </w:t>
            </w:r>
          </w:p>
          <w:p w14:paraId="27F5F512" w14:textId="77777777" w:rsidR="006B3342" w:rsidRPr="000B52C6" w:rsidRDefault="006B3342" w:rsidP="00513E25">
            <w:pPr>
              <w:pStyle w:val="TableText0"/>
              <w:jc w:val="center"/>
              <w:rPr>
                <w:lang w:val="en-AU" w:eastAsia="en-AU" w:bidi="ar-SA"/>
              </w:rPr>
            </w:pPr>
            <w:r w:rsidRPr="000B52C6">
              <w:rPr>
                <w:lang w:val="en-AU" w:eastAsia="en-AU" w:bidi="ar-SA"/>
              </w:rPr>
              <w:t>(0.76, 6.24)</w:t>
            </w:r>
          </w:p>
        </w:tc>
        <w:tc>
          <w:tcPr>
            <w:tcW w:w="703" w:type="pct"/>
            <w:shd w:val="clear" w:color="auto" w:fill="auto"/>
            <w:tcMar>
              <w:left w:w="28" w:type="dxa"/>
              <w:right w:w="28" w:type="dxa"/>
            </w:tcMar>
            <w:vAlign w:val="center"/>
          </w:tcPr>
          <w:p w14:paraId="21C77BEC" w14:textId="77777777" w:rsidR="006B3342" w:rsidRPr="000B52C6" w:rsidRDefault="006B3342" w:rsidP="00513E25">
            <w:pPr>
              <w:pStyle w:val="TableText0"/>
              <w:jc w:val="center"/>
              <w:rPr>
                <w:lang w:val="en-AU" w:eastAsia="en-AU" w:bidi="ar-SA"/>
              </w:rPr>
            </w:pPr>
            <w:r w:rsidRPr="000B52C6">
              <w:rPr>
                <w:lang w:val="en-AU" w:eastAsia="en-AU" w:bidi="ar-SA"/>
              </w:rPr>
              <w:t xml:space="preserve">0.03 </w:t>
            </w:r>
          </w:p>
          <w:p w14:paraId="7CE9D20A" w14:textId="77777777" w:rsidR="006B3342" w:rsidRPr="000B52C6" w:rsidRDefault="006B3342" w:rsidP="00513E25">
            <w:pPr>
              <w:pStyle w:val="TableText0"/>
              <w:jc w:val="center"/>
              <w:rPr>
                <w:lang w:val="en-AU" w:eastAsia="en-AU" w:bidi="ar-SA"/>
              </w:rPr>
            </w:pPr>
            <w:r w:rsidRPr="000B52C6">
              <w:rPr>
                <w:lang w:val="en-AU" w:eastAsia="en-AU" w:bidi="ar-SA"/>
              </w:rPr>
              <w:t>(-0.03, 0.09)</w:t>
            </w:r>
          </w:p>
        </w:tc>
      </w:tr>
      <w:tr w:rsidR="006B3342" w:rsidRPr="000B52C6" w14:paraId="2CEF3E62" w14:textId="77777777" w:rsidTr="005640E7">
        <w:trPr>
          <w:trHeight w:val="68"/>
        </w:trPr>
        <w:tc>
          <w:tcPr>
            <w:tcW w:w="936" w:type="pct"/>
            <w:shd w:val="clear" w:color="auto" w:fill="auto"/>
            <w:noWrap/>
            <w:tcMar>
              <w:left w:w="28" w:type="dxa"/>
              <w:right w:w="28" w:type="dxa"/>
            </w:tcMar>
            <w:hideMark/>
          </w:tcPr>
          <w:p w14:paraId="7804C73F" w14:textId="77777777" w:rsidR="006B3342" w:rsidRPr="000B52C6" w:rsidRDefault="006B3342" w:rsidP="00513E25">
            <w:pPr>
              <w:pStyle w:val="TableText0"/>
              <w:rPr>
                <w:lang w:val="en-AU" w:eastAsia="en-AU" w:bidi="ar-SA"/>
              </w:rPr>
            </w:pPr>
            <w:r w:rsidRPr="000B52C6">
              <w:rPr>
                <w:lang w:val="en-AU" w:eastAsia="en-AU" w:bidi="ar-SA"/>
              </w:rPr>
              <w:t xml:space="preserve">Acute renal failure </w:t>
            </w:r>
          </w:p>
        </w:tc>
        <w:tc>
          <w:tcPr>
            <w:tcW w:w="703" w:type="pct"/>
            <w:shd w:val="clear" w:color="auto" w:fill="auto"/>
            <w:tcMar>
              <w:left w:w="28" w:type="dxa"/>
              <w:right w:w="28" w:type="dxa"/>
            </w:tcMar>
            <w:vAlign w:val="center"/>
          </w:tcPr>
          <w:p w14:paraId="6A5CBCE9" w14:textId="77777777" w:rsidR="006B3342" w:rsidRPr="000B52C6" w:rsidRDefault="006B3342" w:rsidP="00513E25">
            <w:pPr>
              <w:pStyle w:val="TableText0"/>
              <w:jc w:val="center"/>
              <w:rPr>
                <w:lang w:val="en-AU" w:eastAsia="en-AU" w:bidi="ar-SA"/>
              </w:rPr>
            </w:pPr>
            <w:r w:rsidRPr="000B52C6">
              <w:rPr>
                <w:lang w:val="en-AU" w:eastAsia="en-AU" w:bidi="ar-SA"/>
              </w:rPr>
              <w:t xml:space="preserve">1.58 </w:t>
            </w:r>
          </w:p>
          <w:p w14:paraId="02C82EC2" w14:textId="77777777" w:rsidR="006B3342" w:rsidRPr="000B52C6" w:rsidRDefault="006B3342" w:rsidP="00513E25">
            <w:pPr>
              <w:pStyle w:val="TableText0"/>
              <w:jc w:val="center"/>
              <w:rPr>
                <w:lang w:val="en-AU" w:eastAsia="en-AU" w:bidi="ar-SA"/>
              </w:rPr>
            </w:pPr>
            <w:r w:rsidRPr="000B52C6">
              <w:rPr>
                <w:lang w:val="en-AU" w:eastAsia="en-AU" w:bidi="ar-SA"/>
              </w:rPr>
              <w:t>(0.26, 9.55)</w:t>
            </w:r>
          </w:p>
        </w:tc>
        <w:tc>
          <w:tcPr>
            <w:tcW w:w="625" w:type="pct"/>
            <w:shd w:val="clear" w:color="auto" w:fill="auto"/>
            <w:tcMar>
              <w:left w:w="28" w:type="dxa"/>
              <w:right w:w="28" w:type="dxa"/>
            </w:tcMar>
            <w:vAlign w:val="center"/>
          </w:tcPr>
          <w:p w14:paraId="54B68278" w14:textId="77777777" w:rsidR="006B3342" w:rsidRPr="000B52C6" w:rsidRDefault="006B3342" w:rsidP="00513E25">
            <w:pPr>
              <w:pStyle w:val="TableText0"/>
              <w:jc w:val="center"/>
              <w:rPr>
                <w:lang w:val="en-AU" w:eastAsia="en-AU" w:bidi="ar-SA"/>
              </w:rPr>
            </w:pPr>
            <w:r w:rsidRPr="000B52C6">
              <w:rPr>
                <w:lang w:val="en-AU" w:eastAsia="en-AU" w:bidi="ar-SA"/>
              </w:rPr>
              <w:t xml:space="preserve">0.01 </w:t>
            </w:r>
          </w:p>
          <w:p w14:paraId="78B8260F" w14:textId="77777777" w:rsidR="006B3342" w:rsidRPr="000B52C6" w:rsidRDefault="006B3342" w:rsidP="00513E25">
            <w:pPr>
              <w:pStyle w:val="TableText0"/>
              <w:jc w:val="center"/>
              <w:rPr>
                <w:lang w:val="en-AU" w:eastAsia="en-AU" w:bidi="ar-SA"/>
              </w:rPr>
            </w:pPr>
            <w:r w:rsidRPr="000B52C6">
              <w:rPr>
                <w:lang w:val="en-AU" w:eastAsia="en-AU" w:bidi="ar-SA"/>
              </w:rPr>
              <w:t>(-0.02, 0.03)</w:t>
            </w:r>
          </w:p>
        </w:tc>
        <w:tc>
          <w:tcPr>
            <w:tcW w:w="625" w:type="pct"/>
            <w:shd w:val="clear" w:color="auto" w:fill="auto"/>
            <w:tcMar>
              <w:left w:w="28" w:type="dxa"/>
              <w:right w:w="28" w:type="dxa"/>
            </w:tcMar>
            <w:vAlign w:val="center"/>
          </w:tcPr>
          <w:p w14:paraId="4B9916F1" w14:textId="77777777" w:rsidR="006B3342" w:rsidRPr="000B52C6" w:rsidRDefault="006B3342" w:rsidP="00513E25">
            <w:pPr>
              <w:pStyle w:val="TableText0"/>
              <w:jc w:val="center"/>
              <w:rPr>
                <w:lang w:val="en-AU" w:eastAsia="en-AU" w:bidi="ar-SA"/>
              </w:rPr>
            </w:pPr>
            <w:r w:rsidRPr="000B52C6">
              <w:rPr>
                <w:lang w:val="en-AU" w:eastAsia="en-AU" w:bidi="ar-SA"/>
              </w:rPr>
              <w:t xml:space="preserve">1.7 </w:t>
            </w:r>
          </w:p>
          <w:p w14:paraId="4B120161" w14:textId="77777777" w:rsidR="006B3342" w:rsidRPr="000B52C6" w:rsidRDefault="006B3342" w:rsidP="00513E25">
            <w:pPr>
              <w:pStyle w:val="TableText0"/>
              <w:jc w:val="center"/>
              <w:rPr>
                <w:lang w:val="en-AU" w:eastAsia="en-AU" w:bidi="ar-SA"/>
              </w:rPr>
            </w:pPr>
            <w:r w:rsidRPr="000B52C6">
              <w:rPr>
                <w:lang w:val="en-AU" w:eastAsia="en-AU" w:bidi="ar-SA"/>
              </w:rPr>
              <w:t>(0.9, 3.21)</w:t>
            </w:r>
          </w:p>
        </w:tc>
        <w:tc>
          <w:tcPr>
            <w:tcW w:w="704" w:type="pct"/>
            <w:shd w:val="clear" w:color="auto" w:fill="auto"/>
            <w:tcMar>
              <w:left w:w="28" w:type="dxa"/>
              <w:right w:w="28" w:type="dxa"/>
            </w:tcMar>
            <w:vAlign w:val="center"/>
          </w:tcPr>
          <w:p w14:paraId="0CCBBA50" w14:textId="77777777" w:rsidR="006B3342" w:rsidRPr="000B52C6" w:rsidRDefault="006B3342" w:rsidP="00513E25">
            <w:pPr>
              <w:pStyle w:val="TableText0"/>
              <w:jc w:val="center"/>
              <w:rPr>
                <w:lang w:val="en-AU" w:eastAsia="en-AU" w:bidi="ar-SA"/>
              </w:rPr>
            </w:pPr>
            <w:r w:rsidRPr="000B52C6">
              <w:rPr>
                <w:lang w:val="en-AU" w:eastAsia="en-AU" w:bidi="ar-SA"/>
              </w:rPr>
              <w:t xml:space="preserve">0.02 </w:t>
            </w:r>
          </w:p>
          <w:p w14:paraId="7EB73AE4" w14:textId="77777777" w:rsidR="006B3342" w:rsidRPr="000B52C6" w:rsidRDefault="006B3342" w:rsidP="00513E25">
            <w:pPr>
              <w:pStyle w:val="TableText0"/>
              <w:jc w:val="center"/>
              <w:rPr>
                <w:lang w:val="en-AU" w:eastAsia="en-AU" w:bidi="ar-SA"/>
              </w:rPr>
            </w:pPr>
            <w:r w:rsidRPr="000B52C6">
              <w:rPr>
                <w:lang w:val="en-AU" w:eastAsia="en-AU" w:bidi="ar-SA"/>
              </w:rPr>
              <w:t>(0, 0.05)</w:t>
            </w:r>
          </w:p>
        </w:tc>
        <w:tc>
          <w:tcPr>
            <w:tcW w:w="704" w:type="pct"/>
            <w:shd w:val="clear" w:color="auto" w:fill="auto"/>
            <w:tcMar>
              <w:left w:w="28" w:type="dxa"/>
              <w:right w:w="28" w:type="dxa"/>
            </w:tcMar>
            <w:vAlign w:val="center"/>
          </w:tcPr>
          <w:p w14:paraId="565B46FF" w14:textId="77777777" w:rsidR="006B3342" w:rsidRPr="000B52C6" w:rsidRDefault="006B3342" w:rsidP="00513E25">
            <w:pPr>
              <w:pStyle w:val="TableText0"/>
              <w:jc w:val="center"/>
              <w:rPr>
                <w:lang w:val="en-AU" w:eastAsia="en-AU" w:bidi="ar-SA"/>
              </w:rPr>
            </w:pPr>
            <w:r w:rsidRPr="000B52C6">
              <w:rPr>
                <w:lang w:val="en-AU" w:eastAsia="en-AU" w:bidi="ar-SA"/>
              </w:rPr>
              <w:t xml:space="preserve">0.93 </w:t>
            </w:r>
          </w:p>
          <w:p w14:paraId="06BF7C62" w14:textId="77777777" w:rsidR="006B3342" w:rsidRPr="000B52C6" w:rsidRDefault="006B3342" w:rsidP="00513E25">
            <w:pPr>
              <w:pStyle w:val="TableText0"/>
              <w:jc w:val="center"/>
              <w:rPr>
                <w:lang w:val="en-AU" w:eastAsia="en-AU" w:bidi="ar-SA"/>
              </w:rPr>
            </w:pPr>
            <w:r w:rsidRPr="000B52C6">
              <w:rPr>
                <w:lang w:val="en-AU" w:eastAsia="en-AU" w:bidi="ar-SA"/>
              </w:rPr>
              <w:t>(0.14, 6.28)</w:t>
            </w:r>
          </w:p>
        </w:tc>
        <w:tc>
          <w:tcPr>
            <w:tcW w:w="703" w:type="pct"/>
            <w:shd w:val="clear" w:color="auto" w:fill="auto"/>
            <w:tcMar>
              <w:left w:w="28" w:type="dxa"/>
              <w:right w:w="28" w:type="dxa"/>
            </w:tcMar>
            <w:vAlign w:val="center"/>
          </w:tcPr>
          <w:p w14:paraId="7B13639C" w14:textId="77777777" w:rsidR="006B3342" w:rsidRPr="000B52C6" w:rsidRDefault="006B3342" w:rsidP="00513E25">
            <w:pPr>
              <w:pStyle w:val="TableText0"/>
              <w:jc w:val="center"/>
              <w:rPr>
                <w:lang w:val="en-AU" w:eastAsia="en-AU" w:bidi="ar-SA"/>
              </w:rPr>
            </w:pPr>
            <w:r w:rsidRPr="000B52C6">
              <w:rPr>
                <w:lang w:val="en-AU" w:eastAsia="en-AU" w:bidi="ar-SA"/>
              </w:rPr>
              <w:t xml:space="preserve">-0.01 </w:t>
            </w:r>
          </w:p>
          <w:p w14:paraId="31E157BA" w14:textId="77777777" w:rsidR="006B3342" w:rsidRPr="000B52C6" w:rsidRDefault="006B3342" w:rsidP="00513E25">
            <w:pPr>
              <w:pStyle w:val="TableText0"/>
              <w:jc w:val="center"/>
              <w:rPr>
                <w:lang w:val="en-AU" w:eastAsia="en-AU" w:bidi="ar-SA"/>
              </w:rPr>
            </w:pPr>
            <w:r w:rsidRPr="000B52C6">
              <w:rPr>
                <w:lang w:val="en-AU" w:eastAsia="en-AU" w:bidi="ar-SA"/>
              </w:rPr>
              <w:t>(-0.05, 0.03)</w:t>
            </w:r>
          </w:p>
        </w:tc>
      </w:tr>
      <w:tr w:rsidR="006B3342" w:rsidRPr="000B52C6" w14:paraId="692293F5" w14:textId="77777777" w:rsidTr="005640E7">
        <w:trPr>
          <w:trHeight w:val="68"/>
        </w:trPr>
        <w:tc>
          <w:tcPr>
            <w:tcW w:w="936" w:type="pct"/>
            <w:shd w:val="clear" w:color="auto" w:fill="auto"/>
            <w:noWrap/>
            <w:tcMar>
              <w:left w:w="28" w:type="dxa"/>
              <w:right w:w="28" w:type="dxa"/>
            </w:tcMar>
            <w:hideMark/>
          </w:tcPr>
          <w:p w14:paraId="7138F7D6" w14:textId="1358283E" w:rsidR="006B3342" w:rsidRPr="000B52C6" w:rsidRDefault="006B3342" w:rsidP="009968BB">
            <w:pPr>
              <w:pStyle w:val="TableText0"/>
              <w:rPr>
                <w:lang w:val="en-AU" w:eastAsia="en-AU" w:bidi="ar-SA"/>
              </w:rPr>
            </w:pPr>
            <w:r w:rsidRPr="000B52C6">
              <w:rPr>
                <w:lang w:val="en-AU" w:eastAsia="en-AU" w:bidi="ar-SA"/>
              </w:rPr>
              <w:t xml:space="preserve">Thrombocytopaenia </w:t>
            </w:r>
          </w:p>
        </w:tc>
        <w:tc>
          <w:tcPr>
            <w:tcW w:w="703" w:type="pct"/>
            <w:shd w:val="clear" w:color="auto" w:fill="auto"/>
            <w:tcMar>
              <w:left w:w="28" w:type="dxa"/>
              <w:right w:w="28" w:type="dxa"/>
            </w:tcMar>
            <w:vAlign w:val="center"/>
          </w:tcPr>
          <w:p w14:paraId="3188BC76" w14:textId="77777777" w:rsidR="006B3342" w:rsidRPr="000B52C6" w:rsidRDefault="006B3342" w:rsidP="00513E25">
            <w:pPr>
              <w:pStyle w:val="TableText0"/>
              <w:jc w:val="center"/>
              <w:rPr>
                <w:lang w:val="en-AU" w:eastAsia="en-AU" w:bidi="ar-SA"/>
              </w:rPr>
            </w:pPr>
            <w:r w:rsidRPr="000B52C6">
              <w:rPr>
                <w:lang w:val="en-AU" w:eastAsia="en-AU" w:bidi="ar-SA"/>
              </w:rPr>
              <w:t xml:space="preserve">3.15 </w:t>
            </w:r>
          </w:p>
          <w:p w14:paraId="65B2CE1C" w14:textId="77777777" w:rsidR="006B3342" w:rsidRPr="000B52C6" w:rsidRDefault="006B3342" w:rsidP="00513E25">
            <w:pPr>
              <w:pStyle w:val="TableText0"/>
              <w:jc w:val="center"/>
              <w:rPr>
                <w:lang w:val="en-AU" w:eastAsia="en-AU" w:bidi="ar-SA"/>
              </w:rPr>
            </w:pPr>
            <w:r w:rsidRPr="000B52C6">
              <w:rPr>
                <w:lang w:val="en-AU" w:eastAsia="en-AU" w:bidi="ar-SA"/>
              </w:rPr>
              <w:t>(1.98, 5.01)</w:t>
            </w:r>
          </w:p>
        </w:tc>
        <w:tc>
          <w:tcPr>
            <w:tcW w:w="625" w:type="pct"/>
            <w:shd w:val="clear" w:color="auto" w:fill="auto"/>
            <w:tcMar>
              <w:left w:w="28" w:type="dxa"/>
              <w:right w:w="28" w:type="dxa"/>
            </w:tcMar>
            <w:vAlign w:val="center"/>
          </w:tcPr>
          <w:p w14:paraId="179A00CF" w14:textId="77777777" w:rsidR="006B3342" w:rsidRPr="000B52C6" w:rsidRDefault="006B3342" w:rsidP="00513E25">
            <w:pPr>
              <w:pStyle w:val="TableText0"/>
              <w:jc w:val="center"/>
              <w:rPr>
                <w:lang w:val="en-AU" w:eastAsia="en-AU" w:bidi="ar-SA"/>
              </w:rPr>
            </w:pPr>
            <w:r w:rsidRPr="000B52C6">
              <w:rPr>
                <w:lang w:val="en-AU" w:eastAsia="en-AU" w:bidi="ar-SA"/>
              </w:rPr>
              <w:t xml:space="preserve">0.22 </w:t>
            </w:r>
          </w:p>
          <w:p w14:paraId="0A1DC99D" w14:textId="77777777" w:rsidR="006B3342" w:rsidRPr="000B52C6" w:rsidRDefault="006B3342" w:rsidP="00513E25">
            <w:pPr>
              <w:pStyle w:val="TableText0"/>
              <w:jc w:val="center"/>
              <w:rPr>
                <w:lang w:val="en-AU" w:eastAsia="en-AU" w:bidi="ar-SA"/>
              </w:rPr>
            </w:pPr>
            <w:r w:rsidRPr="000B52C6">
              <w:rPr>
                <w:lang w:val="en-AU" w:eastAsia="en-AU" w:bidi="ar-SA"/>
              </w:rPr>
              <w:t>(0.14, 0.31)</w:t>
            </w:r>
          </w:p>
        </w:tc>
        <w:tc>
          <w:tcPr>
            <w:tcW w:w="625" w:type="pct"/>
            <w:shd w:val="clear" w:color="auto" w:fill="auto"/>
            <w:tcMar>
              <w:left w:w="28" w:type="dxa"/>
              <w:right w:w="28" w:type="dxa"/>
            </w:tcMar>
            <w:vAlign w:val="center"/>
          </w:tcPr>
          <w:p w14:paraId="33CC394B" w14:textId="77777777" w:rsidR="006B3342" w:rsidRPr="000B52C6" w:rsidRDefault="006B3342" w:rsidP="00513E25">
            <w:pPr>
              <w:pStyle w:val="TableText0"/>
              <w:jc w:val="center"/>
              <w:rPr>
                <w:lang w:val="en-AU" w:eastAsia="en-AU" w:bidi="ar-SA"/>
              </w:rPr>
            </w:pPr>
            <w:r w:rsidRPr="000B52C6">
              <w:rPr>
                <w:lang w:val="en-AU" w:eastAsia="en-AU" w:bidi="ar-SA"/>
              </w:rPr>
              <w:t xml:space="preserve">0.83 </w:t>
            </w:r>
          </w:p>
          <w:p w14:paraId="3CBEC0FF" w14:textId="77777777" w:rsidR="006B3342" w:rsidRPr="000B52C6" w:rsidRDefault="006B3342" w:rsidP="00513E25">
            <w:pPr>
              <w:pStyle w:val="TableText0"/>
              <w:jc w:val="center"/>
              <w:rPr>
                <w:lang w:val="en-AU" w:eastAsia="en-AU" w:bidi="ar-SA"/>
              </w:rPr>
            </w:pPr>
            <w:r w:rsidRPr="000B52C6">
              <w:rPr>
                <w:lang w:val="en-AU" w:eastAsia="en-AU" w:bidi="ar-SA"/>
              </w:rPr>
              <w:t>(0.57, 1.21)</w:t>
            </w:r>
          </w:p>
        </w:tc>
        <w:tc>
          <w:tcPr>
            <w:tcW w:w="704" w:type="pct"/>
            <w:shd w:val="clear" w:color="auto" w:fill="auto"/>
            <w:tcMar>
              <w:left w:w="28" w:type="dxa"/>
              <w:right w:w="28" w:type="dxa"/>
            </w:tcMar>
            <w:vAlign w:val="center"/>
          </w:tcPr>
          <w:p w14:paraId="7CFECCCD" w14:textId="77777777" w:rsidR="006B3342" w:rsidRPr="000B52C6" w:rsidRDefault="006B3342" w:rsidP="00513E25">
            <w:pPr>
              <w:pStyle w:val="TableText0"/>
              <w:jc w:val="center"/>
              <w:rPr>
                <w:lang w:val="en-AU" w:eastAsia="en-AU" w:bidi="ar-SA"/>
              </w:rPr>
            </w:pPr>
            <w:r w:rsidRPr="000B52C6">
              <w:rPr>
                <w:lang w:val="en-AU" w:eastAsia="en-AU" w:bidi="ar-SA"/>
              </w:rPr>
              <w:t xml:space="preserve">-0.02 </w:t>
            </w:r>
          </w:p>
          <w:p w14:paraId="5603D054" w14:textId="77777777" w:rsidR="006B3342" w:rsidRPr="000B52C6" w:rsidRDefault="006B3342" w:rsidP="00513E25">
            <w:pPr>
              <w:pStyle w:val="TableText0"/>
              <w:jc w:val="center"/>
              <w:rPr>
                <w:lang w:val="en-AU" w:eastAsia="en-AU" w:bidi="ar-SA"/>
              </w:rPr>
            </w:pPr>
            <w:r w:rsidRPr="000B52C6">
              <w:rPr>
                <w:lang w:val="en-AU" w:eastAsia="en-AU" w:bidi="ar-SA"/>
              </w:rPr>
              <w:t>(-0.07, 0.02)</w:t>
            </w:r>
          </w:p>
        </w:tc>
        <w:tc>
          <w:tcPr>
            <w:tcW w:w="704" w:type="pct"/>
            <w:shd w:val="clear" w:color="auto" w:fill="auto"/>
            <w:tcMar>
              <w:left w:w="28" w:type="dxa"/>
              <w:right w:w="28" w:type="dxa"/>
            </w:tcMar>
            <w:vAlign w:val="center"/>
          </w:tcPr>
          <w:p w14:paraId="6B5C0A18"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3.8 </w:t>
            </w:r>
          </w:p>
          <w:p w14:paraId="44FC23EB"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(2.09, 6.9)</w:t>
            </w:r>
          </w:p>
        </w:tc>
        <w:tc>
          <w:tcPr>
            <w:tcW w:w="703" w:type="pct"/>
            <w:shd w:val="clear" w:color="auto" w:fill="auto"/>
            <w:tcMar>
              <w:left w:w="28" w:type="dxa"/>
              <w:right w:w="28" w:type="dxa"/>
            </w:tcMar>
            <w:vAlign w:val="center"/>
          </w:tcPr>
          <w:p w14:paraId="17FAC91D"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0.24 </w:t>
            </w:r>
          </w:p>
          <w:p w14:paraId="0B020FBE"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(0.14, 0.34)</w:t>
            </w:r>
          </w:p>
        </w:tc>
      </w:tr>
      <w:tr w:rsidR="006B3342" w:rsidRPr="000B52C6" w14:paraId="245939F1" w14:textId="77777777" w:rsidTr="005640E7">
        <w:trPr>
          <w:trHeight w:val="68"/>
        </w:trPr>
        <w:tc>
          <w:tcPr>
            <w:tcW w:w="936" w:type="pct"/>
            <w:shd w:val="clear" w:color="auto" w:fill="auto"/>
            <w:noWrap/>
            <w:tcMar>
              <w:left w:w="28" w:type="dxa"/>
              <w:right w:w="28" w:type="dxa"/>
            </w:tcMar>
            <w:hideMark/>
          </w:tcPr>
          <w:p w14:paraId="6E931716" w14:textId="77777777" w:rsidR="006B3342" w:rsidRPr="000B52C6" w:rsidRDefault="006B3342" w:rsidP="00513E25">
            <w:pPr>
              <w:pStyle w:val="TableText0"/>
              <w:rPr>
                <w:lang w:val="en-AU" w:eastAsia="en-AU" w:bidi="ar-SA"/>
              </w:rPr>
            </w:pPr>
            <w:r w:rsidRPr="000B52C6">
              <w:rPr>
                <w:lang w:val="en-AU" w:eastAsia="en-AU" w:bidi="ar-SA"/>
              </w:rPr>
              <w:t>Neutropenia</w:t>
            </w:r>
          </w:p>
        </w:tc>
        <w:tc>
          <w:tcPr>
            <w:tcW w:w="703" w:type="pct"/>
            <w:shd w:val="clear" w:color="auto" w:fill="auto"/>
            <w:tcMar>
              <w:left w:w="28" w:type="dxa"/>
              <w:right w:w="28" w:type="dxa"/>
            </w:tcMar>
            <w:vAlign w:val="center"/>
          </w:tcPr>
          <w:p w14:paraId="1BE99537" w14:textId="77777777" w:rsidR="006B3342" w:rsidRPr="000B52C6" w:rsidRDefault="006B3342" w:rsidP="00513E25">
            <w:pPr>
              <w:pStyle w:val="TableText0"/>
              <w:jc w:val="center"/>
              <w:rPr>
                <w:lang w:val="en-AU" w:eastAsia="en-AU" w:bidi="ar-SA"/>
              </w:rPr>
            </w:pPr>
            <w:r w:rsidRPr="000B52C6">
              <w:rPr>
                <w:lang w:val="en-AU" w:eastAsia="en-AU" w:bidi="ar-SA"/>
              </w:rPr>
              <w:t xml:space="preserve">2.69 </w:t>
            </w:r>
          </w:p>
          <w:p w14:paraId="6B0E19F2" w14:textId="77777777" w:rsidR="006B3342" w:rsidRPr="000B52C6" w:rsidRDefault="006B3342" w:rsidP="00513E25">
            <w:pPr>
              <w:pStyle w:val="TableText0"/>
              <w:jc w:val="center"/>
              <w:rPr>
                <w:lang w:val="en-AU" w:eastAsia="en-AU" w:bidi="ar-SA"/>
              </w:rPr>
            </w:pPr>
            <w:r w:rsidRPr="000B52C6">
              <w:rPr>
                <w:lang w:val="en-AU" w:eastAsia="en-AU" w:bidi="ar-SA"/>
              </w:rPr>
              <w:t>(1.09, 6.63)</w:t>
            </w:r>
          </w:p>
        </w:tc>
        <w:tc>
          <w:tcPr>
            <w:tcW w:w="625" w:type="pct"/>
            <w:shd w:val="clear" w:color="auto" w:fill="auto"/>
            <w:tcMar>
              <w:left w:w="28" w:type="dxa"/>
              <w:right w:w="28" w:type="dxa"/>
            </w:tcMar>
            <w:vAlign w:val="center"/>
          </w:tcPr>
          <w:p w14:paraId="1706573F" w14:textId="77777777" w:rsidR="006B3342" w:rsidRPr="000B52C6" w:rsidRDefault="006B3342" w:rsidP="00513E25">
            <w:pPr>
              <w:pStyle w:val="TableText0"/>
              <w:jc w:val="center"/>
              <w:rPr>
                <w:lang w:val="en-AU" w:eastAsia="en-AU" w:bidi="ar-SA"/>
              </w:rPr>
            </w:pPr>
            <w:r w:rsidRPr="000B52C6">
              <w:rPr>
                <w:lang w:val="en-AU" w:eastAsia="en-AU" w:bidi="ar-SA"/>
              </w:rPr>
              <w:t xml:space="preserve">0.05 </w:t>
            </w:r>
          </w:p>
          <w:p w14:paraId="694DC8F3" w14:textId="77777777" w:rsidR="006B3342" w:rsidRPr="000B52C6" w:rsidRDefault="006B3342" w:rsidP="00513E25">
            <w:pPr>
              <w:pStyle w:val="TableText0"/>
              <w:jc w:val="center"/>
              <w:rPr>
                <w:lang w:val="en-AU" w:eastAsia="en-AU" w:bidi="ar-SA"/>
              </w:rPr>
            </w:pPr>
            <w:r w:rsidRPr="000B52C6">
              <w:rPr>
                <w:lang w:val="en-AU" w:eastAsia="en-AU" w:bidi="ar-SA"/>
              </w:rPr>
              <w:t>(0.01, 0.1)</w:t>
            </w:r>
          </w:p>
        </w:tc>
        <w:tc>
          <w:tcPr>
            <w:tcW w:w="625" w:type="pct"/>
            <w:shd w:val="clear" w:color="auto" w:fill="auto"/>
            <w:tcMar>
              <w:left w:w="28" w:type="dxa"/>
              <w:right w:w="28" w:type="dxa"/>
            </w:tcMar>
            <w:vAlign w:val="center"/>
          </w:tcPr>
          <w:p w14:paraId="682313E7" w14:textId="77777777" w:rsidR="006B3342" w:rsidRPr="000B52C6" w:rsidRDefault="006B3342" w:rsidP="00513E25">
            <w:pPr>
              <w:pStyle w:val="TableText0"/>
              <w:jc w:val="center"/>
              <w:rPr>
                <w:lang w:val="en-AU" w:eastAsia="en-AU" w:bidi="ar-SA"/>
              </w:rPr>
            </w:pPr>
            <w:r w:rsidRPr="000B52C6">
              <w:rPr>
                <w:lang w:val="en-AU" w:eastAsia="en-AU" w:bidi="ar-SA"/>
              </w:rPr>
              <w:t xml:space="preserve">1.19 </w:t>
            </w:r>
          </w:p>
          <w:p w14:paraId="24BF67E6" w14:textId="77777777" w:rsidR="006B3342" w:rsidRPr="000B52C6" w:rsidRDefault="006B3342" w:rsidP="00513E25">
            <w:pPr>
              <w:pStyle w:val="TableText0"/>
              <w:jc w:val="center"/>
              <w:rPr>
                <w:lang w:val="en-AU" w:eastAsia="en-AU" w:bidi="ar-SA"/>
              </w:rPr>
            </w:pPr>
            <w:r w:rsidRPr="000B52C6">
              <w:rPr>
                <w:lang w:val="en-AU" w:eastAsia="en-AU" w:bidi="ar-SA"/>
              </w:rPr>
              <w:t>(0.51, 2.77)</w:t>
            </w:r>
          </w:p>
        </w:tc>
        <w:tc>
          <w:tcPr>
            <w:tcW w:w="704" w:type="pct"/>
            <w:shd w:val="clear" w:color="auto" w:fill="auto"/>
            <w:tcMar>
              <w:left w:w="28" w:type="dxa"/>
              <w:right w:w="28" w:type="dxa"/>
            </w:tcMar>
            <w:vAlign w:val="center"/>
          </w:tcPr>
          <w:p w14:paraId="5E01BA5E" w14:textId="77777777" w:rsidR="006B3342" w:rsidRPr="000B52C6" w:rsidRDefault="006B3342" w:rsidP="00513E25">
            <w:pPr>
              <w:pStyle w:val="TableText0"/>
              <w:jc w:val="center"/>
              <w:rPr>
                <w:lang w:val="en-AU" w:eastAsia="en-AU" w:bidi="ar-SA"/>
              </w:rPr>
            </w:pPr>
            <w:r w:rsidRPr="000B52C6">
              <w:rPr>
                <w:lang w:val="en-AU" w:eastAsia="en-AU" w:bidi="ar-SA"/>
              </w:rPr>
              <w:t xml:space="preserve">0 </w:t>
            </w:r>
          </w:p>
          <w:p w14:paraId="0357A3DC" w14:textId="77777777" w:rsidR="006B3342" w:rsidRPr="000B52C6" w:rsidRDefault="006B3342" w:rsidP="00513E25">
            <w:pPr>
              <w:pStyle w:val="TableText0"/>
              <w:jc w:val="center"/>
              <w:rPr>
                <w:lang w:val="en-AU" w:eastAsia="en-AU" w:bidi="ar-SA"/>
              </w:rPr>
            </w:pPr>
            <w:r w:rsidRPr="000B52C6">
              <w:rPr>
                <w:lang w:val="en-AU" w:eastAsia="en-AU" w:bidi="ar-SA"/>
              </w:rPr>
              <w:t>(-0.02, 0.02)</w:t>
            </w:r>
          </w:p>
        </w:tc>
        <w:tc>
          <w:tcPr>
            <w:tcW w:w="704" w:type="pct"/>
            <w:shd w:val="clear" w:color="auto" w:fill="auto"/>
            <w:tcMar>
              <w:left w:w="28" w:type="dxa"/>
              <w:right w:w="28" w:type="dxa"/>
            </w:tcMar>
            <w:vAlign w:val="center"/>
          </w:tcPr>
          <w:p w14:paraId="5435DE20" w14:textId="77777777" w:rsidR="006B3342" w:rsidRPr="000B52C6" w:rsidRDefault="006B3342" w:rsidP="00513E25">
            <w:pPr>
              <w:pStyle w:val="TableText0"/>
              <w:jc w:val="center"/>
              <w:rPr>
                <w:lang w:val="en-AU" w:eastAsia="en-AU" w:bidi="ar-SA"/>
              </w:rPr>
            </w:pPr>
            <w:r w:rsidRPr="000B52C6">
              <w:rPr>
                <w:lang w:val="en-AU" w:eastAsia="en-AU" w:bidi="ar-SA"/>
              </w:rPr>
              <w:t xml:space="preserve">2.26 </w:t>
            </w:r>
          </w:p>
          <w:p w14:paraId="31975C19" w14:textId="77777777" w:rsidR="006B3342" w:rsidRPr="000B52C6" w:rsidRDefault="006B3342" w:rsidP="00513E25">
            <w:pPr>
              <w:pStyle w:val="TableText0"/>
              <w:jc w:val="center"/>
              <w:rPr>
                <w:lang w:val="en-AU" w:eastAsia="en-AU" w:bidi="ar-SA"/>
              </w:rPr>
            </w:pPr>
            <w:r w:rsidRPr="000B52C6">
              <w:rPr>
                <w:lang w:val="en-AU" w:eastAsia="en-AU" w:bidi="ar-SA"/>
              </w:rPr>
              <w:t>(0.66, 7.79)</w:t>
            </w:r>
          </w:p>
        </w:tc>
        <w:tc>
          <w:tcPr>
            <w:tcW w:w="703" w:type="pct"/>
            <w:shd w:val="clear" w:color="auto" w:fill="auto"/>
            <w:tcMar>
              <w:left w:w="28" w:type="dxa"/>
              <w:right w:w="28" w:type="dxa"/>
            </w:tcMar>
            <w:vAlign w:val="center"/>
          </w:tcPr>
          <w:p w14:paraId="16B50932" w14:textId="77777777" w:rsidR="006B3342" w:rsidRPr="000B52C6" w:rsidRDefault="006B3342" w:rsidP="00513E25">
            <w:pPr>
              <w:pStyle w:val="TableText0"/>
              <w:jc w:val="center"/>
              <w:rPr>
                <w:b/>
                <w:bCs w:val="0"/>
                <w:lang w:val="en-AU" w:eastAsia="en-AU" w:bidi="ar-SA"/>
              </w:rPr>
            </w:pPr>
            <w:r w:rsidRPr="000B52C6">
              <w:rPr>
                <w:b/>
                <w:bCs w:val="0"/>
                <w:lang w:val="en-AU" w:eastAsia="en-AU" w:bidi="ar-SA"/>
              </w:rPr>
              <w:t xml:space="preserve">0.05 </w:t>
            </w:r>
          </w:p>
          <w:p w14:paraId="3A2E7C09" w14:textId="77777777" w:rsidR="006B3342" w:rsidRPr="000B52C6" w:rsidRDefault="006B3342" w:rsidP="00513E25">
            <w:pPr>
              <w:pStyle w:val="TableText0"/>
              <w:jc w:val="center"/>
              <w:rPr>
                <w:lang w:val="en-AU" w:eastAsia="en-AU" w:bidi="ar-SA"/>
              </w:rPr>
            </w:pPr>
            <w:r w:rsidRPr="000B52C6">
              <w:rPr>
                <w:b/>
                <w:bCs w:val="0"/>
                <w:lang w:val="en-AU" w:eastAsia="en-AU" w:bidi="ar-SA"/>
              </w:rPr>
              <w:t>(0, 0.1)</w:t>
            </w:r>
          </w:p>
        </w:tc>
      </w:tr>
    </w:tbl>
    <w:p w14:paraId="0E108FC5" w14:textId="77777777" w:rsidR="006B3342" w:rsidRPr="000B52C6" w:rsidRDefault="006B3342" w:rsidP="006B3342">
      <w:pPr>
        <w:pStyle w:val="TableFigureFooter"/>
      </w:pPr>
      <w:r w:rsidRPr="000B52C6">
        <w:t>Source: Table 2-46, pp138 of the resubmission.</w:t>
      </w:r>
    </w:p>
    <w:p w14:paraId="2C683B67" w14:textId="77777777" w:rsidR="006B3342" w:rsidRPr="000B52C6" w:rsidRDefault="006B3342" w:rsidP="006B3342">
      <w:pPr>
        <w:pStyle w:val="TableFigureFooter"/>
      </w:pPr>
      <w:r w:rsidRPr="000B52C6">
        <w:t xml:space="preserve">Abbreviations: AE = adverse events; Bd = bortezomib + dexamethasone; Cd = carfilzomib + dexamethasone; CI = confidence interval; OR = odds ratio; RD = risk difference; </w:t>
      </w:r>
      <w:proofErr w:type="spellStart"/>
      <w:r w:rsidRPr="000B52C6">
        <w:t>SBd</w:t>
      </w:r>
      <w:proofErr w:type="spellEnd"/>
      <w:r w:rsidRPr="000B52C6">
        <w:t xml:space="preserve"> = </w:t>
      </w:r>
      <w:proofErr w:type="spellStart"/>
      <w:r w:rsidRPr="000B52C6">
        <w:t>selinexor</w:t>
      </w:r>
      <w:proofErr w:type="spellEnd"/>
      <w:r w:rsidRPr="000B52C6">
        <w:t xml:space="preserve"> + bortezomib + dexamethasone; TEAE = treatment emergent adverse event. </w:t>
      </w:r>
    </w:p>
    <w:p w14:paraId="35BBB928" w14:textId="77777777" w:rsidR="006B3342" w:rsidRPr="000B52C6" w:rsidRDefault="006B3342" w:rsidP="006B3342">
      <w:pPr>
        <w:pStyle w:val="TableFigureFooter"/>
      </w:pPr>
      <w:r w:rsidRPr="000B52C6">
        <w:t>Notes: a. Calculated by the resubmission using Review Manager version 5.4.1.</w:t>
      </w:r>
    </w:p>
    <w:p w14:paraId="7DBB0C18" w14:textId="77777777" w:rsidR="006B3342" w:rsidRPr="000B52C6" w:rsidRDefault="006B3342" w:rsidP="006B3342">
      <w:pPr>
        <w:pStyle w:val="TableFigureFooter"/>
      </w:pPr>
      <w:r w:rsidRPr="000B52C6">
        <w:t xml:space="preserve">b. Referred to as ‘myocardial </w:t>
      </w:r>
      <w:proofErr w:type="spellStart"/>
      <w:r w:rsidRPr="000B52C6">
        <w:t>ischaemia</w:t>
      </w:r>
      <w:proofErr w:type="spellEnd"/>
      <w:r w:rsidRPr="000B52C6">
        <w:t xml:space="preserve">’.  </w:t>
      </w:r>
    </w:p>
    <w:p w14:paraId="0BCBE963" w14:textId="77777777" w:rsidR="006B3342" w:rsidRPr="000B52C6" w:rsidRDefault="006B3342" w:rsidP="006B3342">
      <w:pPr>
        <w:pStyle w:val="TableFigureFooter"/>
      </w:pPr>
    </w:p>
    <w:p w14:paraId="28C52766" w14:textId="77777777" w:rsidR="006B3342" w:rsidRPr="000B52C6" w:rsidRDefault="006B3342" w:rsidP="006B3342">
      <w:pPr>
        <w:pStyle w:val="4-SubsectionHeading"/>
      </w:pPr>
      <w:bookmarkStart w:id="41" w:name="_Toc22897643"/>
      <w:bookmarkStart w:id="42" w:name="_Toc93429926"/>
      <w:r w:rsidRPr="000B52C6">
        <w:t>Benefits/harms</w:t>
      </w:r>
      <w:bookmarkEnd w:id="41"/>
      <w:bookmarkEnd w:id="42"/>
    </w:p>
    <w:p w14:paraId="2E8542E1" w14:textId="77777777" w:rsidR="006B3342" w:rsidRPr="000B52C6" w:rsidRDefault="006B3342" w:rsidP="006B3342">
      <w:pPr>
        <w:pStyle w:val="3-BodyText"/>
        <w:ind w:left="720" w:hanging="720"/>
      </w:pPr>
      <w:r w:rsidRPr="000B52C6">
        <w:t xml:space="preserve">The resubmission presented a non-inferiority claim. </w:t>
      </w:r>
      <w:r w:rsidRPr="000B52C6">
        <w:rPr>
          <w:snapToGrid/>
        </w:rPr>
        <w:t>Accordingly, a summary of comparative benefits and harms has not been presented.</w:t>
      </w:r>
    </w:p>
    <w:p w14:paraId="49638EE0" w14:textId="620C36D6" w:rsidR="006B3342" w:rsidRPr="000B52C6" w:rsidRDefault="006B3342" w:rsidP="006B3342">
      <w:pPr>
        <w:pStyle w:val="4-SubsectionHeading"/>
      </w:pPr>
      <w:bookmarkStart w:id="43" w:name="_Toc22897644"/>
      <w:bookmarkStart w:id="44" w:name="_Toc93429927"/>
      <w:r w:rsidRPr="000B52C6">
        <w:t>Clinical claim</w:t>
      </w:r>
      <w:bookmarkEnd w:id="43"/>
      <w:bookmarkEnd w:id="44"/>
    </w:p>
    <w:p w14:paraId="0B6CF8C0" w14:textId="5763280E" w:rsidR="006B3342" w:rsidRPr="000B52C6" w:rsidRDefault="006B3342" w:rsidP="006B3342">
      <w:pPr>
        <w:pStyle w:val="3-BodyText"/>
        <w:ind w:left="720" w:hanging="720"/>
        <w:rPr>
          <w:rFonts w:eastAsia="Calibri"/>
        </w:rPr>
      </w:pPr>
      <w:proofErr w:type="gramStart"/>
      <w:r w:rsidRPr="000B52C6">
        <w:rPr>
          <w:rFonts w:eastAsia="Calibri"/>
          <w:iCs/>
        </w:rPr>
        <w:t>On the basis of</w:t>
      </w:r>
      <w:proofErr w:type="gramEnd"/>
      <w:r w:rsidRPr="000B52C6">
        <w:rPr>
          <w:rFonts w:eastAsia="Calibri"/>
          <w:iCs/>
        </w:rPr>
        <w:t xml:space="preserve"> the ITC, the resubmission claimed that </w:t>
      </w:r>
      <w:proofErr w:type="spellStart"/>
      <w:r w:rsidRPr="000B52C6">
        <w:rPr>
          <w:rFonts w:eastAsia="Calibri"/>
          <w:iCs/>
        </w:rPr>
        <w:t>SBd</w:t>
      </w:r>
      <w:proofErr w:type="spellEnd"/>
      <w:r w:rsidRPr="000B52C6">
        <w:rPr>
          <w:rFonts w:eastAsia="Calibri"/>
          <w:iCs/>
        </w:rPr>
        <w:t xml:space="preserve"> is non-inferior in terms of efficacy and has a different safety profile compared to Cd. The clinical claim of comparable efficacy was based on PFS, and the clinical claim of non-inferior but different safety profiles for </w:t>
      </w:r>
      <w:proofErr w:type="spellStart"/>
      <w:r w:rsidRPr="000B52C6">
        <w:rPr>
          <w:rFonts w:eastAsia="Calibri"/>
          <w:iCs/>
        </w:rPr>
        <w:t>SBd</w:t>
      </w:r>
      <w:proofErr w:type="spellEnd"/>
      <w:r w:rsidRPr="000B52C6">
        <w:rPr>
          <w:rFonts w:eastAsia="Calibri"/>
          <w:iCs/>
        </w:rPr>
        <w:t xml:space="preserve"> compared with Cd was based on a comparison of the overall AEs and </w:t>
      </w:r>
      <w:r w:rsidR="00DD2765" w:rsidRPr="000B52C6">
        <w:rPr>
          <w:rFonts w:eastAsia="Calibri"/>
          <w:iCs/>
        </w:rPr>
        <w:t xml:space="preserve">individual </w:t>
      </w:r>
      <w:r w:rsidRPr="000B52C6">
        <w:rPr>
          <w:rFonts w:eastAsia="Calibri"/>
          <w:iCs/>
        </w:rPr>
        <w:t xml:space="preserve">TEAE of Grade 3 or higher. </w:t>
      </w:r>
      <w:r w:rsidRPr="000B52C6">
        <w:rPr>
          <w:rFonts w:eastAsia="Calibri"/>
        </w:rPr>
        <w:t xml:space="preserve">The clinical claim of non-inferior efficacy of </w:t>
      </w:r>
      <w:proofErr w:type="spellStart"/>
      <w:r w:rsidRPr="000B52C6">
        <w:rPr>
          <w:rFonts w:eastAsia="Calibri"/>
        </w:rPr>
        <w:t>SBd</w:t>
      </w:r>
      <w:proofErr w:type="spellEnd"/>
      <w:r w:rsidRPr="000B52C6">
        <w:rPr>
          <w:rFonts w:eastAsia="Calibri"/>
        </w:rPr>
        <w:t xml:space="preserve"> versus Cd based on PFS rem</w:t>
      </w:r>
      <w:r w:rsidR="00F73907" w:rsidRPr="000B52C6">
        <w:rPr>
          <w:rFonts w:eastAsia="Calibri"/>
        </w:rPr>
        <w:t>a</w:t>
      </w:r>
      <w:r w:rsidRPr="000B52C6">
        <w:rPr>
          <w:rFonts w:eastAsia="Calibri"/>
        </w:rPr>
        <w:t xml:space="preserve">ined unchanged from the previous submission, while for safety, the July 2021 submission claimed </w:t>
      </w:r>
      <w:proofErr w:type="spellStart"/>
      <w:r w:rsidRPr="000B52C6">
        <w:rPr>
          <w:rFonts w:eastAsia="Calibri"/>
        </w:rPr>
        <w:t>SBd</w:t>
      </w:r>
      <w:proofErr w:type="spellEnd"/>
      <w:r w:rsidRPr="000B52C6">
        <w:rPr>
          <w:rFonts w:eastAsia="Calibri"/>
        </w:rPr>
        <w:t xml:space="preserve"> had a comparable but different safety profile compared to Cd. </w:t>
      </w:r>
    </w:p>
    <w:p w14:paraId="6E8F9B43" w14:textId="4CD538EA" w:rsidR="006B3342" w:rsidRPr="000B52C6" w:rsidRDefault="00F729CB" w:rsidP="00D2061D">
      <w:pPr>
        <w:pStyle w:val="3-BodyText"/>
        <w:snapToGrid w:val="0"/>
        <w:ind w:left="720" w:hanging="720"/>
        <w:rPr>
          <w:rFonts w:eastAsia="Calibri"/>
        </w:rPr>
      </w:pPr>
      <w:r w:rsidRPr="000B52C6">
        <w:rPr>
          <w:rFonts w:eastAsia="Calibri"/>
        </w:rPr>
        <w:t xml:space="preserve">While the adjusted ITCs addressed some concerns relating to differences in </w:t>
      </w:r>
      <w:r w:rsidR="00891018" w:rsidRPr="000B52C6">
        <w:rPr>
          <w:rFonts w:eastAsia="Calibri"/>
        </w:rPr>
        <w:t xml:space="preserve">baseline disease characteristics </w:t>
      </w:r>
      <w:r w:rsidRPr="000B52C6">
        <w:rPr>
          <w:rFonts w:eastAsia="Calibri"/>
        </w:rPr>
        <w:t>between BOSTON</w:t>
      </w:r>
      <w:r w:rsidR="00891018" w:rsidRPr="000B52C6">
        <w:rPr>
          <w:rFonts w:eastAsia="Calibri"/>
        </w:rPr>
        <w:t xml:space="preserve"> and ENDEAVOR, the ability</w:t>
      </w:r>
      <w:r w:rsidR="006B3342" w:rsidRPr="000B52C6">
        <w:rPr>
          <w:rFonts w:eastAsia="Calibri"/>
        </w:rPr>
        <w:t xml:space="preserve"> to draw conclusions from the results of the adjusted ITC</w:t>
      </w:r>
      <w:r w:rsidR="00891018" w:rsidRPr="000B52C6">
        <w:rPr>
          <w:rFonts w:eastAsia="Calibri"/>
        </w:rPr>
        <w:t>s</w:t>
      </w:r>
      <w:r w:rsidR="006B3342" w:rsidRPr="000B52C6">
        <w:rPr>
          <w:rFonts w:eastAsia="Calibri"/>
        </w:rPr>
        <w:t xml:space="preserve"> for the efficacy outcomes</w:t>
      </w:r>
      <w:r w:rsidR="00891018" w:rsidRPr="000B52C6">
        <w:rPr>
          <w:rFonts w:eastAsia="Calibri"/>
        </w:rPr>
        <w:t xml:space="preserve"> remained limited</w:t>
      </w:r>
      <w:r w:rsidR="006B3342" w:rsidRPr="000B52C6">
        <w:rPr>
          <w:rFonts w:eastAsia="Calibri"/>
        </w:rPr>
        <w:t xml:space="preserve"> given the </w:t>
      </w:r>
      <w:r w:rsidR="00891018" w:rsidRPr="000B52C6">
        <w:rPr>
          <w:rFonts w:eastAsia="Calibri"/>
        </w:rPr>
        <w:t xml:space="preserve">remaining </w:t>
      </w:r>
      <w:r w:rsidR="006B3342" w:rsidRPr="000B52C6">
        <w:rPr>
          <w:rFonts w:eastAsia="Calibri"/>
        </w:rPr>
        <w:t xml:space="preserve">underlying transitivity issues associated with the ITCs (period of conduct, differences in comparator regimen and differences in the maturity of the data). </w:t>
      </w:r>
      <w:r w:rsidR="00FD5141" w:rsidRPr="000B52C6">
        <w:rPr>
          <w:rFonts w:eastAsia="Calibri"/>
        </w:rPr>
        <w:t>The Commentary stated that g</w:t>
      </w:r>
      <w:r w:rsidR="006B3342" w:rsidRPr="000B52C6">
        <w:rPr>
          <w:rFonts w:eastAsia="Calibri"/>
        </w:rPr>
        <w:t xml:space="preserve">iven the submission did not include a stated clinically meaningful difference, the indirect nature of the comparison and the potential transitivity issues, the clinical claim with respect to Cd was not supported. Furthermore, a statistically significant improvement in OS was demonstrated for Cd versus Bd (in ENDEAVOR), but not for </w:t>
      </w:r>
      <w:proofErr w:type="spellStart"/>
      <w:r w:rsidR="006B3342" w:rsidRPr="000B52C6">
        <w:rPr>
          <w:rFonts w:eastAsia="Calibri"/>
        </w:rPr>
        <w:t>SBd</w:t>
      </w:r>
      <w:proofErr w:type="spellEnd"/>
      <w:r w:rsidR="006B3342" w:rsidRPr="000B52C6">
        <w:rPr>
          <w:rFonts w:eastAsia="Calibri"/>
        </w:rPr>
        <w:t xml:space="preserve"> versus Bd (in BOSTON)</w:t>
      </w:r>
      <w:r w:rsidR="00965DC1" w:rsidRPr="000B52C6">
        <w:rPr>
          <w:rFonts w:eastAsia="Calibri"/>
        </w:rPr>
        <w:t xml:space="preserve"> </w:t>
      </w:r>
      <w:r w:rsidR="00A1575D" w:rsidRPr="000B52C6">
        <w:rPr>
          <w:rFonts w:eastAsia="Calibri"/>
        </w:rPr>
        <w:t xml:space="preserve">potentially </w:t>
      </w:r>
      <w:r w:rsidR="00965DC1" w:rsidRPr="000B52C6">
        <w:rPr>
          <w:rFonts w:eastAsia="Calibri"/>
        </w:rPr>
        <w:t xml:space="preserve">due to </w:t>
      </w:r>
      <w:r w:rsidR="0055619C" w:rsidRPr="000B52C6">
        <w:rPr>
          <w:rFonts w:eastAsia="Calibri"/>
        </w:rPr>
        <w:t xml:space="preserve">both </w:t>
      </w:r>
      <w:r w:rsidR="00965DC1" w:rsidRPr="000B52C6">
        <w:rPr>
          <w:rFonts w:eastAsia="Calibri"/>
        </w:rPr>
        <w:t>immature OS data</w:t>
      </w:r>
      <w:r w:rsidR="0055619C" w:rsidRPr="000B52C6">
        <w:rPr>
          <w:rFonts w:eastAsia="Calibri"/>
        </w:rPr>
        <w:t xml:space="preserve"> and cross-over</w:t>
      </w:r>
      <w:r w:rsidR="006B3342" w:rsidRPr="000B52C6">
        <w:rPr>
          <w:rFonts w:eastAsia="Calibri"/>
        </w:rPr>
        <w:t>.</w:t>
      </w:r>
    </w:p>
    <w:p w14:paraId="31C225C8" w14:textId="024ED228" w:rsidR="00430BBD" w:rsidRPr="000B52C6" w:rsidRDefault="006B3342" w:rsidP="00FD461A">
      <w:pPr>
        <w:pStyle w:val="3-BodyText"/>
        <w:ind w:left="720" w:hanging="720"/>
        <w:rPr>
          <w:rFonts w:eastAsia="Calibri"/>
        </w:rPr>
      </w:pPr>
      <w:r w:rsidRPr="000B52C6">
        <w:rPr>
          <w:rFonts w:eastAsia="Calibri"/>
        </w:rPr>
        <w:t xml:space="preserve">In terms of comparative safety of </w:t>
      </w:r>
      <w:proofErr w:type="spellStart"/>
      <w:r w:rsidRPr="000B52C6">
        <w:rPr>
          <w:rFonts w:eastAsia="Calibri"/>
        </w:rPr>
        <w:t>SBd</w:t>
      </w:r>
      <w:proofErr w:type="spellEnd"/>
      <w:r w:rsidRPr="000B52C6">
        <w:rPr>
          <w:rFonts w:eastAsia="Calibri"/>
        </w:rPr>
        <w:t xml:space="preserve"> versus Cd, the </w:t>
      </w:r>
      <w:r w:rsidR="00FD5141" w:rsidRPr="000B52C6">
        <w:rPr>
          <w:rFonts w:eastAsia="Calibri"/>
        </w:rPr>
        <w:t xml:space="preserve">Commentary stated that the </w:t>
      </w:r>
      <w:r w:rsidRPr="000B52C6">
        <w:rPr>
          <w:rFonts w:eastAsia="Calibri"/>
        </w:rPr>
        <w:t xml:space="preserve">claim of comparable but different safety profile </w:t>
      </w:r>
      <w:r w:rsidR="00BB036C" w:rsidRPr="000B52C6">
        <w:rPr>
          <w:rFonts w:eastAsia="Calibri"/>
        </w:rPr>
        <w:t>was not</w:t>
      </w:r>
      <w:r w:rsidRPr="000B52C6">
        <w:rPr>
          <w:rFonts w:eastAsia="Calibri"/>
        </w:rPr>
        <w:t xml:space="preserve"> supported by the evidence given the unadjusted nature of the analyses presented by the resubmission which was confounded by the underlying transitivity issues between the studies. </w:t>
      </w:r>
      <w:r w:rsidR="00AA428E" w:rsidRPr="000B52C6">
        <w:rPr>
          <w:rFonts w:eastAsia="Calibri"/>
        </w:rPr>
        <w:t xml:space="preserve">The ESC considered that in terms of comparative safety of </w:t>
      </w:r>
      <w:proofErr w:type="spellStart"/>
      <w:r w:rsidR="00AA428E" w:rsidRPr="000B52C6">
        <w:rPr>
          <w:rFonts w:eastAsia="Calibri"/>
        </w:rPr>
        <w:t>SBd</w:t>
      </w:r>
      <w:proofErr w:type="spellEnd"/>
      <w:r w:rsidR="00AA428E" w:rsidRPr="000B52C6">
        <w:rPr>
          <w:rFonts w:eastAsia="Calibri"/>
        </w:rPr>
        <w:t xml:space="preserve"> versus Cd, a claim of comparable but different safety profile was </w:t>
      </w:r>
      <w:r w:rsidR="00E139B7" w:rsidRPr="000B52C6">
        <w:rPr>
          <w:rFonts w:eastAsia="Calibri"/>
        </w:rPr>
        <w:t xml:space="preserve">possibly </w:t>
      </w:r>
      <w:r w:rsidR="00AA428E" w:rsidRPr="000B52C6">
        <w:rPr>
          <w:rFonts w:eastAsia="Calibri"/>
        </w:rPr>
        <w:t>supported by the evidence</w:t>
      </w:r>
      <w:r w:rsidR="00D941CC" w:rsidRPr="000B52C6">
        <w:t>, however this was uncertain due to</w:t>
      </w:r>
      <w:r w:rsidR="00D941CC" w:rsidRPr="000B52C6">
        <w:rPr>
          <w:rFonts w:eastAsia="Calibri"/>
        </w:rPr>
        <w:t xml:space="preserve"> the limitations of the unadjusted analysis. </w:t>
      </w:r>
      <w:r w:rsidR="00430BBD" w:rsidRPr="000B52C6">
        <w:rPr>
          <w:rFonts w:eastAsia="Calibri"/>
        </w:rPr>
        <w:t xml:space="preserve">The ESC </w:t>
      </w:r>
      <w:r w:rsidR="00AA428E" w:rsidRPr="000B52C6">
        <w:rPr>
          <w:rFonts w:eastAsia="Calibri"/>
        </w:rPr>
        <w:t>considered that</w:t>
      </w:r>
      <w:r w:rsidR="00430BBD" w:rsidRPr="000B52C6">
        <w:rPr>
          <w:rFonts w:eastAsia="Calibri"/>
        </w:rPr>
        <w:t xml:space="preserve"> similar numbers of overall adverse events were noted for </w:t>
      </w:r>
      <w:proofErr w:type="spellStart"/>
      <w:r w:rsidR="00430BBD" w:rsidRPr="000B52C6">
        <w:rPr>
          <w:rFonts w:eastAsia="Calibri"/>
        </w:rPr>
        <w:t>SBd</w:t>
      </w:r>
      <w:proofErr w:type="spellEnd"/>
      <w:r w:rsidR="00430BBD" w:rsidRPr="000B52C6">
        <w:rPr>
          <w:rFonts w:eastAsia="Calibri"/>
        </w:rPr>
        <w:t xml:space="preserve"> and Cd (paragraph 6.4</w:t>
      </w:r>
      <w:r w:rsidR="003A3007" w:rsidRPr="000B52C6">
        <w:rPr>
          <w:rFonts w:eastAsia="Calibri"/>
        </w:rPr>
        <w:t>5</w:t>
      </w:r>
      <w:r w:rsidR="00430BBD" w:rsidRPr="000B52C6">
        <w:rPr>
          <w:rFonts w:eastAsia="Calibri"/>
        </w:rPr>
        <w:t xml:space="preserve">), however </w:t>
      </w:r>
      <w:proofErr w:type="spellStart"/>
      <w:r w:rsidR="00430BBD" w:rsidRPr="000B52C6">
        <w:rPr>
          <w:rFonts w:eastAsia="Calibri"/>
        </w:rPr>
        <w:t>SBd</w:t>
      </w:r>
      <w:proofErr w:type="spellEnd"/>
      <w:r w:rsidR="00430BBD" w:rsidRPr="000B52C6">
        <w:rPr>
          <w:rFonts w:eastAsia="Calibri"/>
        </w:rPr>
        <w:t xml:space="preserve"> patients were more likely to experience haematological adverse events, such as thrombocytopenia and fatigue; while Cd patients were more likely to have cardiovascular related toxicities such as hypertension, and dyspnoea.</w:t>
      </w:r>
      <w:r w:rsidR="00AA428E" w:rsidRPr="000B52C6">
        <w:rPr>
          <w:rFonts w:eastAsia="Calibri"/>
        </w:rPr>
        <w:t xml:space="preserve"> </w:t>
      </w:r>
    </w:p>
    <w:p w14:paraId="0FE226A4" w14:textId="68A06E56" w:rsidR="006A1B16" w:rsidRPr="000B52C6" w:rsidRDefault="006A1B16" w:rsidP="0029739D">
      <w:pPr>
        <w:pStyle w:val="3-BodyText"/>
        <w:ind w:left="720" w:hanging="720"/>
      </w:pPr>
      <w:bookmarkStart w:id="45" w:name="_Hlk76376200"/>
      <w:r w:rsidRPr="000B52C6">
        <w:rPr>
          <w:iCs/>
        </w:rPr>
        <w:t>The</w:t>
      </w:r>
      <w:r w:rsidRPr="000B52C6">
        <w:rPr>
          <w:szCs w:val="20"/>
        </w:rPr>
        <w:t xml:space="preserve"> PBAC considered that the claim of non-inferior comparative effectiveness was not adequately supported by the data.</w:t>
      </w:r>
      <w:r w:rsidR="0029739D" w:rsidRPr="000B52C6">
        <w:rPr>
          <w:szCs w:val="20"/>
        </w:rPr>
        <w:t xml:space="preserve"> </w:t>
      </w:r>
      <w:r w:rsidR="0029739D" w:rsidRPr="000B52C6">
        <w:t xml:space="preserve">The PBAC noted the additional analyses of PFS provided by the resubmission (Table 9 and Table 10), however considered that </w:t>
      </w:r>
      <w:r w:rsidR="0029739D" w:rsidRPr="000B52C6">
        <w:rPr>
          <w:iCs/>
        </w:rPr>
        <w:t xml:space="preserve">a lack of a statistically significant difference between </w:t>
      </w:r>
      <w:proofErr w:type="spellStart"/>
      <w:r w:rsidR="0029739D" w:rsidRPr="000B52C6">
        <w:rPr>
          <w:iCs/>
        </w:rPr>
        <w:t>SBd</w:t>
      </w:r>
      <w:proofErr w:type="spellEnd"/>
      <w:r w:rsidR="0029739D" w:rsidRPr="000B52C6">
        <w:rPr>
          <w:iCs/>
        </w:rPr>
        <w:t xml:space="preserve"> and Cd did not adequately establish non-inferiority. Secondly, the PBAC noted that a </w:t>
      </w:r>
      <w:r w:rsidR="0029739D" w:rsidRPr="000B52C6">
        <w:t xml:space="preserve">statistically significant improvement in OS was demonstrated for Cd versus Bd (in ENDEAVOR), but not for </w:t>
      </w:r>
      <w:proofErr w:type="spellStart"/>
      <w:r w:rsidR="0029739D" w:rsidRPr="000B52C6">
        <w:t>SBd</w:t>
      </w:r>
      <w:proofErr w:type="spellEnd"/>
      <w:r w:rsidR="0029739D" w:rsidRPr="000B52C6">
        <w:t xml:space="preserve"> versus Bd (in BOSTON). </w:t>
      </w:r>
    </w:p>
    <w:p w14:paraId="71F10E15" w14:textId="6DB5BDB8" w:rsidR="006A1B16" w:rsidRPr="000B52C6" w:rsidRDefault="006A1B16" w:rsidP="0029739D">
      <w:pPr>
        <w:widowControl w:val="0"/>
        <w:numPr>
          <w:ilvl w:val="1"/>
          <w:numId w:val="1"/>
        </w:numPr>
        <w:spacing w:after="120"/>
        <w:ind w:left="720" w:hanging="720"/>
        <w:rPr>
          <w:rFonts w:asciiTheme="minorHAnsi" w:hAnsiTheme="minorHAnsi"/>
          <w:snapToGrid w:val="0"/>
          <w:szCs w:val="20"/>
        </w:rPr>
      </w:pPr>
      <w:r w:rsidRPr="000B52C6">
        <w:rPr>
          <w:rFonts w:asciiTheme="minorHAnsi" w:hAnsiTheme="minorHAnsi"/>
          <w:snapToGrid w:val="0"/>
          <w:szCs w:val="20"/>
        </w:rPr>
        <w:t>The PBAC considered that the claim of non-inferior comparative safety was reasonable</w:t>
      </w:r>
      <w:r w:rsidR="0029739D" w:rsidRPr="000B52C6">
        <w:rPr>
          <w:rFonts w:asciiTheme="minorHAnsi" w:hAnsiTheme="minorHAnsi"/>
          <w:snapToGrid w:val="0"/>
          <w:szCs w:val="20"/>
        </w:rPr>
        <w:t xml:space="preserve">, noting that </w:t>
      </w:r>
      <w:proofErr w:type="spellStart"/>
      <w:r w:rsidR="0029739D" w:rsidRPr="000B52C6">
        <w:rPr>
          <w:rFonts w:asciiTheme="minorHAnsi" w:hAnsiTheme="minorHAnsi"/>
          <w:snapToGrid w:val="0"/>
          <w:szCs w:val="20"/>
        </w:rPr>
        <w:t>SBd</w:t>
      </w:r>
      <w:proofErr w:type="spellEnd"/>
      <w:r w:rsidR="0029739D" w:rsidRPr="000B52C6">
        <w:rPr>
          <w:rFonts w:asciiTheme="minorHAnsi" w:hAnsiTheme="minorHAnsi"/>
          <w:snapToGrid w:val="0"/>
          <w:szCs w:val="20"/>
        </w:rPr>
        <w:t xml:space="preserve"> is associated with a different safety profile compared with Cd. </w:t>
      </w:r>
      <w:r w:rsidR="0029739D" w:rsidRPr="000B52C6">
        <w:rPr>
          <w:rFonts w:eastAsia="Calibri"/>
        </w:rPr>
        <w:t xml:space="preserve">The PBAC considered that in general, the types of adverse associated with </w:t>
      </w:r>
      <w:proofErr w:type="spellStart"/>
      <w:r w:rsidR="0029739D" w:rsidRPr="000B52C6">
        <w:rPr>
          <w:rFonts w:eastAsia="Calibri"/>
        </w:rPr>
        <w:t>SBd</w:t>
      </w:r>
      <w:proofErr w:type="spellEnd"/>
      <w:r w:rsidR="0029739D" w:rsidRPr="000B52C6">
        <w:rPr>
          <w:rFonts w:eastAsia="Calibri"/>
        </w:rPr>
        <w:t xml:space="preserve"> are more easily managed than those experienced with Cd.</w:t>
      </w:r>
    </w:p>
    <w:bookmarkEnd w:id="45"/>
    <w:p w14:paraId="5FA33310" w14:textId="77777777" w:rsidR="006A1B16" w:rsidRPr="000B52C6" w:rsidRDefault="006A1B16" w:rsidP="0029739D">
      <w:pPr>
        <w:rPr>
          <w:rFonts w:eastAsia="Calibri"/>
        </w:rPr>
      </w:pPr>
    </w:p>
    <w:p w14:paraId="57E6D2C3" w14:textId="7CA3716D" w:rsidR="006B3342" w:rsidRPr="000B52C6" w:rsidRDefault="006B3342" w:rsidP="006B3342">
      <w:pPr>
        <w:pStyle w:val="4-SubsectionHeading"/>
      </w:pPr>
      <w:bookmarkStart w:id="46" w:name="_Toc22897645"/>
      <w:bookmarkStart w:id="47" w:name="_Toc93429928"/>
      <w:r w:rsidRPr="000B52C6">
        <w:t>Economic analysis</w:t>
      </w:r>
      <w:bookmarkEnd w:id="46"/>
      <w:bookmarkEnd w:id="47"/>
      <w:r w:rsidRPr="000B52C6">
        <w:t xml:space="preserve"> </w:t>
      </w:r>
    </w:p>
    <w:p w14:paraId="4D305CE7" w14:textId="2CCF810F" w:rsidR="006B3342" w:rsidRPr="000B52C6" w:rsidRDefault="006B3342" w:rsidP="006B3342">
      <w:pPr>
        <w:pStyle w:val="3-BodyText"/>
        <w:ind w:left="720" w:hanging="720"/>
      </w:pPr>
      <w:r w:rsidRPr="000B52C6">
        <w:t xml:space="preserve">The resubmission presented a CMA comparing </w:t>
      </w:r>
      <w:proofErr w:type="spellStart"/>
      <w:r w:rsidRPr="000B52C6">
        <w:t>SBd</w:t>
      </w:r>
      <w:proofErr w:type="spellEnd"/>
      <w:r w:rsidRPr="000B52C6">
        <w:t xml:space="preserve"> and Cd based on an ITC of BOSTON and ENDEAVOR. </w:t>
      </w:r>
      <w:r w:rsidR="004C6DE9" w:rsidRPr="000B52C6">
        <w:t>The resubmission noted that other regimens in this setting (</w:t>
      </w:r>
      <w:proofErr w:type="spellStart"/>
      <w:r w:rsidR="004C6DE9" w:rsidRPr="000B52C6">
        <w:t>ELd</w:t>
      </w:r>
      <w:proofErr w:type="spellEnd"/>
      <w:r w:rsidR="004C6DE9" w:rsidRPr="000B52C6">
        <w:t xml:space="preserve"> and </w:t>
      </w:r>
      <w:proofErr w:type="spellStart"/>
      <w:r w:rsidR="004C6DE9" w:rsidRPr="000B52C6">
        <w:t>PBd</w:t>
      </w:r>
      <w:proofErr w:type="spellEnd"/>
      <w:r w:rsidR="004C6DE9" w:rsidRPr="000B52C6">
        <w:t xml:space="preserve">) were recommended by the PBAC </w:t>
      </w:r>
      <w:proofErr w:type="gramStart"/>
      <w:r w:rsidR="004C6DE9" w:rsidRPr="000B52C6">
        <w:t>on the basis of</w:t>
      </w:r>
      <w:proofErr w:type="gramEnd"/>
      <w:r w:rsidR="004C6DE9" w:rsidRPr="000B52C6">
        <w:t xml:space="preserve"> a CMA against Cd. </w:t>
      </w:r>
      <w:r w:rsidRPr="000B52C6">
        <w:t xml:space="preserve">The key components and assumptions of the CMA are presented in </w:t>
      </w:r>
      <w:r w:rsidRPr="000B52C6">
        <w:fldChar w:fldCharType="begin"/>
      </w:r>
      <w:r w:rsidRPr="000B52C6">
        <w:instrText xml:space="preserve"> REF _Ref90370230 \h  \* MERGEFORMAT </w:instrText>
      </w:r>
      <w:r w:rsidRPr="000B52C6">
        <w:fldChar w:fldCharType="separate"/>
      </w:r>
      <w:r w:rsidR="00FF5725" w:rsidRPr="00FF5725">
        <w:t>Table 18</w:t>
      </w:r>
      <w:r w:rsidRPr="000B52C6">
        <w:fldChar w:fldCharType="end"/>
      </w:r>
      <w:r w:rsidRPr="000B52C6">
        <w:t>.</w:t>
      </w:r>
    </w:p>
    <w:p w14:paraId="7BDF0529" w14:textId="5F134C1C" w:rsidR="006B3342" w:rsidRPr="000B52C6" w:rsidRDefault="006B3342" w:rsidP="006B3342">
      <w:pPr>
        <w:pStyle w:val="3-BodyText"/>
        <w:ind w:left="720" w:hanging="720"/>
        <w:rPr>
          <w:iCs/>
        </w:rPr>
      </w:pPr>
      <w:r w:rsidRPr="000B52C6">
        <w:t xml:space="preserve">The July 2021 submission included both a cost-utility analysis (CUA) for </w:t>
      </w:r>
      <w:proofErr w:type="spellStart"/>
      <w:r w:rsidRPr="000B52C6">
        <w:t>SBd</w:t>
      </w:r>
      <w:proofErr w:type="spellEnd"/>
      <w:r w:rsidRPr="000B52C6">
        <w:t xml:space="preserve"> versus Bd; and a CMA for </w:t>
      </w:r>
      <w:proofErr w:type="spellStart"/>
      <w:r w:rsidRPr="000B52C6">
        <w:t>SBd</w:t>
      </w:r>
      <w:proofErr w:type="spellEnd"/>
      <w:r w:rsidRPr="000B52C6">
        <w:t xml:space="preserve"> versus Cd. However, the resubmission presented an economic evaluation based on a CMA only (</w:t>
      </w:r>
      <w:proofErr w:type="spellStart"/>
      <w:r w:rsidRPr="000B52C6">
        <w:t>SBd</w:t>
      </w:r>
      <w:proofErr w:type="spellEnd"/>
      <w:r w:rsidRPr="000B52C6">
        <w:t xml:space="preserve"> versus Cd).</w:t>
      </w:r>
      <w:r w:rsidRPr="000B52C6">
        <w:rPr>
          <w:iCs/>
        </w:rPr>
        <w:t xml:space="preserve"> </w:t>
      </w:r>
    </w:p>
    <w:p w14:paraId="35D5EB9C" w14:textId="382E2FD5" w:rsidR="006B3342" w:rsidRPr="000B52C6" w:rsidRDefault="006B3342" w:rsidP="006B3342">
      <w:pPr>
        <w:pStyle w:val="TableFigureHeading"/>
        <w:rPr>
          <w:rStyle w:val="CommentReference"/>
          <w:b/>
          <w:bCs w:val="0"/>
          <w:szCs w:val="24"/>
        </w:rPr>
      </w:pPr>
      <w:bookmarkStart w:id="48" w:name="_Ref90370230"/>
      <w:r w:rsidRPr="000B52C6">
        <w:rPr>
          <w:rStyle w:val="CommentReference"/>
          <w:b/>
          <w:bCs w:val="0"/>
          <w:szCs w:val="24"/>
        </w:rPr>
        <w:t xml:space="preserve">Table </w:t>
      </w:r>
      <w:r w:rsidRPr="000B52C6">
        <w:rPr>
          <w:rStyle w:val="CommentReference"/>
          <w:b/>
          <w:bCs w:val="0"/>
          <w:szCs w:val="24"/>
        </w:rPr>
        <w:fldChar w:fldCharType="begin"/>
      </w:r>
      <w:r w:rsidRPr="000B52C6">
        <w:rPr>
          <w:rStyle w:val="CommentReference"/>
          <w:b/>
          <w:bCs w:val="0"/>
          <w:szCs w:val="24"/>
        </w:rPr>
        <w:instrText xml:space="preserve"> SEQ Table \* ARABIC </w:instrText>
      </w:r>
      <w:r w:rsidRPr="000B52C6">
        <w:rPr>
          <w:rStyle w:val="CommentReference"/>
          <w:b/>
          <w:bCs w:val="0"/>
          <w:szCs w:val="24"/>
        </w:rPr>
        <w:fldChar w:fldCharType="separate"/>
      </w:r>
      <w:r w:rsidR="00FF5725">
        <w:rPr>
          <w:rStyle w:val="CommentReference"/>
          <w:b/>
          <w:bCs w:val="0"/>
          <w:noProof/>
          <w:szCs w:val="24"/>
        </w:rPr>
        <w:t>18</w:t>
      </w:r>
      <w:r w:rsidRPr="000B52C6">
        <w:rPr>
          <w:rStyle w:val="CommentReference"/>
          <w:b/>
          <w:bCs w:val="0"/>
          <w:szCs w:val="24"/>
        </w:rPr>
        <w:fldChar w:fldCharType="end"/>
      </w:r>
      <w:bookmarkEnd w:id="48"/>
      <w:r w:rsidRPr="000B52C6">
        <w:rPr>
          <w:rStyle w:val="CommentReference"/>
          <w:b/>
          <w:bCs w:val="0"/>
          <w:szCs w:val="24"/>
        </w:rPr>
        <w:t>: Key components and assumptions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961"/>
        <w:gridCol w:w="1961"/>
        <w:gridCol w:w="1960"/>
        <w:gridCol w:w="1960"/>
      </w:tblGrid>
      <w:tr w:rsidR="00F16E59" w:rsidRPr="000B52C6" w14:paraId="2EC41F98" w14:textId="5BAF5E99" w:rsidTr="005640E7">
        <w:trPr>
          <w:cantSplit/>
          <w:trHeight w:val="208"/>
          <w:tblHeader/>
        </w:trPr>
        <w:tc>
          <w:tcPr>
            <w:tcW w:w="651" w:type="pct"/>
            <w:tcMar>
              <w:left w:w="28" w:type="dxa"/>
              <w:right w:w="28" w:type="dxa"/>
            </w:tcMar>
            <w:vAlign w:val="center"/>
          </w:tcPr>
          <w:p w14:paraId="6ABC80EF" w14:textId="77777777" w:rsidR="004C6DE9" w:rsidRPr="000B52C6" w:rsidRDefault="004C6DE9" w:rsidP="00523521">
            <w:pPr>
              <w:pStyle w:val="In-tableHeading"/>
              <w:keepNext w:val="0"/>
              <w:rPr>
                <w:lang w:val="en-AU"/>
              </w:rPr>
            </w:pPr>
            <w:r w:rsidRPr="000B52C6">
              <w:rPr>
                <w:lang w:val="en-AU"/>
              </w:rPr>
              <w:t>Component</w:t>
            </w:r>
          </w:p>
        </w:tc>
        <w:tc>
          <w:tcPr>
            <w:tcW w:w="1087" w:type="pct"/>
            <w:shd w:val="clear" w:color="auto" w:fill="C6D9F1" w:themeFill="text2" w:themeFillTint="33"/>
            <w:tcMar>
              <w:left w:w="28" w:type="dxa"/>
              <w:right w:w="28" w:type="dxa"/>
            </w:tcMar>
          </w:tcPr>
          <w:p w14:paraId="1F424F68" w14:textId="149C900B" w:rsidR="004C6DE9" w:rsidRPr="000B52C6" w:rsidRDefault="004C6DE9" w:rsidP="00523521">
            <w:pPr>
              <w:pStyle w:val="In-tableHeading"/>
              <w:keepNext w:val="0"/>
              <w:rPr>
                <w:lang w:val="en-AU"/>
              </w:rPr>
            </w:pPr>
            <w:r w:rsidRPr="000B52C6">
              <w:rPr>
                <w:lang w:val="en-AU"/>
              </w:rPr>
              <w:t>July 2021 submission claim</w:t>
            </w:r>
            <w:r w:rsidR="004E6EC6" w:rsidRPr="000B52C6">
              <w:rPr>
                <w:lang w:val="en-AU"/>
              </w:rPr>
              <w:t xml:space="preserve"> </w:t>
            </w:r>
            <w:r w:rsidRPr="000B52C6">
              <w:rPr>
                <w:lang w:val="en-AU"/>
              </w:rPr>
              <w:t>or assumption</w:t>
            </w:r>
          </w:p>
        </w:tc>
        <w:tc>
          <w:tcPr>
            <w:tcW w:w="1087" w:type="pct"/>
            <w:tcMar>
              <w:left w:w="28" w:type="dxa"/>
              <w:right w:w="28" w:type="dxa"/>
            </w:tcMar>
            <w:vAlign w:val="center"/>
          </w:tcPr>
          <w:p w14:paraId="5CAB32AE" w14:textId="25285047" w:rsidR="004C6DE9" w:rsidRPr="000B52C6" w:rsidRDefault="00C848EA" w:rsidP="00523521">
            <w:pPr>
              <w:pStyle w:val="In-tableHeading"/>
              <w:keepNext w:val="0"/>
              <w:rPr>
                <w:lang w:val="en-AU"/>
              </w:rPr>
            </w:pPr>
            <w:r w:rsidRPr="000B52C6">
              <w:rPr>
                <w:lang w:val="en-AU"/>
              </w:rPr>
              <w:t>R</w:t>
            </w:r>
            <w:r w:rsidR="004C6DE9" w:rsidRPr="000B52C6">
              <w:rPr>
                <w:lang w:val="en-AU"/>
              </w:rPr>
              <w:t>esubmission claim or assumption</w:t>
            </w:r>
          </w:p>
        </w:tc>
        <w:tc>
          <w:tcPr>
            <w:tcW w:w="1087" w:type="pct"/>
            <w:tcMar>
              <w:left w:w="28" w:type="dxa"/>
              <w:right w:w="28" w:type="dxa"/>
            </w:tcMar>
            <w:vAlign w:val="center"/>
          </w:tcPr>
          <w:p w14:paraId="27EA7B44" w14:textId="5655BBA4" w:rsidR="004C6DE9" w:rsidRPr="000B52C6" w:rsidRDefault="007819C0" w:rsidP="00523521">
            <w:pPr>
              <w:pStyle w:val="In-tableHeading"/>
              <w:keepNext w:val="0"/>
              <w:rPr>
                <w:lang w:val="en-AU"/>
              </w:rPr>
            </w:pPr>
            <w:r w:rsidRPr="000B52C6">
              <w:rPr>
                <w:lang w:val="en-AU"/>
              </w:rPr>
              <w:t>PBAC</w:t>
            </w:r>
            <w:r w:rsidR="004C6DE9" w:rsidRPr="000B52C6">
              <w:rPr>
                <w:lang w:val="en-AU"/>
              </w:rPr>
              <w:t xml:space="preserve"> concern</w:t>
            </w:r>
          </w:p>
        </w:tc>
        <w:tc>
          <w:tcPr>
            <w:tcW w:w="1087" w:type="pct"/>
            <w:tcMar>
              <w:left w:w="28" w:type="dxa"/>
              <w:right w:w="28" w:type="dxa"/>
            </w:tcMar>
            <w:vAlign w:val="center"/>
          </w:tcPr>
          <w:p w14:paraId="71CCFE0D" w14:textId="25F52CD7" w:rsidR="004C6DE9" w:rsidRPr="000B52C6" w:rsidRDefault="004C6DE9" w:rsidP="00523521">
            <w:pPr>
              <w:pStyle w:val="In-tableHeading"/>
              <w:keepNext w:val="0"/>
              <w:rPr>
                <w:lang w:val="en-AU"/>
              </w:rPr>
            </w:pPr>
            <w:r w:rsidRPr="000B52C6">
              <w:rPr>
                <w:lang w:val="en-AU"/>
              </w:rPr>
              <w:t>C</w:t>
            </w:r>
            <w:r w:rsidR="00271E6F" w:rsidRPr="000B52C6">
              <w:rPr>
                <w:lang w:val="en-AU"/>
              </w:rPr>
              <w:t>omment</w:t>
            </w:r>
          </w:p>
        </w:tc>
      </w:tr>
      <w:tr w:rsidR="00F16E59" w:rsidRPr="000B52C6" w14:paraId="05B68DF9" w14:textId="603B3D32" w:rsidTr="005640E7">
        <w:trPr>
          <w:cantSplit/>
          <w:trHeight w:val="208"/>
        </w:trPr>
        <w:tc>
          <w:tcPr>
            <w:tcW w:w="651" w:type="pct"/>
            <w:shd w:val="clear" w:color="auto" w:fill="auto"/>
            <w:tcMar>
              <w:left w:w="28" w:type="dxa"/>
              <w:right w:w="28" w:type="dxa"/>
            </w:tcMar>
          </w:tcPr>
          <w:p w14:paraId="34FCD0A7" w14:textId="77777777" w:rsidR="004C6DE9" w:rsidRPr="000B52C6" w:rsidRDefault="004C6DE9" w:rsidP="00523521">
            <w:pPr>
              <w:pStyle w:val="TableText0"/>
              <w:keepNext w:val="0"/>
            </w:pPr>
            <w:r w:rsidRPr="000B52C6">
              <w:t>Therapeutic claim: effectiveness</w:t>
            </w:r>
          </w:p>
        </w:tc>
        <w:tc>
          <w:tcPr>
            <w:tcW w:w="1087" w:type="pct"/>
            <w:shd w:val="clear" w:color="auto" w:fill="C6D9F1" w:themeFill="text2" w:themeFillTint="33"/>
            <w:tcMar>
              <w:left w:w="28" w:type="dxa"/>
              <w:right w:w="28" w:type="dxa"/>
            </w:tcMar>
          </w:tcPr>
          <w:p w14:paraId="19342F07" w14:textId="48C9E732" w:rsidR="004C6DE9" w:rsidRPr="000B52C6" w:rsidDel="00576368" w:rsidRDefault="004C6DE9" w:rsidP="00523521">
            <w:pPr>
              <w:pStyle w:val="TableText0"/>
              <w:keepNext w:val="0"/>
            </w:pPr>
            <w:r w:rsidRPr="000B52C6">
              <w:t>Effectiveness is assumed to be non-inferior</w:t>
            </w:r>
            <w:r w:rsidR="00FE492B" w:rsidRPr="000B52C6">
              <w:t xml:space="preserve"> to Cd</w:t>
            </w:r>
          </w:p>
        </w:tc>
        <w:tc>
          <w:tcPr>
            <w:tcW w:w="1087" w:type="pct"/>
            <w:shd w:val="clear" w:color="auto" w:fill="auto"/>
            <w:tcMar>
              <w:left w:w="28" w:type="dxa"/>
              <w:right w:w="28" w:type="dxa"/>
            </w:tcMar>
          </w:tcPr>
          <w:p w14:paraId="61DD669D" w14:textId="7D9B1826" w:rsidR="004C6DE9" w:rsidRPr="000B52C6" w:rsidRDefault="004C6DE9" w:rsidP="00523521">
            <w:pPr>
              <w:pStyle w:val="TableText0"/>
              <w:keepNext w:val="0"/>
            </w:pPr>
            <w:r w:rsidRPr="000B52C6">
              <w:t>Effectiveness is assumed to be non-inferior</w:t>
            </w:r>
            <w:r w:rsidR="00FE492B" w:rsidRPr="000B52C6">
              <w:t xml:space="preserve"> to Cd</w:t>
            </w:r>
          </w:p>
        </w:tc>
        <w:tc>
          <w:tcPr>
            <w:tcW w:w="1087" w:type="pct"/>
            <w:shd w:val="clear" w:color="auto" w:fill="auto"/>
            <w:tcMar>
              <w:left w:w="28" w:type="dxa"/>
              <w:right w:w="28" w:type="dxa"/>
            </w:tcMar>
          </w:tcPr>
          <w:p w14:paraId="161124BE" w14:textId="1970612C" w:rsidR="004C6DE9" w:rsidRPr="000B52C6" w:rsidRDefault="007B109A" w:rsidP="00523521">
            <w:pPr>
              <w:pStyle w:val="TableText0"/>
              <w:keepNext w:val="0"/>
            </w:pPr>
            <w:r w:rsidRPr="000B52C6">
              <w:t>N/A</w:t>
            </w:r>
          </w:p>
        </w:tc>
        <w:tc>
          <w:tcPr>
            <w:tcW w:w="1087" w:type="pct"/>
            <w:shd w:val="clear" w:color="auto" w:fill="auto"/>
            <w:tcMar>
              <w:left w:w="28" w:type="dxa"/>
              <w:right w:w="28" w:type="dxa"/>
            </w:tcMar>
          </w:tcPr>
          <w:p w14:paraId="5BA78666" w14:textId="163B3D70" w:rsidR="004C6DE9" w:rsidRPr="000B52C6" w:rsidDel="00576368" w:rsidRDefault="007B109A" w:rsidP="00523521">
            <w:pPr>
              <w:pStyle w:val="TableText0"/>
              <w:keepNext w:val="0"/>
              <w:rPr>
                <w:iCs/>
              </w:rPr>
            </w:pPr>
            <w:r w:rsidRPr="000B52C6">
              <w:rPr>
                <w:iCs/>
              </w:rPr>
              <w:t>Remained u</w:t>
            </w:r>
            <w:r w:rsidR="004C6DE9" w:rsidRPr="000B52C6">
              <w:rPr>
                <w:iCs/>
              </w:rPr>
              <w:t>nchanged</w:t>
            </w:r>
          </w:p>
        </w:tc>
      </w:tr>
      <w:tr w:rsidR="00F16E59" w:rsidRPr="000B52C6" w14:paraId="34B26A20" w14:textId="44DBCBB9" w:rsidTr="005640E7">
        <w:trPr>
          <w:cantSplit/>
          <w:trHeight w:val="199"/>
        </w:trPr>
        <w:tc>
          <w:tcPr>
            <w:tcW w:w="651" w:type="pct"/>
            <w:shd w:val="clear" w:color="auto" w:fill="auto"/>
            <w:tcMar>
              <w:left w:w="28" w:type="dxa"/>
              <w:right w:w="28" w:type="dxa"/>
            </w:tcMar>
          </w:tcPr>
          <w:p w14:paraId="47714360" w14:textId="77777777" w:rsidR="004C6DE9" w:rsidRPr="000B52C6" w:rsidRDefault="004C6DE9" w:rsidP="00523521">
            <w:pPr>
              <w:pStyle w:val="TableText0"/>
              <w:keepNext w:val="0"/>
            </w:pPr>
            <w:r w:rsidRPr="000B52C6">
              <w:t>Therapeutic claim: safety</w:t>
            </w:r>
          </w:p>
        </w:tc>
        <w:tc>
          <w:tcPr>
            <w:tcW w:w="1087" w:type="pct"/>
            <w:shd w:val="clear" w:color="auto" w:fill="C6D9F1" w:themeFill="text2" w:themeFillTint="33"/>
            <w:tcMar>
              <w:left w:w="28" w:type="dxa"/>
              <w:right w:w="28" w:type="dxa"/>
            </w:tcMar>
          </w:tcPr>
          <w:p w14:paraId="5E34D616" w14:textId="48D6D028" w:rsidR="004C6DE9" w:rsidRPr="000B52C6" w:rsidDel="00576368" w:rsidRDefault="004C6DE9" w:rsidP="00523521">
            <w:pPr>
              <w:pStyle w:val="TableText0"/>
              <w:keepNext w:val="0"/>
            </w:pPr>
            <w:r w:rsidRPr="000B52C6">
              <w:t xml:space="preserve">Safety is assumed to be different </w:t>
            </w:r>
          </w:p>
        </w:tc>
        <w:tc>
          <w:tcPr>
            <w:tcW w:w="1087" w:type="pct"/>
            <w:shd w:val="clear" w:color="auto" w:fill="auto"/>
            <w:tcMar>
              <w:left w:w="28" w:type="dxa"/>
              <w:right w:w="28" w:type="dxa"/>
            </w:tcMar>
          </w:tcPr>
          <w:p w14:paraId="5F32A35F" w14:textId="042936C8" w:rsidR="004C6DE9" w:rsidRPr="000B52C6" w:rsidRDefault="004C6DE9" w:rsidP="00523521">
            <w:pPr>
              <w:pStyle w:val="TableText0"/>
              <w:keepNext w:val="0"/>
            </w:pPr>
            <w:r w:rsidRPr="000B52C6">
              <w:t xml:space="preserve">Safety is assumed to be different </w:t>
            </w:r>
          </w:p>
        </w:tc>
        <w:tc>
          <w:tcPr>
            <w:tcW w:w="1087" w:type="pct"/>
            <w:shd w:val="clear" w:color="auto" w:fill="auto"/>
            <w:tcMar>
              <w:left w:w="28" w:type="dxa"/>
              <w:right w:w="28" w:type="dxa"/>
            </w:tcMar>
          </w:tcPr>
          <w:p w14:paraId="6C4A444F" w14:textId="1CD2D09F" w:rsidR="004C6DE9" w:rsidRPr="000B52C6" w:rsidRDefault="004C6DE9" w:rsidP="00523521">
            <w:pPr>
              <w:pStyle w:val="TableText0"/>
              <w:keepNext w:val="0"/>
            </w:pPr>
            <w:r w:rsidRPr="000B52C6">
              <w:t>N/A</w:t>
            </w:r>
          </w:p>
        </w:tc>
        <w:tc>
          <w:tcPr>
            <w:tcW w:w="1087" w:type="pct"/>
            <w:shd w:val="clear" w:color="auto" w:fill="auto"/>
            <w:tcMar>
              <w:left w:w="28" w:type="dxa"/>
              <w:right w:w="28" w:type="dxa"/>
            </w:tcMar>
          </w:tcPr>
          <w:p w14:paraId="3F235BC9" w14:textId="3B54D227" w:rsidR="004C6DE9" w:rsidRPr="000B52C6" w:rsidDel="00576368" w:rsidRDefault="007B109A" w:rsidP="00523521">
            <w:pPr>
              <w:pStyle w:val="TableText0"/>
              <w:keepNext w:val="0"/>
            </w:pPr>
            <w:r w:rsidRPr="000B52C6">
              <w:rPr>
                <w:iCs/>
              </w:rPr>
              <w:t>Remained unchanged</w:t>
            </w:r>
          </w:p>
        </w:tc>
      </w:tr>
      <w:tr w:rsidR="00F16E59" w:rsidRPr="000B52C6" w14:paraId="1C87B8DF" w14:textId="4A851738" w:rsidTr="005640E7">
        <w:trPr>
          <w:cantSplit/>
          <w:trHeight w:val="625"/>
        </w:trPr>
        <w:tc>
          <w:tcPr>
            <w:tcW w:w="651" w:type="pct"/>
            <w:tcMar>
              <w:left w:w="28" w:type="dxa"/>
              <w:right w:w="28" w:type="dxa"/>
            </w:tcMar>
          </w:tcPr>
          <w:p w14:paraId="3B9E15B5" w14:textId="77777777" w:rsidR="004C6DE9" w:rsidRPr="000B52C6" w:rsidRDefault="004C6DE9" w:rsidP="00523521">
            <w:pPr>
              <w:pStyle w:val="TableText0"/>
              <w:keepNext w:val="0"/>
            </w:pPr>
            <w:r w:rsidRPr="000B52C6">
              <w:t>Evidence base</w:t>
            </w:r>
          </w:p>
        </w:tc>
        <w:tc>
          <w:tcPr>
            <w:tcW w:w="1087" w:type="pct"/>
            <w:shd w:val="clear" w:color="auto" w:fill="C6D9F1" w:themeFill="text2" w:themeFillTint="33"/>
            <w:tcMar>
              <w:left w:w="28" w:type="dxa"/>
              <w:right w:w="28" w:type="dxa"/>
            </w:tcMar>
          </w:tcPr>
          <w:p w14:paraId="7B63AFA2" w14:textId="6B4C87A1" w:rsidR="004C6DE9" w:rsidRPr="000B52C6" w:rsidRDefault="004C6DE9" w:rsidP="00523521">
            <w:pPr>
              <w:pStyle w:val="Tabletext"/>
            </w:pPr>
            <w:r w:rsidRPr="000B52C6">
              <w:t xml:space="preserve">A naïve ITC comparing </w:t>
            </w:r>
            <w:proofErr w:type="spellStart"/>
            <w:r w:rsidRPr="000B52C6">
              <w:t>SBd</w:t>
            </w:r>
            <w:proofErr w:type="spellEnd"/>
            <w:r w:rsidRPr="000B52C6">
              <w:t xml:space="preserve"> and Cd using data from the BOSTON and ENDEAVOR trials.</w:t>
            </w:r>
          </w:p>
        </w:tc>
        <w:tc>
          <w:tcPr>
            <w:tcW w:w="1087" w:type="pct"/>
            <w:tcMar>
              <w:left w:w="28" w:type="dxa"/>
              <w:right w:w="28" w:type="dxa"/>
            </w:tcMar>
          </w:tcPr>
          <w:p w14:paraId="3AB3908E" w14:textId="4DDAD4AA" w:rsidR="004C6DE9" w:rsidRPr="000B52C6" w:rsidRDefault="004C6DE9" w:rsidP="00523521">
            <w:pPr>
              <w:pStyle w:val="Tabletext"/>
            </w:pPr>
            <w:r w:rsidRPr="000B52C6">
              <w:t xml:space="preserve">An adjusted ITC comparing </w:t>
            </w:r>
            <w:proofErr w:type="spellStart"/>
            <w:r w:rsidRPr="000B52C6">
              <w:t>SBd</w:t>
            </w:r>
            <w:proofErr w:type="spellEnd"/>
            <w:r w:rsidRPr="000B52C6">
              <w:t xml:space="preserve"> and Cd in </w:t>
            </w:r>
            <w:r w:rsidR="00796D93" w:rsidRPr="000B52C6">
              <w:t xml:space="preserve">the </w:t>
            </w:r>
            <w:r w:rsidRPr="000B52C6">
              <w:t>ITT population using data from the BOSTON and ENDEAVOR trials as presented in Section 2.6.</w:t>
            </w:r>
          </w:p>
          <w:p w14:paraId="657AAB1D" w14:textId="77777777" w:rsidR="004E6EC6" w:rsidRPr="000B52C6" w:rsidRDefault="004E6EC6" w:rsidP="00523521">
            <w:pPr>
              <w:pStyle w:val="TableText0"/>
              <w:keepNext w:val="0"/>
            </w:pPr>
          </w:p>
          <w:p w14:paraId="15BD5C39" w14:textId="2D5A1563" w:rsidR="004C6DE9" w:rsidRPr="000B52C6" w:rsidRDefault="004C6DE9" w:rsidP="00523521">
            <w:pPr>
              <w:pStyle w:val="TableText0"/>
              <w:keepNext w:val="0"/>
            </w:pPr>
            <w:r w:rsidRPr="000B52C6">
              <w:t xml:space="preserve">AE rates </w:t>
            </w:r>
            <w:r w:rsidR="000548FF" w:rsidRPr="000B52C6">
              <w:t xml:space="preserve">were </w:t>
            </w:r>
            <w:r w:rsidRPr="000B52C6">
              <w:t xml:space="preserve">based on an indirect comparison of </w:t>
            </w:r>
            <w:proofErr w:type="spellStart"/>
            <w:proofErr w:type="gramStart"/>
            <w:r w:rsidRPr="000B52C6">
              <w:t>SBd</w:t>
            </w:r>
            <w:proofErr w:type="spellEnd"/>
            <w:proofErr w:type="gramEnd"/>
            <w:r w:rsidRPr="000B52C6">
              <w:t xml:space="preserve"> and Cd presented in Section 2.6.</w:t>
            </w:r>
          </w:p>
        </w:tc>
        <w:tc>
          <w:tcPr>
            <w:tcW w:w="1087" w:type="pct"/>
            <w:tcMar>
              <w:left w:w="28" w:type="dxa"/>
              <w:right w:w="28" w:type="dxa"/>
            </w:tcMar>
          </w:tcPr>
          <w:p w14:paraId="51E24338" w14:textId="77777777" w:rsidR="008329C4" w:rsidRPr="000B52C6" w:rsidRDefault="008329C4" w:rsidP="00523521">
            <w:pPr>
              <w:pStyle w:val="Tabletext"/>
            </w:pPr>
            <w:r w:rsidRPr="000B52C6">
              <w:t>There were differences that might have impacted the transitivity of BOSTON and ENDEAVOR</w:t>
            </w:r>
          </w:p>
          <w:p w14:paraId="74B35247" w14:textId="77777777" w:rsidR="00F16E59" w:rsidRPr="000B52C6" w:rsidRDefault="00F16E59" w:rsidP="00523521">
            <w:pPr>
              <w:pStyle w:val="Tabletext"/>
            </w:pPr>
          </w:p>
          <w:p w14:paraId="362F77B0" w14:textId="103FA540" w:rsidR="004C6DE9" w:rsidRPr="000B52C6" w:rsidRDefault="008329C4" w:rsidP="00523521">
            <w:pPr>
              <w:pStyle w:val="Tabletext"/>
            </w:pPr>
            <w:r w:rsidRPr="000B52C6">
              <w:t xml:space="preserve">The claim that </w:t>
            </w:r>
            <w:proofErr w:type="spellStart"/>
            <w:r w:rsidRPr="000B52C6">
              <w:t>SBd</w:t>
            </w:r>
            <w:proofErr w:type="spellEnd"/>
            <w:r w:rsidRPr="000B52C6">
              <w:t xml:space="preserve"> was non-inferior compared to Cd in terms of efficacy was not supported given the numerically superior PFS results for Cd versus Bd and the lack of a significant gain in OS for </w:t>
            </w:r>
            <w:proofErr w:type="spellStart"/>
            <w:r w:rsidRPr="000B52C6">
              <w:t>SBd</w:t>
            </w:r>
            <w:proofErr w:type="spellEnd"/>
            <w:r w:rsidRPr="000B52C6">
              <w:t xml:space="preserve"> versus Bd. </w:t>
            </w:r>
          </w:p>
        </w:tc>
        <w:tc>
          <w:tcPr>
            <w:tcW w:w="1087" w:type="pct"/>
            <w:tcMar>
              <w:left w:w="28" w:type="dxa"/>
              <w:right w:w="28" w:type="dxa"/>
            </w:tcMar>
          </w:tcPr>
          <w:p w14:paraId="7A4AAF5F" w14:textId="7D12378B" w:rsidR="002E3F4D" w:rsidRPr="000B52C6" w:rsidRDefault="00271E6F" w:rsidP="00523521">
            <w:pPr>
              <w:pStyle w:val="Tabletext"/>
              <w:rPr>
                <w:iCs/>
              </w:rPr>
            </w:pPr>
            <w:r w:rsidRPr="000B52C6">
              <w:rPr>
                <w:iCs/>
              </w:rPr>
              <w:t xml:space="preserve">Not </w:t>
            </w:r>
            <w:r w:rsidR="00FB14BB" w:rsidRPr="000B52C6">
              <w:rPr>
                <w:iCs/>
              </w:rPr>
              <w:t>adequately</w:t>
            </w:r>
            <w:r w:rsidRPr="000B52C6">
              <w:rPr>
                <w:iCs/>
              </w:rPr>
              <w:t xml:space="preserve"> addressed</w:t>
            </w:r>
            <w:r w:rsidR="00DE1850" w:rsidRPr="000B52C6">
              <w:rPr>
                <w:iCs/>
              </w:rPr>
              <w:t xml:space="preserve">. </w:t>
            </w:r>
          </w:p>
          <w:p w14:paraId="3B3DFFF9" w14:textId="77777777" w:rsidR="00F16E59" w:rsidRPr="000B52C6" w:rsidRDefault="00F16E59" w:rsidP="00523521">
            <w:pPr>
              <w:pStyle w:val="Tabletext"/>
              <w:rPr>
                <w:iCs/>
              </w:rPr>
            </w:pPr>
          </w:p>
          <w:p w14:paraId="04B7AA21" w14:textId="09EB5987" w:rsidR="004C6DE9" w:rsidRPr="000B52C6" w:rsidRDefault="002E3F4D" w:rsidP="00523521">
            <w:pPr>
              <w:pStyle w:val="Tabletext"/>
              <w:rPr>
                <w:iCs/>
              </w:rPr>
            </w:pPr>
            <w:r w:rsidRPr="000B52C6">
              <w:rPr>
                <w:iCs/>
              </w:rPr>
              <w:t>While the e</w:t>
            </w:r>
            <w:r w:rsidR="00271E6F" w:rsidRPr="000B52C6">
              <w:rPr>
                <w:iCs/>
              </w:rPr>
              <w:t xml:space="preserve">vidence base for </w:t>
            </w:r>
            <w:r w:rsidR="007819C0" w:rsidRPr="000B52C6">
              <w:rPr>
                <w:iCs/>
              </w:rPr>
              <w:t xml:space="preserve">the </w:t>
            </w:r>
            <w:r w:rsidR="00271E6F" w:rsidRPr="000B52C6">
              <w:rPr>
                <w:iCs/>
              </w:rPr>
              <w:t>e</w:t>
            </w:r>
            <w:r w:rsidR="004C6DE9" w:rsidRPr="000B52C6">
              <w:rPr>
                <w:iCs/>
              </w:rPr>
              <w:t xml:space="preserve">ffectiveness claim was based on </w:t>
            </w:r>
            <w:r w:rsidR="007819C0" w:rsidRPr="000B52C6">
              <w:rPr>
                <w:iCs/>
              </w:rPr>
              <w:t xml:space="preserve">an </w:t>
            </w:r>
            <w:r w:rsidR="004C6DE9" w:rsidRPr="000B52C6">
              <w:rPr>
                <w:iCs/>
              </w:rPr>
              <w:t>adjusted ITC</w:t>
            </w:r>
            <w:r w:rsidR="00271E6F" w:rsidRPr="000B52C6">
              <w:rPr>
                <w:iCs/>
              </w:rPr>
              <w:t xml:space="preserve">, </w:t>
            </w:r>
            <w:r w:rsidRPr="000B52C6">
              <w:rPr>
                <w:iCs/>
              </w:rPr>
              <w:t xml:space="preserve">and </w:t>
            </w:r>
            <w:r w:rsidR="007819C0" w:rsidRPr="000B52C6">
              <w:rPr>
                <w:iCs/>
              </w:rPr>
              <w:t>the</w:t>
            </w:r>
            <w:r w:rsidR="00271E6F" w:rsidRPr="000B52C6">
              <w:rPr>
                <w:iCs/>
              </w:rPr>
              <w:t xml:space="preserve"> s</w:t>
            </w:r>
            <w:r w:rsidR="004C6DE9" w:rsidRPr="000B52C6">
              <w:rPr>
                <w:iCs/>
              </w:rPr>
              <w:t xml:space="preserve">afety claim was based on </w:t>
            </w:r>
            <w:r w:rsidR="007819C0" w:rsidRPr="000B52C6">
              <w:rPr>
                <w:iCs/>
              </w:rPr>
              <w:t xml:space="preserve">an </w:t>
            </w:r>
            <w:r w:rsidR="004C6DE9" w:rsidRPr="000B52C6">
              <w:rPr>
                <w:iCs/>
              </w:rPr>
              <w:t>unadjusted ITC</w:t>
            </w:r>
            <w:r w:rsidR="008329C4" w:rsidRPr="000B52C6">
              <w:rPr>
                <w:iCs/>
              </w:rPr>
              <w:t xml:space="preserve"> in the current resubmission</w:t>
            </w:r>
            <w:r w:rsidRPr="000B52C6">
              <w:rPr>
                <w:iCs/>
              </w:rPr>
              <w:t>, differences that may have impacted the transitivity of the trials remained.</w:t>
            </w:r>
          </w:p>
          <w:p w14:paraId="7CA2E6A4" w14:textId="77777777" w:rsidR="00F16E59" w:rsidRPr="000B52C6" w:rsidRDefault="00F16E59" w:rsidP="00523521">
            <w:pPr>
              <w:pStyle w:val="Tabletext"/>
              <w:rPr>
                <w:iCs/>
              </w:rPr>
            </w:pPr>
          </w:p>
          <w:p w14:paraId="6ED89A14" w14:textId="162DF87F" w:rsidR="008329C4" w:rsidRPr="000B52C6" w:rsidRDefault="008329C4" w:rsidP="00523521">
            <w:pPr>
              <w:pStyle w:val="Tabletext"/>
              <w:rPr>
                <w:iCs/>
              </w:rPr>
            </w:pPr>
            <w:r w:rsidRPr="000B52C6">
              <w:rPr>
                <w:iCs/>
              </w:rPr>
              <w:t xml:space="preserve">No new trials were identified, and the results from the BOSTON updated data cut-off (February 2021) showed no significant OS gain for </w:t>
            </w:r>
            <w:proofErr w:type="spellStart"/>
            <w:r w:rsidRPr="000B52C6">
              <w:rPr>
                <w:iCs/>
              </w:rPr>
              <w:t>SBd</w:t>
            </w:r>
            <w:proofErr w:type="spellEnd"/>
            <w:r w:rsidRPr="000B52C6">
              <w:rPr>
                <w:iCs/>
              </w:rPr>
              <w:t xml:space="preserve"> versus Bd.</w:t>
            </w:r>
          </w:p>
        </w:tc>
      </w:tr>
      <w:tr w:rsidR="00F16E59" w:rsidRPr="000B52C6" w14:paraId="712C402D" w14:textId="069BF033" w:rsidTr="005640E7">
        <w:trPr>
          <w:cantSplit/>
          <w:trHeight w:val="823"/>
        </w:trPr>
        <w:tc>
          <w:tcPr>
            <w:tcW w:w="651" w:type="pct"/>
            <w:tcMar>
              <w:left w:w="28" w:type="dxa"/>
              <w:right w:w="28" w:type="dxa"/>
            </w:tcMar>
          </w:tcPr>
          <w:p w14:paraId="1DCC0567" w14:textId="77777777" w:rsidR="004C6DE9" w:rsidRPr="000B52C6" w:rsidRDefault="004C6DE9" w:rsidP="00523521">
            <w:pPr>
              <w:pStyle w:val="TableText0"/>
              <w:keepNext w:val="0"/>
            </w:pPr>
            <w:proofErr w:type="spellStart"/>
            <w:r w:rsidRPr="000B52C6">
              <w:t>Equi</w:t>
            </w:r>
            <w:proofErr w:type="spellEnd"/>
            <w:r w:rsidRPr="000B52C6">
              <w:t>-effective doses</w:t>
            </w:r>
          </w:p>
        </w:tc>
        <w:tc>
          <w:tcPr>
            <w:tcW w:w="1087" w:type="pct"/>
            <w:shd w:val="clear" w:color="auto" w:fill="C6D9F1" w:themeFill="text2" w:themeFillTint="33"/>
            <w:tcMar>
              <w:left w:w="28" w:type="dxa"/>
              <w:right w:w="28" w:type="dxa"/>
            </w:tcMar>
          </w:tcPr>
          <w:p w14:paraId="0A7B7E2F" w14:textId="628447AE" w:rsidR="004C6DE9" w:rsidRPr="000B52C6" w:rsidRDefault="00E3217D" w:rsidP="00523521">
            <w:pPr>
              <w:pStyle w:val="TableText0"/>
              <w:keepNext w:val="0"/>
            </w:pPr>
            <w:r w:rsidRPr="000B52C6">
              <w:t xml:space="preserve">The </w:t>
            </w:r>
            <w:proofErr w:type="spellStart"/>
            <w:r w:rsidRPr="000B52C6">
              <w:t>equi</w:t>
            </w:r>
            <w:proofErr w:type="spellEnd"/>
            <w:r w:rsidRPr="000B52C6">
              <w:t xml:space="preserve">-effective doses for </w:t>
            </w:r>
            <w:proofErr w:type="spellStart"/>
            <w:r w:rsidRPr="000B52C6">
              <w:t>SBd</w:t>
            </w:r>
            <w:proofErr w:type="spellEnd"/>
            <w:r w:rsidRPr="000B52C6">
              <w:t xml:space="preserve"> and Cd were estimated based on the key clinical trials (BOSTON and ENDEAVOR) and PIs for </w:t>
            </w:r>
            <w:proofErr w:type="spellStart"/>
            <w:r w:rsidRPr="000B52C6">
              <w:t>selinexor</w:t>
            </w:r>
            <w:proofErr w:type="spellEnd"/>
            <w:r w:rsidRPr="000B52C6">
              <w:t xml:space="preserve"> and carfilzomib.</w:t>
            </w:r>
          </w:p>
        </w:tc>
        <w:tc>
          <w:tcPr>
            <w:tcW w:w="1087" w:type="pct"/>
            <w:tcMar>
              <w:left w:w="28" w:type="dxa"/>
              <w:right w:w="28" w:type="dxa"/>
            </w:tcMar>
          </w:tcPr>
          <w:p w14:paraId="2102B301" w14:textId="39ED167C" w:rsidR="0062198B" w:rsidRPr="000B52C6" w:rsidRDefault="004C6DE9" w:rsidP="00523521">
            <w:pPr>
              <w:pStyle w:val="TableText0"/>
              <w:keepNext w:val="0"/>
              <w:rPr>
                <w:u w:val="single"/>
              </w:rPr>
            </w:pPr>
            <w:r w:rsidRPr="000B52C6">
              <w:rPr>
                <w:u w:val="single"/>
              </w:rPr>
              <w:t>Cd</w:t>
            </w:r>
            <w:r w:rsidR="008F22CF" w:rsidRPr="000B52C6">
              <w:rPr>
                <w:u w:val="single"/>
              </w:rPr>
              <w:t xml:space="preserve"> (100% dose intensity)</w:t>
            </w:r>
            <w:r w:rsidRPr="000B52C6">
              <w:rPr>
                <w:u w:val="single"/>
              </w:rPr>
              <w:t>:</w:t>
            </w:r>
          </w:p>
          <w:p w14:paraId="21CE07DE" w14:textId="4F3BCC3D" w:rsidR="0062198B" w:rsidRPr="005640E7" w:rsidRDefault="004C6DE9" w:rsidP="00523521">
            <w:pPr>
              <w:pStyle w:val="TableText0"/>
              <w:keepNext w:val="0"/>
              <w:numPr>
                <w:ilvl w:val="0"/>
                <w:numId w:val="64"/>
              </w:numPr>
            </w:pPr>
            <w:r w:rsidRPr="000B52C6">
              <w:t>Carfilzomib</w:t>
            </w:r>
            <w:r w:rsidR="00466CC1" w:rsidRPr="000B52C6">
              <w:t xml:space="preserve"> (twice weekly dosing)</w:t>
            </w:r>
            <w:r w:rsidRPr="000B52C6">
              <w:t>:</w:t>
            </w:r>
            <w:r w:rsidR="0062198B" w:rsidRPr="000B52C6">
              <w:t xml:space="preserve"> </w:t>
            </w:r>
            <w:r w:rsidRPr="000B52C6">
              <w:t>7278</w:t>
            </w:r>
            <w:r w:rsidR="0062198B" w:rsidRPr="000B52C6">
              <w:t xml:space="preserve"> </w:t>
            </w:r>
            <w:r w:rsidRPr="000B52C6">
              <w:t>milligrams over 74</w:t>
            </w:r>
            <w:r w:rsidR="0062198B" w:rsidRPr="000B52C6">
              <w:t xml:space="preserve"> </w:t>
            </w:r>
            <w:r w:rsidRPr="000B52C6">
              <w:t xml:space="preserve">infusions (carfilzomib, July 2020 PSD) </w:t>
            </w:r>
          </w:p>
          <w:p w14:paraId="0C99065B" w14:textId="530BC709" w:rsidR="0062198B" w:rsidRPr="000B52C6" w:rsidRDefault="004C6DE9" w:rsidP="00523521">
            <w:pPr>
              <w:pStyle w:val="TableText0"/>
              <w:keepNext w:val="0"/>
              <w:rPr>
                <w:u w:val="single"/>
              </w:rPr>
            </w:pPr>
            <w:proofErr w:type="spellStart"/>
            <w:r w:rsidRPr="000B52C6">
              <w:rPr>
                <w:u w:val="single"/>
              </w:rPr>
              <w:t>SBd</w:t>
            </w:r>
            <w:proofErr w:type="spellEnd"/>
            <w:r w:rsidR="008F22CF" w:rsidRPr="000B52C6">
              <w:rPr>
                <w:u w:val="single"/>
              </w:rPr>
              <w:t xml:space="preserve"> (100% dose intensity)</w:t>
            </w:r>
            <w:r w:rsidRPr="000B52C6">
              <w:rPr>
                <w:u w:val="single"/>
              </w:rPr>
              <w:t>:</w:t>
            </w:r>
          </w:p>
          <w:p w14:paraId="60F2AE42" w14:textId="41FBA226" w:rsidR="004C6DE9" w:rsidRPr="000B52C6" w:rsidRDefault="004C6DE9" w:rsidP="00523521">
            <w:pPr>
              <w:pStyle w:val="TableText0"/>
              <w:keepNext w:val="0"/>
              <w:numPr>
                <w:ilvl w:val="0"/>
                <w:numId w:val="63"/>
              </w:numPr>
            </w:pPr>
            <w:r w:rsidRPr="000B52C6">
              <w:t>Selinexor</w:t>
            </w:r>
            <w:r w:rsidR="00466CC1" w:rsidRPr="000B52C6">
              <w:t xml:space="preserve"> (once weekly dosing)</w:t>
            </w:r>
            <w:r w:rsidRPr="000B52C6">
              <w:t>:</w:t>
            </w:r>
            <w:r w:rsidR="0062198B" w:rsidRPr="000B52C6">
              <w:t xml:space="preserve"> </w:t>
            </w:r>
            <w:r w:rsidRPr="000B52C6">
              <w:t>4933</w:t>
            </w:r>
            <w:r w:rsidR="0062198B" w:rsidRPr="000B52C6">
              <w:t xml:space="preserve"> </w:t>
            </w:r>
            <w:r w:rsidRPr="000B52C6">
              <w:t>milligrams (246.67 x 20 mg tablets)</w:t>
            </w:r>
            <w:r w:rsidR="0062198B" w:rsidRPr="000B52C6">
              <w:t xml:space="preserve"> </w:t>
            </w:r>
            <w:r w:rsidR="0062198B" w:rsidRPr="000B52C6">
              <w:rPr>
                <w:iCs/>
              </w:rPr>
              <w:t>(see</w:t>
            </w:r>
            <w:r w:rsidR="005C381B" w:rsidRPr="000B52C6">
              <w:rPr>
                <w:iCs/>
              </w:rPr>
              <w:t xml:space="preserve"> Table 3.2.2)</w:t>
            </w:r>
          </w:p>
          <w:p w14:paraId="59140C64" w14:textId="0F49FD72" w:rsidR="004C6DE9" w:rsidRPr="000B52C6" w:rsidRDefault="004C6DE9" w:rsidP="00523521">
            <w:pPr>
              <w:pStyle w:val="TableText0"/>
              <w:keepNext w:val="0"/>
              <w:numPr>
                <w:ilvl w:val="0"/>
                <w:numId w:val="63"/>
              </w:numPr>
            </w:pPr>
            <w:r w:rsidRPr="000B52C6">
              <w:t>Bortezomib</w:t>
            </w:r>
            <w:r w:rsidR="005B5136" w:rsidRPr="000B52C6">
              <w:t xml:space="preserve"> (</w:t>
            </w:r>
            <w:r w:rsidR="00466CC1" w:rsidRPr="000B52C6">
              <w:t>once weekly dosing)</w:t>
            </w:r>
            <w:r w:rsidRPr="000B52C6">
              <w:t>:</w:t>
            </w:r>
            <w:r w:rsidR="0062198B" w:rsidRPr="000B52C6">
              <w:t xml:space="preserve"> </w:t>
            </w:r>
            <w:r w:rsidRPr="000B52C6">
              <w:t>116</w:t>
            </w:r>
            <w:r w:rsidR="0062198B" w:rsidRPr="000B52C6">
              <w:t xml:space="preserve"> </w:t>
            </w:r>
            <w:r w:rsidRPr="000B52C6">
              <w:t xml:space="preserve">milligrams (inclusive of </w:t>
            </w:r>
            <w:proofErr w:type="gramStart"/>
            <w:r w:rsidRPr="000B52C6">
              <w:t>wastage)</w:t>
            </w:r>
            <w:r w:rsidR="000C5D5A" w:rsidRPr="000B52C6">
              <w:rPr>
                <w:vertAlign w:val="superscript"/>
              </w:rPr>
              <w:t>a</w:t>
            </w:r>
            <w:proofErr w:type="gramEnd"/>
            <w:r w:rsidR="0062198B" w:rsidRPr="000B52C6">
              <w:t xml:space="preserve"> </w:t>
            </w:r>
            <w:r w:rsidR="0062198B" w:rsidRPr="000B52C6">
              <w:rPr>
                <w:iCs/>
              </w:rPr>
              <w:t>(see</w:t>
            </w:r>
            <w:r w:rsidR="005C381B" w:rsidRPr="000B52C6">
              <w:rPr>
                <w:iCs/>
              </w:rPr>
              <w:t xml:space="preserve"> Table 3.2.1 and Table 3.2.2)</w:t>
            </w:r>
          </w:p>
        </w:tc>
        <w:tc>
          <w:tcPr>
            <w:tcW w:w="1087" w:type="pct"/>
            <w:tcMar>
              <w:left w:w="28" w:type="dxa"/>
              <w:right w:w="28" w:type="dxa"/>
            </w:tcMar>
          </w:tcPr>
          <w:p w14:paraId="28959843" w14:textId="6593E5A7" w:rsidR="004C6DE9" w:rsidRPr="000B52C6" w:rsidRDefault="00947ADB" w:rsidP="00523521">
            <w:pPr>
              <w:pStyle w:val="TableText0"/>
              <w:keepNext w:val="0"/>
            </w:pPr>
            <w:r w:rsidRPr="000B52C6">
              <w:t>N/A</w:t>
            </w:r>
          </w:p>
        </w:tc>
        <w:tc>
          <w:tcPr>
            <w:tcW w:w="1087" w:type="pct"/>
            <w:tcMar>
              <w:left w:w="28" w:type="dxa"/>
              <w:right w:w="28" w:type="dxa"/>
            </w:tcMar>
          </w:tcPr>
          <w:p w14:paraId="275A7C9E" w14:textId="2924ABFB" w:rsidR="004C6DE9" w:rsidRPr="000B52C6" w:rsidRDefault="007E4D54" w:rsidP="00523521">
            <w:pPr>
              <w:pStyle w:val="TableText0"/>
              <w:keepNext w:val="0"/>
              <w:rPr>
                <w:iCs/>
              </w:rPr>
            </w:pPr>
            <w:proofErr w:type="spellStart"/>
            <w:r w:rsidRPr="000B52C6">
              <w:rPr>
                <w:iCs/>
              </w:rPr>
              <w:t>Equi</w:t>
            </w:r>
            <w:proofErr w:type="spellEnd"/>
            <w:r w:rsidRPr="000B52C6">
              <w:rPr>
                <w:iCs/>
              </w:rPr>
              <w:t xml:space="preserve">-effective doses in the current resubmission were estimated based on Cd </w:t>
            </w:r>
            <w:proofErr w:type="spellStart"/>
            <w:r w:rsidRPr="000B52C6">
              <w:rPr>
                <w:iCs/>
              </w:rPr>
              <w:t>equi</w:t>
            </w:r>
            <w:proofErr w:type="spellEnd"/>
            <w:r w:rsidRPr="000B52C6">
              <w:rPr>
                <w:iCs/>
              </w:rPr>
              <w:t>-effective dose established in the carfilzomib July 2020 PBAC submission.</w:t>
            </w:r>
          </w:p>
        </w:tc>
      </w:tr>
      <w:tr w:rsidR="00F16E59" w:rsidRPr="000B52C6" w14:paraId="62FFE504" w14:textId="77777777" w:rsidTr="005640E7">
        <w:trPr>
          <w:cantSplit/>
          <w:trHeight w:val="823"/>
        </w:trPr>
        <w:tc>
          <w:tcPr>
            <w:tcW w:w="651" w:type="pct"/>
            <w:tcMar>
              <w:left w:w="28" w:type="dxa"/>
              <w:right w:w="28" w:type="dxa"/>
            </w:tcMar>
          </w:tcPr>
          <w:p w14:paraId="6A80F437" w14:textId="64645CD2" w:rsidR="007E4D54" w:rsidRPr="000B52C6" w:rsidRDefault="007E4D54" w:rsidP="00523521">
            <w:pPr>
              <w:pStyle w:val="TableText0"/>
              <w:keepNext w:val="0"/>
            </w:pPr>
            <w:r w:rsidRPr="000B52C6">
              <w:t xml:space="preserve">Duration of treatment </w:t>
            </w:r>
          </w:p>
        </w:tc>
        <w:tc>
          <w:tcPr>
            <w:tcW w:w="1087" w:type="pct"/>
            <w:shd w:val="clear" w:color="auto" w:fill="C6D9F1" w:themeFill="text2" w:themeFillTint="33"/>
            <w:tcMar>
              <w:left w:w="28" w:type="dxa"/>
              <w:right w:w="28" w:type="dxa"/>
            </w:tcMar>
          </w:tcPr>
          <w:p w14:paraId="7025E088" w14:textId="14D6AE1D" w:rsidR="007E4D54" w:rsidRPr="000B52C6" w:rsidRDefault="00577476" w:rsidP="00523521">
            <w:pPr>
              <w:pStyle w:val="TableText0"/>
              <w:keepNext w:val="0"/>
            </w:pPr>
            <w:r w:rsidRPr="000B52C6">
              <w:t xml:space="preserve">The treatment duration of </w:t>
            </w:r>
            <w:proofErr w:type="spellStart"/>
            <w:r w:rsidRPr="000B52C6">
              <w:t>SBd</w:t>
            </w:r>
            <w:proofErr w:type="spellEnd"/>
            <w:r w:rsidRPr="000B52C6">
              <w:t xml:space="preserve"> was made equivalent to that of Cd (</w:t>
            </w:r>
            <w:r w:rsidR="00502C09" w:rsidRPr="000B52C6">
              <w:t>39.9 weeks</w:t>
            </w:r>
            <w:r w:rsidRPr="000B52C6">
              <w:t>).</w:t>
            </w:r>
          </w:p>
        </w:tc>
        <w:tc>
          <w:tcPr>
            <w:tcW w:w="1087" w:type="pct"/>
            <w:tcMar>
              <w:left w:w="28" w:type="dxa"/>
              <w:right w:w="28" w:type="dxa"/>
            </w:tcMar>
          </w:tcPr>
          <w:p w14:paraId="7823B997" w14:textId="401883F8" w:rsidR="007E4D54" w:rsidRPr="000B52C6" w:rsidRDefault="000114FD" w:rsidP="00523521">
            <w:pPr>
              <w:pStyle w:val="TableText0"/>
              <w:keepNext w:val="0"/>
            </w:pPr>
            <w:r w:rsidRPr="000B52C6">
              <w:t xml:space="preserve">The treatment duration of </w:t>
            </w:r>
            <w:proofErr w:type="spellStart"/>
            <w:r w:rsidR="00EE6AF9" w:rsidRPr="000B52C6">
              <w:t>SBd</w:t>
            </w:r>
            <w:proofErr w:type="spellEnd"/>
            <w:r w:rsidR="00EE6AF9" w:rsidRPr="000B52C6">
              <w:t xml:space="preserve"> was made equivalent to that of Cd (49.3 weeks).</w:t>
            </w:r>
          </w:p>
        </w:tc>
        <w:tc>
          <w:tcPr>
            <w:tcW w:w="1087" w:type="pct"/>
            <w:tcMar>
              <w:left w:w="28" w:type="dxa"/>
              <w:right w:w="28" w:type="dxa"/>
            </w:tcMar>
          </w:tcPr>
          <w:p w14:paraId="30A149EF" w14:textId="77777777" w:rsidR="00344A33" w:rsidRPr="000B52C6" w:rsidRDefault="00947301" w:rsidP="00523521">
            <w:pPr>
              <w:pStyle w:val="TableText0"/>
              <w:keepNext w:val="0"/>
            </w:pPr>
            <w:r w:rsidRPr="000B52C6">
              <w:t xml:space="preserve">The PBAC noted that the duration of treatment of </w:t>
            </w:r>
            <w:proofErr w:type="spellStart"/>
            <w:r w:rsidRPr="000B52C6">
              <w:t>SBd</w:t>
            </w:r>
            <w:proofErr w:type="spellEnd"/>
            <w:r w:rsidRPr="000B52C6">
              <w:t xml:space="preserve"> was made equivalent to that of Cd and considered that was not reasonable. </w:t>
            </w:r>
          </w:p>
          <w:p w14:paraId="75A9D549" w14:textId="77777777" w:rsidR="00344A33" w:rsidRPr="000B52C6" w:rsidRDefault="00344A33" w:rsidP="00523521">
            <w:pPr>
              <w:pStyle w:val="TableText0"/>
              <w:keepNext w:val="0"/>
              <w:rPr>
                <w:snapToGrid w:val="0"/>
              </w:rPr>
            </w:pPr>
          </w:p>
          <w:p w14:paraId="0D93BD2F" w14:textId="0D1C6555" w:rsidR="00344A33" w:rsidRPr="000B52C6" w:rsidRDefault="00344A33" w:rsidP="00523521">
            <w:pPr>
              <w:pStyle w:val="TableText0"/>
              <w:keepNext w:val="0"/>
            </w:pPr>
            <w:r w:rsidRPr="000B52C6">
              <w:rPr>
                <w:rFonts w:eastAsia="Times New Roman" w:cs="Arial"/>
                <w:bCs w:val="0"/>
                <w:snapToGrid w:val="0"/>
                <w:szCs w:val="20"/>
              </w:rPr>
              <w:t xml:space="preserve">The PBAC considered that the duration of </w:t>
            </w:r>
            <w:proofErr w:type="spellStart"/>
            <w:r w:rsidRPr="000B52C6">
              <w:rPr>
                <w:rFonts w:eastAsia="Times New Roman" w:cs="Arial"/>
                <w:bCs w:val="0"/>
                <w:snapToGrid w:val="0"/>
                <w:szCs w:val="20"/>
              </w:rPr>
              <w:t>SBd</w:t>
            </w:r>
            <w:proofErr w:type="spellEnd"/>
            <w:r w:rsidRPr="000B52C6">
              <w:rPr>
                <w:rFonts w:eastAsia="Times New Roman" w:cs="Arial"/>
                <w:bCs w:val="0"/>
                <w:snapToGrid w:val="0"/>
                <w:szCs w:val="20"/>
              </w:rPr>
              <w:t xml:space="preserve"> treatment applied in the CMA (7.98 cycles</w:t>
            </w:r>
            <w:r w:rsidR="009D4525" w:rsidRPr="000B52C6">
              <w:rPr>
                <w:rFonts w:eastAsia="Times New Roman" w:cs="Arial"/>
                <w:bCs w:val="0"/>
                <w:snapToGrid w:val="0"/>
                <w:szCs w:val="20"/>
              </w:rPr>
              <w:t>; 39.9 weeks</w:t>
            </w:r>
            <w:r w:rsidRPr="000B52C6">
              <w:rPr>
                <w:rFonts w:eastAsia="Times New Roman" w:cs="Arial"/>
                <w:bCs w:val="0"/>
                <w:snapToGrid w:val="0"/>
                <w:szCs w:val="20"/>
              </w:rPr>
              <w:t>) was considerably higher than that observed in the BOSTON trial (6.67 cycles</w:t>
            </w:r>
            <w:r w:rsidR="00B666FA" w:rsidRPr="000B52C6">
              <w:rPr>
                <w:rFonts w:eastAsia="Times New Roman" w:cs="Arial"/>
                <w:bCs w:val="0"/>
                <w:snapToGrid w:val="0"/>
                <w:szCs w:val="20"/>
              </w:rPr>
              <w:t>; 26.7 weeks</w:t>
            </w:r>
            <w:r w:rsidRPr="000B52C6">
              <w:rPr>
                <w:rFonts w:eastAsia="Times New Roman" w:cs="Arial"/>
                <w:bCs w:val="0"/>
                <w:snapToGrid w:val="0"/>
                <w:szCs w:val="20"/>
              </w:rPr>
              <w:t>).</w:t>
            </w:r>
          </w:p>
        </w:tc>
        <w:tc>
          <w:tcPr>
            <w:tcW w:w="1087" w:type="pct"/>
            <w:tcMar>
              <w:left w:w="28" w:type="dxa"/>
              <w:right w:w="28" w:type="dxa"/>
            </w:tcMar>
          </w:tcPr>
          <w:p w14:paraId="310D354C" w14:textId="39B3C88C" w:rsidR="00847A16" w:rsidRPr="000B52C6" w:rsidRDefault="00400461" w:rsidP="00523521">
            <w:pPr>
              <w:pStyle w:val="TableText0"/>
              <w:keepNext w:val="0"/>
              <w:rPr>
                <w:rFonts w:eastAsia="Times New Roman" w:cs="Arial"/>
                <w:bCs w:val="0"/>
                <w:iCs/>
                <w:snapToGrid w:val="0"/>
                <w:szCs w:val="20"/>
              </w:rPr>
            </w:pPr>
            <w:r w:rsidRPr="000B52C6">
              <w:rPr>
                <w:rFonts w:eastAsia="Times New Roman" w:cs="Arial"/>
                <w:bCs w:val="0"/>
                <w:iCs/>
                <w:snapToGrid w:val="0"/>
                <w:szCs w:val="20"/>
              </w:rPr>
              <w:t xml:space="preserve">The duration of </w:t>
            </w:r>
            <w:proofErr w:type="spellStart"/>
            <w:r w:rsidRPr="000B52C6">
              <w:rPr>
                <w:rFonts w:eastAsia="Times New Roman" w:cs="Arial"/>
                <w:bCs w:val="0"/>
                <w:iCs/>
                <w:snapToGrid w:val="0"/>
                <w:szCs w:val="20"/>
              </w:rPr>
              <w:t>SBd</w:t>
            </w:r>
            <w:proofErr w:type="spellEnd"/>
            <w:r w:rsidRPr="000B52C6">
              <w:rPr>
                <w:rFonts w:eastAsia="Times New Roman" w:cs="Arial"/>
                <w:bCs w:val="0"/>
                <w:iCs/>
                <w:snapToGrid w:val="0"/>
                <w:szCs w:val="20"/>
              </w:rPr>
              <w:t xml:space="preserve"> treatment </w:t>
            </w:r>
            <w:r w:rsidR="000114FD" w:rsidRPr="000B52C6">
              <w:rPr>
                <w:rFonts w:eastAsia="Times New Roman" w:cs="Arial"/>
                <w:bCs w:val="0"/>
                <w:iCs/>
                <w:snapToGrid w:val="0"/>
                <w:szCs w:val="20"/>
              </w:rPr>
              <w:t xml:space="preserve">was assumed to be the same as Cd </w:t>
            </w:r>
            <w:r w:rsidR="00380DF6" w:rsidRPr="000B52C6">
              <w:rPr>
                <w:rFonts w:eastAsia="Times New Roman" w:cs="Arial"/>
                <w:bCs w:val="0"/>
                <w:iCs/>
                <w:snapToGrid w:val="0"/>
                <w:szCs w:val="20"/>
              </w:rPr>
              <w:t xml:space="preserve">(49.3 weeks) </w:t>
            </w:r>
            <w:r w:rsidR="000114FD" w:rsidRPr="000B52C6">
              <w:rPr>
                <w:rFonts w:eastAsia="Times New Roman" w:cs="Arial"/>
                <w:bCs w:val="0"/>
                <w:iCs/>
                <w:snapToGrid w:val="0"/>
                <w:szCs w:val="20"/>
              </w:rPr>
              <w:t xml:space="preserve">and was </w:t>
            </w:r>
            <w:r w:rsidRPr="000B52C6">
              <w:rPr>
                <w:rFonts w:eastAsia="Times New Roman" w:cs="Arial"/>
                <w:bCs w:val="0"/>
                <w:iCs/>
                <w:snapToGrid w:val="0"/>
                <w:szCs w:val="20"/>
              </w:rPr>
              <w:t>still considerably higher than that observed in BOSTON</w:t>
            </w:r>
            <w:r w:rsidR="00380DF6" w:rsidRPr="000B52C6">
              <w:rPr>
                <w:rFonts w:eastAsia="Times New Roman" w:cs="Arial"/>
                <w:bCs w:val="0"/>
                <w:iCs/>
                <w:snapToGrid w:val="0"/>
                <w:szCs w:val="20"/>
              </w:rPr>
              <w:t xml:space="preserve"> (26.7 weeks)</w:t>
            </w:r>
            <w:r w:rsidRPr="000B52C6">
              <w:rPr>
                <w:rFonts w:eastAsia="Times New Roman" w:cs="Arial"/>
                <w:bCs w:val="0"/>
                <w:iCs/>
                <w:snapToGrid w:val="0"/>
                <w:szCs w:val="20"/>
              </w:rPr>
              <w:t>.</w:t>
            </w:r>
          </w:p>
          <w:p w14:paraId="35937740" w14:textId="77777777" w:rsidR="00934BE2" w:rsidRPr="000B52C6" w:rsidRDefault="00934BE2" w:rsidP="00523521">
            <w:pPr>
              <w:pStyle w:val="TableText0"/>
              <w:keepNext w:val="0"/>
              <w:rPr>
                <w:rFonts w:eastAsia="Times New Roman" w:cs="Arial"/>
                <w:bCs w:val="0"/>
                <w:iCs/>
                <w:snapToGrid w:val="0"/>
                <w:szCs w:val="20"/>
              </w:rPr>
            </w:pPr>
          </w:p>
          <w:p w14:paraId="77CD7A21" w14:textId="02DAE7F6" w:rsidR="001F390B" w:rsidRPr="000B52C6" w:rsidRDefault="00934BE2" w:rsidP="001F390B">
            <w:pPr>
              <w:pStyle w:val="TableText0"/>
              <w:keepNext w:val="0"/>
              <w:rPr>
                <w:i/>
                <w:iCs/>
              </w:rPr>
            </w:pPr>
            <w:r w:rsidRPr="000B52C6">
              <w:rPr>
                <w:rFonts w:eastAsia="Times New Roman" w:cs="Arial"/>
                <w:bCs w:val="0"/>
                <w:iCs/>
                <w:snapToGrid w:val="0"/>
                <w:szCs w:val="20"/>
              </w:rPr>
              <w:t xml:space="preserve">The ESC noted this was consistent with a non-inferiority claim, </w:t>
            </w:r>
            <w:r w:rsidR="0044128A" w:rsidRPr="000B52C6">
              <w:rPr>
                <w:rFonts w:eastAsia="Times New Roman" w:cs="Arial"/>
                <w:bCs w:val="0"/>
                <w:iCs/>
                <w:snapToGrid w:val="0"/>
                <w:szCs w:val="20"/>
              </w:rPr>
              <w:t>but that the relative treatment durations were uncertain</w:t>
            </w:r>
            <w:r w:rsidRPr="000B52C6">
              <w:rPr>
                <w:rFonts w:eastAsia="Times New Roman" w:cs="Arial"/>
                <w:bCs w:val="0"/>
                <w:iCs/>
                <w:snapToGrid w:val="0"/>
                <w:szCs w:val="20"/>
              </w:rPr>
              <w:t>.</w:t>
            </w:r>
            <w:r w:rsidR="001F390B" w:rsidRPr="000B52C6">
              <w:rPr>
                <w:rFonts w:eastAsia="Times New Roman" w:cs="Arial"/>
                <w:bCs w:val="0"/>
                <w:iCs/>
                <w:snapToGrid w:val="0"/>
                <w:szCs w:val="20"/>
              </w:rPr>
              <w:t xml:space="preserve"> </w:t>
            </w:r>
          </w:p>
        </w:tc>
      </w:tr>
      <w:tr w:rsidR="00F16E59" w:rsidRPr="000B52C6" w14:paraId="5B6AE334" w14:textId="04B60CCE" w:rsidTr="005640E7">
        <w:trPr>
          <w:cantSplit/>
          <w:trHeight w:val="823"/>
        </w:trPr>
        <w:tc>
          <w:tcPr>
            <w:tcW w:w="651" w:type="pct"/>
            <w:tcMar>
              <w:left w:w="28" w:type="dxa"/>
              <w:right w:w="28" w:type="dxa"/>
            </w:tcMar>
          </w:tcPr>
          <w:p w14:paraId="763C4CB1" w14:textId="77777777" w:rsidR="004C6DE9" w:rsidRPr="000B52C6" w:rsidRDefault="004C6DE9" w:rsidP="00523521">
            <w:pPr>
              <w:pStyle w:val="TableText0"/>
              <w:keepNext w:val="0"/>
            </w:pPr>
            <w:r w:rsidRPr="000B52C6">
              <w:t>Other costs or cost offsets</w:t>
            </w:r>
          </w:p>
        </w:tc>
        <w:tc>
          <w:tcPr>
            <w:tcW w:w="1087" w:type="pct"/>
            <w:shd w:val="clear" w:color="auto" w:fill="C6D9F1" w:themeFill="text2" w:themeFillTint="33"/>
            <w:tcMar>
              <w:left w:w="28" w:type="dxa"/>
              <w:right w:w="28" w:type="dxa"/>
            </w:tcMar>
          </w:tcPr>
          <w:p w14:paraId="42DB01EA" w14:textId="01D4E4C1" w:rsidR="004C6DE9" w:rsidRPr="000B52C6" w:rsidRDefault="004C6DE9" w:rsidP="00523521">
            <w:pPr>
              <w:pStyle w:val="TableText0"/>
              <w:keepNext w:val="0"/>
            </w:pPr>
            <w:r w:rsidRPr="000B52C6">
              <w:t>Infusion administration costs with carfilzomib.</w:t>
            </w:r>
          </w:p>
          <w:p w14:paraId="12183BFF" w14:textId="330927AB" w:rsidR="004C6DE9" w:rsidRPr="000B52C6" w:rsidRDefault="004C6DE9" w:rsidP="00523521">
            <w:pPr>
              <w:pStyle w:val="TableText0"/>
              <w:keepNext w:val="0"/>
            </w:pPr>
            <w:r w:rsidRPr="000B52C6">
              <w:t xml:space="preserve">Adverse effect-related costs, leading to an incremental cost savings result. </w:t>
            </w:r>
          </w:p>
        </w:tc>
        <w:tc>
          <w:tcPr>
            <w:tcW w:w="1087" w:type="pct"/>
            <w:tcMar>
              <w:left w:w="28" w:type="dxa"/>
              <w:right w:w="28" w:type="dxa"/>
            </w:tcMar>
          </w:tcPr>
          <w:p w14:paraId="5742CABF" w14:textId="7481D43C" w:rsidR="006607B5" w:rsidRPr="000B52C6" w:rsidRDefault="004C6DE9" w:rsidP="00523521">
            <w:pPr>
              <w:pStyle w:val="TableText0"/>
              <w:keepNext w:val="0"/>
              <w:numPr>
                <w:ilvl w:val="0"/>
                <w:numId w:val="65"/>
              </w:numPr>
            </w:pPr>
            <w:r w:rsidRPr="000B52C6">
              <w:t>Infusion administration costs with carfilzomib.</w:t>
            </w:r>
          </w:p>
          <w:p w14:paraId="00F0487E" w14:textId="7D186C86" w:rsidR="006607B5" w:rsidRPr="000B52C6" w:rsidRDefault="004C6DE9" w:rsidP="00523521">
            <w:pPr>
              <w:pStyle w:val="TableText0"/>
              <w:keepNext w:val="0"/>
              <w:numPr>
                <w:ilvl w:val="0"/>
                <w:numId w:val="65"/>
              </w:numPr>
            </w:pPr>
            <w:r w:rsidRPr="000B52C6">
              <w:t xml:space="preserve">Costs of haematological AEs that are slightly more prevalent with </w:t>
            </w:r>
            <w:proofErr w:type="spellStart"/>
            <w:r w:rsidRPr="000B52C6">
              <w:t>SBd</w:t>
            </w:r>
            <w:proofErr w:type="spellEnd"/>
            <w:r w:rsidRPr="000B52C6">
              <w:t xml:space="preserve">. </w:t>
            </w:r>
            <w:proofErr w:type="gramStart"/>
            <w:r w:rsidRPr="000B52C6">
              <w:t>In order to</w:t>
            </w:r>
            <w:proofErr w:type="gramEnd"/>
            <w:r w:rsidRPr="000B52C6">
              <w:t xml:space="preserve"> be conservative, the analysis does not include AEs which are more prevalent with Cd. This is biased against </w:t>
            </w:r>
            <w:proofErr w:type="spellStart"/>
            <w:r w:rsidRPr="000B52C6">
              <w:t>SBd</w:t>
            </w:r>
            <w:proofErr w:type="spellEnd"/>
            <w:r w:rsidRPr="000B52C6">
              <w:t>.</w:t>
            </w:r>
          </w:p>
          <w:p w14:paraId="7C45B873" w14:textId="679E8AA8" w:rsidR="0077752E" w:rsidRPr="000B52C6" w:rsidRDefault="006607B5" w:rsidP="00523521">
            <w:pPr>
              <w:pStyle w:val="TableText0"/>
              <w:keepNext w:val="0"/>
              <w:numPr>
                <w:ilvl w:val="0"/>
                <w:numId w:val="65"/>
              </w:numPr>
              <w:rPr>
                <w:iCs/>
              </w:rPr>
            </w:pPr>
            <w:r w:rsidRPr="000B52C6">
              <w:rPr>
                <w:iCs/>
              </w:rPr>
              <w:t>The cost of dexamethasone was not included in the CMA.</w:t>
            </w:r>
          </w:p>
          <w:p w14:paraId="62DA2479" w14:textId="77777777" w:rsidR="0077752E" w:rsidRPr="000B52C6" w:rsidRDefault="0077752E" w:rsidP="00523521">
            <w:pPr>
              <w:pStyle w:val="TableText0"/>
              <w:keepNext w:val="0"/>
              <w:numPr>
                <w:ilvl w:val="0"/>
                <w:numId w:val="65"/>
              </w:numPr>
              <w:rPr>
                <w:iCs/>
              </w:rPr>
            </w:pPr>
            <w:r w:rsidRPr="000B52C6">
              <w:rPr>
                <w:iCs/>
              </w:rPr>
              <w:t xml:space="preserve">The costs of diarrhoea and fatigue events were not incorporated. </w:t>
            </w:r>
          </w:p>
          <w:p w14:paraId="650712D8" w14:textId="345D448D" w:rsidR="003D62B5" w:rsidRPr="000B52C6" w:rsidRDefault="003D62B5" w:rsidP="00523521">
            <w:pPr>
              <w:pStyle w:val="TableText0"/>
              <w:keepNext w:val="0"/>
              <w:numPr>
                <w:ilvl w:val="0"/>
                <w:numId w:val="65"/>
              </w:numPr>
              <w:rPr>
                <w:iCs/>
              </w:rPr>
            </w:pPr>
            <w:r w:rsidRPr="000B52C6">
              <w:rPr>
                <w:iCs/>
              </w:rPr>
              <w:t xml:space="preserve">The costs of concomitant treatments were not considered. </w:t>
            </w:r>
          </w:p>
        </w:tc>
        <w:tc>
          <w:tcPr>
            <w:tcW w:w="1087" w:type="pct"/>
            <w:tcMar>
              <w:left w:w="28" w:type="dxa"/>
              <w:right w:w="28" w:type="dxa"/>
            </w:tcMar>
          </w:tcPr>
          <w:p w14:paraId="4D638C38" w14:textId="54299FA1" w:rsidR="004C6DE9" w:rsidRPr="000B52C6" w:rsidRDefault="00743F59" w:rsidP="00523521">
            <w:pPr>
              <w:pStyle w:val="TableText0"/>
              <w:keepNext w:val="0"/>
            </w:pPr>
            <w:r w:rsidRPr="000B52C6">
              <w:t xml:space="preserve">The PBAC considered that adverse event costs should be incorporated, particularly haematological events related to </w:t>
            </w:r>
            <w:proofErr w:type="spellStart"/>
            <w:r w:rsidRPr="000B52C6">
              <w:t>SBd</w:t>
            </w:r>
            <w:proofErr w:type="spellEnd"/>
            <w:r w:rsidRPr="000B52C6">
              <w:t xml:space="preserve"> use. </w:t>
            </w:r>
          </w:p>
        </w:tc>
        <w:tc>
          <w:tcPr>
            <w:tcW w:w="1087" w:type="pct"/>
            <w:tcMar>
              <w:left w:w="28" w:type="dxa"/>
              <w:right w:w="28" w:type="dxa"/>
            </w:tcMar>
          </w:tcPr>
          <w:p w14:paraId="5715DE6D" w14:textId="1BA1DB6E" w:rsidR="004C6DE9" w:rsidRPr="000B52C6" w:rsidRDefault="00743F59" w:rsidP="00523521">
            <w:pPr>
              <w:pStyle w:val="TableText0"/>
              <w:keepNext w:val="0"/>
              <w:rPr>
                <w:iCs/>
              </w:rPr>
            </w:pPr>
            <w:r w:rsidRPr="000B52C6">
              <w:rPr>
                <w:iCs/>
              </w:rPr>
              <w:t xml:space="preserve">Addressed. </w:t>
            </w:r>
            <w:r w:rsidR="004C6DE9" w:rsidRPr="000B52C6">
              <w:rPr>
                <w:iCs/>
              </w:rPr>
              <w:t>Costs of haematological AEs were included in the CMA.</w:t>
            </w:r>
          </w:p>
        </w:tc>
      </w:tr>
    </w:tbl>
    <w:p w14:paraId="2E9B209A" w14:textId="77777777" w:rsidR="006B3342" w:rsidRPr="000B52C6" w:rsidRDefault="006B3342" w:rsidP="006B3342">
      <w:pPr>
        <w:pStyle w:val="TableFigureFooter"/>
      </w:pPr>
      <w:r w:rsidRPr="000B52C6">
        <w:t>Source: Table 3-1, p156 of the resubmission.</w:t>
      </w:r>
    </w:p>
    <w:p w14:paraId="103E7E34" w14:textId="53B21FD0" w:rsidR="006B3342" w:rsidRPr="000B52C6" w:rsidRDefault="006B3342" w:rsidP="006B3342">
      <w:pPr>
        <w:pStyle w:val="TableFigureFooter"/>
      </w:pPr>
      <w:r w:rsidRPr="000B52C6">
        <w:t xml:space="preserve">Abbreviations: AEs = adverse events; Cd = carfilzomib + dexamethasone; </w:t>
      </w:r>
      <w:r w:rsidR="00186C78" w:rsidRPr="000B52C6">
        <w:t xml:space="preserve">CMA = cost minimisation analysis; </w:t>
      </w:r>
      <w:r w:rsidRPr="000B52C6">
        <w:t xml:space="preserve">mg = milligram; </w:t>
      </w:r>
      <w:r w:rsidR="00973576" w:rsidRPr="000B52C6">
        <w:t xml:space="preserve">ITC = indirect treatment comparison; </w:t>
      </w:r>
      <w:r w:rsidR="00C27E94" w:rsidRPr="000B52C6">
        <w:t xml:space="preserve">ITT = intent to treat; </w:t>
      </w:r>
      <w:r w:rsidRPr="000B52C6">
        <w:t xml:space="preserve">PSD = public summary document; </w:t>
      </w:r>
      <w:proofErr w:type="spellStart"/>
      <w:r w:rsidRPr="000B52C6">
        <w:t>SBd</w:t>
      </w:r>
      <w:proofErr w:type="spellEnd"/>
      <w:r w:rsidRPr="000B52C6">
        <w:t xml:space="preserve"> = </w:t>
      </w:r>
      <w:proofErr w:type="spellStart"/>
      <w:r w:rsidRPr="000B52C6">
        <w:t>selinexor</w:t>
      </w:r>
      <w:proofErr w:type="spellEnd"/>
      <w:r w:rsidRPr="000B52C6">
        <w:t xml:space="preserve"> + bortezomib + dexamethasone. </w:t>
      </w:r>
    </w:p>
    <w:p w14:paraId="487C4497" w14:textId="746E4197" w:rsidR="006B3342" w:rsidRPr="000B52C6" w:rsidRDefault="000C5D5A" w:rsidP="006B3342">
      <w:pPr>
        <w:pStyle w:val="TableFigureFooter"/>
        <w:rPr>
          <w:rStyle w:val="CommentReference"/>
          <w:b w:val="0"/>
          <w:bCs/>
          <w:iCs/>
          <w:sz w:val="18"/>
          <w:szCs w:val="18"/>
        </w:rPr>
      </w:pPr>
      <w:r w:rsidRPr="000B52C6">
        <w:t xml:space="preserve">Notes: </w:t>
      </w:r>
      <w:r w:rsidR="006B3342" w:rsidRPr="000B52C6">
        <w:rPr>
          <w:rStyle w:val="CommentReference"/>
          <w:b w:val="0"/>
          <w:bCs/>
          <w:iCs/>
          <w:sz w:val="18"/>
          <w:szCs w:val="18"/>
          <w:shd w:val="clear" w:color="auto" w:fill="C6D9F1" w:themeFill="text2" w:themeFillTint="33"/>
        </w:rPr>
        <w:t>Blue shading</w:t>
      </w:r>
      <w:r w:rsidR="006B3342" w:rsidRPr="000B52C6">
        <w:rPr>
          <w:rStyle w:val="CommentReference"/>
          <w:b w:val="0"/>
          <w:bCs/>
          <w:iCs/>
          <w:sz w:val="18"/>
          <w:szCs w:val="18"/>
        </w:rPr>
        <w:t xml:space="preserve"> indicates data previously seen by the PBAC. </w:t>
      </w:r>
    </w:p>
    <w:p w14:paraId="468D7F3E" w14:textId="22BC1716" w:rsidR="007928A9" w:rsidRPr="000B52C6" w:rsidRDefault="000C5D5A" w:rsidP="006B3342">
      <w:pPr>
        <w:pStyle w:val="TableFigureFooter"/>
        <w:rPr>
          <w:rStyle w:val="CommentReference"/>
          <w:b w:val="0"/>
          <w:sz w:val="18"/>
          <w:szCs w:val="18"/>
        </w:rPr>
      </w:pPr>
      <w:r w:rsidRPr="000B52C6">
        <w:rPr>
          <w:rStyle w:val="CommentReference"/>
          <w:b w:val="0"/>
          <w:sz w:val="18"/>
          <w:szCs w:val="18"/>
        </w:rPr>
        <w:t>a. Bortezomib is available on the PBS in 1 mg, 3 mg and 3.5 mg formulations which means doses to the nearest 1 mg or a dose of 3.5 mg can be dispensed.</w:t>
      </w:r>
    </w:p>
    <w:p w14:paraId="712C24CD" w14:textId="13E4C18A" w:rsidR="004460EF" w:rsidRPr="000B52C6" w:rsidRDefault="006B3342" w:rsidP="00521842">
      <w:pPr>
        <w:pStyle w:val="3-BodyText"/>
        <w:ind w:left="720" w:hanging="720"/>
        <w:rPr>
          <w:iCs/>
        </w:rPr>
      </w:pPr>
      <w:r w:rsidRPr="000B52C6">
        <w:t xml:space="preserve">The </w:t>
      </w:r>
      <w:proofErr w:type="spellStart"/>
      <w:r w:rsidRPr="000B52C6">
        <w:t>equi</w:t>
      </w:r>
      <w:proofErr w:type="spellEnd"/>
      <w:r w:rsidRPr="000B52C6">
        <w:t xml:space="preserve">-effective dose for </w:t>
      </w:r>
      <w:proofErr w:type="spellStart"/>
      <w:r w:rsidRPr="000B52C6">
        <w:t>SBd</w:t>
      </w:r>
      <w:proofErr w:type="spellEnd"/>
      <w:r w:rsidR="00FA65D3" w:rsidRPr="000B52C6">
        <w:t xml:space="preserve"> was</w:t>
      </w:r>
      <w:r w:rsidRPr="000B52C6">
        <w:t xml:space="preserve"> estimated </w:t>
      </w:r>
      <w:r w:rsidR="00FA65D3" w:rsidRPr="000B52C6">
        <w:t xml:space="preserve">by the resubmission </w:t>
      </w:r>
      <w:r w:rsidRPr="000B52C6">
        <w:t xml:space="preserve">based on the carfilzomib </w:t>
      </w:r>
      <w:proofErr w:type="spellStart"/>
      <w:r w:rsidRPr="000B52C6">
        <w:t>equi</w:t>
      </w:r>
      <w:proofErr w:type="spellEnd"/>
      <w:r w:rsidRPr="000B52C6">
        <w:t>-effective dose established in the July 2020 PBAC submission</w:t>
      </w:r>
      <w:r w:rsidR="00FA65D3" w:rsidRPr="000B52C6">
        <w:t xml:space="preserve"> which </w:t>
      </w:r>
      <w:r w:rsidRPr="000B52C6">
        <w:t>compar</w:t>
      </w:r>
      <w:r w:rsidR="00025920" w:rsidRPr="000B52C6">
        <w:t>ed</w:t>
      </w:r>
      <w:r w:rsidRPr="000B52C6">
        <w:t xml:space="preserve"> Cd once weekly dosing with Cd twice weekly dosing. The base case assumed the use of the Cd twice weekly regimen only as per the ENDEAVOR trial. The assumption that </w:t>
      </w:r>
      <w:proofErr w:type="gramStart"/>
      <w:r w:rsidRPr="000B52C6">
        <w:t>use</w:t>
      </w:r>
      <w:proofErr w:type="gramEnd"/>
      <w:r w:rsidRPr="000B52C6">
        <w:t xml:space="preserve"> of Cd was twice-weekly only was inconsistent with the utilisation applied in </w:t>
      </w:r>
      <w:r w:rsidR="00166E75" w:rsidRPr="000B52C6">
        <w:t>the financial estimates</w:t>
      </w:r>
      <w:r w:rsidRPr="000B52C6">
        <w:t xml:space="preserve">, </w:t>
      </w:r>
      <w:r w:rsidR="00166E75" w:rsidRPr="000B52C6">
        <w:t xml:space="preserve">in which </w:t>
      </w:r>
      <w:r w:rsidRPr="000B52C6">
        <w:t>the resubmission assumed that 20% of carfilzomib utilisation would be the twice weekly regimen and 80% of would be the once weekly regimen</w:t>
      </w:r>
      <w:r w:rsidR="00166E75" w:rsidRPr="000B52C6">
        <w:t xml:space="preserve"> (</w:t>
      </w:r>
      <w:r w:rsidRPr="000B52C6">
        <w:t>based on the uptake rate of both scripts since the PBS listing of once weekly scripts in February 2021</w:t>
      </w:r>
      <w:r w:rsidR="00166E75" w:rsidRPr="000B52C6">
        <w:t>)</w:t>
      </w:r>
      <w:r w:rsidRPr="000B52C6">
        <w:t xml:space="preserve">. </w:t>
      </w:r>
      <w:r w:rsidR="0029739D" w:rsidRPr="000B52C6">
        <w:t xml:space="preserve">The PBAC considered that the assumption </w:t>
      </w:r>
      <w:r w:rsidR="00166E75" w:rsidRPr="000B52C6">
        <w:t>that</w:t>
      </w:r>
      <w:r w:rsidR="0029739D" w:rsidRPr="000B52C6">
        <w:t xml:space="preserve"> Cd </w:t>
      </w:r>
      <w:r w:rsidR="00166E75" w:rsidRPr="000B52C6">
        <w:t xml:space="preserve">would always be used </w:t>
      </w:r>
      <w:r w:rsidR="0029739D" w:rsidRPr="000B52C6">
        <w:t>twice weekly in the CMA was not justified</w:t>
      </w:r>
      <w:r w:rsidR="009B7100" w:rsidRPr="000B52C6">
        <w:t xml:space="preserve">, and that further </w:t>
      </w:r>
      <w:r w:rsidR="006808B2" w:rsidRPr="000B52C6">
        <w:t>consideration</w:t>
      </w:r>
      <w:r w:rsidR="009B7100" w:rsidRPr="000B52C6">
        <w:t xml:space="preserve"> was required</w:t>
      </w:r>
      <w:r w:rsidR="006808B2" w:rsidRPr="000B52C6">
        <w:t xml:space="preserve"> with respect to the carfilzomib dose assumed in the CMA</w:t>
      </w:r>
      <w:r w:rsidR="00E932AA" w:rsidRPr="000B52C6">
        <w:t>.</w:t>
      </w:r>
    </w:p>
    <w:p w14:paraId="302A1ECE" w14:textId="4C0183DA" w:rsidR="007928A9" w:rsidRPr="000B52C6" w:rsidRDefault="007928A9" w:rsidP="00521842">
      <w:pPr>
        <w:pStyle w:val="3-BodyText"/>
        <w:ind w:left="720" w:hanging="720"/>
        <w:rPr>
          <w:iCs/>
        </w:rPr>
      </w:pPr>
      <w:r w:rsidRPr="000B52C6">
        <w:t xml:space="preserve">The cost of dexamethasone was not included in the CMA. </w:t>
      </w:r>
      <w:r w:rsidR="00912462" w:rsidRPr="000B52C6">
        <w:t>The PBAC considered this</w:t>
      </w:r>
      <w:r w:rsidR="00912462" w:rsidRPr="000B52C6">
        <w:rPr>
          <w:iCs/>
        </w:rPr>
        <w:t xml:space="preserve"> </w:t>
      </w:r>
      <w:r w:rsidRPr="000B52C6">
        <w:rPr>
          <w:iCs/>
        </w:rPr>
        <w:t xml:space="preserve">was reasonable given the low cost associated with dexamethasone treatment and similar dosage regimen (20 mg twice weekly). </w:t>
      </w:r>
    </w:p>
    <w:p w14:paraId="2162F20C" w14:textId="025BB20E" w:rsidR="006B3342" w:rsidRPr="000B52C6" w:rsidRDefault="006B3342" w:rsidP="006B3342">
      <w:pPr>
        <w:pStyle w:val="3-BodyText"/>
        <w:ind w:left="720" w:hanging="720"/>
        <w:rPr>
          <w:iCs/>
        </w:rPr>
      </w:pPr>
      <w:r w:rsidRPr="000B52C6">
        <w:t xml:space="preserve">The resubmission applied a dose intensity of 100% to both Cd and </w:t>
      </w:r>
      <w:proofErr w:type="spellStart"/>
      <w:r w:rsidRPr="000B52C6">
        <w:t>SBd</w:t>
      </w:r>
      <w:proofErr w:type="spellEnd"/>
      <w:r w:rsidRPr="000B52C6">
        <w:t xml:space="preserve"> in the base case. The dose intensity for Cd applied in the July 2021 submission was 87%, sourced from the ENDEAVOR trial. The dose intensity applied to </w:t>
      </w:r>
      <w:proofErr w:type="spellStart"/>
      <w:r w:rsidR="00020CF8" w:rsidRPr="000B52C6">
        <w:t>SBd</w:t>
      </w:r>
      <w:proofErr w:type="spellEnd"/>
      <w:r w:rsidR="00020CF8" w:rsidRPr="000B52C6">
        <w:t xml:space="preserve"> </w:t>
      </w:r>
      <w:r w:rsidRPr="000B52C6">
        <w:t>was 80%, sourced from the BOSTON trial.</w:t>
      </w:r>
      <w:r w:rsidRPr="000B52C6">
        <w:rPr>
          <w:iCs/>
        </w:rPr>
        <w:t xml:space="preserve"> The ESC </w:t>
      </w:r>
      <w:r w:rsidR="00020CF8" w:rsidRPr="000B52C6">
        <w:rPr>
          <w:iCs/>
        </w:rPr>
        <w:t xml:space="preserve">previously </w:t>
      </w:r>
      <w:r w:rsidRPr="000B52C6">
        <w:rPr>
          <w:iCs/>
        </w:rPr>
        <w:t xml:space="preserve">considered that the lower dose intensity for </w:t>
      </w:r>
      <w:proofErr w:type="spellStart"/>
      <w:r w:rsidRPr="000B52C6">
        <w:rPr>
          <w:iCs/>
        </w:rPr>
        <w:t>selinexor</w:t>
      </w:r>
      <w:proofErr w:type="spellEnd"/>
      <w:r w:rsidRPr="000B52C6">
        <w:rPr>
          <w:iCs/>
        </w:rPr>
        <w:t xml:space="preserve"> represented the high rate of adverse events associated with </w:t>
      </w:r>
      <w:proofErr w:type="spellStart"/>
      <w:r w:rsidRPr="000B52C6">
        <w:rPr>
          <w:iCs/>
        </w:rPr>
        <w:t>SBd</w:t>
      </w:r>
      <w:proofErr w:type="spellEnd"/>
      <w:r w:rsidRPr="000B52C6">
        <w:rPr>
          <w:iCs/>
        </w:rPr>
        <w:t xml:space="preserve"> and the required dose modifications (</w:t>
      </w:r>
      <w:proofErr w:type="gramStart"/>
      <w:r w:rsidRPr="000B52C6">
        <w:rPr>
          <w:iCs/>
        </w:rPr>
        <w:t>i.e.</w:t>
      </w:r>
      <w:proofErr w:type="gramEnd"/>
      <w:r w:rsidRPr="000B52C6">
        <w:rPr>
          <w:iCs/>
        </w:rPr>
        <w:t xml:space="preserve"> dose reductions and interruptions)’ (para 6.64, </w:t>
      </w:r>
      <w:proofErr w:type="spellStart"/>
      <w:r w:rsidRPr="000B52C6">
        <w:rPr>
          <w:iCs/>
        </w:rPr>
        <w:t>selinexor</w:t>
      </w:r>
      <w:proofErr w:type="spellEnd"/>
      <w:r w:rsidRPr="000B52C6">
        <w:rPr>
          <w:iCs/>
        </w:rPr>
        <w:t xml:space="preserve"> (RRMM), PBAC </w:t>
      </w:r>
      <w:r w:rsidR="00251F38">
        <w:rPr>
          <w:iCs/>
        </w:rPr>
        <w:t>PSD</w:t>
      </w:r>
      <w:r w:rsidRPr="000B52C6">
        <w:rPr>
          <w:iCs/>
        </w:rPr>
        <w:t xml:space="preserve">, July 2021 PBAC meeting). The application of a lower dose intensity for </w:t>
      </w:r>
      <w:proofErr w:type="spellStart"/>
      <w:r w:rsidR="00020CF8" w:rsidRPr="000B52C6">
        <w:rPr>
          <w:iCs/>
        </w:rPr>
        <w:t>SBd</w:t>
      </w:r>
      <w:proofErr w:type="spellEnd"/>
      <w:r w:rsidR="00020CF8" w:rsidRPr="000B52C6">
        <w:rPr>
          <w:iCs/>
        </w:rPr>
        <w:t xml:space="preserve"> </w:t>
      </w:r>
      <w:r w:rsidRPr="000B52C6">
        <w:rPr>
          <w:iCs/>
        </w:rPr>
        <w:t xml:space="preserve">than Cd increases the price of </w:t>
      </w:r>
      <w:proofErr w:type="spellStart"/>
      <w:r w:rsidRPr="000B52C6">
        <w:rPr>
          <w:iCs/>
        </w:rPr>
        <w:t>selinexor</w:t>
      </w:r>
      <w:proofErr w:type="spellEnd"/>
      <w:r w:rsidRPr="000B52C6">
        <w:rPr>
          <w:iCs/>
        </w:rPr>
        <w:t xml:space="preserve"> (see Table 23). </w:t>
      </w:r>
    </w:p>
    <w:p w14:paraId="44F9F815" w14:textId="49EC5A04" w:rsidR="00FE5CE6" w:rsidRPr="000B52C6" w:rsidRDefault="006B3342" w:rsidP="001F390B">
      <w:pPr>
        <w:pStyle w:val="3-BodyText"/>
        <w:ind w:left="720" w:hanging="720"/>
        <w:rPr>
          <w:iCs/>
        </w:rPr>
      </w:pPr>
      <w:r w:rsidRPr="000B52C6">
        <w:t xml:space="preserve">The duration of treatment with </w:t>
      </w:r>
      <w:proofErr w:type="spellStart"/>
      <w:r w:rsidRPr="000B52C6">
        <w:t>SBd</w:t>
      </w:r>
      <w:proofErr w:type="spellEnd"/>
      <w:r w:rsidRPr="000B52C6">
        <w:t xml:space="preserve"> was made equivalent to that of Cd (49.3 weeks) within the CMA. </w:t>
      </w:r>
      <w:r w:rsidRPr="000B52C6">
        <w:rPr>
          <w:iCs/>
        </w:rPr>
        <w:t xml:space="preserve">The assumption of equivalent treatment duration between </w:t>
      </w:r>
      <w:proofErr w:type="spellStart"/>
      <w:r w:rsidRPr="000B52C6">
        <w:rPr>
          <w:iCs/>
        </w:rPr>
        <w:t>SBd</w:t>
      </w:r>
      <w:proofErr w:type="spellEnd"/>
      <w:r w:rsidRPr="000B52C6">
        <w:rPr>
          <w:iCs/>
        </w:rPr>
        <w:t xml:space="preserve"> and Cd might not be reasonable given the shorter median PFS observed for </w:t>
      </w:r>
      <w:proofErr w:type="spellStart"/>
      <w:r w:rsidRPr="000B52C6">
        <w:rPr>
          <w:iCs/>
        </w:rPr>
        <w:t>SBd</w:t>
      </w:r>
      <w:proofErr w:type="spellEnd"/>
      <w:r w:rsidRPr="000B52C6">
        <w:rPr>
          <w:iCs/>
        </w:rPr>
        <w:t xml:space="preserve"> in BOSTON (13.5 months) from the updated data cut-off (Feb 2021) compared to the median PFS of 18.7 months observed for Cd in ENDEAVOR. The median duration of treatment for Cd applied in the July 2021 submission was 9.18 months (39.9 weeks), sourced from the ENDEAVOR trial and the duration of treatment with </w:t>
      </w:r>
      <w:proofErr w:type="spellStart"/>
      <w:r w:rsidRPr="000B52C6">
        <w:rPr>
          <w:iCs/>
        </w:rPr>
        <w:t>SBd</w:t>
      </w:r>
      <w:proofErr w:type="spellEnd"/>
      <w:r w:rsidRPr="000B52C6">
        <w:rPr>
          <w:iCs/>
        </w:rPr>
        <w:t xml:space="preserve"> was made equivalent to that of Cd. </w:t>
      </w:r>
      <w:r w:rsidR="00FC63D0" w:rsidRPr="000B52C6">
        <w:rPr>
          <w:bCs/>
          <w:iCs/>
          <w:szCs w:val="20"/>
        </w:rPr>
        <w:t xml:space="preserve">The ESC noted this was consistent with a non-inferiority claim, but that the relative treatment durations were uncertain. </w:t>
      </w:r>
    </w:p>
    <w:p w14:paraId="10751BFB" w14:textId="33D10CBA" w:rsidR="00535172" w:rsidRPr="000B52C6" w:rsidRDefault="00535172" w:rsidP="00535172">
      <w:pPr>
        <w:pStyle w:val="3-BodyText"/>
        <w:ind w:left="720" w:hanging="720"/>
      </w:pPr>
      <w:bookmarkStart w:id="49" w:name="_Ref92400221"/>
      <w:r w:rsidRPr="000B52C6">
        <w:t xml:space="preserve">The </w:t>
      </w:r>
      <w:proofErr w:type="spellStart"/>
      <w:r w:rsidRPr="000B52C6">
        <w:t>SBd</w:t>
      </w:r>
      <w:proofErr w:type="spellEnd"/>
      <w:r w:rsidRPr="000B52C6">
        <w:t xml:space="preserve"> regimen consists of </w:t>
      </w:r>
      <w:proofErr w:type="spellStart"/>
      <w:r w:rsidRPr="000B52C6">
        <w:t>selinexor</w:t>
      </w:r>
      <w:proofErr w:type="spellEnd"/>
      <w:r w:rsidRPr="000B52C6">
        <w:t xml:space="preserve"> 100 mg every week and bortezomib administered </w:t>
      </w:r>
      <w:r w:rsidR="001A2F50" w:rsidRPr="000B52C6">
        <w:t>subcutaneously</w:t>
      </w:r>
      <w:r w:rsidRPr="000B52C6">
        <w:t xml:space="preserve"> 1.3 mg/m</w:t>
      </w:r>
      <w:r w:rsidRPr="000B52C6">
        <w:rPr>
          <w:vertAlign w:val="superscript"/>
        </w:rPr>
        <w:t>2</w:t>
      </w:r>
      <w:r w:rsidRPr="000B52C6">
        <w:t xml:space="preserve"> once weekly for 4 out of 5 weeks (this is equivalent to 9.87 treatment cycles at full compliance (49.3/5). Therefore, each </w:t>
      </w:r>
      <w:proofErr w:type="spellStart"/>
      <w:r w:rsidRPr="000B52C6">
        <w:t>SBd</w:t>
      </w:r>
      <w:proofErr w:type="spellEnd"/>
      <w:r w:rsidRPr="000B52C6">
        <w:t xml:space="preserve"> patient will receive the equivalent of 246.67 tablets of 20 mg </w:t>
      </w:r>
      <w:proofErr w:type="spellStart"/>
      <w:r w:rsidRPr="000B52C6">
        <w:t>selinexor</w:t>
      </w:r>
      <w:proofErr w:type="spellEnd"/>
      <w:r w:rsidRPr="000B52C6">
        <w:t xml:space="preserve"> (9.87 cycles x 5 tablets per dose x 5 doses per cycle) and 39.47 doses of bortezomib (9.87 cycles x 4 doses per cycle). The resubmission stated that based on a mean (±SD) BSA of 1.8 m</w:t>
      </w:r>
      <w:r w:rsidRPr="000B52C6">
        <w:rPr>
          <w:vertAlign w:val="superscript"/>
        </w:rPr>
        <w:t>2</w:t>
      </w:r>
      <w:r w:rsidRPr="000B52C6">
        <w:t xml:space="preserve"> (±0.18) and after incorporating wastage, each dose of bortezomib is 2.93 mg.</w:t>
      </w:r>
      <w:bookmarkEnd w:id="49"/>
    </w:p>
    <w:p w14:paraId="69B310BF" w14:textId="2C46CBF7" w:rsidR="006B3342" w:rsidRPr="000B52C6" w:rsidRDefault="006B3342" w:rsidP="006B3342">
      <w:pPr>
        <w:pStyle w:val="3-BodyText"/>
        <w:ind w:left="720" w:hanging="720"/>
        <w:rPr>
          <w:iCs/>
        </w:rPr>
      </w:pPr>
      <w:r w:rsidRPr="000B52C6">
        <w:t xml:space="preserve">Administration costs were included in the </w:t>
      </w:r>
      <w:r w:rsidR="008068BD" w:rsidRPr="000B52C6">
        <w:t xml:space="preserve">CMA </w:t>
      </w:r>
      <w:r w:rsidRPr="000B52C6">
        <w:t xml:space="preserve">to account for the variance in administration between </w:t>
      </w:r>
      <w:proofErr w:type="spellStart"/>
      <w:r w:rsidRPr="000B52C6">
        <w:t>SBd</w:t>
      </w:r>
      <w:proofErr w:type="spellEnd"/>
      <w:r w:rsidRPr="000B52C6">
        <w:t xml:space="preserve"> and Cd. </w:t>
      </w:r>
      <w:r w:rsidRPr="000B52C6">
        <w:rPr>
          <w:iCs/>
        </w:rPr>
        <w:t>The source used for the carfilzomib administration cost was appropriate.</w:t>
      </w:r>
      <w:r w:rsidR="0088025E" w:rsidRPr="000B52C6">
        <w:rPr>
          <w:iCs/>
        </w:rPr>
        <w:t xml:space="preserve"> This </w:t>
      </w:r>
      <w:r w:rsidR="003538F8" w:rsidRPr="000B52C6">
        <w:rPr>
          <w:iCs/>
        </w:rPr>
        <w:t>remained un</w:t>
      </w:r>
      <w:r w:rsidR="0088025E" w:rsidRPr="000B52C6">
        <w:rPr>
          <w:iCs/>
        </w:rPr>
        <w:t xml:space="preserve">changed from the July 2021 submission. </w:t>
      </w:r>
      <w:r w:rsidR="008068BD" w:rsidRPr="000B52C6">
        <w:rPr>
          <w:iCs/>
        </w:rPr>
        <w:t xml:space="preserve">No cost was assumed for subcutaneous administration of bortezomib, as part of </w:t>
      </w:r>
      <w:proofErr w:type="spellStart"/>
      <w:r w:rsidR="008068BD" w:rsidRPr="000B52C6">
        <w:rPr>
          <w:iCs/>
        </w:rPr>
        <w:t>SBd</w:t>
      </w:r>
      <w:proofErr w:type="spellEnd"/>
      <w:r w:rsidR="008068BD" w:rsidRPr="000B52C6">
        <w:rPr>
          <w:iCs/>
        </w:rPr>
        <w:t xml:space="preserve">, </w:t>
      </w:r>
      <w:r w:rsidR="00FC63D0" w:rsidRPr="000B52C6">
        <w:rPr>
          <w:iCs/>
        </w:rPr>
        <w:t>however the PBAC considered that this should be been included</w:t>
      </w:r>
      <w:r w:rsidR="00912462" w:rsidRPr="000B52C6">
        <w:rPr>
          <w:iCs/>
        </w:rPr>
        <w:t>, noting that MBS Item 13950 would apply.</w:t>
      </w:r>
    </w:p>
    <w:p w14:paraId="2C6F5F5D" w14:textId="52FAEF50" w:rsidR="0002124D" w:rsidRPr="000B52C6" w:rsidRDefault="0002124D" w:rsidP="006B3342">
      <w:pPr>
        <w:pStyle w:val="3-BodyText"/>
        <w:ind w:left="720" w:hanging="720"/>
        <w:rPr>
          <w:iCs/>
        </w:rPr>
      </w:pPr>
      <w:r w:rsidRPr="000B52C6">
        <w:rPr>
          <w:iCs/>
        </w:rPr>
        <w:t>The CMA included costs of AEs consistent with previous PBAC advice.</w:t>
      </w:r>
      <w:r w:rsidR="00C97027" w:rsidRPr="000B52C6">
        <w:rPr>
          <w:iCs/>
        </w:rPr>
        <w:t xml:space="preserve"> </w:t>
      </w:r>
      <w:r w:rsidRPr="000B52C6">
        <w:rPr>
          <w:iCs/>
        </w:rPr>
        <w:t>The following issues were noted:</w:t>
      </w:r>
    </w:p>
    <w:p w14:paraId="5CF10D0D" w14:textId="7CEE1B94" w:rsidR="00535172" w:rsidRPr="000B52C6" w:rsidRDefault="006B3342" w:rsidP="005640E7">
      <w:pPr>
        <w:pStyle w:val="3-BodyText"/>
        <w:numPr>
          <w:ilvl w:val="1"/>
          <w:numId w:val="60"/>
        </w:numPr>
        <w:ind w:left="1077" w:hanging="357"/>
        <w:rPr>
          <w:iCs/>
        </w:rPr>
      </w:pPr>
      <w:r w:rsidRPr="000B52C6">
        <w:t xml:space="preserve">The CMA included the costs of haematological AEs that are more prevalent with </w:t>
      </w:r>
      <w:proofErr w:type="spellStart"/>
      <w:r w:rsidRPr="000B52C6">
        <w:t>SBd</w:t>
      </w:r>
      <w:proofErr w:type="spellEnd"/>
      <w:r w:rsidRPr="000B52C6">
        <w:t xml:space="preserve">. </w:t>
      </w:r>
      <w:r w:rsidRPr="000B52C6">
        <w:rPr>
          <w:iCs/>
        </w:rPr>
        <w:t xml:space="preserve">The PBAC previously considered that the CMA should incorporate adverse event costs, particularly haematological events related to </w:t>
      </w:r>
      <w:proofErr w:type="spellStart"/>
      <w:r w:rsidRPr="000B52C6">
        <w:rPr>
          <w:iCs/>
        </w:rPr>
        <w:t>SBd</w:t>
      </w:r>
      <w:proofErr w:type="spellEnd"/>
      <w:r w:rsidRPr="000B52C6">
        <w:rPr>
          <w:iCs/>
        </w:rPr>
        <w:t xml:space="preserve"> use (para. 7.15, </w:t>
      </w:r>
      <w:proofErr w:type="spellStart"/>
      <w:r w:rsidRPr="000B52C6">
        <w:rPr>
          <w:iCs/>
        </w:rPr>
        <w:t>selinexor</w:t>
      </w:r>
      <w:proofErr w:type="spellEnd"/>
      <w:r w:rsidRPr="000B52C6">
        <w:rPr>
          <w:iCs/>
        </w:rPr>
        <w:t xml:space="preserve"> (RRMM), PBAC </w:t>
      </w:r>
      <w:r w:rsidR="00251F38">
        <w:rPr>
          <w:iCs/>
        </w:rPr>
        <w:t>PSD</w:t>
      </w:r>
      <w:r w:rsidRPr="000B52C6">
        <w:rPr>
          <w:iCs/>
        </w:rPr>
        <w:t xml:space="preserve">, July 2021 PBAC meeting). The haematological AEs included in the CMA were anaemia, thrombocytopenia, and neutropenia. These were inconsistent with the safety results presented in Section 2.6 which showed that thrombocytopenia and neutropenia were more prevalent with </w:t>
      </w:r>
      <w:proofErr w:type="spellStart"/>
      <w:r w:rsidRPr="000B52C6">
        <w:rPr>
          <w:iCs/>
        </w:rPr>
        <w:t>SBd</w:t>
      </w:r>
      <w:proofErr w:type="spellEnd"/>
      <w:r w:rsidRPr="000B52C6">
        <w:rPr>
          <w:iCs/>
        </w:rPr>
        <w:t xml:space="preserve">, while anaemia was more prevalent with Cd (although not statistically significant). The inclusion of costs relating to anaemia was conservative (decreasing the cost of </w:t>
      </w:r>
      <w:proofErr w:type="spellStart"/>
      <w:r w:rsidRPr="000B52C6">
        <w:rPr>
          <w:iCs/>
        </w:rPr>
        <w:t>selinexor</w:t>
      </w:r>
      <w:proofErr w:type="spellEnd"/>
      <w:r w:rsidRPr="000B52C6">
        <w:rPr>
          <w:iCs/>
        </w:rPr>
        <w:t>).</w:t>
      </w:r>
      <w:r w:rsidR="00535172" w:rsidRPr="000B52C6">
        <w:rPr>
          <w:iCs/>
        </w:rPr>
        <w:t xml:space="preserve">  </w:t>
      </w:r>
    </w:p>
    <w:p w14:paraId="4F221CD9" w14:textId="49B60E5D" w:rsidR="00535172" w:rsidRPr="000B52C6" w:rsidRDefault="00535172" w:rsidP="005640E7">
      <w:pPr>
        <w:pStyle w:val="3-BodyText"/>
        <w:numPr>
          <w:ilvl w:val="1"/>
          <w:numId w:val="60"/>
        </w:numPr>
        <w:ind w:left="1077" w:hanging="357"/>
        <w:rPr>
          <w:iCs/>
        </w:rPr>
      </w:pPr>
      <w:r w:rsidRPr="000B52C6">
        <w:t xml:space="preserve">The CMA included TEAEs of Grade ≥3 based on data availability in ENDEAVOR for AEs of Grade 3 or higher (all Grade ≥3 AEs reported in ENDEAVOR were included in the CMA). The resubmission estimated the cost of AEs by assuming all Grade 3 AEs to receive hospital care. </w:t>
      </w:r>
      <w:r w:rsidRPr="000B52C6">
        <w:rPr>
          <w:iCs/>
        </w:rPr>
        <w:t xml:space="preserve">Given not all grade ≥3 AEs are likely to receive hospital care, this assumption is conservative, decreasing the cost-minimised </w:t>
      </w:r>
      <w:r w:rsidR="0013316E" w:rsidRPr="000B52C6">
        <w:rPr>
          <w:iCs/>
        </w:rPr>
        <w:t xml:space="preserve">price </w:t>
      </w:r>
      <w:r w:rsidRPr="000B52C6">
        <w:rPr>
          <w:iCs/>
        </w:rPr>
        <w:t xml:space="preserve">of </w:t>
      </w:r>
      <w:proofErr w:type="spellStart"/>
      <w:r w:rsidRPr="000B52C6">
        <w:rPr>
          <w:iCs/>
        </w:rPr>
        <w:t>selinexor</w:t>
      </w:r>
      <w:proofErr w:type="spellEnd"/>
      <w:r w:rsidRPr="000B52C6">
        <w:rPr>
          <w:iCs/>
        </w:rPr>
        <w:t xml:space="preserve">. The inclusion of these AEs in the CMA relies on the acceptance of the unadjusted nature of the ITC performed with respect to safety outcomes.  </w:t>
      </w:r>
    </w:p>
    <w:p w14:paraId="436CB1C2" w14:textId="10806479" w:rsidR="006B3342" w:rsidRPr="000B52C6" w:rsidRDefault="006B3342" w:rsidP="005640E7">
      <w:pPr>
        <w:pStyle w:val="3-BodyText"/>
        <w:numPr>
          <w:ilvl w:val="1"/>
          <w:numId w:val="60"/>
        </w:numPr>
        <w:ind w:left="1077" w:hanging="357"/>
        <w:rPr>
          <w:iCs/>
        </w:rPr>
      </w:pPr>
      <w:r w:rsidRPr="000B52C6">
        <w:rPr>
          <w:iCs/>
        </w:rPr>
        <w:t xml:space="preserve">The resubmission did not incorporate costs of diarrhoea and fatigue events </w:t>
      </w:r>
      <w:r w:rsidR="00996050" w:rsidRPr="000B52C6">
        <w:rPr>
          <w:iCs/>
        </w:rPr>
        <w:t>which</w:t>
      </w:r>
      <w:r w:rsidRPr="000B52C6">
        <w:rPr>
          <w:iCs/>
        </w:rPr>
        <w:t xml:space="preserve"> </w:t>
      </w:r>
      <w:r w:rsidR="0013316E" w:rsidRPr="000B52C6">
        <w:rPr>
          <w:iCs/>
        </w:rPr>
        <w:t>both occurred more frequently</w:t>
      </w:r>
      <w:r w:rsidRPr="000B52C6">
        <w:rPr>
          <w:iCs/>
        </w:rPr>
        <w:t xml:space="preserve"> with </w:t>
      </w:r>
      <w:proofErr w:type="spellStart"/>
      <w:r w:rsidRPr="000B52C6">
        <w:rPr>
          <w:iCs/>
        </w:rPr>
        <w:t>SBd</w:t>
      </w:r>
      <w:proofErr w:type="spellEnd"/>
      <w:r w:rsidRPr="000B52C6">
        <w:rPr>
          <w:iCs/>
        </w:rPr>
        <w:t xml:space="preserve"> than Cd with a statistically significant difference in terms of OR and RD. </w:t>
      </w:r>
      <w:r w:rsidR="00C97027" w:rsidRPr="000B52C6">
        <w:rPr>
          <w:iCs/>
        </w:rPr>
        <w:t>However, i</w:t>
      </w:r>
      <w:r w:rsidRPr="000B52C6">
        <w:rPr>
          <w:iCs/>
        </w:rPr>
        <w:t xml:space="preserve">nclusion of costs relating to treatment of diarrhoea and fatigue (as estimated by the resubmission) was tested in the sensitivity analyses conducted during evaluation, and their impact on the </w:t>
      </w:r>
      <w:proofErr w:type="spellStart"/>
      <w:r w:rsidRPr="000B52C6">
        <w:rPr>
          <w:iCs/>
        </w:rPr>
        <w:t>selinexor</w:t>
      </w:r>
      <w:proofErr w:type="spellEnd"/>
      <w:r w:rsidRPr="000B52C6">
        <w:rPr>
          <w:iCs/>
        </w:rPr>
        <w:t xml:space="preserve"> cost-minimising price was found to be minimal (see Table 23). </w:t>
      </w:r>
    </w:p>
    <w:p w14:paraId="3BEC2ED4" w14:textId="77777777" w:rsidR="006B3342" w:rsidRPr="000B52C6" w:rsidRDefault="006B3342" w:rsidP="005640E7">
      <w:pPr>
        <w:pStyle w:val="3-BodyText"/>
        <w:numPr>
          <w:ilvl w:val="1"/>
          <w:numId w:val="60"/>
        </w:numPr>
        <w:ind w:left="1077" w:hanging="357"/>
        <w:rPr>
          <w:iCs/>
        </w:rPr>
      </w:pPr>
      <w:r w:rsidRPr="000B52C6">
        <w:rPr>
          <w:iCs/>
        </w:rPr>
        <w:t xml:space="preserve">The median follow-up time at which the incidences of AEs were observed was shorter for </w:t>
      </w:r>
      <w:proofErr w:type="spellStart"/>
      <w:r w:rsidRPr="000B52C6">
        <w:rPr>
          <w:iCs/>
        </w:rPr>
        <w:t>SBd</w:t>
      </w:r>
      <w:proofErr w:type="spellEnd"/>
      <w:r w:rsidRPr="000B52C6">
        <w:rPr>
          <w:iCs/>
        </w:rPr>
        <w:t xml:space="preserve"> (17.3 months) than Cd (44.3 months). This is likely biased in favour of </w:t>
      </w:r>
      <w:proofErr w:type="spellStart"/>
      <w:r w:rsidRPr="000B52C6">
        <w:rPr>
          <w:iCs/>
        </w:rPr>
        <w:t>SBd</w:t>
      </w:r>
      <w:proofErr w:type="spellEnd"/>
      <w:r w:rsidRPr="000B52C6">
        <w:rPr>
          <w:iCs/>
        </w:rPr>
        <w:t>.</w:t>
      </w:r>
    </w:p>
    <w:p w14:paraId="528B71C7" w14:textId="55A4EDD5" w:rsidR="006B3342" w:rsidRPr="000B52C6" w:rsidRDefault="006B3342" w:rsidP="006B3342">
      <w:pPr>
        <w:pStyle w:val="3-BodyText"/>
        <w:ind w:left="720" w:hanging="720"/>
      </w:pPr>
      <w:r w:rsidRPr="000B52C6">
        <w:t xml:space="preserve">The resubmission did not include the costs of any concomitant treatments. In BOSTON, prophylactic concomitant treatment with a 5-HT3 antagonist and/or other anti-nausea agents is recommended prior to and during treatment with </w:t>
      </w:r>
      <w:proofErr w:type="spellStart"/>
      <w:r w:rsidRPr="000B52C6">
        <w:t>selinexor</w:t>
      </w:r>
      <w:proofErr w:type="spellEnd"/>
      <w:r w:rsidRPr="000B52C6">
        <w:t>.</w:t>
      </w:r>
      <w:r w:rsidR="001A4EC9" w:rsidRPr="000B52C6">
        <w:t xml:space="preserve"> The PBAC considered that </w:t>
      </w:r>
      <w:r w:rsidR="00A73EFB" w:rsidRPr="000B52C6">
        <w:t>re</w:t>
      </w:r>
      <w:r w:rsidR="0067663A" w:rsidRPr="000B52C6">
        <w:t>commended</w:t>
      </w:r>
      <w:r w:rsidR="00A73EFB" w:rsidRPr="000B52C6">
        <w:t xml:space="preserve"> concomitant treatments should have been included in the CMA.</w:t>
      </w:r>
    </w:p>
    <w:p w14:paraId="31208BCF" w14:textId="3933624F" w:rsidR="009C0ADC" w:rsidRPr="000B52C6" w:rsidRDefault="006B3342" w:rsidP="0037219B">
      <w:pPr>
        <w:pStyle w:val="3-BodyText"/>
        <w:ind w:left="720" w:hanging="720"/>
      </w:pPr>
      <w:r w:rsidRPr="000B52C6">
        <w:t xml:space="preserve">The resubmission presented a CMA based on the published AEMP of Cd and Bd (see </w:t>
      </w:r>
      <w:r w:rsidRPr="000B52C6">
        <w:fldChar w:fldCharType="begin"/>
      </w:r>
      <w:r w:rsidRPr="000B52C6">
        <w:instrText xml:space="preserve"> REF _Ref90370250 \h  \* MERGEFORMAT </w:instrText>
      </w:r>
      <w:r w:rsidRPr="000B52C6">
        <w:fldChar w:fldCharType="separate"/>
      </w:r>
      <w:r w:rsidR="00FF5725" w:rsidRPr="00FF5725">
        <w:t>Table 19</w:t>
      </w:r>
      <w:r w:rsidRPr="000B52C6">
        <w:fldChar w:fldCharType="end"/>
      </w:r>
      <w:r w:rsidRPr="000B52C6">
        <w:t>)</w:t>
      </w:r>
      <w:r w:rsidR="0037219B" w:rsidRPr="000B52C6">
        <w:t xml:space="preserve">. </w:t>
      </w:r>
      <w:r w:rsidRPr="000B52C6">
        <w:t>The total cost per course of Cd (inclusive of infusion administration costs)</w:t>
      </w:r>
      <w:r w:rsidR="00C97027" w:rsidRPr="000B52C6">
        <w:t xml:space="preserve"> was estimated</w:t>
      </w:r>
      <w:r w:rsidRPr="000B52C6">
        <w:t xml:space="preserve"> to be $162,240 per patient (at published PBS prices), while the cost per patient of the </w:t>
      </w:r>
      <w:proofErr w:type="spellStart"/>
      <w:r w:rsidRPr="000B52C6">
        <w:t>selinexor</w:t>
      </w:r>
      <w:proofErr w:type="spellEnd"/>
      <w:r w:rsidRPr="000B52C6">
        <w:t xml:space="preserve"> was estimated to be $</w:t>
      </w:r>
      <w:proofErr w:type="gramStart"/>
      <w:r w:rsidR="00DB2D11" w:rsidRPr="00FF5725">
        <w:rPr>
          <w:color w:val="000000"/>
          <w:w w:val="15"/>
          <w:shd w:val="solid" w:color="000000" w:fill="000000"/>
          <w:fitText w:val="-20" w:id="-1500846335"/>
          <w14:textFill>
            <w14:solidFill>
              <w14:srgbClr w14:val="000000">
                <w14:alpha w14:val="100000"/>
              </w14:srgbClr>
            </w14:solidFill>
          </w14:textFill>
        </w:rPr>
        <w:t xml:space="preserve">|  </w:t>
      </w:r>
      <w:r w:rsidR="00DB2D11" w:rsidRPr="00FF5725">
        <w:rPr>
          <w:color w:val="000000"/>
          <w:spacing w:val="-69"/>
          <w:w w:val="15"/>
          <w:shd w:val="solid" w:color="000000" w:fill="000000"/>
          <w:fitText w:val="-20" w:id="-1500846335"/>
          <w14:textFill>
            <w14:solidFill>
              <w14:srgbClr w14:val="000000">
                <w14:alpha w14:val="100000"/>
              </w14:srgbClr>
            </w14:solidFill>
          </w14:textFill>
        </w:rPr>
        <w:t>|</w:t>
      </w:r>
      <w:proofErr w:type="gramEnd"/>
      <w:r w:rsidRPr="000B52C6">
        <w:t xml:space="preserve"> (after removing the costs of additional haematological AEs with </w:t>
      </w:r>
      <w:proofErr w:type="spellStart"/>
      <w:r w:rsidRPr="000B52C6">
        <w:t>SBd</w:t>
      </w:r>
      <w:proofErr w:type="spellEnd"/>
      <w:r w:rsidRPr="000B52C6">
        <w:t xml:space="preserve"> and the costs of bortezomib). The </w:t>
      </w:r>
      <w:proofErr w:type="spellStart"/>
      <w:r w:rsidRPr="000B52C6">
        <w:t>equi</w:t>
      </w:r>
      <w:proofErr w:type="spellEnd"/>
      <w:r w:rsidRPr="000B52C6">
        <w:t xml:space="preserve">-effective dosing of </w:t>
      </w:r>
      <w:proofErr w:type="spellStart"/>
      <w:r w:rsidRPr="000B52C6">
        <w:t>selinexor</w:t>
      </w:r>
      <w:proofErr w:type="spellEnd"/>
      <w:r w:rsidRPr="000B52C6">
        <w:t xml:space="preserve"> was 4</w:t>
      </w:r>
      <w:r w:rsidR="0067663A" w:rsidRPr="000B52C6">
        <w:t>,</w:t>
      </w:r>
      <w:r w:rsidRPr="000B52C6">
        <w:t xml:space="preserve">933 milligrams per patient meaning the cost-minimising price of </w:t>
      </w:r>
      <w:proofErr w:type="spellStart"/>
      <w:r w:rsidRPr="000B52C6">
        <w:t>selinexor</w:t>
      </w:r>
      <w:proofErr w:type="spellEnd"/>
      <w:r w:rsidRPr="000B52C6">
        <w:t xml:space="preserve"> was calculated as $</w:t>
      </w:r>
      <w:proofErr w:type="gramStart"/>
      <w:r w:rsidR="00DB2D11" w:rsidRPr="00FF5725">
        <w:rPr>
          <w:color w:val="000000"/>
          <w:w w:val="15"/>
          <w:shd w:val="solid" w:color="000000" w:fill="000000"/>
          <w:fitText w:val="-20" w:id="-1500846334"/>
          <w14:textFill>
            <w14:solidFill>
              <w14:srgbClr w14:val="000000">
                <w14:alpha w14:val="100000"/>
              </w14:srgbClr>
            </w14:solidFill>
          </w14:textFill>
        </w:rPr>
        <w:t xml:space="preserve">|  </w:t>
      </w:r>
      <w:r w:rsidR="00DB2D11" w:rsidRPr="00FF5725">
        <w:rPr>
          <w:color w:val="000000"/>
          <w:spacing w:val="-69"/>
          <w:w w:val="15"/>
          <w:shd w:val="solid" w:color="000000" w:fill="000000"/>
          <w:fitText w:val="-20" w:id="-1500846334"/>
          <w14:textFill>
            <w14:solidFill>
              <w14:srgbClr w14:val="000000">
                <w14:alpha w14:val="100000"/>
              </w14:srgbClr>
            </w14:solidFill>
          </w14:textFill>
        </w:rPr>
        <w:t>|</w:t>
      </w:r>
      <w:proofErr w:type="gramEnd"/>
      <w:r w:rsidRPr="000B52C6">
        <w:t xml:space="preserve"> per milligram, or $</w:t>
      </w:r>
      <w:r w:rsidR="00DB2D11" w:rsidRPr="00FF5725">
        <w:rPr>
          <w:color w:val="000000"/>
          <w:w w:val="15"/>
          <w:shd w:val="solid" w:color="000000" w:fill="000000"/>
          <w:fitText w:val="-20" w:id="-1500846333"/>
          <w14:textFill>
            <w14:solidFill>
              <w14:srgbClr w14:val="000000">
                <w14:alpha w14:val="100000"/>
              </w14:srgbClr>
            </w14:solidFill>
          </w14:textFill>
        </w:rPr>
        <w:t xml:space="preserve">|  </w:t>
      </w:r>
      <w:r w:rsidR="00DB2D11" w:rsidRPr="00FF5725">
        <w:rPr>
          <w:color w:val="000000"/>
          <w:spacing w:val="-69"/>
          <w:w w:val="15"/>
          <w:shd w:val="solid" w:color="000000" w:fill="000000"/>
          <w:fitText w:val="-20" w:id="-1500846333"/>
          <w14:textFill>
            <w14:solidFill>
              <w14:srgbClr w14:val="000000">
                <w14:alpha w14:val="100000"/>
              </w14:srgbClr>
            </w14:solidFill>
          </w14:textFill>
        </w:rPr>
        <w:t>|</w:t>
      </w:r>
      <w:r w:rsidRPr="000B52C6">
        <w:t xml:space="preserve"> per 20 mg tablet (see </w:t>
      </w:r>
      <w:r w:rsidRPr="000B52C6">
        <w:fldChar w:fldCharType="begin"/>
      </w:r>
      <w:r w:rsidRPr="000B52C6">
        <w:instrText xml:space="preserve"> REF _Ref90370250 \h  \* MERGEFORMAT </w:instrText>
      </w:r>
      <w:r w:rsidRPr="000B52C6">
        <w:fldChar w:fldCharType="separate"/>
      </w:r>
      <w:r w:rsidR="00FF5725" w:rsidRPr="00FF5725">
        <w:t>Table 19</w:t>
      </w:r>
      <w:r w:rsidRPr="000B52C6">
        <w:fldChar w:fldCharType="end"/>
      </w:r>
      <w:r w:rsidRPr="000B52C6">
        <w:t xml:space="preserve">). </w:t>
      </w:r>
    </w:p>
    <w:p w14:paraId="7B7EABBB" w14:textId="6412A1FE" w:rsidR="006B3342" w:rsidRPr="000B52C6" w:rsidRDefault="006B3342" w:rsidP="006B3342">
      <w:pPr>
        <w:pStyle w:val="TableFigureHeading"/>
        <w:rPr>
          <w:rStyle w:val="CommentReference"/>
          <w:b/>
          <w:bCs w:val="0"/>
          <w:szCs w:val="24"/>
        </w:rPr>
      </w:pPr>
      <w:bookmarkStart w:id="50" w:name="_Ref90370250"/>
      <w:r w:rsidRPr="000B52C6">
        <w:rPr>
          <w:rStyle w:val="CommentReference"/>
          <w:b/>
          <w:bCs w:val="0"/>
          <w:szCs w:val="24"/>
        </w:rPr>
        <w:t xml:space="preserve">Table </w:t>
      </w:r>
      <w:r w:rsidRPr="000B52C6">
        <w:rPr>
          <w:rStyle w:val="CommentReference"/>
          <w:b/>
          <w:bCs w:val="0"/>
          <w:szCs w:val="24"/>
        </w:rPr>
        <w:fldChar w:fldCharType="begin"/>
      </w:r>
      <w:r w:rsidRPr="000B52C6">
        <w:rPr>
          <w:rStyle w:val="CommentReference"/>
          <w:b/>
          <w:bCs w:val="0"/>
          <w:szCs w:val="24"/>
        </w:rPr>
        <w:instrText xml:space="preserve"> SEQ Table \* ARABIC </w:instrText>
      </w:r>
      <w:r w:rsidRPr="000B52C6">
        <w:rPr>
          <w:rStyle w:val="CommentReference"/>
          <w:b/>
          <w:bCs w:val="0"/>
          <w:szCs w:val="24"/>
        </w:rPr>
        <w:fldChar w:fldCharType="separate"/>
      </w:r>
      <w:r w:rsidR="00FF5725">
        <w:rPr>
          <w:rStyle w:val="CommentReference"/>
          <w:b/>
          <w:bCs w:val="0"/>
          <w:noProof/>
          <w:szCs w:val="24"/>
        </w:rPr>
        <w:t>19</w:t>
      </w:r>
      <w:r w:rsidRPr="000B52C6">
        <w:rPr>
          <w:rStyle w:val="CommentReference"/>
          <w:b/>
          <w:bCs w:val="0"/>
          <w:szCs w:val="24"/>
        </w:rPr>
        <w:fldChar w:fldCharType="end"/>
      </w:r>
      <w:bookmarkEnd w:id="50"/>
      <w:r w:rsidRPr="000B52C6">
        <w:rPr>
          <w:rStyle w:val="CommentReference"/>
          <w:b/>
          <w:bCs w:val="0"/>
          <w:szCs w:val="24"/>
        </w:rPr>
        <w:t xml:space="preserve">: Results of cost-minimisation analysis (Cd and </w:t>
      </w:r>
      <w:proofErr w:type="spellStart"/>
      <w:r w:rsidRPr="000B52C6">
        <w:rPr>
          <w:rStyle w:val="CommentReference"/>
          <w:b/>
          <w:bCs w:val="0"/>
          <w:szCs w:val="24"/>
        </w:rPr>
        <w:t>SBd</w:t>
      </w:r>
      <w:proofErr w:type="spellEnd"/>
      <w:r w:rsidRPr="000B52C6">
        <w:rPr>
          <w:rStyle w:val="CommentReference"/>
          <w:b/>
          <w:bCs w:val="0"/>
          <w:szCs w:val="24"/>
        </w:rPr>
        <w:t>)</w:t>
      </w:r>
    </w:p>
    <w:tbl>
      <w:tblPr>
        <w:tblStyle w:val="THEMA"/>
        <w:tblW w:w="9067" w:type="dxa"/>
        <w:tblLayout w:type="fixed"/>
        <w:tblLook w:val="04A0" w:firstRow="1" w:lastRow="0" w:firstColumn="1" w:lastColumn="0" w:noHBand="0" w:noVBand="1"/>
      </w:tblPr>
      <w:tblGrid>
        <w:gridCol w:w="846"/>
        <w:gridCol w:w="3260"/>
        <w:gridCol w:w="1276"/>
        <w:gridCol w:w="3685"/>
      </w:tblGrid>
      <w:tr w:rsidR="003471CD" w:rsidRPr="000B52C6" w14:paraId="601ACCA4" w14:textId="77777777" w:rsidTr="00A1428B">
        <w:trPr>
          <w:cnfStyle w:val="100000000000" w:firstRow="1" w:lastRow="0" w:firstColumn="0" w:lastColumn="0" w:oddVBand="0" w:evenVBand="0" w:oddHBand="0" w:evenHBand="0" w:firstRowFirstColumn="0" w:firstRowLastColumn="0" w:lastRowFirstColumn="0" w:lastRowLastColumn="0"/>
          <w:trHeight w:val="610"/>
        </w:trPr>
        <w:tc>
          <w:tcPr>
            <w:tcW w:w="846" w:type="dxa"/>
            <w:shd w:val="clear" w:color="auto" w:fill="auto"/>
            <w:noWrap/>
            <w:vAlign w:val="center"/>
            <w:hideMark/>
          </w:tcPr>
          <w:p w14:paraId="458F262F" w14:textId="5BDBDCA7" w:rsidR="003471CD" w:rsidRPr="000B52C6" w:rsidRDefault="003471CD" w:rsidP="0013316E">
            <w:pPr>
              <w:pStyle w:val="TableText0"/>
              <w:keepLines w:val="0"/>
              <w:spacing w:before="0" w:after="0"/>
              <w:rPr>
                <w:lang w:val="en-AU" w:eastAsia="en-AU" w:bidi="ar-SA"/>
              </w:rPr>
            </w:pPr>
            <w:r w:rsidRPr="000B52C6">
              <w:rPr>
                <w:bCs w:val="0"/>
                <w:lang w:val="en-AU"/>
              </w:rPr>
              <w:t>Row</w:t>
            </w:r>
          </w:p>
        </w:tc>
        <w:tc>
          <w:tcPr>
            <w:tcW w:w="3260" w:type="dxa"/>
            <w:shd w:val="clear" w:color="auto" w:fill="auto"/>
            <w:noWrap/>
            <w:vAlign w:val="center"/>
            <w:hideMark/>
          </w:tcPr>
          <w:p w14:paraId="1FB8BFA7" w14:textId="606ECCF8" w:rsidR="003471CD" w:rsidRPr="000B52C6" w:rsidRDefault="003471CD" w:rsidP="00D2061D">
            <w:pPr>
              <w:pStyle w:val="TableText0"/>
              <w:keepLines w:val="0"/>
              <w:spacing w:before="0" w:after="0"/>
              <w:rPr>
                <w:lang w:val="en-AU" w:eastAsia="en-AU" w:bidi="ar-SA"/>
              </w:rPr>
            </w:pPr>
            <w:r w:rsidRPr="000B52C6">
              <w:rPr>
                <w:bCs w:val="0"/>
                <w:lang w:val="en-AU"/>
              </w:rPr>
              <w:t>Parameter</w:t>
            </w:r>
          </w:p>
        </w:tc>
        <w:tc>
          <w:tcPr>
            <w:tcW w:w="1276" w:type="dxa"/>
            <w:shd w:val="clear" w:color="auto" w:fill="auto"/>
            <w:noWrap/>
            <w:vAlign w:val="center"/>
            <w:hideMark/>
          </w:tcPr>
          <w:p w14:paraId="257D53F2" w14:textId="446BAAD9" w:rsidR="003471CD" w:rsidRPr="000B52C6" w:rsidRDefault="003471CD" w:rsidP="003471CD">
            <w:pPr>
              <w:pStyle w:val="TableText0"/>
              <w:rPr>
                <w:b w:val="0"/>
                <w:lang w:val="en-AU"/>
              </w:rPr>
            </w:pPr>
            <w:r w:rsidRPr="000B52C6">
              <w:rPr>
                <w:bCs w:val="0"/>
                <w:lang w:val="en-AU"/>
              </w:rPr>
              <w:t>Value</w:t>
            </w:r>
          </w:p>
        </w:tc>
        <w:tc>
          <w:tcPr>
            <w:tcW w:w="3685" w:type="dxa"/>
            <w:shd w:val="clear" w:color="auto" w:fill="auto"/>
            <w:vAlign w:val="center"/>
          </w:tcPr>
          <w:p w14:paraId="63481A03" w14:textId="15B54DE6" w:rsidR="003471CD" w:rsidRPr="000B52C6" w:rsidRDefault="003471CD" w:rsidP="003471CD">
            <w:pPr>
              <w:pStyle w:val="TableText0"/>
              <w:rPr>
                <w:lang w:val="en-AU" w:eastAsia="en-AU" w:bidi="ar-SA"/>
              </w:rPr>
            </w:pPr>
            <w:r w:rsidRPr="000B52C6">
              <w:rPr>
                <w:bCs w:val="0"/>
                <w:lang w:val="en-AU"/>
              </w:rPr>
              <w:t>Reference</w:t>
            </w:r>
          </w:p>
        </w:tc>
      </w:tr>
      <w:tr w:rsidR="003471CD" w:rsidRPr="000B52C6" w14:paraId="6F36332A" w14:textId="77777777" w:rsidTr="00A1428B">
        <w:trPr>
          <w:trHeight w:val="300"/>
        </w:trPr>
        <w:tc>
          <w:tcPr>
            <w:tcW w:w="846" w:type="dxa"/>
            <w:shd w:val="clear" w:color="auto" w:fill="auto"/>
            <w:noWrap/>
            <w:vAlign w:val="center"/>
            <w:hideMark/>
          </w:tcPr>
          <w:p w14:paraId="7F298A76"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A</w:t>
            </w:r>
          </w:p>
        </w:tc>
        <w:tc>
          <w:tcPr>
            <w:tcW w:w="3260" w:type="dxa"/>
            <w:shd w:val="clear" w:color="auto" w:fill="auto"/>
            <w:noWrap/>
            <w:vAlign w:val="center"/>
            <w:hideMark/>
          </w:tcPr>
          <w:p w14:paraId="77B1DDBB"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 xml:space="preserve">Cd: </w:t>
            </w:r>
            <w:proofErr w:type="spellStart"/>
            <w:r w:rsidRPr="000B52C6">
              <w:rPr>
                <w:lang w:val="en-AU" w:eastAsia="en-AU" w:bidi="ar-SA"/>
              </w:rPr>
              <w:t>equi</w:t>
            </w:r>
            <w:proofErr w:type="spellEnd"/>
            <w:r w:rsidRPr="000B52C6">
              <w:rPr>
                <w:lang w:val="en-AU" w:eastAsia="en-AU" w:bidi="ar-SA"/>
              </w:rPr>
              <w:t>-effective dose (mg)</w:t>
            </w:r>
          </w:p>
        </w:tc>
        <w:tc>
          <w:tcPr>
            <w:tcW w:w="1276" w:type="dxa"/>
            <w:shd w:val="clear" w:color="auto" w:fill="auto"/>
            <w:noWrap/>
            <w:vAlign w:val="center"/>
            <w:hideMark/>
          </w:tcPr>
          <w:p w14:paraId="7D943B5A" w14:textId="35FF5BF7" w:rsidR="003471CD" w:rsidRPr="000B52C6" w:rsidRDefault="003471CD" w:rsidP="00513E25">
            <w:pPr>
              <w:pStyle w:val="TableText0"/>
              <w:keepLines w:val="0"/>
              <w:spacing w:before="0" w:after="0"/>
              <w:rPr>
                <w:lang w:val="en-AU" w:eastAsia="en-AU" w:bidi="ar-SA"/>
              </w:rPr>
            </w:pPr>
            <w:r w:rsidRPr="000B52C6">
              <w:rPr>
                <w:lang w:val="en-AU" w:eastAsia="en-AU" w:bidi="ar-SA"/>
              </w:rPr>
              <w:t>7,278</w:t>
            </w:r>
          </w:p>
        </w:tc>
        <w:tc>
          <w:tcPr>
            <w:tcW w:w="3685" w:type="dxa"/>
            <w:shd w:val="clear" w:color="auto" w:fill="auto"/>
            <w:noWrap/>
            <w:vAlign w:val="center"/>
            <w:hideMark/>
          </w:tcPr>
          <w:p w14:paraId="3AB5E59B"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Table 4, July 2020 PSD, carfilzomib</w:t>
            </w:r>
          </w:p>
        </w:tc>
      </w:tr>
      <w:tr w:rsidR="003471CD" w:rsidRPr="000B52C6" w14:paraId="79EFC80A" w14:textId="77777777" w:rsidTr="00A1428B">
        <w:trPr>
          <w:trHeight w:val="300"/>
        </w:trPr>
        <w:tc>
          <w:tcPr>
            <w:tcW w:w="846" w:type="dxa"/>
            <w:shd w:val="clear" w:color="auto" w:fill="auto"/>
            <w:noWrap/>
            <w:vAlign w:val="center"/>
            <w:hideMark/>
          </w:tcPr>
          <w:p w14:paraId="0D55B385"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B</w:t>
            </w:r>
          </w:p>
        </w:tc>
        <w:tc>
          <w:tcPr>
            <w:tcW w:w="3260" w:type="dxa"/>
            <w:shd w:val="clear" w:color="auto" w:fill="auto"/>
            <w:noWrap/>
            <w:vAlign w:val="center"/>
            <w:hideMark/>
          </w:tcPr>
          <w:p w14:paraId="2BD4A01A"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Cd: cost per mg (AEMP)</w:t>
            </w:r>
          </w:p>
        </w:tc>
        <w:tc>
          <w:tcPr>
            <w:tcW w:w="1276" w:type="dxa"/>
            <w:shd w:val="clear" w:color="auto" w:fill="auto"/>
            <w:noWrap/>
            <w:vAlign w:val="center"/>
            <w:hideMark/>
          </w:tcPr>
          <w:p w14:paraId="170ED46C" w14:textId="329BFBA5" w:rsidR="003471CD" w:rsidRPr="000B52C6" w:rsidRDefault="003471CD" w:rsidP="00513E25">
            <w:pPr>
              <w:pStyle w:val="TableText0"/>
              <w:keepLines w:val="0"/>
              <w:spacing w:before="0" w:after="0"/>
              <w:rPr>
                <w:lang w:val="en-AU" w:eastAsia="en-AU" w:bidi="ar-SA"/>
              </w:rPr>
            </w:pPr>
            <w:r w:rsidRPr="000B52C6">
              <w:rPr>
                <w:lang w:val="en-AU" w:eastAsia="en-AU" w:bidi="ar-SA"/>
              </w:rPr>
              <w:t>$21.1490</w:t>
            </w:r>
          </w:p>
        </w:tc>
        <w:tc>
          <w:tcPr>
            <w:tcW w:w="3685" w:type="dxa"/>
            <w:shd w:val="clear" w:color="auto" w:fill="auto"/>
            <w:noWrap/>
            <w:vAlign w:val="center"/>
            <w:hideMark/>
          </w:tcPr>
          <w:p w14:paraId="2EF7F7F2"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PBS items 11229B, 11230C, 12243J, 12244K</w:t>
            </w:r>
          </w:p>
        </w:tc>
      </w:tr>
      <w:tr w:rsidR="003471CD" w:rsidRPr="000B52C6" w14:paraId="1841CDCA" w14:textId="77777777" w:rsidTr="00A1428B">
        <w:trPr>
          <w:trHeight w:val="300"/>
        </w:trPr>
        <w:tc>
          <w:tcPr>
            <w:tcW w:w="846" w:type="dxa"/>
            <w:shd w:val="clear" w:color="auto" w:fill="auto"/>
            <w:noWrap/>
            <w:vAlign w:val="center"/>
            <w:hideMark/>
          </w:tcPr>
          <w:p w14:paraId="7EDA329F"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C</w:t>
            </w:r>
          </w:p>
        </w:tc>
        <w:tc>
          <w:tcPr>
            <w:tcW w:w="3260" w:type="dxa"/>
            <w:shd w:val="clear" w:color="auto" w:fill="auto"/>
            <w:noWrap/>
            <w:vAlign w:val="center"/>
            <w:hideMark/>
          </w:tcPr>
          <w:p w14:paraId="13D4FBDE"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Cd: total drug costs</w:t>
            </w:r>
          </w:p>
        </w:tc>
        <w:tc>
          <w:tcPr>
            <w:tcW w:w="1276" w:type="dxa"/>
            <w:shd w:val="clear" w:color="auto" w:fill="auto"/>
            <w:noWrap/>
            <w:vAlign w:val="center"/>
            <w:hideMark/>
          </w:tcPr>
          <w:p w14:paraId="6CCF4219" w14:textId="33DD962D" w:rsidR="003471CD" w:rsidRPr="000B52C6" w:rsidRDefault="003471CD" w:rsidP="00513E25">
            <w:pPr>
              <w:pStyle w:val="TableText0"/>
              <w:keepLines w:val="0"/>
              <w:spacing w:before="0" w:after="0"/>
              <w:rPr>
                <w:lang w:val="en-AU" w:eastAsia="en-AU" w:bidi="ar-SA"/>
              </w:rPr>
            </w:pPr>
            <w:r w:rsidRPr="000B52C6">
              <w:rPr>
                <w:lang w:val="en-AU" w:eastAsia="en-AU" w:bidi="ar-SA"/>
              </w:rPr>
              <w:t>$153,922.42</w:t>
            </w:r>
          </w:p>
        </w:tc>
        <w:tc>
          <w:tcPr>
            <w:tcW w:w="3685" w:type="dxa"/>
            <w:shd w:val="clear" w:color="auto" w:fill="auto"/>
            <w:noWrap/>
            <w:vAlign w:val="center"/>
            <w:hideMark/>
          </w:tcPr>
          <w:p w14:paraId="662799BD"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A x B</w:t>
            </w:r>
          </w:p>
        </w:tc>
      </w:tr>
      <w:tr w:rsidR="003471CD" w:rsidRPr="000B52C6" w14:paraId="02D8F52A" w14:textId="77777777" w:rsidTr="00A1428B">
        <w:trPr>
          <w:trHeight w:val="300"/>
        </w:trPr>
        <w:tc>
          <w:tcPr>
            <w:tcW w:w="846" w:type="dxa"/>
            <w:shd w:val="clear" w:color="auto" w:fill="auto"/>
            <w:noWrap/>
            <w:vAlign w:val="center"/>
            <w:hideMark/>
          </w:tcPr>
          <w:p w14:paraId="2F8087F7"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D</w:t>
            </w:r>
          </w:p>
        </w:tc>
        <w:tc>
          <w:tcPr>
            <w:tcW w:w="3260" w:type="dxa"/>
            <w:shd w:val="clear" w:color="auto" w:fill="auto"/>
            <w:noWrap/>
            <w:vAlign w:val="center"/>
            <w:hideMark/>
          </w:tcPr>
          <w:p w14:paraId="70ECD071"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Cd: infusions</w:t>
            </w:r>
          </w:p>
        </w:tc>
        <w:tc>
          <w:tcPr>
            <w:tcW w:w="1276" w:type="dxa"/>
            <w:shd w:val="clear" w:color="auto" w:fill="auto"/>
            <w:noWrap/>
            <w:vAlign w:val="center"/>
            <w:hideMark/>
          </w:tcPr>
          <w:p w14:paraId="4805645B" w14:textId="13670D87" w:rsidR="003471CD" w:rsidRPr="000B52C6" w:rsidRDefault="003471CD" w:rsidP="00513E25">
            <w:pPr>
              <w:pStyle w:val="TableText0"/>
              <w:keepLines w:val="0"/>
              <w:spacing w:before="0" w:after="0"/>
              <w:rPr>
                <w:lang w:val="en-AU" w:eastAsia="en-AU" w:bidi="ar-SA"/>
              </w:rPr>
            </w:pPr>
            <w:r w:rsidRPr="000B52C6">
              <w:rPr>
                <w:lang w:val="en-AU" w:eastAsia="en-AU" w:bidi="ar-SA"/>
              </w:rPr>
              <w:t>74</w:t>
            </w:r>
          </w:p>
        </w:tc>
        <w:tc>
          <w:tcPr>
            <w:tcW w:w="3685" w:type="dxa"/>
            <w:shd w:val="clear" w:color="auto" w:fill="auto"/>
            <w:noWrap/>
            <w:vAlign w:val="center"/>
            <w:hideMark/>
          </w:tcPr>
          <w:p w14:paraId="11E7C0B7"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Table 5, July 2020 PSD, carfilzomib</w:t>
            </w:r>
          </w:p>
        </w:tc>
      </w:tr>
      <w:tr w:rsidR="003471CD" w:rsidRPr="000B52C6" w14:paraId="79A3E984" w14:textId="77777777" w:rsidTr="00A1428B">
        <w:trPr>
          <w:trHeight w:val="300"/>
        </w:trPr>
        <w:tc>
          <w:tcPr>
            <w:tcW w:w="846" w:type="dxa"/>
            <w:shd w:val="clear" w:color="auto" w:fill="auto"/>
            <w:noWrap/>
            <w:vAlign w:val="center"/>
            <w:hideMark/>
          </w:tcPr>
          <w:p w14:paraId="58420713"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E</w:t>
            </w:r>
          </w:p>
        </w:tc>
        <w:tc>
          <w:tcPr>
            <w:tcW w:w="3260" w:type="dxa"/>
            <w:shd w:val="clear" w:color="auto" w:fill="auto"/>
            <w:noWrap/>
            <w:vAlign w:val="center"/>
            <w:hideMark/>
          </w:tcPr>
          <w:p w14:paraId="7816544B"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Cd: cost per infusions</w:t>
            </w:r>
          </w:p>
        </w:tc>
        <w:tc>
          <w:tcPr>
            <w:tcW w:w="1276" w:type="dxa"/>
            <w:shd w:val="clear" w:color="auto" w:fill="auto"/>
            <w:noWrap/>
            <w:vAlign w:val="center"/>
            <w:hideMark/>
          </w:tcPr>
          <w:p w14:paraId="0BACC3C6" w14:textId="5EA81712" w:rsidR="003471CD" w:rsidRPr="000B52C6" w:rsidRDefault="003471CD" w:rsidP="00513E25">
            <w:pPr>
              <w:pStyle w:val="TableText0"/>
              <w:keepLines w:val="0"/>
              <w:spacing w:before="0" w:after="0"/>
              <w:rPr>
                <w:lang w:val="en-AU" w:eastAsia="en-AU" w:bidi="ar-SA"/>
              </w:rPr>
            </w:pPr>
            <w:r w:rsidRPr="000B52C6">
              <w:rPr>
                <w:lang w:val="en-AU" w:eastAsia="en-AU" w:bidi="ar-SA"/>
              </w:rPr>
              <w:t>$112.40</w:t>
            </w:r>
          </w:p>
        </w:tc>
        <w:tc>
          <w:tcPr>
            <w:tcW w:w="3685" w:type="dxa"/>
            <w:shd w:val="clear" w:color="auto" w:fill="auto"/>
            <w:noWrap/>
            <w:vAlign w:val="center"/>
            <w:hideMark/>
          </w:tcPr>
          <w:p w14:paraId="7DDF4696"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MBS item 13950</w:t>
            </w:r>
          </w:p>
        </w:tc>
      </w:tr>
      <w:tr w:rsidR="003471CD" w:rsidRPr="000B52C6" w14:paraId="60EBF8B4" w14:textId="77777777" w:rsidTr="00A1428B">
        <w:trPr>
          <w:trHeight w:val="300"/>
        </w:trPr>
        <w:tc>
          <w:tcPr>
            <w:tcW w:w="846" w:type="dxa"/>
            <w:shd w:val="clear" w:color="auto" w:fill="auto"/>
            <w:noWrap/>
            <w:vAlign w:val="center"/>
            <w:hideMark/>
          </w:tcPr>
          <w:p w14:paraId="20426511"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F</w:t>
            </w:r>
          </w:p>
        </w:tc>
        <w:tc>
          <w:tcPr>
            <w:tcW w:w="3260" w:type="dxa"/>
            <w:shd w:val="clear" w:color="auto" w:fill="auto"/>
            <w:noWrap/>
            <w:vAlign w:val="center"/>
            <w:hideMark/>
          </w:tcPr>
          <w:p w14:paraId="2E2BF73F"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Cd: total infusion costs</w:t>
            </w:r>
          </w:p>
        </w:tc>
        <w:tc>
          <w:tcPr>
            <w:tcW w:w="1276" w:type="dxa"/>
            <w:shd w:val="clear" w:color="auto" w:fill="auto"/>
            <w:noWrap/>
            <w:vAlign w:val="center"/>
            <w:hideMark/>
          </w:tcPr>
          <w:p w14:paraId="67B8FCF5" w14:textId="550DA86C" w:rsidR="003471CD" w:rsidRPr="000B52C6" w:rsidRDefault="003471CD" w:rsidP="00513E25">
            <w:pPr>
              <w:pStyle w:val="TableText0"/>
              <w:keepLines w:val="0"/>
              <w:spacing w:before="0" w:after="0"/>
              <w:rPr>
                <w:lang w:val="en-AU" w:eastAsia="en-AU" w:bidi="ar-SA"/>
              </w:rPr>
            </w:pPr>
            <w:r w:rsidRPr="000B52C6">
              <w:rPr>
                <w:lang w:val="en-AU" w:eastAsia="en-AU" w:bidi="ar-SA"/>
              </w:rPr>
              <w:t>$8,317.60</w:t>
            </w:r>
          </w:p>
        </w:tc>
        <w:tc>
          <w:tcPr>
            <w:tcW w:w="3685" w:type="dxa"/>
            <w:shd w:val="clear" w:color="auto" w:fill="auto"/>
            <w:noWrap/>
            <w:vAlign w:val="center"/>
            <w:hideMark/>
          </w:tcPr>
          <w:p w14:paraId="3ECD3160"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D x E</w:t>
            </w:r>
          </w:p>
        </w:tc>
      </w:tr>
      <w:tr w:rsidR="003471CD" w:rsidRPr="000B52C6" w14:paraId="4DB803A9" w14:textId="77777777" w:rsidTr="00A1428B">
        <w:trPr>
          <w:trHeight w:val="300"/>
        </w:trPr>
        <w:tc>
          <w:tcPr>
            <w:tcW w:w="846" w:type="dxa"/>
            <w:shd w:val="clear" w:color="auto" w:fill="auto"/>
            <w:noWrap/>
            <w:vAlign w:val="center"/>
            <w:hideMark/>
          </w:tcPr>
          <w:p w14:paraId="57B10082" w14:textId="77777777" w:rsidR="003471CD" w:rsidRPr="000B52C6" w:rsidRDefault="003471CD" w:rsidP="00513E25">
            <w:pPr>
              <w:pStyle w:val="TableText0"/>
              <w:keepLines w:val="0"/>
              <w:spacing w:before="0" w:after="0"/>
              <w:rPr>
                <w:b/>
                <w:bCs w:val="0"/>
                <w:lang w:val="en-AU" w:eastAsia="en-AU" w:bidi="ar-SA"/>
              </w:rPr>
            </w:pPr>
            <w:r w:rsidRPr="000B52C6">
              <w:rPr>
                <w:b/>
                <w:bCs w:val="0"/>
                <w:lang w:val="en-AU" w:eastAsia="en-AU" w:bidi="ar-SA"/>
              </w:rPr>
              <w:t>G</w:t>
            </w:r>
          </w:p>
        </w:tc>
        <w:tc>
          <w:tcPr>
            <w:tcW w:w="3260" w:type="dxa"/>
            <w:shd w:val="clear" w:color="auto" w:fill="auto"/>
            <w:noWrap/>
            <w:vAlign w:val="center"/>
            <w:hideMark/>
          </w:tcPr>
          <w:p w14:paraId="3C6D6361" w14:textId="77777777" w:rsidR="003471CD" w:rsidRPr="000B52C6" w:rsidRDefault="003471CD" w:rsidP="00513E25">
            <w:pPr>
              <w:pStyle w:val="TableText0"/>
              <w:keepLines w:val="0"/>
              <w:spacing w:before="0" w:after="0"/>
              <w:rPr>
                <w:b/>
                <w:bCs w:val="0"/>
                <w:lang w:val="en-AU" w:eastAsia="en-AU" w:bidi="ar-SA"/>
              </w:rPr>
            </w:pPr>
            <w:r w:rsidRPr="000B52C6">
              <w:rPr>
                <w:b/>
                <w:bCs w:val="0"/>
                <w:lang w:val="en-AU" w:eastAsia="en-AU" w:bidi="ar-SA"/>
              </w:rPr>
              <w:t>Cd: total cost per patient per course</w:t>
            </w:r>
          </w:p>
        </w:tc>
        <w:tc>
          <w:tcPr>
            <w:tcW w:w="1276" w:type="dxa"/>
            <w:shd w:val="clear" w:color="auto" w:fill="auto"/>
            <w:noWrap/>
            <w:vAlign w:val="center"/>
            <w:hideMark/>
          </w:tcPr>
          <w:p w14:paraId="4B8A4625" w14:textId="7B92B677" w:rsidR="003471CD" w:rsidRPr="000B52C6" w:rsidRDefault="003471CD" w:rsidP="00513E25">
            <w:pPr>
              <w:pStyle w:val="TableText0"/>
              <w:keepLines w:val="0"/>
              <w:spacing w:before="0" w:after="0"/>
              <w:rPr>
                <w:b/>
                <w:bCs w:val="0"/>
                <w:lang w:val="en-AU" w:eastAsia="en-AU" w:bidi="ar-SA"/>
              </w:rPr>
            </w:pPr>
            <w:r w:rsidRPr="000B52C6">
              <w:rPr>
                <w:b/>
                <w:bCs w:val="0"/>
                <w:lang w:val="en-AU" w:eastAsia="en-AU" w:bidi="ar-SA"/>
              </w:rPr>
              <w:t>$162,240.02</w:t>
            </w:r>
          </w:p>
        </w:tc>
        <w:tc>
          <w:tcPr>
            <w:tcW w:w="3685" w:type="dxa"/>
            <w:shd w:val="clear" w:color="auto" w:fill="auto"/>
            <w:noWrap/>
            <w:vAlign w:val="center"/>
            <w:hideMark/>
          </w:tcPr>
          <w:p w14:paraId="12B1E557" w14:textId="77777777" w:rsidR="003471CD" w:rsidRPr="000B52C6" w:rsidRDefault="003471CD" w:rsidP="00513E25">
            <w:pPr>
              <w:pStyle w:val="TableText0"/>
              <w:keepLines w:val="0"/>
              <w:spacing w:before="0" w:after="0"/>
              <w:rPr>
                <w:b/>
                <w:bCs w:val="0"/>
                <w:lang w:val="en-AU" w:eastAsia="en-AU" w:bidi="ar-SA"/>
              </w:rPr>
            </w:pPr>
            <w:r w:rsidRPr="000B52C6">
              <w:rPr>
                <w:b/>
                <w:bCs w:val="0"/>
                <w:lang w:val="en-AU" w:eastAsia="en-AU" w:bidi="ar-SA"/>
              </w:rPr>
              <w:t>C + F</w:t>
            </w:r>
          </w:p>
        </w:tc>
      </w:tr>
      <w:tr w:rsidR="003471CD" w:rsidRPr="000B52C6" w14:paraId="7DCC0F93" w14:textId="77777777" w:rsidTr="00A1428B">
        <w:trPr>
          <w:trHeight w:val="300"/>
        </w:trPr>
        <w:tc>
          <w:tcPr>
            <w:tcW w:w="846" w:type="dxa"/>
            <w:shd w:val="clear" w:color="auto" w:fill="auto"/>
            <w:noWrap/>
            <w:vAlign w:val="center"/>
            <w:hideMark/>
          </w:tcPr>
          <w:p w14:paraId="2771480F"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H</w:t>
            </w:r>
          </w:p>
        </w:tc>
        <w:tc>
          <w:tcPr>
            <w:tcW w:w="3260" w:type="dxa"/>
            <w:shd w:val="clear" w:color="auto" w:fill="auto"/>
            <w:noWrap/>
            <w:vAlign w:val="center"/>
            <w:hideMark/>
          </w:tcPr>
          <w:p w14:paraId="3FE61CE0" w14:textId="77777777" w:rsidR="003471CD" w:rsidRPr="000B52C6" w:rsidRDefault="003471CD" w:rsidP="00513E25">
            <w:pPr>
              <w:pStyle w:val="TableText0"/>
              <w:keepLines w:val="0"/>
              <w:spacing w:before="0" w:after="0"/>
              <w:rPr>
                <w:lang w:val="en-AU" w:eastAsia="en-AU" w:bidi="ar-SA"/>
              </w:rPr>
            </w:pPr>
            <w:proofErr w:type="spellStart"/>
            <w:r w:rsidRPr="000B52C6">
              <w:rPr>
                <w:lang w:val="en-AU" w:eastAsia="en-AU" w:bidi="ar-SA"/>
              </w:rPr>
              <w:t>SBd</w:t>
            </w:r>
            <w:proofErr w:type="spellEnd"/>
            <w:r w:rsidRPr="000B52C6">
              <w:rPr>
                <w:lang w:val="en-AU" w:eastAsia="en-AU" w:bidi="ar-SA"/>
              </w:rPr>
              <w:t>: additional AE costs per patient</w:t>
            </w:r>
          </w:p>
        </w:tc>
        <w:tc>
          <w:tcPr>
            <w:tcW w:w="1276" w:type="dxa"/>
            <w:shd w:val="clear" w:color="auto" w:fill="auto"/>
            <w:noWrap/>
            <w:vAlign w:val="center"/>
            <w:hideMark/>
          </w:tcPr>
          <w:p w14:paraId="79EE8467" w14:textId="3F8C401A" w:rsidR="003471CD" w:rsidRPr="000B52C6" w:rsidRDefault="003471CD" w:rsidP="00513E25">
            <w:pPr>
              <w:pStyle w:val="TableText0"/>
              <w:keepLines w:val="0"/>
              <w:spacing w:before="0" w:after="0"/>
              <w:rPr>
                <w:lang w:val="en-AU" w:eastAsia="en-AU" w:bidi="ar-SA"/>
              </w:rPr>
            </w:pPr>
            <w:r w:rsidRPr="00D27599">
              <w:t>$</w:t>
            </w:r>
            <w:r w:rsidR="00DB2D11" w:rsidRPr="00DB2D11">
              <w:rPr>
                <w:color w:val="000000"/>
                <w:spacing w:val="53"/>
                <w:shd w:val="solid" w:color="000000" w:fill="000000"/>
                <w:fitText w:val="331" w:id="-1500846332"/>
                <w14:textFill>
                  <w14:solidFill>
                    <w14:srgbClr w14:val="000000">
                      <w14:alpha w14:val="100000"/>
                    </w14:srgbClr>
                  </w14:solidFill>
                </w14:textFill>
              </w:rPr>
              <w:t>|||</w:t>
            </w:r>
            <w:r w:rsidR="00DB2D11" w:rsidRPr="00DB2D11">
              <w:rPr>
                <w:color w:val="000000"/>
                <w:spacing w:val="2"/>
                <w:shd w:val="solid" w:color="000000" w:fill="000000"/>
                <w:fitText w:val="331" w:id="-1500846332"/>
                <w14:textFill>
                  <w14:solidFill>
                    <w14:srgbClr w14:val="000000">
                      <w14:alpha w14:val="100000"/>
                    </w14:srgbClr>
                  </w14:solidFill>
                </w14:textFill>
              </w:rPr>
              <w:t>|</w:t>
            </w:r>
          </w:p>
        </w:tc>
        <w:tc>
          <w:tcPr>
            <w:tcW w:w="3685" w:type="dxa"/>
            <w:shd w:val="clear" w:color="auto" w:fill="auto"/>
            <w:noWrap/>
            <w:vAlign w:val="center"/>
            <w:hideMark/>
          </w:tcPr>
          <w:p w14:paraId="4E5A6B1D" w14:textId="5685C385" w:rsidR="003471CD" w:rsidRPr="000B52C6" w:rsidRDefault="003471CD" w:rsidP="0029739D">
            <w:pPr>
              <w:pStyle w:val="TableText0"/>
              <w:keepLines w:val="0"/>
              <w:spacing w:before="0" w:after="0"/>
              <w:rPr>
                <w:iCs/>
                <w:lang w:val="en-AU" w:eastAsia="en-AU" w:bidi="ar-SA"/>
              </w:rPr>
            </w:pPr>
            <w:r w:rsidRPr="000B52C6">
              <w:rPr>
                <w:iCs/>
                <w:lang w:val="en-AU" w:eastAsia="en-AU" w:bidi="ar-SA"/>
              </w:rPr>
              <w:t xml:space="preserve">Calculated by the resubmission </w:t>
            </w:r>
          </w:p>
        </w:tc>
      </w:tr>
      <w:tr w:rsidR="003471CD" w:rsidRPr="000B52C6" w14:paraId="1C4CE588" w14:textId="77777777" w:rsidTr="00A1428B">
        <w:trPr>
          <w:trHeight w:val="300"/>
        </w:trPr>
        <w:tc>
          <w:tcPr>
            <w:tcW w:w="846" w:type="dxa"/>
            <w:shd w:val="clear" w:color="auto" w:fill="auto"/>
            <w:noWrap/>
            <w:vAlign w:val="center"/>
            <w:hideMark/>
          </w:tcPr>
          <w:p w14:paraId="187E64A7"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I</w:t>
            </w:r>
          </w:p>
        </w:tc>
        <w:tc>
          <w:tcPr>
            <w:tcW w:w="3260" w:type="dxa"/>
            <w:shd w:val="clear" w:color="auto" w:fill="auto"/>
            <w:noWrap/>
            <w:vAlign w:val="center"/>
            <w:hideMark/>
          </w:tcPr>
          <w:p w14:paraId="43E82406" w14:textId="77777777" w:rsidR="003471CD" w:rsidRPr="000B52C6" w:rsidRDefault="003471CD" w:rsidP="00513E25">
            <w:pPr>
              <w:pStyle w:val="TableText0"/>
              <w:keepLines w:val="0"/>
              <w:spacing w:before="0" w:after="0"/>
              <w:rPr>
                <w:lang w:val="en-AU" w:eastAsia="en-AU" w:bidi="ar-SA"/>
              </w:rPr>
            </w:pPr>
            <w:proofErr w:type="spellStart"/>
            <w:r w:rsidRPr="000B52C6">
              <w:rPr>
                <w:lang w:val="en-AU" w:eastAsia="en-AU" w:bidi="ar-SA"/>
              </w:rPr>
              <w:t>SBd</w:t>
            </w:r>
            <w:proofErr w:type="spellEnd"/>
            <w:r w:rsidRPr="000B52C6">
              <w:rPr>
                <w:lang w:val="en-AU" w:eastAsia="en-AU" w:bidi="ar-SA"/>
              </w:rPr>
              <w:t xml:space="preserve">: bortezomib </w:t>
            </w:r>
            <w:proofErr w:type="spellStart"/>
            <w:r w:rsidRPr="000B52C6">
              <w:rPr>
                <w:lang w:val="en-AU" w:eastAsia="en-AU" w:bidi="ar-SA"/>
              </w:rPr>
              <w:t>equi</w:t>
            </w:r>
            <w:proofErr w:type="spellEnd"/>
            <w:r w:rsidRPr="000B52C6">
              <w:rPr>
                <w:lang w:val="en-AU" w:eastAsia="en-AU" w:bidi="ar-SA"/>
              </w:rPr>
              <w:t>-effective dose (mg)</w:t>
            </w:r>
          </w:p>
        </w:tc>
        <w:tc>
          <w:tcPr>
            <w:tcW w:w="1276" w:type="dxa"/>
            <w:shd w:val="clear" w:color="auto" w:fill="auto"/>
            <w:noWrap/>
            <w:vAlign w:val="center"/>
            <w:hideMark/>
          </w:tcPr>
          <w:p w14:paraId="3BBACD5A" w14:textId="4B300989" w:rsidR="003471CD" w:rsidRPr="000B52C6" w:rsidRDefault="003471CD" w:rsidP="00513E25">
            <w:pPr>
              <w:pStyle w:val="TableText0"/>
              <w:keepLines w:val="0"/>
              <w:spacing w:before="0" w:after="0"/>
              <w:rPr>
                <w:lang w:val="en-AU" w:eastAsia="en-AU" w:bidi="ar-SA"/>
              </w:rPr>
            </w:pPr>
            <w:r w:rsidRPr="000B52C6">
              <w:rPr>
                <w:lang w:val="en-AU" w:eastAsia="en-AU" w:bidi="ar-SA"/>
              </w:rPr>
              <w:t>115.56</w:t>
            </w:r>
          </w:p>
        </w:tc>
        <w:tc>
          <w:tcPr>
            <w:tcW w:w="3685" w:type="dxa"/>
            <w:shd w:val="clear" w:color="auto" w:fill="auto"/>
            <w:noWrap/>
            <w:vAlign w:val="center"/>
            <w:hideMark/>
          </w:tcPr>
          <w:p w14:paraId="0864C101" w14:textId="58D7A11A" w:rsidR="003471CD" w:rsidRPr="000B52C6" w:rsidRDefault="003471CD" w:rsidP="0029739D">
            <w:pPr>
              <w:pStyle w:val="TableText0"/>
              <w:keepLines w:val="0"/>
              <w:spacing w:before="0" w:after="0"/>
              <w:rPr>
                <w:iCs/>
                <w:lang w:val="en-AU" w:eastAsia="en-AU" w:bidi="ar-SA"/>
              </w:rPr>
            </w:pPr>
            <w:r w:rsidRPr="000B52C6">
              <w:rPr>
                <w:iCs/>
                <w:lang w:val="en-AU" w:eastAsia="en-AU" w:bidi="ar-SA"/>
              </w:rPr>
              <w:t xml:space="preserve">Calculated by the resubmission </w:t>
            </w:r>
          </w:p>
        </w:tc>
      </w:tr>
      <w:tr w:rsidR="003471CD" w:rsidRPr="000B52C6" w14:paraId="1EBDFEAA" w14:textId="77777777" w:rsidTr="00A1428B">
        <w:trPr>
          <w:trHeight w:val="300"/>
        </w:trPr>
        <w:tc>
          <w:tcPr>
            <w:tcW w:w="846" w:type="dxa"/>
            <w:shd w:val="clear" w:color="auto" w:fill="auto"/>
            <w:noWrap/>
            <w:vAlign w:val="center"/>
            <w:hideMark/>
          </w:tcPr>
          <w:p w14:paraId="4D0E65A7"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J</w:t>
            </w:r>
          </w:p>
        </w:tc>
        <w:tc>
          <w:tcPr>
            <w:tcW w:w="3260" w:type="dxa"/>
            <w:shd w:val="clear" w:color="auto" w:fill="auto"/>
            <w:noWrap/>
            <w:vAlign w:val="center"/>
            <w:hideMark/>
          </w:tcPr>
          <w:p w14:paraId="3C5E89F1" w14:textId="77777777" w:rsidR="003471CD" w:rsidRPr="000B52C6" w:rsidRDefault="003471CD" w:rsidP="00513E25">
            <w:pPr>
              <w:pStyle w:val="TableText0"/>
              <w:keepLines w:val="0"/>
              <w:spacing w:before="0" w:after="0"/>
              <w:rPr>
                <w:lang w:val="en-AU" w:eastAsia="en-AU" w:bidi="ar-SA"/>
              </w:rPr>
            </w:pPr>
            <w:proofErr w:type="spellStart"/>
            <w:r w:rsidRPr="000B52C6">
              <w:rPr>
                <w:lang w:val="en-AU" w:eastAsia="en-AU" w:bidi="ar-SA"/>
              </w:rPr>
              <w:t>SBd</w:t>
            </w:r>
            <w:proofErr w:type="spellEnd"/>
            <w:r w:rsidRPr="000B52C6">
              <w:rPr>
                <w:lang w:val="en-AU" w:eastAsia="en-AU" w:bidi="ar-SA"/>
              </w:rPr>
              <w:t>: bortezomib cost per milligram (AEMP)</w:t>
            </w:r>
          </w:p>
        </w:tc>
        <w:tc>
          <w:tcPr>
            <w:tcW w:w="1276" w:type="dxa"/>
            <w:shd w:val="clear" w:color="auto" w:fill="auto"/>
            <w:noWrap/>
            <w:vAlign w:val="center"/>
            <w:hideMark/>
          </w:tcPr>
          <w:p w14:paraId="11DEA6F7" w14:textId="1F461485" w:rsidR="003471CD" w:rsidRPr="000B52C6" w:rsidRDefault="003471CD" w:rsidP="00513E25">
            <w:pPr>
              <w:pStyle w:val="TableText0"/>
              <w:keepLines w:val="0"/>
              <w:spacing w:before="0" w:after="0"/>
              <w:rPr>
                <w:lang w:val="en-AU" w:eastAsia="en-AU" w:bidi="ar-SA"/>
              </w:rPr>
            </w:pPr>
            <w:r w:rsidRPr="000B52C6">
              <w:rPr>
                <w:lang w:val="en-AU" w:eastAsia="en-AU" w:bidi="ar-SA"/>
              </w:rPr>
              <w:t>$172.9100</w:t>
            </w:r>
          </w:p>
        </w:tc>
        <w:tc>
          <w:tcPr>
            <w:tcW w:w="3685" w:type="dxa"/>
            <w:shd w:val="clear" w:color="auto" w:fill="auto"/>
            <w:noWrap/>
            <w:vAlign w:val="center"/>
            <w:hideMark/>
          </w:tcPr>
          <w:p w14:paraId="25B7FEFD"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PBS items 12219D, 12227M</w:t>
            </w:r>
          </w:p>
        </w:tc>
      </w:tr>
      <w:tr w:rsidR="003471CD" w:rsidRPr="000B52C6" w14:paraId="561BB77E" w14:textId="77777777" w:rsidTr="00A1428B">
        <w:trPr>
          <w:trHeight w:val="300"/>
        </w:trPr>
        <w:tc>
          <w:tcPr>
            <w:tcW w:w="846" w:type="dxa"/>
            <w:shd w:val="clear" w:color="auto" w:fill="auto"/>
            <w:noWrap/>
            <w:vAlign w:val="center"/>
            <w:hideMark/>
          </w:tcPr>
          <w:p w14:paraId="79DF6F8F"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K</w:t>
            </w:r>
          </w:p>
        </w:tc>
        <w:tc>
          <w:tcPr>
            <w:tcW w:w="3260" w:type="dxa"/>
            <w:shd w:val="clear" w:color="auto" w:fill="auto"/>
            <w:noWrap/>
            <w:vAlign w:val="center"/>
            <w:hideMark/>
          </w:tcPr>
          <w:p w14:paraId="0BC7BCCF" w14:textId="77777777" w:rsidR="003471CD" w:rsidRPr="000B52C6" w:rsidRDefault="003471CD" w:rsidP="00513E25">
            <w:pPr>
              <w:pStyle w:val="TableText0"/>
              <w:keepLines w:val="0"/>
              <w:spacing w:before="0" w:after="0"/>
              <w:rPr>
                <w:lang w:val="en-AU" w:eastAsia="en-AU" w:bidi="ar-SA"/>
              </w:rPr>
            </w:pPr>
            <w:proofErr w:type="spellStart"/>
            <w:r w:rsidRPr="000B52C6">
              <w:rPr>
                <w:lang w:val="en-AU" w:eastAsia="en-AU" w:bidi="ar-SA"/>
              </w:rPr>
              <w:t>SBd</w:t>
            </w:r>
            <w:proofErr w:type="spellEnd"/>
            <w:r w:rsidRPr="000B52C6">
              <w:rPr>
                <w:lang w:val="en-AU" w:eastAsia="en-AU" w:bidi="ar-SA"/>
              </w:rPr>
              <w:t>: bortezomib drug costs</w:t>
            </w:r>
          </w:p>
        </w:tc>
        <w:tc>
          <w:tcPr>
            <w:tcW w:w="1276" w:type="dxa"/>
            <w:shd w:val="clear" w:color="auto" w:fill="auto"/>
            <w:noWrap/>
            <w:vAlign w:val="center"/>
            <w:hideMark/>
          </w:tcPr>
          <w:p w14:paraId="08A30E6B" w14:textId="08FF7D05" w:rsidR="003471CD" w:rsidRPr="000B52C6" w:rsidRDefault="003471CD" w:rsidP="00513E25">
            <w:pPr>
              <w:pStyle w:val="TableText0"/>
              <w:keepLines w:val="0"/>
              <w:spacing w:before="0" w:after="0"/>
              <w:rPr>
                <w:lang w:val="en-AU" w:eastAsia="en-AU" w:bidi="ar-SA"/>
              </w:rPr>
            </w:pPr>
            <w:r w:rsidRPr="000B52C6">
              <w:rPr>
                <w:lang w:val="en-AU" w:eastAsia="en-AU" w:bidi="ar-SA"/>
              </w:rPr>
              <w:t>$19,981.79</w:t>
            </w:r>
          </w:p>
        </w:tc>
        <w:tc>
          <w:tcPr>
            <w:tcW w:w="3685" w:type="dxa"/>
            <w:shd w:val="clear" w:color="auto" w:fill="auto"/>
            <w:noWrap/>
            <w:vAlign w:val="center"/>
            <w:hideMark/>
          </w:tcPr>
          <w:p w14:paraId="726CE1B4"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I x J</w:t>
            </w:r>
          </w:p>
        </w:tc>
      </w:tr>
      <w:tr w:rsidR="003471CD" w:rsidRPr="000B52C6" w14:paraId="0FFF8124" w14:textId="77777777" w:rsidTr="00A1428B">
        <w:trPr>
          <w:trHeight w:val="300"/>
        </w:trPr>
        <w:tc>
          <w:tcPr>
            <w:tcW w:w="846" w:type="dxa"/>
            <w:shd w:val="clear" w:color="auto" w:fill="auto"/>
            <w:noWrap/>
            <w:vAlign w:val="center"/>
            <w:hideMark/>
          </w:tcPr>
          <w:p w14:paraId="005B356B"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L</w:t>
            </w:r>
          </w:p>
        </w:tc>
        <w:tc>
          <w:tcPr>
            <w:tcW w:w="3260" w:type="dxa"/>
            <w:shd w:val="clear" w:color="auto" w:fill="auto"/>
            <w:noWrap/>
            <w:vAlign w:val="center"/>
            <w:hideMark/>
          </w:tcPr>
          <w:p w14:paraId="461CF8C7" w14:textId="77777777" w:rsidR="003471CD" w:rsidRPr="000B52C6" w:rsidRDefault="003471CD" w:rsidP="00513E25">
            <w:pPr>
              <w:pStyle w:val="TableText0"/>
              <w:keepLines w:val="0"/>
              <w:spacing w:before="0" w:after="0"/>
              <w:rPr>
                <w:lang w:val="en-AU" w:eastAsia="en-AU" w:bidi="ar-SA"/>
              </w:rPr>
            </w:pPr>
            <w:proofErr w:type="spellStart"/>
            <w:r w:rsidRPr="000B52C6">
              <w:rPr>
                <w:lang w:val="en-AU" w:eastAsia="en-AU" w:bidi="ar-SA"/>
              </w:rPr>
              <w:t>SBd</w:t>
            </w:r>
            <w:proofErr w:type="spellEnd"/>
            <w:r w:rsidRPr="000B52C6">
              <w:rPr>
                <w:lang w:val="en-AU" w:eastAsia="en-AU" w:bidi="ar-SA"/>
              </w:rPr>
              <w:t xml:space="preserve">: cost-minimising </w:t>
            </w:r>
            <w:proofErr w:type="spellStart"/>
            <w:r w:rsidRPr="000B52C6">
              <w:rPr>
                <w:lang w:val="en-AU" w:eastAsia="en-AU" w:bidi="ar-SA"/>
              </w:rPr>
              <w:t>selinexor</w:t>
            </w:r>
            <w:proofErr w:type="spellEnd"/>
            <w:r w:rsidRPr="000B52C6">
              <w:rPr>
                <w:lang w:val="en-AU" w:eastAsia="en-AU" w:bidi="ar-SA"/>
              </w:rPr>
              <w:t xml:space="preserve"> costs per patient</w:t>
            </w:r>
          </w:p>
        </w:tc>
        <w:tc>
          <w:tcPr>
            <w:tcW w:w="1276" w:type="dxa"/>
            <w:shd w:val="clear" w:color="auto" w:fill="auto"/>
            <w:noWrap/>
            <w:vAlign w:val="center"/>
            <w:hideMark/>
          </w:tcPr>
          <w:p w14:paraId="6080B8E4" w14:textId="78245E70" w:rsidR="003471CD" w:rsidRPr="000B52C6" w:rsidRDefault="003471CD" w:rsidP="00513E25">
            <w:pPr>
              <w:pStyle w:val="TableText0"/>
              <w:keepLines w:val="0"/>
              <w:spacing w:before="0" w:after="0"/>
              <w:rPr>
                <w:lang w:val="en-AU" w:eastAsia="en-AU" w:bidi="ar-SA"/>
              </w:rPr>
            </w:pPr>
            <w:r w:rsidRPr="000B52C6">
              <w:rPr>
                <w:lang w:val="en-AU" w:eastAsia="en-AU" w:bidi="ar-SA"/>
              </w:rPr>
              <w:t>$</w:t>
            </w:r>
            <w:r w:rsidR="00DB2D11" w:rsidRPr="00DB2D11">
              <w:rPr>
                <w:color w:val="000000"/>
                <w:spacing w:val="53"/>
                <w:shd w:val="solid" w:color="000000" w:fill="000000"/>
                <w:fitText w:val="331" w:id="-1500846331"/>
                <w14:textFill>
                  <w14:solidFill>
                    <w14:srgbClr w14:val="000000">
                      <w14:alpha w14:val="100000"/>
                    </w14:srgbClr>
                  </w14:solidFill>
                </w14:textFill>
              </w:rPr>
              <w:t>|||</w:t>
            </w:r>
            <w:r w:rsidR="00DB2D11" w:rsidRPr="00DB2D11">
              <w:rPr>
                <w:color w:val="000000"/>
                <w:spacing w:val="2"/>
                <w:shd w:val="solid" w:color="000000" w:fill="000000"/>
                <w:fitText w:val="331" w:id="-1500846331"/>
                <w14:textFill>
                  <w14:solidFill>
                    <w14:srgbClr w14:val="000000">
                      <w14:alpha w14:val="100000"/>
                    </w14:srgbClr>
                  </w14:solidFill>
                </w14:textFill>
              </w:rPr>
              <w:t>|</w:t>
            </w:r>
          </w:p>
        </w:tc>
        <w:tc>
          <w:tcPr>
            <w:tcW w:w="3685" w:type="dxa"/>
            <w:shd w:val="clear" w:color="auto" w:fill="auto"/>
            <w:noWrap/>
            <w:vAlign w:val="center"/>
            <w:hideMark/>
          </w:tcPr>
          <w:p w14:paraId="4541FFCF"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G - H (AE costs) – K (bortezomib costs)</w:t>
            </w:r>
          </w:p>
        </w:tc>
      </w:tr>
      <w:tr w:rsidR="003471CD" w:rsidRPr="000B52C6" w14:paraId="58678D62" w14:textId="77777777" w:rsidTr="00A1428B">
        <w:trPr>
          <w:trHeight w:val="300"/>
        </w:trPr>
        <w:tc>
          <w:tcPr>
            <w:tcW w:w="846" w:type="dxa"/>
            <w:shd w:val="clear" w:color="auto" w:fill="auto"/>
            <w:noWrap/>
            <w:vAlign w:val="center"/>
            <w:hideMark/>
          </w:tcPr>
          <w:p w14:paraId="580A0CDB"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M</w:t>
            </w:r>
          </w:p>
        </w:tc>
        <w:tc>
          <w:tcPr>
            <w:tcW w:w="3260" w:type="dxa"/>
            <w:shd w:val="clear" w:color="auto" w:fill="auto"/>
            <w:noWrap/>
            <w:vAlign w:val="center"/>
            <w:hideMark/>
          </w:tcPr>
          <w:p w14:paraId="149C120A" w14:textId="77777777" w:rsidR="003471CD" w:rsidRPr="000B52C6" w:rsidRDefault="003471CD" w:rsidP="00513E25">
            <w:pPr>
              <w:pStyle w:val="TableText0"/>
              <w:keepLines w:val="0"/>
              <w:spacing w:before="0" w:after="0"/>
              <w:rPr>
                <w:lang w:val="en-AU" w:eastAsia="en-AU" w:bidi="ar-SA"/>
              </w:rPr>
            </w:pPr>
            <w:proofErr w:type="spellStart"/>
            <w:r w:rsidRPr="000B52C6">
              <w:rPr>
                <w:lang w:val="en-AU" w:eastAsia="en-AU" w:bidi="ar-SA"/>
              </w:rPr>
              <w:t>SBd</w:t>
            </w:r>
            <w:proofErr w:type="spellEnd"/>
            <w:r w:rsidRPr="000B52C6">
              <w:rPr>
                <w:lang w:val="en-AU" w:eastAsia="en-AU" w:bidi="ar-SA"/>
              </w:rPr>
              <w:t xml:space="preserve">: </w:t>
            </w:r>
            <w:proofErr w:type="spellStart"/>
            <w:r w:rsidRPr="000B52C6">
              <w:rPr>
                <w:lang w:val="en-AU" w:eastAsia="en-AU" w:bidi="ar-SA"/>
              </w:rPr>
              <w:t>selinexor</w:t>
            </w:r>
            <w:proofErr w:type="spellEnd"/>
            <w:r w:rsidRPr="000B52C6">
              <w:rPr>
                <w:lang w:val="en-AU" w:eastAsia="en-AU" w:bidi="ar-SA"/>
              </w:rPr>
              <w:t xml:space="preserve"> </w:t>
            </w:r>
            <w:proofErr w:type="spellStart"/>
            <w:r w:rsidRPr="000B52C6">
              <w:rPr>
                <w:lang w:val="en-AU" w:eastAsia="en-AU" w:bidi="ar-SA"/>
              </w:rPr>
              <w:t>equi</w:t>
            </w:r>
            <w:proofErr w:type="spellEnd"/>
            <w:r w:rsidRPr="000B52C6">
              <w:rPr>
                <w:lang w:val="en-AU" w:eastAsia="en-AU" w:bidi="ar-SA"/>
              </w:rPr>
              <w:t>-effective dose</w:t>
            </w:r>
          </w:p>
        </w:tc>
        <w:tc>
          <w:tcPr>
            <w:tcW w:w="1276" w:type="dxa"/>
            <w:shd w:val="clear" w:color="auto" w:fill="auto"/>
            <w:noWrap/>
            <w:vAlign w:val="center"/>
            <w:hideMark/>
          </w:tcPr>
          <w:p w14:paraId="426CD35D" w14:textId="66477BCD" w:rsidR="003471CD" w:rsidRPr="000B52C6" w:rsidRDefault="003471CD" w:rsidP="00513E25">
            <w:pPr>
              <w:pStyle w:val="TableText0"/>
              <w:keepLines w:val="0"/>
              <w:spacing w:before="0" w:after="0"/>
              <w:rPr>
                <w:lang w:val="en-AU" w:eastAsia="en-AU" w:bidi="ar-SA"/>
              </w:rPr>
            </w:pPr>
            <w:r w:rsidRPr="000B52C6">
              <w:rPr>
                <w:lang w:val="en-AU" w:eastAsia="en-AU" w:bidi="ar-SA"/>
              </w:rPr>
              <w:t>4,933</w:t>
            </w:r>
            <w:r w:rsidR="00C00664" w:rsidRPr="000B52C6">
              <w:rPr>
                <w:lang w:val="en-AU" w:eastAsia="en-AU" w:bidi="ar-SA"/>
              </w:rPr>
              <w:t>.33</w:t>
            </w:r>
          </w:p>
        </w:tc>
        <w:tc>
          <w:tcPr>
            <w:tcW w:w="3685" w:type="dxa"/>
            <w:shd w:val="clear" w:color="auto" w:fill="auto"/>
            <w:noWrap/>
            <w:vAlign w:val="center"/>
            <w:hideMark/>
          </w:tcPr>
          <w:p w14:paraId="63F5666F" w14:textId="77777777" w:rsidR="003471CD" w:rsidRPr="000B52C6" w:rsidRDefault="003471CD" w:rsidP="00513E25">
            <w:pPr>
              <w:pStyle w:val="TableText0"/>
              <w:keepLines w:val="0"/>
              <w:spacing w:before="0" w:after="0"/>
              <w:rPr>
                <w:iCs/>
                <w:lang w:val="en-AU" w:eastAsia="en-AU" w:bidi="ar-SA"/>
              </w:rPr>
            </w:pPr>
            <w:r w:rsidRPr="000B52C6">
              <w:rPr>
                <w:iCs/>
                <w:lang w:val="en-AU" w:eastAsia="en-AU" w:bidi="ar-SA"/>
              </w:rPr>
              <w:t xml:space="preserve">Calculated by the resubmission (see </w:t>
            </w:r>
            <w:r w:rsidRPr="000B52C6">
              <w:rPr>
                <w:iCs/>
                <w:lang w:val="en-AU"/>
              </w:rPr>
              <w:t>Table 3.</w:t>
            </w:r>
            <w:r w:rsidRPr="000B52C6">
              <w:rPr>
                <w:iCs/>
                <w:lang w:val="en-AU" w:eastAsia="en-AU" w:bidi="ar-SA"/>
              </w:rPr>
              <w:t>2.2)</w:t>
            </w:r>
          </w:p>
        </w:tc>
      </w:tr>
      <w:tr w:rsidR="003471CD" w:rsidRPr="000B52C6" w14:paraId="7A66F2DC" w14:textId="77777777" w:rsidTr="00A1428B">
        <w:trPr>
          <w:trHeight w:val="300"/>
        </w:trPr>
        <w:tc>
          <w:tcPr>
            <w:tcW w:w="846" w:type="dxa"/>
            <w:shd w:val="clear" w:color="auto" w:fill="auto"/>
            <w:noWrap/>
            <w:vAlign w:val="center"/>
            <w:hideMark/>
          </w:tcPr>
          <w:p w14:paraId="17A7D95F"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N</w:t>
            </w:r>
          </w:p>
        </w:tc>
        <w:tc>
          <w:tcPr>
            <w:tcW w:w="3260" w:type="dxa"/>
            <w:shd w:val="clear" w:color="auto" w:fill="auto"/>
            <w:noWrap/>
            <w:vAlign w:val="center"/>
            <w:hideMark/>
          </w:tcPr>
          <w:p w14:paraId="1D4AD327" w14:textId="77777777" w:rsidR="003471CD" w:rsidRPr="000B52C6" w:rsidRDefault="003471CD" w:rsidP="00513E25">
            <w:pPr>
              <w:pStyle w:val="TableText0"/>
              <w:keepLines w:val="0"/>
              <w:spacing w:before="0" w:after="0"/>
              <w:rPr>
                <w:lang w:val="en-AU" w:eastAsia="en-AU" w:bidi="ar-SA"/>
              </w:rPr>
            </w:pPr>
            <w:proofErr w:type="spellStart"/>
            <w:r w:rsidRPr="000B52C6">
              <w:rPr>
                <w:lang w:val="en-AU" w:eastAsia="en-AU" w:bidi="ar-SA"/>
              </w:rPr>
              <w:t>SBd</w:t>
            </w:r>
            <w:proofErr w:type="spellEnd"/>
            <w:r w:rsidRPr="000B52C6">
              <w:rPr>
                <w:lang w:val="en-AU" w:eastAsia="en-AU" w:bidi="ar-SA"/>
              </w:rPr>
              <w:t xml:space="preserve">: </w:t>
            </w:r>
            <w:proofErr w:type="spellStart"/>
            <w:r w:rsidRPr="000B52C6">
              <w:rPr>
                <w:lang w:val="en-AU" w:eastAsia="en-AU" w:bidi="ar-SA"/>
              </w:rPr>
              <w:t>selinexor</w:t>
            </w:r>
            <w:proofErr w:type="spellEnd"/>
            <w:r w:rsidRPr="000B52C6">
              <w:rPr>
                <w:lang w:val="en-AU" w:eastAsia="en-AU" w:bidi="ar-SA"/>
              </w:rPr>
              <w:t xml:space="preserve"> cost per milligram</w:t>
            </w:r>
          </w:p>
        </w:tc>
        <w:tc>
          <w:tcPr>
            <w:tcW w:w="1276" w:type="dxa"/>
            <w:shd w:val="clear" w:color="auto" w:fill="auto"/>
            <w:noWrap/>
            <w:vAlign w:val="center"/>
            <w:hideMark/>
          </w:tcPr>
          <w:p w14:paraId="5A933723" w14:textId="1E12C005" w:rsidR="003471CD" w:rsidRPr="000B52C6" w:rsidRDefault="003471CD" w:rsidP="00513E25">
            <w:pPr>
              <w:pStyle w:val="TableText0"/>
              <w:keepLines w:val="0"/>
              <w:spacing w:before="0" w:after="0"/>
              <w:rPr>
                <w:lang w:val="en-AU" w:eastAsia="en-AU" w:bidi="ar-SA"/>
              </w:rPr>
            </w:pPr>
            <w:r w:rsidRPr="000B52C6">
              <w:rPr>
                <w:lang w:val="en-AU" w:eastAsia="en-AU" w:bidi="ar-SA"/>
              </w:rPr>
              <w:t>$</w:t>
            </w:r>
            <w:r w:rsidR="00DB2D11" w:rsidRPr="00DB2D11">
              <w:rPr>
                <w:color w:val="000000"/>
                <w:spacing w:val="53"/>
                <w:shd w:val="solid" w:color="000000" w:fill="000000"/>
                <w:fitText w:val="331" w:id="-1500846330"/>
                <w14:textFill>
                  <w14:solidFill>
                    <w14:srgbClr w14:val="000000">
                      <w14:alpha w14:val="100000"/>
                    </w14:srgbClr>
                  </w14:solidFill>
                </w14:textFill>
              </w:rPr>
              <w:t>|||</w:t>
            </w:r>
            <w:r w:rsidR="00DB2D11" w:rsidRPr="00DB2D11">
              <w:rPr>
                <w:color w:val="000000"/>
                <w:spacing w:val="2"/>
                <w:shd w:val="solid" w:color="000000" w:fill="000000"/>
                <w:fitText w:val="331" w:id="-1500846330"/>
                <w14:textFill>
                  <w14:solidFill>
                    <w14:srgbClr w14:val="000000">
                      <w14:alpha w14:val="100000"/>
                    </w14:srgbClr>
                  </w14:solidFill>
                </w14:textFill>
              </w:rPr>
              <w:t>|</w:t>
            </w:r>
          </w:p>
        </w:tc>
        <w:tc>
          <w:tcPr>
            <w:tcW w:w="3685" w:type="dxa"/>
            <w:shd w:val="clear" w:color="auto" w:fill="auto"/>
            <w:noWrap/>
            <w:vAlign w:val="center"/>
            <w:hideMark/>
          </w:tcPr>
          <w:p w14:paraId="5CB72DDA" w14:textId="77777777" w:rsidR="003471CD" w:rsidRPr="000B52C6" w:rsidRDefault="003471CD" w:rsidP="00513E25">
            <w:pPr>
              <w:pStyle w:val="TableText0"/>
              <w:keepLines w:val="0"/>
              <w:spacing w:before="0" w:after="0"/>
              <w:rPr>
                <w:lang w:val="en-AU" w:eastAsia="en-AU" w:bidi="ar-SA"/>
              </w:rPr>
            </w:pPr>
            <w:r w:rsidRPr="000B52C6">
              <w:rPr>
                <w:lang w:val="en-AU" w:eastAsia="en-AU" w:bidi="ar-SA"/>
              </w:rPr>
              <w:t>L / M</w:t>
            </w:r>
          </w:p>
        </w:tc>
      </w:tr>
      <w:tr w:rsidR="003471CD" w:rsidRPr="000B52C6" w14:paraId="0BD68712" w14:textId="77777777" w:rsidTr="00A1428B">
        <w:trPr>
          <w:trHeight w:val="300"/>
        </w:trPr>
        <w:tc>
          <w:tcPr>
            <w:tcW w:w="846" w:type="dxa"/>
            <w:shd w:val="clear" w:color="auto" w:fill="auto"/>
            <w:noWrap/>
            <w:vAlign w:val="center"/>
            <w:hideMark/>
          </w:tcPr>
          <w:p w14:paraId="5A7FECFD" w14:textId="77777777" w:rsidR="003471CD" w:rsidRPr="000B52C6" w:rsidRDefault="003471CD" w:rsidP="00513E25">
            <w:pPr>
              <w:pStyle w:val="TableText0"/>
              <w:keepLines w:val="0"/>
              <w:spacing w:before="0" w:after="0"/>
              <w:rPr>
                <w:b/>
                <w:bCs w:val="0"/>
                <w:lang w:val="en-AU" w:eastAsia="en-AU" w:bidi="ar-SA"/>
              </w:rPr>
            </w:pPr>
            <w:r w:rsidRPr="000B52C6">
              <w:rPr>
                <w:b/>
                <w:bCs w:val="0"/>
                <w:lang w:val="en-AU" w:eastAsia="en-AU" w:bidi="ar-SA"/>
              </w:rPr>
              <w:t>O</w:t>
            </w:r>
          </w:p>
        </w:tc>
        <w:tc>
          <w:tcPr>
            <w:tcW w:w="3260" w:type="dxa"/>
            <w:shd w:val="clear" w:color="auto" w:fill="auto"/>
            <w:noWrap/>
            <w:vAlign w:val="center"/>
            <w:hideMark/>
          </w:tcPr>
          <w:p w14:paraId="78B3848B" w14:textId="77777777" w:rsidR="003471CD" w:rsidRPr="000B52C6" w:rsidRDefault="003471CD" w:rsidP="00513E25">
            <w:pPr>
              <w:pStyle w:val="TableText0"/>
              <w:keepLines w:val="0"/>
              <w:spacing w:before="0" w:after="0"/>
              <w:rPr>
                <w:b/>
                <w:bCs w:val="0"/>
                <w:lang w:val="en-AU" w:eastAsia="en-AU" w:bidi="ar-SA"/>
              </w:rPr>
            </w:pPr>
            <w:proofErr w:type="spellStart"/>
            <w:r w:rsidRPr="000B52C6">
              <w:rPr>
                <w:b/>
                <w:bCs w:val="0"/>
                <w:lang w:val="en-AU" w:eastAsia="en-AU" w:bidi="ar-SA"/>
              </w:rPr>
              <w:t>SBd</w:t>
            </w:r>
            <w:proofErr w:type="spellEnd"/>
            <w:r w:rsidRPr="000B52C6">
              <w:rPr>
                <w:b/>
                <w:bCs w:val="0"/>
                <w:lang w:val="en-AU" w:eastAsia="en-AU" w:bidi="ar-SA"/>
              </w:rPr>
              <w:t xml:space="preserve">: </w:t>
            </w:r>
            <w:proofErr w:type="spellStart"/>
            <w:r w:rsidRPr="000B52C6">
              <w:rPr>
                <w:b/>
                <w:bCs w:val="0"/>
                <w:lang w:val="en-AU" w:eastAsia="en-AU" w:bidi="ar-SA"/>
              </w:rPr>
              <w:t>selinexor</w:t>
            </w:r>
            <w:proofErr w:type="spellEnd"/>
            <w:r w:rsidRPr="000B52C6">
              <w:rPr>
                <w:b/>
                <w:bCs w:val="0"/>
                <w:lang w:val="en-AU" w:eastAsia="en-AU" w:bidi="ar-SA"/>
              </w:rPr>
              <w:t xml:space="preserve"> cost per 20 mg tablet</w:t>
            </w:r>
          </w:p>
        </w:tc>
        <w:tc>
          <w:tcPr>
            <w:tcW w:w="1276" w:type="dxa"/>
            <w:shd w:val="clear" w:color="auto" w:fill="auto"/>
            <w:noWrap/>
            <w:vAlign w:val="center"/>
            <w:hideMark/>
          </w:tcPr>
          <w:p w14:paraId="19F0B226" w14:textId="1644D8BD" w:rsidR="003471CD" w:rsidRPr="000B52C6" w:rsidRDefault="003471CD" w:rsidP="00513E25">
            <w:pPr>
              <w:pStyle w:val="TableText0"/>
              <w:keepLines w:val="0"/>
              <w:spacing w:before="0" w:after="0"/>
              <w:rPr>
                <w:b/>
                <w:bCs w:val="0"/>
                <w:lang w:val="en-AU" w:eastAsia="en-AU" w:bidi="ar-SA"/>
              </w:rPr>
            </w:pPr>
            <w:r w:rsidRPr="000B52C6">
              <w:rPr>
                <w:b/>
                <w:bCs w:val="0"/>
                <w:lang w:val="en-AU" w:eastAsia="en-AU" w:bidi="ar-SA"/>
              </w:rPr>
              <w:t>$</w:t>
            </w:r>
            <w:r w:rsidR="00DB2D11" w:rsidRPr="00DB2D11">
              <w:rPr>
                <w:b/>
                <w:bCs w:val="0"/>
                <w:color w:val="000000"/>
                <w:spacing w:val="56"/>
                <w:shd w:val="solid" w:color="000000" w:fill="000000"/>
                <w:fitText w:val="354" w:id="-1500846329"/>
                <w14:textFill>
                  <w14:solidFill>
                    <w14:srgbClr w14:val="000000">
                      <w14:alpha w14:val="100000"/>
                    </w14:srgbClr>
                  </w14:solidFill>
                </w14:textFill>
              </w:rPr>
              <w:t>|||</w:t>
            </w:r>
            <w:r w:rsidR="00DB2D11" w:rsidRPr="00DB2D11">
              <w:rPr>
                <w:b/>
                <w:bCs w:val="0"/>
                <w:color w:val="000000"/>
                <w:spacing w:val="3"/>
                <w:shd w:val="solid" w:color="000000" w:fill="000000"/>
                <w:fitText w:val="354" w:id="-1500846329"/>
                <w14:textFill>
                  <w14:solidFill>
                    <w14:srgbClr w14:val="000000">
                      <w14:alpha w14:val="100000"/>
                    </w14:srgbClr>
                  </w14:solidFill>
                </w14:textFill>
              </w:rPr>
              <w:t>|</w:t>
            </w:r>
          </w:p>
        </w:tc>
        <w:tc>
          <w:tcPr>
            <w:tcW w:w="3685" w:type="dxa"/>
            <w:shd w:val="clear" w:color="auto" w:fill="auto"/>
            <w:noWrap/>
            <w:vAlign w:val="center"/>
            <w:hideMark/>
          </w:tcPr>
          <w:p w14:paraId="41EF13C7" w14:textId="77777777" w:rsidR="003471CD" w:rsidRPr="000B52C6" w:rsidRDefault="003471CD" w:rsidP="00513E25">
            <w:pPr>
              <w:pStyle w:val="TableText0"/>
              <w:keepLines w:val="0"/>
              <w:spacing w:before="0" w:after="0"/>
              <w:rPr>
                <w:b/>
                <w:bCs w:val="0"/>
                <w:lang w:val="en-AU" w:eastAsia="en-AU" w:bidi="ar-SA"/>
              </w:rPr>
            </w:pPr>
            <w:r w:rsidRPr="000B52C6">
              <w:rPr>
                <w:b/>
                <w:bCs w:val="0"/>
                <w:lang w:val="en-AU" w:eastAsia="en-AU" w:bidi="ar-SA"/>
              </w:rPr>
              <w:t>N x 20</w:t>
            </w:r>
          </w:p>
        </w:tc>
      </w:tr>
    </w:tbl>
    <w:p w14:paraId="400885D8" w14:textId="77777777" w:rsidR="006B3342" w:rsidRPr="000B52C6" w:rsidRDefault="006B3342" w:rsidP="006B3342">
      <w:pPr>
        <w:pStyle w:val="TableFigureFooter"/>
      </w:pPr>
      <w:r w:rsidRPr="000B52C6">
        <w:t>Source: Table 3-6, p161 of the resubmission.</w:t>
      </w:r>
    </w:p>
    <w:p w14:paraId="2203942D" w14:textId="2AC529A4" w:rsidR="006B3342" w:rsidRPr="000B52C6" w:rsidRDefault="006B3342" w:rsidP="006B3342">
      <w:pPr>
        <w:pStyle w:val="TableFigureFooter"/>
      </w:pPr>
      <w:r w:rsidRPr="000B52C6">
        <w:t xml:space="preserve">Abbreviations: AEMP = approved ex-manufacturer price; Cd = carfilzomib + dexamethasone; CMA = cost-minimisation analysis; mg = milligram; MBS = Medicare Benefits Schedule; PSD = public summary document; </w:t>
      </w:r>
      <w:proofErr w:type="spellStart"/>
      <w:r w:rsidRPr="000B52C6">
        <w:t>SBd</w:t>
      </w:r>
      <w:proofErr w:type="spellEnd"/>
      <w:r w:rsidRPr="000B52C6">
        <w:t xml:space="preserve"> = </w:t>
      </w:r>
      <w:proofErr w:type="spellStart"/>
      <w:r w:rsidRPr="000B52C6">
        <w:t>selinexor</w:t>
      </w:r>
      <w:proofErr w:type="spellEnd"/>
      <w:r w:rsidRPr="000B52C6">
        <w:t xml:space="preserve"> + bortezomib + dexamethasone. </w:t>
      </w:r>
    </w:p>
    <w:p w14:paraId="68DB4680" w14:textId="32D68EE6" w:rsidR="0070645D" w:rsidRPr="000B52C6" w:rsidRDefault="0070645D" w:rsidP="006B3342">
      <w:pPr>
        <w:pStyle w:val="TableFigureFooter"/>
        <w:rPr>
          <w:bCs/>
          <w:iCs/>
          <w:szCs w:val="18"/>
        </w:rPr>
      </w:pPr>
      <w:r w:rsidRPr="000B52C6">
        <w:rPr>
          <w:rStyle w:val="CommentReference"/>
          <w:b w:val="0"/>
          <w:bCs/>
          <w:iCs/>
          <w:sz w:val="18"/>
          <w:szCs w:val="18"/>
          <w:shd w:val="clear" w:color="auto" w:fill="C6D9F1" w:themeFill="text2" w:themeFillTint="33"/>
        </w:rPr>
        <w:t>Blue shading</w:t>
      </w:r>
      <w:r w:rsidRPr="000B52C6">
        <w:rPr>
          <w:rStyle w:val="CommentReference"/>
          <w:b w:val="0"/>
          <w:bCs/>
          <w:iCs/>
          <w:sz w:val="18"/>
          <w:szCs w:val="18"/>
        </w:rPr>
        <w:t xml:space="preserve"> indicates data previously seen by the PBAC. </w:t>
      </w:r>
    </w:p>
    <w:p w14:paraId="741553E5" w14:textId="446D8835" w:rsidR="006B3342" w:rsidRPr="000B52C6" w:rsidRDefault="006B3342" w:rsidP="006B3342">
      <w:pPr>
        <w:pStyle w:val="3-BodyText"/>
        <w:ind w:left="720" w:hanging="720"/>
      </w:pPr>
      <w:r w:rsidRPr="000B52C6">
        <w:t xml:space="preserve">The results of the key sensitivity are summarised in </w:t>
      </w:r>
      <w:r w:rsidRPr="000B52C6">
        <w:fldChar w:fldCharType="begin"/>
      </w:r>
      <w:r w:rsidRPr="000B52C6">
        <w:instrText xml:space="preserve"> REF _Ref90370321 \h  \* MERGEFORMAT </w:instrText>
      </w:r>
      <w:r w:rsidRPr="000B52C6">
        <w:fldChar w:fldCharType="separate"/>
      </w:r>
      <w:r w:rsidR="00FF5725" w:rsidRPr="00FF5725">
        <w:t>Table 20</w:t>
      </w:r>
      <w:r w:rsidRPr="000B52C6">
        <w:fldChar w:fldCharType="end"/>
      </w:r>
      <w:r w:rsidRPr="000B52C6">
        <w:t xml:space="preserve">. </w:t>
      </w:r>
    </w:p>
    <w:p w14:paraId="7D8F719A" w14:textId="26424F61" w:rsidR="006B3342" w:rsidRPr="000B52C6" w:rsidRDefault="006B3342" w:rsidP="006B3342">
      <w:pPr>
        <w:pStyle w:val="TableFigureHeading"/>
        <w:rPr>
          <w:rStyle w:val="CommentReference"/>
          <w:b/>
          <w:bCs w:val="0"/>
          <w:szCs w:val="24"/>
        </w:rPr>
      </w:pPr>
      <w:bookmarkStart w:id="51" w:name="_Ref90370321"/>
      <w:r w:rsidRPr="000B52C6">
        <w:rPr>
          <w:rStyle w:val="CommentReference"/>
          <w:b/>
          <w:bCs w:val="0"/>
          <w:szCs w:val="24"/>
        </w:rPr>
        <w:t xml:space="preserve">Table </w:t>
      </w:r>
      <w:r w:rsidRPr="000B52C6">
        <w:rPr>
          <w:rStyle w:val="CommentReference"/>
          <w:b/>
          <w:bCs w:val="0"/>
          <w:szCs w:val="24"/>
        </w:rPr>
        <w:fldChar w:fldCharType="begin"/>
      </w:r>
      <w:r w:rsidRPr="000B52C6">
        <w:rPr>
          <w:rStyle w:val="CommentReference"/>
          <w:b/>
          <w:bCs w:val="0"/>
          <w:szCs w:val="24"/>
        </w:rPr>
        <w:instrText xml:space="preserve"> SEQ Table \* ARABIC </w:instrText>
      </w:r>
      <w:r w:rsidRPr="000B52C6">
        <w:rPr>
          <w:rStyle w:val="CommentReference"/>
          <w:b/>
          <w:bCs w:val="0"/>
          <w:szCs w:val="24"/>
        </w:rPr>
        <w:fldChar w:fldCharType="separate"/>
      </w:r>
      <w:r w:rsidR="00FF5725">
        <w:rPr>
          <w:rStyle w:val="CommentReference"/>
          <w:b/>
          <w:bCs w:val="0"/>
          <w:noProof/>
          <w:szCs w:val="24"/>
        </w:rPr>
        <w:t>20</w:t>
      </w:r>
      <w:r w:rsidRPr="000B52C6">
        <w:rPr>
          <w:rStyle w:val="CommentReference"/>
          <w:b/>
          <w:bCs w:val="0"/>
          <w:szCs w:val="24"/>
        </w:rPr>
        <w:fldChar w:fldCharType="end"/>
      </w:r>
      <w:bookmarkEnd w:id="51"/>
      <w:r w:rsidRPr="000B52C6">
        <w:rPr>
          <w:rStyle w:val="CommentReference"/>
          <w:b/>
          <w:bCs w:val="0"/>
          <w:szCs w:val="24"/>
        </w:rPr>
        <w:t>: Results of sensitivity analyses using Cd published price (conducted during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134"/>
        <w:gridCol w:w="1133"/>
        <w:gridCol w:w="1277"/>
        <w:gridCol w:w="1367"/>
      </w:tblGrid>
      <w:tr w:rsidR="001518D9" w:rsidRPr="000B52C6" w14:paraId="077E249B" w14:textId="77777777" w:rsidTr="00993BE0">
        <w:tc>
          <w:tcPr>
            <w:tcW w:w="2277" w:type="pct"/>
            <w:vAlign w:val="center"/>
          </w:tcPr>
          <w:p w14:paraId="1E0A16EE" w14:textId="77777777" w:rsidR="001518D9" w:rsidRPr="000B52C6" w:rsidRDefault="001518D9" w:rsidP="00513E25">
            <w:pPr>
              <w:keepNext/>
              <w:ind w:right="-100" w:hanging="47"/>
              <w:jc w:val="center"/>
              <w:rPr>
                <w:rFonts w:ascii="Arial Narrow" w:eastAsiaTheme="majorEastAsia" w:hAnsi="Arial Narrow" w:cs="Times New Roman"/>
                <w:b/>
                <w:iCs/>
                <w:sz w:val="20"/>
              </w:rPr>
            </w:pPr>
            <w:r w:rsidRPr="000B52C6">
              <w:rPr>
                <w:rFonts w:ascii="Arial Narrow" w:eastAsiaTheme="majorEastAsia" w:hAnsi="Arial Narrow" w:cs="Times New Roman"/>
                <w:b/>
                <w:iCs/>
                <w:sz w:val="20"/>
              </w:rPr>
              <w:t>Parameter</w:t>
            </w:r>
          </w:p>
        </w:tc>
        <w:tc>
          <w:tcPr>
            <w:tcW w:w="629" w:type="pct"/>
            <w:vAlign w:val="center"/>
          </w:tcPr>
          <w:p w14:paraId="041E6742" w14:textId="77777777" w:rsidR="001518D9" w:rsidRPr="000B52C6" w:rsidRDefault="001518D9" w:rsidP="00513E25">
            <w:pPr>
              <w:keepNext/>
              <w:ind w:right="-100" w:hanging="47"/>
              <w:jc w:val="center"/>
              <w:rPr>
                <w:rFonts w:ascii="Arial Narrow" w:eastAsiaTheme="majorEastAsia" w:hAnsi="Arial Narrow" w:cs="Times New Roman"/>
                <w:b/>
                <w:iCs/>
                <w:sz w:val="20"/>
              </w:rPr>
            </w:pPr>
            <w:r w:rsidRPr="000B52C6">
              <w:rPr>
                <w:rFonts w:ascii="Arial Narrow" w:eastAsiaTheme="majorEastAsia" w:hAnsi="Arial Narrow" w:cs="Times New Roman"/>
                <w:b/>
                <w:iCs/>
                <w:sz w:val="20"/>
              </w:rPr>
              <w:t>Total cost of Cd</w:t>
            </w:r>
          </w:p>
        </w:tc>
        <w:tc>
          <w:tcPr>
            <w:tcW w:w="628" w:type="pct"/>
            <w:vAlign w:val="center"/>
          </w:tcPr>
          <w:p w14:paraId="1D6BFB56" w14:textId="77777777" w:rsidR="001518D9" w:rsidRPr="000B52C6" w:rsidRDefault="001518D9" w:rsidP="00513E25">
            <w:pPr>
              <w:keepNext/>
              <w:ind w:right="-100" w:hanging="47"/>
              <w:jc w:val="center"/>
              <w:rPr>
                <w:rFonts w:ascii="Arial Narrow" w:eastAsiaTheme="majorEastAsia" w:hAnsi="Arial Narrow" w:cs="Times New Roman"/>
                <w:b/>
                <w:iCs/>
                <w:sz w:val="20"/>
              </w:rPr>
            </w:pPr>
            <w:r w:rsidRPr="000B52C6">
              <w:rPr>
                <w:rFonts w:ascii="Arial Narrow" w:eastAsiaTheme="majorEastAsia" w:hAnsi="Arial Narrow" w:cs="Times New Roman"/>
                <w:b/>
                <w:iCs/>
                <w:sz w:val="20"/>
              </w:rPr>
              <w:t xml:space="preserve">Total cost of </w:t>
            </w:r>
            <w:proofErr w:type="spellStart"/>
            <w:r w:rsidRPr="000B52C6">
              <w:rPr>
                <w:rFonts w:ascii="Arial Narrow" w:eastAsiaTheme="majorEastAsia" w:hAnsi="Arial Narrow" w:cs="Times New Roman"/>
                <w:b/>
                <w:iCs/>
                <w:sz w:val="20"/>
              </w:rPr>
              <w:t>Bd</w:t>
            </w:r>
            <w:r w:rsidRPr="000B52C6">
              <w:rPr>
                <w:rFonts w:ascii="Arial Narrow" w:eastAsiaTheme="majorEastAsia" w:hAnsi="Arial Narrow" w:cs="Times New Roman"/>
                <w:b/>
                <w:iCs/>
                <w:sz w:val="20"/>
                <w:vertAlign w:val="superscript"/>
              </w:rPr>
              <w:t>a</w:t>
            </w:r>
            <w:proofErr w:type="spellEnd"/>
          </w:p>
        </w:tc>
        <w:tc>
          <w:tcPr>
            <w:tcW w:w="708" w:type="pct"/>
            <w:vAlign w:val="center"/>
          </w:tcPr>
          <w:p w14:paraId="5295DA19" w14:textId="77777777" w:rsidR="001518D9" w:rsidRPr="000B52C6" w:rsidRDefault="001518D9" w:rsidP="00513E25">
            <w:pPr>
              <w:keepNext/>
              <w:ind w:right="-100" w:hanging="47"/>
              <w:jc w:val="center"/>
              <w:rPr>
                <w:rFonts w:ascii="Arial Narrow" w:eastAsiaTheme="majorEastAsia" w:hAnsi="Arial Narrow" w:cs="Times New Roman"/>
                <w:b/>
                <w:iCs/>
                <w:sz w:val="20"/>
              </w:rPr>
            </w:pPr>
            <w:r w:rsidRPr="000B52C6">
              <w:rPr>
                <w:rFonts w:ascii="Arial Narrow" w:eastAsiaTheme="majorEastAsia" w:hAnsi="Arial Narrow" w:cs="Times New Roman"/>
                <w:b/>
                <w:iCs/>
                <w:sz w:val="20"/>
              </w:rPr>
              <w:t xml:space="preserve">Total cost of </w:t>
            </w:r>
            <w:proofErr w:type="spellStart"/>
            <w:r w:rsidRPr="000B52C6">
              <w:rPr>
                <w:rFonts w:ascii="Arial Narrow" w:eastAsiaTheme="majorEastAsia" w:hAnsi="Arial Narrow" w:cs="Times New Roman"/>
                <w:b/>
                <w:iCs/>
                <w:sz w:val="20"/>
              </w:rPr>
              <w:t>selinexor</w:t>
            </w:r>
            <w:proofErr w:type="spellEnd"/>
          </w:p>
        </w:tc>
        <w:tc>
          <w:tcPr>
            <w:tcW w:w="758" w:type="pct"/>
            <w:vAlign w:val="center"/>
          </w:tcPr>
          <w:p w14:paraId="59DCD256" w14:textId="77777777" w:rsidR="001518D9" w:rsidRPr="000B52C6" w:rsidRDefault="001518D9" w:rsidP="00513E25">
            <w:pPr>
              <w:keepNext/>
              <w:ind w:right="-100" w:hanging="47"/>
              <w:jc w:val="center"/>
              <w:rPr>
                <w:rFonts w:ascii="Arial Narrow" w:eastAsiaTheme="majorEastAsia" w:hAnsi="Arial Narrow" w:cs="Times New Roman"/>
                <w:b/>
                <w:iCs/>
                <w:sz w:val="20"/>
              </w:rPr>
            </w:pPr>
            <w:r w:rsidRPr="000B52C6">
              <w:rPr>
                <w:rFonts w:ascii="Arial Narrow" w:eastAsiaTheme="majorEastAsia" w:hAnsi="Arial Narrow" w:cs="Times New Roman"/>
                <w:b/>
                <w:iCs/>
                <w:sz w:val="20"/>
              </w:rPr>
              <w:t>Selinexor AEMP estimation</w:t>
            </w:r>
          </w:p>
        </w:tc>
      </w:tr>
      <w:tr w:rsidR="001518D9" w:rsidRPr="000B52C6" w14:paraId="491660E8" w14:textId="77777777" w:rsidTr="00993BE0">
        <w:tc>
          <w:tcPr>
            <w:tcW w:w="2277" w:type="pct"/>
            <w:vAlign w:val="center"/>
          </w:tcPr>
          <w:p w14:paraId="2D0C9649" w14:textId="2E14A8FF" w:rsidR="001518D9" w:rsidRPr="000B52C6" w:rsidRDefault="001518D9" w:rsidP="00993BE0">
            <w:pPr>
              <w:keepNext/>
              <w:ind w:right="-100" w:hanging="47"/>
              <w:rPr>
                <w:rFonts w:ascii="Arial Narrow" w:eastAsiaTheme="majorEastAsia" w:hAnsi="Arial Narrow" w:cs="Times New Roman"/>
                <w:sz w:val="20"/>
              </w:rPr>
            </w:pPr>
            <w:r w:rsidRPr="000B52C6">
              <w:rPr>
                <w:rFonts w:ascii="Arial Narrow" w:eastAsiaTheme="majorEastAsia" w:hAnsi="Arial Narrow" w:cs="Times New Roman"/>
                <w:sz w:val="20"/>
              </w:rPr>
              <w:t>Base case</w:t>
            </w:r>
          </w:p>
        </w:tc>
        <w:tc>
          <w:tcPr>
            <w:tcW w:w="629" w:type="pct"/>
            <w:vAlign w:val="center"/>
          </w:tcPr>
          <w:p w14:paraId="56EE36E6" w14:textId="77777777" w:rsidR="001518D9" w:rsidRPr="000B52C6" w:rsidRDefault="001518D9" w:rsidP="00513E25">
            <w:pPr>
              <w:keepNext/>
              <w:ind w:right="-100" w:hanging="47"/>
              <w:jc w:val="center"/>
              <w:rPr>
                <w:rFonts w:ascii="Arial Narrow" w:eastAsiaTheme="majorEastAsia" w:hAnsi="Arial Narrow" w:cs="Times New Roman"/>
                <w:sz w:val="20"/>
              </w:rPr>
            </w:pPr>
            <w:r w:rsidRPr="000B52C6">
              <w:rPr>
                <w:rFonts w:ascii="Arial Narrow" w:eastAsiaTheme="majorEastAsia" w:hAnsi="Arial Narrow" w:cs="Times New Roman"/>
                <w:sz w:val="20"/>
              </w:rPr>
              <w:t>$162,240.02</w:t>
            </w:r>
          </w:p>
        </w:tc>
        <w:tc>
          <w:tcPr>
            <w:tcW w:w="628" w:type="pct"/>
            <w:vAlign w:val="center"/>
          </w:tcPr>
          <w:p w14:paraId="0BBD013B" w14:textId="77777777" w:rsidR="001518D9" w:rsidRPr="000B52C6" w:rsidRDefault="001518D9" w:rsidP="00513E25">
            <w:pPr>
              <w:keepNext/>
              <w:ind w:right="-100" w:hanging="47"/>
              <w:jc w:val="center"/>
              <w:rPr>
                <w:rFonts w:ascii="Arial Narrow" w:eastAsiaTheme="majorEastAsia" w:hAnsi="Arial Narrow" w:cs="Times New Roman"/>
                <w:sz w:val="20"/>
              </w:rPr>
            </w:pPr>
            <w:r w:rsidRPr="000B52C6">
              <w:rPr>
                <w:rFonts w:ascii="Arial Narrow" w:eastAsiaTheme="majorEastAsia" w:hAnsi="Arial Narrow" w:cs="Times New Roman"/>
                <w:sz w:val="20"/>
              </w:rPr>
              <w:t>$19,981.79</w:t>
            </w:r>
          </w:p>
        </w:tc>
        <w:tc>
          <w:tcPr>
            <w:tcW w:w="708" w:type="pct"/>
            <w:vAlign w:val="center"/>
          </w:tcPr>
          <w:p w14:paraId="6CE4E895" w14:textId="47E55DE3" w:rsidR="001518D9" w:rsidRPr="00D27599" w:rsidRDefault="001518D9" w:rsidP="00513E25">
            <w:pPr>
              <w:keepNext/>
              <w:ind w:right="-100" w:hanging="47"/>
              <w:jc w:val="center"/>
              <w:rPr>
                <w:rFonts w:ascii="Arial Narrow" w:eastAsiaTheme="majorEastAsia" w:hAnsi="Arial Narrow" w:cs="Times New Roman"/>
                <w:sz w:val="20"/>
                <w:highlight w:val="red"/>
              </w:rPr>
            </w:pPr>
            <w:r w:rsidRPr="00D27599">
              <w:rPr>
                <w:rFonts w:ascii="Arial Narrow" w:eastAsiaTheme="majorEastAsia" w:hAnsi="Arial Narrow" w:cs="Times New Roman"/>
                <w:sz w:val="20"/>
              </w:rPr>
              <w:t>$</w:t>
            </w:r>
            <w:r w:rsidR="00DB2D11" w:rsidRPr="00DB2D11">
              <w:rPr>
                <w:rFonts w:ascii="Arial Narrow" w:eastAsiaTheme="majorEastAsia" w:hAnsi="Arial Narrow" w:cs="Times New Roman" w:hint="eastAsia"/>
                <w:color w:val="000000"/>
                <w:w w:val="15"/>
                <w:sz w:val="20"/>
                <w:shd w:val="solid" w:color="000000" w:fill="000000"/>
                <w:fitText w:val="38" w:id="-1500846328"/>
                <w14:textFill>
                  <w14:solidFill>
                    <w14:srgbClr w14:val="000000">
                      <w14:alpha w14:val="100000"/>
                    </w14:srgbClr>
                  </w14:solidFill>
                </w14:textFill>
              </w:rPr>
              <w:t xml:space="preserve">　</w:t>
            </w:r>
            <w:r w:rsidR="00DB2D11" w:rsidRPr="00DB2D11">
              <w:rPr>
                <w:rFonts w:ascii="Arial Narrow" w:eastAsiaTheme="majorEastAsia" w:hAnsi="Arial Narrow" w:cs="Times New Roman"/>
                <w:color w:val="000000"/>
                <w:w w:val="15"/>
                <w:sz w:val="20"/>
                <w:shd w:val="solid" w:color="000000" w:fill="000000"/>
                <w:fitText w:val="38" w:id="-1500846328"/>
                <w14:textFill>
                  <w14:solidFill>
                    <w14:srgbClr w14:val="000000">
                      <w14:alpha w14:val="100000"/>
                    </w14:srgbClr>
                  </w14:solidFill>
                </w14:textFill>
              </w:rPr>
              <w:t>|</w:t>
            </w:r>
            <w:r w:rsidR="00DB2D11" w:rsidRPr="00DB2D11">
              <w:rPr>
                <w:rFonts w:ascii="Arial Narrow" w:eastAsiaTheme="majorEastAsia" w:hAnsi="Arial Narrow" w:cs="Times New Roman" w:hint="eastAsia"/>
                <w:color w:val="000000"/>
                <w:spacing w:val="-27"/>
                <w:w w:val="15"/>
                <w:sz w:val="20"/>
                <w:shd w:val="solid" w:color="000000" w:fill="000000"/>
                <w:fitText w:val="38" w:id="-1500846328"/>
                <w14:textFill>
                  <w14:solidFill>
                    <w14:srgbClr w14:val="000000">
                      <w14:alpha w14:val="100000"/>
                    </w14:srgbClr>
                  </w14:solidFill>
                </w14:textFill>
              </w:rPr>
              <w:t xml:space="preserve">　</w:t>
            </w:r>
          </w:p>
        </w:tc>
        <w:tc>
          <w:tcPr>
            <w:tcW w:w="758" w:type="pct"/>
            <w:vAlign w:val="center"/>
          </w:tcPr>
          <w:p w14:paraId="24BB8628" w14:textId="153654A0" w:rsidR="001518D9" w:rsidRPr="00D27599" w:rsidRDefault="001518D9" w:rsidP="00513E25">
            <w:pPr>
              <w:keepNext/>
              <w:ind w:right="-100" w:hanging="47"/>
              <w:jc w:val="center"/>
              <w:rPr>
                <w:rFonts w:ascii="Arial Narrow" w:eastAsiaTheme="majorEastAsia" w:hAnsi="Arial Narrow" w:cs="Times New Roman"/>
                <w:sz w:val="20"/>
                <w:highlight w:val="red"/>
              </w:rPr>
            </w:pPr>
            <w:r w:rsidRPr="00D27599">
              <w:rPr>
                <w:rFonts w:ascii="Arial Narrow" w:eastAsiaTheme="majorEastAsia" w:hAnsi="Arial Narrow" w:cs="Times New Roman"/>
                <w:sz w:val="20"/>
              </w:rPr>
              <w:t>$</w:t>
            </w:r>
            <w:r w:rsidR="00DB2D11" w:rsidRPr="00DB2D11">
              <w:rPr>
                <w:rFonts w:ascii="Arial Narrow" w:eastAsiaTheme="majorEastAsia" w:hAnsi="Arial Narrow" w:cs="Times New Roman"/>
                <w:color w:val="000000"/>
                <w:sz w:val="20"/>
                <w:shd w:val="solid" w:color="000000" w:fill="000000"/>
                <w14:textFill>
                  <w14:solidFill>
                    <w14:srgbClr w14:val="000000">
                      <w14:alpha w14:val="100000"/>
                    </w14:srgbClr>
                  </w14:solidFill>
                </w14:textFill>
              </w:rPr>
              <w:t>|</w:t>
            </w:r>
          </w:p>
        </w:tc>
      </w:tr>
      <w:tr w:rsidR="001518D9" w:rsidRPr="000B52C6" w14:paraId="5191DE29" w14:textId="77777777" w:rsidTr="00993BE0">
        <w:tc>
          <w:tcPr>
            <w:tcW w:w="2277" w:type="pct"/>
            <w:vAlign w:val="center"/>
          </w:tcPr>
          <w:p w14:paraId="1FD86E26" w14:textId="77777777" w:rsidR="001518D9" w:rsidRPr="000B52C6" w:rsidRDefault="001518D9" w:rsidP="00513E25">
            <w:pPr>
              <w:keepNext/>
              <w:ind w:left="-40" w:right="-100" w:firstLine="14"/>
              <w:jc w:val="left"/>
              <w:rPr>
                <w:rFonts w:ascii="Arial Narrow" w:eastAsiaTheme="majorEastAsia" w:hAnsi="Arial Narrow" w:cs="Times New Roman"/>
                <w:iCs/>
                <w:sz w:val="20"/>
              </w:rPr>
            </w:pPr>
            <w:r w:rsidRPr="000B52C6">
              <w:rPr>
                <w:rFonts w:ascii="Arial Narrow" w:eastAsiaTheme="majorEastAsia" w:hAnsi="Arial Narrow" w:cs="Times New Roman"/>
                <w:iCs/>
                <w:sz w:val="20"/>
              </w:rPr>
              <w:t xml:space="preserve">48-week treatment duration for Cd and </w:t>
            </w:r>
            <w:proofErr w:type="spellStart"/>
            <w:r w:rsidRPr="000B52C6">
              <w:rPr>
                <w:rFonts w:ascii="Arial Narrow" w:eastAsiaTheme="majorEastAsia" w:hAnsi="Arial Narrow" w:cs="Times New Roman"/>
                <w:iCs/>
                <w:sz w:val="20"/>
              </w:rPr>
              <w:t>SBd</w:t>
            </w:r>
            <w:proofErr w:type="spellEnd"/>
          </w:p>
        </w:tc>
        <w:tc>
          <w:tcPr>
            <w:tcW w:w="629" w:type="pct"/>
            <w:vAlign w:val="center"/>
          </w:tcPr>
          <w:p w14:paraId="4D0676A1" w14:textId="77777777" w:rsidR="001518D9" w:rsidRPr="000B52C6" w:rsidRDefault="001518D9" w:rsidP="00513E25">
            <w:pPr>
              <w:keepNext/>
              <w:ind w:right="-100" w:hanging="47"/>
              <w:jc w:val="center"/>
              <w:rPr>
                <w:rFonts w:ascii="Arial Narrow" w:eastAsiaTheme="majorEastAsia" w:hAnsi="Arial Narrow" w:cs="Times New Roman"/>
                <w:iCs/>
                <w:sz w:val="20"/>
              </w:rPr>
            </w:pPr>
            <w:r w:rsidRPr="000B52C6">
              <w:rPr>
                <w:rFonts w:ascii="Arial Narrow" w:eastAsiaTheme="majorEastAsia" w:hAnsi="Arial Narrow" w:cs="Times New Roman"/>
                <w:iCs/>
                <w:sz w:val="20"/>
              </w:rPr>
              <w:t>$157,853.10</w:t>
            </w:r>
          </w:p>
        </w:tc>
        <w:tc>
          <w:tcPr>
            <w:tcW w:w="628" w:type="pct"/>
            <w:vAlign w:val="center"/>
          </w:tcPr>
          <w:p w14:paraId="0C01DBA1" w14:textId="77777777" w:rsidR="001518D9" w:rsidRPr="000B52C6" w:rsidRDefault="001518D9" w:rsidP="00513E25">
            <w:pPr>
              <w:keepNext/>
              <w:ind w:right="-100" w:hanging="47"/>
              <w:jc w:val="center"/>
              <w:rPr>
                <w:rFonts w:ascii="Arial Narrow" w:eastAsiaTheme="majorEastAsia" w:hAnsi="Arial Narrow" w:cs="Times New Roman"/>
                <w:iCs/>
                <w:sz w:val="20"/>
              </w:rPr>
            </w:pPr>
            <w:r w:rsidRPr="000B52C6">
              <w:rPr>
                <w:rFonts w:ascii="Arial Narrow" w:eastAsiaTheme="majorEastAsia" w:hAnsi="Arial Narrow" w:cs="Times New Roman"/>
                <w:iCs/>
                <w:sz w:val="20"/>
              </w:rPr>
              <w:t>$19,441.74</w:t>
            </w:r>
          </w:p>
        </w:tc>
        <w:tc>
          <w:tcPr>
            <w:tcW w:w="708" w:type="pct"/>
            <w:vAlign w:val="center"/>
          </w:tcPr>
          <w:p w14:paraId="3E535A7F" w14:textId="5641A20E" w:rsidR="001518D9" w:rsidRPr="00D27599" w:rsidRDefault="001518D9" w:rsidP="00513E25">
            <w:pPr>
              <w:keepNext/>
              <w:ind w:right="-100" w:hanging="47"/>
              <w:jc w:val="center"/>
              <w:rPr>
                <w:rFonts w:ascii="Arial Narrow" w:eastAsiaTheme="majorEastAsia" w:hAnsi="Arial Narrow" w:cs="Times New Roman"/>
                <w:iCs/>
                <w:sz w:val="20"/>
                <w:highlight w:val="red"/>
              </w:rPr>
            </w:pPr>
            <w:r w:rsidRPr="00D27599">
              <w:rPr>
                <w:rFonts w:ascii="Arial Narrow" w:eastAsiaTheme="majorEastAsia" w:hAnsi="Arial Narrow" w:cs="Times New Roman"/>
                <w:iCs/>
                <w:sz w:val="20"/>
              </w:rPr>
              <w:t>$</w:t>
            </w:r>
            <w:r w:rsidR="00DB2D11" w:rsidRPr="00DB2D11">
              <w:rPr>
                <w:rFonts w:ascii="Arial Narrow" w:eastAsiaTheme="majorEastAsia" w:hAnsi="Arial Narrow" w:cs="Times New Roman" w:hint="eastAsia"/>
                <w:iCs/>
                <w:color w:val="000000"/>
                <w:w w:val="15"/>
                <w:sz w:val="20"/>
                <w:shd w:val="solid" w:color="000000" w:fill="000000"/>
                <w:fitText w:val="38" w:id="-1500846327"/>
                <w14:textFill>
                  <w14:solidFill>
                    <w14:srgbClr w14:val="000000">
                      <w14:alpha w14:val="100000"/>
                    </w14:srgbClr>
                  </w14:solidFill>
                </w14:textFill>
              </w:rPr>
              <w:t xml:space="preserve">　</w:t>
            </w:r>
            <w:r w:rsidR="00DB2D11" w:rsidRPr="00DB2D11">
              <w:rPr>
                <w:rFonts w:ascii="Arial Narrow" w:eastAsiaTheme="majorEastAsia" w:hAnsi="Arial Narrow" w:cs="Times New Roman"/>
                <w:iCs/>
                <w:color w:val="000000"/>
                <w:w w:val="15"/>
                <w:sz w:val="20"/>
                <w:shd w:val="solid" w:color="000000" w:fill="000000"/>
                <w:fitText w:val="38" w:id="-1500846327"/>
                <w14:textFill>
                  <w14:solidFill>
                    <w14:srgbClr w14:val="000000">
                      <w14:alpha w14:val="100000"/>
                    </w14:srgbClr>
                  </w14:solidFill>
                </w14:textFill>
              </w:rPr>
              <w:t>|</w:t>
            </w:r>
            <w:r w:rsidR="00DB2D11" w:rsidRPr="00DB2D11">
              <w:rPr>
                <w:rFonts w:ascii="Arial Narrow" w:eastAsiaTheme="majorEastAsia" w:hAnsi="Arial Narrow" w:cs="Times New Roman" w:hint="eastAsia"/>
                <w:iCs/>
                <w:color w:val="000000"/>
                <w:spacing w:val="-27"/>
                <w:w w:val="15"/>
                <w:sz w:val="20"/>
                <w:shd w:val="solid" w:color="000000" w:fill="000000"/>
                <w:fitText w:val="38" w:id="-1500846327"/>
                <w14:textFill>
                  <w14:solidFill>
                    <w14:srgbClr w14:val="000000">
                      <w14:alpha w14:val="100000"/>
                    </w14:srgbClr>
                  </w14:solidFill>
                </w14:textFill>
              </w:rPr>
              <w:t xml:space="preserve">　</w:t>
            </w:r>
          </w:p>
        </w:tc>
        <w:tc>
          <w:tcPr>
            <w:tcW w:w="758" w:type="pct"/>
            <w:vAlign w:val="center"/>
          </w:tcPr>
          <w:p w14:paraId="1EC39E05" w14:textId="10F72921" w:rsidR="001518D9" w:rsidRPr="00D27599" w:rsidRDefault="001518D9" w:rsidP="00513E25">
            <w:pPr>
              <w:keepNext/>
              <w:ind w:right="-100" w:hanging="47"/>
              <w:jc w:val="center"/>
              <w:rPr>
                <w:rFonts w:ascii="Arial Narrow" w:eastAsiaTheme="majorEastAsia" w:hAnsi="Arial Narrow" w:cs="Times New Roman"/>
                <w:iCs/>
                <w:sz w:val="20"/>
                <w:highlight w:val="red"/>
              </w:rPr>
            </w:pPr>
            <w:r w:rsidRPr="00D27599">
              <w:rPr>
                <w:rFonts w:ascii="Arial Narrow" w:eastAsiaTheme="majorEastAsia" w:hAnsi="Arial Narrow" w:cs="Times New Roman"/>
                <w:sz w:val="20"/>
              </w:rPr>
              <w:t>$</w:t>
            </w:r>
            <w:r w:rsidR="00DB2D11" w:rsidRPr="00DB2D11">
              <w:rPr>
                <w:rFonts w:ascii="Arial Narrow" w:eastAsiaTheme="majorEastAsia" w:hAnsi="Arial Narrow" w:cs="Times New Roman"/>
                <w:color w:val="000000"/>
                <w:sz w:val="20"/>
                <w:shd w:val="solid" w:color="000000" w:fill="000000"/>
                <w14:textFill>
                  <w14:solidFill>
                    <w14:srgbClr w14:val="000000">
                      <w14:alpha w14:val="100000"/>
                    </w14:srgbClr>
                  </w14:solidFill>
                </w14:textFill>
              </w:rPr>
              <w:t>|</w:t>
            </w:r>
          </w:p>
        </w:tc>
      </w:tr>
      <w:tr w:rsidR="001518D9" w:rsidRPr="000B52C6" w14:paraId="4472ED6E" w14:textId="77777777" w:rsidTr="00993BE0">
        <w:tc>
          <w:tcPr>
            <w:tcW w:w="2277" w:type="pct"/>
            <w:vAlign w:val="center"/>
          </w:tcPr>
          <w:p w14:paraId="249A6AA8" w14:textId="77777777" w:rsidR="001518D9" w:rsidRPr="000B52C6" w:rsidRDefault="001518D9" w:rsidP="00513E25">
            <w:pPr>
              <w:keepNext/>
              <w:ind w:left="-40" w:right="-100" w:firstLine="14"/>
              <w:jc w:val="left"/>
              <w:rPr>
                <w:rFonts w:ascii="Arial Narrow" w:eastAsiaTheme="majorEastAsia" w:hAnsi="Arial Narrow" w:cs="Times New Roman"/>
                <w:iCs/>
                <w:sz w:val="20"/>
              </w:rPr>
            </w:pPr>
            <w:r w:rsidRPr="000B52C6">
              <w:rPr>
                <w:rFonts w:ascii="Arial Narrow" w:eastAsiaTheme="majorEastAsia" w:hAnsi="Arial Narrow" w:cs="Times New Roman"/>
                <w:iCs/>
                <w:sz w:val="20"/>
              </w:rPr>
              <w:t>Cd utilisation (100% Cd 70/20 mg/m</w:t>
            </w:r>
            <w:r w:rsidRPr="000B52C6">
              <w:rPr>
                <w:rFonts w:ascii="Arial Narrow" w:eastAsiaTheme="majorEastAsia" w:hAnsi="Arial Narrow" w:cs="Times New Roman"/>
                <w:iCs/>
                <w:sz w:val="20"/>
                <w:vertAlign w:val="superscript"/>
              </w:rPr>
              <w:t>2</w:t>
            </w:r>
            <w:r w:rsidRPr="000B52C6">
              <w:rPr>
                <w:rFonts w:ascii="Arial Narrow" w:eastAsiaTheme="majorEastAsia" w:hAnsi="Arial Narrow" w:cs="Times New Roman"/>
                <w:iCs/>
                <w:sz w:val="20"/>
              </w:rPr>
              <w:t>)</w:t>
            </w:r>
          </w:p>
        </w:tc>
        <w:tc>
          <w:tcPr>
            <w:tcW w:w="629" w:type="pct"/>
            <w:vAlign w:val="center"/>
          </w:tcPr>
          <w:p w14:paraId="52FA6F3E" w14:textId="77777777" w:rsidR="001518D9" w:rsidRPr="000B52C6" w:rsidRDefault="001518D9" w:rsidP="00513E25">
            <w:pPr>
              <w:keepNext/>
              <w:ind w:right="-100" w:hanging="47"/>
              <w:jc w:val="center"/>
              <w:rPr>
                <w:rFonts w:ascii="Arial Narrow" w:eastAsiaTheme="majorEastAsia" w:hAnsi="Arial Narrow" w:cs="Times New Roman"/>
                <w:iCs/>
                <w:sz w:val="20"/>
              </w:rPr>
            </w:pPr>
            <w:r w:rsidRPr="000B52C6">
              <w:rPr>
                <w:rFonts w:ascii="Arial Narrow" w:eastAsiaTheme="majorEastAsia" w:hAnsi="Arial Narrow" w:cs="Times New Roman"/>
                <w:iCs/>
                <w:sz w:val="20"/>
              </w:rPr>
              <w:t>109,585.38</w:t>
            </w:r>
          </w:p>
        </w:tc>
        <w:tc>
          <w:tcPr>
            <w:tcW w:w="628" w:type="pct"/>
            <w:vAlign w:val="center"/>
          </w:tcPr>
          <w:p w14:paraId="6C8A90E9" w14:textId="77777777" w:rsidR="001518D9" w:rsidRPr="000B52C6" w:rsidRDefault="001518D9" w:rsidP="00513E25">
            <w:pPr>
              <w:keepNext/>
              <w:ind w:right="-100" w:hanging="47"/>
              <w:jc w:val="center"/>
              <w:rPr>
                <w:rFonts w:ascii="Arial Narrow" w:eastAsiaTheme="majorEastAsia" w:hAnsi="Arial Narrow" w:cs="Times New Roman"/>
                <w:iCs/>
                <w:sz w:val="20"/>
              </w:rPr>
            </w:pPr>
            <w:r w:rsidRPr="000B52C6">
              <w:rPr>
                <w:rFonts w:ascii="Arial Narrow" w:eastAsiaTheme="majorEastAsia" w:hAnsi="Arial Narrow" w:cs="Times New Roman"/>
                <w:iCs/>
                <w:sz w:val="20"/>
              </w:rPr>
              <w:t>$19,981.79</w:t>
            </w:r>
          </w:p>
        </w:tc>
        <w:tc>
          <w:tcPr>
            <w:tcW w:w="708" w:type="pct"/>
            <w:vAlign w:val="center"/>
          </w:tcPr>
          <w:p w14:paraId="1AE6305C" w14:textId="1F178C8F" w:rsidR="001518D9" w:rsidRPr="00D27599" w:rsidRDefault="001518D9" w:rsidP="00513E25">
            <w:pPr>
              <w:keepNext/>
              <w:ind w:right="-100" w:hanging="47"/>
              <w:jc w:val="center"/>
              <w:rPr>
                <w:rFonts w:ascii="Arial Narrow" w:eastAsiaTheme="majorEastAsia" w:hAnsi="Arial Narrow" w:cs="Times New Roman"/>
                <w:iCs/>
                <w:sz w:val="20"/>
                <w:highlight w:val="red"/>
              </w:rPr>
            </w:pPr>
            <w:r w:rsidRPr="00D27599">
              <w:rPr>
                <w:rFonts w:ascii="Arial Narrow" w:eastAsiaTheme="majorEastAsia" w:hAnsi="Arial Narrow" w:cs="Times New Roman"/>
                <w:iCs/>
                <w:sz w:val="20"/>
              </w:rPr>
              <w:t>$</w:t>
            </w:r>
            <w:r w:rsidR="00DB2D11" w:rsidRPr="00DB2D11">
              <w:rPr>
                <w:rFonts w:ascii="Arial Narrow" w:eastAsiaTheme="majorEastAsia" w:hAnsi="Arial Narrow" w:cs="Times New Roman" w:hint="eastAsia"/>
                <w:iCs/>
                <w:color w:val="000000"/>
                <w:w w:val="15"/>
                <w:sz w:val="20"/>
                <w:shd w:val="solid" w:color="000000" w:fill="000000"/>
                <w:fitText w:val="38" w:id="-1500846326"/>
                <w14:textFill>
                  <w14:solidFill>
                    <w14:srgbClr w14:val="000000">
                      <w14:alpha w14:val="100000"/>
                    </w14:srgbClr>
                  </w14:solidFill>
                </w14:textFill>
              </w:rPr>
              <w:t xml:space="preserve">　</w:t>
            </w:r>
            <w:r w:rsidR="00DB2D11" w:rsidRPr="00DB2D11">
              <w:rPr>
                <w:rFonts w:ascii="Arial Narrow" w:eastAsiaTheme="majorEastAsia" w:hAnsi="Arial Narrow" w:cs="Times New Roman"/>
                <w:iCs/>
                <w:color w:val="000000"/>
                <w:w w:val="15"/>
                <w:sz w:val="20"/>
                <w:shd w:val="solid" w:color="000000" w:fill="000000"/>
                <w:fitText w:val="38" w:id="-1500846326"/>
                <w14:textFill>
                  <w14:solidFill>
                    <w14:srgbClr w14:val="000000">
                      <w14:alpha w14:val="100000"/>
                    </w14:srgbClr>
                  </w14:solidFill>
                </w14:textFill>
              </w:rPr>
              <w:t>|</w:t>
            </w:r>
            <w:r w:rsidR="00DB2D11" w:rsidRPr="00DB2D11">
              <w:rPr>
                <w:rFonts w:ascii="Arial Narrow" w:eastAsiaTheme="majorEastAsia" w:hAnsi="Arial Narrow" w:cs="Times New Roman" w:hint="eastAsia"/>
                <w:iCs/>
                <w:color w:val="000000"/>
                <w:spacing w:val="-27"/>
                <w:w w:val="15"/>
                <w:sz w:val="20"/>
                <w:shd w:val="solid" w:color="000000" w:fill="000000"/>
                <w:fitText w:val="38" w:id="-1500846326"/>
                <w14:textFill>
                  <w14:solidFill>
                    <w14:srgbClr w14:val="000000">
                      <w14:alpha w14:val="100000"/>
                    </w14:srgbClr>
                  </w14:solidFill>
                </w14:textFill>
              </w:rPr>
              <w:t xml:space="preserve">　</w:t>
            </w:r>
          </w:p>
        </w:tc>
        <w:tc>
          <w:tcPr>
            <w:tcW w:w="758" w:type="pct"/>
            <w:vAlign w:val="center"/>
          </w:tcPr>
          <w:p w14:paraId="0BD9FAB0" w14:textId="59A743F9" w:rsidR="001518D9" w:rsidRPr="00D27599" w:rsidRDefault="001518D9" w:rsidP="00513E25">
            <w:pPr>
              <w:keepNext/>
              <w:ind w:right="-100" w:hanging="47"/>
              <w:jc w:val="center"/>
              <w:rPr>
                <w:rFonts w:ascii="Arial Narrow" w:eastAsiaTheme="majorEastAsia" w:hAnsi="Arial Narrow" w:cs="Times New Roman"/>
                <w:iCs/>
                <w:sz w:val="20"/>
                <w:highlight w:val="red"/>
              </w:rPr>
            </w:pPr>
            <w:r w:rsidRPr="00D27599">
              <w:rPr>
                <w:rFonts w:ascii="Arial Narrow" w:eastAsiaTheme="majorEastAsia" w:hAnsi="Arial Narrow" w:cs="Times New Roman"/>
                <w:iCs/>
                <w:sz w:val="20"/>
              </w:rPr>
              <w:t>$</w:t>
            </w:r>
            <w:r w:rsidR="00DB2D11" w:rsidRPr="00DB2D11">
              <w:rPr>
                <w:rFonts w:ascii="Arial Narrow" w:eastAsiaTheme="majorEastAsia" w:hAnsi="Arial Narrow" w:cs="Times New Roman"/>
                <w:iCs/>
                <w:color w:val="000000"/>
                <w:sz w:val="20"/>
                <w:shd w:val="solid" w:color="000000" w:fill="000000"/>
                <w14:textFill>
                  <w14:solidFill>
                    <w14:srgbClr w14:val="000000">
                      <w14:alpha w14:val="100000"/>
                    </w14:srgbClr>
                  </w14:solidFill>
                </w14:textFill>
              </w:rPr>
              <w:t>|</w:t>
            </w:r>
          </w:p>
        </w:tc>
      </w:tr>
      <w:tr w:rsidR="001518D9" w:rsidRPr="000B52C6" w14:paraId="7AB5FBDF" w14:textId="77777777" w:rsidTr="00993BE0">
        <w:tc>
          <w:tcPr>
            <w:tcW w:w="2277" w:type="pct"/>
            <w:vAlign w:val="center"/>
          </w:tcPr>
          <w:p w14:paraId="3AEE3167" w14:textId="77777777" w:rsidR="001518D9" w:rsidRPr="000B52C6" w:rsidRDefault="001518D9" w:rsidP="00513E25">
            <w:pPr>
              <w:keepNext/>
              <w:ind w:left="-40" w:right="-100" w:firstLine="14"/>
              <w:jc w:val="left"/>
              <w:rPr>
                <w:rFonts w:ascii="Arial Narrow" w:eastAsiaTheme="majorEastAsia" w:hAnsi="Arial Narrow" w:cs="Times New Roman"/>
                <w:iCs/>
                <w:sz w:val="20"/>
              </w:rPr>
            </w:pPr>
            <w:r w:rsidRPr="000B52C6">
              <w:rPr>
                <w:rFonts w:ascii="Arial Narrow" w:eastAsiaTheme="majorEastAsia" w:hAnsi="Arial Narrow" w:cs="Times New Roman"/>
                <w:iCs/>
                <w:sz w:val="20"/>
              </w:rPr>
              <w:t>Cd utilisation; 50% Cd 56/20 mg/m</w:t>
            </w:r>
            <w:proofErr w:type="gramStart"/>
            <w:r w:rsidRPr="000B52C6">
              <w:rPr>
                <w:rFonts w:ascii="Arial Narrow" w:eastAsiaTheme="majorEastAsia" w:hAnsi="Arial Narrow" w:cs="Times New Roman"/>
                <w:iCs/>
                <w:sz w:val="20"/>
                <w:vertAlign w:val="superscript"/>
              </w:rPr>
              <w:t>2</w:t>
            </w:r>
            <w:r w:rsidRPr="000B52C6">
              <w:rPr>
                <w:rFonts w:ascii="Arial Narrow" w:eastAsiaTheme="majorEastAsia" w:hAnsi="Arial Narrow" w:cs="Times New Roman"/>
                <w:iCs/>
                <w:sz w:val="20"/>
              </w:rPr>
              <w:t>)</w:t>
            </w:r>
            <w:r w:rsidRPr="000B52C6">
              <w:rPr>
                <w:rFonts w:ascii="Arial Narrow" w:eastAsiaTheme="majorEastAsia" w:hAnsi="Arial Narrow" w:cs="Times New Roman"/>
                <w:iCs/>
                <w:sz w:val="20"/>
                <w:vertAlign w:val="superscript"/>
              </w:rPr>
              <w:t>b</w:t>
            </w:r>
            <w:proofErr w:type="gramEnd"/>
            <w:r w:rsidRPr="000B52C6">
              <w:rPr>
                <w:rFonts w:ascii="Arial Narrow" w:eastAsiaTheme="majorEastAsia" w:hAnsi="Arial Narrow" w:cs="Times New Roman"/>
                <w:iCs/>
                <w:sz w:val="20"/>
                <w:vertAlign w:val="superscript"/>
              </w:rPr>
              <w:t xml:space="preserve">, </w:t>
            </w:r>
            <w:r w:rsidRPr="000B52C6">
              <w:rPr>
                <w:rFonts w:ascii="Arial Narrow" w:eastAsiaTheme="majorEastAsia" w:hAnsi="Arial Narrow" w:cs="Times New Roman"/>
                <w:iCs/>
                <w:sz w:val="20"/>
              </w:rPr>
              <w:t>50% Cd 70/20 mg/m</w:t>
            </w:r>
            <w:r w:rsidRPr="000B52C6">
              <w:rPr>
                <w:rFonts w:ascii="Arial Narrow" w:eastAsiaTheme="majorEastAsia" w:hAnsi="Arial Narrow" w:cs="Times New Roman"/>
                <w:iCs/>
                <w:sz w:val="20"/>
                <w:vertAlign w:val="superscript"/>
              </w:rPr>
              <w:t>2c</w:t>
            </w:r>
          </w:p>
        </w:tc>
        <w:tc>
          <w:tcPr>
            <w:tcW w:w="629" w:type="pct"/>
            <w:vAlign w:val="center"/>
          </w:tcPr>
          <w:p w14:paraId="5EEA0C5D" w14:textId="77777777" w:rsidR="001518D9" w:rsidRPr="000B52C6" w:rsidRDefault="001518D9" w:rsidP="00513E25">
            <w:pPr>
              <w:keepNext/>
              <w:ind w:right="-100" w:hanging="47"/>
              <w:jc w:val="center"/>
              <w:rPr>
                <w:rFonts w:ascii="Arial Narrow" w:eastAsiaTheme="majorEastAsia" w:hAnsi="Arial Narrow" w:cs="Times New Roman"/>
                <w:iCs/>
                <w:sz w:val="20"/>
              </w:rPr>
            </w:pPr>
            <w:r w:rsidRPr="000B52C6">
              <w:rPr>
                <w:rFonts w:ascii="Arial Narrow" w:eastAsiaTheme="majorEastAsia" w:hAnsi="Arial Narrow" w:cs="Times New Roman"/>
                <w:iCs/>
                <w:sz w:val="20"/>
              </w:rPr>
              <w:t>$137,823.50</w:t>
            </w:r>
          </w:p>
        </w:tc>
        <w:tc>
          <w:tcPr>
            <w:tcW w:w="628" w:type="pct"/>
            <w:vAlign w:val="center"/>
          </w:tcPr>
          <w:p w14:paraId="53E944B8" w14:textId="77777777" w:rsidR="001518D9" w:rsidRPr="000B52C6" w:rsidRDefault="001518D9" w:rsidP="00513E25">
            <w:pPr>
              <w:keepNext/>
              <w:ind w:right="-100" w:hanging="47"/>
              <w:jc w:val="center"/>
              <w:rPr>
                <w:rFonts w:ascii="Arial Narrow" w:eastAsiaTheme="majorEastAsia" w:hAnsi="Arial Narrow" w:cs="Times New Roman"/>
                <w:iCs/>
                <w:sz w:val="20"/>
              </w:rPr>
            </w:pPr>
            <w:r w:rsidRPr="000B52C6">
              <w:rPr>
                <w:rFonts w:ascii="Arial Narrow" w:eastAsiaTheme="majorEastAsia" w:hAnsi="Arial Narrow" w:cs="Times New Roman"/>
                <w:iCs/>
                <w:sz w:val="20"/>
              </w:rPr>
              <w:t>$19,981.79</w:t>
            </w:r>
          </w:p>
        </w:tc>
        <w:tc>
          <w:tcPr>
            <w:tcW w:w="708" w:type="pct"/>
            <w:vAlign w:val="center"/>
          </w:tcPr>
          <w:p w14:paraId="36FE2721" w14:textId="6C33F37C" w:rsidR="001518D9" w:rsidRPr="00D27599" w:rsidRDefault="001518D9" w:rsidP="00513E25">
            <w:pPr>
              <w:keepNext/>
              <w:ind w:right="-100" w:hanging="47"/>
              <w:jc w:val="center"/>
              <w:rPr>
                <w:rFonts w:ascii="Arial Narrow" w:eastAsiaTheme="majorEastAsia" w:hAnsi="Arial Narrow" w:cs="Times New Roman"/>
                <w:iCs/>
                <w:sz w:val="20"/>
                <w:highlight w:val="red"/>
              </w:rPr>
            </w:pPr>
            <w:r w:rsidRPr="00D27599">
              <w:rPr>
                <w:rFonts w:ascii="Arial Narrow" w:eastAsiaTheme="majorEastAsia" w:hAnsi="Arial Narrow" w:cs="Times New Roman"/>
                <w:iCs/>
                <w:sz w:val="20"/>
              </w:rPr>
              <w:t>$</w:t>
            </w:r>
            <w:r w:rsidR="00DB2D11" w:rsidRPr="00DB2D11">
              <w:rPr>
                <w:rFonts w:ascii="Arial Narrow" w:eastAsiaTheme="majorEastAsia" w:hAnsi="Arial Narrow" w:cs="Times New Roman" w:hint="eastAsia"/>
                <w:iCs/>
                <w:color w:val="000000"/>
                <w:w w:val="15"/>
                <w:sz w:val="20"/>
                <w:shd w:val="solid" w:color="000000" w:fill="000000"/>
                <w:fitText w:val="38" w:id="-1500846325"/>
                <w14:textFill>
                  <w14:solidFill>
                    <w14:srgbClr w14:val="000000">
                      <w14:alpha w14:val="100000"/>
                    </w14:srgbClr>
                  </w14:solidFill>
                </w14:textFill>
              </w:rPr>
              <w:t xml:space="preserve">　</w:t>
            </w:r>
            <w:r w:rsidR="00DB2D11" w:rsidRPr="00DB2D11">
              <w:rPr>
                <w:rFonts w:ascii="Arial Narrow" w:eastAsiaTheme="majorEastAsia" w:hAnsi="Arial Narrow" w:cs="Times New Roman"/>
                <w:iCs/>
                <w:color w:val="000000"/>
                <w:w w:val="15"/>
                <w:sz w:val="20"/>
                <w:shd w:val="solid" w:color="000000" w:fill="000000"/>
                <w:fitText w:val="38" w:id="-1500846325"/>
                <w14:textFill>
                  <w14:solidFill>
                    <w14:srgbClr w14:val="000000">
                      <w14:alpha w14:val="100000"/>
                    </w14:srgbClr>
                  </w14:solidFill>
                </w14:textFill>
              </w:rPr>
              <w:t>|</w:t>
            </w:r>
            <w:r w:rsidR="00DB2D11" w:rsidRPr="00DB2D11">
              <w:rPr>
                <w:rFonts w:ascii="Arial Narrow" w:eastAsiaTheme="majorEastAsia" w:hAnsi="Arial Narrow" w:cs="Times New Roman" w:hint="eastAsia"/>
                <w:iCs/>
                <w:color w:val="000000"/>
                <w:spacing w:val="-27"/>
                <w:w w:val="15"/>
                <w:sz w:val="20"/>
                <w:shd w:val="solid" w:color="000000" w:fill="000000"/>
                <w:fitText w:val="38" w:id="-1500846325"/>
                <w14:textFill>
                  <w14:solidFill>
                    <w14:srgbClr w14:val="000000">
                      <w14:alpha w14:val="100000"/>
                    </w14:srgbClr>
                  </w14:solidFill>
                </w14:textFill>
              </w:rPr>
              <w:t xml:space="preserve">　</w:t>
            </w:r>
          </w:p>
        </w:tc>
        <w:tc>
          <w:tcPr>
            <w:tcW w:w="758" w:type="pct"/>
            <w:vAlign w:val="center"/>
          </w:tcPr>
          <w:p w14:paraId="4F2FE020" w14:textId="50E58FFE" w:rsidR="001518D9" w:rsidRPr="00D27599" w:rsidRDefault="001518D9" w:rsidP="00513E25">
            <w:pPr>
              <w:keepNext/>
              <w:ind w:right="-100" w:hanging="47"/>
              <w:jc w:val="center"/>
              <w:rPr>
                <w:rFonts w:ascii="Arial Narrow" w:eastAsiaTheme="majorEastAsia" w:hAnsi="Arial Narrow" w:cs="Times New Roman"/>
                <w:iCs/>
                <w:sz w:val="20"/>
                <w:highlight w:val="red"/>
              </w:rPr>
            </w:pPr>
            <w:r w:rsidRPr="00D27599">
              <w:rPr>
                <w:rFonts w:ascii="Arial Narrow" w:eastAsiaTheme="majorEastAsia" w:hAnsi="Arial Narrow" w:cs="Times New Roman"/>
                <w:iCs/>
                <w:sz w:val="20"/>
              </w:rPr>
              <w:t>$</w:t>
            </w:r>
            <w:r w:rsidR="00DB2D11" w:rsidRPr="00DB2D11">
              <w:rPr>
                <w:rFonts w:ascii="Arial Narrow" w:eastAsiaTheme="majorEastAsia" w:hAnsi="Arial Narrow" w:cs="Times New Roman"/>
                <w:iCs/>
                <w:color w:val="000000"/>
                <w:sz w:val="20"/>
                <w:shd w:val="solid" w:color="000000" w:fill="000000"/>
                <w14:textFill>
                  <w14:solidFill>
                    <w14:srgbClr w14:val="000000">
                      <w14:alpha w14:val="100000"/>
                    </w14:srgbClr>
                  </w14:solidFill>
                </w14:textFill>
              </w:rPr>
              <w:t>|</w:t>
            </w:r>
          </w:p>
        </w:tc>
      </w:tr>
      <w:tr w:rsidR="001518D9" w:rsidRPr="000B52C6" w14:paraId="6A0468D2" w14:textId="77777777" w:rsidTr="00993BE0">
        <w:tc>
          <w:tcPr>
            <w:tcW w:w="2277" w:type="pct"/>
            <w:vAlign w:val="center"/>
          </w:tcPr>
          <w:p w14:paraId="545BC074" w14:textId="77777777" w:rsidR="001518D9" w:rsidRPr="000B52C6" w:rsidRDefault="001518D9" w:rsidP="00513E25">
            <w:pPr>
              <w:keepNext/>
              <w:ind w:left="-40" w:right="-100" w:firstLine="14"/>
              <w:jc w:val="left"/>
              <w:rPr>
                <w:rFonts w:ascii="Arial Narrow" w:eastAsiaTheme="majorEastAsia" w:hAnsi="Arial Narrow" w:cs="Times New Roman"/>
                <w:iCs/>
                <w:sz w:val="20"/>
              </w:rPr>
            </w:pPr>
            <w:r w:rsidRPr="000B52C6">
              <w:rPr>
                <w:rFonts w:ascii="Arial Narrow" w:eastAsiaTheme="majorEastAsia" w:hAnsi="Arial Narrow" w:cs="Times New Roman"/>
                <w:iCs/>
                <w:sz w:val="20"/>
              </w:rPr>
              <w:t>Cd utilisation; 20% Cd 56/20 mg/m</w:t>
            </w:r>
            <w:proofErr w:type="gramStart"/>
            <w:r w:rsidRPr="000B52C6">
              <w:rPr>
                <w:rFonts w:ascii="Arial Narrow" w:eastAsiaTheme="majorEastAsia" w:hAnsi="Arial Narrow" w:cs="Times New Roman"/>
                <w:iCs/>
                <w:sz w:val="20"/>
                <w:vertAlign w:val="superscript"/>
              </w:rPr>
              <w:t>2</w:t>
            </w:r>
            <w:r w:rsidRPr="000B52C6">
              <w:rPr>
                <w:rFonts w:ascii="Arial Narrow" w:eastAsiaTheme="majorEastAsia" w:hAnsi="Arial Narrow" w:cs="Times New Roman"/>
                <w:iCs/>
                <w:sz w:val="20"/>
              </w:rPr>
              <w:t>)</w:t>
            </w:r>
            <w:r w:rsidRPr="000B52C6">
              <w:rPr>
                <w:rFonts w:ascii="Arial Narrow" w:eastAsiaTheme="majorEastAsia" w:hAnsi="Arial Narrow" w:cs="Times New Roman"/>
                <w:iCs/>
                <w:sz w:val="20"/>
                <w:vertAlign w:val="superscript"/>
              </w:rPr>
              <w:t>b</w:t>
            </w:r>
            <w:proofErr w:type="gramEnd"/>
            <w:r w:rsidRPr="000B52C6">
              <w:rPr>
                <w:rFonts w:ascii="Arial Narrow" w:eastAsiaTheme="majorEastAsia" w:hAnsi="Arial Narrow" w:cs="Times New Roman"/>
                <w:iCs/>
                <w:sz w:val="20"/>
                <w:vertAlign w:val="superscript"/>
              </w:rPr>
              <w:t xml:space="preserve">, </w:t>
            </w:r>
            <w:r w:rsidRPr="000B52C6">
              <w:rPr>
                <w:rFonts w:ascii="Arial Narrow" w:eastAsiaTheme="majorEastAsia" w:hAnsi="Arial Narrow" w:cs="Times New Roman"/>
                <w:iCs/>
                <w:sz w:val="20"/>
              </w:rPr>
              <w:t>80% Cd 70/20 mg/m</w:t>
            </w:r>
            <w:r w:rsidRPr="000B52C6">
              <w:rPr>
                <w:rFonts w:ascii="Arial Narrow" w:eastAsiaTheme="majorEastAsia" w:hAnsi="Arial Narrow" w:cs="Times New Roman"/>
                <w:iCs/>
                <w:sz w:val="20"/>
                <w:vertAlign w:val="superscript"/>
              </w:rPr>
              <w:t>2c</w:t>
            </w:r>
          </w:p>
        </w:tc>
        <w:tc>
          <w:tcPr>
            <w:tcW w:w="629" w:type="pct"/>
            <w:vAlign w:val="center"/>
          </w:tcPr>
          <w:p w14:paraId="5EF2F4B6" w14:textId="77777777" w:rsidR="001518D9" w:rsidRPr="000B52C6" w:rsidRDefault="001518D9" w:rsidP="00513E25">
            <w:pPr>
              <w:keepNext/>
              <w:ind w:right="-100" w:hanging="47"/>
              <w:jc w:val="center"/>
              <w:rPr>
                <w:rFonts w:ascii="Arial Narrow" w:eastAsiaTheme="majorEastAsia" w:hAnsi="Arial Narrow" w:cs="Times New Roman"/>
                <w:iCs/>
                <w:sz w:val="20"/>
              </w:rPr>
            </w:pPr>
            <w:r w:rsidRPr="000B52C6">
              <w:rPr>
                <w:rFonts w:ascii="Arial Narrow" w:eastAsiaTheme="majorEastAsia" w:hAnsi="Arial Narrow" w:cs="Times New Roman"/>
                <w:iCs/>
                <w:sz w:val="20"/>
              </w:rPr>
              <w:t>$148,651.81</w:t>
            </w:r>
          </w:p>
        </w:tc>
        <w:tc>
          <w:tcPr>
            <w:tcW w:w="628" w:type="pct"/>
            <w:vAlign w:val="center"/>
          </w:tcPr>
          <w:p w14:paraId="29A2CA67" w14:textId="77777777" w:rsidR="001518D9" w:rsidRPr="000B52C6" w:rsidRDefault="001518D9" w:rsidP="00513E25">
            <w:pPr>
              <w:keepNext/>
              <w:ind w:right="-100" w:hanging="47"/>
              <w:jc w:val="center"/>
              <w:rPr>
                <w:rFonts w:ascii="Arial Narrow" w:eastAsiaTheme="majorEastAsia" w:hAnsi="Arial Narrow" w:cs="Times New Roman"/>
                <w:iCs/>
                <w:sz w:val="20"/>
              </w:rPr>
            </w:pPr>
            <w:r w:rsidRPr="000B52C6">
              <w:rPr>
                <w:rFonts w:ascii="Arial Narrow" w:eastAsiaTheme="majorEastAsia" w:hAnsi="Arial Narrow" w:cs="Times New Roman"/>
                <w:iCs/>
                <w:sz w:val="20"/>
              </w:rPr>
              <w:t>$19,981.79</w:t>
            </w:r>
          </w:p>
        </w:tc>
        <w:tc>
          <w:tcPr>
            <w:tcW w:w="708" w:type="pct"/>
            <w:vAlign w:val="center"/>
          </w:tcPr>
          <w:p w14:paraId="653B948D" w14:textId="0C78745E" w:rsidR="001518D9" w:rsidRPr="00D27599" w:rsidRDefault="001518D9" w:rsidP="00513E25">
            <w:pPr>
              <w:keepNext/>
              <w:ind w:right="-100" w:hanging="47"/>
              <w:jc w:val="center"/>
              <w:rPr>
                <w:rFonts w:ascii="Arial Narrow" w:eastAsiaTheme="majorEastAsia" w:hAnsi="Arial Narrow" w:cs="Times New Roman"/>
                <w:iCs/>
                <w:sz w:val="20"/>
                <w:highlight w:val="red"/>
              </w:rPr>
            </w:pPr>
            <w:r w:rsidRPr="00D27599">
              <w:rPr>
                <w:rFonts w:ascii="Arial Narrow" w:eastAsiaTheme="majorEastAsia" w:hAnsi="Arial Narrow" w:cs="Times New Roman"/>
                <w:iCs/>
                <w:sz w:val="20"/>
              </w:rPr>
              <w:t>$</w:t>
            </w:r>
            <w:r w:rsidR="00DB2D11" w:rsidRPr="00DB2D11">
              <w:rPr>
                <w:rFonts w:ascii="Arial Narrow" w:eastAsiaTheme="majorEastAsia" w:hAnsi="Arial Narrow" w:cs="Times New Roman" w:hint="eastAsia"/>
                <w:iCs/>
                <w:color w:val="000000"/>
                <w:w w:val="15"/>
                <w:sz w:val="20"/>
                <w:shd w:val="solid" w:color="000000" w:fill="000000"/>
                <w:fitText w:val="38" w:id="-1500846324"/>
                <w14:textFill>
                  <w14:solidFill>
                    <w14:srgbClr w14:val="000000">
                      <w14:alpha w14:val="100000"/>
                    </w14:srgbClr>
                  </w14:solidFill>
                </w14:textFill>
              </w:rPr>
              <w:t xml:space="preserve">　</w:t>
            </w:r>
            <w:r w:rsidR="00DB2D11" w:rsidRPr="00DB2D11">
              <w:rPr>
                <w:rFonts w:ascii="Arial Narrow" w:eastAsiaTheme="majorEastAsia" w:hAnsi="Arial Narrow" w:cs="Times New Roman"/>
                <w:iCs/>
                <w:color w:val="000000"/>
                <w:w w:val="15"/>
                <w:sz w:val="20"/>
                <w:shd w:val="solid" w:color="000000" w:fill="000000"/>
                <w:fitText w:val="38" w:id="-1500846324"/>
                <w14:textFill>
                  <w14:solidFill>
                    <w14:srgbClr w14:val="000000">
                      <w14:alpha w14:val="100000"/>
                    </w14:srgbClr>
                  </w14:solidFill>
                </w14:textFill>
              </w:rPr>
              <w:t>|</w:t>
            </w:r>
            <w:r w:rsidR="00DB2D11" w:rsidRPr="00DB2D11">
              <w:rPr>
                <w:rFonts w:ascii="Arial Narrow" w:eastAsiaTheme="majorEastAsia" w:hAnsi="Arial Narrow" w:cs="Times New Roman" w:hint="eastAsia"/>
                <w:iCs/>
                <w:color w:val="000000"/>
                <w:spacing w:val="-27"/>
                <w:w w:val="15"/>
                <w:sz w:val="20"/>
                <w:shd w:val="solid" w:color="000000" w:fill="000000"/>
                <w:fitText w:val="38" w:id="-1500846324"/>
                <w14:textFill>
                  <w14:solidFill>
                    <w14:srgbClr w14:val="000000">
                      <w14:alpha w14:val="100000"/>
                    </w14:srgbClr>
                  </w14:solidFill>
                </w14:textFill>
              </w:rPr>
              <w:t xml:space="preserve">　</w:t>
            </w:r>
          </w:p>
        </w:tc>
        <w:tc>
          <w:tcPr>
            <w:tcW w:w="758" w:type="pct"/>
            <w:vAlign w:val="center"/>
          </w:tcPr>
          <w:p w14:paraId="39BEDBD6" w14:textId="1530EC52" w:rsidR="001518D9" w:rsidRPr="00D27599" w:rsidRDefault="001518D9" w:rsidP="00513E25">
            <w:pPr>
              <w:keepNext/>
              <w:ind w:right="-100" w:hanging="47"/>
              <w:jc w:val="center"/>
              <w:rPr>
                <w:rFonts w:ascii="Arial Narrow" w:eastAsiaTheme="majorEastAsia" w:hAnsi="Arial Narrow" w:cs="Times New Roman"/>
                <w:iCs/>
                <w:sz w:val="20"/>
                <w:highlight w:val="red"/>
              </w:rPr>
            </w:pPr>
            <w:r w:rsidRPr="00D27599">
              <w:rPr>
                <w:rFonts w:ascii="Arial Narrow" w:eastAsiaTheme="majorEastAsia" w:hAnsi="Arial Narrow" w:cs="Times New Roman"/>
                <w:iCs/>
                <w:sz w:val="20"/>
              </w:rPr>
              <w:t>$</w:t>
            </w:r>
            <w:r w:rsidR="00DB2D11" w:rsidRPr="00DB2D11">
              <w:rPr>
                <w:rFonts w:ascii="Arial Narrow" w:eastAsiaTheme="majorEastAsia" w:hAnsi="Arial Narrow" w:cs="Times New Roman"/>
                <w:iCs/>
                <w:color w:val="000000"/>
                <w:sz w:val="20"/>
                <w:shd w:val="solid" w:color="000000" w:fill="000000"/>
                <w14:textFill>
                  <w14:solidFill>
                    <w14:srgbClr w14:val="000000">
                      <w14:alpha w14:val="100000"/>
                    </w14:srgbClr>
                  </w14:solidFill>
                </w14:textFill>
              </w:rPr>
              <w:t>|</w:t>
            </w:r>
          </w:p>
        </w:tc>
      </w:tr>
      <w:tr w:rsidR="001518D9" w:rsidRPr="000B52C6" w14:paraId="1821FFCD" w14:textId="77777777" w:rsidTr="00993BE0">
        <w:tc>
          <w:tcPr>
            <w:tcW w:w="2277" w:type="pct"/>
            <w:vAlign w:val="center"/>
          </w:tcPr>
          <w:p w14:paraId="28D3C4C7" w14:textId="77777777" w:rsidR="001518D9" w:rsidRPr="000B52C6" w:rsidRDefault="001518D9" w:rsidP="00513E25">
            <w:pPr>
              <w:keepNext/>
              <w:ind w:right="-100" w:hanging="47"/>
              <w:jc w:val="left"/>
              <w:rPr>
                <w:rFonts w:ascii="Arial Narrow" w:eastAsiaTheme="majorEastAsia" w:hAnsi="Arial Narrow" w:cs="Times New Roman"/>
                <w:iCs/>
                <w:sz w:val="20"/>
              </w:rPr>
            </w:pPr>
            <w:proofErr w:type="spellStart"/>
            <w:r w:rsidRPr="000B52C6">
              <w:rPr>
                <w:rFonts w:ascii="Arial Narrow" w:eastAsiaTheme="majorEastAsia" w:hAnsi="Arial Narrow" w:cs="Times New Roman"/>
                <w:iCs/>
                <w:sz w:val="20"/>
              </w:rPr>
              <w:t>SBd</w:t>
            </w:r>
            <w:proofErr w:type="spellEnd"/>
            <w:r w:rsidRPr="000B52C6">
              <w:rPr>
                <w:rFonts w:ascii="Arial Narrow" w:eastAsiaTheme="majorEastAsia" w:hAnsi="Arial Narrow" w:cs="Times New Roman"/>
                <w:iCs/>
                <w:sz w:val="20"/>
              </w:rPr>
              <w:t xml:space="preserve"> utilisation (80</w:t>
            </w:r>
            <w:proofErr w:type="gramStart"/>
            <w:r w:rsidRPr="000B52C6">
              <w:rPr>
                <w:rFonts w:ascii="Arial Narrow" w:eastAsiaTheme="majorEastAsia" w:hAnsi="Arial Narrow" w:cs="Times New Roman"/>
                <w:iCs/>
                <w:sz w:val="20"/>
              </w:rPr>
              <w:t>%)</w:t>
            </w:r>
            <w:r w:rsidRPr="000B52C6">
              <w:rPr>
                <w:rFonts w:ascii="Arial Narrow" w:eastAsiaTheme="majorEastAsia" w:hAnsi="Arial Narrow" w:cs="Times New Roman"/>
                <w:iCs/>
                <w:sz w:val="20"/>
                <w:vertAlign w:val="superscript"/>
              </w:rPr>
              <w:t>d</w:t>
            </w:r>
            <w:proofErr w:type="gramEnd"/>
          </w:p>
        </w:tc>
        <w:tc>
          <w:tcPr>
            <w:tcW w:w="629" w:type="pct"/>
            <w:vAlign w:val="center"/>
          </w:tcPr>
          <w:p w14:paraId="5F30C874" w14:textId="77777777" w:rsidR="001518D9" w:rsidRPr="000B52C6" w:rsidRDefault="001518D9" w:rsidP="00513E25">
            <w:pPr>
              <w:keepNext/>
              <w:ind w:right="-100" w:hanging="47"/>
              <w:jc w:val="center"/>
              <w:rPr>
                <w:rFonts w:ascii="Arial Narrow" w:eastAsiaTheme="majorEastAsia" w:hAnsi="Arial Narrow" w:cs="Times New Roman"/>
                <w:iCs/>
                <w:sz w:val="20"/>
              </w:rPr>
            </w:pPr>
            <w:r w:rsidRPr="000B52C6">
              <w:rPr>
                <w:rFonts w:ascii="Arial Narrow" w:eastAsiaTheme="majorEastAsia" w:hAnsi="Arial Narrow" w:cs="Times New Roman"/>
                <w:sz w:val="20"/>
              </w:rPr>
              <w:t>$162,240.02</w:t>
            </w:r>
          </w:p>
        </w:tc>
        <w:tc>
          <w:tcPr>
            <w:tcW w:w="628" w:type="pct"/>
            <w:vAlign w:val="center"/>
          </w:tcPr>
          <w:p w14:paraId="6D86F2E3" w14:textId="77777777" w:rsidR="001518D9" w:rsidRPr="000B52C6" w:rsidRDefault="001518D9" w:rsidP="00513E25">
            <w:pPr>
              <w:keepNext/>
              <w:ind w:right="-100" w:hanging="47"/>
              <w:jc w:val="center"/>
              <w:rPr>
                <w:rFonts w:ascii="Arial Narrow" w:eastAsiaTheme="majorEastAsia" w:hAnsi="Arial Narrow" w:cs="Times New Roman"/>
                <w:iCs/>
                <w:sz w:val="20"/>
              </w:rPr>
            </w:pPr>
            <w:r w:rsidRPr="000B52C6">
              <w:rPr>
                <w:rFonts w:ascii="Arial Narrow" w:eastAsiaTheme="majorEastAsia" w:hAnsi="Arial Narrow" w:cs="Times New Roman"/>
                <w:iCs/>
                <w:sz w:val="20"/>
              </w:rPr>
              <w:t>$19,981.79</w:t>
            </w:r>
          </w:p>
        </w:tc>
        <w:tc>
          <w:tcPr>
            <w:tcW w:w="708" w:type="pct"/>
            <w:vAlign w:val="center"/>
          </w:tcPr>
          <w:p w14:paraId="6D20EC1E" w14:textId="66A83C2C" w:rsidR="001518D9" w:rsidRPr="00D27599" w:rsidRDefault="001518D9" w:rsidP="00513E25">
            <w:pPr>
              <w:keepNext/>
              <w:ind w:right="-100" w:hanging="47"/>
              <w:jc w:val="center"/>
              <w:rPr>
                <w:rFonts w:ascii="Arial Narrow" w:eastAsiaTheme="majorEastAsia" w:hAnsi="Arial Narrow" w:cs="Times New Roman"/>
                <w:iCs/>
                <w:sz w:val="20"/>
                <w:highlight w:val="red"/>
              </w:rPr>
            </w:pPr>
            <w:r w:rsidRPr="00D27599">
              <w:rPr>
                <w:rFonts w:ascii="Arial Narrow" w:eastAsiaTheme="majorEastAsia" w:hAnsi="Arial Narrow" w:cs="Times New Roman"/>
                <w:iCs/>
                <w:sz w:val="20"/>
              </w:rPr>
              <w:t>$</w:t>
            </w:r>
            <w:r w:rsidR="00DB2D11" w:rsidRPr="00DB2D11">
              <w:rPr>
                <w:rFonts w:ascii="Arial Narrow" w:eastAsiaTheme="majorEastAsia" w:hAnsi="Arial Narrow" w:cs="Times New Roman" w:hint="eastAsia"/>
                <w:iCs/>
                <w:color w:val="000000"/>
                <w:w w:val="15"/>
                <w:sz w:val="20"/>
                <w:shd w:val="solid" w:color="000000" w:fill="000000"/>
                <w:fitText w:val="38" w:id="-1500846323"/>
                <w14:textFill>
                  <w14:solidFill>
                    <w14:srgbClr w14:val="000000">
                      <w14:alpha w14:val="100000"/>
                    </w14:srgbClr>
                  </w14:solidFill>
                </w14:textFill>
              </w:rPr>
              <w:t xml:space="preserve">　</w:t>
            </w:r>
            <w:r w:rsidR="00DB2D11" w:rsidRPr="00DB2D11">
              <w:rPr>
                <w:rFonts w:ascii="Arial Narrow" w:eastAsiaTheme="majorEastAsia" w:hAnsi="Arial Narrow" w:cs="Times New Roman"/>
                <w:iCs/>
                <w:color w:val="000000"/>
                <w:w w:val="15"/>
                <w:sz w:val="20"/>
                <w:shd w:val="solid" w:color="000000" w:fill="000000"/>
                <w:fitText w:val="38" w:id="-1500846323"/>
                <w14:textFill>
                  <w14:solidFill>
                    <w14:srgbClr w14:val="000000">
                      <w14:alpha w14:val="100000"/>
                    </w14:srgbClr>
                  </w14:solidFill>
                </w14:textFill>
              </w:rPr>
              <w:t>|</w:t>
            </w:r>
            <w:r w:rsidR="00DB2D11" w:rsidRPr="00DB2D11">
              <w:rPr>
                <w:rFonts w:ascii="Arial Narrow" w:eastAsiaTheme="majorEastAsia" w:hAnsi="Arial Narrow" w:cs="Times New Roman" w:hint="eastAsia"/>
                <w:iCs/>
                <w:color w:val="000000"/>
                <w:spacing w:val="-27"/>
                <w:w w:val="15"/>
                <w:sz w:val="20"/>
                <w:shd w:val="solid" w:color="000000" w:fill="000000"/>
                <w:fitText w:val="38" w:id="-1500846323"/>
                <w14:textFill>
                  <w14:solidFill>
                    <w14:srgbClr w14:val="000000">
                      <w14:alpha w14:val="100000"/>
                    </w14:srgbClr>
                  </w14:solidFill>
                </w14:textFill>
              </w:rPr>
              <w:t xml:space="preserve">　</w:t>
            </w:r>
          </w:p>
        </w:tc>
        <w:tc>
          <w:tcPr>
            <w:tcW w:w="758" w:type="pct"/>
            <w:vAlign w:val="center"/>
          </w:tcPr>
          <w:p w14:paraId="230F2C44" w14:textId="002672F3" w:rsidR="001518D9" w:rsidRPr="00D27599" w:rsidRDefault="001518D9" w:rsidP="00513E25">
            <w:pPr>
              <w:keepNext/>
              <w:ind w:right="-100" w:hanging="47"/>
              <w:jc w:val="center"/>
              <w:rPr>
                <w:rFonts w:ascii="Arial Narrow" w:eastAsiaTheme="majorEastAsia" w:hAnsi="Arial Narrow" w:cs="Times New Roman"/>
                <w:iCs/>
                <w:sz w:val="20"/>
                <w:highlight w:val="red"/>
              </w:rPr>
            </w:pPr>
            <w:r w:rsidRPr="00D27599">
              <w:rPr>
                <w:rFonts w:ascii="Arial Narrow" w:eastAsiaTheme="majorEastAsia" w:hAnsi="Arial Narrow" w:cs="Times New Roman"/>
                <w:iCs/>
                <w:sz w:val="20"/>
              </w:rPr>
              <w:t>$</w:t>
            </w:r>
            <w:r w:rsidR="00DB2D11" w:rsidRPr="00DB2D11">
              <w:rPr>
                <w:rFonts w:ascii="Arial Narrow" w:eastAsiaTheme="majorEastAsia" w:hAnsi="Arial Narrow" w:cs="Times New Roman"/>
                <w:iCs/>
                <w:color w:val="000000"/>
                <w:sz w:val="20"/>
                <w:shd w:val="solid" w:color="000000" w:fill="000000"/>
                <w14:textFill>
                  <w14:solidFill>
                    <w14:srgbClr w14:val="000000">
                      <w14:alpha w14:val="100000"/>
                    </w14:srgbClr>
                  </w14:solidFill>
                </w14:textFill>
              </w:rPr>
              <w:t>|</w:t>
            </w:r>
          </w:p>
        </w:tc>
      </w:tr>
      <w:tr w:rsidR="001518D9" w:rsidRPr="000B52C6" w14:paraId="005DA81A" w14:textId="77777777" w:rsidTr="00993BE0">
        <w:tc>
          <w:tcPr>
            <w:tcW w:w="2277" w:type="pct"/>
            <w:vAlign w:val="center"/>
          </w:tcPr>
          <w:p w14:paraId="3B5414DA" w14:textId="44596250" w:rsidR="001518D9" w:rsidRPr="000B52C6" w:rsidRDefault="001518D9" w:rsidP="00513E25">
            <w:pPr>
              <w:keepNext/>
              <w:ind w:right="-100" w:hanging="47"/>
              <w:jc w:val="left"/>
              <w:rPr>
                <w:rFonts w:ascii="Arial Narrow" w:eastAsiaTheme="majorEastAsia" w:hAnsi="Arial Narrow" w:cs="Times New Roman"/>
                <w:iCs/>
                <w:sz w:val="20"/>
              </w:rPr>
            </w:pPr>
            <w:r w:rsidRPr="000B52C6">
              <w:rPr>
                <w:rFonts w:ascii="Arial Narrow" w:eastAsiaTheme="majorEastAsia" w:hAnsi="Arial Narrow" w:cs="Times New Roman"/>
                <w:iCs/>
                <w:sz w:val="20"/>
              </w:rPr>
              <w:t xml:space="preserve">Cost of </w:t>
            </w:r>
            <w:r w:rsidR="00FB14BB" w:rsidRPr="000B52C6">
              <w:rPr>
                <w:rFonts w:ascii="Arial Narrow" w:eastAsiaTheme="majorEastAsia" w:hAnsi="Arial Narrow" w:cs="Times New Roman"/>
                <w:iCs/>
                <w:sz w:val="20"/>
              </w:rPr>
              <w:t>diarrhoea</w:t>
            </w:r>
            <w:r w:rsidRPr="000B52C6">
              <w:rPr>
                <w:rFonts w:ascii="Arial Narrow" w:eastAsiaTheme="majorEastAsia" w:hAnsi="Arial Narrow" w:cs="Times New Roman"/>
                <w:iCs/>
                <w:sz w:val="20"/>
              </w:rPr>
              <w:t xml:space="preserve"> and fatigue (included)</w:t>
            </w:r>
          </w:p>
        </w:tc>
        <w:tc>
          <w:tcPr>
            <w:tcW w:w="629" w:type="pct"/>
            <w:vAlign w:val="center"/>
          </w:tcPr>
          <w:p w14:paraId="23B0C225" w14:textId="77777777" w:rsidR="001518D9" w:rsidRPr="000B52C6" w:rsidRDefault="001518D9" w:rsidP="00513E25">
            <w:pPr>
              <w:keepNext/>
              <w:ind w:right="-100" w:hanging="47"/>
              <w:jc w:val="center"/>
              <w:rPr>
                <w:rFonts w:ascii="Arial Narrow" w:eastAsiaTheme="majorEastAsia" w:hAnsi="Arial Narrow" w:cs="Times New Roman"/>
                <w:iCs/>
                <w:sz w:val="20"/>
              </w:rPr>
            </w:pPr>
            <w:r w:rsidRPr="000B52C6">
              <w:rPr>
                <w:rFonts w:ascii="Arial Narrow" w:eastAsiaTheme="majorEastAsia" w:hAnsi="Arial Narrow" w:cs="Times New Roman"/>
                <w:iCs/>
                <w:sz w:val="20"/>
              </w:rPr>
              <w:t>$162,240.02</w:t>
            </w:r>
          </w:p>
        </w:tc>
        <w:tc>
          <w:tcPr>
            <w:tcW w:w="628" w:type="pct"/>
            <w:vAlign w:val="center"/>
          </w:tcPr>
          <w:p w14:paraId="4F14BBD7" w14:textId="77777777" w:rsidR="001518D9" w:rsidRPr="000B52C6" w:rsidRDefault="001518D9" w:rsidP="00513E25">
            <w:pPr>
              <w:keepNext/>
              <w:ind w:right="-100" w:hanging="47"/>
              <w:jc w:val="center"/>
              <w:rPr>
                <w:rFonts w:ascii="Arial Narrow" w:eastAsiaTheme="majorEastAsia" w:hAnsi="Arial Narrow" w:cs="Times New Roman"/>
                <w:iCs/>
                <w:sz w:val="20"/>
              </w:rPr>
            </w:pPr>
            <w:r w:rsidRPr="000B52C6">
              <w:rPr>
                <w:rFonts w:ascii="Arial Narrow" w:eastAsiaTheme="majorEastAsia" w:hAnsi="Arial Narrow" w:cs="Times New Roman"/>
                <w:iCs/>
                <w:sz w:val="20"/>
              </w:rPr>
              <w:t>$19,981.79</w:t>
            </w:r>
          </w:p>
        </w:tc>
        <w:tc>
          <w:tcPr>
            <w:tcW w:w="708" w:type="pct"/>
            <w:vAlign w:val="center"/>
          </w:tcPr>
          <w:p w14:paraId="6976FBFF" w14:textId="3AA5FB6C" w:rsidR="001518D9" w:rsidRPr="00D27599" w:rsidRDefault="001518D9" w:rsidP="00513E25">
            <w:pPr>
              <w:keepNext/>
              <w:ind w:right="-100" w:hanging="47"/>
              <w:jc w:val="center"/>
              <w:rPr>
                <w:rFonts w:ascii="Arial Narrow" w:eastAsiaTheme="majorEastAsia" w:hAnsi="Arial Narrow" w:cs="Times New Roman"/>
                <w:iCs/>
                <w:sz w:val="20"/>
                <w:highlight w:val="red"/>
              </w:rPr>
            </w:pPr>
            <w:r w:rsidRPr="00D27599">
              <w:rPr>
                <w:rFonts w:ascii="Arial Narrow" w:eastAsiaTheme="majorEastAsia" w:hAnsi="Arial Narrow" w:cs="Times New Roman"/>
                <w:iCs/>
                <w:sz w:val="20"/>
              </w:rPr>
              <w:t>$</w:t>
            </w:r>
            <w:r w:rsidR="00DB2D11" w:rsidRPr="00DB2D11">
              <w:rPr>
                <w:rFonts w:ascii="Arial Narrow" w:eastAsiaTheme="majorEastAsia" w:hAnsi="Arial Narrow" w:cs="Times New Roman" w:hint="eastAsia"/>
                <w:iCs/>
                <w:color w:val="000000"/>
                <w:w w:val="15"/>
                <w:sz w:val="20"/>
                <w:shd w:val="solid" w:color="000000" w:fill="000000"/>
                <w:fitText w:val="38" w:id="-1500846322"/>
                <w14:textFill>
                  <w14:solidFill>
                    <w14:srgbClr w14:val="000000">
                      <w14:alpha w14:val="100000"/>
                    </w14:srgbClr>
                  </w14:solidFill>
                </w14:textFill>
              </w:rPr>
              <w:t xml:space="preserve">　</w:t>
            </w:r>
            <w:r w:rsidR="00DB2D11" w:rsidRPr="00DB2D11">
              <w:rPr>
                <w:rFonts w:ascii="Arial Narrow" w:eastAsiaTheme="majorEastAsia" w:hAnsi="Arial Narrow" w:cs="Times New Roman"/>
                <w:iCs/>
                <w:color w:val="000000"/>
                <w:w w:val="15"/>
                <w:sz w:val="20"/>
                <w:shd w:val="solid" w:color="000000" w:fill="000000"/>
                <w:fitText w:val="38" w:id="-1500846322"/>
                <w14:textFill>
                  <w14:solidFill>
                    <w14:srgbClr w14:val="000000">
                      <w14:alpha w14:val="100000"/>
                    </w14:srgbClr>
                  </w14:solidFill>
                </w14:textFill>
              </w:rPr>
              <w:t>|</w:t>
            </w:r>
            <w:r w:rsidR="00DB2D11" w:rsidRPr="00DB2D11">
              <w:rPr>
                <w:rFonts w:ascii="Arial Narrow" w:eastAsiaTheme="majorEastAsia" w:hAnsi="Arial Narrow" w:cs="Times New Roman" w:hint="eastAsia"/>
                <w:iCs/>
                <w:color w:val="000000"/>
                <w:spacing w:val="-27"/>
                <w:w w:val="15"/>
                <w:sz w:val="20"/>
                <w:shd w:val="solid" w:color="000000" w:fill="000000"/>
                <w:fitText w:val="38" w:id="-1500846322"/>
                <w14:textFill>
                  <w14:solidFill>
                    <w14:srgbClr w14:val="000000">
                      <w14:alpha w14:val="100000"/>
                    </w14:srgbClr>
                  </w14:solidFill>
                </w14:textFill>
              </w:rPr>
              <w:t xml:space="preserve">　</w:t>
            </w:r>
          </w:p>
        </w:tc>
        <w:tc>
          <w:tcPr>
            <w:tcW w:w="758" w:type="pct"/>
            <w:vAlign w:val="center"/>
          </w:tcPr>
          <w:p w14:paraId="14AE5E20" w14:textId="5E136C58" w:rsidR="001518D9" w:rsidRPr="00D27599" w:rsidRDefault="001518D9" w:rsidP="00513E25">
            <w:pPr>
              <w:keepNext/>
              <w:ind w:right="-100" w:hanging="47"/>
              <w:jc w:val="center"/>
              <w:rPr>
                <w:rFonts w:ascii="Arial Narrow" w:eastAsiaTheme="majorEastAsia" w:hAnsi="Arial Narrow" w:cs="Times New Roman"/>
                <w:iCs/>
                <w:sz w:val="20"/>
                <w:highlight w:val="red"/>
              </w:rPr>
            </w:pPr>
            <w:r w:rsidRPr="00D27599">
              <w:rPr>
                <w:rFonts w:ascii="Arial Narrow" w:eastAsiaTheme="majorEastAsia" w:hAnsi="Arial Narrow" w:cs="Times New Roman"/>
                <w:iCs/>
                <w:sz w:val="20"/>
              </w:rPr>
              <w:t>$</w:t>
            </w:r>
            <w:r w:rsidR="00DB2D11" w:rsidRPr="00DB2D11">
              <w:rPr>
                <w:rFonts w:ascii="Arial Narrow" w:eastAsiaTheme="majorEastAsia" w:hAnsi="Arial Narrow" w:cs="Times New Roman"/>
                <w:iCs/>
                <w:color w:val="000000"/>
                <w:sz w:val="20"/>
                <w:shd w:val="solid" w:color="000000" w:fill="000000"/>
                <w14:textFill>
                  <w14:solidFill>
                    <w14:srgbClr w14:val="000000">
                      <w14:alpha w14:val="100000"/>
                    </w14:srgbClr>
                  </w14:solidFill>
                </w14:textFill>
              </w:rPr>
              <w:t>|</w:t>
            </w:r>
          </w:p>
        </w:tc>
      </w:tr>
      <w:tr w:rsidR="001518D9" w:rsidRPr="000B52C6" w14:paraId="31A64A50" w14:textId="77777777" w:rsidTr="00993BE0">
        <w:tc>
          <w:tcPr>
            <w:tcW w:w="2277" w:type="pct"/>
            <w:vAlign w:val="center"/>
          </w:tcPr>
          <w:p w14:paraId="2DA5EBEB" w14:textId="469D39A8" w:rsidR="001518D9" w:rsidRPr="000B52C6" w:rsidRDefault="001518D9" w:rsidP="00513E25">
            <w:pPr>
              <w:keepNext/>
              <w:ind w:right="-100" w:hanging="47"/>
              <w:jc w:val="left"/>
              <w:rPr>
                <w:rFonts w:ascii="Arial Narrow" w:eastAsiaTheme="majorEastAsia" w:hAnsi="Arial Narrow" w:cs="Times New Roman"/>
                <w:iCs/>
                <w:sz w:val="20"/>
              </w:rPr>
            </w:pPr>
            <w:r w:rsidRPr="000B52C6">
              <w:rPr>
                <w:rFonts w:ascii="Arial Narrow" w:eastAsiaTheme="majorEastAsia" w:hAnsi="Arial Narrow" w:cs="Times New Roman"/>
                <w:iCs/>
                <w:sz w:val="20"/>
              </w:rPr>
              <w:t xml:space="preserve">Cost of </w:t>
            </w:r>
            <w:r w:rsidR="00FB14BB" w:rsidRPr="000B52C6">
              <w:rPr>
                <w:rFonts w:ascii="Arial Narrow" w:eastAsiaTheme="majorEastAsia" w:hAnsi="Arial Narrow" w:cs="Times New Roman"/>
                <w:iCs/>
                <w:sz w:val="20"/>
              </w:rPr>
              <w:t>diarrhoea</w:t>
            </w:r>
            <w:r w:rsidRPr="000B52C6">
              <w:rPr>
                <w:rFonts w:ascii="Arial Narrow" w:eastAsiaTheme="majorEastAsia" w:hAnsi="Arial Narrow" w:cs="Times New Roman"/>
                <w:iCs/>
                <w:sz w:val="20"/>
              </w:rPr>
              <w:t xml:space="preserve"> and fatigue (included); cost of </w:t>
            </w:r>
            <w:r w:rsidR="00FB14BB" w:rsidRPr="000B52C6">
              <w:rPr>
                <w:rFonts w:ascii="Arial Narrow" w:eastAsiaTheme="majorEastAsia" w:hAnsi="Arial Narrow" w:cs="Times New Roman"/>
                <w:iCs/>
                <w:sz w:val="20"/>
              </w:rPr>
              <w:t>anaemia</w:t>
            </w:r>
            <w:r w:rsidRPr="000B52C6">
              <w:rPr>
                <w:rFonts w:ascii="Arial Narrow" w:eastAsiaTheme="majorEastAsia" w:hAnsi="Arial Narrow" w:cs="Times New Roman"/>
                <w:iCs/>
                <w:sz w:val="20"/>
              </w:rPr>
              <w:t xml:space="preserve"> excluded  </w:t>
            </w:r>
          </w:p>
        </w:tc>
        <w:tc>
          <w:tcPr>
            <w:tcW w:w="629" w:type="pct"/>
            <w:vAlign w:val="center"/>
          </w:tcPr>
          <w:p w14:paraId="51585B9B" w14:textId="77777777" w:rsidR="001518D9" w:rsidRPr="000B52C6" w:rsidRDefault="001518D9" w:rsidP="00513E25">
            <w:pPr>
              <w:keepNext/>
              <w:ind w:right="-100" w:hanging="47"/>
              <w:jc w:val="center"/>
              <w:rPr>
                <w:rFonts w:ascii="Arial Narrow" w:eastAsiaTheme="majorEastAsia" w:hAnsi="Arial Narrow" w:cs="Times New Roman"/>
                <w:iCs/>
                <w:sz w:val="20"/>
              </w:rPr>
            </w:pPr>
            <w:r w:rsidRPr="000B52C6">
              <w:rPr>
                <w:rFonts w:ascii="Arial Narrow" w:eastAsiaTheme="majorEastAsia" w:hAnsi="Arial Narrow" w:cs="Times New Roman"/>
                <w:iCs/>
                <w:sz w:val="20"/>
              </w:rPr>
              <w:t>$162,240.02</w:t>
            </w:r>
          </w:p>
        </w:tc>
        <w:tc>
          <w:tcPr>
            <w:tcW w:w="628" w:type="pct"/>
            <w:vAlign w:val="center"/>
          </w:tcPr>
          <w:p w14:paraId="45BF1CDB" w14:textId="77777777" w:rsidR="001518D9" w:rsidRPr="000B52C6" w:rsidRDefault="001518D9" w:rsidP="00513E25">
            <w:pPr>
              <w:keepNext/>
              <w:ind w:right="-100" w:hanging="47"/>
              <w:jc w:val="center"/>
              <w:rPr>
                <w:rFonts w:ascii="Arial Narrow" w:eastAsiaTheme="majorEastAsia" w:hAnsi="Arial Narrow" w:cs="Times New Roman"/>
                <w:iCs/>
                <w:sz w:val="20"/>
              </w:rPr>
            </w:pPr>
            <w:r w:rsidRPr="000B52C6">
              <w:rPr>
                <w:rFonts w:ascii="Arial Narrow" w:eastAsiaTheme="majorEastAsia" w:hAnsi="Arial Narrow" w:cs="Times New Roman"/>
                <w:iCs/>
                <w:sz w:val="20"/>
              </w:rPr>
              <w:t>$19,981.79</w:t>
            </w:r>
          </w:p>
        </w:tc>
        <w:tc>
          <w:tcPr>
            <w:tcW w:w="708" w:type="pct"/>
            <w:vAlign w:val="center"/>
          </w:tcPr>
          <w:p w14:paraId="4FC2C557" w14:textId="2B6BF7A5" w:rsidR="001518D9" w:rsidRPr="00D27599" w:rsidRDefault="001518D9" w:rsidP="00513E25">
            <w:pPr>
              <w:keepNext/>
              <w:ind w:right="-100" w:hanging="47"/>
              <w:jc w:val="center"/>
              <w:rPr>
                <w:rFonts w:ascii="Arial Narrow" w:eastAsiaTheme="majorEastAsia" w:hAnsi="Arial Narrow" w:cs="Times New Roman"/>
                <w:iCs/>
                <w:sz w:val="20"/>
                <w:highlight w:val="red"/>
              </w:rPr>
            </w:pPr>
            <w:r w:rsidRPr="00D27599">
              <w:rPr>
                <w:rFonts w:ascii="Arial Narrow" w:eastAsiaTheme="majorEastAsia" w:hAnsi="Arial Narrow" w:cs="Times New Roman"/>
                <w:iCs/>
                <w:sz w:val="20"/>
              </w:rPr>
              <w:t>$</w:t>
            </w:r>
            <w:r w:rsidR="00DB2D11" w:rsidRPr="00DB2D11">
              <w:rPr>
                <w:rFonts w:ascii="Arial Narrow" w:eastAsiaTheme="majorEastAsia" w:hAnsi="Arial Narrow" w:cs="Times New Roman" w:hint="eastAsia"/>
                <w:iCs/>
                <w:color w:val="000000"/>
                <w:w w:val="15"/>
                <w:sz w:val="20"/>
                <w:shd w:val="solid" w:color="000000" w:fill="000000"/>
                <w:fitText w:val="38" w:id="-1500846321"/>
                <w14:textFill>
                  <w14:solidFill>
                    <w14:srgbClr w14:val="000000">
                      <w14:alpha w14:val="100000"/>
                    </w14:srgbClr>
                  </w14:solidFill>
                </w14:textFill>
              </w:rPr>
              <w:t xml:space="preserve">　</w:t>
            </w:r>
            <w:r w:rsidR="00DB2D11" w:rsidRPr="00DB2D11">
              <w:rPr>
                <w:rFonts w:ascii="Arial Narrow" w:eastAsiaTheme="majorEastAsia" w:hAnsi="Arial Narrow" w:cs="Times New Roman"/>
                <w:iCs/>
                <w:color w:val="000000"/>
                <w:w w:val="15"/>
                <w:sz w:val="20"/>
                <w:shd w:val="solid" w:color="000000" w:fill="000000"/>
                <w:fitText w:val="38" w:id="-1500846321"/>
                <w14:textFill>
                  <w14:solidFill>
                    <w14:srgbClr w14:val="000000">
                      <w14:alpha w14:val="100000"/>
                    </w14:srgbClr>
                  </w14:solidFill>
                </w14:textFill>
              </w:rPr>
              <w:t>|</w:t>
            </w:r>
            <w:r w:rsidR="00DB2D11" w:rsidRPr="00DB2D11">
              <w:rPr>
                <w:rFonts w:ascii="Arial Narrow" w:eastAsiaTheme="majorEastAsia" w:hAnsi="Arial Narrow" w:cs="Times New Roman" w:hint="eastAsia"/>
                <w:iCs/>
                <w:color w:val="000000"/>
                <w:spacing w:val="-27"/>
                <w:w w:val="15"/>
                <w:sz w:val="20"/>
                <w:shd w:val="solid" w:color="000000" w:fill="000000"/>
                <w:fitText w:val="38" w:id="-1500846321"/>
                <w14:textFill>
                  <w14:solidFill>
                    <w14:srgbClr w14:val="000000">
                      <w14:alpha w14:val="100000"/>
                    </w14:srgbClr>
                  </w14:solidFill>
                </w14:textFill>
              </w:rPr>
              <w:t xml:space="preserve">　</w:t>
            </w:r>
          </w:p>
        </w:tc>
        <w:tc>
          <w:tcPr>
            <w:tcW w:w="758" w:type="pct"/>
            <w:vAlign w:val="center"/>
          </w:tcPr>
          <w:p w14:paraId="7E1974E4" w14:textId="3550BEC6" w:rsidR="001518D9" w:rsidRPr="00D27599" w:rsidRDefault="001518D9" w:rsidP="00513E25">
            <w:pPr>
              <w:keepNext/>
              <w:ind w:right="-100" w:hanging="47"/>
              <w:jc w:val="center"/>
              <w:rPr>
                <w:rFonts w:ascii="Arial Narrow" w:eastAsiaTheme="majorEastAsia" w:hAnsi="Arial Narrow" w:cs="Times New Roman"/>
                <w:iCs/>
                <w:sz w:val="20"/>
                <w:highlight w:val="red"/>
              </w:rPr>
            </w:pPr>
            <w:r w:rsidRPr="00D27599">
              <w:rPr>
                <w:rFonts w:ascii="Arial Narrow" w:eastAsiaTheme="majorEastAsia" w:hAnsi="Arial Narrow" w:cs="Times New Roman"/>
                <w:iCs/>
                <w:sz w:val="20"/>
              </w:rPr>
              <w:t>$</w:t>
            </w:r>
            <w:r w:rsidR="00DB2D11" w:rsidRPr="00DB2D11">
              <w:rPr>
                <w:rFonts w:ascii="Arial Narrow" w:eastAsiaTheme="majorEastAsia" w:hAnsi="Arial Narrow" w:cs="Times New Roman"/>
                <w:iCs/>
                <w:color w:val="000000"/>
                <w:sz w:val="20"/>
                <w:shd w:val="solid" w:color="000000" w:fill="000000"/>
                <w14:textFill>
                  <w14:solidFill>
                    <w14:srgbClr w14:val="000000">
                      <w14:alpha w14:val="100000"/>
                    </w14:srgbClr>
                  </w14:solidFill>
                </w14:textFill>
              </w:rPr>
              <w:t>|</w:t>
            </w:r>
          </w:p>
        </w:tc>
      </w:tr>
    </w:tbl>
    <w:p w14:paraId="537D9FBA" w14:textId="77777777" w:rsidR="006B3342" w:rsidRPr="000B52C6" w:rsidRDefault="006B3342" w:rsidP="006B3342">
      <w:pPr>
        <w:pStyle w:val="TableFigureFooter"/>
        <w:rPr>
          <w:iCs/>
        </w:rPr>
      </w:pPr>
      <w:r w:rsidRPr="000B52C6">
        <w:t xml:space="preserve">Source: </w:t>
      </w:r>
      <w:r w:rsidRPr="000B52C6">
        <w:rPr>
          <w:iCs/>
        </w:rPr>
        <w:t xml:space="preserve">Conducted during evaluation. </w:t>
      </w:r>
    </w:p>
    <w:p w14:paraId="1565730C" w14:textId="77777777" w:rsidR="006B3342" w:rsidRPr="000B52C6" w:rsidRDefault="006B3342" w:rsidP="006B3342">
      <w:pPr>
        <w:pStyle w:val="TableFigureFooter"/>
      </w:pPr>
      <w:r w:rsidRPr="000B52C6">
        <w:t xml:space="preserve">Abbreviations: Cd = carfilzomib + dexamethasone; </w:t>
      </w:r>
      <w:proofErr w:type="spellStart"/>
      <w:r w:rsidRPr="000B52C6">
        <w:t>SBd</w:t>
      </w:r>
      <w:proofErr w:type="spellEnd"/>
      <w:r w:rsidRPr="000B52C6">
        <w:t xml:space="preserve"> = </w:t>
      </w:r>
      <w:proofErr w:type="spellStart"/>
      <w:r w:rsidRPr="000B52C6">
        <w:t>selinexor</w:t>
      </w:r>
      <w:proofErr w:type="spellEnd"/>
      <w:r w:rsidRPr="000B52C6">
        <w:t xml:space="preserve"> + bortezomib + dexamethasone. </w:t>
      </w:r>
    </w:p>
    <w:p w14:paraId="6FFB49FB" w14:textId="77777777" w:rsidR="006B3342" w:rsidRPr="000B52C6" w:rsidRDefault="006B3342" w:rsidP="006B3342">
      <w:pPr>
        <w:pStyle w:val="TableFigureFooter"/>
      </w:pPr>
      <w:r w:rsidRPr="000B52C6">
        <w:t xml:space="preserve">Notes: a. As part of </w:t>
      </w:r>
      <w:proofErr w:type="spellStart"/>
      <w:r w:rsidRPr="000B52C6">
        <w:t>SBd</w:t>
      </w:r>
      <w:proofErr w:type="spellEnd"/>
      <w:r w:rsidRPr="000B52C6">
        <w:t xml:space="preserve"> backbone. </w:t>
      </w:r>
    </w:p>
    <w:p w14:paraId="16520BFC" w14:textId="77777777" w:rsidR="006B3342" w:rsidRPr="000B52C6" w:rsidRDefault="006B3342" w:rsidP="006B3342">
      <w:pPr>
        <w:pStyle w:val="TableFigureFooter"/>
      </w:pPr>
      <w:r w:rsidRPr="000B52C6">
        <w:t>b. Twice weekly (Cd56).</w:t>
      </w:r>
    </w:p>
    <w:p w14:paraId="64A2884E" w14:textId="77777777" w:rsidR="006B3342" w:rsidRPr="000B52C6" w:rsidRDefault="006B3342" w:rsidP="006B3342">
      <w:pPr>
        <w:pStyle w:val="TableFigureFooter"/>
      </w:pPr>
      <w:r w:rsidRPr="000B52C6">
        <w:t xml:space="preserve">c. Once weekly (Cd70). </w:t>
      </w:r>
    </w:p>
    <w:p w14:paraId="4A53F64C" w14:textId="56F3CEA1" w:rsidR="006B3342" w:rsidRPr="000B52C6" w:rsidRDefault="006B3342" w:rsidP="006B3342">
      <w:pPr>
        <w:pStyle w:val="TableFigureFooter"/>
      </w:pPr>
      <w:r w:rsidRPr="000B52C6">
        <w:t>d. Assuming median dose of 80 mg instead of full dose of 100 mg (4,933</w:t>
      </w:r>
      <w:r w:rsidR="002F3811" w:rsidRPr="000B52C6">
        <w:t>.33</w:t>
      </w:r>
      <w:r w:rsidRPr="000B52C6">
        <w:t xml:space="preserve"> x 80/100). </w:t>
      </w:r>
      <w:r w:rsidR="00FB14BB" w:rsidRPr="000B52C6">
        <w:t>80 mg</w:t>
      </w:r>
      <w:r w:rsidRPr="000B52C6">
        <w:t xml:space="preserve"> dose intensity was the basis of the proposed published price.</w:t>
      </w:r>
    </w:p>
    <w:p w14:paraId="121C92E9" w14:textId="77777777" w:rsidR="006B3342" w:rsidRPr="000B52C6" w:rsidRDefault="006B3342" w:rsidP="006B3342">
      <w:pPr>
        <w:pStyle w:val="TableFigureFooter"/>
      </w:pPr>
    </w:p>
    <w:p w14:paraId="4B8059A1" w14:textId="4CCE90E9" w:rsidR="006B3342" w:rsidRPr="000B52C6" w:rsidRDefault="006B3342" w:rsidP="006B3342">
      <w:pPr>
        <w:pStyle w:val="4-SubsectionHeading"/>
      </w:pPr>
      <w:bookmarkStart w:id="52" w:name="_Toc22897646"/>
      <w:bookmarkStart w:id="53" w:name="_Toc93429929"/>
      <w:r w:rsidRPr="000B52C6">
        <w:t>Drug cost/patient/course</w:t>
      </w:r>
      <w:bookmarkEnd w:id="52"/>
      <w:bookmarkEnd w:id="53"/>
    </w:p>
    <w:p w14:paraId="15FB65CF" w14:textId="1B6ED6A9" w:rsidR="006B3342" w:rsidRPr="000B52C6" w:rsidRDefault="006B3342" w:rsidP="006B3342">
      <w:pPr>
        <w:pStyle w:val="3-BodyText"/>
        <w:ind w:left="720" w:hanging="720"/>
        <w:rPr>
          <w:snapToGrid/>
        </w:rPr>
      </w:pPr>
      <w:r w:rsidRPr="000B52C6">
        <w:rPr>
          <w:snapToGrid/>
        </w:rPr>
        <w:t xml:space="preserve">A summary of the drug cost per patient for </w:t>
      </w:r>
      <w:proofErr w:type="spellStart"/>
      <w:r w:rsidRPr="000B52C6">
        <w:rPr>
          <w:snapToGrid/>
        </w:rPr>
        <w:t>SBd</w:t>
      </w:r>
      <w:proofErr w:type="spellEnd"/>
      <w:r w:rsidRPr="000B52C6">
        <w:rPr>
          <w:snapToGrid/>
        </w:rPr>
        <w:t xml:space="preserve"> and Cd is presented in </w:t>
      </w:r>
      <w:r w:rsidRPr="000B52C6">
        <w:rPr>
          <w:snapToGrid/>
        </w:rPr>
        <w:fldChar w:fldCharType="begin"/>
      </w:r>
      <w:r w:rsidRPr="000B52C6">
        <w:rPr>
          <w:snapToGrid/>
        </w:rPr>
        <w:instrText xml:space="preserve"> REF _Ref90370339 \h  \* MERGEFORMAT </w:instrText>
      </w:r>
      <w:r w:rsidRPr="000B52C6">
        <w:rPr>
          <w:snapToGrid/>
        </w:rPr>
      </w:r>
      <w:r w:rsidRPr="000B52C6">
        <w:rPr>
          <w:snapToGrid/>
        </w:rPr>
        <w:fldChar w:fldCharType="separate"/>
      </w:r>
      <w:r w:rsidR="00FF5725" w:rsidRPr="00FF5725">
        <w:rPr>
          <w:snapToGrid/>
        </w:rPr>
        <w:t>Table 21</w:t>
      </w:r>
      <w:r w:rsidRPr="000B52C6">
        <w:rPr>
          <w:snapToGrid/>
        </w:rPr>
        <w:fldChar w:fldCharType="end"/>
      </w:r>
      <w:r w:rsidRPr="000B52C6">
        <w:rPr>
          <w:snapToGrid/>
        </w:rPr>
        <w:t>.</w:t>
      </w:r>
    </w:p>
    <w:p w14:paraId="687D7463" w14:textId="5C3258E6" w:rsidR="006B3342" w:rsidRPr="000B52C6" w:rsidRDefault="006B3342" w:rsidP="00E60468">
      <w:pPr>
        <w:pStyle w:val="TableFigureHeading"/>
        <w:rPr>
          <w:rStyle w:val="CommentReference"/>
          <w:b/>
          <w:bCs w:val="0"/>
          <w:szCs w:val="24"/>
        </w:rPr>
      </w:pPr>
      <w:bookmarkStart w:id="54" w:name="_Ref90370339"/>
      <w:r w:rsidRPr="000B52C6">
        <w:rPr>
          <w:rStyle w:val="CommentReference"/>
          <w:b/>
          <w:bCs w:val="0"/>
          <w:szCs w:val="24"/>
        </w:rPr>
        <w:t xml:space="preserve">Table </w:t>
      </w:r>
      <w:r w:rsidRPr="000B52C6">
        <w:rPr>
          <w:rStyle w:val="CommentReference"/>
          <w:b/>
          <w:bCs w:val="0"/>
          <w:szCs w:val="24"/>
        </w:rPr>
        <w:fldChar w:fldCharType="begin"/>
      </w:r>
      <w:r w:rsidRPr="000B52C6">
        <w:rPr>
          <w:rStyle w:val="CommentReference"/>
          <w:b/>
          <w:bCs w:val="0"/>
          <w:szCs w:val="24"/>
        </w:rPr>
        <w:instrText xml:space="preserve"> SEQ Table \* ARABIC </w:instrText>
      </w:r>
      <w:r w:rsidRPr="000B52C6">
        <w:rPr>
          <w:rStyle w:val="CommentReference"/>
          <w:b/>
          <w:bCs w:val="0"/>
          <w:szCs w:val="24"/>
        </w:rPr>
        <w:fldChar w:fldCharType="separate"/>
      </w:r>
      <w:r w:rsidR="00FF5725">
        <w:rPr>
          <w:rStyle w:val="CommentReference"/>
          <w:b/>
          <w:bCs w:val="0"/>
          <w:noProof/>
          <w:szCs w:val="24"/>
        </w:rPr>
        <w:t>21</w:t>
      </w:r>
      <w:r w:rsidRPr="000B52C6">
        <w:rPr>
          <w:rStyle w:val="CommentReference"/>
          <w:b/>
          <w:bCs w:val="0"/>
          <w:szCs w:val="24"/>
        </w:rPr>
        <w:fldChar w:fldCharType="end"/>
      </w:r>
      <w:bookmarkEnd w:id="54"/>
      <w:r w:rsidRPr="000B52C6">
        <w:rPr>
          <w:rStyle w:val="CommentReference"/>
          <w:b/>
          <w:bCs w:val="0"/>
          <w:szCs w:val="24"/>
        </w:rPr>
        <w:t>: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6"/>
        <w:gridCol w:w="1170"/>
        <w:gridCol w:w="1255"/>
        <w:gridCol w:w="1259"/>
        <w:gridCol w:w="1255"/>
        <w:gridCol w:w="1261"/>
        <w:gridCol w:w="1261"/>
      </w:tblGrid>
      <w:tr w:rsidR="006B3342" w:rsidRPr="000B52C6" w14:paraId="5C347DB3" w14:textId="77777777" w:rsidTr="00513E25">
        <w:trPr>
          <w:cantSplit/>
          <w:tblHeader/>
          <w:jc w:val="center"/>
        </w:trPr>
        <w:tc>
          <w:tcPr>
            <w:tcW w:w="863" w:type="pct"/>
            <w:vMerge w:val="restart"/>
            <w:shd w:val="clear" w:color="auto" w:fill="auto"/>
            <w:vAlign w:val="center"/>
          </w:tcPr>
          <w:p w14:paraId="2FE6F107" w14:textId="77777777" w:rsidR="006B3342" w:rsidRPr="000B52C6" w:rsidRDefault="006B3342" w:rsidP="00E60468">
            <w:pPr>
              <w:pStyle w:val="In-tableHeading"/>
              <w:jc w:val="center"/>
              <w:rPr>
                <w:lang w:val="en-AU"/>
              </w:rPr>
            </w:pPr>
          </w:p>
        </w:tc>
        <w:tc>
          <w:tcPr>
            <w:tcW w:w="2043" w:type="pct"/>
            <w:gridSpan w:val="3"/>
            <w:shd w:val="clear" w:color="auto" w:fill="auto"/>
            <w:vAlign w:val="center"/>
          </w:tcPr>
          <w:p w14:paraId="49B96512" w14:textId="77777777" w:rsidR="006B3342" w:rsidRPr="000B52C6" w:rsidRDefault="006B3342" w:rsidP="00E60468">
            <w:pPr>
              <w:pStyle w:val="In-tableHeading"/>
              <w:jc w:val="center"/>
              <w:rPr>
                <w:lang w:val="en-AU"/>
              </w:rPr>
            </w:pPr>
            <w:proofErr w:type="spellStart"/>
            <w:r w:rsidRPr="000B52C6">
              <w:rPr>
                <w:lang w:val="en-AU"/>
              </w:rPr>
              <w:t>SBd</w:t>
            </w:r>
            <w:proofErr w:type="spellEnd"/>
          </w:p>
        </w:tc>
        <w:tc>
          <w:tcPr>
            <w:tcW w:w="2094" w:type="pct"/>
            <w:gridSpan w:val="3"/>
            <w:shd w:val="clear" w:color="auto" w:fill="auto"/>
            <w:vAlign w:val="center"/>
          </w:tcPr>
          <w:p w14:paraId="686740F9" w14:textId="77777777" w:rsidR="006B3342" w:rsidRPr="000B52C6" w:rsidRDefault="006B3342" w:rsidP="00E60468">
            <w:pPr>
              <w:pStyle w:val="In-tableHeading"/>
              <w:jc w:val="center"/>
              <w:rPr>
                <w:lang w:val="en-AU"/>
              </w:rPr>
            </w:pPr>
            <w:r w:rsidRPr="000B52C6">
              <w:rPr>
                <w:lang w:val="en-AU"/>
              </w:rPr>
              <w:t>Cd</w:t>
            </w:r>
          </w:p>
        </w:tc>
      </w:tr>
      <w:tr w:rsidR="006B3342" w:rsidRPr="000B52C6" w14:paraId="731A52DC" w14:textId="77777777" w:rsidTr="00513E25">
        <w:trPr>
          <w:cantSplit/>
          <w:tblHeader/>
          <w:jc w:val="center"/>
        </w:trPr>
        <w:tc>
          <w:tcPr>
            <w:tcW w:w="863" w:type="pct"/>
            <w:vMerge/>
            <w:shd w:val="clear" w:color="auto" w:fill="auto"/>
            <w:vAlign w:val="center"/>
          </w:tcPr>
          <w:p w14:paraId="64C735C9" w14:textId="77777777" w:rsidR="006B3342" w:rsidRPr="000B52C6" w:rsidRDefault="006B3342" w:rsidP="00E60468">
            <w:pPr>
              <w:pStyle w:val="In-tableHeading"/>
              <w:jc w:val="center"/>
              <w:rPr>
                <w:lang w:val="en-AU"/>
              </w:rPr>
            </w:pPr>
          </w:p>
        </w:tc>
        <w:tc>
          <w:tcPr>
            <w:tcW w:w="649" w:type="pct"/>
            <w:shd w:val="clear" w:color="auto" w:fill="auto"/>
            <w:vAlign w:val="center"/>
          </w:tcPr>
          <w:p w14:paraId="4967403A" w14:textId="77777777" w:rsidR="006B3342" w:rsidRPr="000B52C6" w:rsidRDefault="006B3342" w:rsidP="00E60468">
            <w:pPr>
              <w:pStyle w:val="In-tableHeading"/>
              <w:jc w:val="center"/>
              <w:rPr>
                <w:lang w:val="en-AU"/>
              </w:rPr>
            </w:pPr>
            <w:r w:rsidRPr="000B52C6">
              <w:rPr>
                <w:lang w:val="en-AU"/>
              </w:rPr>
              <w:t>Trial dose and duration</w:t>
            </w:r>
          </w:p>
        </w:tc>
        <w:tc>
          <w:tcPr>
            <w:tcW w:w="696" w:type="pct"/>
            <w:shd w:val="clear" w:color="auto" w:fill="auto"/>
            <w:vAlign w:val="center"/>
          </w:tcPr>
          <w:p w14:paraId="1917D39B" w14:textId="77777777" w:rsidR="006B3342" w:rsidRPr="000B52C6" w:rsidRDefault="006B3342" w:rsidP="00E60468">
            <w:pPr>
              <w:pStyle w:val="In-tableHeading"/>
              <w:jc w:val="center"/>
              <w:rPr>
                <w:lang w:val="en-AU"/>
              </w:rPr>
            </w:pPr>
            <w:r w:rsidRPr="000B52C6">
              <w:rPr>
                <w:lang w:val="en-AU"/>
              </w:rPr>
              <w:t>CMA</w:t>
            </w:r>
          </w:p>
        </w:tc>
        <w:tc>
          <w:tcPr>
            <w:tcW w:w="698" w:type="pct"/>
            <w:shd w:val="clear" w:color="auto" w:fill="auto"/>
            <w:vAlign w:val="center"/>
          </w:tcPr>
          <w:p w14:paraId="421D8F51" w14:textId="77777777" w:rsidR="006B3342" w:rsidRPr="000B52C6" w:rsidRDefault="006B3342" w:rsidP="00E60468">
            <w:pPr>
              <w:pStyle w:val="In-tableHeading"/>
              <w:jc w:val="center"/>
              <w:rPr>
                <w:lang w:val="en-AU"/>
              </w:rPr>
            </w:pPr>
            <w:r w:rsidRPr="000B52C6">
              <w:rPr>
                <w:lang w:val="en-AU"/>
              </w:rPr>
              <w:t>Financial estimates</w:t>
            </w:r>
          </w:p>
        </w:tc>
        <w:tc>
          <w:tcPr>
            <w:tcW w:w="696" w:type="pct"/>
            <w:shd w:val="clear" w:color="auto" w:fill="auto"/>
            <w:vAlign w:val="center"/>
          </w:tcPr>
          <w:p w14:paraId="030FDE23" w14:textId="77777777" w:rsidR="006B3342" w:rsidRPr="000B52C6" w:rsidRDefault="006B3342" w:rsidP="00E60468">
            <w:pPr>
              <w:pStyle w:val="In-tableHeading"/>
              <w:jc w:val="center"/>
              <w:rPr>
                <w:lang w:val="en-AU"/>
              </w:rPr>
            </w:pPr>
            <w:r w:rsidRPr="000B52C6">
              <w:rPr>
                <w:lang w:val="en-AU"/>
              </w:rPr>
              <w:t>Trial dose and duration</w:t>
            </w:r>
          </w:p>
        </w:tc>
        <w:tc>
          <w:tcPr>
            <w:tcW w:w="699" w:type="pct"/>
            <w:shd w:val="clear" w:color="auto" w:fill="auto"/>
            <w:vAlign w:val="center"/>
          </w:tcPr>
          <w:p w14:paraId="12C991AD" w14:textId="77777777" w:rsidR="006B3342" w:rsidRPr="000B52C6" w:rsidRDefault="006B3342" w:rsidP="00E60468">
            <w:pPr>
              <w:pStyle w:val="In-tableHeading"/>
              <w:jc w:val="center"/>
              <w:rPr>
                <w:lang w:val="en-AU"/>
              </w:rPr>
            </w:pPr>
            <w:r w:rsidRPr="000B52C6">
              <w:rPr>
                <w:lang w:val="en-AU"/>
              </w:rPr>
              <w:t>CMA</w:t>
            </w:r>
          </w:p>
        </w:tc>
        <w:tc>
          <w:tcPr>
            <w:tcW w:w="699" w:type="pct"/>
            <w:vAlign w:val="center"/>
          </w:tcPr>
          <w:p w14:paraId="59E64CBA" w14:textId="77777777" w:rsidR="006B3342" w:rsidRPr="000B52C6" w:rsidRDefault="006B3342" w:rsidP="00E60468">
            <w:pPr>
              <w:pStyle w:val="In-tableHeading"/>
              <w:jc w:val="center"/>
              <w:rPr>
                <w:lang w:val="en-AU"/>
              </w:rPr>
            </w:pPr>
            <w:r w:rsidRPr="000B52C6">
              <w:rPr>
                <w:lang w:val="en-AU"/>
              </w:rPr>
              <w:t>Financial estimates</w:t>
            </w:r>
          </w:p>
        </w:tc>
      </w:tr>
      <w:tr w:rsidR="006B3342" w:rsidRPr="000B52C6" w14:paraId="35D58E56" w14:textId="77777777" w:rsidTr="00513E25">
        <w:trPr>
          <w:cantSplit/>
          <w:jc w:val="center"/>
        </w:trPr>
        <w:tc>
          <w:tcPr>
            <w:tcW w:w="863" w:type="pct"/>
            <w:shd w:val="clear" w:color="auto" w:fill="auto"/>
            <w:vAlign w:val="center"/>
          </w:tcPr>
          <w:p w14:paraId="53E9B336" w14:textId="77777777" w:rsidR="006B3342" w:rsidRPr="000B52C6" w:rsidRDefault="006B3342" w:rsidP="00E60468">
            <w:pPr>
              <w:pStyle w:val="TableText0"/>
            </w:pPr>
            <w:r w:rsidRPr="000B52C6">
              <w:t>Mean dose</w:t>
            </w:r>
          </w:p>
        </w:tc>
        <w:tc>
          <w:tcPr>
            <w:tcW w:w="649" w:type="pct"/>
            <w:shd w:val="clear" w:color="auto" w:fill="auto"/>
            <w:vAlign w:val="center"/>
          </w:tcPr>
          <w:p w14:paraId="478D1108" w14:textId="77777777" w:rsidR="006B3342" w:rsidRPr="000B52C6" w:rsidRDefault="006B3342" w:rsidP="00E60468">
            <w:pPr>
              <w:pStyle w:val="TableText0"/>
              <w:jc w:val="center"/>
              <w:rPr>
                <w:bCs w:val="0"/>
              </w:rPr>
            </w:pPr>
            <w:r w:rsidRPr="000B52C6">
              <w:rPr>
                <w:bCs w:val="0"/>
              </w:rPr>
              <w:t xml:space="preserve">NR </w:t>
            </w:r>
            <w:r w:rsidRPr="000B52C6">
              <w:rPr>
                <w:bCs w:val="0"/>
                <w:vertAlign w:val="superscript"/>
              </w:rPr>
              <w:t>a</w:t>
            </w:r>
          </w:p>
        </w:tc>
        <w:tc>
          <w:tcPr>
            <w:tcW w:w="696" w:type="pct"/>
            <w:shd w:val="clear" w:color="auto" w:fill="auto"/>
            <w:vAlign w:val="center"/>
          </w:tcPr>
          <w:p w14:paraId="09D347C3" w14:textId="77777777" w:rsidR="006B3342" w:rsidRPr="000B52C6" w:rsidRDefault="006B3342" w:rsidP="00E60468">
            <w:pPr>
              <w:pStyle w:val="TableText0"/>
              <w:jc w:val="center"/>
              <w:rPr>
                <w:bCs w:val="0"/>
              </w:rPr>
            </w:pPr>
            <w:r w:rsidRPr="000B52C6">
              <w:rPr>
                <w:bCs w:val="0"/>
              </w:rPr>
              <w:t>4933 mg</w:t>
            </w:r>
          </w:p>
        </w:tc>
        <w:tc>
          <w:tcPr>
            <w:tcW w:w="698" w:type="pct"/>
            <w:shd w:val="clear" w:color="auto" w:fill="auto"/>
            <w:vAlign w:val="center"/>
          </w:tcPr>
          <w:p w14:paraId="0974ADE1" w14:textId="77777777" w:rsidR="006B3342" w:rsidRPr="000B52C6" w:rsidRDefault="006B3342" w:rsidP="00E60468">
            <w:pPr>
              <w:pStyle w:val="TableText0"/>
              <w:jc w:val="center"/>
              <w:rPr>
                <w:bCs w:val="0"/>
              </w:rPr>
            </w:pPr>
            <w:r w:rsidRPr="000B52C6">
              <w:rPr>
                <w:bCs w:val="0"/>
              </w:rPr>
              <w:t>4933 mg</w:t>
            </w:r>
          </w:p>
        </w:tc>
        <w:tc>
          <w:tcPr>
            <w:tcW w:w="696" w:type="pct"/>
            <w:shd w:val="clear" w:color="auto" w:fill="auto"/>
            <w:vAlign w:val="center"/>
          </w:tcPr>
          <w:p w14:paraId="5C3F4064" w14:textId="77777777" w:rsidR="006B3342" w:rsidRPr="000B52C6" w:rsidRDefault="006B3342" w:rsidP="00E60468">
            <w:pPr>
              <w:pStyle w:val="TableText0"/>
              <w:jc w:val="center"/>
              <w:rPr>
                <w:bCs w:val="0"/>
              </w:rPr>
            </w:pPr>
            <w:r w:rsidRPr="000B52C6">
              <w:rPr>
                <w:bCs w:val="0"/>
              </w:rPr>
              <w:t>NR</w:t>
            </w:r>
          </w:p>
        </w:tc>
        <w:tc>
          <w:tcPr>
            <w:tcW w:w="699" w:type="pct"/>
            <w:shd w:val="clear" w:color="auto" w:fill="auto"/>
            <w:vAlign w:val="center"/>
          </w:tcPr>
          <w:p w14:paraId="01962A41" w14:textId="77777777" w:rsidR="006B3342" w:rsidRPr="000B52C6" w:rsidRDefault="006B3342" w:rsidP="00E60468">
            <w:pPr>
              <w:pStyle w:val="TableText0"/>
              <w:jc w:val="center"/>
              <w:rPr>
                <w:bCs w:val="0"/>
              </w:rPr>
            </w:pPr>
            <w:r w:rsidRPr="000B52C6">
              <w:rPr>
                <w:bCs w:val="0"/>
              </w:rPr>
              <w:t>7278 mg</w:t>
            </w:r>
          </w:p>
        </w:tc>
        <w:tc>
          <w:tcPr>
            <w:tcW w:w="699" w:type="pct"/>
            <w:vAlign w:val="center"/>
          </w:tcPr>
          <w:p w14:paraId="78DF9EA1" w14:textId="77777777" w:rsidR="006B3342" w:rsidRPr="000B52C6" w:rsidRDefault="006B3342" w:rsidP="00E60468">
            <w:pPr>
              <w:pStyle w:val="TableText0"/>
              <w:jc w:val="center"/>
              <w:rPr>
                <w:bCs w:val="0"/>
              </w:rPr>
            </w:pPr>
            <w:r w:rsidRPr="000B52C6">
              <w:rPr>
                <w:bCs w:val="0"/>
              </w:rPr>
              <w:t>7278 mg</w:t>
            </w:r>
          </w:p>
        </w:tc>
      </w:tr>
      <w:tr w:rsidR="006B3342" w:rsidRPr="000B52C6" w14:paraId="5D041433" w14:textId="77777777" w:rsidTr="00513E25">
        <w:trPr>
          <w:cantSplit/>
          <w:jc w:val="center"/>
        </w:trPr>
        <w:tc>
          <w:tcPr>
            <w:tcW w:w="863" w:type="pct"/>
            <w:shd w:val="clear" w:color="auto" w:fill="auto"/>
            <w:vAlign w:val="center"/>
          </w:tcPr>
          <w:p w14:paraId="5CC24465" w14:textId="77777777" w:rsidR="006B3342" w:rsidRPr="000B52C6" w:rsidRDefault="006B3342" w:rsidP="00E60468">
            <w:pPr>
              <w:pStyle w:val="TableText0"/>
            </w:pPr>
            <w:r w:rsidRPr="000B52C6">
              <w:t>Mean duration</w:t>
            </w:r>
          </w:p>
        </w:tc>
        <w:tc>
          <w:tcPr>
            <w:tcW w:w="649" w:type="pct"/>
            <w:shd w:val="clear" w:color="auto" w:fill="auto"/>
            <w:vAlign w:val="center"/>
          </w:tcPr>
          <w:p w14:paraId="23C6B7A7" w14:textId="39961126" w:rsidR="006B3342" w:rsidRPr="000B52C6" w:rsidRDefault="006B3342" w:rsidP="00E60468">
            <w:pPr>
              <w:pStyle w:val="TableText0"/>
              <w:jc w:val="center"/>
              <w:rPr>
                <w:bCs w:val="0"/>
              </w:rPr>
            </w:pPr>
            <w:r w:rsidRPr="000B52C6">
              <w:rPr>
                <w:bCs w:val="0"/>
              </w:rPr>
              <w:t xml:space="preserve">26.68 weeks </w:t>
            </w:r>
            <w:r w:rsidRPr="000B52C6">
              <w:rPr>
                <w:bCs w:val="0"/>
                <w:vertAlign w:val="superscript"/>
              </w:rPr>
              <w:t>b</w:t>
            </w:r>
          </w:p>
        </w:tc>
        <w:tc>
          <w:tcPr>
            <w:tcW w:w="696" w:type="pct"/>
            <w:shd w:val="clear" w:color="auto" w:fill="auto"/>
            <w:vAlign w:val="center"/>
          </w:tcPr>
          <w:p w14:paraId="198036CB" w14:textId="77777777" w:rsidR="006B3342" w:rsidRPr="000B52C6" w:rsidRDefault="006B3342" w:rsidP="00E60468">
            <w:pPr>
              <w:pStyle w:val="TableText0"/>
              <w:jc w:val="center"/>
              <w:rPr>
                <w:bCs w:val="0"/>
              </w:rPr>
            </w:pPr>
            <w:r w:rsidRPr="000B52C6">
              <w:rPr>
                <w:bCs w:val="0"/>
              </w:rPr>
              <w:t>49.33 weeks</w:t>
            </w:r>
          </w:p>
        </w:tc>
        <w:tc>
          <w:tcPr>
            <w:tcW w:w="698" w:type="pct"/>
            <w:shd w:val="clear" w:color="auto" w:fill="auto"/>
            <w:vAlign w:val="center"/>
          </w:tcPr>
          <w:p w14:paraId="66C2DB44" w14:textId="77777777" w:rsidR="006B3342" w:rsidRPr="000B52C6" w:rsidRDefault="006B3342" w:rsidP="00E60468">
            <w:pPr>
              <w:pStyle w:val="TableText0"/>
              <w:jc w:val="center"/>
              <w:rPr>
                <w:bCs w:val="0"/>
              </w:rPr>
            </w:pPr>
            <w:r w:rsidRPr="000B52C6">
              <w:rPr>
                <w:bCs w:val="0"/>
              </w:rPr>
              <w:t>49.33 weeks</w:t>
            </w:r>
          </w:p>
        </w:tc>
        <w:tc>
          <w:tcPr>
            <w:tcW w:w="696" w:type="pct"/>
            <w:shd w:val="clear" w:color="auto" w:fill="auto"/>
            <w:vAlign w:val="center"/>
          </w:tcPr>
          <w:p w14:paraId="5C62B185" w14:textId="47C0A36F" w:rsidR="006B3342" w:rsidRPr="000B52C6" w:rsidRDefault="006B3342" w:rsidP="00E60468">
            <w:pPr>
              <w:pStyle w:val="TableText0"/>
              <w:jc w:val="center"/>
              <w:rPr>
                <w:bCs w:val="0"/>
              </w:rPr>
            </w:pPr>
            <w:r w:rsidRPr="000B52C6">
              <w:rPr>
                <w:bCs w:val="0"/>
              </w:rPr>
              <w:t xml:space="preserve">39.9 weeks </w:t>
            </w:r>
            <w:r w:rsidRPr="000B52C6">
              <w:rPr>
                <w:bCs w:val="0"/>
                <w:vertAlign w:val="superscript"/>
              </w:rPr>
              <w:t>c</w:t>
            </w:r>
          </w:p>
        </w:tc>
        <w:tc>
          <w:tcPr>
            <w:tcW w:w="699" w:type="pct"/>
            <w:shd w:val="clear" w:color="auto" w:fill="auto"/>
            <w:vAlign w:val="center"/>
          </w:tcPr>
          <w:p w14:paraId="514111C8" w14:textId="77777777" w:rsidR="006B3342" w:rsidRPr="000B52C6" w:rsidRDefault="006B3342" w:rsidP="00E60468">
            <w:pPr>
              <w:pStyle w:val="TableText0"/>
              <w:jc w:val="center"/>
              <w:rPr>
                <w:bCs w:val="0"/>
              </w:rPr>
            </w:pPr>
            <w:r w:rsidRPr="000B52C6">
              <w:rPr>
                <w:bCs w:val="0"/>
              </w:rPr>
              <w:t>49.33 weeks</w:t>
            </w:r>
          </w:p>
        </w:tc>
        <w:tc>
          <w:tcPr>
            <w:tcW w:w="699" w:type="pct"/>
            <w:vAlign w:val="center"/>
          </w:tcPr>
          <w:p w14:paraId="48541706" w14:textId="77777777" w:rsidR="006B3342" w:rsidRPr="000B52C6" w:rsidRDefault="006B3342" w:rsidP="00E60468">
            <w:pPr>
              <w:pStyle w:val="TableText0"/>
              <w:jc w:val="center"/>
              <w:rPr>
                <w:bCs w:val="0"/>
              </w:rPr>
            </w:pPr>
            <w:r w:rsidRPr="000B52C6">
              <w:rPr>
                <w:bCs w:val="0"/>
              </w:rPr>
              <w:t>49.33 weeks</w:t>
            </w:r>
          </w:p>
        </w:tc>
      </w:tr>
      <w:tr w:rsidR="006B3342" w:rsidRPr="000B52C6" w14:paraId="3E85B129" w14:textId="77777777" w:rsidTr="00513E25">
        <w:trPr>
          <w:cantSplit/>
          <w:jc w:val="center"/>
        </w:trPr>
        <w:tc>
          <w:tcPr>
            <w:tcW w:w="863" w:type="pct"/>
            <w:shd w:val="clear" w:color="auto" w:fill="auto"/>
            <w:vAlign w:val="center"/>
          </w:tcPr>
          <w:p w14:paraId="0087CC43" w14:textId="77777777" w:rsidR="006B3342" w:rsidRPr="000B52C6" w:rsidRDefault="006B3342" w:rsidP="00E60468">
            <w:pPr>
              <w:pStyle w:val="TableText0"/>
            </w:pPr>
            <w:r w:rsidRPr="000B52C6">
              <w:t>Cost/patient/course</w:t>
            </w:r>
          </w:p>
        </w:tc>
        <w:tc>
          <w:tcPr>
            <w:tcW w:w="649" w:type="pct"/>
            <w:shd w:val="clear" w:color="auto" w:fill="auto"/>
            <w:vAlign w:val="center"/>
          </w:tcPr>
          <w:p w14:paraId="74B3D0BF" w14:textId="77777777" w:rsidR="006B3342" w:rsidRPr="000B52C6" w:rsidRDefault="006B3342" w:rsidP="00E60468">
            <w:pPr>
              <w:pStyle w:val="TableText0"/>
              <w:jc w:val="center"/>
              <w:rPr>
                <w:bCs w:val="0"/>
              </w:rPr>
            </w:pPr>
            <w:r w:rsidRPr="000B52C6">
              <w:rPr>
                <w:bCs w:val="0"/>
              </w:rPr>
              <w:t>NE</w:t>
            </w:r>
          </w:p>
        </w:tc>
        <w:tc>
          <w:tcPr>
            <w:tcW w:w="696" w:type="pct"/>
            <w:shd w:val="clear" w:color="auto" w:fill="auto"/>
            <w:vAlign w:val="center"/>
          </w:tcPr>
          <w:p w14:paraId="315C2840" w14:textId="439DF91A" w:rsidR="006B3342" w:rsidRPr="000B52C6" w:rsidRDefault="006B3342" w:rsidP="00E60468">
            <w:pPr>
              <w:pStyle w:val="TableText0"/>
              <w:jc w:val="center"/>
              <w:rPr>
                <w:bCs w:val="0"/>
              </w:rPr>
            </w:pPr>
            <w:r w:rsidRPr="000B52C6">
              <w:rPr>
                <w:bCs w:val="0"/>
              </w:rPr>
              <w:t>$</w:t>
            </w:r>
            <w:r w:rsidR="00DB2D11" w:rsidRPr="00DB2D11">
              <w:rPr>
                <w:bCs w:val="0"/>
                <w:color w:val="000000"/>
                <w:shd w:val="solid" w:color="000000" w:fill="000000"/>
                <w14:textFill>
                  <w14:solidFill>
                    <w14:srgbClr w14:val="000000">
                      <w14:alpha w14:val="100000"/>
                    </w14:srgbClr>
                  </w14:solidFill>
                </w14:textFill>
              </w:rPr>
              <w:t>|</w:t>
            </w:r>
          </w:p>
        </w:tc>
        <w:tc>
          <w:tcPr>
            <w:tcW w:w="698" w:type="pct"/>
            <w:shd w:val="clear" w:color="auto" w:fill="auto"/>
            <w:vAlign w:val="center"/>
          </w:tcPr>
          <w:p w14:paraId="3780DDD1" w14:textId="7058E191" w:rsidR="006B3342" w:rsidRPr="000B52C6" w:rsidRDefault="006B3342" w:rsidP="00E60468">
            <w:pPr>
              <w:pStyle w:val="TableText0"/>
              <w:jc w:val="center"/>
              <w:rPr>
                <w:bCs w:val="0"/>
              </w:rPr>
            </w:pPr>
            <w:r w:rsidRPr="000B52C6">
              <w:rPr>
                <w:bCs w:val="0"/>
              </w:rPr>
              <w:t>$</w:t>
            </w:r>
            <w:r w:rsidR="00DB2D11" w:rsidRPr="00DB2D11">
              <w:rPr>
                <w:bCs w:val="0"/>
                <w:color w:val="000000"/>
                <w:shd w:val="solid" w:color="000000" w:fill="000000"/>
                <w14:textFill>
                  <w14:solidFill>
                    <w14:srgbClr w14:val="000000">
                      <w14:alpha w14:val="100000"/>
                    </w14:srgbClr>
                  </w14:solidFill>
                </w14:textFill>
              </w:rPr>
              <w:t>|</w:t>
            </w:r>
          </w:p>
        </w:tc>
        <w:tc>
          <w:tcPr>
            <w:tcW w:w="696" w:type="pct"/>
            <w:shd w:val="clear" w:color="auto" w:fill="auto"/>
            <w:vAlign w:val="center"/>
          </w:tcPr>
          <w:p w14:paraId="65CA681A" w14:textId="77777777" w:rsidR="006B3342" w:rsidRPr="000B52C6" w:rsidRDefault="006B3342" w:rsidP="00E60468">
            <w:pPr>
              <w:pStyle w:val="TableText0"/>
              <w:jc w:val="center"/>
              <w:rPr>
                <w:bCs w:val="0"/>
              </w:rPr>
            </w:pPr>
            <w:r w:rsidRPr="000B52C6">
              <w:rPr>
                <w:bCs w:val="0"/>
              </w:rPr>
              <w:t>NE</w:t>
            </w:r>
          </w:p>
        </w:tc>
        <w:tc>
          <w:tcPr>
            <w:tcW w:w="699" w:type="pct"/>
            <w:shd w:val="clear" w:color="auto" w:fill="auto"/>
            <w:vAlign w:val="center"/>
          </w:tcPr>
          <w:p w14:paraId="21088ABC" w14:textId="47BD95D0" w:rsidR="006B3342" w:rsidRPr="000B52C6" w:rsidRDefault="006B3342" w:rsidP="00E60468">
            <w:pPr>
              <w:pStyle w:val="TableText0"/>
              <w:jc w:val="center"/>
              <w:rPr>
                <w:bCs w:val="0"/>
              </w:rPr>
            </w:pPr>
            <w:r w:rsidRPr="000B52C6">
              <w:rPr>
                <w:bCs w:val="0"/>
              </w:rPr>
              <w:t>$</w:t>
            </w:r>
            <w:r w:rsidR="00DB2D11" w:rsidRPr="00DB2D11">
              <w:rPr>
                <w:bCs w:val="0"/>
                <w:color w:val="000000"/>
                <w:shd w:val="solid" w:color="000000" w:fill="000000"/>
                <w14:textFill>
                  <w14:solidFill>
                    <w14:srgbClr w14:val="000000">
                      <w14:alpha w14:val="100000"/>
                    </w14:srgbClr>
                  </w14:solidFill>
                </w14:textFill>
              </w:rPr>
              <w:t>|</w:t>
            </w:r>
          </w:p>
        </w:tc>
        <w:tc>
          <w:tcPr>
            <w:tcW w:w="699" w:type="pct"/>
          </w:tcPr>
          <w:p w14:paraId="5FBF073E" w14:textId="0E3382CE" w:rsidR="006B3342" w:rsidRPr="000B52C6" w:rsidRDefault="006B3342" w:rsidP="00E60468">
            <w:pPr>
              <w:pStyle w:val="TableText0"/>
              <w:jc w:val="center"/>
              <w:rPr>
                <w:bCs w:val="0"/>
              </w:rPr>
            </w:pPr>
            <w:r w:rsidRPr="000B52C6">
              <w:rPr>
                <w:bCs w:val="0"/>
              </w:rPr>
              <w:t>$</w:t>
            </w:r>
            <w:r w:rsidR="00DB2D11" w:rsidRPr="00DB2D11">
              <w:rPr>
                <w:bCs w:val="0"/>
                <w:color w:val="000000"/>
                <w:shd w:val="solid" w:color="000000" w:fill="000000"/>
                <w14:textFill>
                  <w14:solidFill>
                    <w14:srgbClr w14:val="000000">
                      <w14:alpha w14:val="100000"/>
                    </w14:srgbClr>
                  </w14:solidFill>
                </w14:textFill>
              </w:rPr>
              <w:t>|</w:t>
            </w:r>
          </w:p>
        </w:tc>
      </w:tr>
    </w:tbl>
    <w:p w14:paraId="29EA515B" w14:textId="77777777" w:rsidR="006B3342" w:rsidRPr="000B52C6" w:rsidRDefault="006B3342" w:rsidP="00E60468">
      <w:pPr>
        <w:pStyle w:val="TableFigureFooter"/>
        <w:keepNext/>
      </w:pPr>
      <w:r w:rsidRPr="000B52C6">
        <w:t xml:space="preserve">Source: Table 3-6, p161 of the resubmission. </w:t>
      </w:r>
    </w:p>
    <w:p w14:paraId="1D3FD346" w14:textId="77777777" w:rsidR="006B3342" w:rsidRPr="000B52C6" w:rsidRDefault="006B3342" w:rsidP="00E60468">
      <w:pPr>
        <w:pStyle w:val="TableFigureFooter"/>
        <w:keepNext/>
      </w:pPr>
      <w:r w:rsidRPr="000B52C6">
        <w:t xml:space="preserve">Abbreviations: Cd = carfilzomib + dexamethasone; CMA = cost-minimisation analysis; mg = milligram; </w:t>
      </w:r>
      <w:proofErr w:type="spellStart"/>
      <w:r w:rsidRPr="000B52C6">
        <w:t>SBd</w:t>
      </w:r>
      <w:proofErr w:type="spellEnd"/>
      <w:r w:rsidRPr="000B52C6">
        <w:t xml:space="preserve"> = </w:t>
      </w:r>
      <w:proofErr w:type="spellStart"/>
      <w:r w:rsidRPr="000B52C6">
        <w:t>selinexor</w:t>
      </w:r>
      <w:proofErr w:type="spellEnd"/>
      <w:r w:rsidRPr="000B52C6">
        <w:t xml:space="preserve"> + bortezomib + dexamethasone; NE = not estimated; NR = not reported by the resubmission.</w:t>
      </w:r>
    </w:p>
    <w:p w14:paraId="3498D549" w14:textId="77777777" w:rsidR="006B3342" w:rsidRPr="000B52C6" w:rsidRDefault="006B3342" w:rsidP="00E60468">
      <w:pPr>
        <w:pStyle w:val="TableFigureFooter"/>
        <w:keepNext/>
      </w:pPr>
      <w:r w:rsidRPr="000B52C6">
        <w:t xml:space="preserve">Notes: a. Selinexor median dose was 80 mg once weekly. </w:t>
      </w:r>
    </w:p>
    <w:p w14:paraId="663B157A" w14:textId="77777777" w:rsidR="006B3342" w:rsidRPr="000B52C6" w:rsidRDefault="006B3342" w:rsidP="00E60468">
      <w:pPr>
        <w:pStyle w:val="TableFigureFooter"/>
        <w:keepNext/>
      </w:pPr>
      <w:r w:rsidRPr="000B52C6">
        <w:t xml:space="preserve">b. Based on BOSTON February 2020 data cut-off. </w:t>
      </w:r>
    </w:p>
    <w:p w14:paraId="03B3DFDC" w14:textId="77777777" w:rsidR="006B3342" w:rsidRPr="000B52C6" w:rsidRDefault="006B3342" w:rsidP="006B3342">
      <w:pPr>
        <w:pStyle w:val="TableFigureFooter"/>
      </w:pPr>
      <w:r w:rsidRPr="000B52C6">
        <w:t>c. Based on ENDEAVOR November 2014 data cut-off (</w:t>
      </w:r>
      <w:proofErr w:type="spellStart"/>
      <w:r w:rsidRPr="000B52C6">
        <w:t>Dimopoulos</w:t>
      </w:r>
      <w:proofErr w:type="spellEnd"/>
      <w:r w:rsidRPr="000B52C6">
        <w:t xml:space="preserve"> et al. 2016).</w:t>
      </w:r>
    </w:p>
    <w:p w14:paraId="269FBC09" w14:textId="77777777" w:rsidR="006B3342" w:rsidRPr="000B52C6" w:rsidRDefault="006B3342" w:rsidP="006B3342">
      <w:pPr>
        <w:pStyle w:val="TableFigureFooter"/>
      </w:pPr>
      <w:bookmarkStart w:id="55" w:name="_Toc22897647"/>
      <w:bookmarkStart w:id="56" w:name="_Toc22897650"/>
    </w:p>
    <w:p w14:paraId="33E9ACCF" w14:textId="77777777" w:rsidR="00941D10" w:rsidRPr="000B52C6" w:rsidRDefault="00941D10" w:rsidP="00941D10">
      <w:pPr>
        <w:pStyle w:val="4-SubsectionHeading"/>
      </w:pPr>
      <w:bookmarkStart w:id="57" w:name="_Toc93429930"/>
      <w:bookmarkEnd w:id="55"/>
      <w:bookmarkEnd w:id="56"/>
      <w:r w:rsidRPr="000B52C6">
        <w:t>Estimated PBS usage &amp; financial implications</w:t>
      </w:r>
      <w:bookmarkEnd w:id="57"/>
    </w:p>
    <w:p w14:paraId="42A30CC1" w14:textId="1A4A078D" w:rsidR="00976BE2" w:rsidRPr="000B52C6" w:rsidRDefault="00976BE2" w:rsidP="00976BE2">
      <w:pPr>
        <w:pStyle w:val="3-BodyText"/>
        <w:ind w:left="720" w:hanging="720"/>
      </w:pPr>
      <w:r w:rsidRPr="000B52C6">
        <w:t xml:space="preserve">This resubmission </w:t>
      </w:r>
      <w:r w:rsidR="0044128A" w:rsidRPr="000B52C6">
        <w:t xml:space="preserve">was </w:t>
      </w:r>
      <w:r w:rsidRPr="000B52C6">
        <w:t xml:space="preserve">not considered by DUSC. </w:t>
      </w:r>
    </w:p>
    <w:p w14:paraId="042D228E" w14:textId="749D958C" w:rsidR="00976BE2" w:rsidRPr="000B52C6" w:rsidRDefault="00976BE2" w:rsidP="00976BE2">
      <w:pPr>
        <w:pStyle w:val="3-BodyText"/>
        <w:ind w:left="720" w:hanging="720"/>
      </w:pPr>
      <w:r w:rsidRPr="000B52C6">
        <w:t xml:space="preserve">The resubmission used a market share approach to estimate the market size and financial implications of listing </w:t>
      </w:r>
      <w:proofErr w:type="spellStart"/>
      <w:r w:rsidRPr="000B52C6">
        <w:t>SBd</w:t>
      </w:r>
      <w:proofErr w:type="spellEnd"/>
      <w:r w:rsidRPr="000B52C6">
        <w:t xml:space="preserve"> based on assumed substitution of the </w:t>
      </w:r>
      <w:proofErr w:type="gramStart"/>
      <w:r w:rsidRPr="000B52C6">
        <w:t>comparator;</w:t>
      </w:r>
      <w:proofErr w:type="gramEnd"/>
      <w:r w:rsidRPr="000B52C6">
        <w:t xml:space="preserve"> Cd. This was consistent with the PBAC’s consideration of the July 2021 submission, that a market share approach may have been more appropriate to estimate the market size of </w:t>
      </w:r>
      <w:proofErr w:type="spellStart"/>
      <w:r w:rsidRPr="000B52C6">
        <w:t>selinexor</w:t>
      </w:r>
      <w:proofErr w:type="spellEnd"/>
      <w:r w:rsidRPr="000B52C6">
        <w:t xml:space="preserve"> (</w:t>
      </w:r>
      <w:r w:rsidRPr="000B52C6">
        <w:rPr>
          <w:iCs/>
        </w:rPr>
        <w:t xml:space="preserve">Para 6.84, Selinexor (RRMM), PBAC </w:t>
      </w:r>
      <w:r w:rsidR="00251F38">
        <w:rPr>
          <w:iCs/>
        </w:rPr>
        <w:t>PSD</w:t>
      </w:r>
      <w:r w:rsidRPr="000B52C6">
        <w:rPr>
          <w:iCs/>
        </w:rPr>
        <w:t>, July 2021 PBAC meeting)</w:t>
      </w:r>
      <w:r w:rsidRPr="000B52C6">
        <w:t xml:space="preserve">. The July 2021 submission used an epidemiological approach to estimate the financial implications of listing </w:t>
      </w:r>
      <w:proofErr w:type="spellStart"/>
      <w:r w:rsidR="00BF3D31" w:rsidRPr="000B52C6">
        <w:t>selinexor</w:t>
      </w:r>
      <w:proofErr w:type="spellEnd"/>
      <w:r w:rsidR="00BF3D31" w:rsidRPr="000B52C6">
        <w:t xml:space="preserve">. </w:t>
      </w:r>
    </w:p>
    <w:p w14:paraId="52935E47" w14:textId="5C7F0D60" w:rsidR="00976BE2" w:rsidRPr="000B52C6" w:rsidRDefault="00976BE2" w:rsidP="00976BE2">
      <w:pPr>
        <w:pStyle w:val="3-BodyText"/>
        <w:ind w:left="720" w:hanging="720"/>
      </w:pPr>
      <w:r w:rsidRPr="000B52C6">
        <w:t xml:space="preserve">The resubmission provided financial estimates based on the proposed published prices for </w:t>
      </w:r>
      <w:proofErr w:type="spellStart"/>
      <w:r w:rsidRPr="000B52C6">
        <w:t>selinexor</w:t>
      </w:r>
      <w:proofErr w:type="spellEnd"/>
      <w:r w:rsidRPr="000B52C6">
        <w:t xml:space="preserve"> (16 pack and 20 pack). In addition, the resubmission provided financial estimates using an assumed effective price for carfilzomib (assum</w:t>
      </w:r>
      <w:r w:rsidR="00AA4695" w:rsidRPr="000B52C6">
        <w:t>ing</w:t>
      </w:r>
      <w:r w:rsidRPr="000B52C6">
        <w:t xml:space="preserve"> a 40% rebate) and the consequent cost-minimising price of </w:t>
      </w:r>
      <w:proofErr w:type="spellStart"/>
      <w:r w:rsidRPr="000B52C6">
        <w:t>selinexor</w:t>
      </w:r>
      <w:proofErr w:type="spellEnd"/>
      <w:r w:rsidRPr="000B52C6">
        <w:t xml:space="preserve"> based on 100% dose intensity</w:t>
      </w:r>
      <w:r w:rsidR="009534BC" w:rsidRPr="000B52C6">
        <w:t xml:space="preserve"> (assumed effective price of </w:t>
      </w:r>
      <w:proofErr w:type="spellStart"/>
      <w:r w:rsidR="009534BC" w:rsidRPr="000B52C6">
        <w:t>selinexor</w:t>
      </w:r>
      <w:proofErr w:type="spellEnd"/>
      <w:r w:rsidR="009534BC" w:rsidRPr="000B52C6">
        <w:t xml:space="preserve"> used in the financial estimates)</w:t>
      </w:r>
      <w:r w:rsidRPr="000B52C6">
        <w:t xml:space="preserve">. </w:t>
      </w:r>
    </w:p>
    <w:p w14:paraId="7A94A893" w14:textId="2FE9CA03" w:rsidR="00976BE2" w:rsidRPr="000B52C6" w:rsidRDefault="00976BE2" w:rsidP="00976BE2">
      <w:pPr>
        <w:pStyle w:val="3-BodyText"/>
        <w:ind w:left="720" w:hanging="720"/>
      </w:pPr>
      <w:r w:rsidRPr="000B52C6">
        <w:t xml:space="preserve">A summary of key inputs </w:t>
      </w:r>
      <w:r w:rsidR="00020CF8" w:rsidRPr="000B52C6">
        <w:t>for</w:t>
      </w:r>
      <w:r w:rsidRPr="000B52C6">
        <w:t xml:space="preserve"> the financial estimates is provided in </w:t>
      </w:r>
      <w:r w:rsidRPr="000B52C6">
        <w:rPr>
          <w:highlight w:val="yellow"/>
        </w:rPr>
        <w:fldChar w:fldCharType="begin"/>
      </w:r>
      <w:r w:rsidRPr="000B52C6">
        <w:instrText xml:space="preserve"> REF _Ref90371046 \h </w:instrText>
      </w:r>
      <w:r w:rsidRPr="000B52C6">
        <w:rPr>
          <w:highlight w:val="yellow"/>
        </w:rPr>
      </w:r>
      <w:r w:rsidRPr="000B52C6">
        <w:rPr>
          <w:highlight w:val="yellow"/>
        </w:rPr>
        <w:fldChar w:fldCharType="separate"/>
      </w:r>
      <w:r w:rsidR="00FF5725" w:rsidRPr="000B52C6">
        <w:t xml:space="preserve">Table </w:t>
      </w:r>
      <w:r w:rsidR="00FF5725">
        <w:rPr>
          <w:noProof/>
        </w:rPr>
        <w:t>22</w:t>
      </w:r>
      <w:r w:rsidRPr="000B52C6">
        <w:rPr>
          <w:highlight w:val="yellow"/>
        </w:rPr>
        <w:fldChar w:fldCharType="end"/>
      </w:r>
      <w:r w:rsidRPr="000B52C6">
        <w:t>.</w:t>
      </w:r>
    </w:p>
    <w:p w14:paraId="341406FD" w14:textId="2ED731EC" w:rsidR="00976BE2" w:rsidRPr="000B52C6" w:rsidRDefault="00976BE2" w:rsidP="00E60468">
      <w:pPr>
        <w:pStyle w:val="TableFigureHeading"/>
        <w:keepLines/>
        <w:rPr>
          <w:rStyle w:val="CommentReference"/>
          <w:rFonts w:ascii="Calibri" w:hAnsi="Calibri"/>
          <w:b/>
          <w:bCs w:val="0"/>
          <w:sz w:val="18"/>
          <w:szCs w:val="18"/>
        </w:rPr>
      </w:pPr>
      <w:bookmarkStart w:id="58" w:name="_Ref90371046"/>
      <w:r w:rsidRPr="000B52C6">
        <w:t xml:space="preserve">Table </w:t>
      </w:r>
      <w:r w:rsidR="00FF5725">
        <w:fldChar w:fldCharType="begin"/>
      </w:r>
      <w:r w:rsidR="00FF5725">
        <w:instrText xml:space="preserve"> SEQ Tabl</w:instrText>
      </w:r>
      <w:r w:rsidR="00FF5725">
        <w:instrText xml:space="preserve">e \* ARABIC </w:instrText>
      </w:r>
      <w:r w:rsidR="00FF5725">
        <w:fldChar w:fldCharType="separate"/>
      </w:r>
      <w:r w:rsidR="00FF5725">
        <w:rPr>
          <w:noProof/>
        </w:rPr>
        <w:t>22</w:t>
      </w:r>
      <w:r w:rsidR="00FF5725">
        <w:fldChar w:fldCharType="end"/>
      </w:r>
      <w:bookmarkEnd w:id="58"/>
      <w:r w:rsidRPr="000B52C6">
        <w:t>: Key inputs for financial estimates</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6"/>
        <w:gridCol w:w="1416"/>
        <w:gridCol w:w="1698"/>
        <w:gridCol w:w="4678"/>
      </w:tblGrid>
      <w:tr w:rsidR="00976BE2" w:rsidRPr="000B52C6" w14:paraId="1C5B010B" w14:textId="77777777" w:rsidTr="00DB1237">
        <w:trPr>
          <w:tblHeader/>
        </w:trPr>
        <w:tc>
          <w:tcPr>
            <w:tcW w:w="769" w:type="pct"/>
            <w:tcBorders>
              <w:top w:val="single" w:sz="4" w:space="0" w:color="auto"/>
              <w:left w:val="single" w:sz="4" w:space="0" w:color="auto"/>
              <w:bottom w:val="single" w:sz="4" w:space="0" w:color="auto"/>
              <w:right w:val="single" w:sz="4" w:space="0" w:color="auto"/>
            </w:tcBorders>
            <w:vAlign w:val="center"/>
            <w:hideMark/>
          </w:tcPr>
          <w:p w14:paraId="7F5CEDD9" w14:textId="77777777" w:rsidR="00976BE2" w:rsidRPr="000B52C6" w:rsidRDefault="00976BE2" w:rsidP="00E60468">
            <w:pPr>
              <w:pStyle w:val="In-tableHeading"/>
              <w:rPr>
                <w:lang w:val="en-AU"/>
              </w:rPr>
            </w:pPr>
            <w:r w:rsidRPr="000B52C6">
              <w:rPr>
                <w:lang w:val="en-AU"/>
              </w:rPr>
              <w:t>Parameter</w:t>
            </w:r>
          </w:p>
        </w:tc>
        <w:tc>
          <w:tcPr>
            <w:tcW w:w="769" w:type="pct"/>
            <w:tcBorders>
              <w:top w:val="single" w:sz="4" w:space="0" w:color="auto"/>
              <w:left w:val="single" w:sz="4" w:space="0" w:color="auto"/>
              <w:bottom w:val="single" w:sz="4" w:space="0" w:color="auto"/>
              <w:right w:val="single" w:sz="4" w:space="0" w:color="auto"/>
            </w:tcBorders>
            <w:vAlign w:val="center"/>
            <w:hideMark/>
          </w:tcPr>
          <w:p w14:paraId="2B1DAB26" w14:textId="77777777" w:rsidR="00976BE2" w:rsidRPr="000B52C6" w:rsidRDefault="00976BE2" w:rsidP="00E60468">
            <w:pPr>
              <w:pStyle w:val="In-tableHeading"/>
              <w:rPr>
                <w:lang w:val="en-AU"/>
              </w:rPr>
            </w:pPr>
            <w:r w:rsidRPr="000B52C6">
              <w:rPr>
                <w:lang w:val="en-AU"/>
              </w:rPr>
              <w:t xml:space="preserve">Value applied </w:t>
            </w:r>
          </w:p>
        </w:tc>
        <w:tc>
          <w:tcPr>
            <w:tcW w:w="922" w:type="pct"/>
            <w:tcBorders>
              <w:top w:val="single" w:sz="4" w:space="0" w:color="auto"/>
              <w:left w:val="single" w:sz="4" w:space="0" w:color="auto"/>
              <w:bottom w:val="single" w:sz="4" w:space="0" w:color="auto"/>
              <w:right w:val="single" w:sz="4" w:space="0" w:color="auto"/>
            </w:tcBorders>
            <w:hideMark/>
          </w:tcPr>
          <w:p w14:paraId="2C3B9A76" w14:textId="77777777" w:rsidR="00976BE2" w:rsidRPr="000B52C6" w:rsidRDefault="00976BE2" w:rsidP="00E60468">
            <w:pPr>
              <w:pStyle w:val="In-tableHeading"/>
              <w:rPr>
                <w:lang w:val="en-AU"/>
              </w:rPr>
            </w:pPr>
            <w:r w:rsidRPr="000B52C6">
              <w:rPr>
                <w:lang w:val="en-AU"/>
              </w:rPr>
              <w:t xml:space="preserve">Source </w:t>
            </w:r>
          </w:p>
        </w:tc>
        <w:tc>
          <w:tcPr>
            <w:tcW w:w="2539" w:type="pct"/>
            <w:tcBorders>
              <w:top w:val="single" w:sz="4" w:space="0" w:color="auto"/>
              <w:left w:val="single" w:sz="4" w:space="0" w:color="auto"/>
              <w:bottom w:val="single" w:sz="4" w:space="0" w:color="auto"/>
              <w:right w:val="single" w:sz="4" w:space="0" w:color="auto"/>
            </w:tcBorders>
            <w:vAlign w:val="center"/>
            <w:hideMark/>
          </w:tcPr>
          <w:p w14:paraId="05A1698D" w14:textId="77777777" w:rsidR="00976BE2" w:rsidRPr="000B52C6" w:rsidRDefault="00976BE2" w:rsidP="00E60468">
            <w:pPr>
              <w:pStyle w:val="In-tableHeading"/>
              <w:rPr>
                <w:lang w:val="en-AU"/>
              </w:rPr>
            </w:pPr>
            <w:r w:rsidRPr="000B52C6">
              <w:rPr>
                <w:lang w:val="en-AU"/>
              </w:rPr>
              <w:t>Comment</w:t>
            </w:r>
          </w:p>
        </w:tc>
      </w:tr>
      <w:tr w:rsidR="00976BE2" w:rsidRPr="000B52C6" w14:paraId="461D4AB4" w14:textId="77777777" w:rsidTr="00DB1237">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A43CD06" w14:textId="77777777" w:rsidR="00976BE2" w:rsidRPr="000B52C6" w:rsidRDefault="00976BE2" w:rsidP="00E60468">
            <w:pPr>
              <w:pStyle w:val="In-tableHeading"/>
              <w:rPr>
                <w:lang w:val="en-AU"/>
              </w:rPr>
            </w:pPr>
            <w:r w:rsidRPr="000B52C6">
              <w:rPr>
                <w:lang w:val="en-AU"/>
              </w:rPr>
              <w:t>Historical utilization of comparator</w:t>
            </w:r>
          </w:p>
        </w:tc>
      </w:tr>
      <w:tr w:rsidR="00976BE2" w:rsidRPr="000B52C6" w14:paraId="6F3B8271" w14:textId="77777777" w:rsidTr="00DB1237">
        <w:tc>
          <w:tcPr>
            <w:tcW w:w="769" w:type="pct"/>
            <w:tcBorders>
              <w:top w:val="single" w:sz="4" w:space="0" w:color="auto"/>
              <w:left w:val="single" w:sz="4" w:space="0" w:color="auto"/>
              <w:bottom w:val="single" w:sz="4" w:space="0" w:color="auto"/>
              <w:right w:val="single" w:sz="4" w:space="0" w:color="auto"/>
            </w:tcBorders>
            <w:vAlign w:val="center"/>
            <w:hideMark/>
          </w:tcPr>
          <w:p w14:paraId="6CC7A7F7" w14:textId="77777777" w:rsidR="00976BE2" w:rsidRPr="000B52C6" w:rsidRDefault="00976BE2" w:rsidP="00E60468">
            <w:pPr>
              <w:pStyle w:val="TableText0"/>
            </w:pPr>
            <w:r w:rsidRPr="000B52C6">
              <w:t>Number of twice weekly carfilzomib scripts occupying the RRMM market per annum</w:t>
            </w:r>
          </w:p>
        </w:tc>
        <w:tc>
          <w:tcPr>
            <w:tcW w:w="769" w:type="pct"/>
            <w:tcBorders>
              <w:top w:val="single" w:sz="4" w:space="0" w:color="auto"/>
              <w:left w:val="single" w:sz="4" w:space="0" w:color="auto"/>
              <w:bottom w:val="single" w:sz="4" w:space="0" w:color="auto"/>
              <w:right w:val="single" w:sz="4" w:space="0" w:color="auto"/>
            </w:tcBorders>
            <w:vAlign w:val="center"/>
            <w:hideMark/>
          </w:tcPr>
          <w:p w14:paraId="4283A0FF" w14:textId="77777777" w:rsidR="00976BE2" w:rsidRPr="000B52C6" w:rsidRDefault="00976BE2" w:rsidP="00E60468">
            <w:pPr>
              <w:pStyle w:val="TableText0"/>
            </w:pPr>
            <w:r w:rsidRPr="00A02D03">
              <w:t>23,753</w:t>
            </w:r>
            <w:r w:rsidRPr="000B52C6">
              <w:t xml:space="preserve"> scripts</w:t>
            </w:r>
          </w:p>
        </w:tc>
        <w:tc>
          <w:tcPr>
            <w:tcW w:w="922" w:type="pct"/>
            <w:tcBorders>
              <w:top w:val="single" w:sz="4" w:space="0" w:color="auto"/>
              <w:left w:val="single" w:sz="4" w:space="0" w:color="auto"/>
              <w:bottom w:val="single" w:sz="4" w:space="0" w:color="auto"/>
              <w:right w:val="single" w:sz="4" w:space="0" w:color="auto"/>
            </w:tcBorders>
            <w:vAlign w:val="center"/>
            <w:hideMark/>
          </w:tcPr>
          <w:p w14:paraId="4EC430A0" w14:textId="77777777" w:rsidR="00976BE2" w:rsidRPr="000B52C6" w:rsidRDefault="00976BE2" w:rsidP="00E60468">
            <w:pPr>
              <w:pStyle w:val="TableText0"/>
            </w:pPr>
            <w:r w:rsidRPr="000B52C6">
              <w:t>Estimated by the resubmission</w:t>
            </w:r>
          </w:p>
        </w:tc>
        <w:tc>
          <w:tcPr>
            <w:tcW w:w="2539" w:type="pct"/>
            <w:tcBorders>
              <w:top w:val="single" w:sz="4" w:space="0" w:color="auto"/>
              <w:left w:val="single" w:sz="4" w:space="0" w:color="auto"/>
              <w:bottom w:val="single" w:sz="4" w:space="0" w:color="auto"/>
              <w:right w:val="single" w:sz="4" w:space="0" w:color="auto"/>
            </w:tcBorders>
            <w:vAlign w:val="center"/>
            <w:hideMark/>
          </w:tcPr>
          <w:p w14:paraId="578A49BB" w14:textId="4C2EE1E0" w:rsidR="00976BE2" w:rsidRPr="000B52C6" w:rsidRDefault="00976BE2" w:rsidP="00E60468">
            <w:pPr>
              <w:pStyle w:val="TableText0"/>
            </w:pPr>
            <w:r w:rsidRPr="000B52C6">
              <w:t xml:space="preserve">The resubmission assumed a constant twice weekly regimen scripts across the six-year analysis period by reasoning carfilzomib has achieved its optimal market share. </w:t>
            </w:r>
          </w:p>
        </w:tc>
      </w:tr>
      <w:tr w:rsidR="00976BE2" w:rsidRPr="000B52C6" w14:paraId="2782A730" w14:textId="77777777" w:rsidTr="00DB1237">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9081E63" w14:textId="77777777" w:rsidR="00976BE2" w:rsidRPr="000B52C6" w:rsidRDefault="00976BE2" w:rsidP="00E60468">
            <w:pPr>
              <w:pStyle w:val="In-tableHeading"/>
              <w:rPr>
                <w:lang w:val="en-AU"/>
              </w:rPr>
            </w:pPr>
            <w:r w:rsidRPr="000B52C6">
              <w:rPr>
                <w:lang w:val="en-AU"/>
              </w:rPr>
              <w:t>Treatment utilisation</w:t>
            </w:r>
          </w:p>
        </w:tc>
      </w:tr>
      <w:tr w:rsidR="00976BE2" w:rsidRPr="000B52C6" w14:paraId="13F48F03" w14:textId="77777777" w:rsidTr="00DB1237">
        <w:tc>
          <w:tcPr>
            <w:tcW w:w="769" w:type="pct"/>
            <w:tcBorders>
              <w:top w:val="single" w:sz="4" w:space="0" w:color="auto"/>
              <w:left w:val="single" w:sz="4" w:space="0" w:color="auto"/>
              <w:bottom w:val="single" w:sz="4" w:space="0" w:color="auto"/>
              <w:right w:val="single" w:sz="4" w:space="0" w:color="auto"/>
            </w:tcBorders>
            <w:vAlign w:val="center"/>
            <w:hideMark/>
          </w:tcPr>
          <w:p w14:paraId="5A54B381" w14:textId="77777777" w:rsidR="00976BE2" w:rsidRPr="000B52C6" w:rsidRDefault="00976BE2" w:rsidP="00E60468">
            <w:pPr>
              <w:pStyle w:val="TableText0"/>
            </w:pPr>
            <w:r w:rsidRPr="000B52C6">
              <w:t>Assumed market share of twice and once weekly carfilzomib</w:t>
            </w:r>
          </w:p>
        </w:tc>
        <w:tc>
          <w:tcPr>
            <w:tcW w:w="769" w:type="pct"/>
            <w:tcBorders>
              <w:top w:val="single" w:sz="4" w:space="0" w:color="auto"/>
              <w:left w:val="single" w:sz="4" w:space="0" w:color="auto"/>
              <w:bottom w:val="single" w:sz="4" w:space="0" w:color="auto"/>
              <w:right w:val="single" w:sz="4" w:space="0" w:color="auto"/>
            </w:tcBorders>
            <w:vAlign w:val="center"/>
            <w:hideMark/>
          </w:tcPr>
          <w:p w14:paraId="7E77383F" w14:textId="77777777" w:rsidR="00976BE2" w:rsidRPr="000B52C6" w:rsidRDefault="00976BE2" w:rsidP="00E60468">
            <w:pPr>
              <w:pStyle w:val="TableText0"/>
            </w:pPr>
            <w:r w:rsidRPr="000B52C6">
              <w:t>20% for twice weekly script and 80% for once weekly script</w:t>
            </w:r>
          </w:p>
        </w:tc>
        <w:tc>
          <w:tcPr>
            <w:tcW w:w="922" w:type="pct"/>
            <w:tcBorders>
              <w:top w:val="single" w:sz="4" w:space="0" w:color="auto"/>
              <w:left w:val="single" w:sz="4" w:space="0" w:color="auto"/>
              <w:bottom w:val="single" w:sz="4" w:space="0" w:color="auto"/>
              <w:right w:val="single" w:sz="4" w:space="0" w:color="auto"/>
            </w:tcBorders>
            <w:vAlign w:val="center"/>
            <w:hideMark/>
          </w:tcPr>
          <w:p w14:paraId="3EB5C7AA" w14:textId="77777777" w:rsidR="00976BE2" w:rsidRPr="000B52C6" w:rsidRDefault="00976BE2" w:rsidP="00E60468">
            <w:pPr>
              <w:pStyle w:val="TableText0"/>
            </w:pPr>
            <w:r w:rsidRPr="000B52C6">
              <w:t>The resubmission made this assumption based on the six-month uptake rate of both scripts since the PBS listing of once weekly scripts in February 2021.</w:t>
            </w:r>
          </w:p>
        </w:tc>
        <w:tc>
          <w:tcPr>
            <w:tcW w:w="2539" w:type="pct"/>
            <w:tcBorders>
              <w:top w:val="single" w:sz="4" w:space="0" w:color="auto"/>
              <w:left w:val="single" w:sz="4" w:space="0" w:color="auto"/>
              <w:bottom w:val="single" w:sz="4" w:space="0" w:color="auto"/>
              <w:right w:val="single" w:sz="4" w:space="0" w:color="auto"/>
            </w:tcBorders>
            <w:vAlign w:val="center"/>
            <w:hideMark/>
          </w:tcPr>
          <w:p w14:paraId="5EB9AB7C" w14:textId="77777777" w:rsidR="00976BE2" w:rsidRPr="000B52C6" w:rsidRDefault="00976BE2" w:rsidP="00E60468">
            <w:pPr>
              <w:pStyle w:val="TableText0"/>
            </w:pPr>
            <w:r w:rsidRPr="000B52C6">
              <w:t>This appears reasonable however, the data upon which this assumption was made was for only the first six-month of once weekly script listing. The resubmission assumed it is likely that the uptake rate will continue to increase before plateauing as observed with the monthly twice weekly scripts carfilzomib use presented by the resubmission. This was reasonable, however the extent to which uptake will continue to increase is uncertain.</w:t>
            </w:r>
          </w:p>
        </w:tc>
      </w:tr>
      <w:tr w:rsidR="00976BE2" w:rsidRPr="000B52C6" w14:paraId="7E6A2D08" w14:textId="77777777" w:rsidTr="00DB1237">
        <w:tc>
          <w:tcPr>
            <w:tcW w:w="769" w:type="pct"/>
            <w:tcBorders>
              <w:top w:val="single" w:sz="4" w:space="0" w:color="auto"/>
              <w:left w:val="single" w:sz="4" w:space="0" w:color="auto"/>
              <w:bottom w:val="single" w:sz="4" w:space="0" w:color="auto"/>
              <w:right w:val="single" w:sz="4" w:space="0" w:color="auto"/>
            </w:tcBorders>
            <w:vAlign w:val="center"/>
            <w:hideMark/>
          </w:tcPr>
          <w:p w14:paraId="281F2D33" w14:textId="77777777" w:rsidR="00976BE2" w:rsidRPr="000B52C6" w:rsidRDefault="00976BE2" w:rsidP="00DB1237">
            <w:pPr>
              <w:pStyle w:val="TableText0"/>
              <w:keepNext w:val="0"/>
            </w:pPr>
            <w:r w:rsidRPr="000B52C6">
              <w:t xml:space="preserve">Uptake (substitution) rate of </w:t>
            </w:r>
            <w:proofErr w:type="spellStart"/>
            <w:r w:rsidRPr="000B52C6">
              <w:t>selinexor</w:t>
            </w:r>
            <w:proofErr w:type="spellEnd"/>
            <w:r w:rsidRPr="000B52C6">
              <w:t xml:space="preserve"> </w:t>
            </w:r>
          </w:p>
        </w:tc>
        <w:tc>
          <w:tcPr>
            <w:tcW w:w="769" w:type="pct"/>
            <w:tcBorders>
              <w:top w:val="single" w:sz="4" w:space="0" w:color="auto"/>
              <w:left w:val="single" w:sz="4" w:space="0" w:color="auto"/>
              <w:bottom w:val="single" w:sz="4" w:space="0" w:color="auto"/>
              <w:right w:val="single" w:sz="4" w:space="0" w:color="auto"/>
            </w:tcBorders>
            <w:vAlign w:val="center"/>
            <w:hideMark/>
          </w:tcPr>
          <w:p w14:paraId="4F15BF77" w14:textId="77777777" w:rsidR="00976BE2" w:rsidRPr="000B52C6" w:rsidRDefault="00976BE2" w:rsidP="00DB1237">
            <w:pPr>
              <w:pStyle w:val="TableText0"/>
              <w:keepNext w:val="0"/>
            </w:pPr>
            <w:proofErr w:type="spellStart"/>
            <w:r w:rsidRPr="000B52C6">
              <w:t>Yr</w:t>
            </w:r>
            <w:proofErr w:type="spellEnd"/>
            <w:r w:rsidRPr="000B52C6">
              <w:t xml:space="preserve"> 1: 20%</w:t>
            </w:r>
          </w:p>
          <w:p w14:paraId="105F0C14" w14:textId="77777777" w:rsidR="00976BE2" w:rsidRPr="000B52C6" w:rsidRDefault="00976BE2" w:rsidP="00DB1237">
            <w:pPr>
              <w:pStyle w:val="TableText0"/>
              <w:keepNext w:val="0"/>
            </w:pPr>
            <w:proofErr w:type="spellStart"/>
            <w:r w:rsidRPr="000B52C6">
              <w:t>Yr</w:t>
            </w:r>
            <w:proofErr w:type="spellEnd"/>
            <w:r w:rsidRPr="000B52C6">
              <w:t xml:space="preserve"> 2: 35%</w:t>
            </w:r>
          </w:p>
          <w:p w14:paraId="295F188F" w14:textId="77777777" w:rsidR="00976BE2" w:rsidRPr="000B52C6" w:rsidRDefault="00976BE2" w:rsidP="00DB1237">
            <w:pPr>
              <w:pStyle w:val="TableText0"/>
              <w:keepNext w:val="0"/>
            </w:pPr>
            <w:proofErr w:type="spellStart"/>
            <w:r w:rsidRPr="000B52C6">
              <w:t>Yr</w:t>
            </w:r>
            <w:proofErr w:type="spellEnd"/>
            <w:r w:rsidRPr="000B52C6">
              <w:t xml:space="preserve"> 3: 50%</w:t>
            </w:r>
          </w:p>
          <w:p w14:paraId="403DEFC1" w14:textId="77777777" w:rsidR="00976BE2" w:rsidRPr="000B52C6" w:rsidRDefault="00976BE2" w:rsidP="00DB1237">
            <w:pPr>
              <w:pStyle w:val="TableText0"/>
              <w:keepNext w:val="0"/>
            </w:pPr>
            <w:proofErr w:type="spellStart"/>
            <w:r w:rsidRPr="000B52C6">
              <w:t>Yr</w:t>
            </w:r>
            <w:proofErr w:type="spellEnd"/>
            <w:r w:rsidRPr="000B52C6">
              <w:t xml:space="preserve"> 4: 50%</w:t>
            </w:r>
          </w:p>
          <w:p w14:paraId="232395BC" w14:textId="77777777" w:rsidR="00976BE2" w:rsidRPr="000B52C6" w:rsidRDefault="00976BE2" w:rsidP="00DB1237">
            <w:pPr>
              <w:pStyle w:val="TableText0"/>
              <w:keepNext w:val="0"/>
            </w:pPr>
            <w:proofErr w:type="spellStart"/>
            <w:r w:rsidRPr="000B52C6">
              <w:t>Yr</w:t>
            </w:r>
            <w:proofErr w:type="spellEnd"/>
            <w:r w:rsidRPr="000B52C6">
              <w:t xml:space="preserve"> 5: 50%</w:t>
            </w:r>
          </w:p>
          <w:p w14:paraId="2733FFE0" w14:textId="77777777" w:rsidR="00976BE2" w:rsidRPr="000B52C6" w:rsidRDefault="00976BE2" w:rsidP="00DB1237">
            <w:pPr>
              <w:pStyle w:val="TableText0"/>
              <w:keepNext w:val="0"/>
            </w:pPr>
            <w:proofErr w:type="spellStart"/>
            <w:r w:rsidRPr="000B52C6">
              <w:t>Yr</w:t>
            </w:r>
            <w:proofErr w:type="spellEnd"/>
            <w:r w:rsidRPr="000B52C6">
              <w:t xml:space="preserve"> 6: 50%</w:t>
            </w:r>
          </w:p>
        </w:tc>
        <w:tc>
          <w:tcPr>
            <w:tcW w:w="922" w:type="pct"/>
            <w:tcBorders>
              <w:top w:val="single" w:sz="4" w:space="0" w:color="auto"/>
              <w:left w:val="single" w:sz="4" w:space="0" w:color="auto"/>
              <w:bottom w:val="single" w:sz="4" w:space="0" w:color="auto"/>
              <w:right w:val="single" w:sz="4" w:space="0" w:color="auto"/>
            </w:tcBorders>
            <w:vAlign w:val="center"/>
            <w:hideMark/>
          </w:tcPr>
          <w:p w14:paraId="10EBFF28" w14:textId="77777777" w:rsidR="00976BE2" w:rsidRPr="000B52C6" w:rsidRDefault="00976BE2" w:rsidP="00DB1237">
            <w:pPr>
              <w:pStyle w:val="TableText0"/>
              <w:keepNext w:val="0"/>
            </w:pPr>
            <w:r w:rsidRPr="000B52C6">
              <w:t>Assumption made by the resubmission</w:t>
            </w:r>
          </w:p>
        </w:tc>
        <w:tc>
          <w:tcPr>
            <w:tcW w:w="2539" w:type="pct"/>
            <w:tcBorders>
              <w:top w:val="single" w:sz="4" w:space="0" w:color="auto"/>
              <w:left w:val="single" w:sz="4" w:space="0" w:color="auto"/>
              <w:bottom w:val="single" w:sz="4" w:space="0" w:color="auto"/>
              <w:right w:val="single" w:sz="4" w:space="0" w:color="auto"/>
            </w:tcBorders>
            <w:vAlign w:val="center"/>
            <w:hideMark/>
          </w:tcPr>
          <w:p w14:paraId="48A85FA6" w14:textId="50B90B6E" w:rsidR="00976BE2" w:rsidRPr="000B52C6" w:rsidRDefault="00976BE2" w:rsidP="00DB1237">
            <w:pPr>
              <w:pStyle w:val="TableText0"/>
              <w:keepNext w:val="0"/>
            </w:pPr>
            <w:r w:rsidRPr="000B52C6">
              <w:t xml:space="preserve">The proposed substitution rate was unsupported. The uptake rates provided by the resubmission may be overestimated, given the toxicity associated with </w:t>
            </w:r>
            <w:proofErr w:type="spellStart"/>
            <w:r w:rsidRPr="000B52C6">
              <w:t>SBd</w:t>
            </w:r>
            <w:proofErr w:type="spellEnd"/>
            <w:r w:rsidRPr="000B52C6">
              <w:t xml:space="preserve">. Of note, the resubmission </w:t>
            </w:r>
            <w:r w:rsidR="00FB14BB" w:rsidRPr="000B52C6">
              <w:t>assumes</w:t>
            </w:r>
            <w:r w:rsidRPr="000B52C6">
              <w:t xml:space="preserve"> substitution of only Cd whereas the July 2021 submission assumed substitution of Bd, Cd and </w:t>
            </w:r>
            <w:proofErr w:type="spellStart"/>
            <w:r w:rsidRPr="000B52C6">
              <w:t>DBd</w:t>
            </w:r>
            <w:proofErr w:type="spellEnd"/>
            <w:r w:rsidRPr="000B52C6">
              <w:t xml:space="preserve">. In addition, the current substitution rate of </w:t>
            </w:r>
            <w:proofErr w:type="spellStart"/>
            <w:r w:rsidRPr="000B52C6">
              <w:t>SBd</w:t>
            </w:r>
            <w:proofErr w:type="spellEnd"/>
            <w:r w:rsidRPr="000B52C6">
              <w:t xml:space="preserve"> for Cd is lower than assumed in the July 2021 submission; 35% in Year 1 increasing to 60% in Year 6 (a 5% incremental increase per year).</w:t>
            </w:r>
          </w:p>
        </w:tc>
      </w:tr>
      <w:tr w:rsidR="00976BE2" w:rsidRPr="000B52C6" w14:paraId="142DDB94" w14:textId="77777777" w:rsidTr="00DB1237">
        <w:tc>
          <w:tcPr>
            <w:tcW w:w="769" w:type="pct"/>
            <w:tcBorders>
              <w:top w:val="single" w:sz="4" w:space="0" w:color="auto"/>
              <w:left w:val="single" w:sz="4" w:space="0" w:color="auto"/>
              <w:bottom w:val="single" w:sz="4" w:space="0" w:color="auto"/>
              <w:right w:val="single" w:sz="4" w:space="0" w:color="auto"/>
            </w:tcBorders>
            <w:vAlign w:val="center"/>
            <w:hideMark/>
          </w:tcPr>
          <w:p w14:paraId="4A4E81EB" w14:textId="77777777" w:rsidR="00976BE2" w:rsidRPr="000B52C6" w:rsidRDefault="00976BE2" w:rsidP="00DB1237">
            <w:pPr>
              <w:pStyle w:val="TableText0"/>
              <w:keepNext w:val="0"/>
            </w:pPr>
            <w:r w:rsidRPr="000B52C6">
              <w:t xml:space="preserve">Proportion of carfilzomib scripts substituted by </w:t>
            </w:r>
            <w:proofErr w:type="spellStart"/>
            <w:r w:rsidRPr="000B52C6">
              <w:t>selinexor</w:t>
            </w:r>
            <w:proofErr w:type="spellEnd"/>
            <w:r w:rsidRPr="000B52C6">
              <w:t xml:space="preserve"> 20 and 16 pack formulation</w:t>
            </w:r>
          </w:p>
        </w:tc>
        <w:tc>
          <w:tcPr>
            <w:tcW w:w="769" w:type="pct"/>
            <w:tcBorders>
              <w:top w:val="single" w:sz="4" w:space="0" w:color="auto"/>
              <w:left w:val="single" w:sz="4" w:space="0" w:color="auto"/>
              <w:bottom w:val="single" w:sz="4" w:space="0" w:color="auto"/>
              <w:right w:val="single" w:sz="4" w:space="0" w:color="auto"/>
            </w:tcBorders>
            <w:vAlign w:val="center"/>
            <w:hideMark/>
          </w:tcPr>
          <w:p w14:paraId="40DAF182" w14:textId="77777777" w:rsidR="00976BE2" w:rsidRPr="000B52C6" w:rsidRDefault="00976BE2" w:rsidP="00DB1237">
            <w:pPr>
              <w:pStyle w:val="TableText0"/>
              <w:keepNext w:val="0"/>
            </w:pPr>
            <w:r w:rsidRPr="000B52C6">
              <w:t>53.97% for the 20 pack and 46.03% for the 16 pack.</w:t>
            </w:r>
          </w:p>
        </w:tc>
        <w:tc>
          <w:tcPr>
            <w:tcW w:w="922" w:type="pct"/>
            <w:tcBorders>
              <w:top w:val="single" w:sz="4" w:space="0" w:color="auto"/>
              <w:left w:val="single" w:sz="4" w:space="0" w:color="auto"/>
              <w:bottom w:val="single" w:sz="4" w:space="0" w:color="auto"/>
              <w:right w:val="single" w:sz="4" w:space="0" w:color="auto"/>
            </w:tcBorders>
            <w:vAlign w:val="center"/>
            <w:hideMark/>
          </w:tcPr>
          <w:p w14:paraId="2A6FD99A" w14:textId="77777777" w:rsidR="00976BE2" w:rsidRPr="000B52C6" w:rsidRDefault="00976BE2" w:rsidP="00DB1237">
            <w:pPr>
              <w:pStyle w:val="TableText0"/>
              <w:keepNext w:val="0"/>
            </w:pPr>
            <w:r w:rsidRPr="000B52C6">
              <w:t xml:space="preserve">This was calculated by the resubmission as the per tablet basis equivalence of the assumed proportions of 48.4% for 20 pack and 51.6% for 16 pack. </w:t>
            </w:r>
          </w:p>
        </w:tc>
        <w:tc>
          <w:tcPr>
            <w:tcW w:w="2539" w:type="pct"/>
            <w:tcBorders>
              <w:top w:val="single" w:sz="4" w:space="0" w:color="auto"/>
              <w:left w:val="single" w:sz="4" w:space="0" w:color="auto"/>
              <w:bottom w:val="single" w:sz="4" w:space="0" w:color="auto"/>
              <w:right w:val="single" w:sz="4" w:space="0" w:color="auto"/>
            </w:tcBorders>
            <w:vAlign w:val="center"/>
            <w:hideMark/>
          </w:tcPr>
          <w:p w14:paraId="1FFBA677" w14:textId="77777777" w:rsidR="00976BE2" w:rsidRPr="000B52C6" w:rsidRDefault="00976BE2" w:rsidP="00DB1237">
            <w:pPr>
              <w:pStyle w:val="TableText0"/>
              <w:keepNext w:val="0"/>
            </w:pPr>
            <w:r w:rsidRPr="000B52C6">
              <w:t>This was appropriate.</w:t>
            </w:r>
          </w:p>
        </w:tc>
      </w:tr>
      <w:tr w:rsidR="00976BE2" w:rsidRPr="000B52C6" w14:paraId="7B75A37D" w14:textId="77777777" w:rsidTr="00DB1237">
        <w:tc>
          <w:tcPr>
            <w:tcW w:w="769" w:type="pct"/>
            <w:tcBorders>
              <w:top w:val="single" w:sz="4" w:space="0" w:color="auto"/>
              <w:left w:val="single" w:sz="4" w:space="0" w:color="auto"/>
              <w:bottom w:val="single" w:sz="4" w:space="0" w:color="auto"/>
              <w:right w:val="nil"/>
            </w:tcBorders>
            <w:vAlign w:val="center"/>
            <w:hideMark/>
          </w:tcPr>
          <w:p w14:paraId="3E4D8705" w14:textId="77777777" w:rsidR="00976BE2" w:rsidRPr="000B52C6" w:rsidRDefault="00976BE2" w:rsidP="00DB1237">
            <w:pPr>
              <w:pStyle w:val="In-tableHeading"/>
              <w:keepNext w:val="0"/>
              <w:rPr>
                <w:lang w:val="en-AU"/>
              </w:rPr>
            </w:pPr>
            <w:r w:rsidRPr="000B52C6">
              <w:rPr>
                <w:lang w:val="en-AU"/>
              </w:rPr>
              <w:t xml:space="preserve">Costs </w:t>
            </w:r>
          </w:p>
        </w:tc>
        <w:tc>
          <w:tcPr>
            <w:tcW w:w="769" w:type="pct"/>
            <w:tcBorders>
              <w:top w:val="single" w:sz="4" w:space="0" w:color="auto"/>
              <w:left w:val="nil"/>
              <w:bottom w:val="single" w:sz="4" w:space="0" w:color="auto"/>
              <w:right w:val="nil"/>
            </w:tcBorders>
            <w:vAlign w:val="center"/>
          </w:tcPr>
          <w:p w14:paraId="3F41A4E1" w14:textId="77777777" w:rsidR="00976BE2" w:rsidRPr="000B52C6" w:rsidRDefault="00976BE2" w:rsidP="00DB1237">
            <w:pPr>
              <w:pStyle w:val="TableText0"/>
              <w:keepNext w:val="0"/>
            </w:pPr>
          </w:p>
        </w:tc>
        <w:tc>
          <w:tcPr>
            <w:tcW w:w="922" w:type="pct"/>
            <w:tcBorders>
              <w:top w:val="single" w:sz="4" w:space="0" w:color="auto"/>
              <w:left w:val="nil"/>
              <w:bottom w:val="single" w:sz="4" w:space="0" w:color="auto"/>
              <w:right w:val="nil"/>
            </w:tcBorders>
            <w:vAlign w:val="center"/>
          </w:tcPr>
          <w:p w14:paraId="545F3250" w14:textId="77777777" w:rsidR="00976BE2" w:rsidRPr="000B52C6" w:rsidRDefault="00976BE2" w:rsidP="00DB1237">
            <w:pPr>
              <w:pStyle w:val="TableText0"/>
              <w:keepNext w:val="0"/>
            </w:pPr>
          </w:p>
        </w:tc>
        <w:tc>
          <w:tcPr>
            <w:tcW w:w="2539" w:type="pct"/>
            <w:tcBorders>
              <w:top w:val="single" w:sz="4" w:space="0" w:color="auto"/>
              <w:left w:val="nil"/>
              <w:bottom w:val="single" w:sz="4" w:space="0" w:color="auto"/>
              <w:right w:val="single" w:sz="4" w:space="0" w:color="auto"/>
            </w:tcBorders>
            <w:vAlign w:val="center"/>
          </w:tcPr>
          <w:p w14:paraId="631A1A73" w14:textId="77777777" w:rsidR="00976BE2" w:rsidRPr="000B52C6" w:rsidRDefault="00976BE2" w:rsidP="00DB1237">
            <w:pPr>
              <w:pStyle w:val="TableText0"/>
              <w:keepNext w:val="0"/>
            </w:pPr>
          </w:p>
        </w:tc>
      </w:tr>
      <w:tr w:rsidR="00976BE2" w:rsidRPr="000B52C6" w14:paraId="23EAA60D" w14:textId="77777777" w:rsidTr="00DB1237">
        <w:tc>
          <w:tcPr>
            <w:tcW w:w="769" w:type="pct"/>
            <w:tcBorders>
              <w:top w:val="single" w:sz="4" w:space="0" w:color="auto"/>
              <w:left w:val="single" w:sz="4" w:space="0" w:color="auto"/>
              <w:bottom w:val="single" w:sz="4" w:space="0" w:color="auto"/>
              <w:right w:val="single" w:sz="4" w:space="0" w:color="auto"/>
            </w:tcBorders>
            <w:vAlign w:val="center"/>
            <w:hideMark/>
          </w:tcPr>
          <w:p w14:paraId="6B0DD9F5" w14:textId="77777777" w:rsidR="00976BE2" w:rsidRPr="000B52C6" w:rsidRDefault="00976BE2" w:rsidP="00DB1237">
            <w:pPr>
              <w:pStyle w:val="TableText0"/>
              <w:keepNext w:val="0"/>
            </w:pPr>
            <w:r w:rsidRPr="000B52C6">
              <w:t xml:space="preserve">Proposed medicine: Selinexor </w:t>
            </w:r>
          </w:p>
        </w:tc>
        <w:tc>
          <w:tcPr>
            <w:tcW w:w="769" w:type="pct"/>
            <w:tcBorders>
              <w:top w:val="single" w:sz="4" w:space="0" w:color="auto"/>
              <w:left w:val="single" w:sz="4" w:space="0" w:color="auto"/>
              <w:bottom w:val="single" w:sz="4" w:space="0" w:color="auto"/>
              <w:right w:val="single" w:sz="4" w:space="0" w:color="auto"/>
            </w:tcBorders>
            <w:vAlign w:val="center"/>
            <w:hideMark/>
          </w:tcPr>
          <w:p w14:paraId="0D6F8D69" w14:textId="77777777" w:rsidR="00976BE2" w:rsidRPr="000B52C6" w:rsidRDefault="00976BE2" w:rsidP="00DB1237">
            <w:pPr>
              <w:pStyle w:val="TableText0"/>
              <w:keepNext w:val="0"/>
            </w:pPr>
            <w:r w:rsidRPr="000B52C6">
              <w:t>AEMP</w:t>
            </w:r>
          </w:p>
          <w:p w14:paraId="0B909CEF" w14:textId="6BDB91C3" w:rsidR="00976BE2" w:rsidRPr="000B52C6" w:rsidRDefault="00976BE2" w:rsidP="00DB1237">
            <w:pPr>
              <w:pStyle w:val="TableText0"/>
              <w:keepNext w:val="0"/>
            </w:pPr>
            <w:r w:rsidRPr="000B52C6">
              <w:t>20 X 20 mg = $</w:t>
            </w:r>
            <w:r w:rsidR="00DB2D11" w:rsidRPr="00DB2D11">
              <w:rPr>
                <w:color w:val="000000"/>
                <w:spacing w:val="53"/>
                <w:shd w:val="solid" w:color="000000" w:fill="000000"/>
                <w:fitText w:val="331" w:id="-1500846320"/>
                <w14:textFill>
                  <w14:solidFill>
                    <w14:srgbClr w14:val="000000">
                      <w14:alpha w14:val="100000"/>
                    </w14:srgbClr>
                  </w14:solidFill>
                </w14:textFill>
              </w:rPr>
              <w:t>|||</w:t>
            </w:r>
            <w:r w:rsidR="00DB2D11" w:rsidRPr="00DB2D11">
              <w:rPr>
                <w:color w:val="000000"/>
                <w:spacing w:val="2"/>
                <w:shd w:val="solid" w:color="000000" w:fill="000000"/>
                <w:fitText w:val="331" w:id="-1500846320"/>
                <w14:textFill>
                  <w14:solidFill>
                    <w14:srgbClr w14:val="000000">
                      <w14:alpha w14:val="100000"/>
                    </w14:srgbClr>
                  </w14:solidFill>
                </w14:textFill>
              </w:rPr>
              <w:t>|</w:t>
            </w:r>
            <w:r w:rsidRPr="000B52C6">
              <w:t xml:space="preserve"> </w:t>
            </w:r>
          </w:p>
          <w:p w14:paraId="45E1419C" w14:textId="7130277F" w:rsidR="00976BE2" w:rsidRPr="000B52C6" w:rsidRDefault="00976BE2" w:rsidP="00DB1237">
            <w:pPr>
              <w:pStyle w:val="TableText0"/>
              <w:keepNext w:val="0"/>
            </w:pPr>
            <w:r w:rsidRPr="000B52C6">
              <w:t>16 X 20 mg = $</w:t>
            </w:r>
            <w:r w:rsidR="00DB2D11" w:rsidRPr="00DB2D11">
              <w:rPr>
                <w:color w:val="000000"/>
                <w:spacing w:val="53"/>
                <w:shd w:val="solid" w:color="000000" w:fill="000000"/>
                <w:fitText w:val="331" w:id="-1500846336"/>
                <w14:textFill>
                  <w14:solidFill>
                    <w14:srgbClr w14:val="000000">
                      <w14:alpha w14:val="100000"/>
                    </w14:srgbClr>
                  </w14:solidFill>
                </w14:textFill>
              </w:rPr>
              <w:t>|||</w:t>
            </w:r>
            <w:r w:rsidR="00DB2D11" w:rsidRPr="00DB2D11">
              <w:rPr>
                <w:color w:val="000000"/>
                <w:spacing w:val="2"/>
                <w:shd w:val="solid" w:color="000000" w:fill="000000"/>
                <w:fitText w:val="331" w:id="-1500846336"/>
                <w14:textFill>
                  <w14:solidFill>
                    <w14:srgbClr w14:val="000000">
                      <w14:alpha w14:val="100000"/>
                    </w14:srgbClr>
                  </w14:solidFill>
                </w14:textFill>
              </w:rPr>
              <w:t>|</w:t>
            </w:r>
          </w:p>
        </w:tc>
        <w:tc>
          <w:tcPr>
            <w:tcW w:w="922" w:type="pct"/>
            <w:tcBorders>
              <w:top w:val="single" w:sz="4" w:space="0" w:color="auto"/>
              <w:left w:val="single" w:sz="4" w:space="0" w:color="auto"/>
              <w:bottom w:val="single" w:sz="4" w:space="0" w:color="auto"/>
              <w:right w:val="single" w:sz="4" w:space="0" w:color="auto"/>
            </w:tcBorders>
            <w:vAlign w:val="center"/>
            <w:hideMark/>
          </w:tcPr>
          <w:p w14:paraId="6D9ECDC5" w14:textId="77777777" w:rsidR="00976BE2" w:rsidRPr="000B52C6" w:rsidRDefault="00976BE2" w:rsidP="00DB1237">
            <w:pPr>
              <w:pStyle w:val="TableText0"/>
              <w:keepNext w:val="0"/>
            </w:pPr>
            <w:r w:rsidRPr="000B52C6">
              <w:t>Selinexor 20 X 20 mg tablets and 16 X 20 mg tablets Requested price, weighted AEMP for Public and Private</w:t>
            </w:r>
          </w:p>
        </w:tc>
        <w:tc>
          <w:tcPr>
            <w:tcW w:w="2539" w:type="pct"/>
            <w:tcBorders>
              <w:top w:val="single" w:sz="4" w:space="0" w:color="auto"/>
              <w:left w:val="single" w:sz="4" w:space="0" w:color="auto"/>
              <w:bottom w:val="single" w:sz="4" w:space="0" w:color="auto"/>
              <w:right w:val="single" w:sz="4" w:space="0" w:color="auto"/>
            </w:tcBorders>
            <w:vAlign w:val="center"/>
            <w:hideMark/>
          </w:tcPr>
          <w:p w14:paraId="0048DF14" w14:textId="1F6332BD" w:rsidR="00976BE2" w:rsidRPr="000B52C6" w:rsidRDefault="00976BE2" w:rsidP="00DB1237">
            <w:pPr>
              <w:pStyle w:val="TableText0"/>
              <w:keepNext w:val="0"/>
            </w:pPr>
            <w:r w:rsidRPr="000B52C6">
              <w:t xml:space="preserve">The resubmission did not propose an effective AEMP. The applied published AEMP was consistent with that </w:t>
            </w:r>
            <w:r w:rsidR="0067663A" w:rsidRPr="000B52C6">
              <w:t>requested</w:t>
            </w:r>
            <w:r w:rsidRPr="000B52C6">
              <w:t xml:space="preserve">, however was not based on the cost-minimised price presented in </w:t>
            </w:r>
            <w:r w:rsidR="0067663A" w:rsidRPr="000B52C6">
              <w:t>the CMA</w:t>
            </w:r>
            <w:r w:rsidRPr="000B52C6">
              <w:t xml:space="preserve">. The proposed published AEMP was based on an alternate cost-minimised price based on a dose intensity of </w:t>
            </w:r>
            <w:proofErr w:type="spellStart"/>
            <w:r w:rsidRPr="000B52C6">
              <w:t>selinexor</w:t>
            </w:r>
            <w:proofErr w:type="spellEnd"/>
            <w:r w:rsidRPr="000B52C6">
              <w:t xml:space="preserve"> of 80% rather than 100% as applied in the base case.  </w:t>
            </w:r>
          </w:p>
          <w:p w14:paraId="06A2B3F2" w14:textId="77777777" w:rsidR="00976BE2" w:rsidRPr="000B52C6" w:rsidRDefault="00976BE2" w:rsidP="00DB1237">
            <w:pPr>
              <w:pStyle w:val="TableText0"/>
              <w:keepNext w:val="0"/>
            </w:pPr>
          </w:p>
          <w:p w14:paraId="2ADE0ECD" w14:textId="246E6FD7" w:rsidR="00976BE2" w:rsidRPr="000B52C6" w:rsidRDefault="00976BE2">
            <w:pPr>
              <w:pStyle w:val="TableText0"/>
              <w:keepNext w:val="0"/>
            </w:pPr>
            <w:r w:rsidRPr="000B52C6">
              <w:t>In addition, the resubmission provided financial estimates using an assumed effective price for carfilzomib (assum</w:t>
            </w:r>
            <w:r w:rsidR="00AA4695" w:rsidRPr="000B52C6">
              <w:t>ing</w:t>
            </w:r>
            <w:r w:rsidRPr="000B52C6">
              <w:t xml:space="preserve"> a </w:t>
            </w:r>
            <w:r w:rsidR="00DB2D11" w:rsidRPr="00DB2D11">
              <w:rPr>
                <w:color w:val="000000"/>
                <w:spacing w:val="53"/>
                <w:shd w:val="solid" w:color="000000" w:fill="000000"/>
                <w:fitText w:val="331" w:id="-1500846335"/>
                <w14:textFill>
                  <w14:solidFill>
                    <w14:srgbClr w14:val="000000">
                      <w14:alpha w14:val="100000"/>
                    </w14:srgbClr>
                  </w14:solidFill>
                </w14:textFill>
              </w:rPr>
              <w:t>|||</w:t>
            </w:r>
            <w:r w:rsidR="00DB2D11" w:rsidRPr="00DB2D11">
              <w:rPr>
                <w:color w:val="000000"/>
                <w:spacing w:val="2"/>
                <w:shd w:val="solid" w:color="000000" w:fill="000000"/>
                <w:fitText w:val="331" w:id="-1500846335"/>
                <w14:textFill>
                  <w14:solidFill>
                    <w14:srgbClr w14:val="000000">
                      <w14:alpha w14:val="100000"/>
                    </w14:srgbClr>
                  </w14:solidFill>
                </w14:textFill>
              </w:rPr>
              <w:t>|</w:t>
            </w:r>
            <w:r w:rsidRPr="000B52C6">
              <w:t xml:space="preserve">% rebate) and the consequent cost-minimising price of </w:t>
            </w:r>
            <w:proofErr w:type="spellStart"/>
            <w:r w:rsidRPr="000B52C6">
              <w:t>selinexor</w:t>
            </w:r>
            <w:proofErr w:type="spellEnd"/>
            <w:r w:rsidRPr="000B52C6">
              <w:t xml:space="preserve"> based on 100% dose intensity</w:t>
            </w:r>
            <w:r w:rsidR="00020CF8" w:rsidRPr="000B52C6">
              <w:t xml:space="preserve"> (assumed effective price of </w:t>
            </w:r>
            <w:proofErr w:type="spellStart"/>
            <w:r w:rsidR="00020CF8" w:rsidRPr="000B52C6">
              <w:t>selinexor</w:t>
            </w:r>
            <w:proofErr w:type="spellEnd"/>
            <w:r w:rsidR="00020CF8" w:rsidRPr="000B52C6">
              <w:t xml:space="preserve"> used in financial estimates)</w:t>
            </w:r>
            <w:r w:rsidRPr="000B52C6">
              <w:t>.</w:t>
            </w:r>
          </w:p>
        </w:tc>
      </w:tr>
      <w:tr w:rsidR="00976BE2" w:rsidRPr="000B52C6" w14:paraId="07D69788" w14:textId="77777777" w:rsidTr="00DB1237">
        <w:tc>
          <w:tcPr>
            <w:tcW w:w="769" w:type="pct"/>
            <w:tcBorders>
              <w:top w:val="single" w:sz="4" w:space="0" w:color="auto"/>
              <w:left w:val="single" w:sz="4" w:space="0" w:color="auto"/>
              <w:bottom w:val="single" w:sz="4" w:space="0" w:color="auto"/>
              <w:right w:val="single" w:sz="4" w:space="0" w:color="auto"/>
            </w:tcBorders>
            <w:vAlign w:val="center"/>
            <w:hideMark/>
          </w:tcPr>
          <w:p w14:paraId="7BF110A1" w14:textId="77777777" w:rsidR="00976BE2" w:rsidRPr="000B52C6" w:rsidRDefault="00976BE2" w:rsidP="00DB1237">
            <w:pPr>
              <w:pStyle w:val="TableText0"/>
              <w:keepNext w:val="0"/>
            </w:pPr>
            <w:r w:rsidRPr="000B52C6">
              <w:t>Other medicine included in therapy</w:t>
            </w:r>
          </w:p>
        </w:tc>
        <w:tc>
          <w:tcPr>
            <w:tcW w:w="769" w:type="pct"/>
            <w:tcBorders>
              <w:top w:val="single" w:sz="4" w:space="0" w:color="auto"/>
              <w:left w:val="single" w:sz="4" w:space="0" w:color="auto"/>
              <w:bottom w:val="single" w:sz="4" w:space="0" w:color="auto"/>
              <w:right w:val="single" w:sz="4" w:space="0" w:color="auto"/>
            </w:tcBorders>
            <w:vAlign w:val="center"/>
            <w:hideMark/>
          </w:tcPr>
          <w:p w14:paraId="6A17F91E" w14:textId="77777777" w:rsidR="00976BE2" w:rsidRPr="000B52C6" w:rsidRDefault="00976BE2" w:rsidP="00DB1237">
            <w:pPr>
              <w:jc w:val="left"/>
              <w:rPr>
                <w:rFonts w:ascii="Arial Narrow" w:eastAsiaTheme="majorEastAsia" w:hAnsi="Arial Narrow" w:cs="Angsana New"/>
                <w:bCs/>
                <w:sz w:val="20"/>
                <w:szCs w:val="20"/>
                <w:lang w:bidi="th-TH"/>
              </w:rPr>
            </w:pPr>
            <w:r w:rsidRPr="000B52C6">
              <w:rPr>
                <w:rFonts w:ascii="Arial Narrow" w:eastAsiaTheme="majorEastAsia" w:hAnsi="Arial Narrow" w:cs="Angsana New"/>
                <w:bCs/>
                <w:sz w:val="20"/>
                <w:szCs w:val="20"/>
                <w:lang w:bidi="th-TH"/>
              </w:rPr>
              <w:t>Bortezomib (1,3 and 3.5 mg)</w:t>
            </w:r>
          </w:p>
          <w:p w14:paraId="34BCE976" w14:textId="56D34BFA" w:rsidR="00976BE2" w:rsidRPr="000B52C6" w:rsidRDefault="00976BE2" w:rsidP="00DB1237">
            <w:pPr>
              <w:pStyle w:val="TableText0"/>
              <w:keepNext w:val="0"/>
            </w:pPr>
            <w:r w:rsidRPr="000B52C6">
              <w:rPr>
                <w:rFonts w:cs="Angsana New"/>
                <w:bCs w:val="0"/>
                <w:szCs w:val="20"/>
                <w:lang w:bidi="th-TH"/>
              </w:rPr>
              <w:t>Dispensed price - $592.57, $640.69 (</w:t>
            </w:r>
            <w:r w:rsidR="00E12D78" w:rsidRPr="000B52C6">
              <w:rPr>
                <w:rFonts w:cs="Angsana New"/>
                <w:bCs w:val="0"/>
                <w:szCs w:val="20"/>
                <w:lang w:bidi="th-TH"/>
              </w:rPr>
              <w:t xml:space="preserve">below </w:t>
            </w:r>
            <w:r w:rsidR="00207CE8" w:rsidRPr="000B52C6">
              <w:rPr>
                <w:rFonts w:cs="Angsana New"/>
                <w:bCs w:val="0"/>
                <w:szCs w:val="20"/>
                <w:lang w:bidi="th-TH"/>
              </w:rPr>
              <w:t xml:space="preserve">current </w:t>
            </w:r>
            <w:r w:rsidRPr="000B52C6">
              <w:rPr>
                <w:rFonts w:cs="Angsana New"/>
                <w:bCs w:val="0"/>
                <w:szCs w:val="20"/>
                <w:lang w:bidi="th-TH"/>
              </w:rPr>
              <w:t>published DPMA: $605</w:t>
            </w:r>
            <w:r w:rsidR="00AA4695" w:rsidRPr="000B52C6">
              <w:rPr>
                <w:rFonts w:cs="Angsana New"/>
                <w:bCs w:val="0"/>
                <w:szCs w:val="20"/>
                <w:lang w:bidi="th-TH"/>
              </w:rPr>
              <w:t>.00</w:t>
            </w:r>
            <w:r w:rsidRPr="000B52C6">
              <w:rPr>
                <w:rFonts w:cs="Angsana New"/>
                <w:bCs w:val="0"/>
                <w:szCs w:val="20"/>
                <w:lang w:bidi="th-TH"/>
              </w:rPr>
              <w:t xml:space="preserve">, $653.29) </w:t>
            </w:r>
          </w:p>
        </w:tc>
        <w:tc>
          <w:tcPr>
            <w:tcW w:w="922" w:type="pct"/>
            <w:tcBorders>
              <w:top w:val="single" w:sz="4" w:space="0" w:color="auto"/>
              <w:left w:val="single" w:sz="4" w:space="0" w:color="auto"/>
              <w:bottom w:val="single" w:sz="4" w:space="0" w:color="auto"/>
              <w:right w:val="single" w:sz="4" w:space="0" w:color="auto"/>
            </w:tcBorders>
            <w:vAlign w:val="center"/>
          </w:tcPr>
          <w:p w14:paraId="4E552D7B" w14:textId="77777777" w:rsidR="00976BE2" w:rsidRPr="000B52C6" w:rsidRDefault="00976BE2" w:rsidP="00DB1237">
            <w:pPr>
              <w:jc w:val="left"/>
              <w:rPr>
                <w:rFonts w:ascii="Arial Narrow" w:eastAsiaTheme="majorEastAsia" w:hAnsi="Arial Narrow" w:cs="Angsana New"/>
                <w:bCs/>
                <w:sz w:val="20"/>
                <w:szCs w:val="20"/>
                <w:lang w:bidi="th-TH"/>
              </w:rPr>
            </w:pPr>
            <w:r w:rsidRPr="000B52C6">
              <w:rPr>
                <w:rFonts w:ascii="Arial Narrow" w:eastAsiaTheme="majorEastAsia" w:hAnsi="Arial Narrow" w:cs="Angsana New"/>
                <w:bCs/>
                <w:sz w:val="20"/>
                <w:szCs w:val="20"/>
                <w:lang w:bidi="th-TH"/>
              </w:rPr>
              <w:t>Bortezomib 12219D, 12227M – AEMP for Public and DPMQ for Private</w:t>
            </w:r>
          </w:p>
          <w:p w14:paraId="34BEAAD1" w14:textId="77777777" w:rsidR="00976BE2" w:rsidRPr="000B52C6" w:rsidRDefault="00976BE2" w:rsidP="00DB1237">
            <w:pPr>
              <w:pStyle w:val="TableText0"/>
              <w:keepNext w:val="0"/>
            </w:pPr>
          </w:p>
        </w:tc>
        <w:tc>
          <w:tcPr>
            <w:tcW w:w="2539" w:type="pct"/>
            <w:tcBorders>
              <w:top w:val="single" w:sz="4" w:space="0" w:color="auto"/>
              <w:left w:val="single" w:sz="4" w:space="0" w:color="auto"/>
              <w:bottom w:val="single" w:sz="4" w:space="0" w:color="auto"/>
              <w:right w:val="single" w:sz="4" w:space="0" w:color="auto"/>
            </w:tcBorders>
            <w:vAlign w:val="center"/>
            <w:hideMark/>
          </w:tcPr>
          <w:p w14:paraId="2C52382D" w14:textId="32C65E1F" w:rsidR="00E932AA" w:rsidRPr="000B52C6" w:rsidRDefault="00976BE2">
            <w:pPr>
              <w:pStyle w:val="TableText0"/>
              <w:keepNext w:val="0"/>
              <w:rPr>
                <w:iCs/>
                <w:szCs w:val="20"/>
              </w:rPr>
            </w:pPr>
            <w:r w:rsidRPr="000B52C6">
              <w:rPr>
                <w:iCs/>
                <w:szCs w:val="20"/>
              </w:rPr>
              <w:t xml:space="preserve">B as part of </w:t>
            </w:r>
            <w:proofErr w:type="spellStart"/>
            <w:r w:rsidRPr="000B52C6">
              <w:rPr>
                <w:iCs/>
                <w:szCs w:val="20"/>
              </w:rPr>
              <w:t>SBd</w:t>
            </w:r>
            <w:proofErr w:type="spellEnd"/>
            <w:r w:rsidRPr="000B52C6">
              <w:rPr>
                <w:iCs/>
                <w:szCs w:val="20"/>
              </w:rPr>
              <w:t xml:space="preserve">. The resubmission did not include the costs attributable to dexamethasone as part of the </w:t>
            </w:r>
            <w:proofErr w:type="spellStart"/>
            <w:r w:rsidRPr="000B52C6">
              <w:rPr>
                <w:iCs/>
                <w:szCs w:val="20"/>
              </w:rPr>
              <w:t>SBd</w:t>
            </w:r>
            <w:proofErr w:type="spellEnd"/>
            <w:r w:rsidRPr="000B52C6">
              <w:rPr>
                <w:iCs/>
                <w:szCs w:val="20"/>
              </w:rPr>
              <w:t xml:space="preserve"> regimen, </w:t>
            </w:r>
            <w:r w:rsidR="00E932AA" w:rsidRPr="000B52C6">
              <w:rPr>
                <w:iCs/>
                <w:szCs w:val="20"/>
              </w:rPr>
              <w:t>due to</w:t>
            </w:r>
            <w:r w:rsidR="00E932AA" w:rsidRPr="000B52C6">
              <w:rPr>
                <w:iCs/>
              </w:rPr>
              <w:t xml:space="preserve"> the low cost associated with dexamethasone treatment and similar dosage regimen in </w:t>
            </w:r>
            <w:proofErr w:type="spellStart"/>
            <w:r w:rsidR="00E932AA" w:rsidRPr="000B52C6">
              <w:rPr>
                <w:iCs/>
              </w:rPr>
              <w:t>SBd</w:t>
            </w:r>
            <w:proofErr w:type="spellEnd"/>
            <w:r w:rsidR="00E932AA" w:rsidRPr="000B52C6">
              <w:rPr>
                <w:iCs/>
              </w:rPr>
              <w:t xml:space="preserve"> and Cd.</w:t>
            </w:r>
          </w:p>
          <w:p w14:paraId="11ABD351" w14:textId="2F069B8E" w:rsidR="00976BE2" w:rsidRPr="000B52C6" w:rsidRDefault="00976BE2">
            <w:pPr>
              <w:pStyle w:val="TableText0"/>
              <w:keepNext w:val="0"/>
            </w:pPr>
          </w:p>
        </w:tc>
      </w:tr>
      <w:tr w:rsidR="00976BE2" w:rsidRPr="000B52C6" w14:paraId="2094D990" w14:textId="77777777" w:rsidTr="00DB1237">
        <w:tc>
          <w:tcPr>
            <w:tcW w:w="769" w:type="pct"/>
            <w:tcBorders>
              <w:top w:val="single" w:sz="4" w:space="0" w:color="auto"/>
              <w:left w:val="single" w:sz="4" w:space="0" w:color="auto"/>
              <w:bottom w:val="single" w:sz="4" w:space="0" w:color="auto"/>
              <w:right w:val="single" w:sz="4" w:space="0" w:color="auto"/>
            </w:tcBorders>
            <w:vAlign w:val="center"/>
            <w:hideMark/>
          </w:tcPr>
          <w:p w14:paraId="4E7FEC5C" w14:textId="77777777" w:rsidR="00976BE2" w:rsidRPr="000B52C6" w:rsidRDefault="00976BE2" w:rsidP="00DB1237">
            <w:pPr>
              <w:pStyle w:val="TableText0"/>
              <w:keepNext w:val="0"/>
            </w:pPr>
            <w:r w:rsidRPr="000B52C6">
              <w:t>Comparator</w:t>
            </w:r>
          </w:p>
        </w:tc>
        <w:tc>
          <w:tcPr>
            <w:tcW w:w="769" w:type="pct"/>
            <w:tcBorders>
              <w:top w:val="single" w:sz="4" w:space="0" w:color="auto"/>
              <w:left w:val="single" w:sz="4" w:space="0" w:color="auto"/>
              <w:bottom w:val="single" w:sz="4" w:space="0" w:color="auto"/>
              <w:right w:val="single" w:sz="4" w:space="0" w:color="auto"/>
            </w:tcBorders>
            <w:vAlign w:val="center"/>
            <w:hideMark/>
          </w:tcPr>
          <w:p w14:paraId="1C9B68DB" w14:textId="77777777" w:rsidR="00976BE2" w:rsidRPr="000B52C6" w:rsidRDefault="00976BE2" w:rsidP="00DB1237">
            <w:pPr>
              <w:jc w:val="left"/>
              <w:rPr>
                <w:rFonts w:ascii="Arial Narrow" w:eastAsiaTheme="majorEastAsia" w:hAnsi="Arial Narrow" w:cs="Angsana New"/>
                <w:bCs/>
                <w:sz w:val="20"/>
                <w:szCs w:val="20"/>
                <w:lang w:bidi="th-TH"/>
              </w:rPr>
            </w:pPr>
            <w:r w:rsidRPr="000B52C6">
              <w:rPr>
                <w:rFonts w:ascii="Arial Narrow" w:eastAsiaTheme="majorEastAsia" w:hAnsi="Arial Narrow" w:cs="Angsana New"/>
                <w:bCs/>
                <w:sz w:val="20"/>
                <w:szCs w:val="20"/>
                <w:lang w:bidi="th-TH"/>
              </w:rPr>
              <w:t xml:space="preserve">Carfilzomib twice and once weekly (10, 30, 60 mg) </w:t>
            </w:r>
          </w:p>
          <w:p w14:paraId="11124E76" w14:textId="77777777" w:rsidR="00976BE2" w:rsidRPr="000B52C6" w:rsidRDefault="00976BE2" w:rsidP="00DB1237">
            <w:pPr>
              <w:jc w:val="left"/>
              <w:rPr>
                <w:rFonts w:ascii="Arial Narrow" w:eastAsiaTheme="majorEastAsia" w:hAnsi="Arial Narrow" w:cs="Angsana New"/>
                <w:bCs/>
                <w:sz w:val="20"/>
                <w:szCs w:val="20"/>
                <w:lang w:bidi="th-TH"/>
              </w:rPr>
            </w:pPr>
            <w:r w:rsidRPr="000B52C6">
              <w:rPr>
                <w:rFonts w:ascii="Arial Narrow" w:eastAsiaTheme="majorEastAsia" w:hAnsi="Arial Narrow" w:cs="Angsana New"/>
                <w:bCs/>
                <w:sz w:val="20"/>
                <w:szCs w:val="20"/>
                <w:lang w:bidi="th-TH"/>
              </w:rPr>
              <w:t>Published - $2,114.90 $2,673.23</w:t>
            </w:r>
          </w:p>
        </w:tc>
        <w:tc>
          <w:tcPr>
            <w:tcW w:w="922" w:type="pct"/>
            <w:tcBorders>
              <w:top w:val="single" w:sz="4" w:space="0" w:color="auto"/>
              <w:left w:val="single" w:sz="4" w:space="0" w:color="auto"/>
              <w:bottom w:val="single" w:sz="4" w:space="0" w:color="auto"/>
              <w:right w:val="single" w:sz="4" w:space="0" w:color="auto"/>
            </w:tcBorders>
            <w:vAlign w:val="center"/>
          </w:tcPr>
          <w:p w14:paraId="0658C17D" w14:textId="77777777" w:rsidR="00976BE2" w:rsidRPr="000B52C6" w:rsidRDefault="00976BE2" w:rsidP="00DB1237">
            <w:pPr>
              <w:pStyle w:val="TableText0"/>
              <w:keepNext w:val="0"/>
            </w:pPr>
            <w:r w:rsidRPr="000B52C6">
              <w:t>Carfilzomib twice weekly: 11229B, 11230C - AEMP</w:t>
            </w:r>
          </w:p>
          <w:p w14:paraId="160389DE" w14:textId="77777777" w:rsidR="00976BE2" w:rsidRPr="000B52C6" w:rsidRDefault="00976BE2" w:rsidP="00DB1237">
            <w:pPr>
              <w:pStyle w:val="TableText0"/>
              <w:keepNext w:val="0"/>
            </w:pPr>
            <w:r w:rsidRPr="000B52C6">
              <w:t>Carfilzomib once weekly: 12219D, 12227M - AEMP</w:t>
            </w:r>
          </w:p>
          <w:p w14:paraId="20CCB8A1" w14:textId="77777777" w:rsidR="00976BE2" w:rsidRPr="000B52C6" w:rsidRDefault="00976BE2" w:rsidP="00DB1237">
            <w:pPr>
              <w:jc w:val="left"/>
              <w:rPr>
                <w:rFonts w:ascii="Arial Narrow" w:eastAsiaTheme="majorEastAsia" w:hAnsi="Arial Narrow" w:cs="Angsana New"/>
                <w:bCs/>
                <w:sz w:val="20"/>
                <w:szCs w:val="20"/>
                <w:lang w:bidi="th-TH"/>
              </w:rPr>
            </w:pPr>
          </w:p>
        </w:tc>
        <w:tc>
          <w:tcPr>
            <w:tcW w:w="2539" w:type="pct"/>
            <w:tcBorders>
              <w:top w:val="single" w:sz="4" w:space="0" w:color="auto"/>
              <w:left w:val="single" w:sz="4" w:space="0" w:color="auto"/>
              <w:bottom w:val="single" w:sz="4" w:space="0" w:color="auto"/>
              <w:right w:val="single" w:sz="4" w:space="0" w:color="auto"/>
            </w:tcBorders>
            <w:vAlign w:val="center"/>
            <w:hideMark/>
          </w:tcPr>
          <w:p w14:paraId="68D3CE0E" w14:textId="3B9E4A10" w:rsidR="00976BE2" w:rsidRPr="000B52C6" w:rsidRDefault="00976BE2" w:rsidP="00E932AA">
            <w:pPr>
              <w:pStyle w:val="TableText0"/>
              <w:keepNext w:val="0"/>
              <w:rPr>
                <w:iCs/>
                <w:szCs w:val="20"/>
              </w:rPr>
            </w:pPr>
            <w:r w:rsidRPr="000B52C6">
              <w:t>This was appropriately sourced and estimated.</w:t>
            </w:r>
            <w:r w:rsidR="00E932AA" w:rsidRPr="000B52C6">
              <w:t xml:space="preserve"> The PBAC agreed with this statement.</w:t>
            </w:r>
          </w:p>
        </w:tc>
      </w:tr>
      <w:tr w:rsidR="00976BE2" w:rsidRPr="000B52C6" w14:paraId="305B0F55" w14:textId="77777777" w:rsidTr="00DB1237">
        <w:tc>
          <w:tcPr>
            <w:tcW w:w="769" w:type="pct"/>
            <w:tcBorders>
              <w:top w:val="single" w:sz="4" w:space="0" w:color="auto"/>
              <w:left w:val="single" w:sz="4" w:space="0" w:color="auto"/>
              <w:bottom w:val="single" w:sz="4" w:space="0" w:color="auto"/>
              <w:right w:val="single" w:sz="4" w:space="0" w:color="auto"/>
            </w:tcBorders>
            <w:vAlign w:val="center"/>
            <w:hideMark/>
          </w:tcPr>
          <w:p w14:paraId="096B2110" w14:textId="77777777" w:rsidR="00976BE2" w:rsidRPr="000B52C6" w:rsidRDefault="00976BE2" w:rsidP="00DB1237">
            <w:pPr>
              <w:pStyle w:val="TableText0"/>
              <w:keepNext w:val="0"/>
            </w:pPr>
            <w:r w:rsidRPr="000B52C6">
              <w:t>MBS costs</w:t>
            </w:r>
          </w:p>
        </w:tc>
        <w:tc>
          <w:tcPr>
            <w:tcW w:w="769" w:type="pct"/>
            <w:tcBorders>
              <w:top w:val="single" w:sz="4" w:space="0" w:color="auto"/>
              <w:left w:val="single" w:sz="4" w:space="0" w:color="auto"/>
              <w:bottom w:val="single" w:sz="4" w:space="0" w:color="auto"/>
              <w:right w:val="single" w:sz="4" w:space="0" w:color="auto"/>
            </w:tcBorders>
            <w:vAlign w:val="center"/>
          </w:tcPr>
          <w:p w14:paraId="6DE01BAE" w14:textId="77777777" w:rsidR="00976BE2" w:rsidRPr="000B52C6" w:rsidRDefault="00976BE2" w:rsidP="00DB1237">
            <w:pPr>
              <w:pStyle w:val="TableText0"/>
              <w:keepNext w:val="0"/>
            </w:pPr>
            <w:r w:rsidRPr="000B52C6">
              <w:t>$112.40</w:t>
            </w:r>
          </w:p>
          <w:p w14:paraId="4992DD3E" w14:textId="77777777" w:rsidR="00976BE2" w:rsidRPr="000B52C6" w:rsidRDefault="00976BE2" w:rsidP="00DB1237">
            <w:pPr>
              <w:jc w:val="left"/>
            </w:pPr>
          </w:p>
        </w:tc>
        <w:tc>
          <w:tcPr>
            <w:tcW w:w="922" w:type="pct"/>
            <w:tcBorders>
              <w:top w:val="single" w:sz="4" w:space="0" w:color="auto"/>
              <w:left w:val="single" w:sz="4" w:space="0" w:color="auto"/>
              <w:bottom w:val="single" w:sz="4" w:space="0" w:color="auto"/>
              <w:right w:val="single" w:sz="4" w:space="0" w:color="auto"/>
            </w:tcBorders>
            <w:vAlign w:val="center"/>
          </w:tcPr>
          <w:p w14:paraId="223E7741" w14:textId="77777777" w:rsidR="00976BE2" w:rsidRPr="000B52C6" w:rsidRDefault="00976BE2" w:rsidP="00DB1237">
            <w:pPr>
              <w:pStyle w:val="TableText0"/>
              <w:keepNext w:val="0"/>
            </w:pPr>
            <w:r w:rsidRPr="000B52C6">
              <w:t>MBS item 13950</w:t>
            </w:r>
          </w:p>
          <w:p w14:paraId="5171C963" w14:textId="77777777" w:rsidR="00976BE2" w:rsidRPr="000B52C6" w:rsidRDefault="00976BE2" w:rsidP="00DB1237">
            <w:pPr>
              <w:pStyle w:val="TableText0"/>
              <w:keepNext w:val="0"/>
            </w:pPr>
          </w:p>
        </w:tc>
        <w:tc>
          <w:tcPr>
            <w:tcW w:w="2539" w:type="pct"/>
            <w:tcBorders>
              <w:top w:val="single" w:sz="4" w:space="0" w:color="auto"/>
              <w:left w:val="single" w:sz="4" w:space="0" w:color="auto"/>
              <w:bottom w:val="single" w:sz="4" w:space="0" w:color="auto"/>
              <w:right w:val="single" w:sz="4" w:space="0" w:color="auto"/>
            </w:tcBorders>
            <w:vAlign w:val="center"/>
            <w:hideMark/>
          </w:tcPr>
          <w:p w14:paraId="1547AD77" w14:textId="77777777" w:rsidR="00976BE2" w:rsidRPr="000B52C6" w:rsidRDefault="00976BE2" w:rsidP="00DB1237">
            <w:pPr>
              <w:pStyle w:val="TableText0"/>
              <w:keepNext w:val="0"/>
            </w:pPr>
            <w:r w:rsidRPr="000B52C6">
              <w:t>Attributed to the intravenous administration of carfilzomib. The resubmission applied 85% of the scheduled fee in their model. This was appropriate.</w:t>
            </w:r>
          </w:p>
          <w:p w14:paraId="79D6612E" w14:textId="77777777" w:rsidR="00976BE2" w:rsidRPr="000B52C6" w:rsidRDefault="00976BE2" w:rsidP="00DB1237">
            <w:pPr>
              <w:pStyle w:val="TableText0"/>
              <w:keepNext w:val="0"/>
              <w:rPr>
                <w:rFonts w:cs="Times New Roman"/>
              </w:rPr>
            </w:pPr>
            <w:r w:rsidRPr="000B52C6">
              <w:t xml:space="preserve">The resubmission did not include the MBS costs associated with the treatment of haematological AEs associated with </w:t>
            </w:r>
            <w:proofErr w:type="spellStart"/>
            <w:r w:rsidRPr="000B52C6">
              <w:t>SBd</w:t>
            </w:r>
            <w:proofErr w:type="spellEnd"/>
            <w:r w:rsidRPr="000B52C6">
              <w:t>. This was inconsistent with the CMA presented in Section 3.</w:t>
            </w:r>
          </w:p>
        </w:tc>
      </w:tr>
    </w:tbl>
    <w:p w14:paraId="3067FFD4" w14:textId="77777777" w:rsidR="00976BE2" w:rsidRPr="000B52C6" w:rsidRDefault="00976BE2" w:rsidP="00976BE2">
      <w:pPr>
        <w:pStyle w:val="TableFigureFooter"/>
      </w:pPr>
      <w:r w:rsidRPr="000B52C6">
        <w:t>Source: Table 4-1, p165; Table 4-4, p167; Table 4-5, p168; Text paragraph 3, p168; Table 4-8, p171; Table 4-9, p172 of the resubmission and Workbook ‘RRMM Section 4_November 2021’, work sheet ‘7. Net changes – MBS’, of the resubmission.</w:t>
      </w:r>
    </w:p>
    <w:p w14:paraId="20CE3A97" w14:textId="12DA4D87" w:rsidR="00976BE2" w:rsidRPr="000B52C6" w:rsidRDefault="00976BE2" w:rsidP="00976BE2">
      <w:pPr>
        <w:pStyle w:val="TableFigureFooter"/>
        <w:rPr>
          <w:szCs w:val="18"/>
        </w:rPr>
      </w:pPr>
      <w:r w:rsidRPr="000B52C6">
        <w:rPr>
          <w:szCs w:val="18"/>
        </w:rPr>
        <w:t xml:space="preserve">Abbreviations: AEMP = approved ex-manufacturer price; AEs = adverse events; B = bortezomib; Bd = bortezomib + dexamethasone; Cd = carfilzomib + dexamethasone; CMA = cost minimisation analysis; </w:t>
      </w:r>
      <w:proofErr w:type="spellStart"/>
      <w:r w:rsidRPr="000B52C6">
        <w:rPr>
          <w:szCs w:val="18"/>
        </w:rPr>
        <w:t>DBd</w:t>
      </w:r>
      <w:proofErr w:type="spellEnd"/>
      <w:r w:rsidRPr="000B52C6">
        <w:rPr>
          <w:szCs w:val="18"/>
        </w:rPr>
        <w:t xml:space="preserve"> = daratumumab + bortezomib + dexamethasone; DPMQ = dispensed price for maximum quantity; MBS = Medical Benefits Scheme; RRMM = Relapsed and/or refractory multiple myeloma; </w:t>
      </w:r>
      <w:proofErr w:type="spellStart"/>
      <w:r w:rsidRPr="000B52C6">
        <w:rPr>
          <w:szCs w:val="18"/>
        </w:rPr>
        <w:t>SBd</w:t>
      </w:r>
      <w:proofErr w:type="spellEnd"/>
      <w:r w:rsidRPr="000B52C6">
        <w:rPr>
          <w:szCs w:val="18"/>
        </w:rPr>
        <w:t xml:space="preserve"> = </w:t>
      </w:r>
      <w:proofErr w:type="spellStart"/>
      <w:r w:rsidRPr="000B52C6">
        <w:rPr>
          <w:szCs w:val="18"/>
        </w:rPr>
        <w:t>selinexor</w:t>
      </w:r>
      <w:proofErr w:type="spellEnd"/>
      <w:r w:rsidRPr="000B52C6">
        <w:rPr>
          <w:szCs w:val="18"/>
        </w:rPr>
        <w:t xml:space="preserve"> + bortezomib + dexamethasone. </w:t>
      </w:r>
    </w:p>
    <w:p w14:paraId="72CC171F" w14:textId="77777777" w:rsidR="009534BC" w:rsidRPr="000B52C6" w:rsidRDefault="009534BC" w:rsidP="00976BE2">
      <w:pPr>
        <w:pStyle w:val="TableFigureFooter"/>
      </w:pPr>
    </w:p>
    <w:p w14:paraId="7F1BD16D" w14:textId="5BDCEA71" w:rsidR="00976BE2" w:rsidRPr="000B52C6" w:rsidRDefault="00976BE2" w:rsidP="00976BE2">
      <w:pPr>
        <w:pStyle w:val="3-BodyText"/>
        <w:snapToGrid w:val="0"/>
        <w:ind w:left="720" w:hanging="720"/>
      </w:pPr>
      <w:r w:rsidRPr="000B52C6">
        <w:t xml:space="preserve">The resubmission assumed </w:t>
      </w:r>
      <w:proofErr w:type="spellStart"/>
      <w:r w:rsidRPr="000B52C6">
        <w:t>SBd</w:t>
      </w:r>
      <w:proofErr w:type="spellEnd"/>
      <w:r w:rsidRPr="000B52C6">
        <w:t xml:space="preserve"> will substitute the market described by the current and projected use of Cd. </w:t>
      </w:r>
      <w:r w:rsidRPr="000B52C6">
        <w:rPr>
          <w:bCs/>
          <w:iCs/>
        </w:rPr>
        <w:t xml:space="preserve">The resubmission’s assumption that substitution will result in only replacement of </w:t>
      </w:r>
      <w:proofErr w:type="spellStart"/>
      <w:r w:rsidRPr="000B52C6">
        <w:rPr>
          <w:bCs/>
          <w:iCs/>
        </w:rPr>
        <w:t>SBd</w:t>
      </w:r>
      <w:proofErr w:type="spellEnd"/>
      <w:r w:rsidRPr="000B52C6">
        <w:rPr>
          <w:bCs/>
          <w:iCs/>
        </w:rPr>
        <w:t xml:space="preserve"> for Cd may not be appropriate as it is likely that it will result in displacement of Cd (and possibly</w:t>
      </w:r>
      <w:r w:rsidRPr="000B52C6">
        <w:t xml:space="preserve"> </w:t>
      </w:r>
      <w:proofErr w:type="spellStart"/>
      <w:r w:rsidRPr="000B52C6">
        <w:rPr>
          <w:bCs/>
          <w:iCs/>
        </w:rPr>
        <w:t>Ld</w:t>
      </w:r>
      <w:proofErr w:type="spellEnd"/>
      <w:r w:rsidRPr="000B52C6">
        <w:rPr>
          <w:bCs/>
          <w:iCs/>
        </w:rPr>
        <w:t xml:space="preserve">, Bd and Pd) to later line use. The resubmission noted inclusion of </w:t>
      </w:r>
      <w:proofErr w:type="spellStart"/>
      <w:r w:rsidRPr="000B52C6">
        <w:rPr>
          <w:bCs/>
          <w:iCs/>
        </w:rPr>
        <w:t>SBd</w:t>
      </w:r>
      <w:proofErr w:type="spellEnd"/>
      <w:r w:rsidRPr="000B52C6">
        <w:rPr>
          <w:bCs/>
          <w:iCs/>
        </w:rPr>
        <w:t xml:space="preserve"> on the PBS will not grow the RRMM market as it is already established. This was reasonable in terms of the number of patients accessing treatment, however</w:t>
      </w:r>
      <w:r w:rsidR="00E25D2B" w:rsidRPr="000B52C6">
        <w:rPr>
          <w:bCs/>
          <w:iCs/>
        </w:rPr>
        <w:t>,</w:t>
      </w:r>
      <w:r w:rsidRPr="000B52C6">
        <w:rPr>
          <w:bCs/>
          <w:iCs/>
        </w:rPr>
        <w:t xml:space="preserve"> listing a new drug class might result in patients receiving an additional line of therapy, thereby increasing expenditure. </w:t>
      </w:r>
    </w:p>
    <w:p w14:paraId="693E3935" w14:textId="459CE11B" w:rsidR="00976BE2" w:rsidRPr="000B52C6" w:rsidRDefault="00622D57" w:rsidP="00976BE2">
      <w:pPr>
        <w:pStyle w:val="3-BodyText"/>
        <w:snapToGrid w:val="0"/>
        <w:ind w:left="720" w:hanging="720"/>
        <w:rPr>
          <w:bCs/>
          <w:iCs/>
        </w:rPr>
      </w:pPr>
      <w:r w:rsidRPr="000B52C6">
        <w:rPr>
          <w:bCs/>
          <w:iCs/>
        </w:rPr>
        <w:t xml:space="preserve">The July 2021 submission assumed </w:t>
      </w:r>
      <w:proofErr w:type="spellStart"/>
      <w:r w:rsidRPr="000B52C6">
        <w:rPr>
          <w:bCs/>
          <w:iCs/>
        </w:rPr>
        <w:t>SBd</w:t>
      </w:r>
      <w:proofErr w:type="spellEnd"/>
      <w:r w:rsidRPr="000B52C6">
        <w:rPr>
          <w:bCs/>
          <w:iCs/>
        </w:rPr>
        <w:t xml:space="preserve"> will substitute Bd, Cd and </w:t>
      </w:r>
      <w:proofErr w:type="spellStart"/>
      <w:r w:rsidRPr="000B52C6">
        <w:rPr>
          <w:bCs/>
          <w:iCs/>
        </w:rPr>
        <w:t>DBd</w:t>
      </w:r>
      <w:proofErr w:type="spellEnd"/>
      <w:r w:rsidRPr="000B52C6">
        <w:rPr>
          <w:bCs/>
          <w:iCs/>
        </w:rPr>
        <w:t xml:space="preserve">. </w:t>
      </w:r>
      <w:r w:rsidR="00976BE2" w:rsidRPr="000B52C6">
        <w:rPr>
          <w:bCs/>
          <w:iCs/>
        </w:rPr>
        <w:t>The resubmission</w:t>
      </w:r>
      <w:r w:rsidRPr="000B52C6">
        <w:rPr>
          <w:bCs/>
          <w:iCs/>
        </w:rPr>
        <w:t xml:space="preserve"> assumed substitution of Cd only and</w:t>
      </w:r>
      <w:r w:rsidR="00976BE2" w:rsidRPr="000B52C6">
        <w:rPr>
          <w:bCs/>
          <w:iCs/>
        </w:rPr>
        <w:t xml:space="preserve"> stated that </w:t>
      </w:r>
      <w:proofErr w:type="spellStart"/>
      <w:r w:rsidR="00976BE2" w:rsidRPr="000B52C6">
        <w:rPr>
          <w:bCs/>
          <w:iCs/>
        </w:rPr>
        <w:t>SBd</w:t>
      </w:r>
      <w:proofErr w:type="spellEnd"/>
      <w:r w:rsidR="00976BE2" w:rsidRPr="000B52C6">
        <w:rPr>
          <w:bCs/>
          <w:iCs/>
        </w:rPr>
        <w:t xml:space="preserve"> was not expected to impact the remaining existing PBS reimbursed treatment</w:t>
      </w:r>
      <w:r w:rsidR="00FB14BB" w:rsidRPr="000B52C6">
        <w:rPr>
          <w:bCs/>
          <w:iCs/>
        </w:rPr>
        <w:t xml:space="preserve"> regimens for RRMM (</w:t>
      </w:r>
      <w:proofErr w:type="spellStart"/>
      <w:r w:rsidR="00FB14BB" w:rsidRPr="000B52C6">
        <w:rPr>
          <w:bCs/>
          <w:iCs/>
        </w:rPr>
        <w:t>DBd</w:t>
      </w:r>
      <w:proofErr w:type="spellEnd"/>
      <w:r w:rsidR="00FB14BB" w:rsidRPr="000B52C6">
        <w:rPr>
          <w:bCs/>
          <w:iCs/>
        </w:rPr>
        <w:t xml:space="preserve">, </w:t>
      </w:r>
      <w:proofErr w:type="spellStart"/>
      <w:r w:rsidR="00FB14BB" w:rsidRPr="000B52C6">
        <w:rPr>
          <w:bCs/>
          <w:iCs/>
        </w:rPr>
        <w:t>PBd</w:t>
      </w:r>
      <w:proofErr w:type="spellEnd"/>
      <w:r w:rsidR="00FB14BB" w:rsidRPr="000B52C6">
        <w:rPr>
          <w:bCs/>
          <w:iCs/>
        </w:rPr>
        <w:t xml:space="preserve">, </w:t>
      </w:r>
      <w:proofErr w:type="spellStart"/>
      <w:r w:rsidR="00FB14BB" w:rsidRPr="000B52C6">
        <w:rPr>
          <w:bCs/>
          <w:iCs/>
        </w:rPr>
        <w:t>EL</w:t>
      </w:r>
      <w:r w:rsidR="00976BE2" w:rsidRPr="000B52C6">
        <w:rPr>
          <w:bCs/>
          <w:iCs/>
        </w:rPr>
        <w:t>d</w:t>
      </w:r>
      <w:proofErr w:type="spellEnd"/>
      <w:r w:rsidR="00976BE2" w:rsidRPr="000B52C6">
        <w:rPr>
          <w:bCs/>
          <w:iCs/>
        </w:rPr>
        <w:t xml:space="preserve">, </w:t>
      </w:r>
      <w:proofErr w:type="spellStart"/>
      <w:r w:rsidR="00976BE2" w:rsidRPr="000B52C6">
        <w:rPr>
          <w:bCs/>
          <w:iCs/>
        </w:rPr>
        <w:t>Ld</w:t>
      </w:r>
      <w:proofErr w:type="spellEnd"/>
      <w:r w:rsidR="00976BE2" w:rsidRPr="000B52C6">
        <w:rPr>
          <w:bCs/>
          <w:iCs/>
        </w:rPr>
        <w:t>, Bd and Pd</w:t>
      </w:r>
      <w:r w:rsidR="00976BE2" w:rsidRPr="000B52C6">
        <w:rPr>
          <w:bCs/>
        </w:rPr>
        <w:t>)</w:t>
      </w:r>
      <w:r w:rsidR="009534BC" w:rsidRPr="000B52C6">
        <w:rPr>
          <w:bCs/>
        </w:rPr>
        <w:t>.</w:t>
      </w:r>
      <w:r w:rsidR="00976BE2" w:rsidRPr="000B52C6">
        <w:rPr>
          <w:bCs/>
        </w:rPr>
        <w:t xml:space="preserve"> Given </w:t>
      </w:r>
      <w:proofErr w:type="spellStart"/>
      <w:r w:rsidR="00976BE2" w:rsidRPr="000B52C6">
        <w:rPr>
          <w:bCs/>
        </w:rPr>
        <w:t>DBd</w:t>
      </w:r>
      <w:proofErr w:type="spellEnd"/>
      <w:r w:rsidR="00976BE2" w:rsidRPr="000B52C6">
        <w:rPr>
          <w:bCs/>
        </w:rPr>
        <w:t xml:space="preserve"> is PBS listed for second-line therapy only and that </w:t>
      </w:r>
      <w:proofErr w:type="spellStart"/>
      <w:r w:rsidR="00976BE2" w:rsidRPr="000B52C6">
        <w:rPr>
          <w:bCs/>
        </w:rPr>
        <w:t>ELd</w:t>
      </w:r>
      <w:proofErr w:type="spellEnd"/>
      <w:r w:rsidR="00976BE2" w:rsidRPr="000B52C6">
        <w:rPr>
          <w:bCs/>
        </w:rPr>
        <w:t xml:space="preserve"> and </w:t>
      </w:r>
      <w:proofErr w:type="spellStart"/>
      <w:r w:rsidR="00976BE2" w:rsidRPr="000B52C6">
        <w:rPr>
          <w:bCs/>
        </w:rPr>
        <w:t>PBd</w:t>
      </w:r>
      <w:proofErr w:type="spellEnd"/>
      <w:r w:rsidR="00976BE2" w:rsidRPr="000B52C6">
        <w:rPr>
          <w:bCs/>
        </w:rPr>
        <w:t xml:space="preserve"> were only recently recommended by the PBAC, </w:t>
      </w:r>
      <w:r w:rsidR="00976BE2" w:rsidRPr="000B52C6">
        <w:rPr>
          <w:bCs/>
          <w:iCs/>
        </w:rPr>
        <w:t xml:space="preserve">the exclusion of </w:t>
      </w:r>
      <w:proofErr w:type="spellStart"/>
      <w:r w:rsidR="00976BE2" w:rsidRPr="000B52C6">
        <w:rPr>
          <w:bCs/>
          <w:iCs/>
        </w:rPr>
        <w:t>DBd</w:t>
      </w:r>
      <w:proofErr w:type="spellEnd"/>
      <w:r w:rsidR="00976BE2" w:rsidRPr="000B52C6">
        <w:rPr>
          <w:bCs/>
          <w:iCs/>
        </w:rPr>
        <w:t xml:space="preserve">, </w:t>
      </w:r>
      <w:proofErr w:type="spellStart"/>
      <w:r w:rsidR="00976BE2" w:rsidRPr="000B52C6">
        <w:rPr>
          <w:bCs/>
          <w:iCs/>
        </w:rPr>
        <w:t>ELd</w:t>
      </w:r>
      <w:proofErr w:type="spellEnd"/>
      <w:r w:rsidR="00976BE2" w:rsidRPr="000B52C6">
        <w:rPr>
          <w:bCs/>
          <w:iCs/>
        </w:rPr>
        <w:t xml:space="preserve"> and </w:t>
      </w:r>
      <w:proofErr w:type="spellStart"/>
      <w:r w:rsidR="00976BE2" w:rsidRPr="000B52C6">
        <w:rPr>
          <w:bCs/>
          <w:iCs/>
        </w:rPr>
        <w:t>PBd</w:t>
      </w:r>
      <w:proofErr w:type="spellEnd"/>
      <w:r w:rsidR="00976BE2" w:rsidRPr="000B52C6">
        <w:rPr>
          <w:bCs/>
          <w:iCs/>
        </w:rPr>
        <w:t xml:space="preserve"> from the market share analysis was reasonable. However, the exclusion of Pd, </w:t>
      </w:r>
      <w:proofErr w:type="spellStart"/>
      <w:r w:rsidR="00976BE2" w:rsidRPr="000B52C6">
        <w:rPr>
          <w:bCs/>
          <w:iCs/>
        </w:rPr>
        <w:t>Ld</w:t>
      </w:r>
      <w:proofErr w:type="spellEnd"/>
      <w:r w:rsidR="00976BE2" w:rsidRPr="000B52C6">
        <w:rPr>
          <w:bCs/>
          <w:iCs/>
        </w:rPr>
        <w:t xml:space="preserve"> and Bd </w:t>
      </w:r>
      <w:r w:rsidR="00452A3D" w:rsidRPr="000B52C6">
        <w:rPr>
          <w:bCs/>
          <w:iCs/>
        </w:rPr>
        <w:t xml:space="preserve">was </w:t>
      </w:r>
      <w:r w:rsidR="00976BE2" w:rsidRPr="000B52C6">
        <w:rPr>
          <w:bCs/>
          <w:iCs/>
        </w:rPr>
        <w:t xml:space="preserve">not sufficiently justified. The PBAC previously considered that </w:t>
      </w:r>
      <w:proofErr w:type="spellStart"/>
      <w:r w:rsidR="00976BE2" w:rsidRPr="000B52C6">
        <w:rPr>
          <w:bCs/>
          <w:iCs/>
        </w:rPr>
        <w:t>SBd</w:t>
      </w:r>
      <w:proofErr w:type="spellEnd"/>
      <w:r w:rsidR="00976BE2" w:rsidRPr="000B52C6">
        <w:rPr>
          <w:bCs/>
          <w:iCs/>
        </w:rPr>
        <w:t xml:space="preserve"> would most likely be used as third or later line and was most likely to replace and/or displace Cd, </w:t>
      </w:r>
      <w:proofErr w:type="spellStart"/>
      <w:r w:rsidR="00976BE2" w:rsidRPr="000B52C6">
        <w:rPr>
          <w:bCs/>
          <w:iCs/>
        </w:rPr>
        <w:t>Ld</w:t>
      </w:r>
      <w:proofErr w:type="spellEnd"/>
      <w:r w:rsidR="00976BE2" w:rsidRPr="000B52C6">
        <w:rPr>
          <w:bCs/>
          <w:iCs/>
        </w:rPr>
        <w:t xml:space="preserve">, Pd and some bortezomib-based regimens including Bd (Para 7.3, Selinexor (RRMM), PBAC </w:t>
      </w:r>
      <w:r w:rsidR="00251F38">
        <w:rPr>
          <w:bCs/>
          <w:iCs/>
        </w:rPr>
        <w:t>PSD</w:t>
      </w:r>
      <w:r w:rsidR="00976BE2" w:rsidRPr="000B52C6">
        <w:rPr>
          <w:bCs/>
          <w:iCs/>
        </w:rPr>
        <w:t>, July 2021 PBAC meeting).</w:t>
      </w:r>
    </w:p>
    <w:p w14:paraId="132594C7" w14:textId="2E74A4AC" w:rsidR="00976BE2" w:rsidRPr="000B52C6" w:rsidRDefault="00976BE2" w:rsidP="00976BE2">
      <w:pPr>
        <w:pStyle w:val="3-BodyText"/>
        <w:snapToGrid w:val="0"/>
        <w:ind w:left="720" w:hanging="720"/>
      </w:pPr>
      <w:r w:rsidRPr="000B52C6">
        <w:t xml:space="preserve">The resubmission provided detailed information in applying the market share approach. The Commentary noted the following issues of concern with the steps taken by the resubmission in applying the market share approach: </w:t>
      </w:r>
    </w:p>
    <w:p w14:paraId="23C946B3" w14:textId="68DF0193" w:rsidR="00976BE2" w:rsidRPr="000B52C6" w:rsidRDefault="00976BE2" w:rsidP="005640E7">
      <w:pPr>
        <w:pStyle w:val="3-BodyText"/>
        <w:numPr>
          <w:ilvl w:val="0"/>
          <w:numId w:val="55"/>
        </w:numPr>
        <w:snapToGrid w:val="0"/>
        <w:ind w:left="1077" w:hanging="357"/>
      </w:pPr>
      <w:r w:rsidRPr="000B52C6">
        <w:t>The resubmission applied an assumed market share for once weekly (80%) and twice weekly (20%) carfilzomib scripts’ respective equivalent script to get the estimated market share of each script type of carfilzomib over the six-year period). This was inconsistent with Section 3, which assumed 100% of Cd use was with the twice weekly regimen.</w:t>
      </w:r>
    </w:p>
    <w:p w14:paraId="7BAA018A" w14:textId="2693CA3A" w:rsidR="00976BE2" w:rsidRPr="000B52C6" w:rsidRDefault="00976BE2" w:rsidP="005640E7">
      <w:pPr>
        <w:pStyle w:val="3-BodyText"/>
        <w:numPr>
          <w:ilvl w:val="0"/>
          <w:numId w:val="55"/>
        </w:numPr>
        <w:snapToGrid w:val="0"/>
        <w:ind w:left="1077" w:hanging="357"/>
      </w:pPr>
      <w:r w:rsidRPr="000B52C6">
        <w:t xml:space="preserve">The resubmission assumed a 20% substitution of carfilzomib use by </w:t>
      </w:r>
      <w:proofErr w:type="spellStart"/>
      <w:r w:rsidRPr="000B52C6">
        <w:t>SBd</w:t>
      </w:r>
      <w:proofErr w:type="spellEnd"/>
      <w:r w:rsidRPr="000B52C6">
        <w:t xml:space="preserve"> in year 1, increasing linearly to 50% in year 3, and remaining constant thereafter, noting the ultimate 50% market share of carfilzomib is consistent with the clinical claim of non-inferior effectiveness safety for </w:t>
      </w:r>
      <w:proofErr w:type="spellStart"/>
      <w:r w:rsidRPr="000B52C6">
        <w:t>SBd</w:t>
      </w:r>
      <w:proofErr w:type="spellEnd"/>
      <w:r w:rsidRPr="000B52C6">
        <w:t xml:space="preserve"> relative to Cd. </w:t>
      </w:r>
      <w:r w:rsidR="009534BC" w:rsidRPr="000B52C6">
        <w:t>T</w:t>
      </w:r>
      <w:r w:rsidR="00E25D2B" w:rsidRPr="000B52C6">
        <w:t xml:space="preserve">he assumed substitution rate of carfilzomib use by </w:t>
      </w:r>
      <w:proofErr w:type="spellStart"/>
      <w:r w:rsidR="00E25D2B" w:rsidRPr="000B52C6">
        <w:t>SBd</w:t>
      </w:r>
      <w:proofErr w:type="spellEnd"/>
      <w:r w:rsidR="00E25D2B" w:rsidRPr="000B52C6">
        <w:t xml:space="preserve"> for the resubmission is lower than that presented for the July 2021 submission: 35% in Year 1, increasing to 60% in Year 6.</w:t>
      </w:r>
      <w:r w:rsidRPr="000B52C6">
        <w:t xml:space="preserve"> </w:t>
      </w:r>
    </w:p>
    <w:p w14:paraId="4409F408" w14:textId="77777777" w:rsidR="00976BE2" w:rsidRPr="000B52C6" w:rsidRDefault="00976BE2" w:rsidP="005640E7">
      <w:pPr>
        <w:pStyle w:val="3-BodyText"/>
        <w:numPr>
          <w:ilvl w:val="0"/>
          <w:numId w:val="55"/>
        </w:numPr>
        <w:snapToGrid w:val="0"/>
        <w:ind w:left="1077" w:hanging="357"/>
      </w:pPr>
      <w:r w:rsidRPr="000B52C6">
        <w:t xml:space="preserve">The resubmission excluded the grandfathered patients likely to receive </w:t>
      </w:r>
      <w:proofErr w:type="spellStart"/>
      <w:r w:rsidRPr="000B52C6">
        <w:t>selinexor</w:t>
      </w:r>
      <w:proofErr w:type="spellEnd"/>
      <w:r w:rsidRPr="000B52C6">
        <w:t xml:space="preserve"> via the proposed PBS listing from the </w:t>
      </w:r>
      <w:proofErr w:type="spellStart"/>
      <w:r w:rsidRPr="000B52C6">
        <w:t>selinexor</w:t>
      </w:r>
      <w:proofErr w:type="spellEnd"/>
      <w:r w:rsidRPr="000B52C6">
        <w:t xml:space="preserve"> utilisation and financial estimates. The sponsor justified this exclusion with the market share approach used and the small number of Australian patients in the KEAP (24 patients as of 21 October 2021). The July 2021 submission previously indicated that approximately 85 patients are likely to be grandfathered upon TGA approval of </w:t>
      </w:r>
      <w:proofErr w:type="spellStart"/>
      <w:r w:rsidRPr="000B52C6">
        <w:t>selinexor</w:t>
      </w:r>
      <w:proofErr w:type="spellEnd"/>
      <w:r w:rsidRPr="000B52C6">
        <w:t xml:space="preserve">. Therefore, the exclusion of grandfathered patients is likely to result in an underestimation of projected utilisation and subsequent financial estimates of </w:t>
      </w:r>
      <w:proofErr w:type="spellStart"/>
      <w:r w:rsidRPr="000B52C6">
        <w:t>selinexor</w:t>
      </w:r>
      <w:proofErr w:type="spellEnd"/>
      <w:r w:rsidRPr="000B52C6">
        <w:t>.</w:t>
      </w:r>
    </w:p>
    <w:p w14:paraId="4CE3BC22" w14:textId="4BDE287C" w:rsidR="00976BE2" w:rsidRPr="000B52C6" w:rsidRDefault="00976BE2" w:rsidP="00976BE2">
      <w:pPr>
        <w:pStyle w:val="3-BodyText"/>
        <w:snapToGrid w:val="0"/>
        <w:ind w:left="720" w:hanging="720"/>
      </w:pPr>
      <w:r w:rsidRPr="000B52C6">
        <w:t xml:space="preserve">In estimating the utilisation of the two requested pack sizes, the resubmission assumed a lower proportion of </w:t>
      </w:r>
      <w:proofErr w:type="spellStart"/>
      <w:r w:rsidRPr="000B52C6">
        <w:t>selinexor</w:t>
      </w:r>
      <w:proofErr w:type="spellEnd"/>
      <w:r w:rsidRPr="000B52C6">
        <w:t xml:space="preserve"> scripts (48.4%) will be for the 20-tablet formulation which on a per tablet basis is equivalent to 53.94% of the substituted carfilzomib. This does not align with DUSC previous consideration on the likely use of 20- and 16- tablet formulation (see </w:t>
      </w:r>
      <w:r w:rsidR="00DF7A96" w:rsidRPr="000B52C6">
        <w:t>p</w:t>
      </w:r>
      <w:r w:rsidRPr="000B52C6">
        <w:t>ara</w:t>
      </w:r>
      <w:r w:rsidR="00DF7A96" w:rsidRPr="000B52C6">
        <w:t>graph</w:t>
      </w:r>
      <w:r w:rsidRPr="000B52C6">
        <w:t xml:space="preserve"> 3.</w:t>
      </w:r>
      <w:r w:rsidR="00DF7A96" w:rsidRPr="000B52C6">
        <w:t>6).</w:t>
      </w:r>
    </w:p>
    <w:p w14:paraId="4770C75D" w14:textId="24C3FA42" w:rsidR="00512707" w:rsidRPr="000B52C6" w:rsidRDefault="00512707" w:rsidP="00976BE2">
      <w:pPr>
        <w:pStyle w:val="3-BodyText"/>
        <w:snapToGrid w:val="0"/>
        <w:ind w:left="720" w:hanging="720"/>
      </w:pPr>
      <w:r w:rsidRPr="000B52C6">
        <w:rPr>
          <w:iCs/>
        </w:rPr>
        <w:t xml:space="preserve">No cost was assumed for subcutaneous administration of bortezomib, as part of </w:t>
      </w:r>
      <w:proofErr w:type="spellStart"/>
      <w:r w:rsidRPr="000B52C6">
        <w:rPr>
          <w:iCs/>
        </w:rPr>
        <w:t>SBd</w:t>
      </w:r>
      <w:proofErr w:type="spellEnd"/>
      <w:r w:rsidRPr="000B52C6">
        <w:rPr>
          <w:iCs/>
        </w:rPr>
        <w:t>. The PBAC considered that MBS Item 13950 (parenteral administration) should have also been applied in the estimates for bortezomib injections (administered subcutaneously).</w:t>
      </w:r>
    </w:p>
    <w:p w14:paraId="13364B6E" w14:textId="20C40900" w:rsidR="00984255" w:rsidRPr="000B52C6" w:rsidRDefault="00976BE2" w:rsidP="00D2061D">
      <w:pPr>
        <w:pStyle w:val="3-BodyText"/>
        <w:ind w:left="709" w:hanging="643"/>
      </w:pPr>
      <w:r w:rsidRPr="000B52C6">
        <w:t xml:space="preserve">A summary of the estimated use and financial implications for listing </w:t>
      </w:r>
      <w:proofErr w:type="spellStart"/>
      <w:r w:rsidRPr="000B52C6">
        <w:t>SBd</w:t>
      </w:r>
      <w:proofErr w:type="spellEnd"/>
      <w:r w:rsidRPr="000B52C6">
        <w:t xml:space="preserve"> on the PBS is presented in </w:t>
      </w:r>
      <w:r w:rsidRPr="000B52C6">
        <w:rPr>
          <w:highlight w:val="yellow"/>
        </w:rPr>
        <w:fldChar w:fldCharType="begin"/>
      </w:r>
      <w:r w:rsidRPr="000B52C6">
        <w:instrText xml:space="preserve"> REF _Ref90371066 \h </w:instrText>
      </w:r>
      <w:r w:rsidR="00984255" w:rsidRPr="000B52C6">
        <w:rPr>
          <w:highlight w:val="yellow"/>
        </w:rPr>
        <w:instrText xml:space="preserve"> \* MERGEFORMAT </w:instrText>
      </w:r>
      <w:r w:rsidRPr="000B52C6">
        <w:rPr>
          <w:highlight w:val="yellow"/>
        </w:rPr>
      </w:r>
      <w:r w:rsidRPr="000B52C6">
        <w:rPr>
          <w:highlight w:val="yellow"/>
        </w:rPr>
        <w:fldChar w:fldCharType="separate"/>
      </w:r>
      <w:r w:rsidR="00FF5725" w:rsidRPr="000B52C6">
        <w:t xml:space="preserve">Table </w:t>
      </w:r>
      <w:r w:rsidR="00FF5725">
        <w:t>23</w:t>
      </w:r>
      <w:r w:rsidRPr="000B52C6">
        <w:rPr>
          <w:highlight w:val="yellow"/>
        </w:rPr>
        <w:fldChar w:fldCharType="end"/>
      </w:r>
      <w:r w:rsidRPr="000B52C6">
        <w:t>.</w:t>
      </w:r>
      <w:r w:rsidR="00984255" w:rsidRPr="000B52C6">
        <w:t xml:space="preserve"> </w:t>
      </w:r>
      <w:r w:rsidRPr="000B52C6">
        <w:t xml:space="preserve">The estimates are based on an assumed effective price for </w:t>
      </w:r>
      <w:proofErr w:type="spellStart"/>
      <w:r w:rsidRPr="000B52C6">
        <w:t>selinexor</w:t>
      </w:r>
      <w:proofErr w:type="spellEnd"/>
      <w:r w:rsidRPr="000B52C6">
        <w:t xml:space="preserve"> as described in paragraph 6.</w:t>
      </w:r>
      <w:r w:rsidR="003A3007" w:rsidRPr="000B52C6">
        <w:t>69</w:t>
      </w:r>
      <w:r w:rsidRPr="000B52C6">
        <w:t xml:space="preserve">. </w:t>
      </w:r>
    </w:p>
    <w:p w14:paraId="41CC7175" w14:textId="77777777" w:rsidR="00984255" w:rsidRPr="000B52C6" w:rsidRDefault="00984255" w:rsidP="0093076A"/>
    <w:p w14:paraId="61673538" w14:textId="5C45BD60" w:rsidR="00976BE2" w:rsidRPr="000B52C6" w:rsidRDefault="00976BE2" w:rsidP="00976BE2">
      <w:pPr>
        <w:pStyle w:val="TableFigureHeading"/>
        <w:keepLines/>
      </w:pPr>
      <w:bookmarkStart w:id="59" w:name="_Ref90371066"/>
      <w:r w:rsidRPr="000B52C6">
        <w:t xml:space="preserve">Table </w:t>
      </w:r>
      <w:r w:rsidR="00FF5725">
        <w:fldChar w:fldCharType="begin"/>
      </w:r>
      <w:r w:rsidR="00FF5725">
        <w:instrText xml:space="preserve"> SEQ Table \* ARABIC </w:instrText>
      </w:r>
      <w:r w:rsidR="00FF5725">
        <w:fldChar w:fldCharType="separate"/>
      </w:r>
      <w:r w:rsidR="00FF5725">
        <w:rPr>
          <w:noProof/>
        </w:rPr>
        <w:t>23</w:t>
      </w:r>
      <w:r w:rsidR="00FF5725">
        <w:fldChar w:fldCharType="end"/>
      </w:r>
      <w:bookmarkEnd w:id="59"/>
      <w:r w:rsidRPr="000B52C6">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4"/>
        <w:gridCol w:w="1137"/>
        <w:gridCol w:w="1134"/>
        <w:gridCol w:w="1134"/>
        <w:gridCol w:w="1134"/>
        <w:gridCol w:w="1134"/>
        <w:gridCol w:w="1080"/>
      </w:tblGrid>
      <w:tr w:rsidR="00976BE2" w:rsidRPr="000B52C6" w14:paraId="47B3CF0E" w14:textId="77777777" w:rsidTr="00D27599">
        <w:trPr>
          <w:tblHeader/>
        </w:trPr>
        <w:tc>
          <w:tcPr>
            <w:tcW w:w="1255" w:type="pct"/>
            <w:tcBorders>
              <w:top w:val="single" w:sz="4" w:space="0" w:color="auto"/>
              <w:left w:val="single" w:sz="4" w:space="0" w:color="auto"/>
              <w:bottom w:val="single" w:sz="4" w:space="0" w:color="auto"/>
              <w:right w:val="single" w:sz="4" w:space="0" w:color="auto"/>
            </w:tcBorders>
            <w:vAlign w:val="center"/>
          </w:tcPr>
          <w:p w14:paraId="4F718627" w14:textId="77777777" w:rsidR="00976BE2" w:rsidRPr="000B52C6" w:rsidRDefault="00976BE2" w:rsidP="00F749FC">
            <w:pPr>
              <w:pStyle w:val="In-tableHeading"/>
              <w:jc w:val="center"/>
              <w:rPr>
                <w:lang w:val="en-AU"/>
              </w:rPr>
            </w:pPr>
          </w:p>
        </w:tc>
        <w:tc>
          <w:tcPr>
            <w:tcW w:w="630" w:type="pct"/>
            <w:tcBorders>
              <w:top w:val="single" w:sz="4" w:space="0" w:color="auto"/>
              <w:left w:val="single" w:sz="4" w:space="0" w:color="auto"/>
              <w:bottom w:val="single" w:sz="4" w:space="0" w:color="auto"/>
              <w:right w:val="single" w:sz="4" w:space="0" w:color="auto"/>
            </w:tcBorders>
            <w:vAlign w:val="center"/>
            <w:hideMark/>
          </w:tcPr>
          <w:p w14:paraId="513453B8" w14:textId="77777777" w:rsidR="00976BE2" w:rsidRPr="000B52C6" w:rsidRDefault="00976BE2" w:rsidP="00F749FC">
            <w:pPr>
              <w:pStyle w:val="In-tableHeading"/>
              <w:jc w:val="center"/>
              <w:rPr>
                <w:lang w:val="en-AU"/>
              </w:rPr>
            </w:pPr>
            <w:r w:rsidRPr="000B52C6">
              <w:rPr>
                <w:lang w:val="en-AU"/>
              </w:rPr>
              <w:t>Year 1</w:t>
            </w:r>
          </w:p>
        </w:tc>
        <w:tc>
          <w:tcPr>
            <w:tcW w:w="629" w:type="pct"/>
            <w:tcBorders>
              <w:top w:val="single" w:sz="4" w:space="0" w:color="auto"/>
              <w:left w:val="single" w:sz="4" w:space="0" w:color="auto"/>
              <w:bottom w:val="single" w:sz="4" w:space="0" w:color="auto"/>
              <w:right w:val="single" w:sz="4" w:space="0" w:color="auto"/>
            </w:tcBorders>
            <w:vAlign w:val="center"/>
            <w:hideMark/>
          </w:tcPr>
          <w:p w14:paraId="5F7C939B" w14:textId="77777777" w:rsidR="00976BE2" w:rsidRPr="000B52C6" w:rsidRDefault="00976BE2" w:rsidP="00F749FC">
            <w:pPr>
              <w:pStyle w:val="In-tableHeading"/>
              <w:jc w:val="center"/>
              <w:rPr>
                <w:lang w:val="en-AU"/>
              </w:rPr>
            </w:pPr>
            <w:r w:rsidRPr="000B52C6">
              <w:rPr>
                <w:lang w:val="en-AU"/>
              </w:rPr>
              <w:t>Year 2</w:t>
            </w:r>
          </w:p>
        </w:tc>
        <w:tc>
          <w:tcPr>
            <w:tcW w:w="629" w:type="pct"/>
            <w:tcBorders>
              <w:top w:val="single" w:sz="4" w:space="0" w:color="auto"/>
              <w:left w:val="single" w:sz="4" w:space="0" w:color="auto"/>
              <w:bottom w:val="single" w:sz="4" w:space="0" w:color="auto"/>
              <w:right w:val="single" w:sz="4" w:space="0" w:color="auto"/>
            </w:tcBorders>
            <w:vAlign w:val="center"/>
            <w:hideMark/>
          </w:tcPr>
          <w:p w14:paraId="49379260" w14:textId="77777777" w:rsidR="00976BE2" w:rsidRPr="000B52C6" w:rsidRDefault="00976BE2" w:rsidP="00F749FC">
            <w:pPr>
              <w:pStyle w:val="In-tableHeading"/>
              <w:jc w:val="center"/>
              <w:rPr>
                <w:lang w:val="en-AU"/>
              </w:rPr>
            </w:pPr>
            <w:r w:rsidRPr="000B52C6">
              <w:rPr>
                <w:lang w:val="en-AU"/>
              </w:rPr>
              <w:t>Year 3</w:t>
            </w:r>
          </w:p>
        </w:tc>
        <w:tc>
          <w:tcPr>
            <w:tcW w:w="629" w:type="pct"/>
            <w:tcBorders>
              <w:top w:val="single" w:sz="4" w:space="0" w:color="auto"/>
              <w:left w:val="single" w:sz="4" w:space="0" w:color="auto"/>
              <w:bottom w:val="single" w:sz="4" w:space="0" w:color="auto"/>
              <w:right w:val="single" w:sz="4" w:space="0" w:color="auto"/>
            </w:tcBorders>
            <w:vAlign w:val="center"/>
            <w:hideMark/>
          </w:tcPr>
          <w:p w14:paraId="73F74A62" w14:textId="77777777" w:rsidR="00976BE2" w:rsidRPr="000B52C6" w:rsidRDefault="00976BE2" w:rsidP="00F749FC">
            <w:pPr>
              <w:pStyle w:val="In-tableHeading"/>
              <w:jc w:val="center"/>
              <w:rPr>
                <w:lang w:val="en-AU"/>
              </w:rPr>
            </w:pPr>
            <w:r w:rsidRPr="000B52C6">
              <w:rPr>
                <w:lang w:val="en-AU"/>
              </w:rPr>
              <w:t>Year 4</w:t>
            </w:r>
          </w:p>
        </w:tc>
        <w:tc>
          <w:tcPr>
            <w:tcW w:w="629" w:type="pct"/>
            <w:tcBorders>
              <w:top w:val="single" w:sz="4" w:space="0" w:color="auto"/>
              <w:left w:val="single" w:sz="4" w:space="0" w:color="auto"/>
              <w:bottom w:val="single" w:sz="4" w:space="0" w:color="auto"/>
              <w:right w:val="single" w:sz="4" w:space="0" w:color="auto"/>
            </w:tcBorders>
            <w:vAlign w:val="center"/>
            <w:hideMark/>
          </w:tcPr>
          <w:p w14:paraId="70ED85D0" w14:textId="77777777" w:rsidR="00976BE2" w:rsidRPr="000B52C6" w:rsidRDefault="00976BE2" w:rsidP="00F749FC">
            <w:pPr>
              <w:pStyle w:val="In-tableHeading"/>
              <w:jc w:val="center"/>
              <w:rPr>
                <w:lang w:val="en-AU"/>
              </w:rPr>
            </w:pPr>
            <w:r w:rsidRPr="000B52C6">
              <w:rPr>
                <w:lang w:val="en-AU"/>
              </w:rPr>
              <w:t>Year 5</w:t>
            </w:r>
          </w:p>
        </w:tc>
        <w:tc>
          <w:tcPr>
            <w:tcW w:w="600" w:type="pct"/>
            <w:tcBorders>
              <w:top w:val="single" w:sz="4" w:space="0" w:color="auto"/>
              <w:left w:val="single" w:sz="4" w:space="0" w:color="auto"/>
              <w:bottom w:val="single" w:sz="4" w:space="0" w:color="auto"/>
              <w:right w:val="single" w:sz="4" w:space="0" w:color="auto"/>
            </w:tcBorders>
            <w:hideMark/>
          </w:tcPr>
          <w:p w14:paraId="63337246" w14:textId="77777777" w:rsidR="00976BE2" w:rsidRPr="000B52C6" w:rsidRDefault="00976BE2" w:rsidP="00F749FC">
            <w:pPr>
              <w:pStyle w:val="In-tableHeading"/>
              <w:jc w:val="center"/>
              <w:rPr>
                <w:lang w:val="en-AU"/>
              </w:rPr>
            </w:pPr>
            <w:r w:rsidRPr="000B52C6">
              <w:rPr>
                <w:lang w:val="en-AU"/>
              </w:rPr>
              <w:t>Year 6</w:t>
            </w:r>
          </w:p>
        </w:tc>
      </w:tr>
      <w:tr w:rsidR="00976BE2" w:rsidRPr="000B52C6" w14:paraId="25BE58EF" w14:textId="77777777" w:rsidTr="00F749FC">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81B2DF1" w14:textId="77777777" w:rsidR="00976BE2" w:rsidRPr="000B52C6" w:rsidRDefault="00976BE2" w:rsidP="00F749FC">
            <w:pPr>
              <w:pStyle w:val="In-tableHeading"/>
              <w:rPr>
                <w:bCs/>
                <w:color w:val="000000"/>
                <w:lang w:val="en-AU"/>
              </w:rPr>
            </w:pPr>
            <w:r w:rsidRPr="000B52C6">
              <w:rPr>
                <w:bCs/>
                <w:color w:val="000000"/>
                <w:lang w:val="en-AU"/>
              </w:rPr>
              <w:t>Estimated extent of use</w:t>
            </w:r>
          </w:p>
        </w:tc>
      </w:tr>
      <w:tr w:rsidR="00761CCC" w:rsidRPr="000B52C6" w14:paraId="26B20845" w14:textId="77777777" w:rsidTr="00D27599">
        <w:tc>
          <w:tcPr>
            <w:tcW w:w="1255" w:type="pct"/>
            <w:tcBorders>
              <w:top w:val="single" w:sz="4" w:space="0" w:color="auto"/>
              <w:left w:val="single" w:sz="4" w:space="0" w:color="auto"/>
              <w:bottom w:val="single" w:sz="4" w:space="0" w:color="auto"/>
              <w:right w:val="single" w:sz="4" w:space="0" w:color="auto"/>
            </w:tcBorders>
            <w:vAlign w:val="center"/>
            <w:hideMark/>
          </w:tcPr>
          <w:p w14:paraId="12668F43" w14:textId="77777777" w:rsidR="00761CCC" w:rsidRPr="000B52C6" w:rsidRDefault="00761CCC" w:rsidP="00761CCC">
            <w:pPr>
              <w:pStyle w:val="TableText0"/>
              <w:rPr>
                <w:rFonts w:ascii="Times" w:hAnsi="Times"/>
              </w:rPr>
            </w:pPr>
            <w:r w:rsidRPr="000B52C6">
              <w:t xml:space="preserve">Number of scripts </w:t>
            </w:r>
            <w:proofErr w:type="spellStart"/>
            <w:r w:rsidRPr="000B52C6">
              <w:t>dispensed</w:t>
            </w:r>
            <w:r w:rsidRPr="000B52C6">
              <w:rPr>
                <w:vertAlign w:val="superscript"/>
              </w:rPr>
              <w:t>a</w:t>
            </w:r>
            <w:proofErr w:type="spellEnd"/>
          </w:p>
        </w:tc>
        <w:tc>
          <w:tcPr>
            <w:tcW w:w="630" w:type="pct"/>
            <w:tcBorders>
              <w:top w:val="single" w:sz="4" w:space="0" w:color="auto"/>
              <w:left w:val="single" w:sz="4" w:space="0" w:color="auto"/>
              <w:bottom w:val="single" w:sz="4" w:space="0" w:color="auto"/>
              <w:right w:val="single" w:sz="4" w:space="0" w:color="auto"/>
            </w:tcBorders>
          </w:tcPr>
          <w:p w14:paraId="0392A6EE" w14:textId="0B945A3B" w:rsidR="00761CCC" w:rsidRPr="00D27599" w:rsidRDefault="00DB2D11" w:rsidP="00761CCC">
            <w:pPr>
              <w:pStyle w:val="TableText0"/>
              <w:jc w:val="center"/>
              <w:rPr>
                <w:highlight w:val="yellow"/>
                <w:vertAlign w:val="superscript"/>
              </w:rPr>
            </w:pPr>
            <w:r w:rsidRPr="00DB2D11">
              <w:rPr>
                <w:rFonts w:hint="eastAsia"/>
                <w:color w:val="000000"/>
                <w:w w:val="15"/>
                <w:shd w:val="solid" w:color="000000" w:fill="000000"/>
                <w:fitText w:val="39" w:id="-1500846334"/>
                <w14:textFill>
                  <w14:solidFill>
                    <w14:srgbClr w14:val="000000">
                      <w14:alpha w14:val="100000"/>
                    </w14:srgbClr>
                  </w14:solidFill>
                </w14:textFill>
              </w:rPr>
              <w:t xml:space="preserve">　</w:t>
            </w:r>
            <w:r w:rsidRPr="00DB2D11">
              <w:rPr>
                <w:color w:val="000000"/>
                <w:w w:val="15"/>
                <w:shd w:val="solid" w:color="000000" w:fill="000000"/>
                <w:fitText w:val="39" w:id="-1500846334"/>
                <w14:textFill>
                  <w14:solidFill>
                    <w14:srgbClr w14:val="000000">
                      <w14:alpha w14:val="100000"/>
                    </w14:srgbClr>
                  </w14:solidFill>
                </w14:textFill>
              </w:rPr>
              <w:t>|</w:t>
            </w:r>
            <w:r w:rsidRPr="00DB2D11">
              <w:rPr>
                <w:rFonts w:hint="eastAsia"/>
                <w:color w:val="000000"/>
                <w:spacing w:val="-26"/>
                <w:w w:val="15"/>
                <w:shd w:val="solid" w:color="000000" w:fill="000000"/>
                <w:fitText w:val="39" w:id="-1500846334"/>
                <w14:textFill>
                  <w14:solidFill>
                    <w14:srgbClr w14:val="000000">
                      <w14:alpha w14:val="100000"/>
                    </w14:srgbClr>
                  </w14:solidFill>
                </w14:textFill>
              </w:rPr>
              <w:t xml:space="preserve">　</w:t>
            </w:r>
            <w:r w:rsidR="00AC3952" w:rsidRPr="00D27599">
              <w:rPr>
                <w:vertAlign w:val="superscript"/>
              </w:rPr>
              <w:t>1</w:t>
            </w:r>
          </w:p>
        </w:tc>
        <w:tc>
          <w:tcPr>
            <w:tcW w:w="629" w:type="pct"/>
            <w:tcBorders>
              <w:top w:val="single" w:sz="4" w:space="0" w:color="auto"/>
              <w:left w:val="single" w:sz="4" w:space="0" w:color="auto"/>
              <w:bottom w:val="single" w:sz="4" w:space="0" w:color="auto"/>
              <w:right w:val="single" w:sz="4" w:space="0" w:color="auto"/>
            </w:tcBorders>
          </w:tcPr>
          <w:p w14:paraId="2C1AA4AC" w14:textId="608E2C23" w:rsidR="00761CCC" w:rsidRPr="00D27599" w:rsidRDefault="00DB2D11" w:rsidP="00761CCC">
            <w:pPr>
              <w:pStyle w:val="TableText0"/>
              <w:jc w:val="center"/>
              <w:rPr>
                <w:highlight w:val="yellow"/>
              </w:rPr>
            </w:pPr>
            <w:r w:rsidRPr="00DB2D11">
              <w:rPr>
                <w:rFonts w:hint="eastAsia"/>
                <w:color w:val="000000"/>
                <w:w w:val="15"/>
                <w:shd w:val="solid" w:color="000000" w:fill="000000"/>
                <w:fitText w:val="38" w:id="-1500846333"/>
                <w14:textFill>
                  <w14:solidFill>
                    <w14:srgbClr w14:val="000000">
                      <w14:alpha w14:val="100000"/>
                    </w14:srgbClr>
                  </w14:solidFill>
                </w14:textFill>
              </w:rPr>
              <w:t xml:space="preserve">　</w:t>
            </w:r>
            <w:r w:rsidRPr="00DB2D11">
              <w:rPr>
                <w:color w:val="000000"/>
                <w:w w:val="15"/>
                <w:shd w:val="solid" w:color="000000" w:fill="000000"/>
                <w:fitText w:val="38" w:id="-1500846333"/>
                <w14:textFill>
                  <w14:solidFill>
                    <w14:srgbClr w14:val="000000">
                      <w14:alpha w14:val="100000"/>
                    </w14:srgbClr>
                  </w14:solidFill>
                </w14:textFill>
              </w:rPr>
              <w:t>|</w:t>
            </w:r>
            <w:r w:rsidRPr="00DB2D11">
              <w:rPr>
                <w:rFonts w:hint="eastAsia"/>
                <w:color w:val="000000"/>
                <w:spacing w:val="-27"/>
                <w:w w:val="15"/>
                <w:shd w:val="solid" w:color="000000" w:fill="000000"/>
                <w:fitText w:val="38" w:id="-1500846333"/>
                <w14:textFill>
                  <w14:solidFill>
                    <w14:srgbClr w14:val="000000">
                      <w14:alpha w14:val="100000"/>
                    </w14:srgbClr>
                  </w14:solidFill>
                </w14:textFill>
              </w:rPr>
              <w:t xml:space="preserve">　</w:t>
            </w:r>
            <w:r w:rsidR="00AC3952" w:rsidRPr="0031709B">
              <w:rPr>
                <w:vertAlign w:val="superscript"/>
              </w:rPr>
              <w:t>1</w:t>
            </w:r>
          </w:p>
        </w:tc>
        <w:tc>
          <w:tcPr>
            <w:tcW w:w="629" w:type="pct"/>
            <w:tcBorders>
              <w:top w:val="single" w:sz="4" w:space="0" w:color="auto"/>
              <w:left w:val="single" w:sz="4" w:space="0" w:color="auto"/>
              <w:bottom w:val="single" w:sz="4" w:space="0" w:color="auto"/>
              <w:right w:val="single" w:sz="4" w:space="0" w:color="auto"/>
            </w:tcBorders>
          </w:tcPr>
          <w:p w14:paraId="152C1468" w14:textId="7007E04B" w:rsidR="00761CCC" w:rsidRPr="00D27599" w:rsidRDefault="00DB2D11" w:rsidP="00761CCC">
            <w:pPr>
              <w:pStyle w:val="TableText0"/>
              <w:jc w:val="center"/>
              <w:rPr>
                <w:highlight w:val="yellow"/>
              </w:rPr>
            </w:pPr>
            <w:r w:rsidRPr="00DB2D11">
              <w:rPr>
                <w:rFonts w:hint="eastAsia"/>
                <w:color w:val="000000"/>
                <w:w w:val="15"/>
                <w:shd w:val="solid" w:color="000000" w:fill="000000"/>
                <w:fitText w:val="38" w:id="-1500846332"/>
                <w14:textFill>
                  <w14:solidFill>
                    <w14:srgbClr w14:val="000000">
                      <w14:alpha w14:val="100000"/>
                    </w14:srgbClr>
                  </w14:solidFill>
                </w14:textFill>
              </w:rPr>
              <w:t xml:space="preserve">　</w:t>
            </w:r>
            <w:r w:rsidRPr="00DB2D11">
              <w:rPr>
                <w:color w:val="000000"/>
                <w:w w:val="15"/>
                <w:shd w:val="solid" w:color="000000" w:fill="000000"/>
                <w:fitText w:val="38" w:id="-1500846332"/>
                <w14:textFill>
                  <w14:solidFill>
                    <w14:srgbClr w14:val="000000">
                      <w14:alpha w14:val="100000"/>
                    </w14:srgbClr>
                  </w14:solidFill>
                </w14:textFill>
              </w:rPr>
              <w:t>|</w:t>
            </w:r>
            <w:r w:rsidRPr="00DB2D11">
              <w:rPr>
                <w:rFonts w:hint="eastAsia"/>
                <w:color w:val="000000"/>
                <w:spacing w:val="-27"/>
                <w:w w:val="15"/>
                <w:shd w:val="solid" w:color="000000" w:fill="000000"/>
                <w:fitText w:val="38" w:id="-1500846332"/>
                <w14:textFill>
                  <w14:solidFill>
                    <w14:srgbClr w14:val="000000">
                      <w14:alpha w14:val="100000"/>
                    </w14:srgbClr>
                  </w14:solidFill>
                </w14:textFill>
              </w:rPr>
              <w:t xml:space="preserve">　</w:t>
            </w:r>
            <w:r w:rsidR="00AC3952" w:rsidRPr="0031709B">
              <w:rPr>
                <w:vertAlign w:val="superscript"/>
              </w:rPr>
              <w:t>1</w:t>
            </w:r>
          </w:p>
        </w:tc>
        <w:tc>
          <w:tcPr>
            <w:tcW w:w="629" w:type="pct"/>
            <w:tcBorders>
              <w:top w:val="single" w:sz="4" w:space="0" w:color="auto"/>
              <w:left w:val="single" w:sz="4" w:space="0" w:color="auto"/>
              <w:bottom w:val="single" w:sz="4" w:space="0" w:color="auto"/>
              <w:right w:val="single" w:sz="4" w:space="0" w:color="auto"/>
            </w:tcBorders>
          </w:tcPr>
          <w:p w14:paraId="57179CEA" w14:textId="3429F430" w:rsidR="00761CCC" w:rsidRPr="00D27599" w:rsidRDefault="00DB2D11" w:rsidP="00761CCC">
            <w:pPr>
              <w:pStyle w:val="TableText0"/>
              <w:jc w:val="center"/>
              <w:rPr>
                <w:highlight w:val="yellow"/>
              </w:rPr>
            </w:pPr>
            <w:r w:rsidRPr="00DB2D11">
              <w:rPr>
                <w:rFonts w:hint="eastAsia"/>
                <w:color w:val="000000"/>
                <w:w w:val="15"/>
                <w:shd w:val="solid" w:color="000000" w:fill="000000"/>
                <w:fitText w:val="38" w:id="-1500846331"/>
                <w14:textFill>
                  <w14:solidFill>
                    <w14:srgbClr w14:val="000000">
                      <w14:alpha w14:val="100000"/>
                    </w14:srgbClr>
                  </w14:solidFill>
                </w14:textFill>
              </w:rPr>
              <w:t xml:space="preserve">　</w:t>
            </w:r>
            <w:r w:rsidRPr="00DB2D11">
              <w:rPr>
                <w:color w:val="000000"/>
                <w:w w:val="15"/>
                <w:shd w:val="solid" w:color="000000" w:fill="000000"/>
                <w:fitText w:val="38" w:id="-1500846331"/>
                <w14:textFill>
                  <w14:solidFill>
                    <w14:srgbClr w14:val="000000">
                      <w14:alpha w14:val="100000"/>
                    </w14:srgbClr>
                  </w14:solidFill>
                </w14:textFill>
              </w:rPr>
              <w:t>|</w:t>
            </w:r>
            <w:r w:rsidRPr="00DB2D11">
              <w:rPr>
                <w:rFonts w:hint="eastAsia"/>
                <w:color w:val="000000"/>
                <w:spacing w:val="-27"/>
                <w:w w:val="15"/>
                <w:shd w:val="solid" w:color="000000" w:fill="000000"/>
                <w:fitText w:val="38" w:id="-1500846331"/>
                <w14:textFill>
                  <w14:solidFill>
                    <w14:srgbClr w14:val="000000">
                      <w14:alpha w14:val="100000"/>
                    </w14:srgbClr>
                  </w14:solidFill>
                </w14:textFill>
              </w:rPr>
              <w:t xml:space="preserve">　</w:t>
            </w:r>
            <w:r w:rsidR="00AC3952" w:rsidRPr="0031709B">
              <w:rPr>
                <w:vertAlign w:val="superscript"/>
              </w:rPr>
              <w:t>1</w:t>
            </w:r>
          </w:p>
        </w:tc>
        <w:tc>
          <w:tcPr>
            <w:tcW w:w="629" w:type="pct"/>
            <w:tcBorders>
              <w:top w:val="single" w:sz="4" w:space="0" w:color="auto"/>
              <w:left w:val="single" w:sz="4" w:space="0" w:color="auto"/>
              <w:bottom w:val="single" w:sz="4" w:space="0" w:color="auto"/>
              <w:right w:val="single" w:sz="4" w:space="0" w:color="auto"/>
            </w:tcBorders>
          </w:tcPr>
          <w:p w14:paraId="3FEBB39F" w14:textId="197231A4" w:rsidR="00761CCC" w:rsidRPr="00D27599" w:rsidRDefault="00DB2D11" w:rsidP="00761CCC">
            <w:pPr>
              <w:pStyle w:val="TableText0"/>
              <w:jc w:val="center"/>
              <w:rPr>
                <w:highlight w:val="yellow"/>
              </w:rPr>
            </w:pPr>
            <w:r w:rsidRPr="00DB2D11">
              <w:rPr>
                <w:rFonts w:hint="eastAsia"/>
                <w:color w:val="000000"/>
                <w:w w:val="15"/>
                <w:shd w:val="solid" w:color="000000" w:fill="000000"/>
                <w:fitText w:val="38" w:id="-1500846330"/>
                <w14:textFill>
                  <w14:solidFill>
                    <w14:srgbClr w14:val="000000">
                      <w14:alpha w14:val="100000"/>
                    </w14:srgbClr>
                  </w14:solidFill>
                </w14:textFill>
              </w:rPr>
              <w:t xml:space="preserve">　</w:t>
            </w:r>
            <w:r w:rsidRPr="00DB2D11">
              <w:rPr>
                <w:color w:val="000000"/>
                <w:w w:val="15"/>
                <w:shd w:val="solid" w:color="000000" w:fill="000000"/>
                <w:fitText w:val="38" w:id="-1500846330"/>
                <w14:textFill>
                  <w14:solidFill>
                    <w14:srgbClr w14:val="000000">
                      <w14:alpha w14:val="100000"/>
                    </w14:srgbClr>
                  </w14:solidFill>
                </w14:textFill>
              </w:rPr>
              <w:t>|</w:t>
            </w:r>
            <w:r w:rsidRPr="00DB2D11">
              <w:rPr>
                <w:rFonts w:hint="eastAsia"/>
                <w:color w:val="000000"/>
                <w:spacing w:val="-27"/>
                <w:w w:val="15"/>
                <w:shd w:val="solid" w:color="000000" w:fill="000000"/>
                <w:fitText w:val="38" w:id="-1500846330"/>
                <w14:textFill>
                  <w14:solidFill>
                    <w14:srgbClr w14:val="000000">
                      <w14:alpha w14:val="100000"/>
                    </w14:srgbClr>
                  </w14:solidFill>
                </w14:textFill>
              </w:rPr>
              <w:t xml:space="preserve">　</w:t>
            </w:r>
            <w:r w:rsidR="00AC3952" w:rsidRPr="0031709B">
              <w:rPr>
                <w:vertAlign w:val="superscript"/>
              </w:rPr>
              <w:t>1</w:t>
            </w:r>
          </w:p>
        </w:tc>
        <w:tc>
          <w:tcPr>
            <w:tcW w:w="600" w:type="pct"/>
            <w:tcBorders>
              <w:top w:val="single" w:sz="4" w:space="0" w:color="auto"/>
              <w:left w:val="single" w:sz="4" w:space="0" w:color="auto"/>
              <w:bottom w:val="single" w:sz="4" w:space="0" w:color="auto"/>
              <w:right w:val="single" w:sz="4" w:space="0" w:color="auto"/>
            </w:tcBorders>
          </w:tcPr>
          <w:p w14:paraId="5056A2D8" w14:textId="704F252D" w:rsidR="00761CCC" w:rsidRPr="00D27599" w:rsidRDefault="00DB2D11" w:rsidP="00761CCC">
            <w:pPr>
              <w:pStyle w:val="TableText0"/>
              <w:jc w:val="center"/>
              <w:rPr>
                <w:highlight w:val="yellow"/>
              </w:rPr>
            </w:pPr>
            <w:r w:rsidRPr="00DB2D11">
              <w:rPr>
                <w:rFonts w:hint="eastAsia"/>
                <w:color w:val="000000"/>
                <w:w w:val="15"/>
                <w:shd w:val="solid" w:color="000000" w:fill="000000"/>
                <w:fitText w:val="69" w:id="-1500846329"/>
                <w14:textFill>
                  <w14:solidFill>
                    <w14:srgbClr w14:val="000000">
                      <w14:alpha w14:val="100000"/>
                    </w14:srgbClr>
                  </w14:solidFill>
                </w14:textFill>
              </w:rPr>
              <w:t xml:space="preserve">　</w:t>
            </w:r>
            <w:r w:rsidRPr="00DB2D11">
              <w:rPr>
                <w:color w:val="000000"/>
                <w:w w:val="15"/>
                <w:shd w:val="solid" w:color="000000" w:fill="000000"/>
                <w:fitText w:val="69" w:id="-1500846329"/>
                <w14:textFill>
                  <w14:solidFill>
                    <w14:srgbClr w14:val="000000">
                      <w14:alpha w14:val="100000"/>
                    </w14:srgbClr>
                  </w14:solidFill>
                </w14:textFill>
              </w:rPr>
              <w:t>|</w:t>
            </w:r>
            <w:r w:rsidRPr="00DB2D11">
              <w:rPr>
                <w:rFonts w:hint="eastAsia"/>
                <w:color w:val="000000"/>
                <w:spacing w:val="3"/>
                <w:w w:val="15"/>
                <w:shd w:val="solid" w:color="000000" w:fill="000000"/>
                <w:fitText w:val="69" w:id="-1500846329"/>
                <w14:textFill>
                  <w14:solidFill>
                    <w14:srgbClr w14:val="000000">
                      <w14:alpha w14:val="100000"/>
                    </w14:srgbClr>
                  </w14:solidFill>
                </w14:textFill>
              </w:rPr>
              <w:t xml:space="preserve">　</w:t>
            </w:r>
            <w:r w:rsidR="00AC3952" w:rsidRPr="0031709B">
              <w:rPr>
                <w:vertAlign w:val="superscript"/>
              </w:rPr>
              <w:t>1</w:t>
            </w:r>
          </w:p>
        </w:tc>
      </w:tr>
      <w:tr w:rsidR="00976BE2" w:rsidRPr="000B52C6" w14:paraId="2A3ED28E" w14:textId="77777777" w:rsidTr="00F749FC">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6F403B4" w14:textId="77777777" w:rsidR="00976BE2" w:rsidRPr="000B52C6" w:rsidRDefault="00976BE2" w:rsidP="00F749FC">
            <w:pPr>
              <w:pStyle w:val="In-tableHeading"/>
              <w:rPr>
                <w:lang w:val="en-AU"/>
              </w:rPr>
            </w:pPr>
            <w:r w:rsidRPr="000B52C6">
              <w:rPr>
                <w:lang w:val="en-AU"/>
              </w:rPr>
              <w:t>Estimated financial implications of Selinexor (assumed effective price)</w:t>
            </w:r>
          </w:p>
        </w:tc>
      </w:tr>
      <w:tr w:rsidR="00976BE2" w:rsidRPr="000B52C6" w14:paraId="1618134A" w14:textId="77777777" w:rsidTr="00D27599">
        <w:tc>
          <w:tcPr>
            <w:tcW w:w="1255" w:type="pct"/>
            <w:tcBorders>
              <w:top w:val="single" w:sz="4" w:space="0" w:color="auto"/>
              <w:left w:val="single" w:sz="4" w:space="0" w:color="auto"/>
              <w:bottom w:val="single" w:sz="4" w:space="0" w:color="auto"/>
              <w:right w:val="single" w:sz="4" w:space="0" w:color="auto"/>
            </w:tcBorders>
            <w:vAlign w:val="center"/>
            <w:hideMark/>
          </w:tcPr>
          <w:p w14:paraId="472053F9" w14:textId="26CB8100" w:rsidR="00976BE2" w:rsidRPr="000B52C6" w:rsidRDefault="00976BE2" w:rsidP="00F749FC">
            <w:pPr>
              <w:pStyle w:val="TableText0"/>
              <w:rPr>
                <w:sz w:val="19"/>
                <w:szCs w:val="19"/>
              </w:rPr>
            </w:pPr>
            <w:r w:rsidRPr="000B52C6">
              <w:rPr>
                <w:sz w:val="19"/>
                <w:szCs w:val="19"/>
              </w:rPr>
              <w:t xml:space="preserve">Cost to PBS/RPBS less </w:t>
            </w:r>
            <w:proofErr w:type="spellStart"/>
            <w:r w:rsidRPr="000B52C6">
              <w:rPr>
                <w:sz w:val="19"/>
                <w:szCs w:val="19"/>
              </w:rPr>
              <w:t>copayments</w:t>
            </w:r>
            <w:proofErr w:type="spellEnd"/>
            <w:r w:rsidR="00AC3952">
              <w:rPr>
                <w:sz w:val="19"/>
                <w:szCs w:val="19"/>
              </w:rPr>
              <w:t xml:space="preserve"> ($)</w:t>
            </w:r>
          </w:p>
        </w:tc>
        <w:tc>
          <w:tcPr>
            <w:tcW w:w="630" w:type="pct"/>
            <w:tcBorders>
              <w:top w:val="single" w:sz="4" w:space="0" w:color="auto"/>
              <w:left w:val="single" w:sz="4" w:space="0" w:color="auto"/>
              <w:bottom w:val="single" w:sz="4" w:space="0" w:color="auto"/>
              <w:right w:val="single" w:sz="4" w:space="0" w:color="auto"/>
            </w:tcBorders>
            <w:hideMark/>
          </w:tcPr>
          <w:p w14:paraId="3E424EC0" w14:textId="4E6C12A7" w:rsidR="00976BE2" w:rsidRPr="00D27599" w:rsidRDefault="00DB2D11" w:rsidP="00F749FC">
            <w:pPr>
              <w:pStyle w:val="TableText0"/>
              <w:jc w:val="center"/>
              <w:rPr>
                <w:highlight w:val="yellow"/>
              </w:rPr>
            </w:pPr>
            <w:r w:rsidRPr="00DB2D11">
              <w:rPr>
                <w:rFonts w:hint="eastAsia"/>
                <w:color w:val="000000"/>
                <w:w w:val="15"/>
                <w:shd w:val="solid" w:color="000000" w:fill="000000"/>
                <w:fitText w:val="39" w:id="-1500846328"/>
                <w14:textFill>
                  <w14:solidFill>
                    <w14:srgbClr w14:val="000000">
                      <w14:alpha w14:val="100000"/>
                    </w14:srgbClr>
                  </w14:solidFill>
                </w14:textFill>
              </w:rPr>
              <w:t xml:space="preserve">　</w:t>
            </w:r>
            <w:r w:rsidRPr="00DB2D11">
              <w:rPr>
                <w:color w:val="000000"/>
                <w:w w:val="15"/>
                <w:shd w:val="solid" w:color="000000" w:fill="000000"/>
                <w:fitText w:val="39" w:id="-1500846328"/>
                <w14:textFill>
                  <w14:solidFill>
                    <w14:srgbClr w14:val="000000">
                      <w14:alpha w14:val="100000"/>
                    </w14:srgbClr>
                  </w14:solidFill>
                </w14:textFill>
              </w:rPr>
              <w:t>|</w:t>
            </w:r>
            <w:r w:rsidRPr="00DB2D11">
              <w:rPr>
                <w:rFonts w:hint="eastAsia"/>
                <w:color w:val="000000"/>
                <w:spacing w:val="-26"/>
                <w:w w:val="15"/>
                <w:shd w:val="solid" w:color="000000" w:fill="000000"/>
                <w:fitText w:val="39" w:id="-1500846328"/>
                <w14:textFill>
                  <w14:solidFill>
                    <w14:srgbClr w14:val="000000">
                      <w14:alpha w14:val="100000"/>
                    </w14:srgbClr>
                  </w14:solidFill>
                </w14:textFill>
              </w:rPr>
              <w:t xml:space="preserve">　</w:t>
            </w:r>
            <w:r w:rsidR="00AC3952">
              <w:rPr>
                <w:vertAlign w:val="superscript"/>
              </w:rPr>
              <w:t>2</w:t>
            </w:r>
          </w:p>
        </w:tc>
        <w:tc>
          <w:tcPr>
            <w:tcW w:w="629" w:type="pct"/>
            <w:tcBorders>
              <w:top w:val="single" w:sz="4" w:space="0" w:color="auto"/>
              <w:left w:val="single" w:sz="4" w:space="0" w:color="auto"/>
              <w:bottom w:val="single" w:sz="4" w:space="0" w:color="auto"/>
              <w:right w:val="single" w:sz="4" w:space="0" w:color="auto"/>
            </w:tcBorders>
            <w:hideMark/>
          </w:tcPr>
          <w:p w14:paraId="10D3E6AE" w14:textId="3E10EC96" w:rsidR="00976BE2" w:rsidRPr="00D27599" w:rsidRDefault="00DB2D11" w:rsidP="00F749FC">
            <w:pPr>
              <w:pStyle w:val="TableText0"/>
              <w:jc w:val="center"/>
              <w:rPr>
                <w:highlight w:val="yellow"/>
              </w:rPr>
            </w:pPr>
            <w:r w:rsidRPr="00DB2D11">
              <w:rPr>
                <w:rFonts w:hint="eastAsia"/>
                <w:color w:val="000000"/>
                <w:w w:val="15"/>
                <w:shd w:val="solid" w:color="000000" w:fill="000000"/>
                <w:fitText w:val="38" w:id="-1500846327"/>
                <w14:textFill>
                  <w14:solidFill>
                    <w14:srgbClr w14:val="000000">
                      <w14:alpha w14:val="100000"/>
                    </w14:srgbClr>
                  </w14:solidFill>
                </w14:textFill>
              </w:rPr>
              <w:t xml:space="preserve">　</w:t>
            </w:r>
            <w:r w:rsidRPr="00DB2D11">
              <w:rPr>
                <w:color w:val="000000"/>
                <w:w w:val="15"/>
                <w:shd w:val="solid" w:color="000000" w:fill="000000"/>
                <w:fitText w:val="38" w:id="-1500846327"/>
                <w14:textFill>
                  <w14:solidFill>
                    <w14:srgbClr w14:val="000000">
                      <w14:alpha w14:val="100000"/>
                    </w14:srgbClr>
                  </w14:solidFill>
                </w14:textFill>
              </w:rPr>
              <w:t>|</w:t>
            </w:r>
            <w:r w:rsidRPr="00DB2D11">
              <w:rPr>
                <w:rFonts w:hint="eastAsia"/>
                <w:color w:val="000000"/>
                <w:spacing w:val="-27"/>
                <w:w w:val="15"/>
                <w:shd w:val="solid" w:color="000000" w:fill="000000"/>
                <w:fitText w:val="38" w:id="-1500846327"/>
                <w14:textFill>
                  <w14:solidFill>
                    <w14:srgbClr w14:val="000000">
                      <w14:alpha w14:val="100000"/>
                    </w14:srgbClr>
                  </w14:solidFill>
                </w14:textFill>
              </w:rPr>
              <w:t xml:space="preserve">　</w:t>
            </w:r>
            <w:r w:rsidR="00AC3952">
              <w:rPr>
                <w:vertAlign w:val="superscript"/>
              </w:rPr>
              <w:t>2</w:t>
            </w:r>
          </w:p>
        </w:tc>
        <w:tc>
          <w:tcPr>
            <w:tcW w:w="629" w:type="pct"/>
            <w:tcBorders>
              <w:top w:val="single" w:sz="4" w:space="0" w:color="auto"/>
              <w:left w:val="single" w:sz="4" w:space="0" w:color="auto"/>
              <w:bottom w:val="single" w:sz="4" w:space="0" w:color="auto"/>
              <w:right w:val="single" w:sz="4" w:space="0" w:color="auto"/>
            </w:tcBorders>
            <w:hideMark/>
          </w:tcPr>
          <w:p w14:paraId="2C456D44" w14:textId="5CDFFD3F" w:rsidR="00976BE2" w:rsidRPr="00D27599" w:rsidRDefault="00DB2D11" w:rsidP="00F749FC">
            <w:pPr>
              <w:pStyle w:val="TableText0"/>
              <w:jc w:val="center"/>
              <w:rPr>
                <w:highlight w:val="yellow"/>
              </w:rPr>
            </w:pPr>
            <w:r w:rsidRPr="00DB2D11">
              <w:rPr>
                <w:rFonts w:hint="eastAsia"/>
                <w:color w:val="000000"/>
                <w:w w:val="15"/>
                <w:shd w:val="solid" w:color="000000" w:fill="000000"/>
                <w:fitText w:val="38" w:id="-1500846326"/>
                <w14:textFill>
                  <w14:solidFill>
                    <w14:srgbClr w14:val="000000">
                      <w14:alpha w14:val="100000"/>
                    </w14:srgbClr>
                  </w14:solidFill>
                </w14:textFill>
              </w:rPr>
              <w:t xml:space="preserve">　</w:t>
            </w:r>
            <w:r w:rsidRPr="00DB2D11">
              <w:rPr>
                <w:color w:val="000000"/>
                <w:w w:val="15"/>
                <w:shd w:val="solid" w:color="000000" w:fill="000000"/>
                <w:fitText w:val="38" w:id="-1500846326"/>
                <w14:textFill>
                  <w14:solidFill>
                    <w14:srgbClr w14:val="000000">
                      <w14:alpha w14:val="100000"/>
                    </w14:srgbClr>
                  </w14:solidFill>
                </w14:textFill>
              </w:rPr>
              <w:t>|</w:t>
            </w:r>
            <w:r w:rsidRPr="00DB2D11">
              <w:rPr>
                <w:rFonts w:hint="eastAsia"/>
                <w:color w:val="000000"/>
                <w:spacing w:val="-27"/>
                <w:w w:val="15"/>
                <w:shd w:val="solid" w:color="000000" w:fill="000000"/>
                <w:fitText w:val="38" w:id="-1500846326"/>
                <w14:textFill>
                  <w14:solidFill>
                    <w14:srgbClr w14:val="000000">
                      <w14:alpha w14:val="100000"/>
                    </w14:srgbClr>
                  </w14:solidFill>
                </w14:textFill>
              </w:rPr>
              <w:t xml:space="preserve">　</w:t>
            </w:r>
            <w:r w:rsidR="004769F5">
              <w:rPr>
                <w:vertAlign w:val="superscript"/>
              </w:rPr>
              <w:t>4</w:t>
            </w:r>
          </w:p>
        </w:tc>
        <w:tc>
          <w:tcPr>
            <w:tcW w:w="629" w:type="pct"/>
            <w:tcBorders>
              <w:top w:val="single" w:sz="4" w:space="0" w:color="auto"/>
              <w:left w:val="single" w:sz="4" w:space="0" w:color="auto"/>
              <w:bottom w:val="single" w:sz="4" w:space="0" w:color="auto"/>
              <w:right w:val="single" w:sz="4" w:space="0" w:color="auto"/>
            </w:tcBorders>
            <w:hideMark/>
          </w:tcPr>
          <w:p w14:paraId="7E7D8B30" w14:textId="567DAF34" w:rsidR="00976BE2" w:rsidRPr="00D27599" w:rsidRDefault="00DB2D11" w:rsidP="00F749FC">
            <w:pPr>
              <w:pStyle w:val="TableText0"/>
              <w:jc w:val="center"/>
              <w:rPr>
                <w:highlight w:val="yellow"/>
              </w:rPr>
            </w:pPr>
            <w:r w:rsidRPr="00DB2D11">
              <w:rPr>
                <w:rFonts w:hint="eastAsia"/>
                <w:color w:val="000000"/>
                <w:w w:val="15"/>
                <w:shd w:val="solid" w:color="000000" w:fill="000000"/>
                <w:fitText w:val="38" w:id="-1500846325"/>
                <w14:textFill>
                  <w14:solidFill>
                    <w14:srgbClr w14:val="000000">
                      <w14:alpha w14:val="100000"/>
                    </w14:srgbClr>
                  </w14:solidFill>
                </w14:textFill>
              </w:rPr>
              <w:t xml:space="preserve">　</w:t>
            </w:r>
            <w:r w:rsidRPr="00DB2D11">
              <w:rPr>
                <w:color w:val="000000"/>
                <w:w w:val="15"/>
                <w:shd w:val="solid" w:color="000000" w:fill="000000"/>
                <w:fitText w:val="38" w:id="-1500846325"/>
                <w14:textFill>
                  <w14:solidFill>
                    <w14:srgbClr w14:val="000000">
                      <w14:alpha w14:val="100000"/>
                    </w14:srgbClr>
                  </w14:solidFill>
                </w14:textFill>
              </w:rPr>
              <w:t>|</w:t>
            </w:r>
            <w:r w:rsidRPr="00DB2D11">
              <w:rPr>
                <w:rFonts w:hint="eastAsia"/>
                <w:color w:val="000000"/>
                <w:spacing w:val="-27"/>
                <w:w w:val="15"/>
                <w:shd w:val="solid" w:color="000000" w:fill="000000"/>
                <w:fitText w:val="38" w:id="-1500846325"/>
                <w14:textFill>
                  <w14:solidFill>
                    <w14:srgbClr w14:val="000000">
                      <w14:alpha w14:val="100000"/>
                    </w14:srgbClr>
                  </w14:solidFill>
                </w14:textFill>
              </w:rPr>
              <w:t xml:space="preserve">　</w:t>
            </w:r>
            <w:r w:rsidR="004769F5">
              <w:rPr>
                <w:vertAlign w:val="superscript"/>
              </w:rPr>
              <w:t>4</w:t>
            </w:r>
          </w:p>
        </w:tc>
        <w:tc>
          <w:tcPr>
            <w:tcW w:w="629" w:type="pct"/>
            <w:tcBorders>
              <w:top w:val="single" w:sz="4" w:space="0" w:color="auto"/>
              <w:left w:val="single" w:sz="4" w:space="0" w:color="auto"/>
              <w:bottom w:val="single" w:sz="4" w:space="0" w:color="auto"/>
              <w:right w:val="single" w:sz="4" w:space="0" w:color="auto"/>
            </w:tcBorders>
            <w:hideMark/>
          </w:tcPr>
          <w:p w14:paraId="3151A733" w14:textId="0E3D6AE9" w:rsidR="00976BE2" w:rsidRPr="00D27599" w:rsidRDefault="00DB2D11" w:rsidP="00F749FC">
            <w:pPr>
              <w:pStyle w:val="TableText0"/>
              <w:jc w:val="center"/>
              <w:rPr>
                <w:highlight w:val="yellow"/>
              </w:rPr>
            </w:pPr>
            <w:r w:rsidRPr="00DB2D11">
              <w:rPr>
                <w:rFonts w:hint="eastAsia"/>
                <w:color w:val="000000"/>
                <w:w w:val="15"/>
                <w:shd w:val="solid" w:color="000000" w:fill="000000"/>
                <w:fitText w:val="38" w:id="-1500846324"/>
                <w14:textFill>
                  <w14:solidFill>
                    <w14:srgbClr w14:val="000000">
                      <w14:alpha w14:val="100000"/>
                    </w14:srgbClr>
                  </w14:solidFill>
                </w14:textFill>
              </w:rPr>
              <w:t xml:space="preserve">　</w:t>
            </w:r>
            <w:r w:rsidRPr="00DB2D11">
              <w:rPr>
                <w:color w:val="000000"/>
                <w:w w:val="15"/>
                <w:shd w:val="solid" w:color="000000" w:fill="000000"/>
                <w:fitText w:val="38" w:id="-1500846324"/>
                <w14:textFill>
                  <w14:solidFill>
                    <w14:srgbClr w14:val="000000">
                      <w14:alpha w14:val="100000"/>
                    </w14:srgbClr>
                  </w14:solidFill>
                </w14:textFill>
              </w:rPr>
              <w:t>|</w:t>
            </w:r>
            <w:r w:rsidRPr="00DB2D11">
              <w:rPr>
                <w:rFonts w:hint="eastAsia"/>
                <w:color w:val="000000"/>
                <w:spacing w:val="-27"/>
                <w:w w:val="15"/>
                <w:shd w:val="solid" w:color="000000" w:fill="000000"/>
                <w:fitText w:val="38" w:id="-1500846324"/>
                <w14:textFill>
                  <w14:solidFill>
                    <w14:srgbClr w14:val="000000">
                      <w14:alpha w14:val="100000"/>
                    </w14:srgbClr>
                  </w14:solidFill>
                </w14:textFill>
              </w:rPr>
              <w:t xml:space="preserve">　</w:t>
            </w:r>
            <w:r w:rsidR="004769F5">
              <w:rPr>
                <w:vertAlign w:val="superscript"/>
              </w:rPr>
              <w:t>4</w:t>
            </w:r>
          </w:p>
        </w:tc>
        <w:tc>
          <w:tcPr>
            <w:tcW w:w="600" w:type="pct"/>
            <w:tcBorders>
              <w:top w:val="single" w:sz="4" w:space="0" w:color="auto"/>
              <w:left w:val="single" w:sz="4" w:space="0" w:color="auto"/>
              <w:bottom w:val="single" w:sz="4" w:space="0" w:color="auto"/>
              <w:right w:val="single" w:sz="4" w:space="0" w:color="auto"/>
            </w:tcBorders>
            <w:hideMark/>
          </w:tcPr>
          <w:p w14:paraId="2488259F" w14:textId="0658836C" w:rsidR="00976BE2" w:rsidRPr="00D27599" w:rsidRDefault="00DB2D11" w:rsidP="00F749FC">
            <w:pPr>
              <w:pStyle w:val="TableText0"/>
              <w:jc w:val="center"/>
              <w:rPr>
                <w:highlight w:val="yellow"/>
              </w:rPr>
            </w:pPr>
            <w:r w:rsidRPr="00DB2D11">
              <w:rPr>
                <w:rFonts w:hint="eastAsia"/>
                <w:color w:val="000000"/>
                <w:w w:val="15"/>
                <w:shd w:val="solid" w:color="000000" w:fill="000000"/>
                <w:fitText w:val="69" w:id="-1500846323"/>
                <w14:textFill>
                  <w14:solidFill>
                    <w14:srgbClr w14:val="000000">
                      <w14:alpha w14:val="100000"/>
                    </w14:srgbClr>
                  </w14:solidFill>
                </w14:textFill>
              </w:rPr>
              <w:t xml:space="preserve">　</w:t>
            </w:r>
            <w:r w:rsidRPr="00DB2D11">
              <w:rPr>
                <w:color w:val="000000"/>
                <w:w w:val="15"/>
                <w:shd w:val="solid" w:color="000000" w:fill="000000"/>
                <w:fitText w:val="69" w:id="-1500846323"/>
                <w14:textFill>
                  <w14:solidFill>
                    <w14:srgbClr w14:val="000000">
                      <w14:alpha w14:val="100000"/>
                    </w14:srgbClr>
                  </w14:solidFill>
                </w14:textFill>
              </w:rPr>
              <w:t>|</w:t>
            </w:r>
            <w:r w:rsidRPr="00DB2D11">
              <w:rPr>
                <w:rFonts w:hint="eastAsia"/>
                <w:color w:val="000000"/>
                <w:spacing w:val="3"/>
                <w:w w:val="15"/>
                <w:shd w:val="solid" w:color="000000" w:fill="000000"/>
                <w:fitText w:val="69" w:id="-1500846323"/>
                <w14:textFill>
                  <w14:solidFill>
                    <w14:srgbClr w14:val="000000">
                      <w14:alpha w14:val="100000"/>
                    </w14:srgbClr>
                  </w14:solidFill>
                </w14:textFill>
              </w:rPr>
              <w:t xml:space="preserve">　</w:t>
            </w:r>
            <w:r w:rsidR="004769F5">
              <w:rPr>
                <w:vertAlign w:val="superscript"/>
              </w:rPr>
              <w:t>4</w:t>
            </w:r>
          </w:p>
        </w:tc>
      </w:tr>
      <w:tr w:rsidR="00976BE2" w:rsidRPr="000B52C6" w14:paraId="48B9D04C" w14:textId="77777777" w:rsidTr="00F749FC">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4A8BF25" w14:textId="77777777" w:rsidR="00976BE2" w:rsidRPr="000B52C6" w:rsidRDefault="00976BE2" w:rsidP="00F749FC">
            <w:pPr>
              <w:pStyle w:val="TableText0"/>
              <w:rPr>
                <w:b/>
              </w:rPr>
            </w:pPr>
            <w:r w:rsidRPr="000B52C6">
              <w:rPr>
                <w:b/>
              </w:rPr>
              <w:t>Estimated financial implications for other medicines</w:t>
            </w:r>
          </w:p>
        </w:tc>
      </w:tr>
      <w:tr w:rsidR="00976BE2" w:rsidRPr="000B52C6" w14:paraId="6200EFF6" w14:textId="77777777" w:rsidTr="00D27599">
        <w:tc>
          <w:tcPr>
            <w:tcW w:w="1255" w:type="pct"/>
            <w:tcBorders>
              <w:top w:val="single" w:sz="4" w:space="0" w:color="auto"/>
              <w:left w:val="single" w:sz="4" w:space="0" w:color="auto"/>
              <w:bottom w:val="single" w:sz="4" w:space="0" w:color="auto"/>
              <w:right w:val="single" w:sz="4" w:space="0" w:color="auto"/>
            </w:tcBorders>
            <w:vAlign w:val="center"/>
            <w:hideMark/>
          </w:tcPr>
          <w:p w14:paraId="1B78D5FE" w14:textId="0D648E52" w:rsidR="00976BE2" w:rsidRPr="000B52C6" w:rsidRDefault="00976BE2" w:rsidP="00F749FC">
            <w:pPr>
              <w:pStyle w:val="TableText0"/>
              <w:rPr>
                <w:sz w:val="19"/>
                <w:szCs w:val="19"/>
              </w:rPr>
            </w:pPr>
            <w:r w:rsidRPr="000B52C6">
              <w:rPr>
                <w:sz w:val="19"/>
                <w:szCs w:val="19"/>
              </w:rPr>
              <w:t xml:space="preserve">Cost to PBS/RPBS less </w:t>
            </w:r>
            <w:proofErr w:type="spellStart"/>
            <w:r w:rsidRPr="000B52C6">
              <w:rPr>
                <w:sz w:val="19"/>
                <w:szCs w:val="19"/>
              </w:rPr>
              <w:t>copayments</w:t>
            </w:r>
            <w:proofErr w:type="spellEnd"/>
            <w:r w:rsidRPr="000B52C6">
              <w:rPr>
                <w:sz w:val="19"/>
                <w:szCs w:val="19"/>
              </w:rPr>
              <w:t xml:space="preserve"> </w:t>
            </w:r>
            <w:r w:rsidR="00AC3952">
              <w:rPr>
                <w:sz w:val="19"/>
                <w:szCs w:val="19"/>
              </w:rPr>
              <w:t>–</w:t>
            </w:r>
            <w:r w:rsidRPr="000B52C6">
              <w:rPr>
                <w:sz w:val="19"/>
                <w:szCs w:val="19"/>
              </w:rPr>
              <w:t xml:space="preserve"> bortezomib</w:t>
            </w:r>
            <w:r w:rsidR="00AC3952">
              <w:rPr>
                <w:sz w:val="19"/>
                <w:szCs w:val="19"/>
              </w:rPr>
              <w:t xml:space="preserve"> ($)</w:t>
            </w:r>
          </w:p>
        </w:tc>
        <w:tc>
          <w:tcPr>
            <w:tcW w:w="630" w:type="pct"/>
            <w:tcBorders>
              <w:top w:val="single" w:sz="4" w:space="0" w:color="auto"/>
              <w:left w:val="single" w:sz="4" w:space="0" w:color="auto"/>
              <w:bottom w:val="single" w:sz="4" w:space="0" w:color="auto"/>
              <w:right w:val="single" w:sz="4" w:space="0" w:color="auto"/>
            </w:tcBorders>
            <w:hideMark/>
          </w:tcPr>
          <w:p w14:paraId="05B637B6" w14:textId="5381B5CC" w:rsidR="00976BE2" w:rsidRPr="00D27599" w:rsidRDefault="00DB2D11" w:rsidP="00F749FC">
            <w:pPr>
              <w:pStyle w:val="TableText0"/>
              <w:jc w:val="center"/>
              <w:rPr>
                <w:highlight w:val="yellow"/>
              </w:rPr>
            </w:pPr>
            <w:r w:rsidRPr="00DB2D11">
              <w:rPr>
                <w:rFonts w:hint="eastAsia"/>
                <w:color w:val="000000"/>
                <w:w w:val="15"/>
                <w:shd w:val="solid" w:color="000000" w:fill="000000"/>
                <w:fitText w:val="39" w:id="-1500846322"/>
                <w14:textFill>
                  <w14:solidFill>
                    <w14:srgbClr w14:val="000000">
                      <w14:alpha w14:val="100000"/>
                    </w14:srgbClr>
                  </w14:solidFill>
                </w14:textFill>
              </w:rPr>
              <w:t xml:space="preserve">　</w:t>
            </w:r>
            <w:r w:rsidRPr="00DB2D11">
              <w:rPr>
                <w:color w:val="000000"/>
                <w:w w:val="15"/>
                <w:shd w:val="solid" w:color="000000" w:fill="000000"/>
                <w:fitText w:val="39" w:id="-1500846322"/>
                <w14:textFill>
                  <w14:solidFill>
                    <w14:srgbClr w14:val="000000">
                      <w14:alpha w14:val="100000"/>
                    </w14:srgbClr>
                  </w14:solidFill>
                </w14:textFill>
              </w:rPr>
              <w:t>|</w:t>
            </w:r>
            <w:r w:rsidRPr="00DB2D11">
              <w:rPr>
                <w:rFonts w:hint="eastAsia"/>
                <w:color w:val="000000"/>
                <w:spacing w:val="-26"/>
                <w:w w:val="15"/>
                <w:shd w:val="solid" w:color="000000" w:fill="000000"/>
                <w:fitText w:val="39" w:id="-1500846322"/>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hideMark/>
          </w:tcPr>
          <w:p w14:paraId="3A83EAB4" w14:textId="77A9E166" w:rsidR="00976BE2" w:rsidRPr="00D27599" w:rsidRDefault="00DB2D11" w:rsidP="00F749FC">
            <w:pPr>
              <w:pStyle w:val="TableText0"/>
              <w:jc w:val="center"/>
              <w:rPr>
                <w:highlight w:val="yellow"/>
              </w:rPr>
            </w:pPr>
            <w:r w:rsidRPr="00DB2D11">
              <w:rPr>
                <w:rFonts w:hint="eastAsia"/>
                <w:color w:val="000000"/>
                <w:w w:val="15"/>
                <w:shd w:val="solid" w:color="000000" w:fill="000000"/>
                <w:fitText w:val="38" w:id="-1500846321"/>
                <w14:textFill>
                  <w14:solidFill>
                    <w14:srgbClr w14:val="000000">
                      <w14:alpha w14:val="100000"/>
                    </w14:srgbClr>
                  </w14:solidFill>
                </w14:textFill>
              </w:rPr>
              <w:t xml:space="preserve">　</w:t>
            </w:r>
            <w:r w:rsidRPr="00DB2D11">
              <w:rPr>
                <w:color w:val="000000"/>
                <w:w w:val="15"/>
                <w:shd w:val="solid" w:color="000000" w:fill="000000"/>
                <w:fitText w:val="38" w:id="-1500846321"/>
                <w14:textFill>
                  <w14:solidFill>
                    <w14:srgbClr w14:val="000000">
                      <w14:alpha w14:val="100000"/>
                    </w14:srgbClr>
                  </w14:solidFill>
                </w14:textFill>
              </w:rPr>
              <w:t>|</w:t>
            </w:r>
            <w:r w:rsidRPr="00DB2D11">
              <w:rPr>
                <w:rFonts w:hint="eastAsia"/>
                <w:color w:val="000000"/>
                <w:spacing w:val="-27"/>
                <w:w w:val="15"/>
                <w:shd w:val="solid" w:color="000000" w:fill="000000"/>
                <w:fitText w:val="38" w:id="-1500846321"/>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hideMark/>
          </w:tcPr>
          <w:p w14:paraId="71CFCDF5" w14:textId="5B89F4DF" w:rsidR="00976BE2" w:rsidRPr="00D27599" w:rsidRDefault="00DB2D11" w:rsidP="00F749FC">
            <w:pPr>
              <w:pStyle w:val="TableText0"/>
              <w:jc w:val="center"/>
              <w:rPr>
                <w:highlight w:val="yellow"/>
              </w:rPr>
            </w:pPr>
            <w:r w:rsidRPr="00DB2D11">
              <w:rPr>
                <w:rFonts w:hint="eastAsia"/>
                <w:color w:val="000000"/>
                <w:w w:val="15"/>
                <w:shd w:val="solid" w:color="000000" w:fill="000000"/>
                <w:fitText w:val="38" w:id="-1500846320"/>
                <w14:textFill>
                  <w14:solidFill>
                    <w14:srgbClr w14:val="000000">
                      <w14:alpha w14:val="100000"/>
                    </w14:srgbClr>
                  </w14:solidFill>
                </w14:textFill>
              </w:rPr>
              <w:t xml:space="preserve">　</w:t>
            </w:r>
            <w:r w:rsidRPr="00DB2D11">
              <w:rPr>
                <w:color w:val="000000"/>
                <w:w w:val="15"/>
                <w:shd w:val="solid" w:color="000000" w:fill="000000"/>
                <w:fitText w:val="38" w:id="-1500846320"/>
                <w14:textFill>
                  <w14:solidFill>
                    <w14:srgbClr w14:val="000000">
                      <w14:alpha w14:val="100000"/>
                    </w14:srgbClr>
                  </w14:solidFill>
                </w14:textFill>
              </w:rPr>
              <w:t>|</w:t>
            </w:r>
            <w:r w:rsidRPr="00DB2D11">
              <w:rPr>
                <w:rFonts w:hint="eastAsia"/>
                <w:color w:val="000000"/>
                <w:spacing w:val="-27"/>
                <w:w w:val="15"/>
                <w:shd w:val="solid" w:color="000000" w:fill="000000"/>
                <w:fitText w:val="38" w:id="-1500846320"/>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hideMark/>
          </w:tcPr>
          <w:p w14:paraId="4C1D36A6" w14:textId="5A20BD4C" w:rsidR="00976BE2" w:rsidRPr="00D27599" w:rsidRDefault="00DB2D11" w:rsidP="00F749FC">
            <w:pPr>
              <w:pStyle w:val="TableText0"/>
              <w:jc w:val="center"/>
              <w:rPr>
                <w:highlight w:val="yellow"/>
              </w:rPr>
            </w:pPr>
            <w:r w:rsidRPr="00DB2D11">
              <w:rPr>
                <w:rFonts w:hint="eastAsia"/>
                <w:color w:val="000000"/>
                <w:w w:val="15"/>
                <w:shd w:val="solid" w:color="000000" w:fill="000000"/>
                <w:fitText w:val="38" w:id="-1500846336"/>
                <w14:textFill>
                  <w14:solidFill>
                    <w14:srgbClr w14:val="000000">
                      <w14:alpha w14:val="100000"/>
                    </w14:srgbClr>
                  </w14:solidFill>
                </w14:textFill>
              </w:rPr>
              <w:t xml:space="preserve">　</w:t>
            </w:r>
            <w:r w:rsidRPr="00DB2D11">
              <w:rPr>
                <w:color w:val="000000"/>
                <w:w w:val="15"/>
                <w:shd w:val="solid" w:color="000000" w:fill="000000"/>
                <w:fitText w:val="38" w:id="-1500846336"/>
                <w14:textFill>
                  <w14:solidFill>
                    <w14:srgbClr w14:val="000000">
                      <w14:alpha w14:val="100000"/>
                    </w14:srgbClr>
                  </w14:solidFill>
                </w14:textFill>
              </w:rPr>
              <w:t>|</w:t>
            </w:r>
            <w:r w:rsidRPr="00DB2D11">
              <w:rPr>
                <w:rFonts w:hint="eastAsia"/>
                <w:color w:val="000000"/>
                <w:spacing w:val="-27"/>
                <w:w w:val="15"/>
                <w:shd w:val="solid" w:color="000000" w:fill="000000"/>
                <w:fitText w:val="38" w:id="-1500846336"/>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hideMark/>
          </w:tcPr>
          <w:p w14:paraId="17C667E2" w14:textId="6EAFF7F9" w:rsidR="00976BE2" w:rsidRPr="00D27599" w:rsidRDefault="00DB2D11" w:rsidP="00F749FC">
            <w:pPr>
              <w:pStyle w:val="TableText0"/>
              <w:jc w:val="center"/>
              <w:rPr>
                <w:highlight w:val="yellow"/>
              </w:rPr>
            </w:pPr>
            <w:r w:rsidRPr="00DB2D11">
              <w:rPr>
                <w:rFonts w:hint="eastAsia"/>
                <w:color w:val="000000"/>
                <w:w w:val="15"/>
                <w:shd w:val="solid" w:color="000000" w:fill="000000"/>
                <w:fitText w:val="38" w:id="-1500846335"/>
                <w14:textFill>
                  <w14:solidFill>
                    <w14:srgbClr w14:val="000000">
                      <w14:alpha w14:val="100000"/>
                    </w14:srgbClr>
                  </w14:solidFill>
                </w14:textFill>
              </w:rPr>
              <w:t xml:space="preserve">　</w:t>
            </w:r>
            <w:r w:rsidRPr="00DB2D11">
              <w:rPr>
                <w:color w:val="000000"/>
                <w:w w:val="15"/>
                <w:shd w:val="solid" w:color="000000" w:fill="000000"/>
                <w:fitText w:val="38" w:id="-1500846335"/>
                <w14:textFill>
                  <w14:solidFill>
                    <w14:srgbClr w14:val="000000">
                      <w14:alpha w14:val="100000"/>
                    </w14:srgbClr>
                  </w14:solidFill>
                </w14:textFill>
              </w:rPr>
              <w:t>|</w:t>
            </w:r>
            <w:r w:rsidRPr="00DB2D11">
              <w:rPr>
                <w:rFonts w:hint="eastAsia"/>
                <w:color w:val="000000"/>
                <w:spacing w:val="-27"/>
                <w:w w:val="15"/>
                <w:shd w:val="solid" w:color="000000" w:fill="000000"/>
                <w:fitText w:val="38" w:id="-1500846335"/>
                <w14:textFill>
                  <w14:solidFill>
                    <w14:srgbClr w14:val="000000">
                      <w14:alpha w14:val="100000"/>
                    </w14:srgbClr>
                  </w14:solidFill>
                </w14:textFill>
              </w:rPr>
              <w:t xml:space="preserve">　</w:t>
            </w:r>
            <w:r w:rsidR="004769F5">
              <w:rPr>
                <w:vertAlign w:val="superscript"/>
              </w:rPr>
              <w:t>2</w:t>
            </w:r>
          </w:p>
        </w:tc>
        <w:tc>
          <w:tcPr>
            <w:tcW w:w="600" w:type="pct"/>
            <w:tcBorders>
              <w:top w:val="single" w:sz="4" w:space="0" w:color="auto"/>
              <w:left w:val="single" w:sz="4" w:space="0" w:color="auto"/>
              <w:bottom w:val="single" w:sz="4" w:space="0" w:color="auto"/>
              <w:right w:val="single" w:sz="4" w:space="0" w:color="auto"/>
            </w:tcBorders>
            <w:hideMark/>
          </w:tcPr>
          <w:p w14:paraId="318BF9F5" w14:textId="72F271B5" w:rsidR="00976BE2" w:rsidRPr="00D27599" w:rsidRDefault="00DB2D11" w:rsidP="00F749FC">
            <w:pPr>
              <w:pStyle w:val="TableText0"/>
              <w:jc w:val="center"/>
              <w:rPr>
                <w:highlight w:val="yellow"/>
              </w:rPr>
            </w:pPr>
            <w:r w:rsidRPr="00DB2D11">
              <w:rPr>
                <w:rFonts w:hint="eastAsia"/>
                <w:color w:val="000000"/>
                <w:w w:val="15"/>
                <w:shd w:val="solid" w:color="000000" w:fill="000000"/>
                <w:fitText w:val="69" w:id="-1500846334"/>
                <w14:textFill>
                  <w14:solidFill>
                    <w14:srgbClr w14:val="000000">
                      <w14:alpha w14:val="100000"/>
                    </w14:srgbClr>
                  </w14:solidFill>
                </w14:textFill>
              </w:rPr>
              <w:t xml:space="preserve">　</w:t>
            </w:r>
            <w:r w:rsidRPr="00DB2D11">
              <w:rPr>
                <w:color w:val="000000"/>
                <w:w w:val="15"/>
                <w:shd w:val="solid" w:color="000000" w:fill="000000"/>
                <w:fitText w:val="69" w:id="-1500846334"/>
                <w14:textFill>
                  <w14:solidFill>
                    <w14:srgbClr w14:val="000000">
                      <w14:alpha w14:val="100000"/>
                    </w14:srgbClr>
                  </w14:solidFill>
                </w14:textFill>
              </w:rPr>
              <w:t>|</w:t>
            </w:r>
            <w:r w:rsidRPr="00DB2D11">
              <w:rPr>
                <w:rFonts w:hint="eastAsia"/>
                <w:color w:val="000000"/>
                <w:spacing w:val="3"/>
                <w:w w:val="15"/>
                <w:shd w:val="solid" w:color="000000" w:fill="000000"/>
                <w:fitText w:val="69" w:id="-1500846334"/>
                <w14:textFill>
                  <w14:solidFill>
                    <w14:srgbClr w14:val="000000">
                      <w14:alpha w14:val="100000"/>
                    </w14:srgbClr>
                  </w14:solidFill>
                </w14:textFill>
              </w:rPr>
              <w:t xml:space="preserve">　</w:t>
            </w:r>
            <w:r w:rsidR="004769F5">
              <w:rPr>
                <w:vertAlign w:val="superscript"/>
              </w:rPr>
              <w:t>2</w:t>
            </w:r>
          </w:p>
        </w:tc>
      </w:tr>
      <w:tr w:rsidR="00976BE2" w:rsidRPr="000B52C6" w14:paraId="53BF944D" w14:textId="77777777" w:rsidTr="00D27599">
        <w:tc>
          <w:tcPr>
            <w:tcW w:w="1255" w:type="pct"/>
            <w:tcBorders>
              <w:top w:val="single" w:sz="4" w:space="0" w:color="auto"/>
              <w:left w:val="single" w:sz="4" w:space="0" w:color="auto"/>
              <w:bottom w:val="single" w:sz="4" w:space="0" w:color="auto"/>
              <w:right w:val="single" w:sz="4" w:space="0" w:color="auto"/>
            </w:tcBorders>
            <w:vAlign w:val="center"/>
            <w:hideMark/>
          </w:tcPr>
          <w:p w14:paraId="5902A6E7" w14:textId="65B4992F" w:rsidR="00976BE2" w:rsidRPr="000B52C6" w:rsidRDefault="00976BE2" w:rsidP="00F749FC">
            <w:pPr>
              <w:pStyle w:val="TableText0"/>
              <w:rPr>
                <w:sz w:val="19"/>
                <w:szCs w:val="19"/>
              </w:rPr>
            </w:pPr>
            <w:r w:rsidRPr="000B52C6">
              <w:rPr>
                <w:sz w:val="19"/>
                <w:szCs w:val="19"/>
              </w:rPr>
              <w:t xml:space="preserve">Cost to PBS/RPBS less </w:t>
            </w:r>
            <w:proofErr w:type="spellStart"/>
            <w:r w:rsidRPr="000B52C6">
              <w:rPr>
                <w:sz w:val="19"/>
                <w:szCs w:val="19"/>
              </w:rPr>
              <w:t>copayments</w:t>
            </w:r>
            <w:proofErr w:type="spellEnd"/>
            <w:r w:rsidRPr="000B52C6">
              <w:rPr>
                <w:sz w:val="19"/>
                <w:szCs w:val="19"/>
              </w:rPr>
              <w:t xml:space="preserve"> </w:t>
            </w:r>
            <w:r w:rsidR="00AC3952">
              <w:rPr>
                <w:sz w:val="19"/>
                <w:szCs w:val="19"/>
              </w:rPr>
              <w:t>–</w:t>
            </w:r>
            <w:r w:rsidRPr="000B52C6">
              <w:rPr>
                <w:sz w:val="19"/>
                <w:szCs w:val="19"/>
              </w:rPr>
              <w:t xml:space="preserve"> carfilzomib</w:t>
            </w:r>
            <w:r w:rsidR="00AC3952">
              <w:rPr>
                <w:sz w:val="19"/>
                <w:szCs w:val="19"/>
              </w:rPr>
              <w:t xml:space="preserve"> ($)</w:t>
            </w:r>
          </w:p>
        </w:tc>
        <w:tc>
          <w:tcPr>
            <w:tcW w:w="630" w:type="pct"/>
            <w:tcBorders>
              <w:top w:val="single" w:sz="4" w:space="0" w:color="auto"/>
              <w:left w:val="single" w:sz="4" w:space="0" w:color="auto"/>
              <w:bottom w:val="single" w:sz="4" w:space="0" w:color="auto"/>
              <w:right w:val="single" w:sz="4" w:space="0" w:color="auto"/>
            </w:tcBorders>
            <w:hideMark/>
          </w:tcPr>
          <w:p w14:paraId="55C9D365" w14:textId="4B94AAFC" w:rsidR="00976BE2" w:rsidRPr="000B52C6" w:rsidRDefault="00976BE2" w:rsidP="00F749FC">
            <w:pPr>
              <w:pStyle w:val="TableText0"/>
              <w:jc w:val="center"/>
            </w:pPr>
            <w:r w:rsidRPr="000B52C6">
              <w:t>-</w:t>
            </w:r>
            <w:r w:rsidR="00AC3952">
              <w:t xml:space="preserve"> </w:t>
            </w:r>
            <w:r w:rsidR="00DB2D11" w:rsidRPr="00DB2D11">
              <w:rPr>
                <w:rFonts w:hint="eastAsia"/>
                <w:color w:val="000000"/>
                <w:w w:val="19"/>
                <w:shd w:val="solid" w:color="000000" w:fill="000000"/>
                <w:fitText w:val="85" w:id="-1500846333"/>
                <w14:textFill>
                  <w14:solidFill>
                    <w14:srgbClr w14:val="000000">
                      <w14:alpha w14:val="100000"/>
                    </w14:srgbClr>
                  </w14:solidFill>
                </w14:textFill>
              </w:rPr>
              <w:t xml:space="preserve">　</w:t>
            </w:r>
            <w:r w:rsidR="00DB2D11" w:rsidRPr="00DB2D11">
              <w:rPr>
                <w:color w:val="000000"/>
                <w:w w:val="19"/>
                <w:shd w:val="solid" w:color="000000" w:fill="000000"/>
                <w:fitText w:val="85" w:id="-1500846333"/>
                <w14:textFill>
                  <w14:solidFill>
                    <w14:srgbClr w14:val="000000">
                      <w14:alpha w14:val="100000"/>
                    </w14:srgbClr>
                  </w14:solidFill>
                </w14:textFill>
              </w:rPr>
              <w:t>|</w:t>
            </w:r>
            <w:r w:rsidR="00DB2D11" w:rsidRPr="00DB2D11">
              <w:rPr>
                <w:rFonts w:hint="eastAsia"/>
                <w:color w:val="000000"/>
                <w:spacing w:val="1"/>
                <w:w w:val="19"/>
                <w:shd w:val="solid" w:color="000000" w:fill="000000"/>
                <w:fitText w:val="85" w:id="-1500846333"/>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hideMark/>
          </w:tcPr>
          <w:p w14:paraId="3ABF9D9D" w14:textId="50B8C9D3" w:rsidR="00976BE2" w:rsidRPr="000B52C6" w:rsidRDefault="00976BE2" w:rsidP="00F749FC">
            <w:pPr>
              <w:pStyle w:val="TableText0"/>
              <w:jc w:val="center"/>
            </w:pPr>
            <w:r w:rsidRPr="000B52C6">
              <w:t>-</w:t>
            </w:r>
            <w:r w:rsidR="00AC3952">
              <w:t xml:space="preserve"> </w:t>
            </w:r>
            <w:r w:rsidR="00DB2D11" w:rsidRPr="00DB2D11">
              <w:rPr>
                <w:rFonts w:hint="eastAsia"/>
                <w:color w:val="000000"/>
                <w:w w:val="20"/>
                <w:shd w:val="solid" w:color="000000" w:fill="000000"/>
                <w:fitText w:val="92" w:id="-1500846332"/>
                <w14:textFill>
                  <w14:solidFill>
                    <w14:srgbClr w14:val="000000">
                      <w14:alpha w14:val="100000"/>
                    </w14:srgbClr>
                  </w14:solidFill>
                </w14:textFill>
              </w:rPr>
              <w:t xml:space="preserve">　</w:t>
            </w:r>
            <w:r w:rsidR="00DB2D11" w:rsidRPr="00DB2D11">
              <w:rPr>
                <w:color w:val="000000"/>
                <w:w w:val="20"/>
                <w:shd w:val="solid" w:color="000000" w:fill="000000"/>
                <w:fitText w:val="92" w:id="-1500846332"/>
                <w14:textFill>
                  <w14:solidFill>
                    <w14:srgbClr w14:val="000000">
                      <w14:alpha w14:val="100000"/>
                    </w14:srgbClr>
                  </w14:solidFill>
                </w14:textFill>
              </w:rPr>
              <w:t>|</w:t>
            </w:r>
            <w:r w:rsidR="00DB2D11" w:rsidRPr="00DB2D11">
              <w:rPr>
                <w:rFonts w:hint="eastAsia"/>
                <w:color w:val="000000"/>
                <w:spacing w:val="5"/>
                <w:w w:val="20"/>
                <w:shd w:val="solid" w:color="000000" w:fill="000000"/>
                <w:fitText w:val="92" w:id="-1500846332"/>
                <w14:textFill>
                  <w14:solidFill>
                    <w14:srgbClr w14:val="000000">
                      <w14:alpha w14:val="100000"/>
                    </w14:srgbClr>
                  </w14:solidFill>
                </w14:textFill>
              </w:rPr>
              <w:t xml:space="preserve">　</w:t>
            </w:r>
            <w:r w:rsidR="004769F5">
              <w:rPr>
                <w:vertAlign w:val="superscript"/>
              </w:rPr>
              <w:t>4</w:t>
            </w:r>
          </w:p>
        </w:tc>
        <w:tc>
          <w:tcPr>
            <w:tcW w:w="629" w:type="pct"/>
            <w:tcBorders>
              <w:top w:val="single" w:sz="4" w:space="0" w:color="auto"/>
              <w:left w:val="single" w:sz="4" w:space="0" w:color="auto"/>
              <w:bottom w:val="single" w:sz="4" w:space="0" w:color="auto"/>
              <w:right w:val="single" w:sz="4" w:space="0" w:color="auto"/>
            </w:tcBorders>
            <w:hideMark/>
          </w:tcPr>
          <w:p w14:paraId="640E544B" w14:textId="07354D35" w:rsidR="00976BE2" w:rsidRPr="000B52C6" w:rsidRDefault="00976BE2" w:rsidP="00F749FC">
            <w:pPr>
              <w:pStyle w:val="TableText0"/>
              <w:jc w:val="center"/>
            </w:pPr>
            <w:r w:rsidRPr="000B52C6">
              <w:t>-</w:t>
            </w:r>
            <w:r w:rsidR="00AC3952">
              <w:t xml:space="preserve"> </w:t>
            </w:r>
            <w:r w:rsidR="00DB2D11" w:rsidRPr="00DB2D11">
              <w:rPr>
                <w:rFonts w:hint="eastAsia"/>
                <w:color w:val="000000"/>
                <w:w w:val="20"/>
                <w:shd w:val="solid" w:color="000000" w:fill="000000"/>
                <w:fitText w:val="92" w:id="-1500846331"/>
                <w14:textFill>
                  <w14:solidFill>
                    <w14:srgbClr w14:val="000000">
                      <w14:alpha w14:val="100000"/>
                    </w14:srgbClr>
                  </w14:solidFill>
                </w14:textFill>
              </w:rPr>
              <w:t xml:space="preserve">　</w:t>
            </w:r>
            <w:r w:rsidR="00DB2D11" w:rsidRPr="00DB2D11">
              <w:rPr>
                <w:color w:val="000000"/>
                <w:w w:val="20"/>
                <w:shd w:val="solid" w:color="000000" w:fill="000000"/>
                <w:fitText w:val="92" w:id="-1500846331"/>
                <w14:textFill>
                  <w14:solidFill>
                    <w14:srgbClr w14:val="000000">
                      <w14:alpha w14:val="100000"/>
                    </w14:srgbClr>
                  </w14:solidFill>
                </w14:textFill>
              </w:rPr>
              <w:t>|</w:t>
            </w:r>
            <w:r w:rsidR="00DB2D11" w:rsidRPr="00DB2D11">
              <w:rPr>
                <w:rFonts w:hint="eastAsia"/>
                <w:color w:val="000000"/>
                <w:spacing w:val="5"/>
                <w:w w:val="20"/>
                <w:shd w:val="solid" w:color="000000" w:fill="000000"/>
                <w:fitText w:val="92" w:id="-1500846331"/>
                <w14:textFill>
                  <w14:solidFill>
                    <w14:srgbClr w14:val="000000">
                      <w14:alpha w14:val="100000"/>
                    </w14:srgbClr>
                  </w14:solidFill>
                </w14:textFill>
              </w:rPr>
              <w:t xml:space="preserve">　</w:t>
            </w:r>
            <w:r w:rsidR="004769F5">
              <w:rPr>
                <w:vertAlign w:val="superscript"/>
              </w:rPr>
              <w:t>4</w:t>
            </w:r>
          </w:p>
        </w:tc>
        <w:tc>
          <w:tcPr>
            <w:tcW w:w="629" w:type="pct"/>
            <w:tcBorders>
              <w:top w:val="single" w:sz="4" w:space="0" w:color="auto"/>
              <w:left w:val="single" w:sz="4" w:space="0" w:color="auto"/>
              <w:bottom w:val="single" w:sz="4" w:space="0" w:color="auto"/>
              <w:right w:val="single" w:sz="4" w:space="0" w:color="auto"/>
            </w:tcBorders>
            <w:hideMark/>
          </w:tcPr>
          <w:p w14:paraId="14C4AD4C" w14:textId="3D8A0185" w:rsidR="00976BE2" w:rsidRPr="000B52C6" w:rsidRDefault="00976BE2" w:rsidP="00F749FC">
            <w:pPr>
              <w:pStyle w:val="TableText0"/>
              <w:jc w:val="center"/>
            </w:pPr>
            <w:r w:rsidRPr="000B52C6">
              <w:t>-</w:t>
            </w:r>
            <w:r w:rsidR="00AC3952">
              <w:t xml:space="preserve"> </w:t>
            </w:r>
            <w:r w:rsidR="00DB2D11" w:rsidRPr="00DB2D11">
              <w:rPr>
                <w:rFonts w:hint="eastAsia"/>
                <w:color w:val="000000"/>
                <w:w w:val="20"/>
                <w:shd w:val="solid" w:color="000000" w:fill="000000"/>
                <w:fitText w:val="92" w:id="-1500846330"/>
                <w14:textFill>
                  <w14:solidFill>
                    <w14:srgbClr w14:val="000000">
                      <w14:alpha w14:val="100000"/>
                    </w14:srgbClr>
                  </w14:solidFill>
                </w14:textFill>
              </w:rPr>
              <w:t xml:space="preserve">　</w:t>
            </w:r>
            <w:r w:rsidR="00DB2D11" w:rsidRPr="00DB2D11">
              <w:rPr>
                <w:color w:val="000000"/>
                <w:w w:val="20"/>
                <w:shd w:val="solid" w:color="000000" w:fill="000000"/>
                <w:fitText w:val="92" w:id="-1500846330"/>
                <w14:textFill>
                  <w14:solidFill>
                    <w14:srgbClr w14:val="000000">
                      <w14:alpha w14:val="100000"/>
                    </w14:srgbClr>
                  </w14:solidFill>
                </w14:textFill>
              </w:rPr>
              <w:t>|</w:t>
            </w:r>
            <w:r w:rsidR="00DB2D11" w:rsidRPr="00DB2D11">
              <w:rPr>
                <w:rFonts w:hint="eastAsia"/>
                <w:color w:val="000000"/>
                <w:spacing w:val="5"/>
                <w:w w:val="20"/>
                <w:shd w:val="solid" w:color="000000" w:fill="000000"/>
                <w:fitText w:val="92" w:id="-1500846330"/>
                <w14:textFill>
                  <w14:solidFill>
                    <w14:srgbClr w14:val="000000">
                      <w14:alpha w14:val="100000"/>
                    </w14:srgbClr>
                  </w14:solidFill>
                </w14:textFill>
              </w:rPr>
              <w:t xml:space="preserve">　</w:t>
            </w:r>
            <w:r w:rsidR="004769F5">
              <w:rPr>
                <w:vertAlign w:val="superscript"/>
              </w:rPr>
              <w:t>4</w:t>
            </w:r>
          </w:p>
        </w:tc>
        <w:tc>
          <w:tcPr>
            <w:tcW w:w="629" w:type="pct"/>
            <w:tcBorders>
              <w:top w:val="single" w:sz="4" w:space="0" w:color="auto"/>
              <w:left w:val="single" w:sz="4" w:space="0" w:color="auto"/>
              <w:bottom w:val="single" w:sz="4" w:space="0" w:color="auto"/>
              <w:right w:val="single" w:sz="4" w:space="0" w:color="auto"/>
            </w:tcBorders>
            <w:hideMark/>
          </w:tcPr>
          <w:p w14:paraId="5838ED3D" w14:textId="3CE79FD6" w:rsidR="00976BE2" w:rsidRPr="000B52C6" w:rsidRDefault="00976BE2" w:rsidP="00D27599">
            <w:pPr>
              <w:pStyle w:val="TableText0"/>
            </w:pPr>
            <w:r w:rsidRPr="000B52C6">
              <w:t>-</w:t>
            </w:r>
            <w:r w:rsidR="00AC3952">
              <w:t xml:space="preserve"> </w:t>
            </w:r>
            <w:r w:rsidR="00DB2D11" w:rsidRPr="00DB2D11">
              <w:rPr>
                <w:color w:val="000000"/>
                <w:spacing w:val="53"/>
                <w:shd w:val="solid" w:color="000000" w:fill="000000"/>
                <w:fitText w:val="331" w:id="-1500846080"/>
                <w14:textFill>
                  <w14:solidFill>
                    <w14:srgbClr w14:val="000000">
                      <w14:alpha w14:val="100000"/>
                    </w14:srgbClr>
                  </w14:solidFill>
                </w14:textFill>
              </w:rPr>
              <w:t>|||</w:t>
            </w:r>
            <w:r w:rsidR="00DB2D11" w:rsidRPr="00DB2D11">
              <w:rPr>
                <w:color w:val="000000"/>
                <w:spacing w:val="2"/>
                <w:shd w:val="solid" w:color="000000" w:fill="000000"/>
                <w:fitText w:val="331" w:id="-1500846080"/>
                <w14:textFill>
                  <w14:solidFill>
                    <w14:srgbClr w14:val="000000">
                      <w14:alpha w14:val="100000"/>
                    </w14:srgbClr>
                  </w14:solidFill>
                </w14:textFill>
              </w:rPr>
              <w:t>|</w:t>
            </w:r>
            <w:r w:rsidR="004769F5">
              <w:rPr>
                <w:vertAlign w:val="superscript"/>
              </w:rPr>
              <w:t>4</w:t>
            </w:r>
          </w:p>
        </w:tc>
        <w:tc>
          <w:tcPr>
            <w:tcW w:w="600" w:type="pct"/>
            <w:tcBorders>
              <w:top w:val="single" w:sz="4" w:space="0" w:color="auto"/>
              <w:left w:val="single" w:sz="4" w:space="0" w:color="auto"/>
              <w:bottom w:val="single" w:sz="4" w:space="0" w:color="auto"/>
              <w:right w:val="single" w:sz="4" w:space="0" w:color="auto"/>
            </w:tcBorders>
            <w:hideMark/>
          </w:tcPr>
          <w:p w14:paraId="1AF21295" w14:textId="6B9A678B" w:rsidR="00976BE2" w:rsidRPr="000B52C6" w:rsidRDefault="00976BE2" w:rsidP="00F749FC">
            <w:pPr>
              <w:pStyle w:val="TableText0"/>
              <w:jc w:val="center"/>
            </w:pPr>
            <w:r w:rsidRPr="000B52C6">
              <w:t>-</w:t>
            </w:r>
            <w:r w:rsidR="00DB2D11" w:rsidRPr="00DB2D11">
              <w:rPr>
                <w:rFonts w:hint="eastAsia"/>
                <w:color w:val="000000"/>
                <w:w w:val="21"/>
                <w:shd w:val="solid" w:color="000000" w:fill="000000"/>
                <w:fitText w:val="93" w:id="-1500846079"/>
                <w14:textFill>
                  <w14:solidFill>
                    <w14:srgbClr w14:val="000000">
                      <w14:alpha w14:val="100000"/>
                    </w14:srgbClr>
                  </w14:solidFill>
                </w14:textFill>
              </w:rPr>
              <w:t xml:space="preserve">　</w:t>
            </w:r>
            <w:r w:rsidR="00DB2D11" w:rsidRPr="00DB2D11">
              <w:rPr>
                <w:color w:val="000000"/>
                <w:w w:val="21"/>
                <w:shd w:val="solid" w:color="000000" w:fill="000000"/>
                <w:fitText w:val="93" w:id="-1500846079"/>
                <w14:textFill>
                  <w14:solidFill>
                    <w14:srgbClr w14:val="000000">
                      <w14:alpha w14:val="100000"/>
                    </w14:srgbClr>
                  </w14:solidFill>
                </w14:textFill>
              </w:rPr>
              <w:t>|</w:t>
            </w:r>
            <w:r w:rsidR="00DB2D11" w:rsidRPr="00DB2D11">
              <w:rPr>
                <w:rFonts w:hint="eastAsia"/>
                <w:color w:val="000000"/>
                <w:spacing w:val="2"/>
                <w:w w:val="21"/>
                <w:shd w:val="solid" w:color="000000" w:fill="000000"/>
                <w:fitText w:val="93" w:id="-1500846079"/>
                <w14:textFill>
                  <w14:solidFill>
                    <w14:srgbClr w14:val="000000">
                      <w14:alpha w14:val="100000"/>
                    </w14:srgbClr>
                  </w14:solidFill>
                </w14:textFill>
              </w:rPr>
              <w:t xml:space="preserve">　</w:t>
            </w:r>
            <w:r w:rsidR="004769F5">
              <w:rPr>
                <w:vertAlign w:val="superscript"/>
              </w:rPr>
              <w:t>4</w:t>
            </w:r>
          </w:p>
        </w:tc>
      </w:tr>
      <w:tr w:rsidR="00976BE2" w:rsidRPr="000B52C6" w14:paraId="314932A3" w14:textId="77777777" w:rsidTr="00F749FC">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7A93452" w14:textId="77777777" w:rsidR="00976BE2" w:rsidRPr="000B52C6" w:rsidRDefault="00976BE2" w:rsidP="00F749FC">
            <w:pPr>
              <w:pStyle w:val="In-tableHeading"/>
              <w:rPr>
                <w:lang w:val="en-AU"/>
              </w:rPr>
            </w:pPr>
            <w:r w:rsidRPr="000B52C6">
              <w:rPr>
                <w:lang w:val="en-AU"/>
              </w:rPr>
              <w:t>Net financial implications</w:t>
            </w:r>
            <w:r w:rsidRPr="000B52C6">
              <w:rPr>
                <w:color w:val="4BACC6" w:themeColor="accent5"/>
                <w:lang w:val="en-AU"/>
              </w:rPr>
              <w:t xml:space="preserve"> </w:t>
            </w:r>
          </w:p>
        </w:tc>
      </w:tr>
      <w:tr w:rsidR="00976BE2" w:rsidRPr="000B52C6" w14:paraId="0B02BF73" w14:textId="77777777" w:rsidTr="00D27599">
        <w:tc>
          <w:tcPr>
            <w:tcW w:w="1255" w:type="pct"/>
            <w:tcBorders>
              <w:top w:val="single" w:sz="4" w:space="0" w:color="auto"/>
              <w:left w:val="single" w:sz="4" w:space="0" w:color="auto"/>
              <w:bottom w:val="single" w:sz="4" w:space="0" w:color="auto"/>
              <w:right w:val="single" w:sz="4" w:space="0" w:color="auto"/>
            </w:tcBorders>
            <w:vAlign w:val="center"/>
            <w:hideMark/>
          </w:tcPr>
          <w:p w14:paraId="60287300" w14:textId="51C4E129" w:rsidR="00976BE2" w:rsidRPr="000B52C6" w:rsidRDefault="00976BE2" w:rsidP="00F749FC">
            <w:pPr>
              <w:pStyle w:val="TableText0"/>
              <w:rPr>
                <w:sz w:val="19"/>
                <w:szCs w:val="19"/>
              </w:rPr>
            </w:pPr>
            <w:r w:rsidRPr="000B52C6">
              <w:rPr>
                <w:sz w:val="19"/>
                <w:szCs w:val="19"/>
              </w:rPr>
              <w:t>Net cost to PBS/RPBS</w:t>
            </w:r>
            <w:r w:rsidR="00AC3952">
              <w:rPr>
                <w:sz w:val="19"/>
                <w:szCs w:val="19"/>
              </w:rPr>
              <w:t xml:space="preserve"> ($)</w:t>
            </w:r>
          </w:p>
        </w:tc>
        <w:tc>
          <w:tcPr>
            <w:tcW w:w="630" w:type="pct"/>
            <w:tcBorders>
              <w:top w:val="single" w:sz="4" w:space="0" w:color="auto"/>
              <w:left w:val="single" w:sz="4" w:space="0" w:color="auto"/>
              <w:bottom w:val="single" w:sz="4" w:space="0" w:color="auto"/>
              <w:right w:val="single" w:sz="4" w:space="0" w:color="auto"/>
            </w:tcBorders>
            <w:vAlign w:val="center"/>
            <w:hideMark/>
          </w:tcPr>
          <w:p w14:paraId="0AD0B466" w14:textId="0CCF34E6" w:rsidR="00976BE2" w:rsidRPr="00D27599" w:rsidRDefault="00DB2D11" w:rsidP="00F749FC">
            <w:pPr>
              <w:pStyle w:val="TableText0"/>
              <w:jc w:val="center"/>
              <w:rPr>
                <w:highlight w:val="yellow"/>
              </w:rPr>
            </w:pPr>
            <w:r w:rsidRPr="00DB2D11">
              <w:rPr>
                <w:rFonts w:hint="eastAsia"/>
                <w:color w:val="000000"/>
                <w:w w:val="15"/>
                <w:szCs w:val="20"/>
                <w:shd w:val="solid" w:color="000000" w:fill="000000"/>
                <w:fitText w:val="39" w:id="-1500846078"/>
                <w14:textFill>
                  <w14:solidFill>
                    <w14:srgbClr w14:val="000000">
                      <w14:alpha w14:val="100000"/>
                    </w14:srgbClr>
                  </w14:solidFill>
                </w14:textFill>
              </w:rPr>
              <w:t xml:space="preserve">　</w:t>
            </w:r>
            <w:r w:rsidRPr="00DB2D11">
              <w:rPr>
                <w:color w:val="000000"/>
                <w:w w:val="15"/>
                <w:szCs w:val="20"/>
                <w:shd w:val="solid" w:color="000000" w:fill="000000"/>
                <w:fitText w:val="39" w:id="-1500846078"/>
                <w14:textFill>
                  <w14:solidFill>
                    <w14:srgbClr w14:val="000000">
                      <w14:alpha w14:val="100000"/>
                    </w14:srgbClr>
                  </w14:solidFill>
                </w14:textFill>
              </w:rPr>
              <w:t>|</w:t>
            </w:r>
            <w:r w:rsidRPr="00DB2D11">
              <w:rPr>
                <w:rFonts w:hint="eastAsia"/>
                <w:color w:val="000000"/>
                <w:spacing w:val="-26"/>
                <w:w w:val="15"/>
                <w:szCs w:val="20"/>
                <w:shd w:val="solid" w:color="000000" w:fill="000000"/>
                <w:fitText w:val="39" w:id="-1500846078"/>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vAlign w:val="center"/>
            <w:hideMark/>
          </w:tcPr>
          <w:p w14:paraId="03A56807" w14:textId="79C37AE8" w:rsidR="00976BE2" w:rsidRPr="00D27599" w:rsidRDefault="00DB2D11" w:rsidP="00F749FC">
            <w:pPr>
              <w:pStyle w:val="TableText0"/>
              <w:jc w:val="center"/>
              <w:rPr>
                <w:highlight w:val="yellow"/>
              </w:rPr>
            </w:pPr>
            <w:r w:rsidRPr="00DB2D11">
              <w:rPr>
                <w:rFonts w:hint="eastAsia"/>
                <w:color w:val="000000"/>
                <w:w w:val="15"/>
                <w:szCs w:val="20"/>
                <w:shd w:val="solid" w:color="000000" w:fill="000000"/>
                <w:fitText w:val="38" w:id="-1500846077"/>
                <w14:textFill>
                  <w14:solidFill>
                    <w14:srgbClr w14:val="000000">
                      <w14:alpha w14:val="100000"/>
                    </w14:srgbClr>
                  </w14:solidFill>
                </w14:textFill>
              </w:rPr>
              <w:t xml:space="preserve">　</w:t>
            </w:r>
            <w:r w:rsidRPr="00DB2D11">
              <w:rPr>
                <w:color w:val="000000"/>
                <w:w w:val="15"/>
                <w:szCs w:val="20"/>
                <w:shd w:val="solid" w:color="000000" w:fill="000000"/>
                <w:fitText w:val="38" w:id="-1500846077"/>
                <w14:textFill>
                  <w14:solidFill>
                    <w14:srgbClr w14:val="000000">
                      <w14:alpha w14:val="100000"/>
                    </w14:srgbClr>
                  </w14:solidFill>
                </w14:textFill>
              </w:rPr>
              <w:t>|</w:t>
            </w:r>
            <w:r w:rsidRPr="00DB2D11">
              <w:rPr>
                <w:rFonts w:hint="eastAsia"/>
                <w:color w:val="000000"/>
                <w:spacing w:val="-27"/>
                <w:w w:val="15"/>
                <w:szCs w:val="20"/>
                <w:shd w:val="solid" w:color="000000" w:fill="000000"/>
                <w:fitText w:val="38" w:id="-1500846077"/>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vAlign w:val="center"/>
            <w:hideMark/>
          </w:tcPr>
          <w:p w14:paraId="7B948624" w14:textId="416D0AF8" w:rsidR="00976BE2" w:rsidRPr="00D27599" w:rsidRDefault="00DB2D11" w:rsidP="00F749FC">
            <w:pPr>
              <w:pStyle w:val="TableText0"/>
              <w:jc w:val="center"/>
              <w:rPr>
                <w:highlight w:val="yellow"/>
              </w:rPr>
            </w:pPr>
            <w:r w:rsidRPr="00DB2D11">
              <w:rPr>
                <w:rFonts w:hint="eastAsia"/>
                <w:color w:val="000000"/>
                <w:w w:val="15"/>
                <w:szCs w:val="20"/>
                <w:shd w:val="solid" w:color="000000" w:fill="000000"/>
                <w:fitText w:val="38" w:id="-1500846076"/>
                <w14:textFill>
                  <w14:solidFill>
                    <w14:srgbClr w14:val="000000">
                      <w14:alpha w14:val="100000"/>
                    </w14:srgbClr>
                  </w14:solidFill>
                </w14:textFill>
              </w:rPr>
              <w:t xml:space="preserve">　</w:t>
            </w:r>
            <w:r w:rsidRPr="00DB2D11">
              <w:rPr>
                <w:color w:val="000000"/>
                <w:w w:val="15"/>
                <w:szCs w:val="20"/>
                <w:shd w:val="solid" w:color="000000" w:fill="000000"/>
                <w:fitText w:val="38" w:id="-1500846076"/>
                <w14:textFill>
                  <w14:solidFill>
                    <w14:srgbClr w14:val="000000">
                      <w14:alpha w14:val="100000"/>
                    </w14:srgbClr>
                  </w14:solidFill>
                </w14:textFill>
              </w:rPr>
              <w:t>|</w:t>
            </w:r>
            <w:r w:rsidRPr="00DB2D11">
              <w:rPr>
                <w:rFonts w:hint="eastAsia"/>
                <w:color w:val="000000"/>
                <w:spacing w:val="-27"/>
                <w:w w:val="15"/>
                <w:szCs w:val="20"/>
                <w:shd w:val="solid" w:color="000000" w:fill="000000"/>
                <w:fitText w:val="38" w:id="-1500846076"/>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vAlign w:val="center"/>
            <w:hideMark/>
          </w:tcPr>
          <w:p w14:paraId="0BEB1CBA" w14:textId="34F8A9C8" w:rsidR="00976BE2" w:rsidRPr="00D27599" w:rsidRDefault="00DB2D11" w:rsidP="00F749FC">
            <w:pPr>
              <w:pStyle w:val="TableText0"/>
              <w:jc w:val="center"/>
              <w:rPr>
                <w:highlight w:val="yellow"/>
              </w:rPr>
            </w:pPr>
            <w:r w:rsidRPr="00DB2D11">
              <w:rPr>
                <w:rFonts w:hint="eastAsia"/>
                <w:color w:val="000000"/>
                <w:w w:val="15"/>
                <w:szCs w:val="20"/>
                <w:shd w:val="solid" w:color="000000" w:fill="000000"/>
                <w:fitText w:val="38" w:id="-1500846075"/>
                <w14:textFill>
                  <w14:solidFill>
                    <w14:srgbClr w14:val="000000">
                      <w14:alpha w14:val="100000"/>
                    </w14:srgbClr>
                  </w14:solidFill>
                </w14:textFill>
              </w:rPr>
              <w:t xml:space="preserve">　</w:t>
            </w:r>
            <w:r w:rsidRPr="00DB2D11">
              <w:rPr>
                <w:color w:val="000000"/>
                <w:w w:val="15"/>
                <w:szCs w:val="20"/>
                <w:shd w:val="solid" w:color="000000" w:fill="000000"/>
                <w:fitText w:val="38" w:id="-1500846075"/>
                <w14:textFill>
                  <w14:solidFill>
                    <w14:srgbClr w14:val="000000">
                      <w14:alpha w14:val="100000"/>
                    </w14:srgbClr>
                  </w14:solidFill>
                </w14:textFill>
              </w:rPr>
              <w:t>|</w:t>
            </w:r>
            <w:r w:rsidRPr="00DB2D11">
              <w:rPr>
                <w:rFonts w:hint="eastAsia"/>
                <w:color w:val="000000"/>
                <w:spacing w:val="-27"/>
                <w:w w:val="15"/>
                <w:szCs w:val="20"/>
                <w:shd w:val="solid" w:color="000000" w:fill="000000"/>
                <w:fitText w:val="38" w:id="-1500846075"/>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vAlign w:val="center"/>
            <w:hideMark/>
          </w:tcPr>
          <w:p w14:paraId="55B9B29B" w14:textId="5CE785A9" w:rsidR="00976BE2" w:rsidRPr="00D27599" w:rsidRDefault="00DB2D11" w:rsidP="00F749FC">
            <w:pPr>
              <w:pStyle w:val="TableText0"/>
              <w:jc w:val="center"/>
              <w:rPr>
                <w:highlight w:val="yellow"/>
              </w:rPr>
            </w:pPr>
            <w:r w:rsidRPr="00DB2D11">
              <w:rPr>
                <w:rFonts w:hint="eastAsia"/>
                <w:color w:val="000000"/>
                <w:w w:val="15"/>
                <w:szCs w:val="20"/>
                <w:shd w:val="solid" w:color="000000" w:fill="000000"/>
                <w:fitText w:val="38" w:id="-1500846074"/>
                <w14:textFill>
                  <w14:solidFill>
                    <w14:srgbClr w14:val="000000">
                      <w14:alpha w14:val="100000"/>
                    </w14:srgbClr>
                  </w14:solidFill>
                </w14:textFill>
              </w:rPr>
              <w:t xml:space="preserve">　</w:t>
            </w:r>
            <w:r w:rsidRPr="00DB2D11">
              <w:rPr>
                <w:color w:val="000000"/>
                <w:w w:val="15"/>
                <w:szCs w:val="20"/>
                <w:shd w:val="solid" w:color="000000" w:fill="000000"/>
                <w:fitText w:val="38" w:id="-1500846074"/>
                <w14:textFill>
                  <w14:solidFill>
                    <w14:srgbClr w14:val="000000">
                      <w14:alpha w14:val="100000"/>
                    </w14:srgbClr>
                  </w14:solidFill>
                </w14:textFill>
              </w:rPr>
              <w:t>|</w:t>
            </w:r>
            <w:r w:rsidRPr="00DB2D11">
              <w:rPr>
                <w:rFonts w:hint="eastAsia"/>
                <w:color w:val="000000"/>
                <w:spacing w:val="-27"/>
                <w:w w:val="15"/>
                <w:szCs w:val="20"/>
                <w:shd w:val="solid" w:color="000000" w:fill="000000"/>
                <w:fitText w:val="38" w:id="-1500846074"/>
                <w14:textFill>
                  <w14:solidFill>
                    <w14:srgbClr w14:val="000000">
                      <w14:alpha w14:val="100000"/>
                    </w14:srgbClr>
                  </w14:solidFill>
                </w14:textFill>
              </w:rPr>
              <w:t xml:space="preserve">　</w:t>
            </w:r>
            <w:r w:rsidR="004769F5">
              <w:rPr>
                <w:vertAlign w:val="superscript"/>
              </w:rPr>
              <w:t>2</w:t>
            </w:r>
          </w:p>
        </w:tc>
        <w:tc>
          <w:tcPr>
            <w:tcW w:w="600" w:type="pct"/>
            <w:tcBorders>
              <w:top w:val="single" w:sz="4" w:space="0" w:color="auto"/>
              <w:left w:val="single" w:sz="4" w:space="0" w:color="auto"/>
              <w:bottom w:val="single" w:sz="4" w:space="0" w:color="auto"/>
              <w:right w:val="single" w:sz="4" w:space="0" w:color="auto"/>
            </w:tcBorders>
            <w:vAlign w:val="center"/>
            <w:hideMark/>
          </w:tcPr>
          <w:p w14:paraId="5005D680" w14:textId="2BB5E62E" w:rsidR="00976BE2" w:rsidRPr="00D27599" w:rsidRDefault="00DB2D11" w:rsidP="00F749FC">
            <w:pPr>
              <w:pStyle w:val="TableText0"/>
              <w:jc w:val="center"/>
              <w:rPr>
                <w:highlight w:val="yellow"/>
              </w:rPr>
            </w:pPr>
            <w:r w:rsidRPr="00DB2D11">
              <w:rPr>
                <w:rFonts w:hint="eastAsia"/>
                <w:color w:val="000000"/>
                <w:w w:val="15"/>
                <w:szCs w:val="20"/>
                <w:shd w:val="solid" w:color="000000" w:fill="000000"/>
                <w:fitText w:val="69" w:id="-1500846073"/>
                <w14:textFill>
                  <w14:solidFill>
                    <w14:srgbClr w14:val="000000">
                      <w14:alpha w14:val="100000"/>
                    </w14:srgbClr>
                  </w14:solidFill>
                </w14:textFill>
              </w:rPr>
              <w:t xml:space="preserve">　</w:t>
            </w:r>
            <w:r w:rsidRPr="00DB2D11">
              <w:rPr>
                <w:color w:val="000000"/>
                <w:w w:val="15"/>
                <w:szCs w:val="20"/>
                <w:shd w:val="solid" w:color="000000" w:fill="000000"/>
                <w:fitText w:val="69" w:id="-1500846073"/>
                <w14:textFill>
                  <w14:solidFill>
                    <w14:srgbClr w14:val="000000">
                      <w14:alpha w14:val="100000"/>
                    </w14:srgbClr>
                  </w14:solidFill>
                </w14:textFill>
              </w:rPr>
              <w:t>|</w:t>
            </w:r>
            <w:r w:rsidRPr="00DB2D11">
              <w:rPr>
                <w:rFonts w:hint="eastAsia"/>
                <w:color w:val="000000"/>
                <w:spacing w:val="3"/>
                <w:w w:val="15"/>
                <w:szCs w:val="20"/>
                <w:shd w:val="solid" w:color="000000" w:fill="000000"/>
                <w:fitText w:val="69" w:id="-1500846073"/>
                <w14:textFill>
                  <w14:solidFill>
                    <w14:srgbClr w14:val="000000">
                      <w14:alpha w14:val="100000"/>
                    </w14:srgbClr>
                  </w14:solidFill>
                </w14:textFill>
              </w:rPr>
              <w:t xml:space="preserve">　</w:t>
            </w:r>
            <w:r w:rsidR="004769F5">
              <w:rPr>
                <w:vertAlign w:val="superscript"/>
              </w:rPr>
              <w:t>2</w:t>
            </w:r>
          </w:p>
        </w:tc>
      </w:tr>
      <w:tr w:rsidR="00976BE2" w:rsidRPr="000B52C6" w14:paraId="4A8F0764" w14:textId="77777777" w:rsidTr="00D27599">
        <w:tc>
          <w:tcPr>
            <w:tcW w:w="1255" w:type="pct"/>
            <w:tcBorders>
              <w:top w:val="single" w:sz="4" w:space="0" w:color="auto"/>
              <w:left w:val="single" w:sz="4" w:space="0" w:color="auto"/>
              <w:bottom w:val="single" w:sz="4" w:space="0" w:color="auto"/>
              <w:right w:val="single" w:sz="4" w:space="0" w:color="auto"/>
            </w:tcBorders>
            <w:vAlign w:val="center"/>
            <w:hideMark/>
          </w:tcPr>
          <w:p w14:paraId="0377552E" w14:textId="2E77F85A" w:rsidR="00976BE2" w:rsidRPr="000B52C6" w:rsidRDefault="00976BE2" w:rsidP="00F749FC">
            <w:pPr>
              <w:pStyle w:val="TableText0"/>
              <w:rPr>
                <w:rFonts w:ascii="Times" w:hAnsi="Times"/>
              </w:rPr>
            </w:pPr>
            <w:r w:rsidRPr="000B52C6">
              <w:rPr>
                <w:sz w:val="19"/>
                <w:szCs w:val="19"/>
              </w:rPr>
              <w:t>Net cost to MBS</w:t>
            </w:r>
            <w:r w:rsidR="00AC3952">
              <w:rPr>
                <w:sz w:val="19"/>
                <w:szCs w:val="19"/>
              </w:rPr>
              <w:t xml:space="preserve"> ($)</w:t>
            </w:r>
          </w:p>
        </w:tc>
        <w:tc>
          <w:tcPr>
            <w:tcW w:w="630" w:type="pct"/>
            <w:tcBorders>
              <w:top w:val="single" w:sz="4" w:space="0" w:color="auto"/>
              <w:left w:val="single" w:sz="4" w:space="0" w:color="auto"/>
              <w:bottom w:val="single" w:sz="4" w:space="0" w:color="auto"/>
              <w:right w:val="single" w:sz="4" w:space="0" w:color="auto"/>
            </w:tcBorders>
            <w:hideMark/>
          </w:tcPr>
          <w:p w14:paraId="140B743F" w14:textId="4EFE4CE5" w:rsidR="00976BE2" w:rsidRPr="000B52C6" w:rsidRDefault="00976BE2" w:rsidP="00F749FC">
            <w:pPr>
              <w:pStyle w:val="TableText0"/>
              <w:jc w:val="center"/>
            </w:pPr>
            <w:r w:rsidRPr="000B52C6">
              <w:t>-</w:t>
            </w:r>
            <w:r w:rsidR="00AC3952">
              <w:t xml:space="preserve"> </w:t>
            </w:r>
            <w:r w:rsidR="00DB2D11" w:rsidRPr="00DB2D11">
              <w:rPr>
                <w:rFonts w:hint="eastAsia"/>
                <w:color w:val="000000"/>
                <w:w w:val="19"/>
                <w:shd w:val="solid" w:color="000000" w:fill="000000"/>
                <w:fitText w:val="85" w:id="-1500846072"/>
                <w14:textFill>
                  <w14:solidFill>
                    <w14:srgbClr w14:val="000000">
                      <w14:alpha w14:val="100000"/>
                    </w14:srgbClr>
                  </w14:solidFill>
                </w14:textFill>
              </w:rPr>
              <w:t xml:space="preserve">　</w:t>
            </w:r>
            <w:r w:rsidR="00DB2D11" w:rsidRPr="00DB2D11">
              <w:rPr>
                <w:color w:val="000000"/>
                <w:w w:val="19"/>
                <w:shd w:val="solid" w:color="000000" w:fill="000000"/>
                <w:fitText w:val="85" w:id="-1500846072"/>
                <w14:textFill>
                  <w14:solidFill>
                    <w14:srgbClr w14:val="000000">
                      <w14:alpha w14:val="100000"/>
                    </w14:srgbClr>
                  </w14:solidFill>
                </w14:textFill>
              </w:rPr>
              <w:t>|</w:t>
            </w:r>
            <w:r w:rsidR="00DB2D11" w:rsidRPr="00DB2D11">
              <w:rPr>
                <w:rFonts w:hint="eastAsia"/>
                <w:color w:val="000000"/>
                <w:spacing w:val="1"/>
                <w:w w:val="19"/>
                <w:shd w:val="solid" w:color="000000" w:fill="000000"/>
                <w:fitText w:val="85" w:id="-1500846072"/>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hideMark/>
          </w:tcPr>
          <w:p w14:paraId="167740A6" w14:textId="307B6085" w:rsidR="00976BE2" w:rsidRPr="000B52C6" w:rsidRDefault="00976BE2" w:rsidP="00F749FC">
            <w:pPr>
              <w:pStyle w:val="TableText0"/>
              <w:jc w:val="center"/>
            </w:pPr>
            <w:r w:rsidRPr="000B52C6">
              <w:t>-</w:t>
            </w:r>
            <w:r w:rsidR="00DB2D11" w:rsidRPr="00DB2D11">
              <w:rPr>
                <w:rFonts w:hint="eastAsia"/>
                <w:color w:val="000000"/>
                <w:w w:val="15"/>
                <w:shd w:val="solid" w:color="000000" w:fill="000000"/>
                <w:fitText w:val="69" w:id="-1500846071"/>
                <w14:textFill>
                  <w14:solidFill>
                    <w14:srgbClr w14:val="000000">
                      <w14:alpha w14:val="100000"/>
                    </w14:srgbClr>
                  </w14:solidFill>
                </w14:textFill>
              </w:rPr>
              <w:t xml:space="preserve">　</w:t>
            </w:r>
            <w:r w:rsidR="00DB2D11" w:rsidRPr="00DB2D11">
              <w:rPr>
                <w:color w:val="000000"/>
                <w:w w:val="15"/>
                <w:shd w:val="solid" w:color="000000" w:fill="000000"/>
                <w:fitText w:val="69" w:id="-1500846071"/>
                <w14:textFill>
                  <w14:solidFill>
                    <w14:srgbClr w14:val="000000">
                      <w14:alpha w14:val="100000"/>
                    </w14:srgbClr>
                  </w14:solidFill>
                </w14:textFill>
              </w:rPr>
              <w:t>|</w:t>
            </w:r>
            <w:r w:rsidR="00DB2D11" w:rsidRPr="00DB2D11">
              <w:rPr>
                <w:rFonts w:hint="eastAsia"/>
                <w:color w:val="000000"/>
                <w:spacing w:val="3"/>
                <w:w w:val="15"/>
                <w:shd w:val="solid" w:color="000000" w:fill="000000"/>
                <w:fitText w:val="69" w:id="-1500846071"/>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hideMark/>
          </w:tcPr>
          <w:p w14:paraId="77F7D6C6" w14:textId="5EBEAD66" w:rsidR="00976BE2" w:rsidRPr="000B52C6" w:rsidRDefault="00976BE2" w:rsidP="00F749FC">
            <w:pPr>
              <w:pStyle w:val="TableText0"/>
              <w:jc w:val="center"/>
            </w:pPr>
            <w:r w:rsidRPr="000B52C6">
              <w:t>-</w:t>
            </w:r>
            <w:r w:rsidR="00AC3952">
              <w:t xml:space="preserve"> </w:t>
            </w:r>
            <w:r w:rsidR="00DB2D11" w:rsidRPr="00DB2D11">
              <w:rPr>
                <w:rFonts w:hint="eastAsia"/>
                <w:color w:val="000000"/>
                <w:w w:val="20"/>
                <w:shd w:val="solid" w:color="000000" w:fill="000000"/>
                <w:fitText w:val="92" w:id="-1500846070"/>
                <w14:textFill>
                  <w14:solidFill>
                    <w14:srgbClr w14:val="000000">
                      <w14:alpha w14:val="100000"/>
                    </w14:srgbClr>
                  </w14:solidFill>
                </w14:textFill>
              </w:rPr>
              <w:t xml:space="preserve">　</w:t>
            </w:r>
            <w:r w:rsidR="00DB2D11" w:rsidRPr="00DB2D11">
              <w:rPr>
                <w:color w:val="000000"/>
                <w:w w:val="20"/>
                <w:shd w:val="solid" w:color="000000" w:fill="000000"/>
                <w:fitText w:val="92" w:id="-1500846070"/>
                <w14:textFill>
                  <w14:solidFill>
                    <w14:srgbClr w14:val="000000">
                      <w14:alpha w14:val="100000"/>
                    </w14:srgbClr>
                  </w14:solidFill>
                </w14:textFill>
              </w:rPr>
              <w:t>|</w:t>
            </w:r>
            <w:r w:rsidR="00DB2D11" w:rsidRPr="00DB2D11">
              <w:rPr>
                <w:rFonts w:hint="eastAsia"/>
                <w:color w:val="000000"/>
                <w:spacing w:val="5"/>
                <w:w w:val="20"/>
                <w:shd w:val="solid" w:color="000000" w:fill="000000"/>
                <w:fitText w:val="92" w:id="-1500846070"/>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hideMark/>
          </w:tcPr>
          <w:p w14:paraId="79F76C27" w14:textId="0AF9136E" w:rsidR="00976BE2" w:rsidRPr="000B52C6" w:rsidRDefault="00976BE2" w:rsidP="00F749FC">
            <w:pPr>
              <w:pStyle w:val="TableText0"/>
              <w:jc w:val="center"/>
            </w:pPr>
            <w:r w:rsidRPr="000B52C6">
              <w:t>-</w:t>
            </w:r>
            <w:r w:rsidR="00AC3952">
              <w:t xml:space="preserve"> </w:t>
            </w:r>
            <w:r w:rsidR="00DB2D11" w:rsidRPr="00DB2D11">
              <w:rPr>
                <w:rFonts w:hint="eastAsia"/>
                <w:color w:val="000000"/>
                <w:w w:val="20"/>
                <w:shd w:val="solid" w:color="000000" w:fill="000000"/>
                <w:fitText w:val="92" w:id="-1500846069"/>
                <w14:textFill>
                  <w14:solidFill>
                    <w14:srgbClr w14:val="000000">
                      <w14:alpha w14:val="100000"/>
                    </w14:srgbClr>
                  </w14:solidFill>
                </w14:textFill>
              </w:rPr>
              <w:t xml:space="preserve">　</w:t>
            </w:r>
            <w:r w:rsidR="00DB2D11" w:rsidRPr="00DB2D11">
              <w:rPr>
                <w:color w:val="000000"/>
                <w:w w:val="20"/>
                <w:shd w:val="solid" w:color="000000" w:fill="000000"/>
                <w:fitText w:val="92" w:id="-1500846069"/>
                <w14:textFill>
                  <w14:solidFill>
                    <w14:srgbClr w14:val="000000">
                      <w14:alpha w14:val="100000"/>
                    </w14:srgbClr>
                  </w14:solidFill>
                </w14:textFill>
              </w:rPr>
              <w:t>|</w:t>
            </w:r>
            <w:r w:rsidR="00DB2D11" w:rsidRPr="00DB2D11">
              <w:rPr>
                <w:rFonts w:hint="eastAsia"/>
                <w:color w:val="000000"/>
                <w:spacing w:val="5"/>
                <w:w w:val="20"/>
                <w:shd w:val="solid" w:color="000000" w:fill="000000"/>
                <w:fitText w:val="92" w:id="-1500846069"/>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hideMark/>
          </w:tcPr>
          <w:p w14:paraId="23FD08AF" w14:textId="0694C1BC" w:rsidR="00976BE2" w:rsidRPr="000B52C6" w:rsidRDefault="00976BE2" w:rsidP="00F749FC">
            <w:pPr>
              <w:pStyle w:val="TableText0"/>
              <w:jc w:val="center"/>
            </w:pPr>
            <w:r w:rsidRPr="000B52C6">
              <w:t>-</w:t>
            </w:r>
            <w:r w:rsidR="00AC3952">
              <w:t xml:space="preserve"> </w:t>
            </w:r>
            <w:r w:rsidR="00DB2D11" w:rsidRPr="00DB2D11">
              <w:rPr>
                <w:rFonts w:hint="eastAsia"/>
                <w:color w:val="000000"/>
                <w:w w:val="20"/>
                <w:shd w:val="solid" w:color="000000" w:fill="000000"/>
                <w:fitText w:val="92" w:id="-1500846068"/>
                <w14:textFill>
                  <w14:solidFill>
                    <w14:srgbClr w14:val="000000">
                      <w14:alpha w14:val="100000"/>
                    </w14:srgbClr>
                  </w14:solidFill>
                </w14:textFill>
              </w:rPr>
              <w:t xml:space="preserve">　</w:t>
            </w:r>
            <w:r w:rsidR="00DB2D11" w:rsidRPr="00DB2D11">
              <w:rPr>
                <w:color w:val="000000"/>
                <w:w w:val="20"/>
                <w:shd w:val="solid" w:color="000000" w:fill="000000"/>
                <w:fitText w:val="92" w:id="-1500846068"/>
                <w14:textFill>
                  <w14:solidFill>
                    <w14:srgbClr w14:val="000000">
                      <w14:alpha w14:val="100000"/>
                    </w14:srgbClr>
                  </w14:solidFill>
                </w14:textFill>
              </w:rPr>
              <w:t>|</w:t>
            </w:r>
            <w:r w:rsidR="00DB2D11" w:rsidRPr="00DB2D11">
              <w:rPr>
                <w:rFonts w:hint="eastAsia"/>
                <w:color w:val="000000"/>
                <w:spacing w:val="5"/>
                <w:w w:val="20"/>
                <w:shd w:val="solid" w:color="000000" w:fill="000000"/>
                <w:fitText w:val="92" w:id="-1500846068"/>
                <w14:textFill>
                  <w14:solidFill>
                    <w14:srgbClr w14:val="000000">
                      <w14:alpha w14:val="100000"/>
                    </w14:srgbClr>
                  </w14:solidFill>
                </w14:textFill>
              </w:rPr>
              <w:t xml:space="preserve">　</w:t>
            </w:r>
            <w:r w:rsidR="004769F5">
              <w:rPr>
                <w:vertAlign w:val="superscript"/>
              </w:rPr>
              <w:t>2</w:t>
            </w:r>
          </w:p>
        </w:tc>
        <w:tc>
          <w:tcPr>
            <w:tcW w:w="600" w:type="pct"/>
            <w:tcBorders>
              <w:top w:val="single" w:sz="4" w:space="0" w:color="auto"/>
              <w:left w:val="single" w:sz="4" w:space="0" w:color="auto"/>
              <w:bottom w:val="single" w:sz="4" w:space="0" w:color="auto"/>
              <w:right w:val="single" w:sz="4" w:space="0" w:color="auto"/>
            </w:tcBorders>
            <w:hideMark/>
          </w:tcPr>
          <w:p w14:paraId="3D42E66F" w14:textId="790CC930" w:rsidR="00976BE2" w:rsidRPr="000B52C6" w:rsidRDefault="00976BE2" w:rsidP="00F749FC">
            <w:pPr>
              <w:pStyle w:val="TableText0"/>
              <w:jc w:val="center"/>
            </w:pPr>
            <w:r w:rsidRPr="000B52C6">
              <w:t>-</w:t>
            </w:r>
            <w:r w:rsidR="00AC3952">
              <w:t xml:space="preserve"> </w:t>
            </w:r>
            <w:r w:rsidR="00DB2D11" w:rsidRPr="00DB2D11">
              <w:rPr>
                <w:rFonts w:hint="eastAsia"/>
                <w:color w:val="000000"/>
                <w:w w:val="25"/>
                <w:shd w:val="solid" w:color="000000" w:fill="000000"/>
                <w:fitText w:val="115" w:id="-1500846067"/>
                <w14:textFill>
                  <w14:solidFill>
                    <w14:srgbClr w14:val="000000">
                      <w14:alpha w14:val="100000"/>
                    </w14:srgbClr>
                  </w14:solidFill>
                </w14:textFill>
              </w:rPr>
              <w:t xml:space="preserve">　</w:t>
            </w:r>
            <w:r w:rsidR="00DB2D11" w:rsidRPr="00DB2D11">
              <w:rPr>
                <w:color w:val="000000"/>
                <w:w w:val="25"/>
                <w:shd w:val="solid" w:color="000000" w:fill="000000"/>
                <w:fitText w:val="115" w:id="-1500846067"/>
                <w14:textFill>
                  <w14:solidFill>
                    <w14:srgbClr w14:val="000000">
                      <w14:alpha w14:val="100000"/>
                    </w14:srgbClr>
                  </w14:solidFill>
                </w14:textFill>
              </w:rPr>
              <w:t>|</w:t>
            </w:r>
            <w:r w:rsidR="00DB2D11" w:rsidRPr="00DB2D11">
              <w:rPr>
                <w:rFonts w:hint="eastAsia"/>
                <w:color w:val="000000"/>
                <w:spacing w:val="4"/>
                <w:w w:val="25"/>
                <w:shd w:val="solid" w:color="000000" w:fill="000000"/>
                <w:fitText w:val="115" w:id="-1500846067"/>
                <w14:textFill>
                  <w14:solidFill>
                    <w14:srgbClr w14:val="000000">
                      <w14:alpha w14:val="100000"/>
                    </w14:srgbClr>
                  </w14:solidFill>
                </w14:textFill>
              </w:rPr>
              <w:t xml:space="preserve">　</w:t>
            </w:r>
            <w:r w:rsidR="004769F5">
              <w:rPr>
                <w:vertAlign w:val="superscript"/>
              </w:rPr>
              <w:t>2</w:t>
            </w:r>
          </w:p>
        </w:tc>
      </w:tr>
      <w:tr w:rsidR="00976BE2" w:rsidRPr="000B52C6" w14:paraId="226139B1" w14:textId="77777777" w:rsidTr="00D27599">
        <w:tc>
          <w:tcPr>
            <w:tcW w:w="1255" w:type="pct"/>
            <w:tcBorders>
              <w:top w:val="single" w:sz="4" w:space="0" w:color="auto"/>
              <w:left w:val="single" w:sz="4" w:space="0" w:color="auto"/>
              <w:bottom w:val="single" w:sz="4" w:space="0" w:color="auto"/>
              <w:right w:val="single" w:sz="4" w:space="0" w:color="auto"/>
            </w:tcBorders>
            <w:vAlign w:val="center"/>
            <w:hideMark/>
          </w:tcPr>
          <w:p w14:paraId="6C1B63B6" w14:textId="6F8A346D" w:rsidR="00976BE2" w:rsidRPr="000B52C6" w:rsidRDefault="00976BE2" w:rsidP="00F749FC">
            <w:pPr>
              <w:pStyle w:val="TableText0"/>
              <w:rPr>
                <w:sz w:val="19"/>
                <w:szCs w:val="19"/>
              </w:rPr>
            </w:pPr>
            <w:r w:rsidRPr="000B52C6">
              <w:rPr>
                <w:sz w:val="19"/>
                <w:szCs w:val="19"/>
              </w:rPr>
              <w:t>Net cost to PBS/RPBS/MBS</w:t>
            </w:r>
            <w:r w:rsidR="00AC3952">
              <w:rPr>
                <w:sz w:val="19"/>
                <w:szCs w:val="19"/>
              </w:rPr>
              <w:t xml:space="preserve"> ($)</w:t>
            </w:r>
          </w:p>
        </w:tc>
        <w:tc>
          <w:tcPr>
            <w:tcW w:w="630" w:type="pct"/>
            <w:tcBorders>
              <w:top w:val="single" w:sz="4" w:space="0" w:color="auto"/>
              <w:left w:val="single" w:sz="4" w:space="0" w:color="auto"/>
              <w:bottom w:val="single" w:sz="4" w:space="0" w:color="auto"/>
              <w:right w:val="single" w:sz="4" w:space="0" w:color="auto"/>
            </w:tcBorders>
            <w:vAlign w:val="center"/>
            <w:hideMark/>
          </w:tcPr>
          <w:p w14:paraId="71CD3BE5" w14:textId="44390AE3" w:rsidR="00976BE2" w:rsidRPr="00D27599" w:rsidRDefault="00DB2D11" w:rsidP="00F749FC">
            <w:pPr>
              <w:pStyle w:val="TableText0"/>
              <w:jc w:val="center"/>
              <w:rPr>
                <w:highlight w:val="yellow"/>
              </w:rPr>
            </w:pPr>
            <w:r w:rsidRPr="00DB2D11">
              <w:rPr>
                <w:rFonts w:hint="eastAsia"/>
                <w:color w:val="000000"/>
                <w:w w:val="15"/>
                <w:szCs w:val="20"/>
                <w:shd w:val="solid" w:color="000000" w:fill="000000"/>
                <w:fitText w:val="39" w:id="-1500846066"/>
                <w14:textFill>
                  <w14:solidFill>
                    <w14:srgbClr w14:val="000000">
                      <w14:alpha w14:val="100000"/>
                    </w14:srgbClr>
                  </w14:solidFill>
                </w14:textFill>
              </w:rPr>
              <w:t xml:space="preserve">　</w:t>
            </w:r>
            <w:r w:rsidRPr="00DB2D11">
              <w:rPr>
                <w:color w:val="000000"/>
                <w:w w:val="15"/>
                <w:szCs w:val="20"/>
                <w:shd w:val="solid" w:color="000000" w:fill="000000"/>
                <w:fitText w:val="39" w:id="-1500846066"/>
                <w14:textFill>
                  <w14:solidFill>
                    <w14:srgbClr w14:val="000000">
                      <w14:alpha w14:val="100000"/>
                    </w14:srgbClr>
                  </w14:solidFill>
                </w14:textFill>
              </w:rPr>
              <w:t>|</w:t>
            </w:r>
            <w:r w:rsidRPr="00DB2D11">
              <w:rPr>
                <w:rFonts w:hint="eastAsia"/>
                <w:color w:val="000000"/>
                <w:spacing w:val="-26"/>
                <w:w w:val="15"/>
                <w:szCs w:val="20"/>
                <w:shd w:val="solid" w:color="000000" w:fill="000000"/>
                <w:fitText w:val="39" w:id="-1500846066"/>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vAlign w:val="center"/>
            <w:hideMark/>
          </w:tcPr>
          <w:p w14:paraId="697FA6EA" w14:textId="5AE679BC" w:rsidR="00976BE2" w:rsidRPr="00D27599" w:rsidRDefault="00DB2D11" w:rsidP="00F749FC">
            <w:pPr>
              <w:pStyle w:val="TableText0"/>
              <w:jc w:val="center"/>
              <w:rPr>
                <w:highlight w:val="yellow"/>
              </w:rPr>
            </w:pPr>
            <w:r w:rsidRPr="00DB2D11">
              <w:rPr>
                <w:rFonts w:hint="eastAsia"/>
                <w:color w:val="000000"/>
                <w:w w:val="15"/>
                <w:szCs w:val="20"/>
                <w:shd w:val="solid" w:color="000000" w:fill="000000"/>
                <w:fitText w:val="38" w:id="-1500846065"/>
                <w14:textFill>
                  <w14:solidFill>
                    <w14:srgbClr w14:val="000000">
                      <w14:alpha w14:val="100000"/>
                    </w14:srgbClr>
                  </w14:solidFill>
                </w14:textFill>
              </w:rPr>
              <w:t xml:space="preserve">　</w:t>
            </w:r>
            <w:r w:rsidRPr="00DB2D11">
              <w:rPr>
                <w:color w:val="000000"/>
                <w:w w:val="15"/>
                <w:szCs w:val="20"/>
                <w:shd w:val="solid" w:color="000000" w:fill="000000"/>
                <w:fitText w:val="38" w:id="-1500846065"/>
                <w14:textFill>
                  <w14:solidFill>
                    <w14:srgbClr w14:val="000000">
                      <w14:alpha w14:val="100000"/>
                    </w14:srgbClr>
                  </w14:solidFill>
                </w14:textFill>
              </w:rPr>
              <w:t>|</w:t>
            </w:r>
            <w:r w:rsidRPr="00DB2D11">
              <w:rPr>
                <w:rFonts w:hint="eastAsia"/>
                <w:color w:val="000000"/>
                <w:spacing w:val="-27"/>
                <w:w w:val="15"/>
                <w:szCs w:val="20"/>
                <w:shd w:val="solid" w:color="000000" w:fill="000000"/>
                <w:fitText w:val="38" w:id="-1500846065"/>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vAlign w:val="center"/>
            <w:hideMark/>
          </w:tcPr>
          <w:p w14:paraId="61336068" w14:textId="7241E452" w:rsidR="00976BE2" w:rsidRPr="00D27599" w:rsidRDefault="00DB2D11" w:rsidP="00F749FC">
            <w:pPr>
              <w:pStyle w:val="TableText0"/>
              <w:jc w:val="center"/>
              <w:rPr>
                <w:highlight w:val="yellow"/>
              </w:rPr>
            </w:pPr>
            <w:r w:rsidRPr="00DB2D11">
              <w:rPr>
                <w:rFonts w:hint="eastAsia"/>
                <w:color w:val="000000"/>
                <w:w w:val="15"/>
                <w:szCs w:val="20"/>
                <w:shd w:val="solid" w:color="000000" w:fill="000000"/>
                <w:fitText w:val="38" w:id="-1500846064"/>
                <w14:textFill>
                  <w14:solidFill>
                    <w14:srgbClr w14:val="000000">
                      <w14:alpha w14:val="100000"/>
                    </w14:srgbClr>
                  </w14:solidFill>
                </w14:textFill>
              </w:rPr>
              <w:t xml:space="preserve">　</w:t>
            </w:r>
            <w:r w:rsidRPr="00DB2D11">
              <w:rPr>
                <w:color w:val="000000"/>
                <w:w w:val="15"/>
                <w:szCs w:val="20"/>
                <w:shd w:val="solid" w:color="000000" w:fill="000000"/>
                <w:fitText w:val="38" w:id="-1500846064"/>
                <w14:textFill>
                  <w14:solidFill>
                    <w14:srgbClr w14:val="000000">
                      <w14:alpha w14:val="100000"/>
                    </w14:srgbClr>
                  </w14:solidFill>
                </w14:textFill>
              </w:rPr>
              <w:t>|</w:t>
            </w:r>
            <w:r w:rsidRPr="00DB2D11">
              <w:rPr>
                <w:rFonts w:hint="eastAsia"/>
                <w:color w:val="000000"/>
                <w:spacing w:val="-27"/>
                <w:w w:val="15"/>
                <w:szCs w:val="20"/>
                <w:shd w:val="solid" w:color="000000" w:fill="000000"/>
                <w:fitText w:val="38" w:id="-1500846064"/>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vAlign w:val="center"/>
            <w:hideMark/>
          </w:tcPr>
          <w:p w14:paraId="0B066A39" w14:textId="715E3637" w:rsidR="00976BE2" w:rsidRPr="00D27599" w:rsidRDefault="00DB2D11" w:rsidP="00F749FC">
            <w:pPr>
              <w:pStyle w:val="TableText0"/>
              <w:jc w:val="center"/>
              <w:rPr>
                <w:highlight w:val="yellow"/>
              </w:rPr>
            </w:pPr>
            <w:r w:rsidRPr="00DB2D11">
              <w:rPr>
                <w:rFonts w:hint="eastAsia"/>
                <w:color w:val="000000"/>
                <w:w w:val="15"/>
                <w:szCs w:val="20"/>
                <w:shd w:val="solid" w:color="000000" w:fill="000000"/>
                <w:fitText w:val="38" w:id="-1500846080"/>
                <w14:textFill>
                  <w14:solidFill>
                    <w14:srgbClr w14:val="000000">
                      <w14:alpha w14:val="100000"/>
                    </w14:srgbClr>
                  </w14:solidFill>
                </w14:textFill>
              </w:rPr>
              <w:t xml:space="preserve">　</w:t>
            </w:r>
            <w:r w:rsidRPr="00DB2D11">
              <w:rPr>
                <w:color w:val="000000"/>
                <w:w w:val="15"/>
                <w:szCs w:val="20"/>
                <w:shd w:val="solid" w:color="000000" w:fill="000000"/>
                <w:fitText w:val="38" w:id="-1500846080"/>
                <w14:textFill>
                  <w14:solidFill>
                    <w14:srgbClr w14:val="000000">
                      <w14:alpha w14:val="100000"/>
                    </w14:srgbClr>
                  </w14:solidFill>
                </w14:textFill>
              </w:rPr>
              <w:t>|</w:t>
            </w:r>
            <w:r w:rsidRPr="00DB2D11">
              <w:rPr>
                <w:rFonts w:hint="eastAsia"/>
                <w:color w:val="000000"/>
                <w:spacing w:val="-27"/>
                <w:w w:val="15"/>
                <w:szCs w:val="20"/>
                <w:shd w:val="solid" w:color="000000" w:fill="000000"/>
                <w:fitText w:val="38" w:id="-1500846080"/>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vAlign w:val="center"/>
            <w:hideMark/>
          </w:tcPr>
          <w:p w14:paraId="1025CA87" w14:textId="13C316FE" w:rsidR="00976BE2" w:rsidRPr="00D27599" w:rsidRDefault="00DB2D11" w:rsidP="00F749FC">
            <w:pPr>
              <w:pStyle w:val="TableText0"/>
              <w:jc w:val="center"/>
              <w:rPr>
                <w:highlight w:val="yellow"/>
              </w:rPr>
            </w:pPr>
            <w:r w:rsidRPr="00DB2D11">
              <w:rPr>
                <w:rFonts w:hint="eastAsia"/>
                <w:color w:val="000000"/>
                <w:w w:val="15"/>
                <w:szCs w:val="20"/>
                <w:shd w:val="solid" w:color="000000" w:fill="000000"/>
                <w:fitText w:val="38" w:id="-1500846079"/>
                <w14:textFill>
                  <w14:solidFill>
                    <w14:srgbClr w14:val="000000">
                      <w14:alpha w14:val="100000"/>
                    </w14:srgbClr>
                  </w14:solidFill>
                </w14:textFill>
              </w:rPr>
              <w:t xml:space="preserve">　</w:t>
            </w:r>
            <w:r w:rsidRPr="00DB2D11">
              <w:rPr>
                <w:color w:val="000000"/>
                <w:w w:val="15"/>
                <w:szCs w:val="20"/>
                <w:shd w:val="solid" w:color="000000" w:fill="000000"/>
                <w:fitText w:val="38" w:id="-1500846079"/>
                <w14:textFill>
                  <w14:solidFill>
                    <w14:srgbClr w14:val="000000">
                      <w14:alpha w14:val="100000"/>
                    </w14:srgbClr>
                  </w14:solidFill>
                </w14:textFill>
              </w:rPr>
              <w:t>|</w:t>
            </w:r>
            <w:r w:rsidRPr="00DB2D11">
              <w:rPr>
                <w:rFonts w:hint="eastAsia"/>
                <w:color w:val="000000"/>
                <w:spacing w:val="-27"/>
                <w:w w:val="15"/>
                <w:szCs w:val="20"/>
                <w:shd w:val="solid" w:color="000000" w:fill="000000"/>
                <w:fitText w:val="38" w:id="-1500846079"/>
                <w14:textFill>
                  <w14:solidFill>
                    <w14:srgbClr w14:val="000000">
                      <w14:alpha w14:val="100000"/>
                    </w14:srgbClr>
                  </w14:solidFill>
                </w14:textFill>
              </w:rPr>
              <w:t xml:space="preserve">　</w:t>
            </w:r>
            <w:r w:rsidR="004769F5">
              <w:rPr>
                <w:vertAlign w:val="superscript"/>
              </w:rPr>
              <w:t>2</w:t>
            </w:r>
          </w:p>
        </w:tc>
        <w:tc>
          <w:tcPr>
            <w:tcW w:w="600" w:type="pct"/>
            <w:tcBorders>
              <w:top w:val="single" w:sz="4" w:space="0" w:color="auto"/>
              <w:left w:val="single" w:sz="4" w:space="0" w:color="auto"/>
              <w:bottom w:val="single" w:sz="4" w:space="0" w:color="auto"/>
              <w:right w:val="single" w:sz="4" w:space="0" w:color="auto"/>
            </w:tcBorders>
            <w:vAlign w:val="center"/>
            <w:hideMark/>
          </w:tcPr>
          <w:p w14:paraId="14D74AE7" w14:textId="5EB60FE2" w:rsidR="00976BE2" w:rsidRPr="00D27599" w:rsidRDefault="00DB2D11" w:rsidP="00F749FC">
            <w:pPr>
              <w:pStyle w:val="TableText0"/>
              <w:jc w:val="center"/>
              <w:rPr>
                <w:highlight w:val="yellow"/>
              </w:rPr>
            </w:pPr>
            <w:r w:rsidRPr="00DB2D11">
              <w:rPr>
                <w:rFonts w:hint="eastAsia"/>
                <w:color w:val="000000"/>
                <w:w w:val="15"/>
                <w:szCs w:val="20"/>
                <w:shd w:val="solid" w:color="000000" w:fill="000000"/>
                <w:fitText w:val="69" w:id="-1500846078"/>
                <w14:textFill>
                  <w14:solidFill>
                    <w14:srgbClr w14:val="000000">
                      <w14:alpha w14:val="100000"/>
                    </w14:srgbClr>
                  </w14:solidFill>
                </w14:textFill>
              </w:rPr>
              <w:t xml:space="preserve">　</w:t>
            </w:r>
            <w:r w:rsidRPr="00DB2D11">
              <w:rPr>
                <w:color w:val="000000"/>
                <w:w w:val="15"/>
                <w:szCs w:val="20"/>
                <w:shd w:val="solid" w:color="000000" w:fill="000000"/>
                <w:fitText w:val="69" w:id="-1500846078"/>
                <w14:textFill>
                  <w14:solidFill>
                    <w14:srgbClr w14:val="000000">
                      <w14:alpha w14:val="100000"/>
                    </w14:srgbClr>
                  </w14:solidFill>
                </w14:textFill>
              </w:rPr>
              <w:t>|</w:t>
            </w:r>
            <w:r w:rsidRPr="00DB2D11">
              <w:rPr>
                <w:rFonts w:hint="eastAsia"/>
                <w:color w:val="000000"/>
                <w:spacing w:val="3"/>
                <w:w w:val="15"/>
                <w:szCs w:val="20"/>
                <w:shd w:val="solid" w:color="000000" w:fill="000000"/>
                <w:fitText w:val="69" w:id="-1500846078"/>
                <w14:textFill>
                  <w14:solidFill>
                    <w14:srgbClr w14:val="000000">
                      <w14:alpha w14:val="100000"/>
                    </w14:srgbClr>
                  </w14:solidFill>
                </w14:textFill>
              </w:rPr>
              <w:t xml:space="preserve">　</w:t>
            </w:r>
            <w:r w:rsidR="004769F5">
              <w:rPr>
                <w:vertAlign w:val="superscript"/>
              </w:rPr>
              <w:t>2</w:t>
            </w:r>
          </w:p>
        </w:tc>
      </w:tr>
      <w:tr w:rsidR="00976BE2" w:rsidRPr="000B52C6" w14:paraId="178D36FE" w14:textId="77777777" w:rsidTr="00F749FC">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EEF081" w14:textId="59A9E195" w:rsidR="00976BE2" w:rsidRPr="000B52C6" w:rsidRDefault="00976BE2" w:rsidP="00D56692">
            <w:pPr>
              <w:pStyle w:val="In-tableHeading"/>
              <w:rPr>
                <w:lang w:val="en-AU"/>
              </w:rPr>
            </w:pPr>
            <w:r w:rsidRPr="000B52C6">
              <w:rPr>
                <w:lang w:val="en-AU"/>
              </w:rPr>
              <w:t>Previous submission (July 2021, based on effective prices)</w:t>
            </w:r>
          </w:p>
        </w:tc>
      </w:tr>
      <w:tr w:rsidR="0069373E" w:rsidRPr="000B52C6" w14:paraId="3DD891CD" w14:textId="77777777" w:rsidTr="00D27599">
        <w:tc>
          <w:tcPr>
            <w:tcW w:w="12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F83759C" w14:textId="77777777" w:rsidR="00976BE2" w:rsidRPr="000B52C6" w:rsidRDefault="00976BE2" w:rsidP="00F749FC">
            <w:pPr>
              <w:pStyle w:val="TableText0"/>
              <w:rPr>
                <w:sz w:val="19"/>
                <w:szCs w:val="19"/>
              </w:rPr>
            </w:pPr>
            <w:r w:rsidRPr="000B52C6">
              <w:rPr>
                <w:sz w:val="19"/>
                <w:szCs w:val="19"/>
              </w:rPr>
              <w:t>Number of scripts dispensed</w:t>
            </w:r>
          </w:p>
        </w:tc>
        <w:tc>
          <w:tcPr>
            <w:tcW w:w="63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1439227" w14:textId="14D94298" w:rsidR="00976BE2" w:rsidRPr="00D27599" w:rsidRDefault="00DB2D11" w:rsidP="00F749FC">
            <w:pPr>
              <w:pStyle w:val="TableText0"/>
              <w:jc w:val="center"/>
              <w:rPr>
                <w:iCs/>
                <w:highlight w:val="yellow"/>
              </w:rPr>
            </w:pPr>
            <w:r w:rsidRPr="00DB2D11">
              <w:rPr>
                <w:rFonts w:hint="eastAsia"/>
                <w:color w:val="000000"/>
                <w:w w:val="15"/>
                <w:szCs w:val="20"/>
                <w:shd w:val="solid" w:color="000000" w:fill="000000"/>
                <w:fitText w:val="39" w:id="-1500846077"/>
                <w14:textFill>
                  <w14:solidFill>
                    <w14:srgbClr w14:val="000000">
                      <w14:alpha w14:val="100000"/>
                    </w14:srgbClr>
                  </w14:solidFill>
                </w14:textFill>
              </w:rPr>
              <w:t xml:space="preserve">　</w:t>
            </w:r>
            <w:r w:rsidRPr="00DB2D11">
              <w:rPr>
                <w:color w:val="000000"/>
                <w:w w:val="15"/>
                <w:szCs w:val="20"/>
                <w:shd w:val="solid" w:color="000000" w:fill="000000"/>
                <w:fitText w:val="39" w:id="-1500846077"/>
                <w14:textFill>
                  <w14:solidFill>
                    <w14:srgbClr w14:val="000000">
                      <w14:alpha w14:val="100000"/>
                    </w14:srgbClr>
                  </w14:solidFill>
                </w14:textFill>
              </w:rPr>
              <w:t>|</w:t>
            </w:r>
            <w:r w:rsidRPr="00DB2D11">
              <w:rPr>
                <w:rFonts w:hint="eastAsia"/>
                <w:color w:val="000000"/>
                <w:spacing w:val="-26"/>
                <w:w w:val="15"/>
                <w:szCs w:val="20"/>
                <w:shd w:val="solid" w:color="000000" w:fill="000000"/>
                <w:fitText w:val="39" w:id="-1500846077"/>
                <w14:textFill>
                  <w14:solidFill>
                    <w14:srgbClr w14:val="000000">
                      <w14:alpha w14:val="100000"/>
                    </w14:srgbClr>
                  </w14:solidFill>
                </w14:textFill>
              </w:rPr>
              <w:t xml:space="preserve">　</w:t>
            </w:r>
            <w:r w:rsidR="00AC3952" w:rsidRPr="0031709B">
              <w:rPr>
                <w:vertAlign w:val="superscript"/>
              </w:rPr>
              <w:t>1</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84AA9A6" w14:textId="32A1AC72" w:rsidR="00976BE2" w:rsidRPr="00D27599" w:rsidRDefault="00DB2D11" w:rsidP="00F749FC">
            <w:pPr>
              <w:pStyle w:val="TableText0"/>
              <w:jc w:val="center"/>
              <w:rPr>
                <w:iCs/>
                <w:highlight w:val="yellow"/>
              </w:rPr>
            </w:pPr>
            <w:r w:rsidRPr="00DB2D11">
              <w:rPr>
                <w:rFonts w:hint="eastAsia"/>
                <w:color w:val="000000"/>
                <w:w w:val="15"/>
                <w:szCs w:val="20"/>
                <w:shd w:val="solid" w:color="000000" w:fill="000000"/>
                <w:fitText w:val="38" w:id="-1500846076"/>
                <w14:textFill>
                  <w14:solidFill>
                    <w14:srgbClr w14:val="000000">
                      <w14:alpha w14:val="100000"/>
                    </w14:srgbClr>
                  </w14:solidFill>
                </w14:textFill>
              </w:rPr>
              <w:t xml:space="preserve">　</w:t>
            </w:r>
            <w:r w:rsidRPr="00DB2D11">
              <w:rPr>
                <w:color w:val="000000"/>
                <w:w w:val="15"/>
                <w:szCs w:val="20"/>
                <w:shd w:val="solid" w:color="000000" w:fill="000000"/>
                <w:fitText w:val="38" w:id="-1500846076"/>
                <w14:textFill>
                  <w14:solidFill>
                    <w14:srgbClr w14:val="000000">
                      <w14:alpha w14:val="100000"/>
                    </w14:srgbClr>
                  </w14:solidFill>
                </w14:textFill>
              </w:rPr>
              <w:t>|</w:t>
            </w:r>
            <w:r w:rsidRPr="00DB2D11">
              <w:rPr>
                <w:rFonts w:hint="eastAsia"/>
                <w:color w:val="000000"/>
                <w:spacing w:val="-27"/>
                <w:w w:val="15"/>
                <w:szCs w:val="20"/>
                <w:shd w:val="solid" w:color="000000" w:fill="000000"/>
                <w:fitText w:val="38" w:id="-1500846076"/>
                <w14:textFill>
                  <w14:solidFill>
                    <w14:srgbClr w14:val="000000">
                      <w14:alpha w14:val="100000"/>
                    </w14:srgbClr>
                  </w14:solidFill>
                </w14:textFill>
              </w:rPr>
              <w:t xml:space="preserve">　</w:t>
            </w:r>
            <w:r w:rsidR="00AC3952" w:rsidRPr="0031709B">
              <w:rPr>
                <w:vertAlign w:val="superscript"/>
              </w:rPr>
              <w:t>1</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35B2A16" w14:textId="5CB87B3E" w:rsidR="00976BE2" w:rsidRPr="00D27599" w:rsidRDefault="00DB2D11" w:rsidP="00F749FC">
            <w:pPr>
              <w:pStyle w:val="TableText0"/>
              <w:jc w:val="center"/>
              <w:rPr>
                <w:iCs/>
                <w:highlight w:val="yellow"/>
              </w:rPr>
            </w:pPr>
            <w:r w:rsidRPr="00DB2D11">
              <w:rPr>
                <w:rFonts w:hint="eastAsia"/>
                <w:color w:val="000000"/>
                <w:w w:val="15"/>
                <w:szCs w:val="20"/>
                <w:shd w:val="solid" w:color="000000" w:fill="000000"/>
                <w:fitText w:val="38" w:id="-1500846075"/>
                <w14:textFill>
                  <w14:solidFill>
                    <w14:srgbClr w14:val="000000">
                      <w14:alpha w14:val="100000"/>
                    </w14:srgbClr>
                  </w14:solidFill>
                </w14:textFill>
              </w:rPr>
              <w:t xml:space="preserve">　</w:t>
            </w:r>
            <w:r w:rsidRPr="00DB2D11">
              <w:rPr>
                <w:color w:val="000000"/>
                <w:w w:val="15"/>
                <w:szCs w:val="20"/>
                <w:shd w:val="solid" w:color="000000" w:fill="000000"/>
                <w:fitText w:val="38" w:id="-1500846075"/>
                <w14:textFill>
                  <w14:solidFill>
                    <w14:srgbClr w14:val="000000">
                      <w14:alpha w14:val="100000"/>
                    </w14:srgbClr>
                  </w14:solidFill>
                </w14:textFill>
              </w:rPr>
              <w:t>|</w:t>
            </w:r>
            <w:r w:rsidRPr="00DB2D11">
              <w:rPr>
                <w:rFonts w:hint="eastAsia"/>
                <w:color w:val="000000"/>
                <w:spacing w:val="-27"/>
                <w:w w:val="15"/>
                <w:szCs w:val="20"/>
                <w:shd w:val="solid" w:color="000000" w:fill="000000"/>
                <w:fitText w:val="38" w:id="-1500846075"/>
                <w14:textFill>
                  <w14:solidFill>
                    <w14:srgbClr w14:val="000000">
                      <w14:alpha w14:val="100000"/>
                    </w14:srgbClr>
                  </w14:solidFill>
                </w14:textFill>
              </w:rPr>
              <w:t xml:space="preserve">　</w:t>
            </w:r>
            <w:r w:rsidR="00AC3952" w:rsidRPr="0031709B">
              <w:rPr>
                <w:vertAlign w:val="superscript"/>
              </w:rPr>
              <w:t>1</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6A4D3C" w14:textId="598019E7" w:rsidR="00976BE2" w:rsidRPr="00D27599" w:rsidRDefault="00DB2D11" w:rsidP="00F749FC">
            <w:pPr>
              <w:pStyle w:val="TableText0"/>
              <w:jc w:val="center"/>
              <w:rPr>
                <w:iCs/>
                <w:highlight w:val="yellow"/>
              </w:rPr>
            </w:pPr>
            <w:r w:rsidRPr="00DB2D11">
              <w:rPr>
                <w:rFonts w:hint="eastAsia"/>
                <w:color w:val="000000"/>
                <w:w w:val="15"/>
                <w:szCs w:val="20"/>
                <w:shd w:val="solid" w:color="000000" w:fill="000000"/>
                <w:fitText w:val="38" w:id="-1500846074"/>
                <w14:textFill>
                  <w14:solidFill>
                    <w14:srgbClr w14:val="000000">
                      <w14:alpha w14:val="100000"/>
                    </w14:srgbClr>
                  </w14:solidFill>
                </w14:textFill>
              </w:rPr>
              <w:t xml:space="preserve">　</w:t>
            </w:r>
            <w:r w:rsidRPr="00DB2D11">
              <w:rPr>
                <w:color w:val="000000"/>
                <w:w w:val="15"/>
                <w:szCs w:val="20"/>
                <w:shd w:val="solid" w:color="000000" w:fill="000000"/>
                <w:fitText w:val="38" w:id="-1500846074"/>
                <w14:textFill>
                  <w14:solidFill>
                    <w14:srgbClr w14:val="000000">
                      <w14:alpha w14:val="100000"/>
                    </w14:srgbClr>
                  </w14:solidFill>
                </w14:textFill>
              </w:rPr>
              <w:t>|</w:t>
            </w:r>
            <w:r w:rsidRPr="00DB2D11">
              <w:rPr>
                <w:rFonts w:hint="eastAsia"/>
                <w:color w:val="000000"/>
                <w:spacing w:val="-27"/>
                <w:w w:val="15"/>
                <w:szCs w:val="20"/>
                <w:shd w:val="solid" w:color="000000" w:fill="000000"/>
                <w:fitText w:val="38" w:id="-1500846074"/>
                <w14:textFill>
                  <w14:solidFill>
                    <w14:srgbClr w14:val="000000">
                      <w14:alpha w14:val="100000"/>
                    </w14:srgbClr>
                  </w14:solidFill>
                </w14:textFill>
              </w:rPr>
              <w:t xml:space="preserve">　</w:t>
            </w:r>
            <w:r w:rsidR="00AC3952" w:rsidRPr="0031709B">
              <w:rPr>
                <w:vertAlign w:val="superscript"/>
              </w:rPr>
              <w:t>1</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821B5F7" w14:textId="3FC55BA1" w:rsidR="00976BE2" w:rsidRPr="00D27599" w:rsidRDefault="00DB2D11" w:rsidP="00F749FC">
            <w:pPr>
              <w:pStyle w:val="TableText0"/>
              <w:jc w:val="center"/>
              <w:rPr>
                <w:iCs/>
                <w:highlight w:val="yellow"/>
              </w:rPr>
            </w:pPr>
            <w:r w:rsidRPr="00DB2D11">
              <w:rPr>
                <w:rFonts w:hint="eastAsia"/>
                <w:color w:val="000000"/>
                <w:w w:val="15"/>
                <w:szCs w:val="20"/>
                <w:shd w:val="solid" w:color="000000" w:fill="000000"/>
                <w:fitText w:val="38" w:id="-1500846073"/>
                <w14:textFill>
                  <w14:solidFill>
                    <w14:srgbClr w14:val="000000">
                      <w14:alpha w14:val="100000"/>
                    </w14:srgbClr>
                  </w14:solidFill>
                </w14:textFill>
              </w:rPr>
              <w:t xml:space="preserve">　</w:t>
            </w:r>
            <w:r w:rsidRPr="00DB2D11">
              <w:rPr>
                <w:color w:val="000000"/>
                <w:w w:val="15"/>
                <w:szCs w:val="20"/>
                <w:shd w:val="solid" w:color="000000" w:fill="000000"/>
                <w:fitText w:val="38" w:id="-1500846073"/>
                <w14:textFill>
                  <w14:solidFill>
                    <w14:srgbClr w14:val="000000">
                      <w14:alpha w14:val="100000"/>
                    </w14:srgbClr>
                  </w14:solidFill>
                </w14:textFill>
              </w:rPr>
              <w:t>|</w:t>
            </w:r>
            <w:r w:rsidRPr="00DB2D11">
              <w:rPr>
                <w:rFonts w:hint="eastAsia"/>
                <w:color w:val="000000"/>
                <w:spacing w:val="-27"/>
                <w:w w:val="15"/>
                <w:szCs w:val="20"/>
                <w:shd w:val="solid" w:color="000000" w:fill="000000"/>
                <w:fitText w:val="38" w:id="-1500846073"/>
                <w14:textFill>
                  <w14:solidFill>
                    <w14:srgbClr w14:val="000000">
                      <w14:alpha w14:val="100000"/>
                    </w14:srgbClr>
                  </w14:solidFill>
                </w14:textFill>
              </w:rPr>
              <w:t xml:space="preserve">　</w:t>
            </w:r>
            <w:r w:rsidR="004769F5">
              <w:rPr>
                <w:vertAlign w:val="superscript"/>
              </w:rPr>
              <w:t>6</w:t>
            </w:r>
          </w:p>
        </w:tc>
        <w:tc>
          <w:tcPr>
            <w:tcW w:w="6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04E7CEE" w14:textId="0C7860A1" w:rsidR="00976BE2" w:rsidRPr="00D27599" w:rsidRDefault="00DB2D11" w:rsidP="00F749FC">
            <w:pPr>
              <w:pStyle w:val="TableText0"/>
              <w:jc w:val="center"/>
              <w:rPr>
                <w:iCs/>
                <w:highlight w:val="yellow"/>
              </w:rPr>
            </w:pPr>
            <w:r w:rsidRPr="00DB2D11">
              <w:rPr>
                <w:rFonts w:hint="eastAsia"/>
                <w:color w:val="000000"/>
                <w:w w:val="15"/>
                <w:szCs w:val="20"/>
                <w:shd w:val="solid" w:color="000000" w:fill="000000"/>
                <w:fitText w:val="69" w:id="-1500846072"/>
                <w14:textFill>
                  <w14:solidFill>
                    <w14:srgbClr w14:val="000000">
                      <w14:alpha w14:val="100000"/>
                    </w14:srgbClr>
                  </w14:solidFill>
                </w14:textFill>
              </w:rPr>
              <w:t xml:space="preserve">　</w:t>
            </w:r>
            <w:r w:rsidRPr="00DB2D11">
              <w:rPr>
                <w:color w:val="000000"/>
                <w:w w:val="15"/>
                <w:szCs w:val="20"/>
                <w:shd w:val="solid" w:color="000000" w:fill="000000"/>
                <w:fitText w:val="69" w:id="-1500846072"/>
                <w14:textFill>
                  <w14:solidFill>
                    <w14:srgbClr w14:val="000000">
                      <w14:alpha w14:val="100000"/>
                    </w14:srgbClr>
                  </w14:solidFill>
                </w14:textFill>
              </w:rPr>
              <w:t>|</w:t>
            </w:r>
            <w:r w:rsidRPr="00DB2D11">
              <w:rPr>
                <w:rFonts w:hint="eastAsia"/>
                <w:color w:val="000000"/>
                <w:spacing w:val="3"/>
                <w:w w:val="15"/>
                <w:szCs w:val="20"/>
                <w:shd w:val="solid" w:color="000000" w:fill="000000"/>
                <w:fitText w:val="69" w:id="-1500846072"/>
                <w14:textFill>
                  <w14:solidFill>
                    <w14:srgbClr w14:val="000000">
                      <w14:alpha w14:val="100000"/>
                    </w14:srgbClr>
                  </w14:solidFill>
                </w14:textFill>
              </w:rPr>
              <w:t xml:space="preserve">　</w:t>
            </w:r>
            <w:r w:rsidR="004769F5">
              <w:rPr>
                <w:vertAlign w:val="superscript"/>
              </w:rPr>
              <w:t>6</w:t>
            </w:r>
          </w:p>
        </w:tc>
      </w:tr>
      <w:tr w:rsidR="008E7FD4" w:rsidRPr="000B52C6" w14:paraId="47ABA850" w14:textId="77777777" w:rsidTr="008E7FD4">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83FDC8" w14:textId="1071BD0B" w:rsidR="008E7FD4" w:rsidRPr="000B52C6" w:rsidRDefault="008E7FD4" w:rsidP="008E7FD4">
            <w:pPr>
              <w:pStyle w:val="TableText0"/>
              <w:rPr>
                <w:szCs w:val="20"/>
              </w:rPr>
            </w:pPr>
            <w:r w:rsidRPr="000B52C6">
              <w:t>Estimated financial implications of Selinexor (assumed effective price)</w:t>
            </w:r>
          </w:p>
        </w:tc>
      </w:tr>
      <w:tr w:rsidR="00124303" w:rsidRPr="000B52C6" w14:paraId="68004F92" w14:textId="77777777" w:rsidTr="00D27599">
        <w:tc>
          <w:tcPr>
            <w:tcW w:w="12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D060BE" w14:textId="35AED25C" w:rsidR="00124303" w:rsidRPr="000B52C6" w:rsidRDefault="00124303" w:rsidP="00124303">
            <w:pPr>
              <w:pStyle w:val="TableText0"/>
              <w:rPr>
                <w:sz w:val="19"/>
                <w:szCs w:val="19"/>
              </w:rPr>
            </w:pPr>
            <w:r w:rsidRPr="000B52C6">
              <w:rPr>
                <w:sz w:val="19"/>
                <w:szCs w:val="19"/>
              </w:rPr>
              <w:t xml:space="preserve">Cost to PBS/RPBS less </w:t>
            </w:r>
            <w:proofErr w:type="spellStart"/>
            <w:r w:rsidRPr="000B52C6">
              <w:rPr>
                <w:sz w:val="19"/>
                <w:szCs w:val="19"/>
              </w:rPr>
              <w:t>copayments</w:t>
            </w:r>
            <w:proofErr w:type="spellEnd"/>
            <w:r w:rsidR="00AC3952">
              <w:rPr>
                <w:sz w:val="19"/>
                <w:szCs w:val="19"/>
              </w:rPr>
              <w:t xml:space="preserve"> ($)</w:t>
            </w:r>
          </w:p>
        </w:tc>
        <w:tc>
          <w:tcPr>
            <w:tcW w:w="63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1C13B2" w14:textId="1CBE111F" w:rsidR="00124303" w:rsidRPr="00D27599" w:rsidRDefault="00DB2D11" w:rsidP="00124303">
            <w:pPr>
              <w:pStyle w:val="TableText0"/>
              <w:jc w:val="center"/>
              <w:rPr>
                <w:szCs w:val="20"/>
                <w:highlight w:val="yellow"/>
              </w:rPr>
            </w:pPr>
            <w:r w:rsidRPr="00DB2D11">
              <w:rPr>
                <w:rFonts w:hint="eastAsia"/>
                <w:color w:val="000000"/>
                <w:w w:val="15"/>
                <w:shd w:val="solid" w:color="000000" w:fill="000000"/>
                <w:fitText w:val="39" w:id="-1500846071"/>
                <w14:textFill>
                  <w14:solidFill>
                    <w14:srgbClr w14:val="000000">
                      <w14:alpha w14:val="100000"/>
                    </w14:srgbClr>
                  </w14:solidFill>
                </w14:textFill>
              </w:rPr>
              <w:t xml:space="preserve">　</w:t>
            </w:r>
            <w:r w:rsidRPr="00DB2D11">
              <w:rPr>
                <w:color w:val="000000"/>
                <w:w w:val="15"/>
                <w:shd w:val="solid" w:color="000000" w:fill="000000"/>
                <w:fitText w:val="39" w:id="-1500846071"/>
                <w14:textFill>
                  <w14:solidFill>
                    <w14:srgbClr w14:val="000000">
                      <w14:alpha w14:val="100000"/>
                    </w14:srgbClr>
                  </w14:solidFill>
                </w14:textFill>
              </w:rPr>
              <w:t>|</w:t>
            </w:r>
            <w:r w:rsidRPr="00DB2D11">
              <w:rPr>
                <w:rFonts w:hint="eastAsia"/>
                <w:color w:val="000000"/>
                <w:spacing w:val="-26"/>
                <w:w w:val="15"/>
                <w:shd w:val="solid" w:color="000000" w:fill="000000"/>
                <w:fitText w:val="39" w:id="-1500846071"/>
                <w14:textFill>
                  <w14:solidFill>
                    <w14:srgbClr w14:val="000000">
                      <w14:alpha w14:val="100000"/>
                    </w14:srgbClr>
                  </w14:solidFill>
                </w14:textFill>
              </w:rPr>
              <w:t xml:space="preserve">　</w:t>
            </w:r>
            <w:r w:rsidR="004769F5">
              <w:rPr>
                <w:vertAlign w:val="superscript"/>
              </w:rPr>
              <w:t>3</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2C4FC2" w14:textId="7AD1BADA" w:rsidR="00124303" w:rsidRPr="00D27599" w:rsidRDefault="00DB2D11" w:rsidP="00124303">
            <w:pPr>
              <w:pStyle w:val="TableText0"/>
              <w:jc w:val="center"/>
              <w:rPr>
                <w:szCs w:val="20"/>
                <w:highlight w:val="yellow"/>
              </w:rPr>
            </w:pPr>
            <w:r w:rsidRPr="00DB2D11">
              <w:rPr>
                <w:rFonts w:hint="eastAsia"/>
                <w:color w:val="000000"/>
                <w:w w:val="15"/>
                <w:shd w:val="solid" w:color="000000" w:fill="000000"/>
                <w:fitText w:val="38" w:id="-1500846070"/>
                <w14:textFill>
                  <w14:solidFill>
                    <w14:srgbClr w14:val="000000">
                      <w14:alpha w14:val="100000"/>
                    </w14:srgbClr>
                  </w14:solidFill>
                </w14:textFill>
              </w:rPr>
              <w:t xml:space="preserve">　</w:t>
            </w:r>
            <w:r w:rsidRPr="00DB2D11">
              <w:rPr>
                <w:color w:val="000000"/>
                <w:w w:val="15"/>
                <w:shd w:val="solid" w:color="000000" w:fill="000000"/>
                <w:fitText w:val="38" w:id="-1500846070"/>
                <w14:textFill>
                  <w14:solidFill>
                    <w14:srgbClr w14:val="000000">
                      <w14:alpha w14:val="100000"/>
                    </w14:srgbClr>
                  </w14:solidFill>
                </w14:textFill>
              </w:rPr>
              <w:t>|</w:t>
            </w:r>
            <w:r w:rsidRPr="00DB2D11">
              <w:rPr>
                <w:rFonts w:hint="eastAsia"/>
                <w:color w:val="000000"/>
                <w:spacing w:val="-27"/>
                <w:w w:val="15"/>
                <w:shd w:val="solid" w:color="000000" w:fill="000000"/>
                <w:fitText w:val="38" w:id="-1500846070"/>
                <w14:textFill>
                  <w14:solidFill>
                    <w14:srgbClr w14:val="000000">
                      <w14:alpha w14:val="100000"/>
                    </w14:srgbClr>
                  </w14:solidFill>
                </w14:textFill>
              </w:rPr>
              <w:t xml:space="preserve">　</w:t>
            </w:r>
            <w:r w:rsidR="004769F5">
              <w:rPr>
                <w:vertAlign w:val="superscript"/>
              </w:rPr>
              <w:t>3</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7FC92E1" w14:textId="1D42CF93" w:rsidR="00124303" w:rsidRPr="00D27599" w:rsidRDefault="00DB2D11" w:rsidP="00124303">
            <w:pPr>
              <w:pStyle w:val="TableText0"/>
              <w:jc w:val="center"/>
              <w:rPr>
                <w:szCs w:val="20"/>
                <w:highlight w:val="yellow"/>
              </w:rPr>
            </w:pPr>
            <w:r w:rsidRPr="00DB2D11">
              <w:rPr>
                <w:rFonts w:hint="eastAsia"/>
                <w:color w:val="000000"/>
                <w:w w:val="15"/>
                <w:shd w:val="solid" w:color="000000" w:fill="000000"/>
                <w:fitText w:val="38" w:id="-1500846069"/>
                <w14:textFill>
                  <w14:solidFill>
                    <w14:srgbClr w14:val="000000">
                      <w14:alpha w14:val="100000"/>
                    </w14:srgbClr>
                  </w14:solidFill>
                </w14:textFill>
              </w:rPr>
              <w:t xml:space="preserve">　</w:t>
            </w:r>
            <w:r w:rsidRPr="00DB2D11">
              <w:rPr>
                <w:color w:val="000000"/>
                <w:w w:val="15"/>
                <w:shd w:val="solid" w:color="000000" w:fill="000000"/>
                <w:fitText w:val="38" w:id="-1500846069"/>
                <w14:textFill>
                  <w14:solidFill>
                    <w14:srgbClr w14:val="000000">
                      <w14:alpha w14:val="100000"/>
                    </w14:srgbClr>
                  </w14:solidFill>
                </w14:textFill>
              </w:rPr>
              <w:t>|</w:t>
            </w:r>
            <w:r w:rsidRPr="00DB2D11">
              <w:rPr>
                <w:rFonts w:hint="eastAsia"/>
                <w:color w:val="000000"/>
                <w:spacing w:val="-27"/>
                <w:w w:val="15"/>
                <w:shd w:val="solid" w:color="000000" w:fill="000000"/>
                <w:fitText w:val="38" w:id="-1500846069"/>
                <w14:textFill>
                  <w14:solidFill>
                    <w14:srgbClr w14:val="000000">
                      <w14:alpha w14:val="100000"/>
                    </w14:srgbClr>
                  </w14:solidFill>
                </w14:textFill>
              </w:rPr>
              <w:t xml:space="preserve">　</w:t>
            </w:r>
            <w:r w:rsidR="004769F5">
              <w:rPr>
                <w:vertAlign w:val="superscript"/>
              </w:rPr>
              <w:t>5</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9B8D91" w14:textId="583DE23D" w:rsidR="00124303" w:rsidRPr="00D27599" w:rsidRDefault="00DB2D11" w:rsidP="00124303">
            <w:pPr>
              <w:pStyle w:val="TableText0"/>
              <w:jc w:val="center"/>
              <w:rPr>
                <w:szCs w:val="20"/>
                <w:highlight w:val="yellow"/>
              </w:rPr>
            </w:pPr>
            <w:r w:rsidRPr="00DB2D11">
              <w:rPr>
                <w:rFonts w:hint="eastAsia"/>
                <w:color w:val="000000"/>
                <w:w w:val="15"/>
                <w:shd w:val="solid" w:color="000000" w:fill="000000"/>
                <w:fitText w:val="38" w:id="-1500846068"/>
                <w14:textFill>
                  <w14:solidFill>
                    <w14:srgbClr w14:val="000000">
                      <w14:alpha w14:val="100000"/>
                    </w14:srgbClr>
                  </w14:solidFill>
                </w14:textFill>
              </w:rPr>
              <w:t xml:space="preserve">　</w:t>
            </w:r>
            <w:r w:rsidRPr="00DB2D11">
              <w:rPr>
                <w:color w:val="000000"/>
                <w:w w:val="15"/>
                <w:shd w:val="solid" w:color="000000" w:fill="000000"/>
                <w:fitText w:val="38" w:id="-1500846068"/>
                <w14:textFill>
                  <w14:solidFill>
                    <w14:srgbClr w14:val="000000">
                      <w14:alpha w14:val="100000"/>
                    </w14:srgbClr>
                  </w14:solidFill>
                </w14:textFill>
              </w:rPr>
              <w:t>|</w:t>
            </w:r>
            <w:r w:rsidRPr="00DB2D11">
              <w:rPr>
                <w:rFonts w:hint="eastAsia"/>
                <w:color w:val="000000"/>
                <w:spacing w:val="-27"/>
                <w:w w:val="15"/>
                <w:shd w:val="solid" w:color="000000" w:fill="000000"/>
                <w:fitText w:val="38" w:id="-1500846068"/>
                <w14:textFill>
                  <w14:solidFill>
                    <w14:srgbClr w14:val="000000">
                      <w14:alpha w14:val="100000"/>
                    </w14:srgbClr>
                  </w14:solidFill>
                </w14:textFill>
              </w:rPr>
              <w:t xml:space="preserve">　</w:t>
            </w:r>
            <w:r w:rsidR="004769F5">
              <w:rPr>
                <w:vertAlign w:val="superscript"/>
              </w:rPr>
              <w:t>5</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92C69F" w14:textId="7F677A53" w:rsidR="00124303" w:rsidRPr="00D27599" w:rsidRDefault="00DB2D11" w:rsidP="00124303">
            <w:pPr>
              <w:pStyle w:val="TableText0"/>
              <w:jc w:val="center"/>
              <w:rPr>
                <w:szCs w:val="20"/>
                <w:highlight w:val="yellow"/>
              </w:rPr>
            </w:pPr>
            <w:r w:rsidRPr="00DB2D11">
              <w:rPr>
                <w:rFonts w:hint="eastAsia"/>
                <w:color w:val="000000"/>
                <w:w w:val="15"/>
                <w:shd w:val="solid" w:color="000000" w:fill="000000"/>
                <w:fitText w:val="38" w:id="-1500846067"/>
                <w14:textFill>
                  <w14:solidFill>
                    <w14:srgbClr w14:val="000000">
                      <w14:alpha w14:val="100000"/>
                    </w14:srgbClr>
                  </w14:solidFill>
                </w14:textFill>
              </w:rPr>
              <w:t xml:space="preserve">　</w:t>
            </w:r>
            <w:r w:rsidRPr="00DB2D11">
              <w:rPr>
                <w:color w:val="000000"/>
                <w:w w:val="15"/>
                <w:shd w:val="solid" w:color="000000" w:fill="000000"/>
                <w:fitText w:val="38" w:id="-1500846067"/>
                <w14:textFill>
                  <w14:solidFill>
                    <w14:srgbClr w14:val="000000">
                      <w14:alpha w14:val="100000"/>
                    </w14:srgbClr>
                  </w14:solidFill>
                </w14:textFill>
              </w:rPr>
              <w:t>|</w:t>
            </w:r>
            <w:r w:rsidRPr="00DB2D11">
              <w:rPr>
                <w:rFonts w:hint="eastAsia"/>
                <w:color w:val="000000"/>
                <w:spacing w:val="-27"/>
                <w:w w:val="15"/>
                <w:shd w:val="solid" w:color="000000" w:fill="000000"/>
                <w:fitText w:val="38" w:id="-1500846067"/>
                <w14:textFill>
                  <w14:solidFill>
                    <w14:srgbClr w14:val="000000">
                      <w14:alpha w14:val="100000"/>
                    </w14:srgbClr>
                  </w14:solidFill>
                </w14:textFill>
              </w:rPr>
              <w:t xml:space="preserve">　</w:t>
            </w:r>
            <w:r w:rsidR="004769F5">
              <w:rPr>
                <w:vertAlign w:val="superscript"/>
              </w:rPr>
              <w:t>5</w:t>
            </w:r>
          </w:p>
        </w:tc>
        <w:tc>
          <w:tcPr>
            <w:tcW w:w="6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DA9E87" w14:textId="38C10089" w:rsidR="00124303" w:rsidRPr="00D27599" w:rsidRDefault="00DB2D11" w:rsidP="00124303">
            <w:pPr>
              <w:pStyle w:val="TableText0"/>
              <w:jc w:val="center"/>
              <w:rPr>
                <w:szCs w:val="20"/>
                <w:highlight w:val="yellow"/>
              </w:rPr>
            </w:pPr>
            <w:r w:rsidRPr="00DB2D11">
              <w:rPr>
                <w:rFonts w:hint="eastAsia"/>
                <w:color w:val="000000"/>
                <w:w w:val="15"/>
                <w:shd w:val="solid" w:color="000000" w:fill="000000"/>
                <w:fitText w:val="69" w:id="-1500846066"/>
                <w14:textFill>
                  <w14:solidFill>
                    <w14:srgbClr w14:val="000000">
                      <w14:alpha w14:val="100000"/>
                    </w14:srgbClr>
                  </w14:solidFill>
                </w14:textFill>
              </w:rPr>
              <w:t xml:space="preserve">　</w:t>
            </w:r>
            <w:r w:rsidRPr="00DB2D11">
              <w:rPr>
                <w:color w:val="000000"/>
                <w:w w:val="15"/>
                <w:shd w:val="solid" w:color="000000" w:fill="000000"/>
                <w:fitText w:val="69" w:id="-1500846066"/>
                <w14:textFill>
                  <w14:solidFill>
                    <w14:srgbClr w14:val="000000">
                      <w14:alpha w14:val="100000"/>
                    </w14:srgbClr>
                  </w14:solidFill>
                </w14:textFill>
              </w:rPr>
              <w:t>|</w:t>
            </w:r>
            <w:r w:rsidRPr="00DB2D11">
              <w:rPr>
                <w:rFonts w:hint="eastAsia"/>
                <w:color w:val="000000"/>
                <w:spacing w:val="3"/>
                <w:w w:val="15"/>
                <w:shd w:val="solid" w:color="000000" w:fill="000000"/>
                <w:fitText w:val="69" w:id="-1500846066"/>
                <w14:textFill>
                  <w14:solidFill>
                    <w14:srgbClr w14:val="000000">
                      <w14:alpha w14:val="100000"/>
                    </w14:srgbClr>
                  </w14:solidFill>
                </w14:textFill>
              </w:rPr>
              <w:t xml:space="preserve">　</w:t>
            </w:r>
            <w:r w:rsidR="004769F5">
              <w:rPr>
                <w:vertAlign w:val="superscript"/>
              </w:rPr>
              <w:t>7</w:t>
            </w:r>
          </w:p>
        </w:tc>
      </w:tr>
      <w:tr w:rsidR="00124303" w:rsidRPr="000B52C6" w14:paraId="762E8053" w14:textId="77777777" w:rsidTr="00124303">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84D6BB" w14:textId="15E1C60B" w:rsidR="00124303" w:rsidRPr="000B52C6" w:rsidRDefault="00124303" w:rsidP="00124303">
            <w:pPr>
              <w:pStyle w:val="TableText0"/>
            </w:pPr>
            <w:r w:rsidRPr="000B52C6">
              <w:t>Estimated financial implications for other medicines</w:t>
            </w:r>
          </w:p>
        </w:tc>
      </w:tr>
      <w:tr w:rsidR="00124303" w:rsidRPr="000B52C6" w14:paraId="7E3F98CC" w14:textId="77777777" w:rsidTr="00D27599">
        <w:tc>
          <w:tcPr>
            <w:tcW w:w="12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1D454C7" w14:textId="5C657F28" w:rsidR="00124303" w:rsidRPr="000B52C6" w:rsidRDefault="00124303" w:rsidP="00124303">
            <w:pPr>
              <w:pStyle w:val="TableText0"/>
              <w:rPr>
                <w:sz w:val="19"/>
                <w:szCs w:val="19"/>
              </w:rPr>
            </w:pPr>
            <w:r w:rsidRPr="000B52C6">
              <w:rPr>
                <w:sz w:val="19"/>
                <w:szCs w:val="19"/>
              </w:rPr>
              <w:t xml:space="preserve">Cost to PBS/RPBS less </w:t>
            </w:r>
            <w:proofErr w:type="spellStart"/>
            <w:r w:rsidRPr="000B52C6">
              <w:rPr>
                <w:sz w:val="19"/>
                <w:szCs w:val="19"/>
              </w:rPr>
              <w:t>copayments</w:t>
            </w:r>
            <w:proofErr w:type="spellEnd"/>
            <w:r w:rsidRPr="000B52C6">
              <w:rPr>
                <w:sz w:val="19"/>
                <w:szCs w:val="19"/>
              </w:rPr>
              <w:t xml:space="preserve"> </w:t>
            </w:r>
            <w:r w:rsidR="00AC3952">
              <w:rPr>
                <w:sz w:val="19"/>
                <w:szCs w:val="19"/>
              </w:rPr>
              <w:t>–</w:t>
            </w:r>
            <w:r w:rsidRPr="000B52C6">
              <w:rPr>
                <w:sz w:val="19"/>
                <w:szCs w:val="19"/>
              </w:rPr>
              <w:t xml:space="preserve"> daratumumab</w:t>
            </w:r>
            <w:r w:rsidR="00AC3952">
              <w:rPr>
                <w:sz w:val="19"/>
                <w:szCs w:val="19"/>
              </w:rPr>
              <w:t xml:space="preserve"> ($)</w:t>
            </w:r>
          </w:p>
        </w:tc>
        <w:tc>
          <w:tcPr>
            <w:tcW w:w="63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9C5154E" w14:textId="27DDBE44" w:rsidR="00124303" w:rsidRPr="000B52C6" w:rsidRDefault="00124303" w:rsidP="00124303">
            <w:pPr>
              <w:pStyle w:val="TableText0"/>
              <w:jc w:val="center"/>
              <w:rPr>
                <w:iCs/>
              </w:rPr>
            </w:pPr>
            <w:r w:rsidRPr="000B52C6">
              <w:rPr>
                <w:iCs/>
              </w:rPr>
              <w:t>-</w:t>
            </w:r>
            <w:r w:rsidR="00AC3952">
              <w:rPr>
                <w:iCs/>
              </w:rPr>
              <w:t xml:space="preserve"> </w:t>
            </w:r>
            <w:r w:rsidR="00DB2D11" w:rsidRPr="00DB2D11">
              <w:rPr>
                <w:rFonts w:hint="eastAsia"/>
                <w:iCs/>
                <w:color w:val="000000"/>
                <w:w w:val="19"/>
                <w:shd w:val="solid" w:color="000000" w:fill="000000"/>
                <w:fitText w:val="85" w:id="-1500846065"/>
                <w14:textFill>
                  <w14:solidFill>
                    <w14:srgbClr w14:val="000000">
                      <w14:alpha w14:val="100000"/>
                    </w14:srgbClr>
                  </w14:solidFill>
                </w14:textFill>
              </w:rPr>
              <w:t xml:space="preserve">　</w:t>
            </w:r>
            <w:r w:rsidR="00DB2D11" w:rsidRPr="00DB2D11">
              <w:rPr>
                <w:iCs/>
                <w:color w:val="000000"/>
                <w:w w:val="19"/>
                <w:shd w:val="solid" w:color="000000" w:fill="000000"/>
                <w:fitText w:val="85" w:id="-1500846065"/>
                <w14:textFill>
                  <w14:solidFill>
                    <w14:srgbClr w14:val="000000">
                      <w14:alpha w14:val="100000"/>
                    </w14:srgbClr>
                  </w14:solidFill>
                </w14:textFill>
              </w:rPr>
              <w:t>|</w:t>
            </w:r>
            <w:r w:rsidR="00DB2D11" w:rsidRPr="00DB2D11">
              <w:rPr>
                <w:rFonts w:hint="eastAsia"/>
                <w:iCs/>
                <w:color w:val="000000"/>
                <w:spacing w:val="1"/>
                <w:w w:val="19"/>
                <w:shd w:val="solid" w:color="000000" w:fill="000000"/>
                <w:fitText w:val="85" w:id="-1500846065"/>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CF4852" w14:textId="4996FF07" w:rsidR="00124303" w:rsidRPr="000B52C6" w:rsidRDefault="00124303" w:rsidP="00124303">
            <w:pPr>
              <w:pStyle w:val="TableText0"/>
              <w:jc w:val="center"/>
              <w:rPr>
                <w:iCs/>
              </w:rPr>
            </w:pPr>
            <w:r w:rsidRPr="000B52C6">
              <w:rPr>
                <w:iCs/>
              </w:rPr>
              <w:t>-</w:t>
            </w:r>
            <w:r w:rsidR="00AC3952">
              <w:rPr>
                <w:iCs/>
              </w:rPr>
              <w:t xml:space="preserve"> </w:t>
            </w:r>
            <w:r w:rsidR="00DB2D11" w:rsidRPr="00DB2D11">
              <w:rPr>
                <w:rFonts w:hint="eastAsia"/>
                <w:iCs/>
                <w:color w:val="000000"/>
                <w:w w:val="20"/>
                <w:shd w:val="solid" w:color="000000" w:fill="000000"/>
                <w:fitText w:val="92" w:id="-1500846064"/>
                <w14:textFill>
                  <w14:solidFill>
                    <w14:srgbClr w14:val="000000">
                      <w14:alpha w14:val="100000"/>
                    </w14:srgbClr>
                  </w14:solidFill>
                </w14:textFill>
              </w:rPr>
              <w:t xml:space="preserve">　</w:t>
            </w:r>
            <w:r w:rsidR="00DB2D11" w:rsidRPr="00DB2D11">
              <w:rPr>
                <w:iCs/>
                <w:color w:val="000000"/>
                <w:w w:val="20"/>
                <w:shd w:val="solid" w:color="000000" w:fill="000000"/>
                <w:fitText w:val="92" w:id="-1500846064"/>
                <w14:textFill>
                  <w14:solidFill>
                    <w14:srgbClr w14:val="000000">
                      <w14:alpha w14:val="100000"/>
                    </w14:srgbClr>
                  </w14:solidFill>
                </w14:textFill>
              </w:rPr>
              <w:t>|</w:t>
            </w:r>
            <w:r w:rsidR="00DB2D11" w:rsidRPr="00DB2D11">
              <w:rPr>
                <w:rFonts w:hint="eastAsia"/>
                <w:iCs/>
                <w:color w:val="000000"/>
                <w:spacing w:val="5"/>
                <w:w w:val="20"/>
                <w:shd w:val="solid" w:color="000000" w:fill="000000"/>
                <w:fitText w:val="92" w:id="-1500846064"/>
                <w14:textFill>
                  <w14:solidFill>
                    <w14:srgbClr w14:val="000000">
                      <w14:alpha w14:val="100000"/>
                    </w14:srgbClr>
                  </w14:solidFill>
                </w14:textFill>
              </w:rPr>
              <w:t xml:space="preserve">　</w:t>
            </w:r>
            <w:r w:rsidR="004769F5">
              <w:rPr>
                <w:vertAlign w:val="superscript"/>
              </w:rPr>
              <w:t>4</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165CB6" w14:textId="5606FDFC" w:rsidR="00124303" w:rsidRPr="000B52C6" w:rsidRDefault="00124303" w:rsidP="00124303">
            <w:pPr>
              <w:pStyle w:val="TableText0"/>
              <w:jc w:val="center"/>
              <w:rPr>
                <w:iCs/>
              </w:rPr>
            </w:pPr>
            <w:r w:rsidRPr="000B52C6">
              <w:rPr>
                <w:iCs/>
              </w:rPr>
              <w:t>-</w:t>
            </w:r>
            <w:r w:rsidR="00AC3952">
              <w:rPr>
                <w:iCs/>
              </w:rPr>
              <w:t xml:space="preserve"> </w:t>
            </w:r>
            <w:r w:rsidR="00DB2D11" w:rsidRPr="00DB2D11">
              <w:rPr>
                <w:rFonts w:hint="eastAsia"/>
                <w:iCs/>
                <w:color w:val="000000"/>
                <w:w w:val="20"/>
                <w:shd w:val="solid" w:color="000000" w:fill="000000"/>
                <w:fitText w:val="92" w:id="-1500846080"/>
                <w14:textFill>
                  <w14:solidFill>
                    <w14:srgbClr w14:val="000000">
                      <w14:alpha w14:val="100000"/>
                    </w14:srgbClr>
                  </w14:solidFill>
                </w14:textFill>
              </w:rPr>
              <w:t xml:space="preserve">　</w:t>
            </w:r>
            <w:r w:rsidR="00DB2D11" w:rsidRPr="00DB2D11">
              <w:rPr>
                <w:iCs/>
                <w:color w:val="000000"/>
                <w:w w:val="20"/>
                <w:shd w:val="solid" w:color="000000" w:fill="000000"/>
                <w:fitText w:val="92" w:id="-1500846080"/>
                <w14:textFill>
                  <w14:solidFill>
                    <w14:srgbClr w14:val="000000">
                      <w14:alpha w14:val="100000"/>
                    </w14:srgbClr>
                  </w14:solidFill>
                </w14:textFill>
              </w:rPr>
              <w:t>|</w:t>
            </w:r>
            <w:r w:rsidR="00DB2D11" w:rsidRPr="00DB2D11">
              <w:rPr>
                <w:rFonts w:hint="eastAsia"/>
                <w:iCs/>
                <w:color w:val="000000"/>
                <w:spacing w:val="5"/>
                <w:w w:val="20"/>
                <w:shd w:val="solid" w:color="000000" w:fill="000000"/>
                <w:fitText w:val="92" w:id="-1500846080"/>
                <w14:textFill>
                  <w14:solidFill>
                    <w14:srgbClr w14:val="000000">
                      <w14:alpha w14:val="100000"/>
                    </w14:srgbClr>
                  </w14:solidFill>
                </w14:textFill>
              </w:rPr>
              <w:t xml:space="preserve">　</w:t>
            </w:r>
            <w:r w:rsidR="004769F5">
              <w:rPr>
                <w:vertAlign w:val="superscript"/>
              </w:rPr>
              <w:t>4</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EF93AD" w14:textId="5CB9A2D9" w:rsidR="00124303" w:rsidRPr="000B52C6" w:rsidRDefault="00124303" w:rsidP="00124303">
            <w:pPr>
              <w:pStyle w:val="TableText0"/>
              <w:jc w:val="center"/>
              <w:rPr>
                <w:iCs/>
              </w:rPr>
            </w:pPr>
            <w:r w:rsidRPr="000B52C6">
              <w:rPr>
                <w:iCs/>
              </w:rPr>
              <w:t>-</w:t>
            </w:r>
            <w:r w:rsidR="00AC3952">
              <w:rPr>
                <w:iCs/>
              </w:rPr>
              <w:t xml:space="preserve"> </w:t>
            </w:r>
            <w:r w:rsidR="00DB2D11" w:rsidRPr="00DB2D11">
              <w:rPr>
                <w:rFonts w:hint="eastAsia"/>
                <w:iCs/>
                <w:color w:val="000000"/>
                <w:w w:val="20"/>
                <w:shd w:val="solid" w:color="000000" w:fill="000000"/>
                <w:fitText w:val="92" w:id="-1500846079"/>
                <w14:textFill>
                  <w14:solidFill>
                    <w14:srgbClr w14:val="000000">
                      <w14:alpha w14:val="100000"/>
                    </w14:srgbClr>
                  </w14:solidFill>
                </w14:textFill>
              </w:rPr>
              <w:t xml:space="preserve">　</w:t>
            </w:r>
            <w:r w:rsidR="00DB2D11" w:rsidRPr="00DB2D11">
              <w:rPr>
                <w:iCs/>
                <w:color w:val="000000"/>
                <w:w w:val="20"/>
                <w:shd w:val="solid" w:color="000000" w:fill="000000"/>
                <w:fitText w:val="92" w:id="-1500846079"/>
                <w14:textFill>
                  <w14:solidFill>
                    <w14:srgbClr w14:val="000000">
                      <w14:alpha w14:val="100000"/>
                    </w14:srgbClr>
                  </w14:solidFill>
                </w14:textFill>
              </w:rPr>
              <w:t>|</w:t>
            </w:r>
            <w:r w:rsidR="00DB2D11" w:rsidRPr="00DB2D11">
              <w:rPr>
                <w:rFonts w:hint="eastAsia"/>
                <w:iCs/>
                <w:color w:val="000000"/>
                <w:spacing w:val="5"/>
                <w:w w:val="20"/>
                <w:shd w:val="solid" w:color="000000" w:fill="000000"/>
                <w:fitText w:val="92" w:id="-1500846079"/>
                <w14:textFill>
                  <w14:solidFill>
                    <w14:srgbClr w14:val="000000">
                      <w14:alpha w14:val="100000"/>
                    </w14:srgbClr>
                  </w14:solidFill>
                </w14:textFill>
              </w:rPr>
              <w:t xml:space="preserve">　</w:t>
            </w:r>
            <w:r w:rsidR="004769F5">
              <w:rPr>
                <w:vertAlign w:val="superscript"/>
              </w:rPr>
              <w:t>3</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1011A5B" w14:textId="0FCBCB5A" w:rsidR="00124303" w:rsidRPr="000B52C6" w:rsidRDefault="00124303" w:rsidP="00124303">
            <w:pPr>
              <w:pStyle w:val="TableText0"/>
              <w:jc w:val="center"/>
              <w:rPr>
                <w:iCs/>
              </w:rPr>
            </w:pPr>
            <w:r w:rsidRPr="000B52C6">
              <w:rPr>
                <w:iCs/>
              </w:rPr>
              <w:t>-</w:t>
            </w:r>
            <w:r w:rsidR="00AC3952">
              <w:rPr>
                <w:iCs/>
              </w:rPr>
              <w:t xml:space="preserve"> </w:t>
            </w:r>
            <w:r w:rsidR="00DB2D11" w:rsidRPr="00DB2D11">
              <w:rPr>
                <w:rFonts w:hint="eastAsia"/>
                <w:iCs/>
                <w:color w:val="000000"/>
                <w:w w:val="20"/>
                <w:shd w:val="solid" w:color="000000" w:fill="000000"/>
                <w:fitText w:val="92" w:id="-1500846078"/>
                <w14:textFill>
                  <w14:solidFill>
                    <w14:srgbClr w14:val="000000">
                      <w14:alpha w14:val="100000"/>
                    </w14:srgbClr>
                  </w14:solidFill>
                </w14:textFill>
              </w:rPr>
              <w:t xml:space="preserve">　</w:t>
            </w:r>
            <w:r w:rsidR="00DB2D11" w:rsidRPr="00DB2D11">
              <w:rPr>
                <w:iCs/>
                <w:color w:val="000000"/>
                <w:w w:val="20"/>
                <w:shd w:val="solid" w:color="000000" w:fill="000000"/>
                <w:fitText w:val="92" w:id="-1500846078"/>
                <w14:textFill>
                  <w14:solidFill>
                    <w14:srgbClr w14:val="000000">
                      <w14:alpha w14:val="100000"/>
                    </w14:srgbClr>
                  </w14:solidFill>
                </w14:textFill>
              </w:rPr>
              <w:t>|</w:t>
            </w:r>
            <w:r w:rsidR="00DB2D11" w:rsidRPr="00DB2D11">
              <w:rPr>
                <w:rFonts w:hint="eastAsia"/>
                <w:iCs/>
                <w:color w:val="000000"/>
                <w:spacing w:val="5"/>
                <w:w w:val="20"/>
                <w:shd w:val="solid" w:color="000000" w:fill="000000"/>
                <w:fitText w:val="92" w:id="-1500846078"/>
                <w14:textFill>
                  <w14:solidFill>
                    <w14:srgbClr w14:val="000000">
                      <w14:alpha w14:val="100000"/>
                    </w14:srgbClr>
                  </w14:solidFill>
                </w14:textFill>
              </w:rPr>
              <w:t xml:space="preserve">　</w:t>
            </w:r>
            <w:r w:rsidR="004769F5">
              <w:rPr>
                <w:vertAlign w:val="superscript"/>
              </w:rPr>
              <w:t>5</w:t>
            </w:r>
          </w:p>
        </w:tc>
        <w:tc>
          <w:tcPr>
            <w:tcW w:w="6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5CEBFA" w14:textId="5D479D8F" w:rsidR="00124303" w:rsidRPr="000B52C6" w:rsidRDefault="00124303" w:rsidP="00124303">
            <w:pPr>
              <w:pStyle w:val="TableText0"/>
              <w:jc w:val="center"/>
              <w:rPr>
                <w:iCs/>
              </w:rPr>
            </w:pPr>
            <w:r w:rsidRPr="000B52C6">
              <w:rPr>
                <w:iCs/>
              </w:rPr>
              <w:t>-</w:t>
            </w:r>
            <w:r w:rsidR="00DB2D11" w:rsidRPr="00DB2D11">
              <w:rPr>
                <w:rFonts w:hint="eastAsia"/>
                <w:iCs/>
                <w:color w:val="000000"/>
                <w:w w:val="21"/>
                <w:shd w:val="solid" w:color="000000" w:fill="000000"/>
                <w:fitText w:val="93" w:id="-1500846077"/>
                <w14:textFill>
                  <w14:solidFill>
                    <w14:srgbClr w14:val="000000">
                      <w14:alpha w14:val="100000"/>
                    </w14:srgbClr>
                  </w14:solidFill>
                </w14:textFill>
              </w:rPr>
              <w:t xml:space="preserve">　</w:t>
            </w:r>
            <w:r w:rsidR="00DB2D11" w:rsidRPr="00DB2D11">
              <w:rPr>
                <w:iCs/>
                <w:color w:val="000000"/>
                <w:w w:val="21"/>
                <w:shd w:val="solid" w:color="000000" w:fill="000000"/>
                <w:fitText w:val="93" w:id="-1500846077"/>
                <w14:textFill>
                  <w14:solidFill>
                    <w14:srgbClr w14:val="000000">
                      <w14:alpha w14:val="100000"/>
                    </w14:srgbClr>
                  </w14:solidFill>
                </w14:textFill>
              </w:rPr>
              <w:t>|</w:t>
            </w:r>
            <w:r w:rsidR="00DB2D11" w:rsidRPr="00DB2D11">
              <w:rPr>
                <w:rFonts w:hint="eastAsia"/>
                <w:iCs/>
                <w:color w:val="000000"/>
                <w:spacing w:val="2"/>
                <w:w w:val="21"/>
                <w:shd w:val="solid" w:color="000000" w:fill="000000"/>
                <w:fitText w:val="93" w:id="-1500846077"/>
                <w14:textFill>
                  <w14:solidFill>
                    <w14:srgbClr w14:val="000000">
                      <w14:alpha w14:val="100000"/>
                    </w14:srgbClr>
                  </w14:solidFill>
                </w14:textFill>
              </w:rPr>
              <w:t xml:space="preserve">　</w:t>
            </w:r>
            <w:r w:rsidR="004769F5">
              <w:rPr>
                <w:vertAlign w:val="superscript"/>
              </w:rPr>
              <w:t>5</w:t>
            </w:r>
          </w:p>
        </w:tc>
      </w:tr>
      <w:tr w:rsidR="00124303" w:rsidRPr="000B52C6" w14:paraId="28CDB132" w14:textId="77777777" w:rsidTr="00D27599">
        <w:tc>
          <w:tcPr>
            <w:tcW w:w="12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0BCBB9" w14:textId="4821F5C2" w:rsidR="00124303" w:rsidRPr="000B52C6" w:rsidRDefault="00124303" w:rsidP="00124303">
            <w:pPr>
              <w:pStyle w:val="TableText0"/>
              <w:rPr>
                <w:sz w:val="19"/>
                <w:szCs w:val="19"/>
                <w:vertAlign w:val="superscript"/>
              </w:rPr>
            </w:pPr>
            <w:r w:rsidRPr="000B52C6">
              <w:rPr>
                <w:sz w:val="19"/>
                <w:szCs w:val="19"/>
              </w:rPr>
              <w:t xml:space="preserve">Cost to PBS/RPBS less </w:t>
            </w:r>
            <w:proofErr w:type="spellStart"/>
            <w:r w:rsidRPr="000B52C6">
              <w:rPr>
                <w:sz w:val="19"/>
                <w:szCs w:val="19"/>
              </w:rPr>
              <w:t>copayments</w:t>
            </w:r>
            <w:proofErr w:type="spellEnd"/>
            <w:r w:rsidRPr="000B52C6">
              <w:rPr>
                <w:sz w:val="19"/>
                <w:szCs w:val="19"/>
              </w:rPr>
              <w:t xml:space="preserve"> – carfilzomib </w:t>
            </w:r>
            <w:r w:rsidRPr="000B52C6">
              <w:rPr>
                <w:sz w:val="19"/>
                <w:szCs w:val="19"/>
                <w:vertAlign w:val="superscript"/>
              </w:rPr>
              <w:t>b</w:t>
            </w:r>
            <w:r w:rsidR="00AC3952">
              <w:rPr>
                <w:sz w:val="19"/>
                <w:szCs w:val="19"/>
                <w:vertAlign w:val="superscript"/>
              </w:rPr>
              <w:t xml:space="preserve"> </w:t>
            </w:r>
            <w:r w:rsidR="00AC3952">
              <w:rPr>
                <w:sz w:val="19"/>
                <w:szCs w:val="19"/>
              </w:rPr>
              <w:t>($)</w:t>
            </w:r>
          </w:p>
        </w:tc>
        <w:tc>
          <w:tcPr>
            <w:tcW w:w="63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935E30" w14:textId="4CB8C3BA" w:rsidR="00124303" w:rsidRPr="000B52C6" w:rsidRDefault="00124303" w:rsidP="00124303">
            <w:pPr>
              <w:pStyle w:val="TableText0"/>
              <w:jc w:val="center"/>
              <w:rPr>
                <w:iCs/>
              </w:rPr>
            </w:pPr>
            <w:r w:rsidRPr="000B52C6">
              <w:rPr>
                <w:iCs/>
              </w:rPr>
              <w:t>-</w:t>
            </w:r>
            <w:r w:rsidR="00AC3952">
              <w:rPr>
                <w:iCs/>
              </w:rPr>
              <w:t xml:space="preserve"> </w:t>
            </w:r>
            <w:r w:rsidR="00DB2D11" w:rsidRPr="00DB2D11">
              <w:rPr>
                <w:rFonts w:hint="eastAsia"/>
                <w:iCs/>
                <w:color w:val="000000"/>
                <w:w w:val="19"/>
                <w:shd w:val="solid" w:color="000000" w:fill="000000"/>
                <w:fitText w:val="85" w:id="-1500846076"/>
                <w14:textFill>
                  <w14:solidFill>
                    <w14:srgbClr w14:val="000000">
                      <w14:alpha w14:val="100000"/>
                    </w14:srgbClr>
                  </w14:solidFill>
                </w14:textFill>
              </w:rPr>
              <w:t xml:space="preserve">　</w:t>
            </w:r>
            <w:r w:rsidR="00DB2D11" w:rsidRPr="00DB2D11">
              <w:rPr>
                <w:iCs/>
                <w:color w:val="000000"/>
                <w:w w:val="19"/>
                <w:shd w:val="solid" w:color="000000" w:fill="000000"/>
                <w:fitText w:val="85" w:id="-1500846076"/>
                <w14:textFill>
                  <w14:solidFill>
                    <w14:srgbClr w14:val="000000">
                      <w14:alpha w14:val="100000"/>
                    </w14:srgbClr>
                  </w14:solidFill>
                </w14:textFill>
              </w:rPr>
              <w:t>|</w:t>
            </w:r>
            <w:r w:rsidR="00DB2D11" w:rsidRPr="00DB2D11">
              <w:rPr>
                <w:rFonts w:hint="eastAsia"/>
                <w:iCs/>
                <w:color w:val="000000"/>
                <w:spacing w:val="1"/>
                <w:w w:val="19"/>
                <w:shd w:val="solid" w:color="000000" w:fill="000000"/>
                <w:fitText w:val="85" w:id="-1500846076"/>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F911327" w14:textId="2102B5A3" w:rsidR="00124303" w:rsidRPr="000B52C6" w:rsidRDefault="00124303" w:rsidP="00124303">
            <w:pPr>
              <w:pStyle w:val="TableText0"/>
              <w:jc w:val="center"/>
              <w:rPr>
                <w:iCs/>
              </w:rPr>
            </w:pPr>
            <w:r w:rsidRPr="000B52C6">
              <w:rPr>
                <w:iCs/>
              </w:rPr>
              <w:t>-</w:t>
            </w:r>
            <w:r w:rsidR="00AC3952">
              <w:rPr>
                <w:iCs/>
              </w:rPr>
              <w:t xml:space="preserve"> </w:t>
            </w:r>
            <w:r w:rsidR="00DB2D11" w:rsidRPr="00DB2D11">
              <w:rPr>
                <w:rFonts w:hint="eastAsia"/>
                <w:iCs/>
                <w:color w:val="000000"/>
                <w:w w:val="20"/>
                <w:shd w:val="solid" w:color="000000" w:fill="000000"/>
                <w:fitText w:val="92" w:id="-1500846075"/>
                <w14:textFill>
                  <w14:solidFill>
                    <w14:srgbClr w14:val="000000">
                      <w14:alpha w14:val="100000"/>
                    </w14:srgbClr>
                  </w14:solidFill>
                </w14:textFill>
              </w:rPr>
              <w:t xml:space="preserve">　</w:t>
            </w:r>
            <w:r w:rsidR="00DB2D11" w:rsidRPr="00DB2D11">
              <w:rPr>
                <w:iCs/>
                <w:color w:val="000000"/>
                <w:w w:val="20"/>
                <w:shd w:val="solid" w:color="000000" w:fill="000000"/>
                <w:fitText w:val="92" w:id="-1500846075"/>
                <w14:textFill>
                  <w14:solidFill>
                    <w14:srgbClr w14:val="000000">
                      <w14:alpha w14:val="100000"/>
                    </w14:srgbClr>
                  </w14:solidFill>
                </w14:textFill>
              </w:rPr>
              <w:t>|</w:t>
            </w:r>
            <w:r w:rsidR="00DB2D11" w:rsidRPr="00DB2D11">
              <w:rPr>
                <w:rFonts w:hint="eastAsia"/>
                <w:iCs/>
                <w:color w:val="000000"/>
                <w:spacing w:val="5"/>
                <w:w w:val="20"/>
                <w:shd w:val="solid" w:color="000000" w:fill="000000"/>
                <w:fitText w:val="92" w:id="-1500846075"/>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B98B673" w14:textId="2FE939C5" w:rsidR="00124303" w:rsidRPr="000B52C6" w:rsidRDefault="00124303" w:rsidP="00124303">
            <w:pPr>
              <w:pStyle w:val="TableText0"/>
              <w:jc w:val="center"/>
              <w:rPr>
                <w:iCs/>
              </w:rPr>
            </w:pPr>
            <w:r w:rsidRPr="000B52C6">
              <w:rPr>
                <w:iCs/>
              </w:rPr>
              <w:t>-</w:t>
            </w:r>
            <w:r w:rsidR="00AC3952">
              <w:rPr>
                <w:iCs/>
              </w:rPr>
              <w:t xml:space="preserve"> </w:t>
            </w:r>
            <w:r w:rsidR="00DB2D11" w:rsidRPr="00DB2D11">
              <w:rPr>
                <w:rFonts w:hint="eastAsia"/>
                <w:iCs/>
                <w:color w:val="000000"/>
                <w:w w:val="20"/>
                <w:shd w:val="solid" w:color="000000" w:fill="000000"/>
                <w:fitText w:val="92" w:id="-1500846074"/>
                <w14:textFill>
                  <w14:solidFill>
                    <w14:srgbClr w14:val="000000">
                      <w14:alpha w14:val="100000"/>
                    </w14:srgbClr>
                  </w14:solidFill>
                </w14:textFill>
              </w:rPr>
              <w:t xml:space="preserve">　</w:t>
            </w:r>
            <w:r w:rsidR="00DB2D11" w:rsidRPr="00DB2D11">
              <w:rPr>
                <w:iCs/>
                <w:color w:val="000000"/>
                <w:w w:val="20"/>
                <w:shd w:val="solid" w:color="000000" w:fill="000000"/>
                <w:fitText w:val="92" w:id="-1500846074"/>
                <w14:textFill>
                  <w14:solidFill>
                    <w14:srgbClr w14:val="000000">
                      <w14:alpha w14:val="100000"/>
                    </w14:srgbClr>
                  </w14:solidFill>
                </w14:textFill>
              </w:rPr>
              <w:t>|</w:t>
            </w:r>
            <w:r w:rsidR="00DB2D11" w:rsidRPr="00DB2D11">
              <w:rPr>
                <w:rFonts w:hint="eastAsia"/>
                <w:iCs/>
                <w:color w:val="000000"/>
                <w:spacing w:val="5"/>
                <w:w w:val="20"/>
                <w:shd w:val="solid" w:color="000000" w:fill="000000"/>
                <w:fitText w:val="92" w:id="-1500846074"/>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9C6093" w14:textId="540D4778" w:rsidR="00124303" w:rsidRPr="000B52C6" w:rsidRDefault="00124303" w:rsidP="00124303">
            <w:pPr>
              <w:pStyle w:val="TableText0"/>
              <w:jc w:val="center"/>
              <w:rPr>
                <w:iCs/>
              </w:rPr>
            </w:pPr>
            <w:r w:rsidRPr="000B52C6">
              <w:rPr>
                <w:iCs/>
              </w:rPr>
              <w:t>-</w:t>
            </w:r>
            <w:r w:rsidR="00AC3952">
              <w:rPr>
                <w:iCs/>
              </w:rPr>
              <w:t xml:space="preserve"> </w:t>
            </w:r>
            <w:r w:rsidR="00DB2D11" w:rsidRPr="00DB2D11">
              <w:rPr>
                <w:rFonts w:hint="eastAsia"/>
                <w:iCs/>
                <w:color w:val="000000"/>
                <w:w w:val="20"/>
                <w:shd w:val="solid" w:color="000000" w:fill="000000"/>
                <w:fitText w:val="92" w:id="-1500846073"/>
                <w14:textFill>
                  <w14:solidFill>
                    <w14:srgbClr w14:val="000000">
                      <w14:alpha w14:val="100000"/>
                    </w14:srgbClr>
                  </w14:solidFill>
                </w14:textFill>
              </w:rPr>
              <w:t xml:space="preserve">　</w:t>
            </w:r>
            <w:r w:rsidR="00DB2D11" w:rsidRPr="00DB2D11">
              <w:rPr>
                <w:iCs/>
                <w:color w:val="000000"/>
                <w:w w:val="20"/>
                <w:shd w:val="solid" w:color="000000" w:fill="000000"/>
                <w:fitText w:val="92" w:id="-1500846073"/>
                <w14:textFill>
                  <w14:solidFill>
                    <w14:srgbClr w14:val="000000">
                      <w14:alpha w14:val="100000"/>
                    </w14:srgbClr>
                  </w14:solidFill>
                </w14:textFill>
              </w:rPr>
              <w:t>|</w:t>
            </w:r>
            <w:r w:rsidR="00DB2D11" w:rsidRPr="00DB2D11">
              <w:rPr>
                <w:rFonts w:hint="eastAsia"/>
                <w:iCs/>
                <w:color w:val="000000"/>
                <w:spacing w:val="5"/>
                <w:w w:val="20"/>
                <w:shd w:val="solid" w:color="000000" w:fill="000000"/>
                <w:fitText w:val="92" w:id="-1500846073"/>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31B88E" w14:textId="1907283A" w:rsidR="00124303" w:rsidRPr="000B52C6" w:rsidRDefault="00124303" w:rsidP="00124303">
            <w:pPr>
              <w:pStyle w:val="TableText0"/>
              <w:jc w:val="center"/>
              <w:rPr>
                <w:iCs/>
              </w:rPr>
            </w:pPr>
            <w:r w:rsidRPr="000B52C6">
              <w:rPr>
                <w:iCs/>
              </w:rPr>
              <w:t>-</w:t>
            </w:r>
            <w:r w:rsidR="00AC3952">
              <w:rPr>
                <w:iCs/>
              </w:rPr>
              <w:t xml:space="preserve"> </w:t>
            </w:r>
            <w:r w:rsidR="00DB2D11" w:rsidRPr="00DB2D11">
              <w:rPr>
                <w:rFonts w:hint="eastAsia"/>
                <w:iCs/>
                <w:color w:val="000000"/>
                <w:w w:val="20"/>
                <w:shd w:val="solid" w:color="000000" w:fill="000000"/>
                <w:fitText w:val="92" w:id="-1500846072"/>
                <w14:textFill>
                  <w14:solidFill>
                    <w14:srgbClr w14:val="000000">
                      <w14:alpha w14:val="100000"/>
                    </w14:srgbClr>
                  </w14:solidFill>
                </w14:textFill>
              </w:rPr>
              <w:t xml:space="preserve">　</w:t>
            </w:r>
            <w:r w:rsidR="00DB2D11" w:rsidRPr="00DB2D11">
              <w:rPr>
                <w:iCs/>
                <w:color w:val="000000"/>
                <w:w w:val="20"/>
                <w:shd w:val="solid" w:color="000000" w:fill="000000"/>
                <w:fitText w:val="92" w:id="-1500846072"/>
                <w14:textFill>
                  <w14:solidFill>
                    <w14:srgbClr w14:val="000000">
                      <w14:alpha w14:val="100000"/>
                    </w14:srgbClr>
                  </w14:solidFill>
                </w14:textFill>
              </w:rPr>
              <w:t>|</w:t>
            </w:r>
            <w:r w:rsidR="00DB2D11" w:rsidRPr="00DB2D11">
              <w:rPr>
                <w:rFonts w:hint="eastAsia"/>
                <w:iCs/>
                <w:color w:val="000000"/>
                <w:spacing w:val="5"/>
                <w:w w:val="20"/>
                <w:shd w:val="solid" w:color="000000" w:fill="000000"/>
                <w:fitText w:val="92" w:id="-1500846072"/>
                <w14:textFill>
                  <w14:solidFill>
                    <w14:srgbClr w14:val="000000">
                      <w14:alpha w14:val="100000"/>
                    </w14:srgbClr>
                  </w14:solidFill>
                </w14:textFill>
              </w:rPr>
              <w:t xml:space="preserve">　</w:t>
            </w:r>
            <w:r w:rsidR="004769F5">
              <w:rPr>
                <w:vertAlign w:val="superscript"/>
              </w:rPr>
              <w:t>2</w:t>
            </w:r>
          </w:p>
        </w:tc>
        <w:tc>
          <w:tcPr>
            <w:tcW w:w="6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81C833" w14:textId="06E8E982" w:rsidR="00124303" w:rsidRPr="000B52C6" w:rsidRDefault="00124303" w:rsidP="00124303">
            <w:pPr>
              <w:pStyle w:val="TableText0"/>
              <w:jc w:val="center"/>
              <w:rPr>
                <w:iCs/>
              </w:rPr>
            </w:pPr>
            <w:r w:rsidRPr="000B52C6">
              <w:rPr>
                <w:iCs/>
              </w:rPr>
              <w:t>-</w:t>
            </w:r>
            <w:r w:rsidR="00DB2D11" w:rsidRPr="00DB2D11">
              <w:rPr>
                <w:rFonts w:hint="eastAsia"/>
                <w:iCs/>
                <w:color w:val="000000"/>
                <w:w w:val="21"/>
                <w:shd w:val="solid" w:color="000000" w:fill="000000"/>
                <w:fitText w:val="93" w:id="-1500846071"/>
                <w14:textFill>
                  <w14:solidFill>
                    <w14:srgbClr w14:val="000000">
                      <w14:alpha w14:val="100000"/>
                    </w14:srgbClr>
                  </w14:solidFill>
                </w14:textFill>
              </w:rPr>
              <w:t xml:space="preserve">　</w:t>
            </w:r>
            <w:r w:rsidR="00DB2D11" w:rsidRPr="00DB2D11">
              <w:rPr>
                <w:iCs/>
                <w:color w:val="000000"/>
                <w:w w:val="21"/>
                <w:shd w:val="solid" w:color="000000" w:fill="000000"/>
                <w:fitText w:val="93" w:id="-1500846071"/>
                <w14:textFill>
                  <w14:solidFill>
                    <w14:srgbClr w14:val="000000">
                      <w14:alpha w14:val="100000"/>
                    </w14:srgbClr>
                  </w14:solidFill>
                </w14:textFill>
              </w:rPr>
              <w:t>|</w:t>
            </w:r>
            <w:r w:rsidR="00DB2D11" w:rsidRPr="00DB2D11">
              <w:rPr>
                <w:rFonts w:hint="eastAsia"/>
                <w:iCs/>
                <w:color w:val="000000"/>
                <w:spacing w:val="2"/>
                <w:w w:val="21"/>
                <w:shd w:val="solid" w:color="000000" w:fill="000000"/>
                <w:fitText w:val="93" w:id="-1500846071"/>
                <w14:textFill>
                  <w14:solidFill>
                    <w14:srgbClr w14:val="000000">
                      <w14:alpha w14:val="100000"/>
                    </w14:srgbClr>
                  </w14:solidFill>
                </w14:textFill>
              </w:rPr>
              <w:t xml:space="preserve">　</w:t>
            </w:r>
            <w:r w:rsidR="004769F5">
              <w:rPr>
                <w:vertAlign w:val="superscript"/>
              </w:rPr>
              <w:t>4</w:t>
            </w:r>
          </w:p>
        </w:tc>
      </w:tr>
      <w:tr w:rsidR="00124303" w:rsidRPr="000B52C6" w14:paraId="110A1F3C" w14:textId="77777777" w:rsidTr="00D27599">
        <w:tc>
          <w:tcPr>
            <w:tcW w:w="12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A41A4B" w14:textId="59DDE931" w:rsidR="00124303" w:rsidRPr="000B52C6" w:rsidRDefault="00124303" w:rsidP="00124303">
            <w:pPr>
              <w:pStyle w:val="TableText0"/>
              <w:rPr>
                <w:sz w:val="19"/>
                <w:szCs w:val="19"/>
              </w:rPr>
            </w:pPr>
            <w:r w:rsidRPr="000B52C6">
              <w:rPr>
                <w:sz w:val="19"/>
                <w:szCs w:val="19"/>
              </w:rPr>
              <w:t xml:space="preserve">Cost to PBS/RPBS less </w:t>
            </w:r>
            <w:proofErr w:type="spellStart"/>
            <w:r w:rsidRPr="000B52C6">
              <w:rPr>
                <w:sz w:val="19"/>
                <w:szCs w:val="19"/>
              </w:rPr>
              <w:t>copayments</w:t>
            </w:r>
            <w:proofErr w:type="spellEnd"/>
            <w:r w:rsidRPr="000B52C6">
              <w:rPr>
                <w:sz w:val="19"/>
                <w:szCs w:val="19"/>
              </w:rPr>
              <w:t xml:space="preserve"> – bortezomib </w:t>
            </w:r>
            <w:r w:rsidR="00AC3952">
              <w:rPr>
                <w:sz w:val="19"/>
                <w:szCs w:val="19"/>
              </w:rPr>
              <w:t>($)</w:t>
            </w:r>
          </w:p>
        </w:tc>
        <w:tc>
          <w:tcPr>
            <w:tcW w:w="63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916D83" w14:textId="0AC9B05F"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39" w:id="-1500846070"/>
                <w14:textFill>
                  <w14:solidFill>
                    <w14:srgbClr w14:val="000000">
                      <w14:alpha w14:val="100000"/>
                    </w14:srgbClr>
                  </w14:solidFill>
                </w14:textFill>
              </w:rPr>
              <w:t xml:space="preserve">　</w:t>
            </w:r>
            <w:r w:rsidRPr="00DB2D11">
              <w:rPr>
                <w:iCs/>
                <w:color w:val="000000"/>
                <w:w w:val="15"/>
                <w:shd w:val="solid" w:color="000000" w:fill="000000"/>
                <w:fitText w:val="39" w:id="-1500846070"/>
                <w14:textFill>
                  <w14:solidFill>
                    <w14:srgbClr w14:val="000000">
                      <w14:alpha w14:val="100000"/>
                    </w14:srgbClr>
                  </w14:solidFill>
                </w14:textFill>
              </w:rPr>
              <w:t>|</w:t>
            </w:r>
            <w:r w:rsidRPr="00DB2D11">
              <w:rPr>
                <w:rFonts w:hint="eastAsia"/>
                <w:iCs/>
                <w:color w:val="000000"/>
                <w:spacing w:val="-26"/>
                <w:w w:val="15"/>
                <w:shd w:val="solid" w:color="000000" w:fill="000000"/>
                <w:fitText w:val="39" w:id="-1500846070"/>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B231241" w14:textId="307D613C"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38" w:id="-1500846069"/>
                <w14:textFill>
                  <w14:solidFill>
                    <w14:srgbClr w14:val="000000">
                      <w14:alpha w14:val="100000"/>
                    </w14:srgbClr>
                  </w14:solidFill>
                </w14:textFill>
              </w:rPr>
              <w:t xml:space="preserve">　</w:t>
            </w:r>
            <w:r w:rsidRPr="00DB2D11">
              <w:rPr>
                <w:iCs/>
                <w:color w:val="000000"/>
                <w:w w:val="15"/>
                <w:shd w:val="solid" w:color="000000" w:fill="000000"/>
                <w:fitText w:val="38" w:id="-1500846069"/>
                <w14:textFill>
                  <w14:solidFill>
                    <w14:srgbClr w14:val="000000">
                      <w14:alpha w14:val="100000"/>
                    </w14:srgbClr>
                  </w14:solidFill>
                </w14:textFill>
              </w:rPr>
              <w:t>|</w:t>
            </w:r>
            <w:r w:rsidRPr="00DB2D11">
              <w:rPr>
                <w:rFonts w:hint="eastAsia"/>
                <w:iCs/>
                <w:color w:val="000000"/>
                <w:spacing w:val="-27"/>
                <w:w w:val="15"/>
                <w:shd w:val="solid" w:color="000000" w:fill="000000"/>
                <w:fitText w:val="38" w:id="-1500846069"/>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B803562" w14:textId="751ED175"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38" w:id="-1500846068"/>
                <w14:textFill>
                  <w14:solidFill>
                    <w14:srgbClr w14:val="000000">
                      <w14:alpha w14:val="100000"/>
                    </w14:srgbClr>
                  </w14:solidFill>
                </w14:textFill>
              </w:rPr>
              <w:t xml:space="preserve">　</w:t>
            </w:r>
            <w:r w:rsidRPr="00DB2D11">
              <w:rPr>
                <w:iCs/>
                <w:color w:val="000000"/>
                <w:w w:val="15"/>
                <w:shd w:val="solid" w:color="000000" w:fill="000000"/>
                <w:fitText w:val="38" w:id="-1500846068"/>
                <w14:textFill>
                  <w14:solidFill>
                    <w14:srgbClr w14:val="000000">
                      <w14:alpha w14:val="100000"/>
                    </w14:srgbClr>
                  </w14:solidFill>
                </w14:textFill>
              </w:rPr>
              <w:t>|</w:t>
            </w:r>
            <w:r w:rsidRPr="00DB2D11">
              <w:rPr>
                <w:rFonts w:hint="eastAsia"/>
                <w:iCs/>
                <w:color w:val="000000"/>
                <w:spacing w:val="-27"/>
                <w:w w:val="15"/>
                <w:shd w:val="solid" w:color="000000" w:fill="000000"/>
                <w:fitText w:val="38" w:id="-1500846068"/>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08CCE7D" w14:textId="45E95752"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38" w:id="-1500846067"/>
                <w14:textFill>
                  <w14:solidFill>
                    <w14:srgbClr w14:val="000000">
                      <w14:alpha w14:val="100000"/>
                    </w14:srgbClr>
                  </w14:solidFill>
                </w14:textFill>
              </w:rPr>
              <w:t xml:space="preserve">　</w:t>
            </w:r>
            <w:r w:rsidRPr="00DB2D11">
              <w:rPr>
                <w:iCs/>
                <w:color w:val="000000"/>
                <w:w w:val="15"/>
                <w:shd w:val="solid" w:color="000000" w:fill="000000"/>
                <w:fitText w:val="38" w:id="-1500846067"/>
                <w14:textFill>
                  <w14:solidFill>
                    <w14:srgbClr w14:val="000000">
                      <w14:alpha w14:val="100000"/>
                    </w14:srgbClr>
                  </w14:solidFill>
                </w14:textFill>
              </w:rPr>
              <w:t>|</w:t>
            </w:r>
            <w:r w:rsidRPr="00DB2D11">
              <w:rPr>
                <w:rFonts w:hint="eastAsia"/>
                <w:iCs/>
                <w:color w:val="000000"/>
                <w:spacing w:val="-27"/>
                <w:w w:val="15"/>
                <w:shd w:val="solid" w:color="000000" w:fill="000000"/>
                <w:fitText w:val="38" w:id="-1500846067"/>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DA5BBC" w14:textId="6751BA67"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38" w:id="-1500846066"/>
                <w14:textFill>
                  <w14:solidFill>
                    <w14:srgbClr w14:val="000000">
                      <w14:alpha w14:val="100000"/>
                    </w14:srgbClr>
                  </w14:solidFill>
                </w14:textFill>
              </w:rPr>
              <w:t xml:space="preserve">　</w:t>
            </w:r>
            <w:r w:rsidRPr="00DB2D11">
              <w:rPr>
                <w:iCs/>
                <w:color w:val="000000"/>
                <w:w w:val="15"/>
                <w:shd w:val="solid" w:color="000000" w:fill="000000"/>
                <w:fitText w:val="38" w:id="-1500846066"/>
                <w14:textFill>
                  <w14:solidFill>
                    <w14:srgbClr w14:val="000000">
                      <w14:alpha w14:val="100000"/>
                    </w14:srgbClr>
                  </w14:solidFill>
                </w14:textFill>
              </w:rPr>
              <w:t>|</w:t>
            </w:r>
            <w:r w:rsidRPr="00DB2D11">
              <w:rPr>
                <w:rFonts w:hint="eastAsia"/>
                <w:iCs/>
                <w:color w:val="000000"/>
                <w:spacing w:val="-27"/>
                <w:w w:val="15"/>
                <w:shd w:val="solid" w:color="000000" w:fill="000000"/>
                <w:fitText w:val="38" w:id="-1500846066"/>
                <w14:textFill>
                  <w14:solidFill>
                    <w14:srgbClr w14:val="000000">
                      <w14:alpha w14:val="100000"/>
                    </w14:srgbClr>
                  </w14:solidFill>
                </w14:textFill>
              </w:rPr>
              <w:t xml:space="preserve">　</w:t>
            </w:r>
            <w:r w:rsidR="004769F5">
              <w:rPr>
                <w:vertAlign w:val="superscript"/>
              </w:rPr>
              <w:t>2</w:t>
            </w:r>
          </w:p>
        </w:tc>
        <w:tc>
          <w:tcPr>
            <w:tcW w:w="6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7FE42B0" w14:textId="66D06248"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69" w:id="-1500846065"/>
                <w14:textFill>
                  <w14:solidFill>
                    <w14:srgbClr w14:val="000000">
                      <w14:alpha w14:val="100000"/>
                    </w14:srgbClr>
                  </w14:solidFill>
                </w14:textFill>
              </w:rPr>
              <w:t xml:space="preserve">　</w:t>
            </w:r>
            <w:r w:rsidRPr="00DB2D11">
              <w:rPr>
                <w:iCs/>
                <w:color w:val="000000"/>
                <w:w w:val="15"/>
                <w:shd w:val="solid" w:color="000000" w:fill="000000"/>
                <w:fitText w:val="69" w:id="-1500846065"/>
                <w14:textFill>
                  <w14:solidFill>
                    <w14:srgbClr w14:val="000000">
                      <w14:alpha w14:val="100000"/>
                    </w14:srgbClr>
                  </w14:solidFill>
                </w14:textFill>
              </w:rPr>
              <w:t>|</w:t>
            </w:r>
            <w:r w:rsidRPr="00DB2D11">
              <w:rPr>
                <w:rFonts w:hint="eastAsia"/>
                <w:iCs/>
                <w:color w:val="000000"/>
                <w:spacing w:val="3"/>
                <w:w w:val="15"/>
                <w:shd w:val="solid" w:color="000000" w:fill="000000"/>
                <w:fitText w:val="69" w:id="-1500846065"/>
                <w14:textFill>
                  <w14:solidFill>
                    <w14:srgbClr w14:val="000000">
                      <w14:alpha w14:val="100000"/>
                    </w14:srgbClr>
                  </w14:solidFill>
                </w14:textFill>
              </w:rPr>
              <w:t xml:space="preserve">　</w:t>
            </w:r>
            <w:r w:rsidR="004769F5">
              <w:rPr>
                <w:vertAlign w:val="superscript"/>
              </w:rPr>
              <w:t>2</w:t>
            </w:r>
          </w:p>
        </w:tc>
      </w:tr>
      <w:tr w:rsidR="00124303" w:rsidRPr="000B52C6" w14:paraId="2798E6C7" w14:textId="77777777" w:rsidTr="00D27599">
        <w:tc>
          <w:tcPr>
            <w:tcW w:w="12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4959D2" w14:textId="3096EE7C" w:rsidR="00124303" w:rsidRPr="000B52C6" w:rsidRDefault="00124303" w:rsidP="00124303">
            <w:pPr>
              <w:pStyle w:val="TableText0"/>
              <w:rPr>
                <w:sz w:val="19"/>
                <w:szCs w:val="19"/>
              </w:rPr>
            </w:pPr>
            <w:r w:rsidRPr="000B52C6">
              <w:rPr>
                <w:sz w:val="19"/>
                <w:szCs w:val="19"/>
              </w:rPr>
              <w:t xml:space="preserve">Cost to PBS/RPBS less </w:t>
            </w:r>
            <w:proofErr w:type="spellStart"/>
            <w:r w:rsidRPr="000B52C6">
              <w:rPr>
                <w:sz w:val="19"/>
                <w:szCs w:val="19"/>
              </w:rPr>
              <w:t>copayments</w:t>
            </w:r>
            <w:proofErr w:type="spellEnd"/>
            <w:r w:rsidRPr="000B52C6">
              <w:rPr>
                <w:sz w:val="19"/>
                <w:szCs w:val="19"/>
              </w:rPr>
              <w:t xml:space="preserve"> – dexamethasone</w:t>
            </w:r>
            <w:r w:rsidR="00AC3952">
              <w:rPr>
                <w:sz w:val="19"/>
                <w:szCs w:val="19"/>
              </w:rPr>
              <w:t xml:space="preserve"> ($)</w:t>
            </w:r>
          </w:p>
        </w:tc>
        <w:tc>
          <w:tcPr>
            <w:tcW w:w="63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07C268" w14:textId="51A049DE" w:rsidR="00124303" w:rsidRPr="000B52C6" w:rsidRDefault="00124303" w:rsidP="00124303">
            <w:pPr>
              <w:pStyle w:val="TableText0"/>
              <w:jc w:val="center"/>
              <w:rPr>
                <w:iCs/>
              </w:rPr>
            </w:pPr>
            <w:r w:rsidRPr="000B52C6">
              <w:rPr>
                <w:iCs/>
              </w:rPr>
              <w:t>-</w:t>
            </w:r>
            <w:r w:rsidR="00AC3952">
              <w:rPr>
                <w:iCs/>
              </w:rPr>
              <w:t xml:space="preserve"> </w:t>
            </w:r>
            <w:r w:rsidR="00DB2D11" w:rsidRPr="00DB2D11">
              <w:rPr>
                <w:rFonts w:hint="eastAsia"/>
                <w:iCs/>
                <w:color w:val="000000"/>
                <w:w w:val="19"/>
                <w:shd w:val="solid" w:color="000000" w:fill="000000"/>
                <w:fitText w:val="85" w:id="-1500846064"/>
                <w14:textFill>
                  <w14:solidFill>
                    <w14:srgbClr w14:val="000000">
                      <w14:alpha w14:val="100000"/>
                    </w14:srgbClr>
                  </w14:solidFill>
                </w14:textFill>
              </w:rPr>
              <w:t xml:space="preserve">　</w:t>
            </w:r>
            <w:r w:rsidR="00DB2D11" w:rsidRPr="00DB2D11">
              <w:rPr>
                <w:iCs/>
                <w:color w:val="000000"/>
                <w:w w:val="19"/>
                <w:shd w:val="solid" w:color="000000" w:fill="000000"/>
                <w:fitText w:val="85" w:id="-1500846064"/>
                <w14:textFill>
                  <w14:solidFill>
                    <w14:srgbClr w14:val="000000">
                      <w14:alpha w14:val="100000"/>
                    </w14:srgbClr>
                  </w14:solidFill>
                </w14:textFill>
              </w:rPr>
              <w:t>|</w:t>
            </w:r>
            <w:r w:rsidR="00DB2D11" w:rsidRPr="00DB2D11">
              <w:rPr>
                <w:rFonts w:hint="eastAsia"/>
                <w:iCs/>
                <w:color w:val="000000"/>
                <w:spacing w:val="1"/>
                <w:w w:val="19"/>
                <w:shd w:val="solid" w:color="000000" w:fill="000000"/>
                <w:fitText w:val="85" w:id="-1500846064"/>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EB9BFA8" w14:textId="2616E1C1" w:rsidR="00124303" w:rsidRPr="000B52C6" w:rsidRDefault="00124303" w:rsidP="00124303">
            <w:pPr>
              <w:pStyle w:val="TableText0"/>
              <w:jc w:val="center"/>
              <w:rPr>
                <w:iCs/>
              </w:rPr>
            </w:pPr>
            <w:r w:rsidRPr="000B52C6">
              <w:rPr>
                <w:iCs/>
              </w:rPr>
              <w:t>-</w:t>
            </w:r>
            <w:r w:rsidR="00AC3952">
              <w:rPr>
                <w:iCs/>
              </w:rPr>
              <w:t xml:space="preserve"> </w:t>
            </w:r>
            <w:r w:rsidR="00DB2D11" w:rsidRPr="00DB2D11">
              <w:rPr>
                <w:rFonts w:hint="eastAsia"/>
                <w:iCs/>
                <w:color w:val="000000"/>
                <w:w w:val="20"/>
                <w:shd w:val="solid" w:color="000000" w:fill="000000"/>
                <w:fitText w:val="92" w:id="-1500846080"/>
                <w14:textFill>
                  <w14:solidFill>
                    <w14:srgbClr w14:val="000000">
                      <w14:alpha w14:val="100000"/>
                    </w14:srgbClr>
                  </w14:solidFill>
                </w14:textFill>
              </w:rPr>
              <w:t xml:space="preserve">　</w:t>
            </w:r>
            <w:r w:rsidR="00DB2D11" w:rsidRPr="00DB2D11">
              <w:rPr>
                <w:iCs/>
                <w:color w:val="000000"/>
                <w:w w:val="20"/>
                <w:shd w:val="solid" w:color="000000" w:fill="000000"/>
                <w:fitText w:val="92" w:id="-1500846080"/>
                <w14:textFill>
                  <w14:solidFill>
                    <w14:srgbClr w14:val="000000">
                      <w14:alpha w14:val="100000"/>
                    </w14:srgbClr>
                  </w14:solidFill>
                </w14:textFill>
              </w:rPr>
              <w:t>|</w:t>
            </w:r>
            <w:r w:rsidR="00DB2D11" w:rsidRPr="00DB2D11">
              <w:rPr>
                <w:rFonts w:hint="eastAsia"/>
                <w:iCs/>
                <w:color w:val="000000"/>
                <w:spacing w:val="5"/>
                <w:w w:val="20"/>
                <w:shd w:val="solid" w:color="000000" w:fill="000000"/>
                <w:fitText w:val="92" w:id="-1500846080"/>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6FA92DC" w14:textId="5830F7B6"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38" w:id="-1500846079"/>
                <w14:textFill>
                  <w14:solidFill>
                    <w14:srgbClr w14:val="000000">
                      <w14:alpha w14:val="100000"/>
                    </w14:srgbClr>
                  </w14:solidFill>
                </w14:textFill>
              </w:rPr>
              <w:t xml:space="preserve">　</w:t>
            </w:r>
            <w:r w:rsidRPr="00DB2D11">
              <w:rPr>
                <w:iCs/>
                <w:color w:val="000000"/>
                <w:w w:val="15"/>
                <w:shd w:val="solid" w:color="000000" w:fill="000000"/>
                <w:fitText w:val="38" w:id="-1500846079"/>
                <w14:textFill>
                  <w14:solidFill>
                    <w14:srgbClr w14:val="000000">
                      <w14:alpha w14:val="100000"/>
                    </w14:srgbClr>
                  </w14:solidFill>
                </w14:textFill>
              </w:rPr>
              <w:t>|</w:t>
            </w:r>
            <w:r w:rsidRPr="00DB2D11">
              <w:rPr>
                <w:rFonts w:hint="eastAsia"/>
                <w:iCs/>
                <w:color w:val="000000"/>
                <w:spacing w:val="-27"/>
                <w:w w:val="15"/>
                <w:shd w:val="solid" w:color="000000" w:fill="000000"/>
                <w:fitText w:val="38" w:id="-1500846079"/>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E0D205" w14:textId="76681720"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38" w:id="-1500846078"/>
                <w14:textFill>
                  <w14:solidFill>
                    <w14:srgbClr w14:val="000000">
                      <w14:alpha w14:val="100000"/>
                    </w14:srgbClr>
                  </w14:solidFill>
                </w14:textFill>
              </w:rPr>
              <w:t xml:space="preserve">　</w:t>
            </w:r>
            <w:r w:rsidRPr="00DB2D11">
              <w:rPr>
                <w:iCs/>
                <w:color w:val="000000"/>
                <w:w w:val="15"/>
                <w:shd w:val="solid" w:color="000000" w:fill="000000"/>
                <w:fitText w:val="38" w:id="-1500846078"/>
                <w14:textFill>
                  <w14:solidFill>
                    <w14:srgbClr w14:val="000000">
                      <w14:alpha w14:val="100000"/>
                    </w14:srgbClr>
                  </w14:solidFill>
                </w14:textFill>
              </w:rPr>
              <w:t>|</w:t>
            </w:r>
            <w:r w:rsidRPr="00DB2D11">
              <w:rPr>
                <w:rFonts w:hint="eastAsia"/>
                <w:iCs/>
                <w:color w:val="000000"/>
                <w:spacing w:val="-27"/>
                <w:w w:val="15"/>
                <w:shd w:val="solid" w:color="000000" w:fill="000000"/>
                <w:fitText w:val="38" w:id="-1500846078"/>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CE5EA53" w14:textId="4B153540"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38" w:id="-1500846077"/>
                <w14:textFill>
                  <w14:solidFill>
                    <w14:srgbClr w14:val="000000">
                      <w14:alpha w14:val="100000"/>
                    </w14:srgbClr>
                  </w14:solidFill>
                </w14:textFill>
              </w:rPr>
              <w:t xml:space="preserve">　</w:t>
            </w:r>
            <w:r w:rsidRPr="00DB2D11">
              <w:rPr>
                <w:iCs/>
                <w:color w:val="000000"/>
                <w:w w:val="15"/>
                <w:shd w:val="solid" w:color="000000" w:fill="000000"/>
                <w:fitText w:val="38" w:id="-1500846077"/>
                <w14:textFill>
                  <w14:solidFill>
                    <w14:srgbClr w14:val="000000">
                      <w14:alpha w14:val="100000"/>
                    </w14:srgbClr>
                  </w14:solidFill>
                </w14:textFill>
              </w:rPr>
              <w:t>|</w:t>
            </w:r>
            <w:r w:rsidRPr="00DB2D11">
              <w:rPr>
                <w:rFonts w:hint="eastAsia"/>
                <w:iCs/>
                <w:color w:val="000000"/>
                <w:spacing w:val="-27"/>
                <w:w w:val="15"/>
                <w:shd w:val="solid" w:color="000000" w:fill="000000"/>
                <w:fitText w:val="38" w:id="-1500846077"/>
                <w14:textFill>
                  <w14:solidFill>
                    <w14:srgbClr w14:val="000000">
                      <w14:alpha w14:val="100000"/>
                    </w14:srgbClr>
                  </w14:solidFill>
                </w14:textFill>
              </w:rPr>
              <w:t xml:space="preserve">　</w:t>
            </w:r>
            <w:r w:rsidR="004769F5">
              <w:rPr>
                <w:vertAlign w:val="superscript"/>
              </w:rPr>
              <w:t>2</w:t>
            </w:r>
          </w:p>
        </w:tc>
        <w:tc>
          <w:tcPr>
            <w:tcW w:w="6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B5B4A31" w14:textId="48D4C1DB"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69" w:id="-1500846076"/>
                <w14:textFill>
                  <w14:solidFill>
                    <w14:srgbClr w14:val="000000">
                      <w14:alpha w14:val="100000"/>
                    </w14:srgbClr>
                  </w14:solidFill>
                </w14:textFill>
              </w:rPr>
              <w:t xml:space="preserve">　</w:t>
            </w:r>
            <w:r w:rsidRPr="00DB2D11">
              <w:rPr>
                <w:iCs/>
                <w:color w:val="000000"/>
                <w:w w:val="15"/>
                <w:shd w:val="solid" w:color="000000" w:fill="000000"/>
                <w:fitText w:val="69" w:id="-1500846076"/>
                <w14:textFill>
                  <w14:solidFill>
                    <w14:srgbClr w14:val="000000">
                      <w14:alpha w14:val="100000"/>
                    </w14:srgbClr>
                  </w14:solidFill>
                </w14:textFill>
              </w:rPr>
              <w:t>|</w:t>
            </w:r>
            <w:r w:rsidRPr="00DB2D11">
              <w:rPr>
                <w:rFonts w:hint="eastAsia"/>
                <w:iCs/>
                <w:color w:val="000000"/>
                <w:spacing w:val="3"/>
                <w:w w:val="15"/>
                <w:shd w:val="solid" w:color="000000" w:fill="000000"/>
                <w:fitText w:val="69" w:id="-1500846076"/>
                <w14:textFill>
                  <w14:solidFill>
                    <w14:srgbClr w14:val="000000">
                      <w14:alpha w14:val="100000"/>
                    </w14:srgbClr>
                  </w14:solidFill>
                </w14:textFill>
              </w:rPr>
              <w:t xml:space="preserve">　</w:t>
            </w:r>
            <w:r w:rsidR="004769F5">
              <w:rPr>
                <w:vertAlign w:val="superscript"/>
              </w:rPr>
              <w:t>2</w:t>
            </w:r>
          </w:p>
        </w:tc>
      </w:tr>
      <w:tr w:rsidR="00124303" w:rsidRPr="000B52C6" w14:paraId="681B0230" w14:textId="77777777" w:rsidTr="00D27599">
        <w:tc>
          <w:tcPr>
            <w:tcW w:w="12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985D013" w14:textId="2947EB08" w:rsidR="00124303" w:rsidRPr="000B52C6" w:rsidRDefault="00124303" w:rsidP="00124303">
            <w:pPr>
              <w:pStyle w:val="TableText0"/>
              <w:rPr>
                <w:sz w:val="19"/>
                <w:szCs w:val="19"/>
              </w:rPr>
            </w:pPr>
            <w:r w:rsidRPr="000B52C6">
              <w:rPr>
                <w:sz w:val="19"/>
                <w:szCs w:val="19"/>
              </w:rPr>
              <w:t xml:space="preserve">Cost to PBS/RPBS less </w:t>
            </w:r>
            <w:proofErr w:type="spellStart"/>
            <w:r w:rsidRPr="000B52C6">
              <w:rPr>
                <w:sz w:val="19"/>
                <w:szCs w:val="19"/>
              </w:rPr>
              <w:t>copayments</w:t>
            </w:r>
            <w:proofErr w:type="spellEnd"/>
            <w:r w:rsidRPr="000B52C6">
              <w:rPr>
                <w:sz w:val="19"/>
                <w:szCs w:val="19"/>
              </w:rPr>
              <w:t xml:space="preserve"> – filgrastim </w:t>
            </w:r>
            <w:r w:rsidR="00AC3952">
              <w:rPr>
                <w:sz w:val="19"/>
                <w:szCs w:val="19"/>
              </w:rPr>
              <w:t>($)</w:t>
            </w:r>
          </w:p>
        </w:tc>
        <w:tc>
          <w:tcPr>
            <w:tcW w:w="63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8C6283" w14:textId="09D2AAB1"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39" w:id="-1500846075"/>
                <w14:textFill>
                  <w14:solidFill>
                    <w14:srgbClr w14:val="000000">
                      <w14:alpha w14:val="100000"/>
                    </w14:srgbClr>
                  </w14:solidFill>
                </w14:textFill>
              </w:rPr>
              <w:t xml:space="preserve">　</w:t>
            </w:r>
            <w:r w:rsidRPr="00DB2D11">
              <w:rPr>
                <w:iCs/>
                <w:color w:val="000000"/>
                <w:w w:val="15"/>
                <w:shd w:val="solid" w:color="000000" w:fill="000000"/>
                <w:fitText w:val="39" w:id="-1500846075"/>
                <w14:textFill>
                  <w14:solidFill>
                    <w14:srgbClr w14:val="000000">
                      <w14:alpha w14:val="100000"/>
                    </w14:srgbClr>
                  </w14:solidFill>
                </w14:textFill>
              </w:rPr>
              <w:t>|</w:t>
            </w:r>
            <w:r w:rsidRPr="00DB2D11">
              <w:rPr>
                <w:rFonts w:hint="eastAsia"/>
                <w:iCs/>
                <w:color w:val="000000"/>
                <w:spacing w:val="-26"/>
                <w:w w:val="15"/>
                <w:shd w:val="solid" w:color="000000" w:fill="000000"/>
                <w:fitText w:val="39" w:id="-1500846075"/>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AC0DDD" w14:textId="0510616D"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38" w:id="-1500846074"/>
                <w14:textFill>
                  <w14:solidFill>
                    <w14:srgbClr w14:val="000000">
                      <w14:alpha w14:val="100000"/>
                    </w14:srgbClr>
                  </w14:solidFill>
                </w14:textFill>
              </w:rPr>
              <w:t xml:space="preserve">　</w:t>
            </w:r>
            <w:r w:rsidRPr="00DB2D11">
              <w:rPr>
                <w:iCs/>
                <w:color w:val="000000"/>
                <w:w w:val="15"/>
                <w:shd w:val="solid" w:color="000000" w:fill="000000"/>
                <w:fitText w:val="38" w:id="-1500846074"/>
                <w14:textFill>
                  <w14:solidFill>
                    <w14:srgbClr w14:val="000000">
                      <w14:alpha w14:val="100000"/>
                    </w14:srgbClr>
                  </w14:solidFill>
                </w14:textFill>
              </w:rPr>
              <w:t>|</w:t>
            </w:r>
            <w:r w:rsidRPr="00DB2D11">
              <w:rPr>
                <w:rFonts w:hint="eastAsia"/>
                <w:iCs/>
                <w:color w:val="000000"/>
                <w:spacing w:val="-27"/>
                <w:w w:val="15"/>
                <w:shd w:val="solid" w:color="000000" w:fill="000000"/>
                <w:fitText w:val="38" w:id="-1500846074"/>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9C9BB1" w14:textId="3CE8550B"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38" w:id="-1500846073"/>
                <w14:textFill>
                  <w14:solidFill>
                    <w14:srgbClr w14:val="000000">
                      <w14:alpha w14:val="100000"/>
                    </w14:srgbClr>
                  </w14:solidFill>
                </w14:textFill>
              </w:rPr>
              <w:t xml:space="preserve">　</w:t>
            </w:r>
            <w:r w:rsidRPr="00DB2D11">
              <w:rPr>
                <w:iCs/>
                <w:color w:val="000000"/>
                <w:w w:val="15"/>
                <w:shd w:val="solid" w:color="000000" w:fill="000000"/>
                <w:fitText w:val="38" w:id="-1500846073"/>
                <w14:textFill>
                  <w14:solidFill>
                    <w14:srgbClr w14:val="000000">
                      <w14:alpha w14:val="100000"/>
                    </w14:srgbClr>
                  </w14:solidFill>
                </w14:textFill>
              </w:rPr>
              <w:t>|</w:t>
            </w:r>
            <w:r w:rsidRPr="00DB2D11">
              <w:rPr>
                <w:rFonts w:hint="eastAsia"/>
                <w:iCs/>
                <w:color w:val="000000"/>
                <w:spacing w:val="-27"/>
                <w:w w:val="15"/>
                <w:shd w:val="solid" w:color="000000" w:fill="000000"/>
                <w:fitText w:val="38" w:id="-1500846073"/>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0DCF49" w14:textId="3954BA64"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38" w:id="-1500846072"/>
                <w14:textFill>
                  <w14:solidFill>
                    <w14:srgbClr w14:val="000000">
                      <w14:alpha w14:val="100000"/>
                    </w14:srgbClr>
                  </w14:solidFill>
                </w14:textFill>
              </w:rPr>
              <w:t xml:space="preserve">　</w:t>
            </w:r>
            <w:r w:rsidRPr="00DB2D11">
              <w:rPr>
                <w:iCs/>
                <w:color w:val="000000"/>
                <w:w w:val="15"/>
                <w:shd w:val="solid" w:color="000000" w:fill="000000"/>
                <w:fitText w:val="38" w:id="-1500846072"/>
                <w14:textFill>
                  <w14:solidFill>
                    <w14:srgbClr w14:val="000000">
                      <w14:alpha w14:val="100000"/>
                    </w14:srgbClr>
                  </w14:solidFill>
                </w14:textFill>
              </w:rPr>
              <w:t>|</w:t>
            </w:r>
            <w:r w:rsidRPr="00DB2D11">
              <w:rPr>
                <w:rFonts w:hint="eastAsia"/>
                <w:iCs/>
                <w:color w:val="000000"/>
                <w:spacing w:val="-27"/>
                <w:w w:val="15"/>
                <w:shd w:val="solid" w:color="000000" w:fill="000000"/>
                <w:fitText w:val="38" w:id="-1500846072"/>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D5F244" w14:textId="06EB76D5"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38" w:id="-1500846071"/>
                <w14:textFill>
                  <w14:solidFill>
                    <w14:srgbClr w14:val="000000">
                      <w14:alpha w14:val="100000"/>
                    </w14:srgbClr>
                  </w14:solidFill>
                </w14:textFill>
              </w:rPr>
              <w:t xml:space="preserve">　</w:t>
            </w:r>
            <w:r w:rsidRPr="00DB2D11">
              <w:rPr>
                <w:iCs/>
                <w:color w:val="000000"/>
                <w:w w:val="15"/>
                <w:shd w:val="solid" w:color="000000" w:fill="000000"/>
                <w:fitText w:val="38" w:id="-1500846071"/>
                <w14:textFill>
                  <w14:solidFill>
                    <w14:srgbClr w14:val="000000">
                      <w14:alpha w14:val="100000"/>
                    </w14:srgbClr>
                  </w14:solidFill>
                </w14:textFill>
              </w:rPr>
              <w:t>|</w:t>
            </w:r>
            <w:r w:rsidRPr="00DB2D11">
              <w:rPr>
                <w:rFonts w:hint="eastAsia"/>
                <w:iCs/>
                <w:color w:val="000000"/>
                <w:spacing w:val="-27"/>
                <w:w w:val="15"/>
                <w:shd w:val="solid" w:color="000000" w:fill="000000"/>
                <w:fitText w:val="38" w:id="-1500846071"/>
                <w14:textFill>
                  <w14:solidFill>
                    <w14:srgbClr w14:val="000000">
                      <w14:alpha w14:val="100000"/>
                    </w14:srgbClr>
                  </w14:solidFill>
                </w14:textFill>
              </w:rPr>
              <w:t xml:space="preserve">　</w:t>
            </w:r>
            <w:r w:rsidR="004769F5">
              <w:rPr>
                <w:vertAlign w:val="superscript"/>
              </w:rPr>
              <w:t>2</w:t>
            </w:r>
          </w:p>
        </w:tc>
        <w:tc>
          <w:tcPr>
            <w:tcW w:w="6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BC173C" w14:textId="17A88852" w:rsidR="00124303" w:rsidRPr="00D27599" w:rsidRDefault="00DB2D11" w:rsidP="00124303">
            <w:pPr>
              <w:pStyle w:val="TableText0"/>
              <w:jc w:val="center"/>
              <w:rPr>
                <w:iCs/>
                <w:highlight w:val="yellow"/>
              </w:rPr>
            </w:pPr>
            <w:r w:rsidRPr="00DB2D11">
              <w:rPr>
                <w:rFonts w:hint="eastAsia"/>
                <w:iCs/>
                <w:color w:val="000000"/>
                <w:w w:val="15"/>
                <w:shd w:val="solid" w:color="000000" w:fill="000000"/>
                <w:fitText w:val="69" w:id="-1500846070"/>
                <w14:textFill>
                  <w14:solidFill>
                    <w14:srgbClr w14:val="000000">
                      <w14:alpha w14:val="100000"/>
                    </w14:srgbClr>
                  </w14:solidFill>
                </w14:textFill>
              </w:rPr>
              <w:t xml:space="preserve">　</w:t>
            </w:r>
            <w:r w:rsidRPr="00DB2D11">
              <w:rPr>
                <w:iCs/>
                <w:color w:val="000000"/>
                <w:w w:val="15"/>
                <w:shd w:val="solid" w:color="000000" w:fill="000000"/>
                <w:fitText w:val="69" w:id="-1500846070"/>
                <w14:textFill>
                  <w14:solidFill>
                    <w14:srgbClr w14:val="000000">
                      <w14:alpha w14:val="100000"/>
                    </w14:srgbClr>
                  </w14:solidFill>
                </w14:textFill>
              </w:rPr>
              <w:t>|</w:t>
            </w:r>
            <w:r w:rsidRPr="00DB2D11">
              <w:rPr>
                <w:rFonts w:hint="eastAsia"/>
                <w:iCs/>
                <w:color w:val="000000"/>
                <w:spacing w:val="3"/>
                <w:w w:val="15"/>
                <w:shd w:val="solid" w:color="000000" w:fill="000000"/>
                <w:fitText w:val="69" w:id="-1500846070"/>
                <w14:textFill>
                  <w14:solidFill>
                    <w14:srgbClr w14:val="000000">
                      <w14:alpha w14:val="100000"/>
                    </w14:srgbClr>
                  </w14:solidFill>
                </w14:textFill>
              </w:rPr>
              <w:t xml:space="preserve">　</w:t>
            </w:r>
            <w:r w:rsidR="004769F5">
              <w:rPr>
                <w:vertAlign w:val="superscript"/>
              </w:rPr>
              <w:t>2</w:t>
            </w:r>
          </w:p>
        </w:tc>
      </w:tr>
      <w:tr w:rsidR="00124303" w:rsidRPr="000B52C6" w14:paraId="25AD5402" w14:textId="77777777" w:rsidTr="00D27599">
        <w:tc>
          <w:tcPr>
            <w:tcW w:w="12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0DCE220" w14:textId="47105F88" w:rsidR="00124303" w:rsidRPr="000B52C6" w:rsidRDefault="00124303" w:rsidP="00124303">
            <w:pPr>
              <w:pStyle w:val="TableText0"/>
              <w:rPr>
                <w:sz w:val="19"/>
                <w:szCs w:val="19"/>
              </w:rPr>
            </w:pPr>
            <w:r w:rsidRPr="000B52C6">
              <w:rPr>
                <w:sz w:val="19"/>
                <w:szCs w:val="19"/>
              </w:rPr>
              <w:t xml:space="preserve">Cost to PBS/RPBS less </w:t>
            </w:r>
            <w:proofErr w:type="spellStart"/>
            <w:r w:rsidRPr="000B52C6">
              <w:rPr>
                <w:sz w:val="19"/>
                <w:szCs w:val="19"/>
              </w:rPr>
              <w:t>copayments</w:t>
            </w:r>
            <w:proofErr w:type="spellEnd"/>
            <w:r w:rsidRPr="000B52C6">
              <w:rPr>
                <w:sz w:val="19"/>
                <w:szCs w:val="19"/>
              </w:rPr>
              <w:t xml:space="preserve"> – Total </w:t>
            </w:r>
            <w:r w:rsidR="00AC3952">
              <w:rPr>
                <w:sz w:val="19"/>
                <w:szCs w:val="19"/>
              </w:rPr>
              <w:t>($)</w:t>
            </w:r>
          </w:p>
        </w:tc>
        <w:tc>
          <w:tcPr>
            <w:tcW w:w="63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4DBB460" w14:textId="51925AB9" w:rsidR="00124303" w:rsidRPr="000B52C6" w:rsidRDefault="00124303" w:rsidP="00124303">
            <w:pPr>
              <w:pStyle w:val="TableText0"/>
              <w:jc w:val="center"/>
              <w:rPr>
                <w:iCs/>
              </w:rPr>
            </w:pPr>
            <w:r w:rsidRPr="000B52C6">
              <w:rPr>
                <w:bCs w:val="0"/>
                <w:szCs w:val="20"/>
              </w:rPr>
              <w:t>-</w:t>
            </w:r>
            <w:r w:rsidR="00AC3952">
              <w:rPr>
                <w:bCs w:val="0"/>
                <w:szCs w:val="20"/>
              </w:rPr>
              <w:t xml:space="preserve"> </w:t>
            </w:r>
            <w:r w:rsidR="00DB2D11" w:rsidRPr="00DB2D11">
              <w:rPr>
                <w:rFonts w:hint="eastAsia"/>
                <w:bCs w:val="0"/>
                <w:color w:val="000000"/>
                <w:w w:val="19"/>
                <w:szCs w:val="20"/>
                <w:shd w:val="solid" w:color="000000" w:fill="000000"/>
                <w:fitText w:val="85" w:id="-1500846069"/>
                <w14:textFill>
                  <w14:solidFill>
                    <w14:srgbClr w14:val="000000">
                      <w14:alpha w14:val="100000"/>
                    </w14:srgbClr>
                  </w14:solidFill>
                </w14:textFill>
              </w:rPr>
              <w:t xml:space="preserve">　</w:t>
            </w:r>
            <w:r w:rsidR="00DB2D11" w:rsidRPr="00DB2D11">
              <w:rPr>
                <w:bCs w:val="0"/>
                <w:color w:val="000000"/>
                <w:w w:val="19"/>
                <w:szCs w:val="20"/>
                <w:shd w:val="solid" w:color="000000" w:fill="000000"/>
                <w:fitText w:val="85" w:id="-1500846069"/>
                <w14:textFill>
                  <w14:solidFill>
                    <w14:srgbClr w14:val="000000">
                      <w14:alpha w14:val="100000"/>
                    </w14:srgbClr>
                  </w14:solidFill>
                </w14:textFill>
              </w:rPr>
              <w:t>|</w:t>
            </w:r>
            <w:r w:rsidR="00DB2D11" w:rsidRPr="00DB2D11">
              <w:rPr>
                <w:rFonts w:hint="eastAsia"/>
                <w:bCs w:val="0"/>
                <w:color w:val="000000"/>
                <w:spacing w:val="1"/>
                <w:w w:val="19"/>
                <w:szCs w:val="20"/>
                <w:shd w:val="solid" w:color="000000" w:fill="000000"/>
                <w:fitText w:val="85" w:id="-1500846069"/>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BA39D0C" w14:textId="5E3F9C74" w:rsidR="00124303" w:rsidRPr="000B52C6" w:rsidRDefault="00124303" w:rsidP="00124303">
            <w:pPr>
              <w:pStyle w:val="TableText0"/>
              <w:jc w:val="center"/>
              <w:rPr>
                <w:iCs/>
              </w:rPr>
            </w:pPr>
            <w:r w:rsidRPr="000B52C6">
              <w:rPr>
                <w:bCs w:val="0"/>
                <w:szCs w:val="20"/>
              </w:rPr>
              <w:t>-</w:t>
            </w:r>
            <w:r w:rsidR="00AC3952">
              <w:rPr>
                <w:bCs w:val="0"/>
                <w:szCs w:val="20"/>
              </w:rPr>
              <w:t xml:space="preserve"> </w:t>
            </w:r>
            <w:r w:rsidR="00DB2D11" w:rsidRPr="00DB2D11">
              <w:rPr>
                <w:rFonts w:hint="eastAsia"/>
                <w:bCs w:val="0"/>
                <w:color w:val="000000"/>
                <w:w w:val="20"/>
                <w:szCs w:val="20"/>
                <w:shd w:val="solid" w:color="000000" w:fill="000000"/>
                <w:fitText w:val="92" w:id="-1500846068"/>
                <w14:textFill>
                  <w14:solidFill>
                    <w14:srgbClr w14:val="000000">
                      <w14:alpha w14:val="100000"/>
                    </w14:srgbClr>
                  </w14:solidFill>
                </w14:textFill>
              </w:rPr>
              <w:t xml:space="preserve">　</w:t>
            </w:r>
            <w:r w:rsidR="00DB2D11" w:rsidRPr="00DB2D11">
              <w:rPr>
                <w:bCs w:val="0"/>
                <w:color w:val="000000"/>
                <w:w w:val="20"/>
                <w:szCs w:val="20"/>
                <w:shd w:val="solid" w:color="000000" w:fill="000000"/>
                <w:fitText w:val="92" w:id="-1500846068"/>
                <w14:textFill>
                  <w14:solidFill>
                    <w14:srgbClr w14:val="000000">
                      <w14:alpha w14:val="100000"/>
                    </w14:srgbClr>
                  </w14:solidFill>
                </w14:textFill>
              </w:rPr>
              <w:t>|</w:t>
            </w:r>
            <w:r w:rsidR="00DB2D11" w:rsidRPr="00DB2D11">
              <w:rPr>
                <w:rFonts w:hint="eastAsia"/>
                <w:bCs w:val="0"/>
                <w:color w:val="000000"/>
                <w:spacing w:val="5"/>
                <w:w w:val="20"/>
                <w:szCs w:val="20"/>
                <w:shd w:val="solid" w:color="000000" w:fill="000000"/>
                <w:fitText w:val="92" w:id="-1500846068"/>
                <w14:textFill>
                  <w14:solidFill>
                    <w14:srgbClr w14:val="000000">
                      <w14:alpha w14:val="100000"/>
                    </w14:srgbClr>
                  </w14:solidFill>
                </w14:textFill>
              </w:rPr>
              <w:t xml:space="preserve">　</w:t>
            </w:r>
            <w:r w:rsidR="004769F5">
              <w:rPr>
                <w:vertAlign w:val="superscript"/>
              </w:rPr>
              <w:t>4</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CC847E" w14:textId="4C491FE6" w:rsidR="00124303" w:rsidRPr="000B52C6" w:rsidRDefault="00124303" w:rsidP="00124303">
            <w:pPr>
              <w:pStyle w:val="TableText0"/>
              <w:jc w:val="center"/>
              <w:rPr>
                <w:iCs/>
              </w:rPr>
            </w:pPr>
            <w:r w:rsidRPr="000B52C6">
              <w:rPr>
                <w:bCs w:val="0"/>
                <w:szCs w:val="20"/>
              </w:rPr>
              <w:t>-</w:t>
            </w:r>
            <w:r w:rsidR="00AC3952">
              <w:rPr>
                <w:bCs w:val="0"/>
                <w:szCs w:val="20"/>
              </w:rPr>
              <w:t xml:space="preserve"> </w:t>
            </w:r>
            <w:r w:rsidR="00DB2D11" w:rsidRPr="00DB2D11">
              <w:rPr>
                <w:rFonts w:hint="eastAsia"/>
                <w:bCs w:val="0"/>
                <w:color w:val="000000"/>
                <w:w w:val="20"/>
                <w:szCs w:val="20"/>
                <w:shd w:val="solid" w:color="000000" w:fill="000000"/>
                <w:fitText w:val="92" w:id="-1500846067"/>
                <w14:textFill>
                  <w14:solidFill>
                    <w14:srgbClr w14:val="000000">
                      <w14:alpha w14:val="100000"/>
                    </w14:srgbClr>
                  </w14:solidFill>
                </w14:textFill>
              </w:rPr>
              <w:t xml:space="preserve">　</w:t>
            </w:r>
            <w:r w:rsidR="00DB2D11" w:rsidRPr="00DB2D11">
              <w:rPr>
                <w:bCs w:val="0"/>
                <w:color w:val="000000"/>
                <w:w w:val="20"/>
                <w:szCs w:val="20"/>
                <w:shd w:val="solid" w:color="000000" w:fill="000000"/>
                <w:fitText w:val="92" w:id="-1500846067"/>
                <w14:textFill>
                  <w14:solidFill>
                    <w14:srgbClr w14:val="000000">
                      <w14:alpha w14:val="100000"/>
                    </w14:srgbClr>
                  </w14:solidFill>
                </w14:textFill>
              </w:rPr>
              <w:t>|</w:t>
            </w:r>
            <w:r w:rsidR="00DB2D11" w:rsidRPr="00DB2D11">
              <w:rPr>
                <w:rFonts w:hint="eastAsia"/>
                <w:bCs w:val="0"/>
                <w:color w:val="000000"/>
                <w:spacing w:val="5"/>
                <w:w w:val="20"/>
                <w:szCs w:val="20"/>
                <w:shd w:val="solid" w:color="000000" w:fill="000000"/>
                <w:fitText w:val="92" w:id="-1500846067"/>
                <w14:textFill>
                  <w14:solidFill>
                    <w14:srgbClr w14:val="000000">
                      <w14:alpha w14:val="100000"/>
                    </w14:srgbClr>
                  </w14:solidFill>
                </w14:textFill>
              </w:rPr>
              <w:t xml:space="preserve">　</w:t>
            </w:r>
            <w:r w:rsidR="004769F5">
              <w:rPr>
                <w:vertAlign w:val="superscript"/>
              </w:rPr>
              <w:t>3</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70392EB" w14:textId="5DF9C65F" w:rsidR="00124303" w:rsidRPr="000B52C6" w:rsidRDefault="00124303" w:rsidP="00124303">
            <w:pPr>
              <w:pStyle w:val="TableText0"/>
              <w:jc w:val="center"/>
              <w:rPr>
                <w:iCs/>
              </w:rPr>
            </w:pPr>
            <w:r w:rsidRPr="000B52C6">
              <w:rPr>
                <w:bCs w:val="0"/>
                <w:szCs w:val="20"/>
              </w:rPr>
              <w:t>-</w:t>
            </w:r>
            <w:r w:rsidR="00AC3952">
              <w:rPr>
                <w:bCs w:val="0"/>
                <w:szCs w:val="20"/>
              </w:rPr>
              <w:t xml:space="preserve"> </w:t>
            </w:r>
            <w:r w:rsidR="00DB2D11" w:rsidRPr="00DB2D11">
              <w:rPr>
                <w:rFonts w:hint="eastAsia"/>
                <w:bCs w:val="0"/>
                <w:color w:val="000000"/>
                <w:w w:val="20"/>
                <w:szCs w:val="20"/>
                <w:shd w:val="solid" w:color="000000" w:fill="000000"/>
                <w:fitText w:val="92" w:id="-1500846066"/>
                <w14:textFill>
                  <w14:solidFill>
                    <w14:srgbClr w14:val="000000">
                      <w14:alpha w14:val="100000"/>
                    </w14:srgbClr>
                  </w14:solidFill>
                </w14:textFill>
              </w:rPr>
              <w:t xml:space="preserve">　</w:t>
            </w:r>
            <w:r w:rsidR="00DB2D11" w:rsidRPr="00DB2D11">
              <w:rPr>
                <w:bCs w:val="0"/>
                <w:color w:val="000000"/>
                <w:w w:val="20"/>
                <w:szCs w:val="20"/>
                <w:shd w:val="solid" w:color="000000" w:fill="000000"/>
                <w:fitText w:val="92" w:id="-1500846066"/>
                <w14:textFill>
                  <w14:solidFill>
                    <w14:srgbClr w14:val="000000">
                      <w14:alpha w14:val="100000"/>
                    </w14:srgbClr>
                  </w14:solidFill>
                </w14:textFill>
              </w:rPr>
              <w:t>|</w:t>
            </w:r>
            <w:r w:rsidR="00DB2D11" w:rsidRPr="00DB2D11">
              <w:rPr>
                <w:rFonts w:hint="eastAsia"/>
                <w:bCs w:val="0"/>
                <w:color w:val="000000"/>
                <w:spacing w:val="5"/>
                <w:w w:val="20"/>
                <w:szCs w:val="20"/>
                <w:shd w:val="solid" w:color="000000" w:fill="000000"/>
                <w:fitText w:val="92" w:id="-1500846066"/>
                <w14:textFill>
                  <w14:solidFill>
                    <w14:srgbClr w14:val="000000">
                      <w14:alpha w14:val="100000"/>
                    </w14:srgbClr>
                  </w14:solidFill>
                </w14:textFill>
              </w:rPr>
              <w:t xml:space="preserve">　</w:t>
            </w:r>
            <w:r w:rsidR="004769F5">
              <w:rPr>
                <w:vertAlign w:val="superscript"/>
              </w:rPr>
              <w:t>3</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27FD3D" w14:textId="4B2A9AB9" w:rsidR="00124303" w:rsidRPr="000B52C6" w:rsidRDefault="00124303" w:rsidP="00124303">
            <w:pPr>
              <w:pStyle w:val="TableText0"/>
              <w:jc w:val="center"/>
              <w:rPr>
                <w:iCs/>
              </w:rPr>
            </w:pPr>
            <w:r w:rsidRPr="000B52C6">
              <w:rPr>
                <w:bCs w:val="0"/>
                <w:szCs w:val="20"/>
              </w:rPr>
              <w:t>-</w:t>
            </w:r>
            <w:r w:rsidR="00AC3952">
              <w:rPr>
                <w:bCs w:val="0"/>
                <w:szCs w:val="20"/>
              </w:rPr>
              <w:t xml:space="preserve"> </w:t>
            </w:r>
            <w:r w:rsidR="00DB2D11" w:rsidRPr="00DB2D11">
              <w:rPr>
                <w:rFonts w:hint="eastAsia"/>
                <w:bCs w:val="0"/>
                <w:color w:val="000000"/>
                <w:w w:val="20"/>
                <w:szCs w:val="20"/>
                <w:shd w:val="solid" w:color="000000" w:fill="000000"/>
                <w:fitText w:val="92" w:id="-1500846065"/>
                <w14:textFill>
                  <w14:solidFill>
                    <w14:srgbClr w14:val="000000">
                      <w14:alpha w14:val="100000"/>
                    </w14:srgbClr>
                  </w14:solidFill>
                </w14:textFill>
              </w:rPr>
              <w:t xml:space="preserve">　</w:t>
            </w:r>
            <w:r w:rsidR="00DB2D11" w:rsidRPr="00DB2D11">
              <w:rPr>
                <w:bCs w:val="0"/>
                <w:color w:val="000000"/>
                <w:w w:val="20"/>
                <w:szCs w:val="20"/>
                <w:shd w:val="solid" w:color="000000" w:fill="000000"/>
                <w:fitText w:val="92" w:id="-1500846065"/>
                <w14:textFill>
                  <w14:solidFill>
                    <w14:srgbClr w14:val="000000">
                      <w14:alpha w14:val="100000"/>
                    </w14:srgbClr>
                  </w14:solidFill>
                </w14:textFill>
              </w:rPr>
              <w:t>|</w:t>
            </w:r>
            <w:r w:rsidR="00DB2D11" w:rsidRPr="00DB2D11">
              <w:rPr>
                <w:rFonts w:hint="eastAsia"/>
                <w:bCs w:val="0"/>
                <w:color w:val="000000"/>
                <w:spacing w:val="5"/>
                <w:w w:val="20"/>
                <w:szCs w:val="20"/>
                <w:shd w:val="solid" w:color="000000" w:fill="000000"/>
                <w:fitText w:val="92" w:id="-1500846065"/>
                <w14:textFill>
                  <w14:solidFill>
                    <w14:srgbClr w14:val="000000">
                      <w14:alpha w14:val="100000"/>
                    </w14:srgbClr>
                  </w14:solidFill>
                </w14:textFill>
              </w:rPr>
              <w:t xml:space="preserve">　</w:t>
            </w:r>
            <w:r w:rsidR="004769F5">
              <w:rPr>
                <w:vertAlign w:val="superscript"/>
              </w:rPr>
              <w:t>5</w:t>
            </w:r>
          </w:p>
        </w:tc>
        <w:tc>
          <w:tcPr>
            <w:tcW w:w="6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C2AEC05" w14:textId="399435DB" w:rsidR="00124303" w:rsidRPr="000B52C6" w:rsidRDefault="00124303" w:rsidP="00124303">
            <w:pPr>
              <w:pStyle w:val="TableText0"/>
              <w:jc w:val="center"/>
              <w:rPr>
                <w:iCs/>
              </w:rPr>
            </w:pPr>
            <w:r w:rsidRPr="000B52C6">
              <w:rPr>
                <w:bCs w:val="0"/>
                <w:szCs w:val="20"/>
              </w:rPr>
              <w:t>-</w:t>
            </w:r>
            <w:r w:rsidR="00DB2D11" w:rsidRPr="00DB2D11">
              <w:rPr>
                <w:rFonts w:hint="eastAsia"/>
                <w:bCs w:val="0"/>
                <w:color w:val="000000"/>
                <w:w w:val="21"/>
                <w:szCs w:val="20"/>
                <w:shd w:val="solid" w:color="000000" w:fill="000000"/>
                <w:fitText w:val="93" w:id="-1500846064"/>
                <w14:textFill>
                  <w14:solidFill>
                    <w14:srgbClr w14:val="000000">
                      <w14:alpha w14:val="100000"/>
                    </w14:srgbClr>
                  </w14:solidFill>
                </w14:textFill>
              </w:rPr>
              <w:t xml:space="preserve">　</w:t>
            </w:r>
            <w:r w:rsidR="00DB2D11" w:rsidRPr="00DB2D11">
              <w:rPr>
                <w:bCs w:val="0"/>
                <w:color w:val="000000"/>
                <w:w w:val="21"/>
                <w:szCs w:val="20"/>
                <w:shd w:val="solid" w:color="000000" w:fill="000000"/>
                <w:fitText w:val="93" w:id="-1500846064"/>
                <w14:textFill>
                  <w14:solidFill>
                    <w14:srgbClr w14:val="000000">
                      <w14:alpha w14:val="100000"/>
                    </w14:srgbClr>
                  </w14:solidFill>
                </w14:textFill>
              </w:rPr>
              <w:t>|</w:t>
            </w:r>
            <w:r w:rsidR="00DB2D11" w:rsidRPr="00DB2D11">
              <w:rPr>
                <w:rFonts w:hint="eastAsia"/>
                <w:bCs w:val="0"/>
                <w:color w:val="000000"/>
                <w:spacing w:val="2"/>
                <w:w w:val="21"/>
                <w:szCs w:val="20"/>
                <w:shd w:val="solid" w:color="000000" w:fill="000000"/>
                <w:fitText w:val="93" w:id="-1500846064"/>
                <w14:textFill>
                  <w14:solidFill>
                    <w14:srgbClr w14:val="000000">
                      <w14:alpha w14:val="100000"/>
                    </w14:srgbClr>
                  </w14:solidFill>
                </w14:textFill>
              </w:rPr>
              <w:t xml:space="preserve">　</w:t>
            </w:r>
            <w:r w:rsidR="004769F5">
              <w:rPr>
                <w:vertAlign w:val="superscript"/>
              </w:rPr>
              <w:t>8</w:t>
            </w:r>
          </w:p>
        </w:tc>
      </w:tr>
      <w:tr w:rsidR="00877EE7" w:rsidRPr="000B52C6" w14:paraId="2186AD2B" w14:textId="77777777" w:rsidTr="00877EE7">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71F312" w14:textId="55B6312B" w:rsidR="00877EE7" w:rsidRPr="000B52C6" w:rsidRDefault="00877EE7" w:rsidP="00877EE7">
            <w:pPr>
              <w:pStyle w:val="TableText0"/>
              <w:rPr>
                <w:bCs w:val="0"/>
                <w:szCs w:val="20"/>
              </w:rPr>
            </w:pPr>
            <w:r w:rsidRPr="000B52C6">
              <w:t>Net financial implications</w:t>
            </w:r>
          </w:p>
        </w:tc>
      </w:tr>
      <w:tr w:rsidR="00877EE7" w:rsidRPr="000B52C6" w14:paraId="572364DD" w14:textId="77777777" w:rsidTr="00D27599">
        <w:tc>
          <w:tcPr>
            <w:tcW w:w="12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00B064" w14:textId="28F0BCAA" w:rsidR="00877EE7" w:rsidRPr="000B52C6" w:rsidRDefault="00877EE7" w:rsidP="00877EE7">
            <w:pPr>
              <w:pStyle w:val="TableText0"/>
              <w:rPr>
                <w:sz w:val="19"/>
                <w:szCs w:val="19"/>
              </w:rPr>
            </w:pPr>
            <w:r w:rsidRPr="000B52C6">
              <w:rPr>
                <w:sz w:val="19"/>
                <w:szCs w:val="19"/>
              </w:rPr>
              <w:t>Net cost to PBS/RPBS</w:t>
            </w:r>
            <w:r w:rsidR="00AC3952">
              <w:rPr>
                <w:sz w:val="19"/>
                <w:szCs w:val="19"/>
              </w:rPr>
              <w:t xml:space="preserve"> ($)</w:t>
            </w:r>
          </w:p>
        </w:tc>
        <w:tc>
          <w:tcPr>
            <w:tcW w:w="63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14:paraId="1B7BA833" w14:textId="0A40D810" w:rsidR="00877EE7" w:rsidRPr="00D27599" w:rsidRDefault="00DB2D11" w:rsidP="00877EE7">
            <w:pPr>
              <w:pStyle w:val="TableText0"/>
              <w:jc w:val="center"/>
              <w:rPr>
                <w:highlight w:val="yellow"/>
              </w:rPr>
            </w:pPr>
            <w:r w:rsidRPr="00DB2D11">
              <w:rPr>
                <w:rFonts w:hint="eastAsia"/>
                <w:iCs/>
                <w:color w:val="000000"/>
                <w:w w:val="15"/>
                <w:shd w:val="solid" w:color="000000" w:fill="000000"/>
                <w:fitText w:val="39" w:id="-1500846080"/>
                <w14:textFill>
                  <w14:solidFill>
                    <w14:srgbClr w14:val="000000">
                      <w14:alpha w14:val="100000"/>
                    </w14:srgbClr>
                  </w14:solidFill>
                </w14:textFill>
              </w:rPr>
              <w:t xml:space="preserve">　</w:t>
            </w:r>
            <w:r w:rsidRPr="00DB2D11">
              <w:rPr>
                <w:iCs/>
                <w:color w:val="000000"/>
                <w:w w:val="15"/>
                <w:shd w:val="solid" w:color="000000" w:fill="000000"/>
                <w:fitText w:val="39" w:id="-1500846080"/>
                <w14:textFill>
                  <w14:solidFill>
                    <w14:srgbClr w14:val="000000">
                      <w14:alpha w14:val="100000"/>
                    </w14:srgbClr>
                  </w14:solidFill>
                </w14:textFill>
              </w:rPr>
              <w:t>|</w:t>
            </w:r>
            <w:r w:rsidRPr="00DB2D11">
              <w:rPr>
                <w:rFonts w:hint="eastAsia"/>
                <w:iCs/>
                <w:color w:val="000000"/>
                <w:spacing w:val="-26"/>
                <w:w w:val="15"/>
                <w:shd w:val="solid" w:color="000000" w:fill="000000"/>
                <w:fitText w:val="39" w:id="-1500846080"/>
                <w14:textFill>
                  <w14:solidFill>
                    <w14:srgbClr w14:val="000000">
                      <w14:alpha w14:val="100000"/>
                    </w14:srgbClr>
                  </w14:solidFill>
                </w14:textFill>
              </w:rPr>
              <w:t xml:space="preserve">　</w:t>
            </w:r>
            <w:r w:rsidR="004769F5">
              <w:rPr>
                <w:vertAlign w:val="superscript"/>
              </w:rPr>
              <w:t>4</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14:paraId="71F06505" w14:textId="59736A98" w:rsidR="00877EE7" w:rsidRPr="00D27599" w:rsidRDefault="00DB2D11" w:rsidP="00877EE7">
            <w:pPr>
              <w:pStyle w:val="TableText0"/>
              <w:jc w:val="center"/>
              <w:rPr>
                <w:highlight w:val="yellow"/>
              </w:rPr>
            </w:pPr>
            <w:r w:rsidRPr="00DB2D11">
              <w:rPr>
                <w:rFonts w:hint="eastAsia"/>
                <w:iCs/>
                <w:color w:val="000000"/>
                <w:w w:val="15"/>
                <w:shd w:val="solid" w:color="000000" w:fill="000000"/>
                <w:fitText w:val="38" w:id="-1500846079"/>
                <w14:textFill>
                  <w14:solidFill>
                    <w14:srgbClr w14:val="000000">
                      <w14:alpha w14:val="100000"/>
                    </w14:srgbClr>
                  </w14:solidFill>
                </w14:textFill>
              </w:rPr>
              <w:t xml:space="preserve">　</w:t>
            </w:r>
            <w:r w:rsidRPr="00DB2D11">
              <w:rPr>
                <w:iCs/>
                <w:color w:val="000000"/>
                <w:w w:val="15"/>
                <w:shd w:val="solid" w:color="000000" w:fill="000000"/>
                <w:fitText w:val="38" w:id="-1500846079"/>
                <w14:textFill>
                  <w14:solidFill>
                    <w14:srgbClr w14:val="000000">
                      <w14:alpha w14:val="100000"/>
                    </w14:srgbClr>
                  </w14:solidFill>
                </w14:textFill>
              </w:rPr>
              <w:t>|</w:t>
            </w:r>
            <w:r w:rsidRPr="00DB2D11">
              <w:rPr>
                <w:rFonts w:hint="eastAsia"/>
                <w:iCs/>
                <w:color w:val="000000"/>
                <w:spacing w:val="-27"/>
                <w:w w:val="15"/>
                <w:shd w:val="solid" w:color="000000" w:fill="000000"/>
                <w:fitText w:val="38" w:id="-1500846079"/>
                <w14:textFill>
                  <w14:solidFill>
                    <w14:srgbClr w14:val="000000">
                      <w14:alpha w14:val="100000"/>
                    </w14:srgbClr>
                  </w14:solidFill>
                </w14:textFill>
              </w:rPr>
              <w:t xml:space="preserve">　</w:t>
            </w:r>
            <w:r w:rsidR="004769F5">
              <w:rPr>
                <w:vertAlign w:val="superscript"/>
              </w:rPr>
              <w:t>4</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14:paraId="2E606F5F" w14:textId="50353AF2" w:rsidR="00877EE7" w:rsidRPr="00D27599" w:rsidRDefault="00DB2D11" w:rsidP="00877EE7">
            <w:pPr>
              <w:pStyle w:val="TableText0"/>
              <w:jc w:val="center"/>
              <w:rPr>
                <w:highlight w:val="yellow"/>
              </w:rPr>
            </w:pPr>
            <w:r w:rsidRPr="00DB2D11">
              <w:rPr>
                <w:rFonts w:hint="eastAsia"/>
                <w:iCs/>
                <w:color w:val="000000"/>
                <w:w w:val="15"/>
                <w:shd w:val="solid" w:color="000000" w:fill="000000"/>
                <w:fitText w:val="38" w:id="-1500846078"/>
                <w14:textFill>
                  <w14:solidFill>
                    <w14:srgbClr w14:val="000000">
                      <w14:alpha w14:val="100000"/>
                    </w14:srgbClr>
                  </w14:solidFill>
                </w14:textFill>
              </w:rPr>
              <w:t xml:space="preserve">　</w:t>
            </w:r>
            <w:r w:rsidRPr="00DB2D11">
              <w:rPr>
                <w:iCs/>
                <w:color w:val="000000"/>
                <w:w w:val="15"/>
                <w:shd w:val="solid" w:color="000000" w:fill="000000"/>
                <w:fitText w:val="38" w:id="-1500846078"/>
                <w14:textFill>
                  <w14:solidFill>
                    <w14:srgbClr w14:val="000000">
                      <w14:alpha w14:val="100000"/>
                    </w14:srgbClr>
                  </w14:solidFill>
                </w14:textFill>
              </w:rPr>
              <w:t>|</w:t>
            </w:r>
            <w:r w:rsidRPr="00DB2D11">
              <w:rPr>
                <w:rFonts w:hint="eastAsia"/>
                <w:iCs/>
                <w:color w:val="000000"/>
                <w:spacing w:val="-27"/>
                <w:w w:val="15"/>
                <w:shd w:val="solid" w:color="000000" w:fill="000000"/>
                <w:fitText w:val="38" w:id="-1500846078"/>
                <w14:textFill>
                  <w14:solidFill>
                    <w14:srgbClr w14:val="000000">
                      <w14:alpha w14:val="100000"/>
                    </w14:srgbClr>
                  </w14:solidFill>
                </w14:textFill>
              </w:rPr>
              <w:t xml:space="preserve">　</w:t>
            </w:r>
            <w:r w:rsidR="004769F5">
              <w:rPr>
                <w:vertAlign w:val="superscript"/>
              </w:rPr>
              <w:t>4</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14:paraId="449D6169" w14:textId="799D95C0" w:rsidR="00877EE7" w:rsidRPr="00D27599" w:rsidRDefault="00DB2D11" w:rsidP="00877EE7">
            <w:pPr>
              <w:pStyle w:val="TableText0"/>
              <w:jc w:val="center"/>
              <w:rPr>
                <w:highlight w:val="yellow"/>
              </w:rPr>
            </w:pPr>
            <w:r w:rsidRPr="00DB2D11">
              <w:rPr>
                <w:rFonts w:hint="eastAsia"/>
                <w:iCs/>
                <w:color w:val="000000"/>
                <w:w w:val="15"/>
                <w:shd w:val="solid" w:color="000000" w:fill="000000"/>
                <w:fitText w:val="38" w:id="-1500846077"/>
                <w14:textFill>
                  <w14:solidFill>
                    <w14:srgbClr w14:val="000000">
                      <w14:alpha w14:val="100000"/>
                    </w14:srgbClr>
                  </w14:solidFill>
                </w14:textFill>
              </w:rPr>
              <w:t xml:space="preserve">　</w:t>
            </w:r>
            <w:r w:rsidRPr="00DB2D11">
              <w:rPr>
                <w:iCs/>
                <w:color w:val="000000"/>
                <w:w w:val="15"/>
                <w:shd w:val="solid" w:color="000000" w:fill="000000"/>
                <w:fitText w:val="38" w:id="-1500846077"/>
                <w14:textFill>
                  <w14:solidFill>
                    <w14:srgbClr w14:val="000000">
                      <w14:alpha w14:val="100000"/>
                    </w14:srgbClr>
                  </w14:solidFill>
                </w14:textFill>
              </w:rPr>
              <w:t>|</w:t>
            </w:r>
            <w:r w:rsidRPr="00DB2D11">
              <w:rPr>
                <w:rFonts w:hint="eastAsia"/>
                <w:iCs/>
                <w:color w:val="000000"/>
                <w:spacing w:val="-27"/>
                <w:w w:val="15"/>
                <w:shd w:val="solid" w:color="000000" w:fill="000000"/>
                <w:fitText w:val="38" w:id="-1500846077"/>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14:paraId="64AEC113" w14:textId="7AE2C2F4" w:rsidR="00877EE7" w:rsidRPr="000B52C6" w:rsidRDefault="00877EE7" w:rsidP="00877EE7">
            <w:pPr>
              <w:pStyle w:val="TableText0"/>
              <w:jc w:val="center"/>
            </w:pPr>
            <w:r w:rsidRPr="000B52C6">
              <w:rPr>
                <w:iCs/>
              </w:rPr>
              <w:t>-</w:t>
            </w:r>
            <w:r w:rsidR="00AC3952">
              <w:rPr>
                <w:iCs/>
              </w:rPr>
              <w:t xml:space="preserve"> </w:t>
            </w:r>
            <w:r w:rsidR="00DB2D11" w:rsidRPr="00DB2D11">
              <w:rPr>
                <w:rFonts w:hint="eastAsia"/>
                <w:iCs/>
                <w:color w:val="000000"/>
                <w:w w:val="20"/>
                <w:shd w:val="solid" w:color="000000" w:fill="000000"/>
                <w:fitText w:val="92" w:id="-1500846076"/>
                <w14:textFill>
                  <w14:solidFill>
                    <w14:srgbClr w14:val="000000">
                      <w14:alpha w14:val="100000"/>
                    </w14:srgbClr>
                  </w14:solidFill>
                </w14:textFill>
              </w:rPr>
              <w:t xml:space="preserve">　</w:t>
            </w:r>
            <w:r w:rsidR="00DB2D11" w:rsidRPr="00DB2D11">
              <w:rPr>
                <w:iCs/>
                <w:color w:val="000000"/>
                <w:w w:val="20"/>
                <w:shd w:val="solid" w:color="000000" w:fill="000000"/>
                <w:fitText w:val="92" w:id="-1500846076"/>
                <w14:textFill>
                  <w14:solidFill>
                    <w14:srgbClr w14:val="000000">
                      <w14:alpha w14:val="100000"/>
                    </w14:srgbClr>
                  </w14:solidFill>
                </w14:textFill>
              </w:rPr>
              <w:t>|</w:t>
            </w:r>
            <w:r w:rsidR="00DB2D11" w:rsidRPr="00DB2D11">
              <w:rPr>
                <w:rFonts w:hint="eastAsia"/>
                <w:iCs/>
                <w:color w:val="000000"/>
                <w:spacing w:val="5"/>
                <w:w w:val="20"/>
                <w:shd w:val="solid" w:color="000000" w:fill="000000"/>
                <w:fitText w:val="92" w:id="-1500846076"/>
                <w14:textFill>
                  <w14:solidFill>
                    <w14:srgbClr w14:val="000000">
                      <w14:alpha w14:val="100000"/>
                    </w14:srgbClr>
                  </w14:solidFill>
                </w14:textFill>
              </w:rPr>
              <w:t xml:space="preserve">　</w:t>
            </w:r>
            <w:r w:rsidR="004769F5">
              <w:rPr>
                <w:vertAlign w:val="superscript"/>
              </w:rPr>
              <w:t>2</w:t>
            </w:r>
          </w:p>
        </w:tc>
        <w:tc>
          <w:tcPr>
            <w:tcW w:w="6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hideMark/>
          </w:tcPr>
          <w:p w14:paraId="1F31DE21" w14:textId="398F8C7B" w:rsidR="00877EE7" w:rsidRPr="00D27599" w:rsidRDefault="00DB2D11" w:rsidP="00877EE7">
            <w:pPr>
              <w:pStyle w:val="TableText0"/>
              <w:jc w:val="center"/>
              <w:rPr>
                <w:highlight w:val="yellow"/>
              </w:rPr>
            </w:pPr>
            <w:r w:rsidRPr="00DB2D11">
              <w:rPr>
                <w:rFonts w:hint="eastAsia"/>
                <w:iCs/>
                <w:color w:val="000000"/>
                <w:w w:val="15"/>
                <w:shd w:val="solid" w:color="000000" w:fill="000000"/>
                <w:fitText w:val="69" w:id="-1500846075"/>
                <w14:textFill>
                  <w14:solidFill>
                    <w14:srgbClr w14:val="000000">
                      <w14:alpha w14:val="100000"/>
                    </w14:srgbClr>
                  </w14:solidFill>
                </w14:textFill>
              </w:rPr>
              <w:t xml:space="preserve">　</w:t>
            </w:r>
            <w:r w:rsidRPr="00DB2D11">
              <w:rPr>
                <w:iCs/>
                <w:color w:val="000000"/>
                <w:w w:val="15"/>
                <w:shd w:val="solid" w:color="000000" w:fill="000000"/>
                <w:fitText w:val="69" w:id="-1500846075"/>
                <w14:textFill>
                  <w14:solidFill>
                    <w14:srgbClr w14:val="000000">
                      <w14:alpha w14:val="100000"/>
                    </w14:srgbClr>
                  </w14:solidFill>
                </w14:textFill>
              </w:rPr>
              <w:t>|</w:t>
            </w:r>
            <w:r w:rsidRPr="00DB2D11">
              <w:rPr>
                <w:rFonts w:hint="eastAsia"/>
                <w:iCs/>
                <w:color w:val="000000"/>
                <w:spacing w:val="3"/>
                <w:w w:val="15"/>
                <w:shd w:val="solid" w:color="000000" w:fill="000000"/>
                <w:fitText w:val="69" w:id="-1500846075"/>
                <w14:textFill>
                  <w14:solidFill>
                    <w14:srgbClr w14:val="000000">
                      <w14:alpha w14:val="100000"/>
                    </w14:srgbClr>
                  </w14:solidFill>
                </w14:textFill>
              </w:rPr>
              <w:t xml:space="preserve">　</w:t>
            </w:r>
            <w:r w:rsidR="004769F5">
              <w:rPr>
                <w:vertAlign w:val="superscript"/>
              </w:rPr>
              <w:t>2</w:t>
            </w:r>
          </w:p>
        </w:tc>
      </w:tr>
      <w:tr w:rsidR="00877EE7" w:rsidRPr="000B52C6" w14:paraId="196EB54F" w14:textId="77777777" w:rsidTr="00D27599">
        <w:tc>
          <w:tcPr>
            <w:tcW w:w="12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E15A11" w14:textId="470CFD7C" w:rsidR="00877EE7" w:rsidRPr="000B52C6" w:rsidRDefault="00877EE7" w:rsidP="00877EE7">
            <w:pPr>
              <w:pStyle w:val="TableText0"/>
              <w:rPr>
                <w:sz w:val="19"/>
                <w:szCs w:val="19"/>
              </w:rPr>
            </w:pPr>
            <w:r w:rsidRPr="000B52C6">
              <w:rPr>
                <w:sz w:val="19"/>
                <w:szCs w:val="19"/>
              </w:rPr>
              <w:t>Net cost to PBS/RPBS/MBS</w:t>
            </w:r>
            <w:r w:rsidR="00AC3952">
              <w:rPr>
                <w:sz w:val="19"/>
                <w:szCs w:val="19"/>
              </w:rPr>
              <w:t xml:space="preserve"> ($)</w:t>
            </w:r>
          </w:p>
        </w:tc>
        <w:tc>
          <w:tcPr>
            <w:tcW w:w="63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7748E13D" w14:textId="4C9F83FB" w:rsidR="00877EE7" w:rsidRPr="00D27599" w:rsidRDefault="00DB2D11" w:rsidP="00877EE7">
            <w:pPr>
              <w:pStyle w:val="TableText0"/>
              <w:jc w:val="center"/>
              <w:rPr>
                <w:iCs/>
                <w:highlight w:val="yellow"/>
              </w:rPr>
            </w:pPr>
            <w:r w:rsidRPr="00DB2D11">
              <w:rPr>
                <w:rFonts w:hint="eastAsia"/>
                <w:bCs w:val="0"/>
                <w:iCs/>
                <w:color w:val="000000"/>
                <w:w w:val="15"/>
                <w:shd w:val="solid" w:color="000000" w:fill="000000"/>
                <w:fitText w:val="39" w:id="-1500846074"/>
                <w14:textFill>
                  <w14:solidFill>
                    <w14:srgbClr w14:val="000000">
                      <w14:alpha w14:val="100000"/>
                    </w14:srgbClr>
                  </w14:solidFill>
                </w14:textFill>
              </w:rPr>
              <w:t xml:space="preserve">　</w:t>
            </w:r>
            <w:r w:rsidRPr="00DB2D11">
              <w:rPr>
                <w:bCs w:val="0"/>
                <w:iCs/>
                <w:color w:val="000000"/>
                <w:w w:val="15"/>
                <w:shd w:val="solid" w:color="000000" w:fill="000000"/>
                <w:fitText w:val="39" w:id="-1500846074"/>
                <w14:textFill>
                  <w14:solidFill>
                    <w14:srgbClr w14:val="000000">
                      <w14:alpha w14:val="100000"/>
                    </w14:srgbClr>
                  </w14:solidFill>
                </w14:textFill>
              </w:rPr>
              <w:t>|</w:t>
            </w:r>
            <w:r w:rsidRPr="00DB2D11">
              <w:rPr>
                <w:rFonts w:hint="eastAsia"/>
                <w:bCs w:val="0"/>
                <w:iCs/>
                <w:color w:val="000000"/>
                <w:spacing w:val="-26"/>
                <w:w w:val="15"/>
                <w:shd w:val="solid" w:color="000000" w:fill="000000"/>
                <w:fitText w:val="39" w:id="-1500846074"/>
                <w14:textFill>
                  <w14:solidFill>
                    <w14:srgbClr w14:val="000000">
                      <w14:alpha w14:val="100000"/>
                    </w14:srgbClr>
                  </w14:solidFill>
                </w14:textFill>
              </w:rPr>
              <w:t xml:space="preserve">　</w:t>
            </w:r>
            <w:r w:rsidR="004769F5">
              <w:rPr>
                <w:vertAlign w:val="superscript"/>
              </w:rPr>
              <w:t>4</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41F5E1AA" w14:textId="6F0AC6CE" w:rsidR="00877EE7" w:rsidRPr="00D27599" w:rsidRDefault="00DB2D11" w:rsidP="00877EE7">
            <w:pPr>
              <w:pStyle w:val="TableText0"/>
              <w:jc w:val="center"/>
              <w:rPr>
                <w:iCs/>
                <w:highlight w:val="yellow"/>
              </w:rPr>
            </w:pPr>
            <w:r w:rsidRPr="00DB2D11">
              <w:rPr>
                <w:rFonts w:hint="eastAsia"/>
                <w:bCs w:val="0"/>
                <w:iCs/>
                <w:color w:val="000000"/>
                <w:w w:val="15"/>
                <w:shd w:val="solid" w:color="000000" w:fill="000000"/>
                <w:fitText w:val="38" w:id="-1500846073"/>
                <w14:textFill>
                  <w14:solidFill>
                    <w14:srgbClr w14:val="000000">
                      <w14:alpha w14:val="100000"/>
                    </w14:srgbClr>
                  </w14:solidFill>
                </w14:textFill>
              </w:rPr>
              <w:t xml:space="preserve">　</w:t>
            </w:r>
            <w:r w:rsidRPr="00DB2D11">
              <w:rPr>
                <w:bCs w:val="0"/>
                <w:iCs/>
                <w:color w:val="000000"/>
                <w:w w:val="15"/>
                <w:shd w:val="solid" w:color="000000" w:fill="000000"/>
                <w:fitText w:val="38" w:id="-1500846073"/>
                <w14:textFill>
                  <w14:solidFill>
                    <w14:srgbClr w14:val="000000">
                      <w14:alpha w14:val="100000"/>
                    </w14:srgbClr>
                  </w14:solidFill>
                </w14:textFill>
              </w:rPr>
              <w:t>|</w:t>
            </w:r>
            <w:r w:rsidRPr="00DB2D11">
              <w:rPr>
                <w:rFonts w:hint="eastAsia"/>
                <w:bCs w:val="0"/>
                <w:iCs/>
                <w:color w:val="000000"/>
                <w:spacing w:val="-27"/>
                <w:w w:val="15"/>
                <w:shd w:val="solid" w:color="000000" w:fill="000000"/>
                <w:fitText w:val="38" w:id="-1500846073"/>
                <w14:textFill>
                  <w14:solidFill>
                    <w14:srgbClr w14:val="000000">
                      <w14:alpha w14:val="100000"/>
                    </w14:srgbClr>
                  </w14:solidFill>
                </w14:textFill>
              </w:rPr>
              <w:t xml:space="preserve">　</w:t>
            </w:r>
            <w:r w:rsidR="004769F5">
              <w:rPr>
                <w:vertAlign w:val="superscript"/>
              </w:rPr>
              <w:t>4</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10DEFE05" w14:textId="246D2DFF" w:rsidR="00877EE7" w:rsidRPr="00D27599" w:rsidRDefault="00DB2D11" w:rsidP="00877EE7">
            <w:pPr>
              <w:pStyle w:val="TableText0"/>
              <w:jc w:val="center"/>
              <w:rPr>
                <w:iCs/>
                <w:highlight w:val="yellow"/>
              </w:rPr>
            </w:pPr>
            <w:r w:rsidRPr="00DB2D11">
              <w:rPr>
                <w:rFonts w:hint="eastAsia"/>
                <w:bCs w:val="0"/>
                <w:iCs/>
                <w:color w:val="000000"/>
                <w:w w:val="15"/>
                <w:shd w:val="solid" w:color="000000" w:fill="000000"/>
                <w:fitText w:val="38" w:id="-1500846072"/>
                <w14:textFill>
                  <w14:solidFill>
                    <w14:srgbClr w14:val="000000">
                      <w14:alpha w14:val="100000"/>
                    </w14:srgbClr>
                  </w14:solidFill>
                </w14:textFill>
              </w:rPr>
              <w:t xml:space="preserve">　</w:t>
            </w:r>
            <w:r w:rsidRPr="00DB2D11">
              <w:rPr>
                <w:bCs w:val="0"/>
                <w:iCs/>
                <w:color w:val="000000"/>
                <w:w w:val="15"/>
                <w:shd w:val="solid" w:color="000000" w:fill="000000"/>
                <w:fitText w:val="38" w:id="-1500846072"/>
                <w14:textFill>
                  <w14:solidFill>
                    <w14:srgbClr w14:val="000000">
                      <w14:alpha w14:val="100000"/>
                    </w14:srgbClr>
                  </w14:solidFill>
                </w14:textFill>
              </w:rPr>
              <w:t>|</w:t>
            </w:r>
            <w:r w:rsidRPr="00DB2D11">
              <w:rPr>
                <w:rFonts w:hint="eastAsia"/>
                <w:bCs w:val="0"/>
                <w:iCs/>
                <w:color w:val="000000"/>
                <w:spacing w:val="-27"/>
                <w:w w:val="15"/>
                <w:shd w:val="solid" w:color="000000" w:fill="000000"/>
                <w:fitText w:val="38" w:id="-1500846072"/>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55C3AF53" w14:textId="202A4268" w:rsidR="00877EE7" w:rsidRPr="00D27599" w:rsidRDefault="00DB2D11" w:rsidP="00877EE7">
            <w:pPr>
              <w:pStyle w:val="TableText0"/>
              <w:jc w:val="center"/>
              <w:rPr>
                <w:iCs/>
                <w:highlight w:val="yellow"/>
              </w:rPr>
            </w:pPr>
            <w:r w:rsidRPr="00DB2D11">
              <w:rPr>
                <w:rFonts w:hint="eastAsia"/>
                <w:bCs w:val="0"/>
                <w:iCs/>
                <w:color w:val="000000"/>
                <w:w w:val="15"/>
                <w:shd w:val="solid" w:color="000000" w:fill="000000"/>
                <w:fitText w:val="38" w:id="-1500846071"/>
                <w14:textFill>
                  <w14:solidFill>
                    <w14:srgbClr w14:val="000000">
                      <w14:alpha w14:val="100000"/>
                    </w14:srgbClr>
                  </w14:solidFill>
                </w14:textFill>
              </w:rPr>
              <w:t xml:space="preserve">　</w:t>
            </w:r>
            <w:r w:rsidRPr="00DB2D11">
              <w:rPr>
                <w:bCs w:val="0"/>
                <w:iCs/>
                <w:color w:val="000000"/>
                <w:w w:val="15"/>
                <w:shd w:val="solid" w:color="000000" w:fill="000000"/>
                <w:fitText w:val="38" w:id="-1500846071"/>
                <w14:textFill>
                  <w14:solidFill>
                    <w14:srgbClr w14:val="000000">
                      <w14:alpha w14:val="100000"/>
                    </w14:srgbClr>
                  </w14:solidFill>
                </w14:textFill>
              </w:rPr>
              <w:t>|</w:t>
            </w:r>
            <w:r w:rsidRPr="00DB2D11">
              <w:rPr>
                <w:rFonts w:hint="eastAsia"/>
                <w:bCs w:val="0"/>
                <w:iCs/>
                <w:color w:val="000000"/>
                <w:spacing w:val="-27"/>
                <w:w w:val="15"/>
                <w:shd w:val="solid" w:color="000000" w:fill="000000"/>
                <w:fitText w:val="38" w:id="-1500846071"/>
                <w14:textFill>
                  <w14:solidFill>
                    <w14:srgbClr w14:val="000000">
                      <w14:alpha w14:val="100000"/>
                    </w14:srgbClr>
                  </w14:solidFill>
                </w14:textFill>
              </w:rPr>
              <w:t xml:space="preserve">　</w:t>
            </w:r>
            <w:r w:rsidR="004769F5">
              <w:rPr>
                <w:vertAlign w:val="superscript"/>
              </w:rPr>
              <w:t>2</w:t>
            </w:r>
          </w:p>
        </w:tc>
        <w:tc>
          <w:tcPr>
            <w:tcW w:w="62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4F29F51E" w14:textId="41585A28" w:rsidR="00877EE7" w:rsidRPr="000B52C6" w:rsidRDefault="00877EE7" w:rsidP="00877EE7">
            <w:pPr>
              <w:pStyle w:val="TableText0"/>
              <w:jc w:val="center"/>
              <w:rPr>
                <w:iCs/>
              </w:rPr>
            </w:pPr>
            <w:r w:rsidRPr="000B52C6">
              <w:rPr>
                <w:bCs w:val="0"/>
                <w:iCs/>
              </w:rPr>
              <w:t>-</w:t>
            </w:r>
            <w:r w:rsidR="00AC3952">
              <w:rPr>
                <w:bCs w:val="0"/>
                <w:iCs/>
              </w:rPr>
              <w:t xml:space="preserve"> </w:t>
            </w:r>
            <w:r w:rsidR="00DB2D11" w:rsidRPr="00DB2D11">
              <w:rPr>
                <w:rFonts w:hint="eastAsia"/>
                <w:bCs w:val="0"/>
                <w:iCs/>
                <w:color w:val="000000"/>
                <w:w w:val="20"/>
                <w:shd w:val="solid" w:color="000000" w:fill="000000"/>
                <w:fitText w:val="92" w:id="-1500846070"/>
                <w14:textFill>
                  <w14:solidFill>
                    <w14:srgbClr w14:val="000000">
                      <w14:alpha w14:val="100000"/>
                    </w14:srgbClr>
                  </w14:solidFill>
                </w14:textFill>
              </w:rPr>
              <w:t xml:space="preserve">　</w:t>
            </w:r>
            <w:r w:rsidR="00DB2D11" w:rsidRPr="00DB2D11">
              <w:rPr>
                <w:bCs w:val="0"/>
                <w:iCs/>
                <w:color w:val="000000"/>
                <w:w w:val="20"/>
                <w:shd w:val="solid" w:color="000000" w:fill="000000"/>
                <w:fitText w:val="92" w:id="-1500846070"/>
                <w14:textFill>
                  <w14:solidFill>
                    <w14:srgbClr w14:val="000000">
                      <w14:alpha w14:val="100000"/>
                    </w14:srgbClr>
                  </w14:solidFill>
                </w14:textFill>
              </w:rPr>
              <w:t>|</w:t>
            </w:r>
            <w:r w:rsidR="00DB2D11" w:rsidRPr="00DB2D11">
              <w:rPr>
                <w:rFonts w:hint="eastAsia"/>
                <w:bCs w:val="0"/>
                <w:iCs/>
                <w:color w:val="000000"/>
                <w:spacing w:val="5"/>
                <w:w w:val="20"/>
                <w:shd w:val="solid" w:color="000000" w:fill="000000"/>
                <w:fitText w:val="92" w:id="-1500846070"/>
                <w14:textFill>
                  <w14:solidFill>
                    <w14:srgbClr w14:val="000000">
                      <w14:alpha w14:val="100000"/>
                    </w14:srgbClr>
                  </w14:solidFill>
                </w14:textFill>
              </w:rPr>
              <w:t xml:space="preserve">　</w:t>
            </w:r>
            <w:r w:rsidR="004769F5">
              <w:rPr>
                <w:vertAlign w:val="superscript"/>
              </w:rPr>
              <w:t>2</w:t>
            </w:r>
          </w:p>
        </w:tc>
        <w:tc>
          <w:tcPr>
            <w:tcW w:w="60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17AD644E" w14:textId="3DF558C1" w:rsidR="00877EE7" w:rsidRPr="00D27599" w:rsidRDefault="00DB2D11" w:rsidP="00877EE7">
            <w:pPr>
              <w:pStyle w:val="TableText0"/>
              <w:jc w:val="center"/>
              <w:rPr>
                <w:iCs/>
                <w:highlight w:val="yellow"/>
              </w:rPr>
            </w:pPr>
            <w:r w:rsidRPr="00DB2D11">
              <w:rPr>
                <w:rFonts w:hint="eastAsia"/>
                <w:bCs w:val="0"/>
                <w:iCs/>
                <w:color w:val="000000"/>
                <w:w w:val="15"/>
                <w:shd w:val="solid" w:color="000000" w:fill="000000"/>
                <w:fitText w:val="69" w:id="-1500846069"/>
                <w14:textFill>
                  <w14:solidFill>
                    <w14:srgbClr w14:val="000000">
                      <w14:alpha w14:val="100000"/>
                    </w14:srgbClr>
                  </w14:solidFill>
                </w14:textFill>
              </w:rPr>
              <w:t xml:space="preserve">　</w:t>
            </w:r>
            <w:r w:rsidRPr="00DB2D11">
              <w:rPr>
                <w:bCs w:val="0"/>
                <w:iCs/>
                <w:color w:val="000000"/>
                <w:w w:val="15"/>
                <w:shd w:val="solid" w:color="000000" w:fill="000000"/>
                <w:fitText w:val="69" w:id="-1500846069"/>
                <w14:textFill>
                  <w14:solidFill>
                    <w14:srgbClr w14:val="000000">
                      <w14:alpha w14:val="100000"/>
                    </w14:srgbClr>
                  </w14:solidFill>
                </w14:textFill>
              </w:rPr>
              <w:t>|</w:t>
            </w:r>
            <w:r w:rsidRPr="00DB2D11">
              <w:rPr>
                <w:rFonts w:hint="eastAsia"/>
                <w:bCs w:val="0"/>
                <w:iCs/>
                <w:color w:val="000000"/>
                <w:spacing w:val="3"/>
                <w:w w:val="15"/>
                <w:shd w:val="solid" w:color="000000" w:fill="000000"/>
                <w:fitText w:val="69" w:id="-1500846069"/>
                <w14:textFill>
                  <w14:solidFill>
                    <w14:srgbClr w14:val="000000">
                      <w14:alpha w14:val="100000"/>
                    </w14:srgbClr>
                  </w14:solidFill>
                </w14:textFill>
              </w:rPr>
              <w:t xml:space="preserve">　</w:t>
            </w:r>
            <w:r w:rsidR="004769F5">
              <w:rPr>
                <w:vertAlign w:val="superscript"/>
              </w:rPr>
              <w:t>2</w:t>
            </w:r>
          </w:p>
        </w:tc>
      </w:tr>
    </w:tbl>
    <w:p w14:paraId="49FBDDDA" w14:textId="77777777" w:rsidR="00976BE2" w:rsidRPr="000B52C6" w:rsidRDefault="00976BE2" w:rsidP="00976BE2">
      <w:pPr>
        <w:pStyle w:val="TableFigureFooter"/>
      </w:pPr>
      <w:r w:rsidRPr="000B52C6">
        <w:t>Source: Table 4-13, p175, Tables 4-17 and 4-18, p180 and Workbook ‘RRMM Section 4_November 2021’, work sheet ‘5. Impact - net’, of the resubmission.</w:t>
      </w:r>
    </w:p>
    <w:p w14:paraId="5E7AD108" w14:textId="77777777" w:rsidR="00976BE2" w:rsidRPr="000B52C6" w:rsidRDefault="00976BE2" w:rsidP="00976BE2">
      <w:pPr>
        <w:pStyle w:val="TableFigureFooter"/>
      </w:pPr>
      <w:r w:rsidRPr="000B52C6">
        <w:t>Abbreviations: PBS = Pharmaceutical Benefit Scheme; MBS = Medical Benefit Scheme; RPBS = Repatriation Pharmaceutical Benefit Scheme</w:t>
      </w:r>
    </w:p>
    <w:p w14:paraId="28B1FBC5" w14:textId="77777777" w:rsidR="00976BE2" w:rsidRPr="000B52C6" w:rsidRDefault="00976BE2" w:rsidP="00976BE2">
      <w:pPr>
        <w:pStyle w:val="TableFigureFooter"/>
      </w:pPr>
      <w:r w:rsidRPr="000B52C6">
        <w:t xml:space="preserve">Note: </w:t>
      </w:r>
      <w:proofErr w:type="gramStart"/>
      <w:r w:rsidRPr="000B52C6">
        <w:rPr>
          <w:vertAlign w:val="superscript"/>
        </w:rPr>
        <w:t>a</w:t>
      </w:r>
      <w:proofErr w:type="gramEnd"/>
      <w:r w:rsidRPr="000B52C6">
        <w:t xml:space="preserve"> Assuming number of scripts per year as estimated by the submission.</w:t>
      </w:r>
    </w:p>
    <w:p w14:paraId="4F148291" w14:textId="77777777" w:rsidR="00976BE2" w:rsidRPr="000B52C6" w:rsidRDefault="00976BE2" w:rsidP="00976BE2">
      <w:pPr>
        <w:pStyle w:val="TableFigureFooter"/>
      </w:pPr>
      <w:r w:rsidRPr="000B52C6">
        <w:t xml:space="preserve">          </w:t>
      </w:r>
      <w:r w:rsidRPr="000B52C6">
        <w:rPr>
          <w:vertAlign w:val="superscript"/>
        </w:rPr>
        <w:t xml:space="preserve">b </w:t>
      </w:r>
      <w:r w:rsidRPr="000B52C6">
        <w:rPr>
          <w:szCs w:val="18"/>
        </w:rPr>
        <w:t>The July 2021 submission base case assumed 100% patients received the twice-weekly dosing</w:t>
      </w:r>
    </w:p>
    <w:p w14:paraId="60E1D1E3" w14:textId="77777777" w:rsidR="00976BE2" w:rsidRPr="000B52C6" w:rsidRDefault="00976BE2" w:rsidP="00D27599">
      <w:pPr>
        <w:pStyle w:val="TableFigureFooter"/>
        <w:spacing w:after="0"/>
      </w:pPr>
      <w:r w:rsidRPr="000B52C6">
        <w:t>Italicised compiled during the current evaluation and the previous evaluation for the July 2021 submission.</w:t>
      </w:r>
    </w:p>
    <w:p w14:paraId="31340CE0" w14:textId="77777777" w:rsidR="00AC3952" w:rsidRPr="009A6D58" w:rsidRDefault="00AC3952" w:rsidP="00AC3952">
      <w:pPr>
        <w:rPr>
          <w:rFonts w:ascii="Arial Narrow" w:hAnsi="Arial Narrow"/>
          <w:i/>
          <w:sz w:val="18"/>
          <w:szCs w:val="18"/>
        </w:rPr>
      </w:pPr>
      <w:bookmarkStart w:id="60" w:name="_Hlk103849110"/>
      <w:r w:rsidRPr="009A6D58">
        <w:rPr>
          <w:rFonts w:ascii="Arial Narrow" w:hAnsi="Arial Narrow"/>
          <w:i/>
          <w:sz w:val="18"/>
          <w:szCs w:val="18"/>
        </w:rPr>
        <w:t xml:space="preserve">The redacted values correspond to the following ranges: </w:t>
      </w:r>
    </w:p>
    <w:p w14:paraId="34DEC9B0" w14:textId="3C87E23B" w:rsidR="00AC3952" w:rsidRPr="009A6D58" w:rsidRDefault="00AC3952" w:rsidP="00AC395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bookmarkStart w:id="61" w:name="_Hlk103866492"/>
      <w:r w:rsidR="004769F5" w:rsidRPr="004769F5">
        <w:rPr>
          <w:rFonts w:ascii="Arial Narrow" w:hAnsi="Arial Narrow"/>
          <w:i/>
          <w:sz w:val="18"/>
          <w:szCs w:val="18"/>
        </w:rPr>
        <w:t>500 to &lt; 5,000</w:t>
      </w:r>
      <w:bookmarkEnd w:id="61"/>
    </w:p>
    <w:p w14:paraId="61EC3662" w14:textId="2A4FAB8F" w:rsidR="00AC3952" w:rsidRPr="009A6D58" w:rsidRDefault="00AC3952" w:rsidP="00AC3952">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4769F5" w:rsidRPr="004769F5">
        <w:rPr>
          <w:rFonts w:ascii="Arial Narrow" w:hAnsi="Arial Narrow"/>
          <w:i/>
          <w:sz w:val="18"/>
          <w:szCs w:val="18"/>
        </w:rPr>
        <w:t>$0 to &lt; $10 million</w:t>
      </w:r>
    </w:p>
    <w:p w14:paraId="3DEF3873" w14:textId="4E9B42B8" w:rsidR="00AC3952" w:rsidRDefault="00AC3952" w:rsidP="00AC3952">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4769F5" w:rsidRPr="004769F5">
        <w:rPr>
          <w:rFonts w:ascii="Arial Narrow" w:hAnsi="Arial Narrow"/>
          <w:i/>
          <w:sz w:val="18"/>
          <w:szCs w:val="18"/>
        </w:rPr>
        <w:t>$</w:t>
      </w:r>
      <w:r w:rsidR="004769F5">
        <w:rPr>
          <w:rFonts w:ascii="Arial Narrow" w:hAnsi="Arial Narrow"/>
          <w:i/>
          <w:sz w:val="18"/>
          <w:szCs w:val="18"/>
        </w:rPr>
        <w:t>2</w:t>
      </w:r>
      <w:r w:rsidR="004769F5" w:rsidRPr="004769F5">
        <w:rPr>
          <w:rFonts w:ascii="Arial Narrow" w:hAnsi="Arial Narrow"/>
          <w:i/>
          <w:sz w:val="18"/>
          <w:szCs w:val="18"/>
        </w:rPr>
        <w:t>0 to &lt; $</w:t>
      </w:r>
      <w:r w:rsidR="004769F5">
        <w:rPr>
          <w:rFonts w:ascii="Arial Narrow" w:hAnsi="Arial Narrow"/>
          <w:i/>
          <w:sz w:val="18"/>
          <w:szCs w:val="18"/>
        </w:rPr>
        <w:t>3</w:t>
      </w:r>
      <w:r w:rsidR="004769F5" w:rsidRPr="004769F5">
        <w:rPr>
          <w:rFonts w:ascii="Arial Narrow" w:hAnsi="Arial Narrow"/>
          <w:i/>
          <w:sz w:val="18"/>
          <w:szCs w:val="18"/>
        </w:rPr>
        <w:t>0 million</w:t>
      </w:r>
    </w:p>
    <w:p w14:paraId="1D556E5E" w14:textId="613DBF29" w:rsidR="00AC3952" w:rsidRDefault="00AC3952" w:rsidP="00AC3952">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4769F5" w:rsidRPr="004769F5">
        <w:rPr>
          <w:rFonts w:ascii="Arial Narrow" w:hAnsi="Arial Narrow"/>
          <w:i/>
          <w:sz w:val="18"/>
          <w:szCs w:val="18"/>
        </w:rPr>
        <w:t>$</w:t>
      </w:r>
      <w:r w:rsidR="004769F5">
        <w:rPr>
          <w:rFonts w:ascii="Arial Narrow" w:hAnsi="Arial Narrow"/>
          <w:i/>
          <w:sz w:val="18"/>
          <w:szCs w:val="18"/>
        </w:rPr>
        <w:t>1</w:t>
      </w:r>
      <w:r w:rsidR="004769F5" w:rsidRPr="004769F5">
        <w:rPr>
          <w:rFonts w:ascii="Arial Narrow" w:hAnsi="Arial Narrow"/>
          <w:i/>
          <w:sz w:val="18"/>
          <w:szCs w:val="18"/>
        </w:rPr>
        <w:t>0 to &lt; $</w:t>
      </w:r>
      <w:r w:rsidR="004769F5">
        <w:rPr>
          <w:rFonts w:ascii="Arial Narrow" w:hAnsi="Arial Narrow"/>
          <w:i/>
          <w:sz w:val="18"/>
          <w:szCs w:val="18"/>
        </w:rPr>
        <w:t>2</w:t>
      </w:r>
      <w:r w:rsidR="004769F5" w:rsidRPr="004769F5">
        <w:rPr>
          <w:rFonts w:ascii="Arial Narrow" w:hAnsi="Arial Narrow"/>
          <w:i/>
          <w:sz w:val="18"/>
          <w:szCs w:val="18"/>
        </w:rPr>
        <w:t>0 million</w:t>
      </w:r>
    </w:p>
    <w:p w14:paraId="7177D6C6" w14:textId="050F4D0E" w:rsidR="00AC3952" w:rsidRDefault="00AC3952" w:rsidP="00AC3952">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4769F5" w:rsidRPr="004769F5">
        <w:rPr>
          <w:rFonts w:ascii="Arial Narrow" w:hAnsi="Arial Narrow"/>
          <w:i/>
          <w:sz w:val="18"/>
          <w:szCs w:val="18"/>
        </w:rPr>
        <w:t>$</w:t>
      </w:r>
      <w:r w:rsidR="004769F5">
        <w:rPr>
          <w:rFonts w:ascii="Arial Narrow" w:hAnsi="Arial Narrow"/>
          <w:i/>
          <w:sz w:val="18"/>
          <w:szCs w:val="18"/>
        </w:rPr>
        <w:t>3</w:t>
      </w:r>
      <w:r w:rsidR="004769F5" w:rsidRPr="004769F5">
        <w:rPr>
          <w:rFonts w:ascii="Arial Narrow" w:hAnsi="Arial Narrow"/>
          <w:i/>
          <w:sz w:val="18"/>
          <w:szCs w:val="18"/>
        </w:rPr>
        <w:t>0 to &lt; $</w:t>
      </w:r>
      <w:r w:rsidR="004769F5">
        <w:rPr>
          <w:rFonts w:ascii="Arial Narrow" w:hAnsi="Arial Narrow"/>
          <w:i/>
          <w:sz w:val="18"/>
          <w:szCs w:val="18"/>
        </w:rPr>
        <w:t>4</w:t>
      </w:r>
      <w:r w:rsidR="004769F5" w:rsidRPr="004769F5">
        <w:rPr>
          <w:rFonts w:ascii="Arial Narrow" w:hAnsi="Arial Narrow"/>
          <w:i/>
          <w:sz w:val="18"/>
          <w:szCs w:val="18"/>
        </w:rPr>
        <w:t>0 million</w:t>
      </w:r>
    </w:p>
    <w:p w14:paraId="1D7766D6" w14:textId="316ACFBE" w:rsidR="00AC3952" w:rsidRDefault="00AC3952" w:rsidP="00AC3952">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93726B" w:rsidRPr="0093726B">
        <w:rPr>
          <w:rFonts w:ascii="Arial Narrow" w:hAnsi="Arial Narrow"/>
          <w:i/>
          <w:sz w:val="18"/>
          <w:szCs w:val="18"/>
        </w:rPr>
        <w:t>5,000 to &lt; 10,000</w:t>
      </w:r>
    </w:p>
    <w:p w14:paraId="0A6D3E95" w14:textId="7F879DB4" w:rsidR="004769F5" w:rsidRDefault="004769F5" w:rsidP="00AC3952">
      <w:pPr>
        <w:rPr>
          <w:rFonts w:ascii="Arial Narrow" w:hAnsi="Arial Narrow"/>
          <w:i/>
          <w:sz w:val="18"/>
          <w:szCs w:val="18"/>
        </w:rPr>
      </w:pPr>
      <w:r w:rsidRPr="00D27599">
        <w:rPr>
          <w:rFonts w:ascii="Arial Narrow" w:hAnsi="Arial Narrow"/>
          <w:i/>
          <w:sz w:val="18"/>
          <w:szCs w:val="18"/>
          <w:vertAlign w:val="superscript"/>
        </w:rPr>
        <w:t>7</w:t>
      </w:r>
      <w:r>
        <w:rPr>
          <w:rFonts w:ascii="Arial Narrow" w:hAnsi="Arial Narrow"/>
          <w:i/>
          <w:sz w:val="18"/>
          <w:szCs w:val="18"/>
        </w:rPr>
        <w:t xml:space="preserve"> </w:t>
      </w:r>
      <w:r w:rsidRPr="004769F5">
        <w:rPr>
          <w:rFonts w:ascii="Arial Narrow" w:hAnsi="Arial Narrow"/>
          <w:i/>
          <w:sz w:val="18"/>
          <w:szCs w:val="18"/>
        </w:rPr>
        <w:t>$</w:t>
      </w:r>
      <w:r>
        <w:rPr>
          <w:rFonts w:ascii="Arial Narrow" w:hAnsi="Arial Narrow"/>
          <w:i/>
          <w:sz w:val="18"/>
          <w:szCs w:val="18"/>
        </w:rPr>
        <w:t>5</w:t>
      </w:r>
      <w:r w:rsidRPr="004769F5">
        <w:rPr>
          <w:rFonts w:ascii="Arial Narrow" w:hAnsi="Arial Narrow"/>
          <w:i/>
          <w:sz w:val="18"/>
          <w:szCs w:val="18"/>
        </w:rPr>
        <w:t>0 to &lt; $</w:t>
      </w:r>
      <w:r>
        <w:rPr>
          <w:rFonts w:ascii="Arial Narrow" w:hAnsi="Arial Narrow"/>
          <w:i/>
          <w:sz w:val="18"/>
          <w:szCs w:val="18"/>
        </w:rPr>
        <w:t>6</w:t>
      </w:r>
      <w:r w:rsidRPr="004769F5">
        <w:rPr>
          <w:rFonts w:ascii="Arial Narrow" w:hAnsi="Arial Narrow"/>
          <w:i/>
          <w:sz w:val="18"/>
          <w:szCs w:val="18"/>
        </w:rPr>
        <w:t>0 million</w:t>
      </w:r>
    </w:p>
    <w:p w14:paraId="3CE0C9C9" w14:textId="4968D758" w:rsidR="004769F5" w:rsidRDefault="004769F5" w:rsidP="00AC3952">
      <w:pPr>
        <w:rPr>
          <w:rFonts w:ascii="Arial Narrow" w:hAnsi="Arial Narrow"/>
          <w:i/>
          <w:sz w:val="18"/>
          <w:szCs w:val="18"/>
        </w:rPr>
      </w:pPr>
      <w:r w:rsidRPr="00D27599">
        <w:rPr>
          <w:rFonts w:ascii="Arial Narrow" w:hAnsi="Arial Narrow"/>
          <w:i/>
          <w:sz w:val="18"/>
          <w:szCs w:val="18"/>
          <w:vertAlign w:val="superscript"/>
        </w:rPr>
        <w:t>8</w:t>
      </w:r>
      <w:r w:rsidR="0093726B" w:rsidRPr="00D27599">
        <w:rPr>
          <w:rFonts w:ascii="Arial Narrow" w:hAnsi="Arial Narrow"/>
          <w:i/>
          <w:sz w:val="18"/>
          <w:szCs w:val="18"/>
          <w:vertAlign w:val="superscript"/>
        </w:rPr>
        <w:t xml:space="preserve"> </w:t>
      </w:r>
      <w:r w:rsidR="0093726B" w:rsidRPr="0093726B">
        <w:rPr>
          <w:rFonts w:ascii="Arial Narrow" w:hAnsi="Arial Narrow"/>
          <w:i/>
          <w:sz w:val="18"/>
          <w:szCs w:val="18"/>
        </w:rPr>
        <w:t>$</w:t>
      </w:r>
      <w:r w:rsidR="0093726B">
        <w:rPr>
          <w:rFonts w:ascii="Arial Narrow" w:hAnsi="Arial Narrow"/>
          <w:i/>
          <w:sz w:val="18"/>
          <w:szCs w:val="18"/>
        </w:rPr>
        <w:t>4</w:t>
      </w:r>
      <w:r w:rsidR="0093726B" w:rsidRPr="0093726B">
        <w:rPr>
          <w:rFonts w:ascii="Arial Narrow" w:hAnsi="Arial Narrow"/>
          <w:i/>
          <w:sz w:val="18"/>
          <w:szCs w:val="18"/>
        </w:rPr>
        <w:t>0 to &lt; $</w:t>
      </w:r>
      <w:r w:rsidR="0093726B">
        <w:rPr>
          <w:rFonts w:ascii="Arial Narrow" w:hAnsi="Arial Narrow"/>
          <w:i/>
          <w:sz w:val="18"/>
          <w:szCs w:val="18"/>
        </w:rPr>
        <w:t>5</w:t>
      </w:r>
      <w:r w:rsidR="0093726B" w:rsidRPr="0093726B">
        <w:rPr>
          <w:rFonts w:ascii="Arial Narrow" w:hAnsi="Arial Narrow"/>
          <w:i/>
          <w:sz w:val="18"/>
          <w:szCs w:val="18"/>
        </w:rPr>
        <w:t>0 million</w:t>
      </w:r>
    </w:p>
    <w:bookmarkEnd w:id="60"/>
    <w:p w14:paraId="523DC9CE" w14:textId="77777777" w:rsidR="00976BE2" w:rsidRPr="000B52C6" w:rsidRDefault="00976BE2" w:rsidP="00976BE2">
      <w:pPr>
        <w:pStyle w:val="TableFigureFooter"/>
      </w:pPr>
    </w:p>
    <w:p w14:paraId="2773C399" w14:textId="1FCB84CA" w:rsidR="00976BE2" w:rsidRPr="000B52C6" w:rsidRDefault="00976BE2" w:rsidP="00976BE2">
      <w:pPr>
        <w:pStyle w:val="3-BodyText"/>
        <w:snapToGrid w:val="0"/>
        <w:ind w:left="720" w:hanging="720"/>
      </w:pPr>
      <w:r w:rsidRPr="000B52C6">
        <w:t xml:space="preserve">The total cost to the PBS/RPBS/MBS of listing </w:t>
      </w:r>
      <w:proofErr w:type="spellStart"/>
      <w:r w:rsidRPr="000B52C6">
        <w:t>SBd</w:t>
      </w:r>
      <w:proofErr w:type="spellEnd"/>
      <w:r w:rsidRPr="000B52C6">
        <w:t xml:space="preserve"> was estimated to be </w:t>
      </w:r>
      <w:bookmarkStart w:id="62" w:name="_Hlk103872830"/>
      <w:r w:rsidR="00FD29C8" w:rsidRPr="00FD29C8">
        <w:t>$0 to &lt; $10 million</w:t>
      </w:r>
      <w:bookmarkEnd w:id="62"/>
      <w:r w:rsidR="00FD29C8">
        <w:t xml:space="preserve"> per year</w:t>
      </w:r>
      <w:r w:rsidR="00FD29C8" w:rsidRPr="00FD29C8" w:rsidDel="00FD29C8">
        <w:t xml:space="preserve"> </w:t>
      </w:r>
      <w:r w:rsidRPr="000B52C6">
        <w:t xml:space="preserve">in Year 6, and a total of approximately </w:t>
      </w:r>
      <w:r w:rsidR="00FD29C8" w:rsidRPr="00FD29C8">
        <w:t>$0 to &lt; $10 million</w:t>
      </w:r>
      <w:r w:rsidR="00FD29C8" w:rsidRPr="00FD29C8" w:rsidDel="00FD29C8">
        <w:t xml:space="preserve"> </w:t>
      </w:r>
      <w:r w:rsidRPr="000B52C6">
        <w:t xml:space="preserve">in the first 6 years of listing. During the evaluation, the values presented for the net financial implications to the PBS/RPBS could not be reconciled with the estimations in the financial model workbook for the resubmission. Therefore, the commentary reported the values presented in the financial model workbook after verifying the calculations. </w:t>
      </w:r>
    </w:p>
    <w:p w14:paraId="53BF0E96" w14:textId="0FE96DCD" w:rsidR="00A1428B" w:rsidRPr="000B52C6" w:rsidRDefault="00976BE2" w:rsidP="00C762EA">
      <w:pPr>
        <w:pStyle w:val="3-BodyText"/>
        <w:snapToGrid w:val="0"/>
        <w:ind w:left="720" w:hanging="720"/>
      </w:pPr>
      <w:r w:rsidRPr="000B52C6">
        <w:t xml:space="preserve">Unlike the July 2021 submission, the resubmission excluded the use and cost of dexamethasone (as part of the </w:t>
      </w:r>
      <w:proofErr w:type="spellStart"/>
      <w:r w:rsidRPr="000B52C6">
        <w:t>SBd</w:t>
      </w:r>
      <w:proofErr w:type="spellEnd"/>
      <w:r w:rsidRPr="000B52C6">
        <w:t xml:space="preserve"> regimen) and filgrastim used in the treatment of Grade 3-4 neutropenia associated with </w:t>
      </w:r>
      <w:proofErr w:type="spellStart"/>
      <w:r w:rsidRPr="000B52C6">
        <w:t>SBd</w:t>
      </w:r>
      <w:proofErr w:type="spellEnd"/>
      <w:r w:rsidRPr="000B52C6">
        <w:t xml:space="preserve"> from the financial impact analysis. The resubmission justified the exclusion of dexamethasone by arguing a slight difference in its use between </w:t>
      </w:r>
      <w:proofErr w:type="spellStart"/>
      <w:r w:rsidRPr="000B52C6">
        <w:t>SBd</w:t>
      </w:r>
      <w:proofErr w:type="spellEnd"/>
      <w:r w:rsidRPr="000B52C6">
        <w:t xml:space="preserve"> and Cd regimens, and its low cost, resulting in an inconsequential impact on the PBS budget. No justification was provided for the exclusion of filgrastim from the analysis. The exclusion of the cost of filgrastim used in the treatment of Grade 3-4 neutropenia associated with </w:t>
      </w:r>
      <w:proofErr w:type="spellStart"/>
      <w:r w:rsidRPr="000B52C6">
        <w:t>SBd</w:t>
      </w:r>
      <w:proofErr w:type="spellEnd"/>
      <w:r w:rsidRPr="000B52C6">
        <w:t xml:space="preserve"> and that of dexamethasone may have resulted in underestimation of the financial impacts, however, the impact of this cost is negligible. The costs associated with treating the haematological AEs due to </w:t>
      </w:r>
      <w:proofErr w:type="spellStart"/>
      <w:r w:rsidRPr="000B52C6">
        <w:t>SBd</w:t>
      </w:r>
      <w:proofErr w:type="spellEnd"/>
      <w:r w:rsidRPr="000B52C6">
        <w:t xml:space="preserve"> was not included in the financial estimates</w:t>
      </w:r>
      <w:r w:rsidR="009534BC" w:rsidRPr="000B52C6">
        <w:t>, which was</w:t>
      </w:r>
      <w:r w:rsidRPr="000B52C6">
        <w:t xml:space="preserve"> inconsistent with </w:t>
      </w:r>
      <w:r w:rsidR="009534BC" w:rsidRPr="000B52C6">
        <w:t>the CMA</w:t>
      </w:r>
      <w:r w:rsidRPr="000B52C6">
        <w:t xml:space="preserve">. Concomitant treatment costs </w:t>
      </w:r>
      <w:r w:rsidR="001A72E1" w:rsidRPr="000B52C6">
        <w:t xml:space="preserve">for </w:t>
      </w:r>
      <w:proofErr w:type="spellStart"/>
      <w:r w:rsidR="001A72E1" w:rsidRPr="000B52C6">
        <w:t>SBd</w:t>
      </w:r>
      <w:proofErr w:type="spellEnd"/>
      <w:r w:rsidR="001A72E1" w:rsidRPr="000B52C6">
        <w:t xml:space="preserve"> and Cd were not included in the financial estimates.</w:t>
      </w:r>
    </w:p>
    <w:p w14:paraId="36E53A16" w14:textId="08FA3942" w:rsidR="00976BE2" w:rsidRPr="000B52C6" w:rsidRDefault="00976BE2" w:rsidP="00976BE2">
      <w:pPr>
        <w:pStyle w:val="3-BodyText"/>
        <w:snapToGrid w:val="0"/>
        <w:ind w:left="720" w:hanging="720"/>
      </w:pPr>
      <w:r w:rsidRPr="000B52C6">
        <w:t>Sensitivity analyses were conducted during the evaluation (</w:t>
      </w:r>
      <w:r w:rsidRPr="000B52C6">
        <w:rPr>
          <w:highlight w:val="yellow"/>
        </w:rPr>
        <w:fldChar w:fldCharType="begin"/>
      </w:r>
      <w:r w:rsidRPr="000B52C6">
        <w:instrText xml:space="preserve"> REF _Ref90371090 \h </w:instrText>
      </w:r>
      <w:r w:rsidRPr="000B52C6">
        <w:rPr>
          <w:highlight w:val="yellow"/>
        </w:rPr>
      </w:r>
      <w:r w:rsidRPr="000B52C6">
        <w:rPr>
          <w:highlight w:val="yellow"/>
        </w:rPr>
        <w:fldChar w:fldCharType="separate"/>
      </w:r>
      <w:r w:rsidR="00FF5725" w:rsidRPr="000B52C6">
        <w:t xml:space="preserve">Table </w:t>
      </w:r>
      <w:r w:rsidR="00FF5725">
        <w:rPr>
          <w:noProof/>
        </w:rPr>
        <w:t>24</w:t>
      </w:r>
      <w:r w:rsidRPr="000B52C6">
        <w:rPr>
          <w:highlight w:val="yellow"/>
        </w:rPr>
        <w:fldChar w:fldCharType="end"/>
      </w:r>
      <w:r w:rsidRPr="000B52C6">
        <w:t>) to test the:</w:t>
      </w:r>
    </w:p>
    <w:p w14:paraId="12F23FED" w14:textId="77777777" w:rsidR="00976BE2" w:rsidRPr="000B52C6" w:rsidRDefault="00976BE2" w:rsidP="005640E7">
      <w:pPr>
        <w:pStyle w:val="3-BodyText"/>
        <w:numPr>
          <w:ilvl w:val="0"/>
          <w:numId w:val="56"/>
        </w:numPr>
        <w:snapToGrid w:val="0"/>
        <w:ind w:left="1077" w:hanging="357"/>
      </w:pPr>
      <w:r w:rsidRPr="000B52C6">
        <w:t xml:space="preserve">Assumed proportions of once- and twice weekly carfilzomib </w:t>
      </w:r>
      <w:proofErr w:type="gramStart"/>
      <w:r w:rsidRPr="000B52C6">
        <w:t>scripts;</w:t>
      </w:r>
      <w:proofErr w:type="gramEnd"/>
      <w:r w:rsidRPr="000B52C6">
        <w:t xml:space="preserve"> the lower the proportion attributable to once weekly carfilzomib scripts, the lower the net financial impact on the health budget.</w:t>
      </w:r>
    </w:p>
    <w:p w14:paraId="728B2A15" w14:textId="29C768B2" w:rsidR="00976BE2" w:rsidRPr="000B52C6" w:rsidRDefault="00976BE2" w:rsidP="005640E7">
      <w:pPr>
        <w:pStyle w:val="3-BodyText"/>
        <w:numPr>
          <w:ilvl w:val="0"/>
          <w:numId w:val="56"/>
        </w:numPr>
        <w:snapToGrid w:val="0"/>
        <w:ind w:left="1077" w:hanging="357"/>
      </w:pPr>
      <w:r w:rsidRPr="000B52C6">
        <w:t xml:space="preserve">Treatment duration of Cd from </w:t>
      </w:r>
      <w:r w:rsidR="00100800" w:rsidRPr="000B52C6">
        <w:t>ENDEAVOR</w:t>
      </w:r>
      <w:r w:rsidRPr="000B52C6">
        <w:t>; minimal impact on the health budget.</w:t>
      </w:r>
    </w:p>
    <w:p w14:paraId="5FDA504D" w14:textId="544D0B45" w:rsidR="00976BE2" w:rsidRPr="000B52C6" w:rsidRDefault="00976BE2" w:rsidP="00976BE2">
      <w:pPr>
        <w:pStyle w:val="TableFigureHeading"/>
      </w:pPr>
      <w:bookmarkStart w:id="63" w:name="_Ref90371090"/>
      <w:r w:rsidRPr="000B52C6">
        <w:t xml:space="preserve">Table </w:t>
      </w:r>
      <w:r w:rsidR="00FF5725">
        <w:fldChar w:fldCharType="begin"/>
      </w:r>
      <w:r w:rsidR="00FF5725">
        <w:instrText xml:space="preserve"> SEQ Table \* ARABIC </w:instrText>
      </w:r>
      <w:r w:rsidR="00FF5725">
        <w:fldChar w:fldCharType="separate"/>
      </w:r>
      <w:r w:rsidR="00FF5725">
        <w:rPr>
          <w:noProof/>
        </w:rPr>
        <w:t>24</w:t>
      </w:r>
      <w:r w:rsidR="00FF5725">
        <w:fldChar w:fldCharType="end"/>
      </w:r>
      <w:bookmarkEnd w:id="63"/>
      <w:r w:rsidRPr="000B52C6">
        <w:t>: Results of sensitivity analysis (Net Impact on PBS/RPBS/MBS), Assumed Effective Prices</w:t>
      </w:r>
    </w:p>
    <w:tbl>
      <w:tblPr>
        <w:tblStyle w:val="TableGrid"/>
        <w:tblW w:w="0" w:type="auto"/>
        <w:tblLook w:val="04A0" w:firstRow="1" w:lastRow="0" w:firstColumn="1" w:lastColumn="0" w:noHBand="0" w:noVBand="1"/>
      </w:tblPr>
      <w:tblGrid>
        <w:gridCol w:w="2423"/>
        <w:gridCol w:w="1037"/>
        <w:gridCol w:w="1037"/>
        <w:gridCol w:w="1129"/>
        <w:gridCol w:w="1129"/>
        <w:gridCol w:w="1133"/>
        <w:gridCol w:w="1129"/>
      </w:tblGrid>
      <w:tr w:rsidR="00976BE2" w:rsidRPr="000B52C6" w14:paraId="4CE46600" w14:textId="77777777" w:rsidTr="00F749FC">
        <w:tc>
          <w:tcPr>
            <w:tcW w:w="2423" w:type="dxa"/>
            <w:tcBorders>
              <w:top w:val="single" w:sz="4" w:space="0" w:color="auto"/>
              <w:left w:val="single" w:sz="4" w:space="0" w:color="auto"/>
              <w:bottom w:val="single" w:sz="4" w:space="0" w:color="auto"/>
              <w:right w:val="single" w:sz="4" w:space="0" w:color="auto"/>
            </w:tcBorders>
          </w:tcPr>
          <w:p w14:paraId="554790BC" w14:textId="77777777" w:rsidR="00976BE2" w:rsidRPr="000B52C6" w:rsidRDefault="00976BE2" w:rsidP="00F749FC">
            <w:pPr>
              <w:pStyle w:val="TableText0"/>
              <w:rPr>
                <w:b/>
              </w:rPr>
            </w:pPr>
          </w:p>
        </w:tc>
        <w:tc>
          <w:tcPr>
            <w:tcW w:w="1037" w:type="dxa"/>
            <w:tcBorders>
              <w:top w:val="single" w:sz="4" w:space="0" w:color="auto"/>
              <w:left w:val="single" w:sz="4" w:space="0" w:color="auto"/>
              <w:bottom w:val="single" w:sz="4" w:space="0" w:color="auto"/>
              <w:right w:val="single" w:sz="4" w:space="0" w:color="auto"/>
            </w:tcBorders>
            <w:hideMark/>
          </w:tcPr>
          <w:p w14:paraId="35885251" w14:textId="77777777" w:rsidR="00976BE2" w:rsidRPr="000B52C6" w:rsidRDefault="00976BE2" w:rsidP="00F749FC">
            <w:pPr>
              <w:pStyle w:val="TableText0"/>
              <w:rPr>
                <w:b/>
              </w:rPr>
            </w:pPr>
            <w:r w:rsidRPr="000B52C6">
              <w:rPr>
                <w:b/>
              </w:rPr>
              <w:t>Year 1</w:t>
            </w:r>
          </w:p>
        </w:tc>
        <w:tc>
          <w:tcPr>
            <w:tcW w:w="1037" w:type="dxa"/>
            <w:tcBorders>
              <w:top w:val="single" w:sz="4" w:space="0" w:color="auto"/>
              <w:left w:val="single" w:sz="4" w:space="0" w:color="auto"/>
              <w:bottom w:val="single" w:sz="4" w:space="0" w:color="auto"/>
              <w:right w:val="single" w:sz="4" w:space="0" w:color="auto"/>
            </w:tcBorders>
            <w:hideMark/>
          </w:tcPr>
          <w:p w14:paraId="49CAB4FB" w14:textId="77777777" w:rsidR="00976BE2" w:rsidRPr="000B52C6" w:rsidRDefault="00976BE2" w:rsidP="00F749FC">
            <w:pPr>
              <w:pStyle w:val="TableText0"/>
              <w:rPr>
                <w:b/>
              </w:rPr>
            </w:pPr>
            <w:r w:rsidRPr="000B52C6">
              <w:rPr>
                <w:b/>
              </w:rPr>
              <w:t>Year 2</w:t>
            </w:r>
          </w:p>
        </w:tc>
        <w:tc>
          <w:tcPr>
            <w:tcW w:w="1129" w:type="dxa"/>
            <w:tcBorders>
              <w:top w:val="single" w:sz="4" w:space="0" w:color="auto"/>
              <w:left w:val="single" w:sz="4" w:space="0" w:color="auto"/>
              <w:bottom w:val="single" w:sz="4" w:space="0" w:color="auto"/>
              <w:right w:val="single" w:sz="4" w:space="0" w:color="auto"/>
            </w:tcBorders>
            <w:hideMark/>
          </w:tcPr>
          <w:p w14:paraId="008DECEF" w14:textId="77777777" w:rsidR="00976BE2" w:rsidRPr="000B52C6" w:rsidRDefault="00976BE2" w:rsidP="00F749FC">
            <w:pPr>
              <w:pStyle w:val="TableText0"/>
              <w:rPr>
                <w:b/>
              </w:rPr>
            </w:pPr>
            <w:r w:rsidRPr="000B52C6">
              <w:rPr>
                <w:b/>
              </w:rPr>
              <w:t>Year 3</w:t>
            </w:r>
          </w:p>
        </w:tc>
        <w:tc>
          <w:tcPr>
            <w:tcW w:w="1129" w:type="dxa"/>
            <w:tcBorders>
              <w:top w:val="single" w:sz="4" w:space="0" w:color="auto"/>
              <w:left w:val="single" w:sz="4" w:space="0" w:color="auto"/>
              <w:bottom w:val="single" w:sz="4" w:space="0" w:color="auto"/>
              <w:right w:val="single" w:sz="4" w:space="0" w:color="auto"/>
            </w:tcBorders>
            <w:hideMark/>
          </w:tcPr>
          <w:p w14:paraId="5FC747F1" w14:textId="77777777" w:rsidR="00976BE2" w:rsidRPr="000B52C6" w:rsidRDefault="00976BE2" w:rsidP="00F749FC">
            <w:pPr>
              <w:pStyle w:val="TableText0"/>
              <w:rPr>
                <w:b/>
              </w:rPr>
            </w:pPr>
            <w:r w:rsidRPr="000B52C6">
              <w:rPr>
                <w:b/>
              </w:rPr>
              <w:t>Year 4</w:t>
            </w:r>
          </w:p>
        </w:tc>
        <w:tc>
          <w:tcPr>
            <w:tcW w:w="1133" w:type="dxa"/>
            <w:tcBorders>
              <w:top w:val="single" w:sz="4" w:space="0" w:color="auto"/>
              <w:left w:val="single" w:sz="4" w:space="0" w:color="auto"/>
              <w:bottom w:val="single" w:sz="4" w:space="0" w:color="auto"/>
              <w:right w:val="single" w:sz="4" w:space="0" w:color="auto"/>
            </w:tcBorders>
            <w:hideMark/>
          </w:tcPr>
          <w:p w14:paraId="7B1FCE73" w14:textId="77777777" w:rsidR="00976BE2" w:rsidRPr="000B52C6" w:rsidRDefault="00976BE2" w:rsidP="00F749FC">
            <w:pPr>
              <w:pStyle w:val="TableText0"/>
              <w:rPr>
                <w:b/>
              </w:rPr>
            </w:pPr>
            <w:r w:rsidRPr="000B52C6">
              <w:rPr>
                <w:b/>
              </w:rPr>
              <w:t>Year 5</w:t>
            </w:r>
          </w:p>
        </w:tc>
        <w:tc>
          <w:tcPr>
            <w:tcW w:w="1129" w:type="dxa"/>
            <w:tcBorders>
              <w:top w:val="single" w:sz="4" w:space="0" w:color="auto"/>
              <w:left w:val="single" w:sz="4" w:space="0" w:color="auto"/>
              <w:bottom w:val="single" w:sz="4" w:space="0" w:color="auto"/>
              <w:right w:val="single" w:sz="4" w:space="0" w:color="auto"/>
            </w:tcBorders>
            <w:hideMark/>
          </w:tcPr>
          <w:p w14:paraId="0E401EA5" w14:textId="77777777" w:rsidR="00976BE2" w:rsidRPr="000B52C6" w:rsidRDefault="00976BE2" w:rsidP="00F749FC">
            <w:pPr>
              <w:pStyle w:val="TableText0"/>
              <w:rPr>
                <w:b/>
              </w:rPr>
            </w:pPr>
            <w:r w:rsidRPr="000B52C6">
              <w:rPr>
                <w:b/>
              </w:rPr>
              <w:t>Year 6</w:t>
            </w:r>
          </w:p>
        </w:tc>
      </w:tr>
      <w:tr w:rsidR="003D38A9" w:rsidRPr="000B52C6" w14:paraId="5B4524D7" w14:textId="77777777" w:rsidTr="00F749FC">
        <w:tc>
          <w:tcPr>
            <w:tcW w:w="2423" w:type="dxa"/>
            <w:tcBorders>
              <w:top w:val="single" w:sz="4" w:space="0" w:color="auto"/>
              <w:left w:val="single" w:sz="4" w:space="0" w:color="auto"/>
              <w:bottom w:val="single" w:sz="4" w:space="0" w:color="auto"/>
              <w:right w:val="single" w:sz="4" w:space="0" w:color="auto"/>
            </w:tcBorders>
            <w:hideMark/>
          </w:tcPr>
          <w:p w14:paraId="06C7A24A" w14:textId="6406D3EF" w:rsidR="00976BE2" w:rsidRPr="000B52C6" w:rsidRDefault="00976BE2" w:rsidP="00F749FC">
            <w:pPr>
              <w:pStyle w:val="TableText0"/>
            </w:pPr>
            <w:r w:rsidRPr="000B52C6">
              <w:t>Base case</w:t>
            </w:r>
            <w:r w:rsidR="00FD29C8">
              <w:t xml:space="preserve"> ($)</w:t>
            </w:r>
          </w:p>
        </w:tc>
        <w:tc>
          <w:tcPr>
            <w:tcW w:w="1037" w:type="dxa"/>
            <w:tcBorders>
              <w:top w:val="single" w:sz="4" w:space="0" w:color="auto"/>
              <w:left w:val="single" w:sz="4" w:space="0" w:color="auto"/>
              <w:bottom w:val="single" w:sz="4" w:space="0" w:color="auto"/>
              <w:right w:val="single" w:sz="4" w:space="0" w:color="auto"/>
            </w:tcBorders>
            <w:vAlign w:val="center"/>
            <w:hideMark/>
          </w:tcPr>
          <w:p w14:paraId="33A9AE1A" w14:textId="3B2C977F" w:rsidR="00976BE2" w:rsidRPr="00D27599" w:rsidRDefault="00DB2D11" w:rsidP="00F749FC">
            <w:pPr>
              <w:pStyle w:val="TableText0"/>
              <w:rPr>
                <w:highlight w:val="yellow"/>
                <w:vertAlign w:val="superscript"/>
              </w:rPr>
            </w:pPr>
            <w:r w:rsidRPr="00DB2D11">
              <w:rPr>
                <w:rFonts w:cs="Arial"/>
                <w:color w:val="000000"/>
                <w:spacing w:val="53"/>
                <w:szCs w:val="20"/>
                <w:shd w:val="solid" w:color="000000" w:fill="000000"/>
                <w:fitText w:val="331" w:id="-1500846068"/>
                <w14:textFill>
                  <w14:solidFill>
                    <w14:srgbClr w14:val="000000">
                      <w14:alpha w14:val="100000"/>
                    </w14:srgbClr>
                  </w14:solidFill>
                </w14:textFill>
              </w:rPr>
              <w:t>|||</w:t>
            </w:r>
            <w:r w:rsidRPr="00DB2D11">
              <w:rPr>
                <w:rFonts w:cs="Arial"/>
                <w:color w:val="000000"/>
                <w:spacing w:val="2"/>
                <w:szCs w:val="20"/>
                <w:shd w:val="solid" w:color="000000" w:fill="000000"/>
                <w:fitText w:val="331" w:id="-1500846068"/>
                <w14:textFill>
                  <w14:solidFill>
                    <w14:srgbClr w14:val="000000">
                      <w14:alpha w14:val="100000"/>
                    </w14:srgbClr>
                  </w14:solidFill>
                </w14:textFill>
              </w:rPr>
              <w:t>|</w:t>
            </w:r>
            <w:r w:rsidR="00FD29C8" w:rsidRPr="00D27599">
              <w:rPr>
                <w:rFonts w:cs="Arial"/>
                <w:color w:val="000000"/>
                <w:szCs w:val="20"/>
                <w:vertAlign w:val="superscript"/>
              </w:rPr>
              <w:t>1</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F88DE49" w14:textId="1527C047" w:rsidR="00976BE2" w:rsidRPr="00D27599" w:rsidRDefault="00DB2D11" w:rsidP="00F749FC">
            <w:pPr>
              <w:pStyle w:val="TableText0"/>
              <w:rPr>
                <w:highlight w:val="yellow"/>
              </w:rPr>
            </w:pPr>
            <w:r w:rsidRPr="00DB2D11">
              <w:rPr>
                <w:rFonts w:cs="Arial"/>
                <w:color w:val="000000"/>
                <w:spacing w:val="53"/>
                <w:szCs w:val="20"/>
                <w:shd w:val="solid" w:color="000000" w:fill="000000"/>
                <w:fitText w:val="331" w:id="-1500846067"/>
                <w14:textFill>
                  <w14:solidFill>
                    <w14:srgbClr w14:val="000000">
                      <w14:alpha w14:val="100000"/>
                    </w14:srgbClr>
                  </w14:solidFill>
                </w14:textFill>
              </w:rPr>
              <w:t>|||</w:t>
            </w:r>
            <w:r w:rsidRPr="00DB2D11">
              <w:rPr>
                <w:rFonts w:cs="Arial"/>
                <w:color w:val="000000"/>
                <w:spacing w:val="2"/>
                <w:szCs w:val="20"/>
                <w:shd w:val="solid" w:color="000000" w:fill="000000"/>
                <w:fitText w:val="331" w:id="-1500846067"/>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0C44AE6" w14:textId="5BEC886C" w:rsidR="00976BE2" w:rsidRPr="00D27599" w:rsidRDefault="00DB2D11" w:rsidP="00F749FC">
            <w:pPr>
              <w:pStyle w:val="TableText0"/>
              <w:rPr>
                <w:highlight w:val="yellow"/>
              </w:rPr>
            </w:pPr>
            <w:r w:rsidRPr="00DB2D11">
              <w:rPr>
                <w:rFonts w:cs="Arial"/>
                <w:color w:val="000000"/>
                <w:spacing w:val="53"/>
                <w:szCs w:val="20"/>
                <w:shd w:val="solid" w:color="000000" w:fill="000000"/>
                <w:fitText w:val="332" w:id="-1500846066"/>
                <w14:textFill>
                  <w14:solidFill>
                    <w14:srgbClr w14:val="000000">
                      <w14:alpha w14:val="100000"/>
                    </w14:srgbClr>
                  </w14:solidFill>
                </w14:textFill>
              </w:rPr>
              <w:t>|||</w:t>
            </w:r>
            <w:r w:rsidRPr="00DB2D11">
              <w:rPr>
                <w:rFonts w:cs="Arial"/>
                <w:color w:val="000000"/>
                <w:spacing w:val="3"/>
                <w:szCs w:val="20"/>
                <w:shd w:val="solid" w:color="000000" w:fill="000000"/>
                <w:fitText w:val="332" w:id="-1500846066"/>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57A0BC1" w14:textId="4DEC1151" w:rsidR="00976BE2" w:rsidRPr="00D27599" w:rsidRDefault="00DB2D11" w:rsidP="00F749FC">
            <w:pPr>
              <w:pStyle w:val="TableText0"/>
              <w:rPr>
                <w:highlight w:val="yellow"/>
              </w:rPr>
            </w:pPr>
            <w:r w:rsidRPr="00DB2D11">
              <w:rPr>
                <w:rFonts w:cs="Arial"/>
                <w:color w:val="000000"/>
                <w:spacing w:val="53"/>
                <w:szCs w:val="20"/>
                <w:shd w:val="solid" w:color="000000" w:fill="000000"/>
                <w:fitText w:val="331" w:id="-1500846065"/>
                <w14:textFill>
                  <w14:solidFill>
                    <w14:srgbClr w14:val="000000">
                      <w14:alpha w14:val="100000"/>
                    </w14:srgbClr>
                  </w14:solidFill>
                </w14:textFill>
              </w:rPr>
              <w:t>|||</w:t>
            </w:r>
            <w:r w:rsidRPr="00DB2D11">
              <w:rPr>
                <w:rFonts w:cs="Arial"/>
                <w:color w:val="000000"/>
                <w:spacing w:val="2"/>
                <w:szCs w:val="20"/>
                <w:shd w:val="solid" w:color="000000" w:fill="000000"/>
                <w:fitText w:val="331" w:id="-1500846065"/>
                <w14:textFill>
                  <w14:solidFill>
                    <w14:srgbClr w14:val="000000">
                      <w14:alpha w14:val="100000"/>
                    </w14:srgbClr>
                  </w14:solidFill>
                </w14:textFill>
              </w:rPr>
              <w:t>|</w:t>
            </w:r>
            <w:r w:rsidR="00FD29C8" w:rsidRPr="0031709B">
              <w:rPr>
                <w:rFonts w:cs="Arial"/>
                <w:color w:val="000000"/>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621DFC7" w14:textId="19A7C9C9" w:rsidR="00976BE2" w:rsidRPr="00D27599" w:rsidRDefault="00DB2D11" w:rsidP="00F749FC">
            <w:pPr>
              <w:pStyle w:val="TableText0"/>
              <w:rPr>
                <w:highlight w:val="yellow"/>
              </w:rPr>
            </w:pPr>
            <w:r w:rsidRPr="00DB2D11">
              <w:rPr>
                <w:rFonts w:cs="Arial"/>
                <w:color w:val="000000"/>
                <w:spacing w:val="53"/>
                <w:szCs w:val="20"/>
                <w:shd w:val="solid" w:color="000000" w:fill="000000"/>
                <w:fitText w:val="331" w:id="-1500846064"/>
                <w14:textFill>
                  <w14:solidFill>
                    <w14:srgbClr w14:val="000000">
                      <w14:alpha w14:val="100000"/>
                    </w14:srgbClr>
                  </w14:solidFill>
                </w14:textFill>
              </w:rPr>
              <w:t>|||</w:t>
            </w:r>
            <w:r w:rsidRPr="00DB2D11">
              <w:rPr>
                <w:rFonts w:cs="Arial"/>
                <w:color w:val="000000"/>
                <w:spacing w:val="2"/>
                <w:szCs w:val="20"/>
                <w:shd w:val="solid" w:color="000000" w:fill="000000"/>
                <w:fitText w:val="331" w:id="-1500846064"/>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C92A804" w14:textId="3527FC41" w:rsidR="00976BE2" w:rsidRPr="00D27599" w:rsidRDefault="00DB2D11" w:rsidP="00F749FC">
            <w:pPr>
              <w:pStyle w:val="TableText0"/>
              <w:rPr>
                <w:highlight w:val="yellow"/>
              </w:rPr>
            </w:pPr>
            <w:r w:rsidRPr="00DB2D11">
              <w:rPr>
                <w:rFonts w:cs="Arial"/>
                <w:color w:val="000000"/>
                <w:spacing w:val="53"/>
                <w:szCs w:val="20"/>
                <w:shd w:val="solid" w:color="000000" w:fill="000000"/>
                <w:fitText w:val="331" w:id="-1500846080"/>
                <w14:textFill>
                  <w14:solidFill>
                    <w14:srgbClr w14:val="000000">
                      <w14:alpha w14:val="100000"/>
                    </w14:srgbClr>
                  </w14:solidFill>
                </w14:textFill>
              </w:rPr>
              <w:t>|||</w:t>
            </w:r>
            <w:r w:rsidRPr="00DB2D11">
              <w:rPr>
                <w:rFonts w:cs="Arial"/>
                <w:color w:val="000000"/>
                <w:spacing w:val="2"/>
                <w:szCs w:val="20"/>
                <w:shd w:val="solid" w:color="000000" w:fill="000000"/>
                <w:fitText w:val="331" w:id="-1500846080"/>
                <w14:textFill>
                  <w14:solidFill>
                    <w14:srgbClr w14:val="000000">
                      <w14:alpha w14:val="100000"/>
                    </w14:srgbClr>
                  </w14:solidFill>
                </w14:textFill>
              </w:rPr>
              <w:t>|</w:t>
            </w:r>
            <w:r w:rsidR="00FD29C8" w:rsidRPr="0031709B">
              <w:rPr>
                <w:rFonts w:cs="Arial"/>
                <w:color w:val="000000"/>
                <w:szCs w:val="20"/>
                <w:vertAlign w:val="superscript"/>
              </w:rPr>
              <w:t>1</w:t>
            </w:r>
          </w:p>
        </w:tc>
      </w:tr>
      <w:tr w:rsidR="00976BE2" w:rsidRPr="000B52C6" w14:paraId="35917401" w14:textId="77777777" w:rsidTr="00F749FC">
        <w:tc>
          <w:tcPr>
            <w:tcW w:w="9017" w:type="dxa"/>
            <w:gridSpan w:val="7"/>
            <w:tcBorders>
              <w:top w:val="single" w:sz="4" w:space="0" w:color="auto"/>
              <w:left w:val="single" w:sz="4" w:space="0" w:color="auto"/>
              <w:bottom w:val="single" w:sz="4" w:space="0" w:color="auto"/>
              <w:right w:val="single" w:sz="4" w:space="0" w:color="auto"/>
            </w:tcBorders>
            <w:hideMark/>
          </w:tcPr>
          <w:p w14:paraId="7888DCF4" w14:textId="77777777" w:rsidR="00976BE2" w:rsidRPr="000B52C6" w:rsidRDefault="00976BE2" w:rsidP="00F749FC">
            <w:pPr>
              <w:pStyle w:val="In-tableHeading"/>
              <w:rPr>
                <w:lang w:val="en-AU"/>
              </w:rPr>
            </w:pPr>
            <w:r w:rsidRPr="000B52C6">
              <w:rPr>
                <w:lang w:val="en-AU"/>
              </w:rPr>
              <w:t>Assumed proportions of once- and twice weekly carfilzomib scripts (base case 80%/20%)</w:t>
            </w:r>
          </w:p>
        </w:tc>
      </w:tr>
      <w:tr w:rsidR="00976BE2" w:rsidRPr="000B52C6" w14:paraId="03FCFF46" w14:textId="77777777" w:rsidTr="00F749FC">
        <w:tc>
          <w:tcPr>
            <w:tcW w:w="2423" w:type="dxa"/>
            <w:tcBorders>
              <w:top w:val="single" w:sz="4" w:space="0" w:color="auto"/>
              <w:left w:val="single" w:sz="4" w:space="0" w:color="auto"/>
              <w:bottom w:val="single" w:sz="4" w:space="0" w:color="auto"/>
              <w:right w:val="single" w:sz="4" w:space="0" w:color="auto"/>
            </w:tcBorders>
            <w:hideMark/>
          </w:tcPr>
          <w:p w14:paraId="6DDEDE94" w14:textId="3ECE4E38" w:rsidR="00976BE2" w:rsidRPr="000B52C6" w:rsidRDefault="00976BE2" w:rsidP="00F749FC">
            <w:pPr>
              <w:pStyle w:val="TableText0"/>
            </w:pPr>
            <w:r w:rsidRPr="000B52C6">
              <w:t>70%/30%</w:t>
            </w:r>
            <w:r w:rsidR="00FD29C8">
              <w:t xml:space="preserve"> ($)</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A0DD2FF" w14:textId="5EB9FAF1" w:rsidR="00976BE2" w:rsidRPr="00D27599" w:rsidRDefault="00DB2D11" w:rsidP="00F749FC">
            <w:pPr>
              <w:pStyle w:val="TableText0"/>
              <w:rPr>
                <w:highlight w:val="yellow"/>
              </w:rPr>
            </w:pPr>
            <w:r w:rsidRPr="00DB2D11">
              <w:rPr>
                <w:rFonts w:cs="Arial"/>
                <w:color w:val="000000"/>
                <w:spacing w:val="53"/>
                <w:szCs w:val="20"/>
                <w:shd w:val="solid" w:color="000000" w:fill="000000"/>
                <w:fitText w:val="331" w:id="-1500846079"/>
                <w14:textFill>
                  <w14:solidFill>
                    <w14:srgbClr w14:val="000000">
                      <w14:alpha w14:val="100000"/>
                    </w14:srgbClr>
                  </w14:solidFill>
                </w14:textFill>
              </w:rPr>
              <w:t>|||</w:t>
            </w:r>
            <w:r w:rsidRPr="00DB2D11">
              <w:rPr>
                <w:rFonts w:cs="Arial"/>
                <w:color w:val="000000"/>
                <w:spacing w:val="2"/>
                <w:szCs w:val="20"/>
                <w:shd w:val="solid" w:color="000000" w:fill="000000"/>
                <w:fitText w:val="331" w:id="-1500846079"/>
                <w14:textFill>
                  <w14:solidFill>
                    <w14:srgbClr w14:val="000000">
                      <w14:alpha w14:val="100000"/>
                    </w14:srgbClr>
                  </w14:solidFill>
                </w14:textFill>
              </w:rPr>
              <w:t>|</w:t>
            </w:r>
            <w:r w:rsidR="00FD29C8" w:rsidRPr="0031709B">
              <w:rPr>
                <w:rFonts w:cs="Arial"/>
                <w:color w:val="000000"/>
                <w:szCs w:val="20"/>
                <w:vertAlign w:val="superscript"/>
              </w:rPr>
              <w:t>1</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F644499" w14:textId="3A622E74" w:rsidR="00976BE2" w:rsidRPr="00D27599" w:rsidRDefault="00DB2D11" w:rsidP="00F749FC">
            <w:pPr>
              <w:pStyle w:val="TableText0"/>
              <w:rPr>
                <w:highlight w:val="yellow"/>
              </w:rPr>
            </w:pPr>
            <w:r w:rsidRPr="00DB2D11">
              <w:rPr>
                <w:rFonts w:cs="Arial"/>
                <w:color w:val="000000"/>
                <w:spacing w:val="53"/>
                <w:szCs w:val="20"/>
                <w:shd w:val="solid" w:color="000000" w:fill="000000"/>
                <w:fitText w:val="331" w:id="-1500846078"/>
                <w14:textFill>
                  <w14:solidFill>
                    <w14:srgbClr w14:val="000000">
                      <w14:alpha w14:val="100000"/>
                    </w14:srgbClr>
                  </w14:solidFill>
                </w14:textFill>
              </w:rPr>
              <w:t>|||</w:t>
            </w:r>
            <w:r w:rsidRPr="00DB2D11">
              <w:rPr>
                <w:rFonts w:cs="Arial"/>
                <w:color w:val="000000"/>
                <w:spacing w:val="2"/>
                <w:szCs w:val="20"/>
                <w:shd w:val="solid" w:color="000000" w:fill="000000"/>
                <w:fitText w:val="331" w:id="-1500846078"/>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4A871C1" w14:textId="49DC7A7F" w:rsidR="00976BE2" w:rsidRPr="00D27599" w:rsidRDefault="00DB2D11" w:rsidP="00F749FC">
            <w:pPr>
              <w:pStyle w:val="TableText0"/>
              <w:rPr>
                <w:highlight w:val="yellow"/>
              </w:rPr>
            </w:pPr>
            <w:r w:rsidRPr="00DB2D11">
              <w:rPr>
                <w:rFonts w:cs="Arial"/>
                <w:color w:val="000000"/>
                <w:spacing w:val="53"/>
                <w:szCs w:val="20"/>
                <w:shd w:val="solid" w:color="000000" w:fill="000000"/>
                <w:fitText w:val="332" w:id="-1500846077"/>
                <w14:textFill>
                  <w14:solidFill>
                    <w14:srgbClr w14:val="000000">
                      <w14:alpha w14:val="100000"/>
                    </w14:srgbClr>
                  </w14:solidFill>
                </w14:textFill>
              </w:rPr>
              <w:t>|||</w:t>
            </w:r>
            <w:r w:rsidRPr="00DB2D11">
              <w:rPr>
                <w:rFonts w:cs="Arial"/>
                <w:color w:val="000000"/>
                <w:spacing w:val="3"/>
                <w:szCs w:val="20"/>
                <w:shd w:val="solid" w:color="000000" w:fill="000000"/>
                <w:fitText w:val="332" w:id="-1500846077"/>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D20E097" w14:textId="1C22DC92" w:rsidR="00976BE2" w:rsidRPr="00D27599" w:rsidRDefault="00DB2D11" w:rsidP="00F749FC">
            <w:pPr>
              <w:pStyle w:val="TableText0"/>
              <w:rPr>
                <w:highlight w:val="yellow"/>
              </w:rPr>
            </w:pPr>
            <w:r w:rsidRPr="00DB2D11">
              <w:rPr>
                <w:rFonts w:cs="Arial"/>
                <w:color w:val="000000"/>
                <w:spacing w:val="53"/>
                <w:szCs w:val="20"/>
                <w:shd w:val="solid" w:color="000000" w:fill="000000"/>
                <w:fitText w:val="331" w:id="-1500846076"/>
                <w14:textFill>
                  <w14:solidFill>
                    <w14:srgbClr w14:val="000000">
                      <w14:alpha w14:val="100000"/>
                    </w14:srgbClr>
                  </w14:solidFill>
                </w14:textFill>
              </w:rPr>
              <w:t>|||</w:t>
            </w:r>
            <w:r w:rsidRPr="00DB2D11">
              <w:rPr>
                <w:rFonts w:cs="Arial"/>
                <w:color w:val="000000"/>
                <w:spacing w:val="2"/>
                <w:szCs w:val="20"/>
                <w:shd w:val="solid" w:color="000000" w:fill="000000"/>
                <w:fitText w:val="331" w:id="-1500846076"/>
                <w14:textFill>
                  <w14:solidFill>
                    <w14:srgbClr w14:val="000000">
                      <w14:alpha w14:val="100000"/>
                    </w14:srgbClr>
                  </w14:solidFill>
                </w14:textFill>
              </w:rPr>
              <w:t>|</w:t>
            </w:r>
            <w:r w:rsidR="00FD29C8" w:rsidRPr="0031709B">
              <w:rPr>
                <w:rFonts w:cs="Arial"/>
                <w:color w:val="000000"/>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154D4C6" w14:textId="0B39D9FF" w:rsidR="00976BE2" w:rsidRPr="00D27599" w:rsidRDefault="00DB2D11" w:rsidP="00F749FC">
            <w:pPr>
              <w:pStyle w:val="TableText0"/>
              <w:rPr>
                <w:highlight w:val="yellow"/>
              </w:rPr>
            </w:pPr>
            <w:r w:rsidRPr="00DB2D11">
              <w:rPr>
                <w:rFonts w:cs="Arial"/>
                <w:color w:val="000000"/>
                <w:spacing w:val="53"/>
                <w:szCs w:val="20"/>
                <w:shd w:val="solid" w:color="000000" w:fill="000000"/>
                <w:fitText w:val="331" w:id="-1500846075"/>
                <w14:textFill>
                  <w14:solidFill>
                    <w14:srgbClr w14:val="000000">
                      <w14:alpha w14:val="100000"/>
                    </w14:srgbClr>
                  </w14:solidFill>
                </w14:textFill>
              </w:rPr>
              <w:t>|||</w:t>
            </w:r>
            <w:r w:rsidRPr="00DB2D11">
              <w:rPr>
                <w:rFonts w:cs="Arial"/>
                <w:color w:val="000000"/>
                <w:spacing w:val="2"/>
                <w:szCs w:val="20"/>
                <w:shd w:val="solid" w:color="000000" w:fill="000000"/>
                <w:fitText w:val="331" w:id="-1500846075"/>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E739A8E" w14:textId="3575B800" w:rsidR="00976BE2" w:rsidRPr="00D27599" w:rsidRDefault="00DB2D11" w:rsidP="00F749FC">
            <w:pPr>
              <w:pStyle w:val="TableText0"/>
              <w:rPr>
                <w:highlight w:val="yellow"/>
              </w:rPr>
            </w:pPr>
            <w:r w:rsidRPr="00DB2D11">
              <w:rPr>
                <w:rFonts w:cs="Arial"/>
                <w:color w:val="000000"/>
                <w:spacing w:val="53"/>
                <w:szCs w:val="20"/>
                <w:shd w:val="solid" w:color="000000" w:fill="000000"/>
                <w:fitText w:val="331" w:id="-1500846074"/>
                <w14:textFill>
                  <w14:solidFill>
                    <w14:srgbClr w14:val="000000">
                      <w14:alpha w14:val="100000"/>
                    </w14:srgbClr>
                  </w14:solidFill>
                </w14:textFill>
              </w:rPr>
              <w:t>|||</w:t>
            </w:r>
            <w:r w:rsidRPr="00DB2D11">
              <w:rPr>
                <w:rFonts w:cs="Arial"/>
                <w:color w:val="000000"/>
                <w:spacing w:val="2"/>
                <w:szCs w:val="20"/>
                <w:shd w:val="solid" w:color="000000" w:fill="000000"/>
                <w:fitText w:val="331" w:id="-1500846074"/>
                <w14:textFill>
                  <w14:solidFill>
                    <w14:srgbClr w14:val="000000">
                      <w14:alpha w14:val="100000"/>
                    </w14:srgbClr>
                  </w14:solidFill>
                </w14:textFill>
              </w:rPr>
              <w:t>|</w:t>
            </w:r>
            <w:r w:rsidR="00FD29C8" w:rsidRPr="0031709B">
              <w:rPr>
                <w:rFonts w:cs="Arial"/>
                <w:color w:val="000000"/>
                <w:szCs w:val="20"/>
                <w:vertAlign w:val="superscript"/>
              </w:rPr>
              <w:t>1</w:t>
            </w:r>
          </w:p>
        </w:tc>
      </w:tr>
      <w:tr w:rsidR="00976BE2" w:rsidRPr="000B52C6" w14:paraId="2DF8CE94" w14:textId="77777777" w:rsidTr="00F749FC">
        <w:tc>
          <w:tcPr>
            <w:tcW w:w="2423" w:type="dxa"/>
            <w:tcBorders>
              <w:top w:val="single" w:sz="4" w:space="0" w:color="auto"/>
              <w:left w:val="single" w:sz="4" w:space="0" w:color="auto"/>
              <w:bottom w:val="single" w:sz="4" w:space="0" w:color="auto"/>
              <w:right w:val="single" w:sz="4" w:space="0" w:color="auto"/>
            </w:tcBorders>
            <w:hideMark/>
          </w:tcPr>
          <w:p w14:paraId="62B2AD03" w14:textId="76575D30" w:rsidR="00976BE2" w:rsidRPr="000B52C6" w:rsidRDefault="00976BE2" w:rsidP="00F749FC">
            <w:pPr>
              <w:pStyle w:val="TableText0"/>
            </w:pPr>
            <w:r w:rsidRPr="000B52C6">
              <w:t>60%/40%</w:t>
            </w:r>
            <w:r w:rsidR="00FD29C8">
              <w:t xml:space="preserve"> ($)</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BA432E3" w14:textId="47BBFB40" w:rsidR="00976BE2" w:rsidRPr="000B52C6" w:rsidRDefault="00976BE2" w:rsidP="00F749FC">
            <w:pPr>
              <w:pStyle w:val="TableText0"/>
            </w:pPr>
            <w:r w:rsidRPr="000B52C6">
              <w:rPr>
                <w:rFonts w:cs="Arial"/>
                <w:szCs w:val="20"/>
              </w:rPr>
              <w:t>-</w:t>
            </w:r>
            <w:r w:rsidR="00DB2D11" w:rsidRPr="00DB2D11">
              <w:rPr>
                <w:rFonts w:cs="Arial"/>
                <w:color w:val="000000"/>
                <w:spacing w:val="53"/>
                <w:szCs w:val="20"/>
                <w:shd w:val="solid" w:color="000000" w:fill="000000"/>
                <w:fitText w:val="331" w:id="-1500846073"/>
                <w14:textFill>
                  <w14:solidFill>
                    <w14:srgbClr w14:val="000000">
                      <w14:alpha w14:val="100000"/>
                    </w14:srgbClr>
                  </w14:solidFill>
                </w14:textFill>
              </w:rPr>
              <w:t>|||</w:t>
            </w:r>
            <w:r w:rsidR="00DB2D11" w:rsidRPr="00DB2D11">
              <w:rPr>
                <w:rFonts w:cs="Arial"/>
                <w:color w:val="000000"/>
                <w:spacing w:val="2"/>
                <w:szCs w:val="20"/>
                <w:shd w:val="solid" w:color="000000" w:fill="000000"/>
                <w:fitText w:val="331" w:id="-1500846073"/>
                <w14:textFill>
                  <w14:solidFill>
                    <w14:srgbClr w14:val="000000">
                      <w14:alpha w14:val="100000"/>
                    </w14:srgbClr>
                  </w14:solidFill>
                </w14:textFill>
              </w:rPr>
              <w:t>|</w:t>
            </w:r>
            <w:r w:rsidR="00FD29C8" w:rsidRPr="0031709B">
              <w:rPr>
                <w:rFonts w:cs="Arial"/>
                <w:color w:val="000000"/>
                <w:szCs w:val="20"/>
                <w:vertAlign w:val="superscript"/>
              </w:rPr>
              <w:t>1</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54136C2" w14:textId="3DE58DC6" w:rsidR="00976BE2" w:rsidRPr="000B52C6" w:rsidRDefault="00976BE2" w:rsidP="00F749FC">
            <w:pPr>
              <w:pStyle w:val="TableText0"/>
            </w:pPr>
            <w:r w:rsidRPr="000B52C6">
              <w:rPr>
                <w:rFonts w:cs="Arial"/>
                <w:szCs w:val="20"/>
              </w:rPr>
              <w:t>-</w:t>
            </w:r>
            <w:r w:rsidR="00DB2D11" w:rsidRPr="00DB2D11">
              <w:rPr>
                <w:rFonts w:cs="Arial"/>
                <w:color w:val="000000"/>
                <w:spacing w:val="53"/>
                <w:szCs w:val="20"/>
                <w:shd w:val="solid" w:color="000000" w:fill="000000"/>
                <w:fitText w:val="331" w:id="-1500846072"/>
                <w14:textFill>
                  <w14:solidFill>
                    <w14:srgbClr w14:val="000000">
                      <w14:alpha w14:val="100000"/>
                    </w14:srgbClr>
                  </w14:solidFill>
                </w14:textFill>
              </w:rPr>
              <w:t>|||</w:t>
            </w:r>
            <w:r w:rsidR="00DB2D11" w:rsidRPr="00DB2D11">
              <w:rPr>
                <w:rFonts w:cs="Arial"/>
                <w:color w:val="000000"/>
                <w:spacing w:val="2"/>
                <w:szCs w:val="20"/>
                <w:shd w:val="solid" w:color="000000" w:fill="000000"/>
                <w:fitText w:val="331" w:id="-1500846072"/>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1DE99E7" w14:textId="36A6BD11" w:rsidR="00976BE2" w:rsidRPr="00D27599" w:rsidRDefault="00DB2D11" w:rsidP="00F749FC">
            <w:pPr>
              <w:pStyle w:val="TableText0"/>
              <w:rPr>
                <w:highlight w:val="yellow"/>
              </w:rPr>
            </w:pPr>
            <w:r w:rsidRPr="00DB2D11">
              <w:rPr>
                <w:rFonts w:cs="Arial"/>
                <w:color w:val="000000"/>
                <w:spacing w:val="53"/>
                <w:szCs w:val="20"/>
                <w:shd w:val="solid" w:color="000000" w:fill="000000"/>
                <w:fitText w:val="332" w:id="-1500846071"/>
                <w14:textFill>
                  <w14:solidFill>
                    <w14:srgbClr w14:val="000000">
                      <w14:alpha w14:val="100000"/>
                    </w14:srgbClr>
                  </w14:solidFill>
                </w14:textFill>
              </w:rPr>
              <w:t>|||</w:t>
            </w:r>
            <w:r w:rsidRPr="00DB2D11">
              <w:rPr>
                <w:rFonts w:cs="Arial"/>
                <w:color w:val="000000"/>
                <w:spacing w:val="3"/>
                <w:szCs w:val="20"/>
                <w:shd w:val="solid" w:color="000000" w:fill="000000"/>
                <w:fitText w:val="332" w:id="-1500846071"/>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3C2FC33" w14:textId="4DE28BA6" w:rsidR="00976BE2" w:rsidRPr="00D27599" w:rsidRDefault="00DB2D11" w:rsidP="00F749FC">
            <w:pPr>
              <w:pStyle w:val="TableText0"/>
              <w:rPr>
                <w:highlight w:val="yellow"/>
              </w:rPr>
            </w:pPr>
            <w:r w:rsidRPr="00DB2D11">
              <w:rPr>
                <w:rFonts w:cs="Arial"/>
                <w:color w:val="000000"/>
                <w:spacing w:val="53"/>
                <w:szCs w:val="20"/>
                <w:shd w:val="solid" w:color="000000" w:fill="000000"/>
                <w:fitText w:val="331" w:id="-1500846070"/>
                <w14:textFill>
                  <w14:solidFill>
                    <w14:srgbClr w14:val="000000">
                      <w14:alpha w14:val="100000"/>
                    </w14:srgbClr>
                  </w14:solidFill>
                </w14:textFill>
              </w:rPr>
              <w:t>|||</w:t>
            </w:r>
            <w:r w:rsidRPr="00DB2D11">
              <w:rPr>
                <w:rFonts w:cs="Arial"/>
                <w:color w:val="000000"/>
                <w:spacing w:val="2"/>
                <w:szCs w:val="20"/>
                <w:shd w:val="solid" w:color="000000" w:fill="000000"/>
                <w:fitText w:val="331" w:id="-1500846070"/>
                <w14:textFill>
                  <w14:solidFill>
                    <w14:srgbClr w14:val="000000">
                      <w14:alpha w14:val="100000"/>
                    </w14:srgbClr>
                  </w14:solidFill>
                </w14:textFill>
              </w:rPr>
              <w:t>|</w:t>
            </w:r>
            <w:r w:rsidR="00FD29C8" w:rsidRPr="0031709B">
              <w:rPr>
                <w:rFonts w:cs="Arial"/>
                <w:color w:val="000000"/>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A51FCBC" w14:textId="55EC87E8" w:rsidR="00976BE2" w:rsidRPr="00D27599" w:rsidRDefault="00DB2D11" w:rsidP="00F749FC">
            <w:pPr>
              <w:pStyle w:val="TableText0"/>
              <w:rPr>
                <w:highlight w:val="yellow"/>
              </w:rPr>
            </w:pPr>
            <w:r w:rsidRPr="00DB2D11">
              <w:rPr>
                <w:rFonts w:cs="Arial"/>
                <w:color w:val="000000"/>
                <w:spacing w:val="53"/>
                <w:szCs w:val="20"/>
                <w:shd w:val="solid" w:color="000000" w:fill="000000"/>
                <w:fitText w:val="331" w:id="-1500846069"/>
                <w14:textFill>
                  <w14:solidFill>
                    <w14:srgbClr w14:val="000000">
                      <w14:alpha w14:val="100000"/>
                    </w14:srgbClr>
                  </w14:solidFill>
                </w14:textFill>
              </w:rPr>
              <w:t>|||</w:t>
            </w:r>
            <w:r w:rsidRPr="00DB2D11">
              <w:rPr>
                <w:rFonts w:cs="Arial"/>
                <w:color w:val="000000"/>
                <w:spacing w:val="2"/>
                <w:szCs w:val="20"/>
                <w:shd w:val="solid" w:color="000000" w:fill="000000"/>
                <w:fitText w:val="331" w:id="-1500846069"/>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659615D" w14:textId="1E0B7295" w:rsidR="00976BE2" w:rsidRPr="00D27599" w:rsidRDefault="00DB2D11" w:rsidP="00F749FC">
            <w:pPr>
              <w:pStyle w:val="TableText0"/>
              <w:rPr>
                <w:highlight w:val="yellow"/>
              </w:rPr>
            </w:pPr>
            <w:r w:rsidRPr="00DB2D11">
              <w:rPr>
                <w:rFonts w:cs="Arial"/>
                <w:color w:val="000000"/>
                <w:spacing w:val="53"/>
                <w:szCs w:val="20"/>
                <w:shd w:val="solid" w:color="000000" w:fill="000000"/>
                <w:fitText w:val="331" w:id="-1500846068"/>
                <w14:textFill>
                  <w14:solidFill>
                    <w14:srgbClr w14:val="000000">
                      <w14:alpha w14:val="100000"/>
                    </w14:srgbClr>
                  </w14:solidFill>
                </w14:textFill>
              </w:rPr>
              <w:t>|||</w:t>
            </w:r>
            <w:r w:rsidRPr="00DB2D11">
              <w:rPr>
                <w:rFonts w:cs="Arial"/>
                <w:color w:val="000000"/>
                <w:spacing w:val="2"/>
                <w:szCs w:val="20"/>
                <w:shd w:val="solid" w:color="000000" w:fill="000000"/>
                <w:fitText w:val="331" w:id="-1500846068"/>
                <w14:textFill>
                  <w14:solidFill>
                    <w14:srgbClr w14:val="000000">
                      <w14:alpha w14:val="100000"/>
                    </w14:srgbClr>
                  </w14:solidFill>
                </w14:textFill>
              </w:rPr>
              <w:t>|</w:t>
            </w:r>
            <w:r w:rsidR="00FD29C8" w:rsidRPr="0031709B">
              <w:rPr>
                <w:rFonts w:cs="Arial"/>
                <w:color w:val="000000"/>
                <w:szCs w:val="20"/>
                <w:vertAlign w:val="superscript"/>
              </w:rPr>
              <w:t>1</w:t>
            </w:r>
          </w:p>
        </w:tc>
      </w:tr>
      <w:tr w:rsidR="00976BE2" w:rsidRPr="000B52C6" w14:paraId="1AD0B275" w14:textId="77777777" w:rsidTr="00F749FC">
        <w:tc>
          <w:tcPr>
            <w:tcW w:w="2423" w:type="dxa"/>
            <w:tcBorders>
              <w:top w:val="single" w:sz="4" w:space="0" w:color="auto"/>
              <w:left w:val="single" w:sz="4" w:space="0" w:color="auto"/>
              <w:bottom w:val="single" w:sz="4" w:space="0" w:color="auto"/>
              <w:right w:val="single" w:sz="4" w:space="0" w:color="auto"/>
            </w:tcBorders>
            <w:hideMark/>
          </w:tcPr>
          <w:p w14:paraId="174C1D32" w14:textId="109EFFF7" w:rsidR="00976BE2" w:rsidRPr="000B52C6" w:rsidRDefault="00976BE2" w:rsidP="00F749FC">
            <w:pPr>
              <w:pStyle w:val="TableText0"/>
            </w:pPr>
            <w:r w:rsidRPr="000B52C6">
              <w:t>50%/50%</w:t>
            </w:r>
            <w:r w:rsidR="00FD29C8">
              <w:t xml:space="preserve"> ($)</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E08D204" w14:textId="1F4B69FE" w:rsidR="00976BE2" w:rsidRPr="000B52C6" w:rsidRDefault="00976BE2" w:rsidP="00F749FC">
            <w:pPr>
              <w:pStyle w:val="TableText0"/>
            </w:pPr>
            <w:r w:rsidRPr="000B52C6">
              <w:rPr>
                <w:rFonts w:cs="Arial"/>
                <w:szCs w:val="20"/>
              </w:rPr>
              <w:t>-</w:t>
            </w:r>
            <w:r w:rsidR="00DB2D11" w:rsidRPr="00DB2D11">
              <w:rPr>
                <w:rFonts w:cs="Arial"/>
                <w:color w:val="000000"/>
                <w:spacing w:val="53"/>
                <w:szCs w:val="20"/>
                <w:shd w:val="solid" w:color="000000" w:fill="000000"/>
                <w:fitText w:val="331" w:id="-1500846067"/>
                <w14:textFill>
                  <w14:solidFill>
                    <w14:srgbClr w14:val="000000">
                      <w14:alpha w14:val="100000"/>
                    </w14:srgbClr>
                  </w14:solidFill>
                </w14:textFill>
              </w:rPr>
              <w:t>|||</w:t>
            </w:r>
            <w:r w:rsidR="00DB2D11" w:rsidRPr="00DB2D11">
              <w:rPr>
                <w:rFonts w:cs="Arial"/>
                <w:color w:val="000000"/>
                <w:spacing w:val="2"/>
                <w:szCs w:val="20"/>
                <w:shd w:val="solid" w:color="000000" w:fill="000000"/>
                <w:fitText w:val="331" w:id="-1500846067"/>
                <w14:textFill>
                  <w14:solidFill>
                    <w14:srgbClr w14:val="000000">
                      <w14:alpha w14:val="100000"/>
                    </w14:srgbClr>
                  </w14:solidFill>
                </w14:textFill>
              </w:rPr>
              <w:t>|</w:t>
            </w:r>
            <w:r w:rsidR="00FD29C8" w:rsidRPr="0031709B">
              <w:rPr>
                <w:rFonts w:cs="Arial"/>
                <w:color w:val="000000"/>
                <w:szCs w:val="20"/>
                <w:vertAlign w:val="superscript"/>
              </w:rPr>
              <w:t>1</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36DCEE7" w14:textId="1C0DD09A" w:rsidR="00976BE2" w:rsidRPr="000B52C6" w:rsidRDefault="00976BE2" w:rsidP="00F749FC">
            <w:pPr>
              <w:pStyle w:val="TableText0"/>
            </w:pPr>
            <w:r w:rsidRPr="000B52C6">
              <w:rPr>
                <w:rFonts w:cs="Arial"/>
                <w:szCs w:val="20"/>
              </w:rPr>
              <w:t>-</w:t>
            </w:r>
            <w:r w:rsidR="00DB2D11" w:rsidRPr="00DB2D11">
              <w:rPr>
                <w:rFonts w:cs="Arial"/>
                <w:color w:val="000000"/>
                <w:spacing w:val="53"/>
                <w:szCs w:val="20"/>
                <w:shd w:val="solid" w:color="000000" w:fill="000000"/>
                <w:fitText w:val="331" w:id="-1500846066"/>
                <w14:textFill>
                  <w14:solidFill>
                    <w14:srgbClr w14:val="000000">
                      <w14:alpha w14:val="100000"/>
                    </w14:srgbClr>
                  </w14:solidFill>
                </w14:textFill>
              </w:rPr>
              <w:t>|||</w:t>
            </w:r>
            <w:r w:rsidR="00DB2D11" w:rsidRPr="00DB2D11">
              <w:rPr>
                <w:rFonts w:cs="Arial"/>
                <w:color w:val="000000"/>
                <w:spacing w:val="2"/>
                <w:szCs w:val="20"/>
                <w:shd w:val="solid" w:color="000000" w:fill="000000"/>
                <w:fitText w:val="331" w:id="-1500846066"/>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6A73986" w14:textId="5BFCD096" w:rsidR="00976BE2" w:rsidRPr="00D27599" w:rsidRDefault="00DB2D11" w:rsidP="00F749FC">
            <w:pPr>
              <w:pStyle w:val="TableText0"/>
              <w:rPr>
                <w:highlight w:val="yellow"/>
              </w:rPr>
            </w:pPr>
            <w:r w:rsidRPr="00DB2D11">
              <w:rPr>
                <w:rFonts w:cs="Arial"/>
                <w:color w:val="000000"/>
                <w:spacing w:val="53"/>
                <w:szCs w:val="20"/>
                <w:shd w:val="solid" w:color="000000" w:fill="000000"/>
                <w:fitText w:val="332" w:id="-1500846065"/>
                <w14:textFill>
                  <w14:solidFill>
                    <w14:srgbClr w14:val="000000">
                      <w14:alpha w14:val="100000"/>
                    </w14:srgbClr>
                  </w14:solidFill>
                </w14:textFill>
              </w:rPr>
              <w:t>|||</w:t>
            </w:r>
            <w:r w:rsidRPr="00DB2D11">
              <w:rPr>
                <w:rFonts w:cs="Arial"/>
                <w:color w:val="000000"/>
                <w:spacing w:val="3"/>
                <w:szCs w:val="20"/>
                <w:shd w:val="solid" w:color="000000" w:fill="000000"/>
                <w:fitText w:val="332" w:id="-1500846065"/>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856C012" w14:textId="40C94EF9" w:rsidR="00976BE2" w:rsidRPr="00D27599" w:rsidRDefault="00DB2D11" w:rsidP="00F749FC">
            <w:pPr>
              <w:pStyle w:val="TableText0"/>
              <w:rPr>
                <w:highlight w:val="yellow"/>
              </w:rPr>
            </w:pPr>
            <w:r w:rsidRPr="00DB2D11">
              <w:rPr>
                <w:rFonts w:cs="Arial"/>
                <w:color w:val="000000"/>
                <w:spacing w:val="53"/>
                <w:szCs w:val="20"/>
                <w:shd w:val="solid" w:color="000000" w:fill="000000"/>
                <w:fitText w:val="331" w:id="-1500846064"/>
                <w14:textFill>
                  <w14:solidFill>
                    <w14:srgbClr w14:val="000000">
                      <w14:alpha w14:val="100000"/>
                    </w14:srgbClr>
                  </w14:solidFill>
                </w14:textFill>
              </w:rPr>
              <w:t>|||</w:t>
            </w:r>
            <w:r w:rsidRPr="00DB2D11">
              <w:rPr>
                <w:rFonts w:cs="Arial"/>
                <w:color w:val="000000"/>
                <w:spacing w:val="2"/>
                <w:szCs w:val="20"/>
                <w:shd w:val="solid" w:color="000000" w:fill="000000"/>
                <w:fitText w:val="331" w:id="-1500846064"/>
                <w14:textFill>
                  <w14:solidFill>
                    <w14:srgbClr w14:val="000000">
                      <w14:alpha w14:val="100000"/>
                    </w14:srgbClr>
                  </w14:solidFill>
                </w14:textFill>
              </w:rPr>
              <w:t>|</w:t>
            </w:r>
            <w:r w:rsidR="00FD29C8" w:rsidRPr="0031709B">
              <w:rPr>
                <w:rFonts w:cs="Arial"/>
                <w:color w:val="000000"/>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31325B8" w14:textId="629A05DC" w:rsidR="00976BE2" w:rsidRPr="00D27599" w:rsidRDefault="00DB2D11" w:rsidP="00F749FC">
            <w:pPr>
              <w:pStyle w:val="TableText0"/>
              <w:rPr>
                <w:highlight w:val="yellow"/>
              </w:rPr>
            </w:pPr>
            <w:r w:rsidRPr="00DB2D11">
              <w:rPr>
                <w:rFonts w:cs="Arial"/>
                <w:color w:val="000000"/>
                <w:spacing w:val="53"/>
                <w:szCs w:val="20"/>
                <w:shd w:val="solid" w:color="000000" w:fill="000000"/>
                <w:fitText w:val="331" w:id="-1500846080"/>
                <w14:textFill>
                  <w14:solidFill>
                    <w14:srgbClr w14:val="000000">
                      <w14:alpha w14:val="100000"/>
                    </w14:srgbClr>
                  </w14:solidFill>
                </w14:textFill>
              </w:rPr>
              <w:t>|||</w:t>
            </w:r>
            <w:r w:rsidRPr="00DB2D11">
              <w:rPr>
                <w:rFonts w:cs="Arial"/>
                <w:color w:val="000000"/>
                <w:spacing w:val="2"/>
                <w:szCs w:val="20"/>
                <w:shd w:val="solid" w:color="000000" w:fill="000000"/>
                <w:fitText w:val="331" w:id="-1500846080"/>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09AB9A5" w14:textId="6278EBEF" w:rsidR="00976BE2" w:rsidRPr="00D27599" w:rsidRDefault="00DB2D11" w:rsidP="00F749FC">
            <w:pPr>
              <w:pStyle w:val="TableText0"/>
              <w:rPr>
                <w:highlight w:val="yellow"/>
              </w:rPr>
            </w:pPr>
            <w:r w:rsidRPr="00DB2D11">
              <w:rPr>
                <w:rFonts w:cs="Arial"/>
                <w:color w:val="000000"/>
                <w:spacing w:val="53"/>
                <w:szCs w:val="20"/>
                <w:shd w:val="solid" w:color="000000" w:fill="000000"/>
                <w:fitText w:val="331" w:id="-1500846079"/>
                <w14:textFill>
                  <w14:solidFill>
                    <w14:srgbClr w14:val="000000">
                      <w14:alpha w14:val="100000"/>
                    </w14:srgbClr>
                  </w14:solidFill>
                </w14:textFill>
              </w:rPr>
              <w:t>|||</w:t>
            </w:r>
            <w:r w:rsidRPr="00DB2D11">
              <w:rPr>
                <w:rFonts w:cs="Arial"/>
                <w:color w:val="000000"/>
                <w:spacing w:val="2"/>
                <w:szCs w:val="20"/>
                <w:shd w:val="solid" w:color="000000" w:fill="000000"/>
                <w:fitText w:val="331" w:id="-1500846079"/>
                <w14:textFill>
                  <w14:solidFill>
                    <w14:srgbClr w14:val="000000">
                      <w14:alpha w14:val="100000"/>
                    </w14:srgbClr>
                  </w14:solidFill>
                </w14:textFill>
              </w:rPr>
              <w:t>|</w:t>
            </w:r>
            <w:r w:rsidR="00FD29C8" w:rsidRPr="0031709B">
              <w:rPr>
                <w:rFonts w:cs="Arial"/>
                <w:color w:val="000000"/>
                <w:szCs w:val="20"/>
                <w:vertAlign w:val="superscript"/>
              </w:rPr>
              <w:t>1</w:t>
            </w:r>
          </w:p>
        </w:tc>
      </w:tr>
      <w:tr w:rsidR="00976BE2" w:rsidRPr="000B52C6" w14:paraId="4C4767C1" w14:textId="77777777" w:rsidTr="00F749FC">
        <w:tc>
          <w:tcPr>
            <w:tcW w:w="2423" w:type="dxa"/>
            <w:tcBorders>
              <w:top w:val="single" w:sz="4" w:space="0" w:color="auto"/>
              <w:left w:val="single" w:sz="4" w:space="0" w:color="auto"/>
              <w:bottom w:val="single" w:sz="4" w:space="0" w:color="auto"/>
              <w:right w:val="single" w:sz="4" w:space="0" w:color="auto"/>
            </w:tcBorders>
            <w:hideMark/>
          </w:tcPr>
          <w:p w14:paraId="66FD66AF" w14:textId="0B9B899F" w:rsidR="00976BE2" w:rsidRPr="000B52C6" w:rsidRDefault="00976BE2" w:rsidP="00F749FC">
            <w:pPr>
              <w:pStyle w:val="TableText0"/>
            </w:pPr>
            <w:r w:rsidRPr="000B52C6">
              <w:t>44%/66%</w:t>
            </w:r>
            <w:r w:rsidR="00FD29C8">
              <w:t xml:space="preserve"> ($)</w:t>
            </w:r>
          </w:p>
        </w:tc>
        <w:tc>
          <w:tcPr>
            <w:tcW w:w="1037" w:type="dxa"/>
            <w:tcBorders>
              <w:top w:val="single" w:sz="4" w:space="0" w:color="auto"/>
              <w:left w:val="single" w:sz="4" w:space="0" w:color="auto"/>
              <w:bottom w:val="single" w:sz="4" w:space="0" w:color="auto"/>
              <w:right w:val="single" w:sz="4" w:space="0" w:color="auto"/>
            </w:tcBorders>
            <w:vAlign w:val="center"/>
            <w:hideMark/>
          </w:tcPr>
          <w:p w14:paraId="22593E90" w14:textId="38501EC7" w:rsidR="00976BE2" w:rsidRPr="000B52C6" w:rsidRDefault="00976BE2" w:rsidP="00F749FC">
            <w:pPr>
              <w:pStyle w:val="TableText0"/>
            </w:pPr>
            <w:r w:rsidRPr="000B52C6">
              <w:rPr>
                <w:rFonts w:cs="Arial"/>
                <w:szCs w:val="20"/>
              </w:rPr>
              <w:t>-</w:t>
            </w:r>
            <w:r w:rsidR="00DB2D11" w:rsidRPr="00DB2D11">
              <w:rPr>
                <w:rFonts w:cs="Arial"/>
                <w:color w:val="000000"/>
                <w:spacing w:val="53"/>
                <w:szCs w:val="20"/>
                <w:shd w:val="solid" w:color="000000" w:fill="000000"/>
                <w:fitText w:val="331" w:id="-1500846078"/>
                <w14:textFill>
                  <w14:solidFill>
                    <w14:srgbClr w14:val="000000">
                      <w14:alpha w14:val="100000"/>
                    </w14:srgbClr>
                  </w14:solidFill>
                </w14:textFill>
              </w:rPr>
              <w:t>|||</w:t>
            </w:r>
            <w:r w:rsidR="00DB2D11" w:rsidRPr="00DB2D11">
              <w:rPr>
                <w:rFonts w:cs="Arial"/>
                <w:color w:val="000000"/>
                <w:spacing w:val="2"/>
                <w:szCs w:val="20"/>
                <w:shd w:val="solid" w:color="000000" w:fill="000000"/>
                <w:fitText w:val="331" w:id="-1500846078"/>
                <w14:textFill>
                  <w14:solidFill>
                    <w14:srgbClr w14:val="000000">
                      <w14:alpha w14:val="100000"/>
                    </w14:srgbClr>
                  </w14:solidFill>
                </w14:textFill>
              </w:rPr>
              <w:t>|</w:t>
            </w:r>
            <w:r w:rsidR="00FD29C8" w:rsidRPr="0031709B">
              <w:rPr>
                <w:rFonts w:cs="Arial"/>
                <w:color w:val="000000"/>
                <w:szCs w:val="20"/>
                <w:vertAlign w:val="superscript"/>
              </w:rPr>
              <w:t>1</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4C1DEDF" w14:textId="6707A769" w:rsidR="00976BE2" w:rsidRPr="000B52C6" w:rsidRDefault="00976BE2" w:rsidP="00F749FC">
            <w:pPr>
              <w:pStyle w:val="TableText0"/>
            </w:pPr>
            <w:r w:rsidRPr="000B52C6">
              <w:rPr>
                <w:rFonts w:cs="Arial"/>
                <w:szCs w:val="20"/>
              </w:rPr>
              <w:t>-</w:t>
            </w:r>
            <w:r w:rsidR="00DB2D11" w:rsidRPr="00DB2D11">
              <w:rPr>
                <w:rFonts w:cs="Arial"/>
                <w:color w:val="000000"/>
                <w:spacing w:val="53"/>
                <w:szCs w:val="20"/>
                <w:shd w:val="solid" w:color="000000" w:fill="000000"/>
                <w:fitText w:val="331" w:id="-1500846077"/>
                <w14:textFill>
                  <w14:solidFill>
                    <w14:srgbClr w14:val="000000">
                      <w14:alpha w14:val="100000"/>
                    </w14:srgbClr>
                  </w14:solidFill>
                </w14:textFill>
              </w:rPr>
              <w:t>|||</w:t>
            </w:r>
            <w:r w:rsidR="00DB2D11" w:rsidRPr="00DB2D11">
              <w:rPr>
                <w:rFonts w:cs="Arial"/>
                <w:color w:val="000000"/>
                <w:spacing w:val="2"/>
                <w:szCs w:val="20"/>
                <w:shd w:val="solid" w:color="000000" w:fill="000000"/>
                <w:fitText w:val="331" w:id="-1500846077"/>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C8FF292" w14:textId="14800A7F" w:rsidR="00976BE2" w:rsidRPr="000B52C6" w:rsidRDefault="00976BE2" w:rsidP="00F749FC">
            <w:pPr>
              <w:pStyle w:val="TableText0"/>
            </w:pPr>
            <w:r w:rsidRPr="000B52C6">
              <w:rPr>
                <w:rFonts w:cs="Arial"/>
                <w:szCs w:val="20"/>
              </w:rPr>
              <w:t>-</w:t>
            </w:r>
            <w:r w:rsidR="00DB2D11" w:rsidRPr="00DB2D11">
              <w:rPr>
                <w:rFonts w:cs="Arial"/>
                <w:color w:val="000000"/>
                <w:spacing w:val="53"/>
                <w:szCs w:val="20"/>
                <w:shd w:val="solid" w:color="000000" w:fill="000000"/>
                <w:fitText w:val="331" w:id="-1500846076"/>
                <w14:textFill>
                  <w14:solidFill>
                    <w14:srgbClr w14:val="000000">
                      <w14:alpha w14:val="100000"/>
                    </w14:srgbClr>
                  </w14:solidFill>
                </w14:textFill>
              </w:rPr>
              <w:t>|||</w:t>
            </w:r>
            <w:r w:rsidR="00DB2D11" w:rsidRPr="00DB2D11">
              <w:rPr>
                <w:rFonts w:cs="Arial"/>
                <w:color w:val="000000"/>
                <w:spacing w:val="2"/>
                <w:szCs w:val="20"/>
                <w:shd w:val="solid" w:color="000000" w:fill="000000"/>
                <w:fitText w:val="331" w:id="-1500846076"/>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959918C" w14:textId="58B6B175" w:rsidR="00976BE2" w:rsidRPr="000B52C6" w:rsidRDefault="00976BE2" w:rsidP="00F749FC">
            <w:pPr>
              <w:pStyle w:val="TableText0"/>
            </w:pPr>
            <w:r w:rsidRPr="000B52C6">
              <w:rPr>
                <w:rFonts w:cs="Arial"/>
                <w:szCs w:val="20"/>
              </w:rPr>
              <w:t>-</w:t>
            </w:r>
            <w:r w:rsidR="00DB2D11" w:rsidRPr="00DB2D11">
              <w:rPr>
                <w:rFonts w:cs="Arial"/>
                <w:color w:val="000000"/>
                <w:spacing w:val="53"/>
                <w:szCs w:val="20"/>
                <w:shd w:val="solid" w:color="000000" w:fill="000000"/>
                <w:fitText w:val="331" w:id="-1500846075"/>
                <w14:textFill>
                  <w14:solidFill>
                    <w14:srgbClr w14:val="000000">
                      <w14:alpha w14:val="100000"/>
                    </w14:srgbClr>
                  </w14:solidFill>
                </w14:textFill>
              </w:rPr>
              <w:t>|||</w:t>
            </w:r>
            <w:r w:rsidR="00DB2D11" w:rsidRPr="00DB2D11">
              <w:rPr>
                <w:rFonts w:cs="Arial"/>
                <w:color w:val="000000"/>
                <w:spacing w:val="2"/>
                <w:szCs w:val="20"/>
                <w:shd w:val="solid" w:color="000000" w:fill="000000"/>
                <w:fitText w:val="331" w:id="-1500846075"/>
                <w14:textFill>
                  <w14:solidFill>
                    <w14:srgbClr w14:val="000000">
                      <w14:alpha w14:val="100000"/>
                    </w14:srgbClr>
                  </w14:solidFill>
                </w14:textFill>
              </w:rPr>
              <w:t>|</w:t>
            </w:r>
            <w:r w:rsidR="00FD29C8" w:rsidRPr="0031709B">
              <w:rPr>
                <w:rFonts w:cs="Arial"/>
                <w:color w:val="000000"/>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C317EC6" w14:textId="04CCE3C8" w:rsidR="00976BE2" w:rsidRPr="000B52C6" w:rsidRDefault="00976BE2" w:rsidP="00F749FC">
            <w:pPr>
              <w:pStyle w:val="TableText0"/>
            </w:pPr>
            <w:r w:rsidRPr="000B52C6">
              <w:rPr>
                <w:rFonts w:cs="Arial"/>
                <w:szCs w:val="20"/>
              </w:rPr>
              <w:t>-</w:t>
            </w:r>
            <w:r w:rsidR="00DB2D11" w:rsidRPr="00DB2D11">
              <w:rPr>
                <w:rFonts w:cs="Arial"/>
                <w:color w:val="000000"/>
                <w:spacing w:val="53"/>
                <w:szCs w:val="20"/>
                <w:shd w:val="solid" w:color="000000" w:fill="000000"/>
                <w:fitText w:val="331" w:id="-1500846074"/>
                <w14:textFill>
                  <w14:solidFill>
                    <w14:srgbClr w14:val="000000">
                      <w14:alpha w14:val="100000"/>
                    </w14:srgbClr>
                  </w14:solidFill>
                </w14:textFill>
              </w:rPr>
              <w:t>|||</w:t>
            </w:r>
            <w:r w:rsidR="00DB2D11" w:rsidRPr="00DB2D11">
              <w:rPr>
                <w:rFonts w:cs="Arial"/>
                <w:color w:val="000000"/>
                <w:spacing w:val="2"/>
                <w:szCs w:val="20"/>
                <w:shd w:val="solid" w:color="000000" w:fill="000000"/>
                <w:fitText w:val="331" w:id="-1500846074"/>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1D966BE" w14:textId="4E0C168D" w:rsidR="00976BE2" w:rsidRPr="000B52C6" w:rsidRDefault="00976BE2" w:rsidP="00F749FC">
            <w:pPr>
              <w:pStyle w:val="TableText0"/>
            </w:pPr>
            <w:r w:rsidRPr="000B52C6">
              <w:rPr>
                <w:rFonts w:cs="Arial"/>
                <w:szCs w:val="20"/>
              </w:rPr>
              <w:t>-</w:t>
            </w:r>
            <w:r w:rsidR="00DB2D11" w:rsidRPr="00DB2D11">
              <w:rPr>
                <w:rFonts w:cs="Arial"/>
                <w:color w:val="000000"/>
                <w:spacing w:val="53"/>
                <w:szCs w:val="20"/>
                <w:shd w:val="solid" w:color="000000" w:fill="000000"/>
                <w:fitText w:val="331" w:id="-1500846073"/>
                <w14:textFill>
                  <w14:solidFill>
                    <w14:srgbClr w14:val="000000">
                      <w14:alpha w14:val="100000"/>
                    </w14:srgbClr>
                  </w14:solidFill>
                </w14:textFill>
              </w:rPr>
              <w:t>|||</w:t>
            </w:r>
            <w:r w:rsidR="00DB2D11" w:rsidRPr="00DB2D11">
              <w:rPr>
                <w:rFonts w:cs="Arial"/>
                <w:color w:val="000000"/>
                <w:spacing w:val="2"/>
                <w:szCs w:val="20"/>
                <w:shd w:val="solid" w:color="000000" w:fill="000000"/>
                <w:fitText w:val="331" w:id="-1500846073"/>
                <w14:textFill>
                  <w14:solidFill>
                    <w14:srgbClr w14:val="000000">
                      <w14:alpha w14:val="100000"/>
                    </w14:srgbClr>
                  </w14:solidFill>
                </w14:textFill>
              </w:rPr>
              <w:t>|</w:t>
            </w:r>
            <w:r w:rsidR="00FD29C8" w:rsidRPr="0031709B">
              <w:rPr>
                <w:rFonts w:cs="Arial"/>
                <w:color w:val="000000"/>
                <w:szCs w:val="20"/>
                <w:vertAlign w:val="superscript"/>
              </w:rPr>
              <w:t>1</w:t>
            </w:r>
          </w:p>
        </w:tc>
      </w:tr>
      <w:tr w:rsidR="00976BE2" w:rsidRPr="000B52C6" w14:paraId="2393D156" w14:textId="77777777" w:rsidTr="00F749FC">
        <w:tc>
          <w:tcPr>
            <w:tcW w:w="9017" w:type="dxa"/>
            <w:gridSpan w:val="7"/>
            <w:tcBorders>
              <w:top w:val="single" w:sz="4" w:space="0" w:color="auto"/>
              <w:left w:val="single" w:sz="4" w:space="0" w:color="auto"/>
              <w:bottom w:val="single" w:sz="4" w:space="0" w:color="auto"/>
              <w:right w:val="single" w:sz="4" w:space="0" w:color="auto"/>
            </w:tcBorders>
            <w:hideMark/>
          </w:tcPr>
          <w:p w14:paraId="6A64440F" w14:textId="04499C62" w:rsidR="00976BE2" w:rsidRPr="000B52C6" w:rsidRDefault="00976BE2" w:rsidP="00F749FC">
            <w:pPr>
              <w:pStyle w:val="In-tableHeading"/>
              <w:rPr>
                <w:lang w:val="en-AU"/>
              </w:rPr>
            </w:pPr>
            <w:r w:rsidRPr="000B52C6">
              <w:rPr>
                <w:lang w:val="en-AU"/>
              </w:rPr>
              <w:t xml:space="preserve">Treatment duration of Cd from </w:t>
            </w:r>
            <w:r w:rsidR="00100800" w:rsidRPr="000B52C6">
              <w:rPr>
                <w:lang w:val="en-AU"/>
              </w:rPr>
              <w:t>ENDEAVOR</w:t>
            </w:r>
            <w:r w:rsidRPr="000B52C6">
              <w:rPr>
                <w:lang w:val="en-AU"/>
              </w:rPr>
              <w:t xml:space="preserve"> (base case 49.3 weeks)</w:t>
            </w:r>
          </w:p>
        </w:tc>
      </w:tr>
      <w:tr w:rsidR="00976BE2" w:rsidRPr="000B52C6" w14:paraId="4B90197E" w14:textId="77777777" w:rsidTr="00F749FC">
        <w:tc>
          <w:tcPr>
            <w:tcW w:w="2423" w:type="dxa"/>
            <w:tcBorders>
              <w:top w:val="single" w:sz="4" w:space="0" w:color="auto"/>
              <w:left w:val="single" w:sz="4" w:space="0" w:color="auto"/>
              <w:bottom w:val="single" w:sz="4" w:space="0" w:color="auto"/>
              <w:right w:val="single" w:sz="4" w:space="0" w:color="auto"/>
            </w:tcBorders>
            <w:hideMark/>
          </w:tcPr>
          <w:p w14:paraId="1E4D63A3" w14:textId="68FB52FB" w:rsidR="00976BE2" w:rsidRPr="000B52C6" w:rsidRDefault="00976BE2" w:rsidP="00F749FC">
            <w:pPr>
              <w:pStyle w:val="TableText0"/>
            </w:pPr>
            <w:r w:rsidRPr="000B52C6">
              <w:t>48 weeks</w:t>
            </w:r>
            <w:r w:rsidR="00FD29C8">
              <w:t xml:space="preserve"> ($)</w:t>
            </w:r>
          </w:p>
        </w:tc>
        <w:tc>
          <w:tcPr>
            <w:tcW w:w="1037" w:type="dxa"/>
            <w:tcBorders>
              <w:top w:val="single" w:sz="4" w:space="0" w:color="auto"/>
              <w:left w:val="single" w:sz="4" w:space="0" w:color="auto"/>
              <w:bottom w:val="single" w:sz="4" w:space="0" w:color="auto"/>
              <w:right w:val="single" w:sz="4" w:space="0" w:color="auto"/>
            </w:tcBorders>
            <w:hideMark/>
          </w:tcPr>
          <w:p w14:paraId="19F42F72" w14:textId="73C9C322" w:rsidR="00976BE2" w:rsidRPr="00D27599" w:rsidRDefault="00DB2D11" w:rsidP="00F749FC">
            <w:pPr>
              <w:pStyle w:val="TableText0"/>
              <w:rPr>
                <w:highlight w:val="yellow"/>
              </w:rPr>
            </w:pPr>
            <w:r w:rsidRPr="00DB2D11">
              <w:rPr>
                <w:rFonts w:eastAsiaTheme="minorHAnsi"/>
                <w:color w:val="000000"/>
                <w:spacing w:val="53"/>
                <w:szCs w:val="20"/>
                <w:shd w:val="solid" w:color="000000" w:fill="000000"/>
                <w:fitText w:val="331" w:id="-1500846072"/>
                <w:lang w:eastAsia="en-US"/>
                <w14:textFill>
                  <w14:solidFill>
                    <w14:srgbClr w14:val="000000">
                      <w14:alpha w14:val="100000"/>
                    </w14:srgbClr>
                  </w14:solidFill>
                </w14:textFill>
              </w:rPr>
              <w:t>|||</w:t>
            </w:r>
            <w:r w:rsidRPr="00DB2D11">
              <w:rPr>
                <w:rFonts w:eastAsiaTheme="minorHAnsi"/>
                <w:color w:val="000000"/>
                <w:spacing w:val="2"/>
                <w:szCs w:val="20"/>
                <w:shd w:val="solid" w:color="000000" w:fill="000000"/>
                <w:fitText w:val="331" w:id="-1500846072"/>
                <w:lang w:eastAsia="en-US"/>
                <w14:textFill>
                  <w14:solidFill>
                    <w14:srgbClr w14:val="000000">
                      <w14:alpha w14:val="100000"/>
                    </w14:srgbClr>
                  </w14:solidFill>
                </w14:textFill>
              </w:rPr>
              <w:t>|</w:t>
            </w:r>
            <w:r w:rsidR="00FD29C8" w:rsidRPr="0031709B">
              <w:rPr>
                <w:rFonts w:cs="Arial"/>
                <w:color w:val="000000"/>
                <w:szCs w:val="20"/>
                <w:vertAlign w:val="superscript"/>
              </w:rPr>
              <w:t>1</w:t>
            </w:r>
          </w:p>
        </w:tc>
        <w:tc>
          <w:tcPr>
            <w:tcW w:w="1037" w:type="dxa"/>
            <w:tcBorders>
              <w:top w:val="single" w:sz="4" w:space="0" w:color="auto"/>
              <w:left w:val="single" w:sz="4" w:space="0" w:color="auto"/>
              <w:bottom w:val="single" w:sz="4" w:space="0" w:color="auto"/>
              <w:right w:val="single" w:sz="4" w:space="0" w:color="auto"/>
            </w:tcBorders>
            <w:hideMark/>
          </w:tcPr>
          <w:p w14:paraId="47CCE9FA" w14:textId="75FD31E9" w:rsidR="00976BE2" w:rsidRPr="00D27599" w:rsidRDefault="00DB2D11" w:rsidP="00F749FC">
            <w:pPr>
              <w:pStyle w:val="TableText0"/>
              <w:rPr>
                <w:highlight w:val="yellow"/>
              </w:rPr>
            </w:pPr>
            <w:r w:rsidRPr="00DB2D11">
              <w:rPr>
                <w:rFonts w:eastAsiaTheme="minorHAnsi"/>
                <w:color w:val="000000"/>
                <w:spacing w:val="53"/>
                <w:szCs w:val="20"/>
                <w:shd w:val="solid" w:color="000000" w:fill="000000"/>
                <w:fitText w:val="331" w:id="-1500846071"/>
                <w:lang w:eastAsia="en-US"/>
                <w14:textFill>
                  <w14:solidFill>
                    <w14:srgbClr w14:val="000000">
                      <w14:alpha w14:val="100000"/>
                    </w14:srgbClr>
                  </w14:solidFill>
                </w14:textFill>
              </w:rPr>
              <w:t>|||</w:t>
            </w:r>
            <w:r w:rsidRPr="00DB2D11">
              <w:rPr>
                <w:rFonts w:eastAsiaTheme="minorHAnsi"/>
                <w:color w:val="000000"/>
                <w:spacing w:val="2"/>
                <w:szCs w:val="20"/>
                <w:shd w:val="solid" w:color="000000" w:fill="000000"/>
                <w:fitText w:val="331" w:id="-1500846071"/>
                <w:lang w:eastAsia="en-US"/>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hideMark/>
          </w:tcPr>
          <w:p w14:paraId="1B38F330" w14:textId="43D991C9" w:rsidR="00976BE2" w:rsidRPr="00D27599" w:rsidRDefault="00DB2D11" w:rsidP="00F749FC">
            <w:pPr>
              <w:pStyle w:val="TableText0"/>
              <w:rPr>
                <w:highlight w:val="yellow"/>
              </w:rPr>
            </w:pPr>
            <w:r w:rsidRPr="00DB2D11">
              <w:rPr>
                <w:rFonts w:eastAsiaTheme="minorHAnsi"/>
                <w:color w:val="000000"/>
                <w:spacing w:val="53"/>
                <w:szCs w:val="20"/>
                <w:shd w:val="solid" w:color="000000" w:fill="000000"/>
                <w:fitText w:val="332" w:id="-1500846070"/>
                <w:lang w:eastAsia="en-US"/>
                <w14:textFill>
                  <w14:solidFill>
                    <w14:srgbClr w14:val="000000">
                      <w14:alpha w14:val="100000"/>
                    </w14:srgbClr>
                  </w14:solidFill>
                </w14:textFill>
              </w:rPr>
              <w:t>|||</w:t>
            </w:r>
            <w:r w:rsidRPr="00DB2D11">
              <w:rPr>
                <w:rFonts w:eastAsiaTheme="minorHAnsi"/>
                <w:color w:val="000000"/>
                <w:spacing w:val="3"/>
                <w:szCs w:val="20"/>
                <w:shd w:val="solid" w:color="000000" w:fill="000000"/>
                <w:fitText w:val="332" w:id="-1500846070"/>
                <w:lang w:eastAsia="en-US"/>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hideMark/>
          </w:tcPr>
          <w:p w14:paraId="72D64A55" w14:textId="42B2C4D8" w:rsidR="00976BE2" w:rsidRPr="00D27599" w:rsidRDefault="00DB2D11" w:rsidP="00F749FC">
            <w:pPr>
              <w:pStyle w:val="TableText0"/>
              <w:rPr>
                <w:highlight w:val="yellow"/>
              </w:rPr>
            </w:pPr>
            <w:r w:rsidRPr="00DB2D11">
              <w:rPr>
                <w:rFonts w:eastAsiaTheme="minorHAnsi"/>
                <w:color w:val="000000"/>
                <w:spacing w:val="53"/>
                <w:szCs w:val="20"/>
                <w:shd w:val="solid" w:color="000000" w:fill="000000"/>
                <w:fitText w:val="331" w:id="-1500846069"/>
                <w:lang w:eastAsia="en-US"/>
                <w14:textFill>
                  <w14:solidFill>
                    <w14:srgbClr w14:val="000000">
                      <w14:alpha w14:val="100000"/>
                    </w14:srgbClr>
                  </w14:solidFill>
                </w14:textFill>
              </w:rPr>
              <w:t>|||</w:t>
            </w:r>
            <w:r w:rsidRPr="00DB2D11">
              <w:rPr>
                <w:rFonts w:eastAsiaTheme="minorHAnsi"/>
                <w:color w:val="000000"/>
                <w:spacing w:val="2"/>
                <w:szCs w:val="20"/>
                <w:shd w:val="solid" w:color="000000" w:fill="000000"/>
                <w:fitText w:val="331" w:id="-1500846069"/>
                <w:lang w:eastAsia="en-US"/>
                <w14:textFill>
                  <w14:solidFill>
                    <w14:srgbClr w14:val="000000">
                      <w14:alpha w14:val="100000"/>
                    </w14:srgbClr>
                  </w14:solidFill>
                </w14:textFill>
              </w:rPr>
              <w:t>|</w:t>
            </w:r>
            <w:r w:rsidR="00FD29C8" w:rsidRPr="0031709B">
              <w:rPr>
                <w:rFonts w:cs="Arial"/>
                <w:color w:val="000000"/>
                <w:szCs w:val="20"/>
                <w:vertAlign w:val="superscript"/>
              </w:rPr>
              <w:t>1</w:t>
            </w:r>
          </w:p>
        </w:tc>
        <w:tc>
          <w:tcPr>
            <w:tcW w:w="1133" w:type="dxa"/>
            <w:tcBorders>
              <w:top w:val="single" w:sz="4" w:space="0" w:color="auto"/>
              <w:left w:val="single" w:sz="4" w:space="0" w:color="auto"/>
              <w:bottom w:val="single" w:sz="4" w:space="0" w:color="auto"/>
              <w:right w:val="single" w:sz="4" w:space="0" w:color="auto"/>
            </w:tcBorders>
            <w:hideMark/>
          </w:tcPr>
          <w:p w14:paraId="21EE8D2D" w14:textId="72F08997" w:rsidR="00976BE2" w:rsidRPr="00D27599" w:rsidRDefault="00DB2D11" w:rsidP="00F749FC">
            <w:pPr>
              <w:pStyle w:val="TableText0"/>
              <w:rPr>
                <w:highlight w:val="yellow"/>
              </w:rPr>
            </w:pPr>
            <w:r w:rsidRPr="00DB2D11">
              <w:rPr>
                <w:rFonts w:eastAsiaTheme="minorHAnsi"/>
                <w:color w:val="000000"/>
                <w:spacing w:val="53"/>
                <w:szCs w:val="20"/>
                <w:shd w:val="solid" w:color="000000" w:fill="000000"/>
                <w:fitText w:val="331" w:id="-1500846068"/>
                <w:lang w:eastAsia="en-US"/>
                <w14:textFill>
                  <w14:solidFill>
                    <w14:srgbClr w14:val="000000">
                      <w14:alpha w14:val="100000"/>
                    </w14:srgbClr>
                  </w14:solidFill>
                </w14:textFill>
              </w:rPr>
              <w:t>|||</w:t>
            </w:r>
            <w:r w:rsidRPr="00DB2D11">
              <w:rPr>
                <w:rFonts w:eastAsiaTheme="minorHAnsi"/>
                <w:color w:val="000000"/>
                <w:spacing w:val="2"/>
                <w:szCs w:val="20"/>
                <w:shd w:val="solid" w:color="000000" w:fill="000000"/>
                <w:fitText w:val="331" w:id="-1500846068"/>
                <w:lang w:eastAsia="en-US"/>
                <w14:textFill>
                  <w14:solidFill>
                    <w14:srgbClr w14:val="000000">
                      <w14:alpha w14:val="100000"/>
                    </w14:srgbClr>
                  </w14:solidFill>
                </w14:textFill>
              </w:rPr>
              <w:t>|</w:t>
            </w:r>
            <w:r w:rsidR="00FD29C8" w:rsidRPr="0031709B">
              <w:rPr>
                <w:rFonts w:cs="Arial"/>
                <w:color w:val="000000"/>
                <w:szCs w:val="20"/>
                <w:vertAlign w:val="superscript"/>
              </w:rPr>
              <w:t>1</w:t>
            </w:r>
          </w:p>
        </w:tc>
        <w:tc>
          <w:tcPr>
            <w:tcW w:w="1129" w:type="dxa"/>
            <w:tcBorders>
              <w:top w:val="single" w:sz="4" w:space="0" w:color="auto"/>
              <w:left w:val="single" w:sz="4" w:space="0" w:color="auto"/>
              <w:bottom w:val="single" w:sz="4" w:space="0" w:color="auto"/>
              <w:right w:val="single" w:sz="4" w:space="0" w:color="auto"/>
            </w:tcBorders>
            <w:hideMark/>
          </w:tcPr>
          <w:p w14:paraId="57AAB935" w14:textId="19C1FB59" w:rsidR="00976BE2" w:rsidRPr="00D27599" w:rsidRDefault="00DB2D11" w:rsidP="00F749FC">
            <w:pPr>
              <w:pStyle w:val="TableText0"/>
              <w:rPr>
                <w:highlight w:val="yellow"/>
              </w:rPr>
            </w:pPr>
            <w:r w:rsidRPr="00DB2D11">
              <w:rPr>
                <w:rFonts w:eastAsiaTheme="minorHAnsi"/>
                <w:color w:val="000000"/>
                <w:spacing w:val="53"/>
                <w:szCs w:val="20"/>
                <w:shd w:val="solid" w:color="000000" w:fill="000000"/>
                <w:fitText w:val="331" w:id="-1500846067"/>
                <w:lang w:eastAsia="en-US"/>
                <w14:textFill>
                  <w14:solidFill>
                    <w14:srgbClr w14:val="000000">
                      <w14:alpha w14:val="100000"/>
                    </w14:srgbClr>
                  </w14:solidFill>
                </w14:textFill>
              </w:rPr>
              <w:t>|||</w:t>
            </w:r>
            <w:r w:rsidRPr="00DB2D11">
              <w:rPr>
                <w:rFonts w:eastAsiaTheme="minorHAnsi"/>
                <w:color w:val="000000"/>
                <w:spacing w:val="2"/>
                <w:szCs w:val="20"/>
                <w:shd w:val="solid" w:color="000000" w:fill="000000"/>
                <w:fitText w:val="331" w:id="-1500846067"/>
                <w:lang w:eastAsia="en-US"/>
                <w14:textFill>
                  <w14:solidFill>
                    <w14:srgbClr w14:val="000000">
                      <w14:alpha w14:val="100000"/>
                    </w14:srgbClr>
                  </w14:solidFill>
                </w14:textFill>
              </w:rPr>
              <w:t>|</w:t>
            </w:r>
            <w:r w:rsidR="00FD29C8" w:rsidRPr="0031709B">
              <w:rPr>
                <w:rFonts w:cs="Arial"/>
                <w:color w:val="000000"/>
                <w:szCs w:val="20"/>
                <w:vertAlign w:val="superscript"/>
              </w:rPr>
              <w:t>1</w:t>
            </w:r>
          </w:p>
        </w:tc>
      </w:tr>
    </w:tbl>
    <w:p w14:paraId="362C62FB" w14:textId="2534EA1F" w:rsidR="00976BE2" w:rsidRDefault="00976BE2" w:rsidP="00D27599">
      <w:pPr>
        <w:pStyle w:val="TableFigureFooter"/>
        <w:spacing w:after="0"/>
      </w:pPr>
      <w:r w:rsidRPr="000B52C6">
        <w:t>Source: calculated during the evaluation using the Workbook ‘RRMM Section 4_November 2021</w:t>
      </w:r>
    </w:p>
    <w:p w14:paraId="64E46784" w14:textId="77777777" w:rsidR="00FD29C8" w:rsidRPr="009A6D58" w:rsidRDefault="00FD29C8" w:rsidP="00FD29C8">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A0675DC" w14:textId="1A1C2777" w:rsidR="00FD29C8" w:rsidRPr="000B52C6" w:rsidRDefault="00FD29C8" w:rsidP="00D27599">
      <w:r w:rsidRPr="009A6D58">
        <w:rPr>
          <w:rFonts w:ascii="Arial Narrow" w:hAnsi="Arial Narrow"/>
          <w:i/>
          <w:sz w:val="18"/>
          <w:szCs w:val="18"/>
          <w:vertAlign w:val="superscript"/>
        </w:rPr>
        <w:t>1</w:t>
      </w:r>
      <w:r>
        <w:rPr>
          <w:rFonts w:ascii="Arial Narrow" w:hAnsi="Arial Narrow"/>
          <w:i/>
          <w:sz w:val="18"/>
          <w:szCs w:val="18"/>
          <w:vertAlign w:val="superscript"/>
        </w:rPr>
        <w:t xml:space="preserve"> </w:t>
      </w:r>
      <w:r w:rsidRPr="004769F5">
        <w:rPr>
          <w:rFonts w:ascii="Arial Narrow" w:hAnsi="Arial Narrow"/>
          <w:i/>
          <w:sz w:val="18"/>
          <w:szCs w:val="18"/>
        </w:rPr>
        <w:t>$0 to &lt; $10 million</w:t>
      </w:r>
      <w:r>
        <w:rPr>
          <w:rFonts w:ascii="Arial Narrow" w:hAnsi="Arial Narrow"/>
          <w:i/>
          <w:sz w:val="18"/>
          <w:szCs w:val="18"/>
        </w:rPr>
        <w:t xml:space="preserve"> </w:t>
      </w:r>
    </w:p>
    <w:p w14:paraId="2048EB5B" w14:textId="77777777" w:rsidR="009534BC" w:rsidRPr="000B52C6" w:rsidRDefault="009534BC" w:rsidP="001F390B"/>
    <w:p w14:paraId="7E8EE62A" w14:textId="67C5686F" w:rsidR="0093076A" w:rsidRPr="000B52C6" w:rsidRDefault="00C762EA" w:rsidP="001F390B">
      <w:pPr>
        <w:pStyle w:val="3-BodyText"/>
        <w:snapToGrid w:val="0"/>
        <w:ind w:left="720" w:hanging="720"/>
      </w:pPr>
      <w:r w:rsidRPr="000B52C6">
        <w:t xml:space="preserve">The ESC considered that </w:t>
      </w:r>
      <w:r w:rsidR="009B251C" w:rsidRPr="000B52C6">
        <w:t>use of a</w:t>
      </w:r>
      <w:r w:rsidRPr="000B52C6">
        <w:t xml:space="preserve"> market share approach </w:t>
      </w:r>
      <w:r w:rsidR="009B251C" w:rsidRPr="000B52C6">
        <w:t>was appropriate</w:t>
      </w:r>
      <w:r w:rsidR="00DB3BE4" w:rsidRPr="000B52C6">
        <w:t xml:space="preserve"> and noted that the overall budget impact of the proposed listing was negligible, based on assumed effective prices for </w:t>
      </w:r>
      <w:proofErr w:type="spellStart"/>
      <w:r w:rsidR="00DB3BE4" w:rsidRPr="000B52C6">
        <w:t>selinexor</w:t>
      </w:r>
      <w:proofErr w:type="spellEnd"/>
      <w:r w:rsidR="00DB3BE4" w:rsidRPr="000B52C6">
        <w:t xml:space="preserve"> and carfilzomib.</w:t>
      </w:r>
      <w:r w:rsidR="0093076A" w:rsidRPr="000B52C6">
        <w:t xml:space="preserve"> However, </w:t>
      </w:r>
      <w:r w:rsidR="002B7FAC" w:rsidRPr="000B52C6">
        <w:t>t</w:t>
      </w:r>
      <w:r w:rsidR="002B7FAC" w:rsidRPr="000B52C6">
        <w:rPr>
          <w:iCs/>
        </w:rPr>
        <w:t xml:space="preserve">he ESC considered that the place in therapy for </w:t>
      </w:r>
      <w:proofErr w:type="spellStart"/>
      <w:r w:rsidR="002B7FAC" w:rsidRPr="000B52C6">
        <w:rPr>
          <w:iCs/>
        </w:rPr>
        <w:t>SBd</w:t>
      </w:r>
      <w:proofErr w:type="spellEnd"/>
      <w:r w:rsidR="002B7FAC" w:rsidRPr="000B52C6">
        <w:rPr>
          <w:iCs/>
        </w:rPr>
        <w:t xml:space="preserve"> was unclear (paragraphs 4.</w:t>
      </w:r>
      <w:r w:rsidR="003A3007" w:rsidRPr="000B52C6">
        <w:rPr>
          <w:iCs/>
        </w:rPr>
        <w:t>5</w:t>
      </w:r>
      <w:r w:rsidR="002B7FAC" w:rsidRPr="000B52C6">
        <w:rPr>
          <w:iCs/>
        </w:rPr>
        <w:t xml:space="preserve">), which may have implications for the financial estimates.  </w:t>
      </w:r>
    </w:p>
    <w:p w14:paraId="663A0C04" w14:textId="77777777" w:rsidR="00941D10" w:rsidRPr="000B52C6" w:rsidRDefault="00941D10" w:rsidP="00941D10">
      <w:pPr>
        <w:pStyle w:val="4-SubsectionHeading"/>
      </w:pPr>
      <w:bookmarkStart w:id="64" w:name="_Toc22897648"/>
      <w:bookmarkStart w:id="65" w:name="_Toc93429931"/>
      <w:r w:rsidRPr="000B52C6">
        <w:t>Quality Use of Medicines</w:t>
      </w:r>
      <w:bookmarkEnd w:id="64"/>
      <w:bookmarkEnd w:id="65"/>
    </w:p>
    <w:p w14:paraId="5BEBF594" w14:textId="1DDBA07B" w:rsidR="00941D10" w:rsidRPr="000B52C6" w:rsidRDefault="00941D10" w:rsidP="00941D10">
      <w:pPr>
        <w:pStyle w:val="3-BodyText"/>
        <w:snapToGrid w:val="0"/>
        <w:ind w:left="720" w:hanging="720"/>
      </w:pPr>
      <w:r w:rsidRPr="000B52C6">
        <w:t xml:space="preserve">The resubmission provided a summary of ongoing work on a multi-stakeholder quality use of medicine approach for haematologists, nurses, pharmacists, </w:t>
      </w:r>
      <w:proofErr w:type="gramStart"/>
      <w:r w:rsidRPr="000B52C6">
        <w:t>patients</w:t>
      </w:r>
      <w:proofErr w:type="gramEnd"/>
      <w:r w:rsidRPr="000B52C6">
        <w:t xml:space="preserve"> and their caregivers to minimis</w:t>
      </w:r>
      <w:r w:rsidR="00512707" w:rsidRPr="000B52C6">
        <w:t>e</w:t>
      </w:r>
      <w:r w:rsidR="007D620A" w:rsidRPr="000B52C6">
        <w:t xml:space="preserve"> </w:t>
      </w:r>
      <w:r w:rsidRPr="000B52C6">
        <w:t xml:space="preserve">AEs and optimise treatment for all patients. </w:t>
      </w:r>
    </w:p>
    <w:p w14:paraId="06391FD6" w14:textId="77777777" w:rsidR="00941D10" w:rsidRPr="000B52C6" w:rsidRDefault="00941D10" w:rsidP="00941D10">
      <w:pPr>
        <w:pStyle w:val="4-SubsectionHeading"/>
      </w:pPr>
      <w:bookmarkStart w:id="66" w:name="_Toc22897649"/>
      <w:bookmarkStart w:id="67" w:name="_Toc93429932"/>
      <w:r w:rsidRPr="000B52C6">
        <w:t>Financial Management – Risk Sharing Arrangements</w:t>
      </w:r>
      <w:bookmarkEnd w:id="66"/>
      <w:bookmarkEnd w:id="67"/>
    </w:p>
    <w:p w14:paraId="58870BE3" w14:textId="30BE3721" w:rsidR="00941D10" w:rsidRPr="000B52C6" w:rsidRDefault="00941D10" w:rsidP="00941D10">
      <w:pPr>
        <w:pStyle w:val="3-BodyText"/>
        <w:ind w:left="720" w:hanging="720"/>
      </w:pPr>
      <w:r w:rsidRPr="000B52C6">
        <w:t xml:space="preserve">The resubmission proposed </w:t>
      </w:r>
      <w:proofErr w:type="spellStart"/>
      <w:r w:rsidRPr="000B52C6">
        <w:t>SBd</w:t>
      </w:r>
      <w:proofErr w:type="spellEnd"/>
      <w:r w:rsidRPr="000B52C6">
        <w:t xml:space="preserve"> would join the PBS expenditure cap </w:t>
      </w:r>
      <w:r w:rsidR="00512707" w:rsidRPr="000B52C6">
        <w:t xml:space="preserve">that applies </w:t>
      </w:r>
      <w:r w:rsidRPr="000B52C6">
        <w:t xml:space="preserve">for carfilzomib. </w:t>
      </w:r>
    </w:p>
    <w:p w14:paraId="65B29E86" w14:textId="3F0D28D6" w:rsidR="00A83D93" w:rsidRPr="005640E7" w:rsidRDefault="00845BD2" w:rsidP="005640E7">
      <w:pPr>
        <w:ind w:firstLine="709"/>
        <w:rPr>
          <w:rFonts w:asciiTheme="minorHAnsi" w:hAnsiTheme="minorHAnsi"/>
          <w:i/>
        </w:rPr>
      </w:pPr>
      <w:r w:rsidRPr="000B52C6">
        <w:rPr>
          <w:rFonts w:asciiTheme="minorHAnsi" w:hAnsiTheme="minorHAnsi"/>
          <w:i/>
        </w:rPr>
        <w:t>For more detail on PBAC’s view, see section 7 PBAC outcome.</w:t>
      </w:r>
    </w:p>
    <w:p w14:paraId="45502A8E" w14:textId="77777777" w:rsidR="00A83D93" w:rsidRPr="000B52C6" w:rsidRDefault="00A83D93" w:rsidP="00CC1CF4">
      <w:pPr>
        <w:pStyle w:val="2-SectionHeading"/>
        <w:keepNext w:val="0"/>
        <w:numPr>
          <w:ilvl w:val="0"/>
          <w:numId w:val="1"/>
        </w:numPr>
      </w:pPr>
      <w:bookmarkStart w:id="68" w:name="_Hlk76381249"/>
      <w:bookmarkStart w:id="69" w:name="_Hlk76377955"/>
      <w:r w:rsidRPr="000B52C6">
        <w:t>PBAC Outcome</w:t>
      </w:r>
    </w:p>
    <w:p w14:paraId="00DFE19D" w14:textId="7A0B8595" w:rsidR="009908BE" w:rsidRPr="000B52C6" w:rsidRDefault="00922890" w:rsidP="00CC1CF4">
      <w:pPr>
        <w:widowControl w:val="0"/>
        <w:numPr>
          <w:ilvl w:val="1"/>
          <w:numId w:val="1"/>
        </w:numPr>
        <w:snapToGrid w:val="0"/>
        <w:spacing w:after="120"/>
        <w:ind w:left="720" w:hanging="720"/>
      </w:pPr>
      <w:r w:rsidRPr="000B52C6">
        <w:rPr>
          <w:rFonts w:asciiTheme="minorHAnsi" w:hAnsiTheme="minorHAnsi"/>
          <w:bCs/>
          <w:snapToGrid w:val="0"/>
        </w:rPr>
        <w:t xml:space="preserve">The PBAC did not recommend </w:t>
      </w:r>
      <w:proofErr w:type="spellStart"/>
      <w:r w:rsidRPr="000B52C6">
        <w:rPr>
          <w:rFonts w:asciiTheme="minorHAnsi" w:hAnsiTheme="minorHAnsi"/>
          <w:bCs/>
          <w:snapToGrid w:val="0"/>
        </w:rPr>
        <w:t>selinexor</w:t>
      </w:r>
      <w:proofErr w:type="spellEnd"/>
      <w:r w:rsidRPr="000B52C6">
        <w:rPr>
          <w:rFonts w:asciiTheme="minorHAnsi" w:hAnsiTheme="minorHAnsi"/>
          <w:bCs/>
          <w:snapToGrid w:val="0"/>
        </w:rPr>
        <w:t>, in combination with bortezomib and dexamethasone (</w:t>
      </w:r>
      <w:proofErr w:type="spellStart"/>
      <w:r w:rsidRPr="000B52C6">
        <w:rPr>
          <w:rFonts w:asciiTheme="minorHAnsi" w:hAnsiTheme="minorHAnsi"/>
          <w:bCs/>
          <w:snapToGrid w:val="0"/>
        </w:rPr>
        <w:t>SBd</w:t>
      </w:r>
      <w:proofErr w:type="spellEnd"/>
      <w:r w:rsidRPr="000B52C6">
        <w:rPr>
          <w:rFonts w:asciiTheme="minorHAnsi" w:hAnsiTheme="minorHAnsi"/>
          <w:bCs/>
          <w:snapToGrid w:val="0"/>
        </w:rPr>
        <w:t xml:space="preserve">), for the treatment of relapsed and/or refractory multiple myeloma (RRMM). The PBAC </w:t>
      </w:r>
      <w:r w:rsidR="00E86D98" w:rsidRPr="000B52C6">
        <w:t>noted that additional analyses of progression free survival (PFS) were provided by the resubmission</w:t>
      </w:r>
      <w:r w:rsidR="00E86D98" w:rsidRPr="000B52C6">
        <w:rPr>
          <w:rFonts w:asciiTheme="minorHAnsi" w:hAnsiTheme="minorHAnsi"/>
          <w:bCs/>
          <w:snapToGrid w:val="0"/>
        </w:rPr>
        <w:t xml:space="preserve"> however</w:t>
      </w:r>
      <w:r w:rsidR="0042727E" w:rsidRPr="000B52C6">
        <w:rPr>
          <w:rFonts w:asciiTheme="minorHAnsi" w:hAnsiTheme="minorHAnsi"/>
          <w:bCs/>
          <w:snapToGrid w:val="0"/>
        </w:rPr>
        <w:t>,</w:t>
      </w:r>
      <w:r w:rsidR="00E86D98" w:rsidRPr="000B52C6">
        <w:rPr>
          <w:rFonts w:asciiTheme="minorHAnsi" w:hAnsiTheme="minorHAnsi"/>
          <w:bCs/>
          <w:snapToGrid w:val="0"/>
        </w:rPr>
        <w:t xml:space="preserve"> </w:t>
      </w:r>
      <w:r w:rsidR="003479A8" w:rsidRPr="000B52C6">
        <w:rPr>
          <w:rFonts w:asciiTheme="minorHAnsi" w:hAnsiTheme="minorHAnsi"/>
          <w:bCs/>
          <w:snapToGrid w:val="0"/>
        </w:rPr>
        <w:t xml:space="preserve">considered that the claim of non-inferior effectiveness of </w:t>
      </w:r>
      <w:proofErr w:type="spellStart"/>
      <w:r w:rsidR="003479A8" w:rsidRPr="000B52C6">
        <w:rPr>
          <w:rFonts w:asciiTheme="minorHAnsi" w:hAnsiTheme="minorHAnsi"/>
          <w:bCs/>
          <w:snapToGrid w:val="0"/>
        </w:rPr>
        <w:t>SBd</w:t>
      </w:r>
      <w:proofErr w:type="spellEnd"/>
      <w:r w:rsidR="003479A8" w:rsidRPr="000B52C6">
        <w:rPr>
          <w:rFonts w:asciiTheme="minorHAnsi" w:hAnsiTheme="minorHAnsi"/>
          <w:bCs/>
          <w:snapToGrid w:val="0"/>
        </w:rPr>
        <w:t xml:space="preserve"> compared with the nominated main comparator</w:t>
      </w:r>
      <w:r w:rsidR="0042727E" w:rsidRPr="000B52C6">
        <w:rPr>
          <w:rFonts w:asciiTheme="minorHAnsi" w:hAnsiTheme="minorHAnsi"/>
          <w:bCs/>
          <w:snapToGrid w:val="0"/>
        </w:rPr>
        <w:t>,</w:t>
      </w:r>
      <w:r w:rsidR="003479A8" w:rsidRPr="000B52C6">
        <w:rPr>
          <w:rFonts w:asciiTheme="minorHAnsi" w:hAnsiTheme="minorHAnsi"/>
          <w:bCs/>
          <w:snapToGrid w:val="0"/>
        </w:rPr>
        <w:t xml:space="preserve"> Cd, was not adequately supported by the data.</w:t>
      </w:r>
      <w:r w:rsidR="00583E24" w:rsidRPr="000B52C6">
        <w:rPr>
          <w:rFonts w:asciiTheme="minorHAnsi" w:hAnsiTheme="minorHAnsi"/>
          <w:bCs/>
          <w:snapToGrid w:val="0"/>
        </w:rPr>
        <w:t xml:space="preserve"> </w:t>
      </w:r>
      <w:r w:rsidR="00E94268" w:rsidRPr="000B52C6">
        <w:t>T</w:t>
      </w:r>
      <w:r w:rsidR="003479A8" w:rsidRPr="000B52C6">
        <w:t xml:space="preserve">he PBAC </w:t>
      </w:r>
      <w:r w:rsidR="00E94268" w:rsidRPr="000B52C6">
        <w:t xml:space="preserve">also </w:t>
      </w:r>
      <w:r w:rsidR="003479A8" w:rsidRPr="000B52C6">
        <w:t xml:space="preserve">noted that </w:t>
      </w:r>
      <w:r w:rsidR="00583E24" w:rsidRPr="000B52C6">
        <w:rPr>
          <w:rFonts w:asciiTheme="minorHAnsi" w:hAnsiTheme="minorHAnsi"/>
          <w:bCs/>
          <w:snapToGrid w:val="0"/>
        </w:rPr>
        <w:t xml:space="preserve">the data for overall survival (OS) remained immature and did not demonstrate a significant benefit for </w:t>
      </w:r>
      <w:proofErr w:type="spellStart"/>
      <w:r w:rsidR="00583E24" w:rsidRPr="000B52C6">
        <w:rPr>
          <w:rFonts w:asciiTheme="minorHAnsi" w:hAnsiTheme="minorHAnsi"/>
          <w:bCs/>
          <w:snapToGrid w:val="0"/>
        </w:rPr>
        <w:t>SBd</w:t>
      </w:r>
      <w:proofErr w:type="spellEnd"/>
      <w:r w:rsidR="00583E24" w:rsidRPr="000B52C6">
        <w:rPr>
          <w:rFonts w:asciiTheme="minorHAnsi" w:hAnsiTheme="minorHAnsi"/>
          <w:bCs/>
          <w:snapToGrid w:val="0"/>
        </w:rPr>
        <w:t xml:space="preserve"> compared with bortezomib plus dexamethasone (Bd)</w:t>
      </w:r>
      <w:r w:rsidR="002E39E5" w:rsidRPr="000B52C6">
        <w:rPr>
          <w:rFonts w:asciiTheme="minorHAnsi" w:hAnsiTheme="minorHAnsi"/>
          <w:bCs/>
          <w:snapToGrid w:val="0"/>
        </w:rPr>
        <w:t xml:space="preserve">. In contrast, a significant improvement in OS </w:t>
      </w:r>
      <w:r w:rsidR="0042727E" w:rsidRPr="000B52C6">
        <w:rPr>
          <w:rFonts w:asciiTheme="minorHAnsi" w:hAnsiTheme="minorHAnsi"/>
          <w:bCs/>
          <w:snapToGrid w:val="0"/>
        </w:rPr>
        <w:t xml:space="preserve">has been demonstrated </w:t>
      </w:r>
      <w:r w:rsidR="002E39E5" w:rsidRPr="000B52C6">
        <w:rPr>
          <w:rFonts w:asciiTheme="minorHAnsi" w:hAnsiTheme="minorHAnsi"/>
          <w:bCs/>
          <w:snapToGrid w:val="0"/>
        </w:rPr>
        <w:t>for Cd compared with Bd</w:t>
      </w:r>
      <w:r w:rsidR="00583E24" w:rsidRPr="000B52C6">
        <w:rPr>
          <w:rFonts w:asciiTheme="minorHAnsi" w:hAnsiTheme="minorHAnsi"/>
          <w:bCs/>
          <w:snapToGrid w:val="0"/>
        </w:rPr>
        <w:t>.</w:t>
      </w:r>
      <w:r w:rsidRPr="000B52C6">
        <w:rPr>
          <w:rFonts w:asciiTheme="minorHAnsi" w:hAnsiTheme="minorHAnsi"/>
          <w:bCs/>
          <w:snapToGrid w:val="0"/>
        </w:rPr>
        <w:t xml:space="preserve"> </w:t>
      </w:r>
      <w:r w:rsidR="0042727E" w:rsidRPr="000B52C6">
        <w:rPr>
          <w:rFonts w:asciiTheme="minorHAnsi" w:hAnsiTheme="minorHAnsi"/>
          <w:bCs/>
          <w:snapToGrid w:val="0"/>
        </w:rPr>
        <w:t xml:space="preserve">As </w:t>
      </w:r>
      <w:r w:rsidRPr="000B52C6">
        <w:rPr>
          <w:rFonts w:asciiTheme="minorHAnsi" w:hAnsiTheme="minorHAnsi"/>
          <w:bCs/>
          <w:snapToGrid w:val="0"/>
        </w:rPr>
        <w:t xml:space="preserve">non-inferiority </w:t>
      </w:r>
      <w:r w:rsidR="00D226A5" w:rsidRPr="000B52C6">
        <w:rPr>
          <w:rFonts w:asciiTheme="minorHAnsi" w:hAnsiTheme="minorHAnsi"/>
          <w:bCs/>
          <w:snapToGrid w:val="0"/>
        </w:rPr>
        <w:t>was not demonstrated the PBAC considered</w:t>
      </w:r>
      <w:r w:rsidRPr="000B52C6">
        <w:rPr>
          <w:rFonts w:asciiTheme="minorHAnsi" w:hAnsiTheme="minorHAnsi"/>
          <w:bCs/>
          <w:snapToGrid w:val="0"/>
        </w:rPr>
        <w:t xml:space="preserve"> the cost minimisation analysis (CMA) between </w:t>
      </w:r>
      <w:proofErr w:type="spellStart"/>
      <w:r w:rsidRPr="000B52C6">
        <w:rPr>
          <w:rFonts w:asciiTheme="minorHAnsi" w:hAnsiTheme="minorHAnsi"/>
          <w:bCs/>
          <w:snapToGrid w:val="0"/>
        </w:rPr>
        <w:t>SBd</w:t>
      </w:r>
      <w:proofErr w:type="spellEnd"/>
      <w:r w:rsidRPr="000B52C6">
        <w:rPr>
          <w:rFonts w:asciiTheme="minorHAnsi" w:hAnsiTheme="minorHAnsi"/>
          <w:bCs/>
          <w:snapToGrid w:val="0"/>
        </w:rPr>
        <w:t xml:space="preserve"> and Cd was not informative.</w:t>
      </w:r>
      <w:r w:rsidR="009908BE" w:rsidRPr="000B52C6">
        <w:rPr>
          <w:iCs/>
        </w:rPr>
        <w:t xml:space="preserve">  </w:t>
      </w:r>
    </w:p>
    <w:p w14:paraId="52C42D89" w14:textId="1C334EB4" w:rsidR="007B499C" w:rsidRPr="000B52C6" w:rsidRDefault="00922890" w:rsidP="00CC1CF4">
      <w:pPr>
        <w:widowControl w:val="0"/>
        <w:numPr>
          <w:ilvl w:val="1"/>
          <w:numId w:val="1"/>
        </w:numPr>
        <w:spacing w:after="120"/>
        <w:ind w:left="720" w:hanging="720"/>
        <w:rPr>
          <w:rFonts w:asciiTheme="minorHAnsi" w:hAnsiTheme="minorHAnsi"/>
          <w:bCs/>
          <w:snapToGrid w:val="0"/>
        </w:rPr>
      </w:pPr>
      <w:r w:rsidRPr="000B52C6">
        <w:rPr>
          <w:rFonts w:asciiTheme="minorHAnsi" w:hAnsiTheme="minorHAnsi"/>
          <w:bCs/>
          <w:snapToGrid w:val="0"/>
        </w:rPr>
        <w:t xml:space="preserve">The PBAC noted the consumer comments </w:t>
      </w:r>
      <w:r w:rsidR="007B499C" w:rsidRPr="000B52C6">
        <w:rPr>
          <w:rFonts w:asciiTheme="minorHAnsi" w:hAnsiTheme="minorHAnsi"/>
          <w:bCs/>
          <w:snapToGrid w:val="0"/>
        </w:rPr>
        <w:t xml:space="preserve">from individuals which </w:t>
      </w:r>
      <w:r w:rsidRPr="000B52C6">
        <w:rPr>
          <w:rFonts w:asciiTheme="minorHAnsi" w:hAnsiTheme="minorHAnsi"/>
          <w:bCs/>
          <w:snapToGrid w:val="0"/>
        </w:rPr>
        <w:t>describ</w:t>
      </w:r>
      <w:r w:rsidR="007B499C" w:rsidRPr="000B52C6">
        <w:rPr>
          <w:rFonts w:asciiTheme="minorHAnsi" w:hAnsiTheme="minorHAnsi"/>
          <w:bCs/>
          <w:snapToGrid w:val="0"/>
        </w:rPr>
        <w:t>ed</w:t>
      </w:r>
      <w:r w:rsidRPr="000B52C6">
        <w:rPr>
          <w:rFonts w:asciiTheme="minorHAnsi" w:hAnsiTheme="minorHAnsi"/>
          <w:bCs/>
          <w:snapToGrid w:val="0"/>
        </w:rPr>
        <w:t xml:space="preserve"> </w:t>
      </w:r>
      <w:r w:rsidR="007B499C" w:rsidRPr="000B52C6">
        <w:rPr>
          <w:rFonts w:asciiTheme="minorHAnsi" w:hAnsiTheme="minorHAnsi"/>
          <w:bCs/>
          <w:snapToGrid w:val="0"/>
        </w:rPr>
        <w:t xml:space="preserve">the </w:t>
      </w:r>
      <w:r w:rsidR="007B499C" w:rsidRPr="000B52C6">
        <w:rPr>
          <w:bCs/>
        </w:rPr>
        <w:t>debilitating impact of relapsed myeloma</w:t>
      </w:r>
      <w:r w:rsidRPr="000B52C6">
        <w:rPr>
          <w:rFonts w:asciiTheme="minorHAnsi" w:hAnsiTheme="minorHAnsi"/>
          <w:bCs/>
          <w:snapToGrid w:val="0"/>
        </w:rPr>
        <w:t xml:space="preserve">. </w:t>
      </w:r>
      <w:r w:rsidR="007B499C" w:rsidRPr="000B52C6">
        <w:t xml:space="preserve">The PBAC noted that advice was received from organisations including Myeloma Australia, the Leukaemia Foundation, and </w:t>
      </w:r>
      <w:r w:rsidR="007B499C" w:rsidRPr="000B52C6">
        <w:rPr>
          <w:bCs/>
        </w:rPr>
        <w:t xml:space="preserve">Myeloma Australia's Medical and Scientific Advisory Group (MSAG), which described an ongoing need </w:t>
      </w:r>
      <w:r w:rsidR="007B499C" w:rsidRPr="000B52C6">
        <w:rPr>
          <w:rFonts w:asciiTheme="minorHAnsi" w:hAnsiTheme="minorHAnsi"/>
          <w:bCs/>
          <w:snapToGrid w:val="0"/>
        </w:rPr>
        <w:t xml:space="preserve">for new treatment options and </w:t>
      </w:r>
      <w:r w:rsidR="007B499C" w:rsidRPr="000B52C6">
        <w:rPr>
          <w:bCs/>
        </w:rPr>
        <w:t xml:space="preserve">supported the proposed listing for </w:t>
      </w:r>
      <w:proofErr w:type="spellStart"/>
      <w:r w:rsidR="007B499C" w:rsidRPr="000B52C6">
        <w:rPr>
          <w:bCs/>
        </w:rPr>
        <w:t>SBd</w:t>
      </w:r>
      <w:proofErr w:type="spellEnd"/>
      <w:r w:rsidR="007B499C" w:rsidRPr="000B52C6">
        <w:rPr>
          <w:bCs/>
        </w:rPr>
        <w:t xml:space="preserve"> </w:t>
      </w:r>
      <w:proofErr w:type="gramStart"/>
      <w:r w:rsidR="007B499C" w:rsidRPr="000B52C6">
        <w:rPr>
          <w:bCs/>
        </w:rPr>
        <w:t>on the basis of</w:t>
      </w:r>
      <w:proofErr w:type="gramEnd"/>
      <w:r w:rsidR="007B499C" w:rsidRPr="000B52C6">
        <w:rPr>
          <w:bCs/>
        </w:rPr>
        <w:t xml:space="preserve"> </w:t>
      </w:r>
      <w:r w:rsidR="007B499C" w:rsidRPr="000B52C6">
        <w:rPr>
          <w:rFonts w:asciiTheme="minorHAnsi" w:hAnsiTheme="minorHAnsi"/>
          <w:bCs/>
          <w:snapToGrid w:val="0"/>
        </w:rPr>
        <w:t>results from the BOSTON trial</w:t>
      </w:r>
      <w:r w:rsidR="007B499C" w:rsidRPr="000B52C6">
        <w:rPr>
          <w:bCs/>
        </w:rPr>
        <w:t xml:space="preserve">.  </w:t>
      </w:r>
    </w:p>
    <w:p w14:paraId="00D4938E" w14:textId="41FA3E5A" w:rsidR="0065202B" w:rsidRPr="000B52C6" w:rsidRDefault="0065202B" w:rsidP="00CC1CF4">
      <w:pPr>
        <w:widowControl w:val="0"/>
        <w:numPr>
          <w:ilvl w:val="1"/>
          <w:numId w:val="1"/>
        </w:numPr>
        <w:spacing w:after="120"/>
        <w:ind w:left="720" w:hanging="720"/>
        <w:rPr>
          <w:rFonts w:asciiTheme="minorHAnsi" w:hAnsiTheme="minorHAnsi"/>
          <w:snapToGrid w:val="0"/>
        </w:rPr>
      </w:pPr>
      <w:r w:rsidRPr="000B52C6">
        <w:rPr>
          <w:rFonts w:asciiTheme="minorHAnsi" w:hAnsiTheme="minorHAnsi"/>
          <w:snapToGrid w:val="0"/>
        </w:rPr>
        <w:t xml:space="preserve">The PBAC noted that the multiple treatment options for RRMM, and the changing treatment algorithm, complicated the selection of a main comparator(s). The PBAC recalled the July 2021 submission nominated Bd as the primary comparator and Cd a secondary comparator and, at that time, the Committee considered </w:t>
      </w:r>
      <w:r w:rsidRPr="000B52C6">
        <w:rPr>
          <w:rFonts w:asciiTheme="minorHAnsi" w:hAnsiTheme="minorHAnsi"/>
          <w:bCs/>
          <w:snapToGrid w:val="0"/>
        </w:rPr>
        <w:t xml:space="preserve">that </w:t>
      </w:r>
      <w:proofErr w:type="spellStart"/>
      <w:r w:rsidRPr="000B52C6">
        <w:rPr>
          <w:rFonts w:asciiTheme="minorHAnsi" w:hAnsiTheme="minorHAnsi"/>
          <w:bCs/>
          <w:snapToGrid w:val="0"/>
        </w:rPr>
        <w:t>SBd</w:t>
      </w:r>
      <w:proofErr w:type="spellEnd"/>
      <w:r w:rsidRPr="000B52C6">
        <w:rPr>
          <w:rFonts w:asciiTheme="minorHAnsi" w:hAnsiTheme="minorHAnsi"/>
          <w:bCs/>
          <w:snapToGrid w:val="0"/>
        </w:rPr>
        <w:t xml:space="preserve"> was most likely to replace and/or displace Cd, </w:t>
      </w:r>
      <w:proofErr w:type="spellStart"/>
      <w:r w:rsidR="001A1026" w:rsidRPr="000B52C6">
        <w:rPr>
          <w:rFonts w:asciiTheme="minorHAnsi" w:hAnsiTheme="minorHAnsi"/>
          <w:bCs/>
          <w:snapToGrid w:val="0"/>
        </w:rPr>
        <w:t>Ld</w:t>
      </w:r>
      <w:proofErr w:type="spellEnd"/>
      <w:r w:rsidRPr="000B52C6">
        <w:rPr>
          <w:rFonts w:asciiTheme="minorHAnsi" w:hAnsiTheme="minorHAnsi"/>
          <w:bCs/>
          <w:snapToGrid w:val="0"/>
        </w:rPr>
        <w:t xml:space="preserve">, </w:t>
      </w:r>
      <w:r w:rsidR="001A1026" w:rsidRPr="000B52C6">
        <w:rPr>
          <w:rFonts w:asciiTheme="minorHAnsi" w:hAnsiTheme="minorHAnsi"/>
          <w:bCs/>
          <w:snapToGrid w:val="0"/>
        </w:rPr>
        <w:t>Pd</w:t>
      </w:r>
      <w:r w:rsidRPr="000B52C6">
        <w:rPr>
          <w:rFonts w:asciiTheme="minorHAnsi" w:hAnsiTheme="minorHAnsi"/>
          <w:bCs/>
          <w:snapToGrid w:val="0"/>
        </w:rPr>
        <w:t xml:space="preserve"> and some bortezomib-based regimens including Bd. </w:t>
      </w:r>
      <w:r w:rsidRPr="000B52C6">
        <w:rPr>
          <w:rFonts w:asciiTheme="minorHAnsi" w:hAnsiTheme="minorHAnsi"/>
          <w:snapToGrid w:val="0"/>
        </w:rPr>
        <w:t xml:space="preserve">The PBAC noted that the resubmission nominated Cd as the primary comparator. Noting international guidelines indicate a preference for triple combination therapies, the PBAC considered that PBS listed triple therapies, such as </w:t>
      </w:r>
      <w:proofErr w:type="spellStart"/>
      <w:r w:rsidRPr="000B52C6">
        <w:rPr>
          <w:rFonts w:asciiTheme="minorHAnsi" w:hAnsiTheme="minorHAnsi"/>
          <w:snapToGrid w:val="0"/>
        </w:rPr>
        <w:t>ELd</w:t>
      </w:r>
      <w:proofErr w:type="spellEnd"/>
      <w:r w:rsidRPr="000B52C6">
        <w:rPr>
          <w:rFonts w:asciiTheme="minorHAnsi" w:hAnsiTheme="minorHAnsi"/>
          <w:snapToGrid w:val="0"/>
        </w:rPr>
        <w:t>, may increasingly become relevant comparators.</w:t>
      </w:r>
    </w:p>
    <w:p w14:paraId="6E9529E6" w14:textId="6841BA0B" w:rsidR="0042386A" w:rsidRPr="000B52C6" w:rsidRDefault="00E30686" w:rsidP="0065202B">
      <w:pPr>
        <w:keepNext/>
        <w:keepLines/>
        <w:widowControl w:val="0"/>
        <w:numPr>
          <w:ilvl w:val="1"/>
          <w:numId w:val="1"/>
        </w:numPr>
        <w:spacing w:after="120"/>
        <w:ind w:left="720" w:hanging="720"/>
        <w:rPr>
          <w:iCs/>
        </w:rPr>
      </w:pPr>
      <w:r w:rsidRPr="000B52C6">
        <w:rPr>
          <w:rFonts w:asciiTheme="minorHAnsi" w:hAnsiTheme="minorHAnsi"/>
          <w:bCs/>
          <w:snapToGrid w:val="0"/>
        </w:rPr>
        <w:t xml:space="preserve">The PBAC noted that the clinical algorithm presented in the </w:t>
      </w:r>
      <w:r w:rsidR="0042386A" w:rsidRPr="000B52C6">
        <w:rPr>
          <w:rFonts w:asciiTheme="minorHAnsi" w:hAnsiTheme="minorHAnsi"/>
          <w:bCs/>
          <w:snapToGrid w:val="0"/>
        </w:rPr>
        <w:t>pre-PBAC response</w:t>
      </w:r>
      <w:r w:rsidRPr="000B52C6">
        <w:rPr>
          <w:rFonts w:asciiTheme="minorHAnsi" w:hAnsiTheme="minorHAnsi"/>
          <w:bCs/>
          <w:snapToGrid w:val="0"/>
        </w:rPr>
        <w:t xml:space="preserve"> placed </w:t>
      </w:r>
      <w:proofErr w:type="spellStart"/>
      <w:r w:rsidRPr="000B52C6">
        <w:rPr>
          <w:rFonts w:asciiTheme="minorHAnsi" w:hAnsiTheme="minorHAnsi"/>
          <w:bCs/>
          <w:snapToGrid w:val="0"/>
        </w:rPr>
        <w:t>SBd</w:t>
      </w:r>
      <w:proofErr w:type="spellEnd"/>
      <w:r w:rsidRPr="000B52C6">
        <w:rPr>
          <w:rFonts w:asciiTheme="minorHAnsi" w:hAnsiTheme="minorHAnsi"/>
          <w:bCs/>
          <w:snapToGrid w:val="0"/>
        </w:rPr>
        <w:t xml:space="preserve"> as a second</w:t>
      </w:r>
      <w:r w:rsidR="0042386A" w:rsidRPr="000B52C6">
        <w:rPr>
          <w:rFonts w:asciiTheme="minorHAnsi" w:hAnsiTheme="minorHAnsi"/>
          <w:bCs/>
          <w:snapToGrid w:val="0"/>
        </w:rPr>
        <w:t>,</w:t>
      </w:r>
      <w:r w:rsidRPr="000B52C6">
        <w:rPr>
          <w:rFonts w:asciiTheme="minorHAnsi" w:hAnsiTheme="minorHAnsi"/>
          <w:bCs/>
          <w:snapToGrid w:val="0"/>
        </w:rPr>
        <w:t xml:space="preserve"> </w:t>
      </w:r>
      <w:proofErr w:type="gramStart"/>
      <w:r w:rsidRPr="000B52C6">
        <w:rPr>
          <w:rFonts w:asciiTheme="minorHAnsi" w:hAnsiTheme="minorHAnsi"/>
          <w:bCs/>
          <w:snapToGrid w:val="0"/>
        </w:rPr>
        <w:t xml:space="preserve">third </w:t>
      </w:r>
      <w:r w:rsidR="0042386A" w:rsidRPr="000B52C6">
        <w:rPr>
          <w:rFonts w:asciiTheme="minorHAnsi" w:hAnsiTheme="minorHAnsi"/>
          <w:bCs/>
          <w:snapToGrid w:val="0"/>
        </w:rPr>
        <w:t>or fourth line</w:t>
      </w:r>
      <w:proofErr w:type="gramEnd"/>
      <w:r w:rsidR="0042386A" w:rsidRPr="000B52C6">
        <w:rPr>
          <w:rFonts w:asciiTheme="minorHAnsi" w:hAnsiTheme="minorHAnsi"/>
          <w:bCs/>
          <w:snapToGrid w:val="0"/>
        </w:rPr>
        <w:t xml:space="preserve"> therapy; however this was not consistent with the proposed listing which would allow </w:t>
      </w:r>
      <w:r w:rsidR="0042386A" w:rsidRPr="000B52C6">
        <w:rPr>
          <w:iCs/>
        </w:rPr>
        <w:t xml:space="preserve">use of </w:t>
      </w:r>
      <w:proofErr w:type="spellStart"/>
      <w:r w:rsidR="0042386A" w:rsidRPr="000B52C6">
        <w:rPr>
          <w:iCs/>
        </w:rPr>
        <w:t>SBd</w:t>
      </w:r>
      <w:proofErr w:type="spellEnd"/>
      <w:r w:rsidR="0042386A" w:rsidRPr="000B52C6">
        <w:rPr>
          <w:iCs/>
        </w:rPr>
        <w:t xml:space="preserve"> in any line after </w:t>
      </w:r>
      <w:r w:rsidR="0042386A" w:rsidRPr="000B52C6">
        <w:t>first line</w:t>
      </w:r>
      <w:r w:rsidR="0042386A" w:rsidRPr="000B52C6">
        <w:rPr>
          <w:iCs/>
        </w:rPr>
        <w:t>.</w:t>
      </w:r>
      <w:r w:rsidR="006F7D6E" w:rsidRPr="000B52C6">
        <w:rPr>
          <w:iCs/>
        </w:rPr>
        <w:t xml:space="preserve"> </w:t>
      </w:r>
      <w:r w:rsidR="0042386A" w:rsidRPr="000B52C6">
        <w:t xml:space="preserve">The PBAC considered that it is not yet clear where </w:t>
      </w:r>
      <w:proofErr w:type="spellStart"/>
      <w:r w:rsidR="0042386A" w:rsidRPr="000B52C6">
        <w:t>SBd</w:t>
      </w:r>
      <w:proofErr w:type="spellEnd"/>
      <w:r w:rsidR="0042386A" w:rsidRPr="000B52C6">
        <w:t xml:space="preserve"> would fit in the treatment algorithm given that several drug classes are currently PBS listed for use as double or triple combination therapies including immunomodulators (</w:t>
      </w:r>
      <w:proofErr w:type="spellStart"/>
      <w:r w:rsidR="0042386A" w:rsidRPr="000B52C6">
        <w:t>IMiD</w:t>
      </w:r>
      <w:proofErr w:type="spellEnd"/>
      <w:r w:rsidR="0042386A" w:rsidRPr="000B52C6">
        <w:t xml:space="preserve">), protease inhibitors (PI), anti-CD38 monoclonal antibodies and corticosteroids. Consistent with previous advice, the PBAC considered that </w:t>
      </w:r>
      <w:proofErr w:type="spellStart"/>
      <w:r w:rsidR="0042386A" w:rsidRPr="000B52C6">
        <w:t>SBd</w:t>
      </w:r>
      <w:proofErr w:type="spellEnd"/>
      <w:r w:rsidR="0042386A" w:rsidRPr="000B52C6">
        <w:t xml:space="preserve"> would likely be used as a third or later line treatment, </w:t>
      </w:r>
      <w:proofErr w:type="gramStart"/>
      <w:r w:rsidR="0042386A" w:rsidRPr="000B52C6">
        <w:t>however</w:t>
      </w:r>
      <w:proofErr w:type="gramEnd"/>
      <w:r w:rsidR="0042386A" w:rsidRPr="000B52C6">
        <w:t xml:space="preserve"> </w:t>
      </w:r>
      <w:r w:rsidR="0042386A" w:rsidRPr="000B52C6">
        <w:rPr>
          <w:iCs/>
        </w:rPr>
        <w:t xml:space="preserve">there appears to be overlap between the proposed populations for </w:t>
      </w:r>
      <w:proofErr w:type="spellStart"/>
      <w:r w:rsidR="0042386A" w:rsidRPr="000B52C6">
        <w:rPr>
          <w:iCs/>
        </w:rPr>
        <w:t>SBd</w:t>
      </w:r>
      <w:proofErr w:type="spellEnd"/>
      <w:r w:rsidR="0042386A" w:rsidRPr="000B52C6">
        <w:rPr>
          <w:iCs/>
        </w:rPr>
        <w:t xml:space="preserve"> and that for Sd (which was the subject of a separate consideration at the March 2022 PBAC meeting).</w:t>
      </w:r>
      <w:r w:rsidR="006F7D6E" w:rsidRPr="000B52C6">
        <w:rPr>
          <w:iCs/>
        </w:rPr>
        <w:t xml:space="preserve"> </w:t>
      </w:r>
      <w:r w:rsidR="0042386A" w:rsidRPr="000B52C6">
        <w:rPr>
          <w:iCs/>
        </w:rPr>
        <w:t xml:space="preserve">The </w:t>
      </w:r>
      <w:r w:rsidR="00B31E62" w:rsidRPr="000B52C6">
        <w:rPr>
          <w:iCs/>
        </w:rPr>
        <w:t>re</w:t>
      </w:r>
      <w:r w:rsidR="006F7D6E" w:rsidRPr="000B52C6">
        <w:rPr>
          <w:iCs/>
        </w:rPr>
        <w:t>submission</w:t>
      </w:r>
      <w:r w:rsidR="0042386A" w:rsidRPr="000B52C6">
        <w:rPr>
          <w:iCs/>
        </w:rPr>
        <w:t xml:space="preserve"> did not discuss reasons for a clinician to </w:t>
      </w:r>
      <w:r w:rsidR="0065202B" w:rsidRPr="000B52C6">
        <w:rPr>
          <w:iCs/>
        </w:rPr>
        <w:t>prescribe</w:t>
      </w:r>
      <w:r w:rsidR="0042386A" w:rsidRPr="000B52C6">
        <w:rPr>
          <w:iCs/>
        </w:rPr>
        <w:t xml:space="preserve"> </w:t>
      </w:r>
      <w:proofErr w:type="spellStart"/>
      <w:r w:rsidR="0042386A" w:rsidRPr="000B52C6">
        <w:rPr>
          <w:iCs/>
        </w:rPr>
        <w:t>SBd</w:t>
      </w:r>
      <w:proofErr w:type="spellEnd"/>
      <w:r w:rsidR="0042386A" w:rsidRPr="000B52C6">
        <w:rPr>
          <w:iCs/>
        </w:rPr>
        <w:t xml:space="preserve"> rather than Sd, or vice versa, for patients eligible for both. The </w:t>
      </w:r>
      <w:r w:rsidR="006F7D6E" w:rsidRPr="000B52C6">
        <w:rPr>
          <w:iCs/>
        </w:rPr>
        <w:t>PBAC</w:t>
      </w:r>
      <w:r w:rsidR="0042386A" w:rsidRPr="000B52C6">
        <w:rPr>
          <w:iCs/>
        </w:rPr>
        <w:t xml:space="preserve"> considered this information </w:t>
      </w:r>
      <w:r w:rsidR="006F7D6E" w:rsidRPr="000B52C6">
        <w:rPr>
          <w:iCs/>
        </w:rPr>
        <w:t>was</w:t>
      </w:r>
      <w:r w:rsidR="0042386A" w:rsidRPr="000B52C6">
        <w:rPr>
          <w:iCs/>
        </w:rPr>
        <w:t xml:space="preserve"> needed to understand the place in therapy </w:t>
      </w:r>
      <w:r w:rsidR="00FA2870" w:rsidRPr="000B52C6">
        <w:rPr>
          <w:iCs/>
        </w:rPr>
        <w:t xml:space="preserve">for </w:t>
      </w:r>
      <w:proofErr w:type="spellStart"/>
      <w:r w:rsidR="00FA2870" w:rsidRPr="000B52C6">
        <w:rPr>
          <w:iCs/>
        </w:rPr>
        <w:t>SBd</w:t>
      </w:r>
      <w:proofErr w:type="spellEnd"/>
      <w:r w:rsidR="00FA2870" w:rsidRPr="000B52C6">
        <w:rPr>
          <w:iCs/>
        </w:rPr>
        <w:t xml:space="preserve"> </w:t>
      </w:r>
      <w:r w:rsidR="0042386A" w:rsidRPr="000B52C6">
        <w:rPr>
          <w:iCs/>
        </w:rPr>
        <w:t>and may have implication</w:t>
      </w:r>
      <w:r w:rsidR="00FA2870" w:rsidRPr="000B52C6">
        <w:rPr>
          <w:iCs/>
        </w:rPr>
        <w:t xml:space="preserve">s for </w:t>
      </w:r>
      <w:r w:rsidR="0065202B" w:rsidRPr="000B52C6">
        <w:rPr>
          <w:iCs/>
        </w:rPr>
        <w:t xml:space="preserve">comparator selection as well as the </w:t>
      </w:r>
      <w:r w:rsidR="00FA2870" w:rsidRPr="000B52C6">
        <w:rPr>
          <w:iCs/>
        </w:rPr>
        <w:t>financial estimates.</w:t>
      </w:r>
    </w:p>
    <w:p w14:paraId="35D78543" w14:textId="3C8B2E9C" w:rsidR="00E30686" w:rsidRPr="000B52C6" w:rsidRDefault="00E30686" w:rsidP="002E5A2F">
      <w:pPr>
        <w:widowControl w:val="0"/>
        <w:numPr>
          <w:ilvl w:val="1"/>
          <w:numId w:val="1"/>
        </w:numPr>
        <w:spacing w:after="120"/>
        <w:ind w:left="720" w:hanging="720"/>
        <w:rPr>
          <w:rFonts w:asciiTheme="minorHAnsi" w:hAnsiTheme="minorHAnsi"/>
          <w:bCs/>
          <w:snapToGrid w:val="0"/>
        </w:rPr>
      </w:pPr>
      <w:r w:rsidRPr="000B52C6">
        <w:rPr>
          <w:rFonts w:asciiTheme="minorHAnsi" w:hAnsiTheme="minorHAnsi"/>
          <w:bCs/>
          <w:snapToGrid w:val="0"/>
        </w:rPr>
        <w:t xml:space="preserve">The PBAC noted that the </w:t>
      </w:r>
      <w:r w:rsidR="00A5230B" w:rsidRPr="000B52C6">
        <w:rPr>
          <w:rFonts w:asciiTheme="minorHAnsi" w:hAnsiTheme="minorHAnsi"/>
          <w:bCs/>
          <w:snapToGrid w:val="0"/>
        </w:rPr>
        <w:t>re</w:t>
      </w:r>
      <w:r w:rsidRPr="000B52C6">
        <w:rPr>
          <w:rFonts w:asciiTheme="minorHAnsi" w:hAnsiTheme="minorHAnsi"/>
          <w:bCs/>
          <w:snapToGrid w:val="0"/>
        </w:rPr>
        <w:t xml:space="preserve">submission was based on one head-to-head randomised controlled trial comparing </w:t>
      </w:r>
      <w:proofErr w:type="spellStart"/>
      <w:r w:rsidRPr="000B52C6">
        <w:rPr>
          <w:rFonts w:asciiTheme="minorHAnsi" w:hAnsiTheme="minorHAnsi"/>
          <w:bCs/>
          <w:snapToGrid w:val="0"/>
        </w:rPr>
        <w:t>SBd</w:t>
      </w:r>
      <w:proofErr w:type="spellEnd"/>
      <w:r w:rsidRPr="000B52C6">
        <w:rPr>
          <w:rFonts w:asciiTheme="minorHAnsi" w:hAnsiTheme="minorHAnsi"/>
          <w:bCs/>
          <w:snapToGrid w:val="0"/>
        </w:rPr>
        <w:t xml:space="preserve"> to Bd (BOSTON) and ITCs between </w:t>
      </w:r>
      <w:proofErr w:type="spellStart"/>
      <w:r w:rsidRPr="000B52C6">
        <w:rPr>
          <w:rFonts w:asciiTheme="minorHAnsi" w:hAnsiTheme="minorHAnsi"/>
          <w:bCs/>
          <w:snapToGrid w:val="0"/>
        </w:rPr>
        <w:t>SBd</w:t>
      </w:r>
      <w:proofErr w:type="spellEnd"/>
      <w:r w:rsidRPr="000B52C6">
        <w:rPr>
          <w:rFonts w:asciiTheme="minorHAnsi" w:hAnsiTheme="minorHAnsi"/>
          <w:bCs/>
          <w:snapToGrid w:val="0"/>
        </w:rPr>
        <w:t xml:space="preserve"> and Cd that were informed by the BOSTON and ENDEAVOR (comparing Cd with Bd) trials.</w:t>
      </w:r>
      <w:r w:rsidR="002E5A2F" w:rsidRPr="000B52C6">
        <w:rPr>
          <w:rFonts w:asciiTheme="minorHAnsi" w:hAnsiTheme="minorHAnsi"/>
          <w:bCs/>
          <w:snapToGrid w:val="0"/>
        </w:rPr>
        <w:t xml:space="preserve"> </w:t>
      </w:r>
      <w:r w:rsidR="002E5A2F" w:rsidRPr="000B52C6">
        <w:t xml:space="preserve">The resubmission presented </w:t>
      </w:r>
      <w:r w:rsidR="00A5230B" w:rsidRPr="000B52C6">
        <w:t xml:space="preserve">efficacy data with a </w:t>
      </w:r>
      <w:r w:rsidR="002E5A2F" w:rsidRPr="000B52C6">
        <w:t xml:space="preserve">longer follow-up duration from BOSTON, with a data-cut </w:t>
      </w:r>
      <w:r w:rsidR="00A5230B" w:rsidRPr="000B52C6">
        <w:t xml:space="preserve">of </w:t>
      </w:r>
      <w:r w:rsidR="002E5A2F" w:rsidRPr="000B52C6">
        <w:t>February 2021 compared to February 2020 presented in the July 2021 submission. Both efficacy and safety data from ENDEAVOR remained unchanged from July 2021 submission.</w:t>
      </w:r>
    </w:p>
    <w:p w14:paraId="0D7BD4A0" w14:textId="239C760F" w:rsidR="00A22E48" w:rsidRPr="000B52C6" w:rsidRDefault="00A22E48" w:rsidP="00A22E48">
      <w:pPr>
        <w:pStyle w:val="3-BodyText"/>
        <w:ind w:left="720" w:hanging="720"/>
        <w:rPr>
          <w:iCs/>
        </w:rPr>
      </w:pPr>
      <w:r w:rsidRPr="000B52C6">
        <w:t>The key outcomes presented by the resubmission in the ITC</w:t>
      </w:r>
      <w:r w:rsidR="001A1026" w:rsidRPr="000B52C6">
        <w:t>s</w:t>
      </w:r>
      <w:r w:rsidRPr="000B52C6">
        <w:t xml:space="preserve"> were PFS and safety. </w:t>
      </w:r>
      <w:r w:rsidRPr="000B52C6">
        <w:rPr>
          <w:iCs/>
        </w:rPr>
        <w:t xml:space="preserve">The resubmission justified that the ITCs were </w:t>
      </w:r>
      <w:r w:rsidR="00A5230B" w:rsidRPr="000B52C6">
        <w:rPr>
          <w:iCs/>
        </w:rPr>
        <w:t xml:space="preserve">not </w:t>
      </w:r>
      <w:r w:rsidRPr="000B52C6">
        <w:rPr>
          <w:iCs/>
        </w:rPr>
        <w:t xml:space="preserve">performed for OS </w:t>
      </w:r>
      <w:r w:rsidR="0056363E" w:rsidRPr="000B52C6">
        <w:rPr>
          <w:iCs/>
        </w:rPr>
        <w:t xml:space="preserve">as the </w:t>
      </w:r>
      <w:r w:rsidRPr="000B52C6">
        <w:rPr>
          <w:iCs/>
        </w:rPr>
        <w:t xml:space="preserve">data were immature in BOSTON and </w:t>
      </w:r>
      <w:r w:rsidR="0056363E" w:rsidRPr="000B52C6">
        <w:rPr>
          <w:iCs/>
        </w:rPr>
        <w:t>it was impacted by</w:t>
      </w:r>
      <w:r w:rsidRPr="000B52C6">
        <w:rPr>
          <w:iCs/>
        </w:rPr>
        <w:t xml:space="preserve"> cross-over. </w:t>
      </w:r>
    </w:p>
    <w:p w14:paraId="2C3D0B7F" w14:textId="4287DEC1" w:rsidR="006F0460" w:rsidRPr="000B52C6" w:rsidRDefault="006F0460" w:rsidP="006F0460">
      <w:pPr>
        <w:pStyle w:val="3-BodyText"/>
        <w:ind w:left="720" w:hanging="720"/>
      </w:pPr>
      <w:proofErr w:type="gramStart"/>
      <w:r w:rsidRPr="000B52C6">
        <w:t>In regard to</w:t>
      </w:r>
      <w:proofErr w:type="gramEnd"/>
      <w:r w:rsidRPr="000B52C6">
        <w:t xml:space="preserve"> PFS, t</w:t>
      </w:r>
      <w:r w:rsidR="00912462" w:rsidRPr="000B52C6">
        <w:rPr>
          <w:bCs/>
        </w:rPr>
        <w:t>he PBAC recalled that i</w:t>
      </w:r>
      <w:r w:rsidR="006940A1" w:rsidRPr="000B52C6">
        <w:rPr>
          <w:bCs/>
        </w:rPr>
        <w:t xml:space="preserve">n </w:t>
      </w:r>
      <w:r w:rsidR="006203E8" w:rsidRPr="000B52C6">
        <w:rPr>
          <w:bCs/>
        </w:rPr>
        <w:t xml:space="preserve">the </w:t>
      </w:r>
      <w:r w:rsidR="006940A1" w:rsidRPr="000B52C6">
        <w:rPr>
          <w:bCs/>
        </w:rPr>
        <w:t>July 2021</w:t>
      </w:r>
      <w:r w:rsidR="006203E8" w:rsidRPr="000B52C6">
        <w:rPr>
          <w:bCs/>
        </w:rPr>
        <w:t xml:space="preserve"> submission</w:t>
      </w:r>
      <w:r w:rsidR="006940A1" w:rsidRPr="000B52C6">
        <w:rPr>
          <w:bCs/>
        </w:rPr>
        <w:t xml:space="preserve"> </w:t>
      </w:r>
      <w:r w:rsidR="00E30686" w:rsidRPr="000B52C6">
        <w:rPr>
          <w:bCs/>
        </w:rPr>
        <w:t xml:space="preserve">a statistically significant improvement in PFS </w:t>
      </w:r>
      <w:r w:rsidR="006203E8" w:rsidRPr="000B52C6">
        <w:rPr>
          <w:bCs/>
        </w:rPr>
        <w:t xml:space="preserve">was demonstrated in the BOSTON trial (ITT population) </w:t>
      </w:r>
      <w:r w:rsidR="007955B5" w:rsidRPr="000B52C6">
        <w:rPr>
          <w:bCs/>
        </w:rPr>
        <w:t xml:space="preserve">for </w:t>
      </w:r>
      <w:proofErr w:type="spellStart"/>
      <w:r w:rsidR="007955B5" w:rsidRPr="000B52C6">
        <w:rPr>
          <w:bCs/>
        </w:rPr>
        <w:t>SBd</w:t>
      </w:r>
      <w:proofErr w:type="spellEnd"/>
      <w:r w:rsidR="007955B5" w:rsidRPr="000B52C6">
        <w:rPr>
          <w:bCs/>
        </w:rPr>
        <w:t xml:space="preserve"> compared to Bd (</w:t>
      </w:r>
      <w:r w:rsidR="00E30686" w:rsidRPr="000B52C6">
        <w:rPr>
          <w:bCs/>
        </w:rPr>
        <w:t>HR = 0.70; 95% CI: 0.53, 0.93).</w:t>
      </w:r>
      <w:r w:rsidR="006940A1" w:rsidRPr="000B52C6">
        <w:rPr>
          <w:bCs/>
        </w:rPr>
        <w:t xml:space="preserve"> The PBAC noted that </w:t>
      </w:r>
      <w:r w:rsidR="006203E8" w:rsidRPr="000B52C6">
        <w:rPr>
          <w:bCs/>
        </w:rPr>
        <w:t xml:space="preserve">the resubmission presented </w:t>
      </w:r>
      <w:r w:rsidR="007955B5" w:rsidRPr="000B52C6">
        <w:rPr>
          <w:bCs/>
        </w:rPr>
        <w:t xml:space="preserve">similar </w:t>
      </w:r>
      <w:r w:rsidR="006203E8" w:rsidRPr="000B52C6">
        <w:rPr>
          <w:bCs/>
        </w:rPr>
        <w:t xml:space="preserve">results for </w:t>
      </w:r>
      <w:proofErr w:type="spellStart"/>
      <w:r w:rsidR="006203E8" w:rsidRPr="000B52C6">
        <w:rPr>
          <w:bCs/>
        </w:rPr>
        <w:t>SBd</w:t>
      </w:r>
      <w:proofErr w:type="spellEnd"/>
      <w:r w:rsidR="006203E8" w:rsidRPr="000B52C6">
        <w:rPr>
          <w:bCs/>
        </w:rPr>
        <w:t xml:space="preserve"> compared to Bd based on </w:t>
      </w:r>
      <w:r w:rsidR="007955B5" w:rsidRPr="000B52C6">
        <w:rPr>
          <w:bCs/>
        </w:rPr>
        <w:t>the</w:t>
      </w:r>
      <w:r w:rsidR="006940A1" w:rsidRPr="000B52C6">
        <w:t xml:space="preserve"> </w:t>
      </w:r>
      <w:r w:rsidR="006203E8" w:rsidRPr="000B52C6">
        <w:t>updated data cut</w:t>
      </w:r>
      <w:r w:rsidR="007955B5" w:rsidRPr="000B52C6">
        <w:t xml:space="preserve"> (</w:t>
      </w:r>
      <w:r w:rsidR="006940A1" w:rsidRPr="000B52C6">
        <w:t xml:space="preserve">HR = 0.71; 95% CI: 0.54, 0.93). </w:t>
      </w:r>
    </w:p>
    <w:p w14:paraId="72E994FB" w14:textId="58AE12A4" w:rsidR="00E61A8F" w:rsidRPr="000B52C6" w:rsidRDefault="00B74CC8" w:rsidP="00746CC8">
      <w:pPr>
        <w:pStyle w:val="3-BodyText"/>
        <w:ind w:left="720" w:hanging="720"/>
      </w:pPr>
      <w:r w:rsidRPr="000B52C6">
        <w:t>The PBAC noted that four different ITC models were presented in the resubmission</w:t>
      </w:r>
      <w:r w:rsidR="008F3F87" w:rsidRPr="000B52C6">
        <w:t xml:space="preserve"> to assess PFS</w:t>
      </w:r>
      <w:r w:rsidRPr="000B52C6">
        <w:t>, which included (</w:t>
      </w:r>
      <w:proofErr w:type="spellStart"/>
      <w:r w:rsidRPr="000B52C6">
        <w:t>i</w:t>
      </w:r>
      <w:proofErr w:type="spellEnd"/>
      <w:r w:rsidRPr="000B52C6">
        <w:t>) Unadjusted ITCs; (ii) Unadjusted ITCs with matching of statistical methods; (iii) Adjusted ITCs (multivariate) based on age and ECOG status; and (iv) STC (multivariate) based on age and ECOG status.</w:t>
      </w:r>
      <w:r w:rsidR="00E61A8F" w:rsidRPr="000B52C6">
        <w:t xml:space="preserve"> The results were presented for three subgroups (</w:t>
      </w:r>
      <w:r w:rsidR="004E1935" w:rsidRPr="000B52C6">
        <w:t xml:space="preserve">ITT – excluding India, Subgroup ≥ 2 prior lines, and Subgroup ≥ 2 prior lines </w:t>
      </w:r>
      <w:r w:rsidR="0056363E" w:rsidRPr="000B52C6">
        <w:t>and</w:t>
      </w:r>
      <w:r w:rsidR="004E1935" w:rsidRPr="000B52C6">
        <w:t xml:space="preserve"> excluding India). </w:t>
      </w:r>
      <w:r w:rsidR="001B7E9C" w:rsidRPr="000B52C6">
        <w:t xml:space="preserve">The PBAC noted although there were no </w:t>
      </w:r>
      <w:r w:rsidR="00CC1CF4" w:rsidRPr="000B52C6">
        <w:t>statistically</w:t>
      </w:r>
      <w:r w:rsidR="001B7E9C" w:rsidRPr="000B52C6">
        <w:t xml:space="preserve"> significant differences, the ITCs using the ITT population did not exclude the possibility of </w:t>
      </w:r>
      <w:proofErr w:type="spellStart"/>
      <w:r w:rsidR="00746CC8" w:rsidRPr="000B52C6">
        <w:t>S</w:t>
      </w:r>
      <w:r w:rsidR="000B52C6">
        <w:t>B</w:t>
      </w:r>
      <w:r w:rsidR="00746CC8" w:rsidRPr="000B52C6">
        <w:t>d</w:t>
      </w:r>
      <w:proofErr w:type="spellEnd"/>
      <w:r w:rsidR="001B7E9C" w:rsidRPr="000B52C6">
        <w:t xml:space="preserve"> being </w:t>
      </w:r>
      <w:r w:rsidR="00746CC8" w:rsidRPr="000B52C6">
        <w:t>less</w:t>
      </w:r>
      <w:r w:rsidR="001B7E9C" w:rsidRPr="000B52C6">
        <w:t xml:space="preserve"> effective than </w:t>
      </w:r>
      <w:r w:rsidR="00746CC8" w:rsidRPr="000B52C6">
        <w:t>C</w:t>
      </w:r>
      <w:r w:rsidR="001B7E9C" w:rsidRPr="000B52C6">
        <w:t xml:space="preserve">d (the point estimate [upper 95% CI] for the </w:t>
      </w:r>
      <w:r w:rsidR="00746CC8" w:rsidRPr="000B52C6">
        <w:t xml:space="preserve">ITC </w:t>
      </w:r>
      <w:r w:rsidR="001B7E9C" w:rsidRPr="000B52C6">
        <w:t>HRs ranged from 1.08 [1.63] for the STC analysis to 1.32 [1.86] for the unadjusted analysis</w:t>
      </w:r>
      <w:r w:rsidR="00746CC8" w:rsidRPr="000B52C6">
        <w:t>; Table 9</w:t>
      </w:r>
      <w:r w:rsidR="001B7E9C" w:rsidRPr="000B52C6">
        <w:t xml:space="preserve">). </w:t>
      </w:r>
      <w:r w:rsidR="004E1935" w:rsidRPr="000B52C6">
        <w:t>T</w:t>
      </w:r>
      <w:r w:rsidR="00E61A8F" w:rsidRPr="000B52C6">
        <w:t>he results from the subgroup analyses were generally consistent with the results for the ITT population</w:t>
      </w:r>
      <w:r w:rsidR="001A1026" w:rsidRPr="000B52C6">
        <w:t xml:space="preserve"> </w:t>
      </w:r>
      <w:r w:rsidR="00E61A8F" w:rsidRPr="000B52C6">
        <w:t xml:space="preserve">although </w:t>
      </w:r>
      <w:r w:rsidR="00746CC8" w:rsidRPr="000B52C6">
        <w:t xml:space="preserve">for </w:t>
      </w:r>
      <w:r w:rsidR="00E61A8F" w:rsidRPr="000B52C6">
        <w:t>some</w:t>
      </w:r>
      <w:r w:rsidR="00746CC8" w:rsidRPr="000B52C6">
        <w:t xml:space="preserve"> of the analyses</w:t>
      </w:r>
      <w:r w:rsidR="009B7100" w:rsidRPr="000B52C6">
        <w:t xml:space="preserve"> </w:t>
      </w:r>
      <w:r w:rsidR="00746CC8" w:rsidRPr="000B52C6">
        <w:t>the point estimate for the</w:t>
      </w:r>
      <w:r w:rsidR="00E61A8F" w:rsidRPr="000B52C6">
        <w:t xml:space="preserve"> indirect estimates of effect favoured </w:t>
      </w:r>
      <w:proofErr w:type="spellStart"/>
      <w:r w:rsidR="00E61A8F" w:rsidRPr="000B52C6">
        <w:t>SBd</w:t>
      </w:r>
      <w:proofErr w:type="spellEnd"/>
      <w:r w:rsidR="00E61A8F" w:rsidRPr="000B52C6">
        <w:t xml:space="preserve"> (Table 10).  </w:t>
      </w:r>
      <w:r w:rsidR="00746CC8" w:rsidRPr="000B52C6">
        <w:t xml:space="preserve"> </w:t>
      </w:r>
    </w:p>
    <w:p w14:paraId="3A0DF063" w14:textId="1C798627" w:rsidR="006F0460" w:rsidRPr="000B52C6" w:rsidRDefault="008F3F87" w:rsidP="006F0460">
      <w:pPr>
        <w:pStyle w:val="3-BodyText"/>
        <w:snapToGrid w:val="0"/>
        <w:ind w:left="720" w:hanging="720"/>
      </w:pPr>
      <w:proofErr w:type="gramStart"/>
      <w:r w:rsidRPr="000B52C6">
        <w:rPr>
          <w:snapToGrid/>
        </w:rPr>
        <w:t>In regard to</w:t>
      </w:r>
      <w:proofErr w:type="gramEnd"/>
      <w:r w:rsidRPr="000B52C6">
        <w:rPr>
          <w:snapToGrid/>
        </w:rPr>
        <w:t xml:space="preserve"> OS, t</w:t>
      </w:r>
      <w:r w:rsidR="007955B5" w:rsidRPr="000B52C6">
        <w:rPr>
          <w:snapToGrid/>
        </w:rPr>
        <w:t xml:space="preserve">he PBAC noted that despite the longer follow-up, the survival data presented in the resubmission </w:t>
      </w:r>
      <w:r w:rsidR="006203E8" w:rsidRPr="000B52C6">
        <w:rPr>
          <w:snapToGrid/>
        </w:rPr>
        <w:t>remained</w:t>
      </w:r>
      <w:r w:rsidR="007955B5" w:rsidRPr="000B52C6">
        <w:rPr>
          <w:snapToGrid/>
        </w:rPr>
        <w:t xml:space="preserve"> immature with an event rate of 35% and 39% for </w:t>
      </w:r>
      <w:proofErr w:type="spellStart"/>
      <w:r w:rsidR="007955B5" w:rsidRPr="000B52C6">
        <w:rPr>
          <w:snapToGrid/>
        </w:rPr>
        <w:t>SBd</w:t>
      </w:r>
      <w:proofErr w:type="spellEnd"/>
      <w:r w:rsidR="007955B5" w:rsidRPr="000B52C6">
        <w:rPr>
          <w:snapToGrid/>
        </w:rPr>
        <w:t xml:space="preserve"> and Bd arms, respectively. </w:t>
      </w:r>
      <w:r w:rsidR="00BC07A3" w:rsidRPr="000B52C6">
        <w:rPr>
          <w:iCs/>
          <w:snapToGrid/>
        </w:rPr>
        <w:t xml:space="preserve">The difference in OS based on the updated data cut-off was not statistically significant between the two trial arms (HR = 0.88; 95% CI: 0.63, 1.22), a result that was consistent with the February 2020 data cut-off as presented in the July 2021 submission (HR = 0.84; 95% CI: 0.57, 1.23). </w:t>
      </w:r>
      <w:r w:rsidR="00BC07A3" w:rsidRPr="000B52C6">
        <w:t>The PBAC considered although this result may be</w:t>
      </w:r>
      <w:r w:rsidR="0056363E" w:rsidRPr="000B52C6">
        <w:t xml:space="preserve"> in part</w:t>
      </w:r>
      <w:r w:rsidR="00BC07A3" w:rsidRPr="000B52C6">
        <w:t xml:space="preserve"> due to the impact of crossover within the Bd treatment arm to </w:t>
      </w:r>
      <w:proofErr w:type="spellStart"/>
      <w:r w:rsidR="00BC07A3" w:rsidRPr="000B52C6">
        <w:t>SBd</w:t>
      </w:r>
      <w:proofErr w:type="spellEnd"/>
      <w:r w:rsidR="00BC07A3" w:rsidRPr="000B52C6">
        <w:t xml:space="preserve"> treatment, the impact of </w:t>
      </w:r>
      <w:proofErr w:type="spellStart"/>
      <w:r w:rsidR="00BC07A3" w:rsidRPr="000B52C6">
        <w:t>SBd</w:t>
      </w:r>
      <w:proofErr w:type="spellEnd"/>
      <w:r w:rsidR="00BC07A3" w:rsidRPr="000B52C6">
        <w:t xml:space="preserve"> on OS remained uncertain. </w:t>
      </w:r>
      <w:r w:rsidR="006F0460" w:rsidRPr="000B52C6">
        <w:t>In contrast, the PBAC noted that for Cd, the clinical evidence (ENDEAVOR) demonstrated a significant improvement in OS for Cd compared with Bd (HR = 0.76; 95% CI: 0.63, 0.92).</w:t>
      </w:r>
    </w:p>
    <w:p w14:paraId="03AE44C3" w14:textId="54DB06A7" w:rsidR="00EA410E" w:rsidRPr="000B52C6" w:rsidRDefault="006F0460" w:rsidP="006F0460">
      <w:pPr>
        <w:pStyle w:val="3-BodyText"/>
        <w:ind w:left="720" w:hanging="720"/>
      </w:pPr>
      <w:proofErr w:type="gramStart"/>
      <w:r w:rsidRPr="000B52C6">
        <w:t>In regard to</w:t>
      </w:r>
      <w:proofErr w:type="gramEnd"/>
      <w:r w:rsidRPr="000B52C6">
        <w:t xml:space="preserve"> adverse events, the PBAC noted the </w:t>
      </w:r>
      <w:r w:rsidR="00EA410E" w:rsidRPr="000B52C6">
        <w:t xml:space="preserve">occurrence of Grade ≥3 TEAEs </w:t>
      </w:r>
      <w:r w:rsidRPr="000B52C6">
        <w:t xml:space="preserve">in BOSTON which indicated </w:t>
      </w:r>
      <w:r w:rsidR="00EA410E" w:rsidRPr="000B52C6">
        <w:t xml:space="preserve">statistically significantly more thrombocytopenia (39.5% versus 17.2%), fatigue (13.3% versus 1.0%), neutropenia (8.7% versus 3.4%), nausea (7.7% versus 0.0%), cataract (8.7% versus 1.5%), and diarrhoea (6.2% versus 0.5%) for </w:t>
      </w:r>
      <w:proofErr w:type="spellStart"/>
      <w:r w:rsidR="00EA410E" w:rsidRPr="000B52C6">
        <w:t>SBd</w:t>
      </w:r>
      <w:proofErr w:type="spellEnd"/>
      <w:r w:rsidR="00EA410E" w:rsidRPr="000B52C6">
        <w:t xml:space="preserve"> compared with Bd.</w:t>
      </w:r>
    </w:p>
    <w:p w14:paraId="7FC3D2EF" w14:textId="1A0CFC33" w:rsidR="00636452" w:rsidRPr="000B52C6" w:rsidRDefault="008F3F87" w:rsidP="008F3F87">
      <w:pPr>
        <w:pStyle w:val="3-BodyText"/>
        <w:ind w:left="720" w:hanging="720"/>
        <w:rPr>
          <w:rFonts w:eastAsia="Calibri"/>
        </w:rPr>
      </w:pPr>
      <w:r w:rsidRPr="000B52C6">
        <w:t>The PBAC noted that r</w:t>
      </w:r>
      <w:r w:rsidR="00636452" w:rsidRPr="000B52C6">
        <w:t xml:space="preserve">esults of safety ITCs with respect to overall AEs showed no statistically significant differences were observed between </w:t>
      </w:r>
      <w:proofErr w:type="spellStart"/>
      <w:r w:rsidR="00636452" w:rsidRPr="000B52C6">
        <w:t>SBd</w:t>
      </w:r>
      <w:proofErr w:type="spellEnd"/>
      <w:r w:rsidR="00636452" w:rsidRPr="000B52C6">
        <w:t xml:space="preserve"> and Cd with respect to any AE, any SAE, AEs leading to discontinuation and AEs resulting in death (Table 17). Results of safety ITCs with respect to individual Grade ≥ 3 TEAEs for </w:t>
      </w:r>
      <w:proofErr w:type="spellStart"/>
      <w:r w:rsidR="00636452" w:rsidRPr="000B52C6">
        <w:t>SBd</w:t>
      </w:r>
      <w:proofErr w:type="spellEnd"/>
      <w:r w:rsidR="00636452" w:rsidRPr="000B52C6">
        <w:t xml:space="preserve"> vs Cd showed statistically significant differences in favour of </w:t>
      </w:r>
      <w:proofErr w:type="spellStart"/>
      <w:r w:rsidR="00636452" w:rsidRPr="000B52C6">
        <w:t>SBd</w:t>
      </w:r>
      <w:proofErr w:type="spellEnd"/>
      <w:r w:rsidR="00636452" w:rsidRPr="000B52C6">
        <w:t xml:space="preserve"> with respect to hypertension (OR=</w:t>
      </w:r>
      <w:r w:rsidR="0089039C" w:rsidRPr="000B52C6">
        <w:t> </w:t>
      </w:r>
      <w:r w:rsidR="00636452" w:rsidRPr="000B52C6">
        <w:t>0.27</w:t>
      </w:r>
      <w:r w:rsidR="00033042" w:rsidRPr="000B52C6">
        <w:t xml:space="preserve">; </w:t>
      </w:r>
      <w:r w:rsidR="00636452" w:rsidRPr="000B52C6">
        <w:t>95% CI: 0.08, 0.93) and dyspnoea (OR= 0.07</w:t>
      </w:r>
      <w:r w:rsidR="00033042" w:rsidRPr="000B52C6">
        <w:t>;</w:t>
      </w:r>
      <w:r w:rsidR="00636452" w:rsidRPr="000B52C6">
        <w:t xml:space="preserve"> 95% CI: 0.01, 0.74). Conversely, statistically significant differences in favour of Cd were observed for fatigue (OR= 17.46</w:t>
      </w:r>
      <w:r w:rsidR="00033042" w:rsidRPr="000B52C6">
        <w:t>;</w:t>
      </w:r>
      <w:r w:rsidR="00636452" w:rsidRPr="000B52C6">
        <w:t xml:space="preserve"> 95% CI: 3.76, 81.12), diarrhoea (OR= 29.58</w:t>
      </w:r>
      <w:r w:rsidR="00033042" w:rsidRPr="000B52C6">
        <w:t>;</w:t>
      </w:r>
      <w:r w:rsidR="00636452" w:rsidRPr="000B52C6">
        <w:t xml:space="preserve"> 95% CI: 3.52, 248.49) and thrombocytopaenia (OR= 3.80</w:t>
      </w:r>
      <w:r w:rsidR="00033042" w:rsidRPr="000B52C6">
        <w:t>;</w:t>
      </w:r>
      <w:r w:rsidR="00636452" w:rsidRPr="000B52C6">
        <w:t xml:space="preserve"> 95% CI: 2.09, 6.9) (</w:t>
      </w:r>
      <w:r w:rsidR="0089039C" w:rsidRPr="000B52C6">
        <w:t>Table 18</w:t>
      </w:r>
      <w:r w:rsidR="00636452" w:rsidRPr="000B52C6">
        <w:t xml:space="preserve">). </w:t>
      </w:r>
      <w:r w:rsidR="00636452" w:rsidRPr="000B52C6">
        <w:rPr>
          <w:rFonts w:eastAsia="Calibri"/>
        </w:rPr>
        <w:t xml:space="preserve">The PBAC considered that </w:t>
      </w:r>
      <w:r w:rsidR="00636452" w:rsidRPr="000B52C6">
        <w:t xml:space="preserve">the results were broadly consistent with the known safety profile of </w:t>
      </w:r>
      <w:proofErr w:type="spellStart"/>
      <w:r w:rsidR="00636452" w:rsidRPr="000B52C6">
        <w:t>SBd</w:t>
      </w:r>
      <w:proofErr w:type="spellEnd"/>
      <w:r w:rsidR="00636452" w:rsidRPr="000B52C6">
        <w:t xml:space="preserve"> and Cd. The PBAC also noted that the resubmission </w:t>
      </w:r>
      <w:r w:rsidR="00636452" w:rsidRPr="000B52C6">
        <w:rPr>
          <w:rFonts w:eastAsia="Calibri"/>
        </w:rPr>
        <w:t xml:space="preserve">included the cost of the AEs that were more prevalent with </w:t>
      </w:r>
      <w:proofErr w:type="spellStart"/>
      <w:r w:rsidR="00636452" w:rsidRPr="000B52C6">
        <w:rPr>
          <w:rFonts w:eastAsia="Calibri"/>
        </w:rPr>
        <w:t>SBd</w:t>
      </w:r>
      <w:proofErr w:type="spellEnd"/>
      <w:r w:rsidR="00636452" w:rsidRPr="000B52C6">
        <w:rPr>
          <w:rFonts w:eastAsia="Calibri"/>
        </w:rPr>
        <w:t xml:space="preserve"> in the CMA, but not those more prevalent with Cd, </w:t>
      </w:r>
      <w:r w:rsidRPr="000B52C6">
        <w:rPr>
          <w:rFonts w:eastAsia="Calibri"/>
        </w:rPr>
        <w:t>in</w:t>
      </w:r>
      <w:r w:rsidR="00636452" w:rsidRPr="000B52C6">
        <w:rPr>
          <w:rFonts w:eastAsia="Calibri"/>
        </w:rPr>
        <w:t xml:space="preserve"> acknowledgement of the uncertainty</w:t>
      </w:r>
      <w:r w:rsidRPr="000B52C6">
        <w:rPr>
          <w:rFonts w:eastAsia="Calibri"/>
        </w:rPr>
        <w:t xml:space="preserve"> within the safety ITCs</w:t>
      </w:r>
      <w:r w:rsidR="00636452" w:rsidRPr="000B52C6">
        <w:rPr>
          <w:rFonts w:eastAsia="Calibri"/>
        </w:rPr>
        <w:t>.</w:t>
      </w:r>
    </w:p>
    <w:p w14:paraId="38D6F670" w14:textId="045D1070" w:rsidR="00A2127C" w:rsidRPr="000B52C6" w:rsidRDefault="008F3F87" w:rsidP="004460EF">
      <w:pPr>
        <w:pStyle w:val="3-BodyText"/>
        <w:widowControl w:val="0"/>
        <w:ind w:left="720" w:hanging="720"/>
        <w:rPr>
          <w:iCs/>
          <w:snapToGrid/>
          <w:szCs w:val="20"/>
        </w:rPr>
      </w:pPr>
      <w:proofErr w:type="gramStart"/>
      <w:r w:rsidRPr="000B52C6">
        <w:rPr>
          <w:iCs/>
          <w:snapToGrid/>
        </w:rPr>
        <w:t>Overall</w:t>
      </w:r>
      <w:proofErr w:type="gramEnd"/>
      <w:r w:rsidRPr="000B52C6">
        <w:rPr>
          <w:iCs/>
          <w:snapToGrid/>
        </w:rPr>
        <w:t xml:space="preserve"> the PBAC </w:t>
      </w:r>
      <w:r w:rsidR="007D620A" w:rsidRPr="000B52C6">
        <w:rPr>
          <w:iCs/>
          <w:snapToGrid/>
        </w:rPr>
        <w:t>considered</w:t>
      </w:r>
      <w:r w:rsidRPr="000B52C6">
        <w:rPr>
          <w:iCs/>
          <w:snapToGrid/>
        </w:rPr>
        <w:t xml:space="preserve"> that the </w:t>
      </w:r>
      <w:r w:rsidRPr="000B52C6">
        <w:rPr>
          <w:szCs w:val="20"/>
        </w:rPr>
        <w:t xml:space="preserve">claim of non-inferior comparative effectiveness was not adequately supported by the data. </w:t>
      </w:r>
      <w:r w:rsidRPr="000B52C6">
        <w:t xml:space="preserve">The PBAC noted the additional analyses of PFS provided by the resubmission, however considered that </w:t>
      </w:r>
      <w:r w:rsidRPr="000B52C6">
        <w:rPr>
          <w:iCs/>
        </w:rPr>
        <w:t xml:space="preserve">a lack of a statistically significant difference between </w:t>
      </w:r>
      <w:proofErr w:type="spellStart"/>
      <w:r w:rsidRPr="000B52C6">
        <w:rPr>
          <w:iCs/>
        </w:rPr>
        <w:t>SBd</w:t>
      </w:r>
      <w:proofErr w:type="spellEnd"/>
      <w:r w:rsidRPr="000B52C6">
        <w:rPr>
          <w:iCs/>
        </w:rPr>
        <w:t xml:space="preserve"> and Cd did not adequately establish non-inferiority. Secondly, the PBAC noted that a </w:t>
      </w:r>
      <w:r w:rsidRPr="000B52C6">
        <w:t xml:space="preserve">statistically significant improvement in OS was demonstrated for Cd versus Bd (in ENDEAVOR), but not for </w:t>
      </w:r>
      <w:proofErr w:type="spellStart"/>
      <w:r w:rsidRPr="000B52C6">
        <w:t>SBd</w:t>
      </w:r>
      <w:proofErr w:type="spellEnd"/>
      <w:r w:rsidRPr="000B52C6">
        <w:t xml:space="preserve"> versus Bd (in BOSTON). </w:t>
      </w:r>
      <w:r w:rsidRPr="000B52C6">
        <w:rPr>
          <w:szCs w:val="20"/>
        </w:rPr>
        <w:t xml:space="preserve">The PBAC considered that the claim of non-inferior comparative safety was reasonable, noting that </w:t>
      </w:r>
      <w:proofErr w:type="spellStart"/>
      <w:r w:rsidRPr="000B52C6">
        <w:rPr>
          <w:szCs w:val="20"/>
        </w:rPr>
        <w:t>SBd</w:t>
      </w:r>
      <w:proofErr w:type="spellEnd"/>
      <w:r w:rsidRPr="000B52C6">
        <w:rPr>
          <w:szCs w:val="20"/>
        </w:rPr>
        <w:t xml:space="preserve"> is associated with a different s</w:t>
      </w:r>
      <w:r w:rsidR="001A1026" w:rsidRPr="000B52C6">
        <w:rPr>
          <w:szCs w:val="20"/>
        </w:rPr>
        <w:t>afety profile compared with Cd.</w:t>
      </w:r>
    </w:p>
    <w:p w14:paraId="359B0BA0" w14:textId="11B13FF9" w:rsidR="0067663A" w:rsidRPr="000B52C6" w:rsidRDefault="0067663A" w:rsidP="005640E7">
      <w:pPr>
        <w:pStyle w:val="3-BodyText"/>
        <w:widowControl w:val="0"/>
        <w:ind w:left="720" w:hanging="720"/>
        <w:rPr>
          <w:iCs/>
          <w:snapToGrid/>
          <w:szCs w:val="20"/>
        </w:rPr>
      </w:pPr>
      <w:r w:rsidRPr="000B52C6">
        <w:rPr>
          <w:iCs/>
        </w:rPr>
        <w:t xml:space="preserve">As the claim of non-inferiority between </w:t>
      </w:r>
      <w:proofErr w:type="spellStart"/>
      <w:r w:rsidRPr="000B52C6">
        <w:rPr>
          <w:iCs/>
        </w:rPr>
        <w:t>SBd</w:t>
      </w:r>
      <w:proofErr w:type="spellEnd"/>
      <w:r w:rsidRPr="000B52C6">
        <w:rPr>
          <w:iCs/>
        </w:rPr>
        <w:t xml:space="preserve"> and Cd was not supported, the PBAC considered that the CMA was not informative. The PBAC </w:t>
      </w:r>
      <w:r w:rsidR="00BB0B25" w:rsidRPr="000B52C6">
        <w:rPr>
          <w:iCs/>
        </w:rPr>
        <w:t xml:space="preserve">did </w:t>
      </w:r>
      <w:r w:rsidRPr="000B52C6">
        <w:rPr>
          <w:iCs/>
        </w:rPr>
        <w:t>note</w:t>
      </w:r>
      <w:r w:rsidR="00BB0B25" w:rsidRPr="000B52C6">
        <w:rPr>
          <w:iCs/>
        </w:rPr>
        <w:t xml:space="preserve"> however,</w:t>
      </w:r>
      <w:r w:rsidRPr="000B52C6">
        <w:rPr>
          <w:iCs/>
        </w:rPr>
        <w:t xml:space="preserve"> the following concerns </w:t>
      </w:r>
      <w:r w:rsidR="00BB0B25" w:rsidRPr="000B52C6">
        <w:rPr>
          <w:iCs/>
        </w:rPr>
        <w:t xml:space="preserve">with </w:t>
      </w:r>
      <w:r w:rsidRPr="000B52C6">
        <w:rPr>
          <w:iCs/>
        </w:rPr>
        <w:t>the CMA presented in the resubmission</w:t>
      </w:r>
      <w:r w:rsidR="00BB0B25" w:rsidRPr="000B52C6">
        <w:rPr>
          <w:iCs/>
        </w:rPr>
        <w:t>:</w:t>
      </w:r>
      <w:r w:rsidRPr="000B52C6">
        <w:rPr>
          <w:iCs/>
        </w:rPr>
        <w:t xml:space="preserve"> </w:t>
      </w:r>
      <w:r w:rsidR="00BB0B25" w:rsidRPr="000B52C6">
        <w:rPr>
          <w:iCs/>
        </w:rPr>
        <w:t>(</w:t>
      </w:r>
      <w:proofErr w:type="spellStart"/>
      <w:r w:rsidR="00BB0B25" w:rsidRPr="000B52C6">
        <w:rPr>
          <w:iCs/>
        </w:rPr>
        <w:t>i</w:t>
      </w:r>
      <w:proofErr w:type="spellEnd"/>
      <w:r w:rsidR="00BB0B25" w:rsidRPr="000B52C6">
        <w:rPr>
          <w:iCs/>
        </w:rPr>
        <w:t>)</w:t>
      </w:r>
      <w:r w:rsidRPr="000B52C6">
        <w:rPr>
          <w:iCs/>
        </w:rPr>
        <w:t xml:space="preserve"> the assumption that </w:t>
      </w:r>
      <w:r w:rsidRPr="000B52C6">
        <w:t xml:space="preserve">Cd would always be used twice weekly was not justified </w:t>
      </w:r>
      <w:r w:rsidR="009B7100" w:rsidRPr="000B52C6">
        <w:t xml:space="preserve">and that </w:t>
      </w:r>
      <w:r w:rsidR="006808B2" w:rsidRPr="000B52C6">
        <w:t xml:space="preserve">further consideration was required with respect to the carfilzomib dose assumed in the CMA </w:t>
      </w:r>
      <w:r w:rsidRPr="000B52C6">
        <w:t>(paragraph 6.5</w:t>
      </w:r>
      <w:r w:rsidR="009B7100" w:rsidRPr="000B52C6">
        <w:t>6</w:t>
      </w:r>
      <w:r w:rsidRPr="000B52C6">
        <w:t>)</w:t>
      </w:r>
      <w:r w:rsidR="00BB0B25" w:rsidRPr="000B52C6">
        <w:t>; (ii)</w:t>
      </w:r>
      <w:r w:rsidRPr="000B52C6">
        <w:rPr>
          <w:iCs/>
        </w:rPr>
        <w:t xml:space="preserve"> the costs associated with subcutaneous administration of bortezomib (paragraph 6.6</w:t>
      </w:r>
      <w:r w:rsidR="006808B2" w:rsidRPr="000B52C6">
        <w:rPr>
          <w:iCs/>
        </w:rPr>
        <w:t>1</w:t>
      </w:r>
      <w:r w:rsidRPr="000B52C6">
        <w:rPr>
          <w:iCs/>
        </w:rPr>
        <w:t>)</w:t>
      </w:r>
      <w:r w:rsidR="00BB0B25" w:rsidRPr="000B52C6">
        <w:rPr>
          <w:iCs/>
        </w:rPr>
        <w:t xml:space="preserve"> should have been included;</w:t>
      </w:r>
      <w:r w:rsidRPr="000B52C6">
        <w:rPr>
          <w:iCs/>
        </w:rPr>
        <w:t xml:space="preserve"> and </w:t>
      </w:r>
      <w:r w:rsidR="00BB0B25" w:rsidRPr="000B52C6">
        <w:rPr>
          <w:iCs/>
        </w:rPr>
        <w:t xml:space="preserve">(iii) </w:t>
      </w:r>
      <w:r w:rsidRPr="000B52C6">
        <w:rPr>
          <w:iCs/>
        </w:rPr>
        <w:t>recommended concomitant drugs</w:t>
      </w:r>
      <w:r w:rsidR="00BB0B25" w:rsidRPr="000B52C6">
        <w:rPr>
          <w:iCs/>
        </w:rPr>
        <w:t xml:space="preserve"> should have been included</w:t>
      </w:r>
      <w:r w:rsidRPr="000B52C6">
        <w:rPr>
          <w:iCs/>
        </w:rPr>
        <w:t xml:space="preserve"> (paragraph 6.6</w:t>
      </w:r>
      <w:r w:rsidR="006808B2" w:rsidRPr="000B52C6">
        <w:rPr>
          <w:iCs/>
        </w:rPr>
        <w:t>3</w:t>
      </w:r>
      <w:r w:rsidRPr="000B52C6">
        <w:rPr>
          <w:iCs/>
        </w:rPr>
        <w:t xml:space="preserve">). </w:t>
      </w:r>
    </w:p>
    <w:p w14:paraId="6F0C8CC8" w14:textId="2AA0634E" w:rsidR="00A2127C" w:rsidRPr="000B52C6" w:rsidRDefault="00A2127C" w:rsidP="00A2127C">
      <w:pPr>
        <w:pStyle w:val="3-BodyText"/>
        <w:ind w:left="720" w:hanging="720"/>
        <w:rPr>
          <w:iCs/>
          <w:snapToGrid/>
        </w:rPr>
      </w:pPr>
      <w:proofErr w:type="gramStart"/>
      <w:r w:rsidRPr="000B52C6">
        <w:rPr>
          <w:iCs/>
          <w:snapToGrid/>
        </w:rPr>
        <w:t>In regard to</w:t>
      </w:r>
      <w:proofErr w:type="gramEnd"/>
      <w:r w:rsidRPr="000B52C6">
        <w:rPr>
          <w:iCs/>
          <w:snapToGrid/>
        </w:rPr>
        <w:t xml:space="preserve"> the utilisation estimates, t</w:t>
      </w:r>
      <w:r w:rsidR="003322EF" w:rsidRPr="000B52C6">
        <w:t xml:space="preserve">he PBAC considered the resubmission’s assumption that substitution will result in only replacement </w:t>
      </w:r>
      <w:r w:rsidR="00912462" w:rsidRPr="000B52C6">
        <w:t>of</w:t>
      </w:r>
      <w:r w:rsidR="003322EF" w:rsidRPr="000B52C6">
        <w:t xml:space="preserve"> Cd may not be appropriate as </w:t>
      </w:r>
      <w:proofErr w:type="spellStart"/>
      <w:r w:rsidR="003322EF" w:rsidRPr="000B52C6">
        <w:t>SBd</w:t>
      </w:r>
      <w:proofErr w:type="spellEnd"/>
      <w:r w:rsidR="00BB0B25" w:rsidRPr="000B52C6">
        <w:t>, being a new drug class,</w:t>
      </w:r>
      <w:r w:rsidR="003322EF" w:rsidRPr="000B52C6">
        <w:t xml:space="preserve"> may displace Cd (and possibly other treatments such as </w:t>
      </w:r>
      <w:proofErr w:type="spellStart"/>
      <w:r w:rsidR="003322EF" w:rsidRPr="000B52C6">
        <w:t>Ld</w:t>
      </w:r>
      <w:proofErr w:type="spellEnd"/>
      <w:r w:rsidR="003322EF" w:rsidRPr="000B52C6">
        <w:t>, Bd and Pd) to later line use.</w:t>
      </w:r>
      <w:r w:rsidR="00912462" w:rsidRPr="000B52C6">
        <w:t xml:space="preserve"> </w:t>
      </w:r>
      <w:r w:rsidRPr="000B52C6">
        <w:rPr>
          <w:bCs/>
        </w:rPr>
        <w:t xml:space="preserve">Overall, the PBAC considered that the utilisation estimates for </w:t>
      </w:r>
      <w:proofErr w:type="spellStart"/>
      <w:r w:rsidRPr="000B52C6">
        <w:rPr>
          <w:bCs/>
        </w:rPr>
        <w:t>SBd</w:t>
      </w:r>
      <w:proofErr w:type="spellEnd"/>
      <w:r w:rsidRPr="000B52C6">
        <w:rPr>
          <w:bCs/>
        </w:rPr>
        <w:t xml:space="preserve"> were uncertain, noting that the place in </w:t>
      </w:r>
      <w:r w:rsidRPr="000B52C6">
        <w:rPr>
          <w:iCs/>
        </w:rPr>
        <w:t xml:space="preserve">therapy for </w:t>
      </w:r>
      <w:proofErr w:type="spellStart"/>
      <w:r w:rsidRPr="000B52C6">
        <w:rPr>
          <w:iCs/>
        </w:rPr>
        <w:t>SBd</w:t>
      </w:r>
      <w:proofErr w:type="spellEnd"/>
      <w:r w:rsidRPr="000B52C6">
        <w:rPr>
          <w:iCs/>
        </w:rPr>
        <w:t xml:space="preserve"> and the impact on other RRMM regimens was </w:t>
      </w:r>
      <w:proofErr w:type="spellStart"/>
      <w:r w:rsidRPr="000B52C6">
        <w:rPr>
          <w:iCs/>
        </w:rPr>
        <w:t>unclearIn</w:t>
      </w:r>
      <w:proofErr w:type="spellEnd"/>
      <w:r w:rsidRPr="000B52C6">
        <w:rPr>
          <w:iCs/>
        </w:rPr>
        <w:t xml:space="preserve"> addition, t</w:t>
      </w:r>
      <w:r w:rsidRPr="000B52C6">
        <w:t xml:space="preserve">he resubmission did not quantify the potential overlap in the populations for </w:t>
      </w:r>
      <w:proofErr w:type="spellStart"/>
      <w:r w:rsidRPr="000B52C6">
        <w:t>SBd</w:t>
      </w:r>
      <w:proofErr w:type="spellEnd"/>
      <w:r w:rsidRPr="000B52C6">
        <w:t xml:space="preserve"> and Sd (proposed in the separate submission considered at the March 2022 meeting). </w:t>
      </w:r>
    </w:p>
    <w:p w14:paraId="4EE53F85" w14:textId="660E825F" w:rsidR="00A2127C" w:rsidRPr="000B52C6" w:rsidRDefault="00A2127C" w:rsidP="00A2127C">
      <w:pPr>
        <w:widowControl w:val="0"/>
        <w:numPr>
          <w:ilvl w:val="1"/>
          <w:numId w:val="1"/>
        </w:numPr>
        <w:spacing w:after="120"/>
        <w:ind w:left="720" w:hanging="720"/>
        <w:rPr>
          <w:rFonts w:asciiTheme="minorHAnsi" w:hAnsiTheme="minorHAnsi"/>
          <w:bCs/>
          <w:snapToGrid w:val="0"/>
        </w:rPr>
      </w:pPr>
      <w:r w:rsidRPr="000B52C6">
        <w:rPr>
          <w:rFonts w:asciiTheme="minorHAnsi" w:hAnsiTheme="minorHAnsi"/>
          <w:bCs/>
          <w:snapToGrid w:val="0"/>
        </w:rPr>
        <w:t xml:space="preserve">The PBAC noted that the proposed listing of </w:t>
      </w:r>
      <w:proofErr w:type="spellStart"/>
      <w:r w:rsidRPr="000B52C6">
        <w:rPr>
          <w:rFonts w:asciiTheme="minorHAnsi" w:hAnsiTheme="minorHAnsi"/>
          <w:bCs/>
          <w:snapToGrid w:val="0"/>
        </w:rPr>
        <w:t>selinexor</w:t>
      </w:r>
      <w:proofErr w:type="spellEnd"/>
      <w:r w:rsidRPr="000B52C6">
        <w:rPr>
          <w:rFonts w:asciiTheme="minorHAnsi" w:hAnsiTheme="minorHAnsi"/>
          <w:bCs/>
          <w:snapToGrid w:val="0"/>
        </w:rPr>
        <w:t xml:space="preserve"> aligns with the proposed TGA indication, which would allow use in combination with bortezomib plus dexamethasone for the treatment of patients with relapsed and/or refractory MM who have received at least one prior line of therapy. The PBAC provided the following comments on the proposed restriction:</w:t>
      </w:r>
    </w:p>
    <w:p w14:paraId="4BC2BD5D" w14:textId="77777777" w:rsidR="00A2127C" w:rsidRPr="000B52C6" w:rsidRDefault="00A2127C" w:rsidP="005640E7">
      <w:pPr>
        <w:pStyle w:val="ListParagraph"/>
        <w:widowControl w:val="0"/>
        <w:numPr>
          <w:ilvl w:val="1"/>
          <w:numId w:val="96"/>
        </w:numPr>
        <w:ind w:left="1077" w:hanging="357"/>
        <w:rPr>
          <w:bCs/>
        </w:rPr>
      </w:pPr>
      <w:r w:rsidRPr="000B52C6">
        <w:rPr>
          <w:bCs/>
        </w:rPr>
        <w:t>The requested maximum quantity of one pack and two repeats are considered appropriate.</w:t>
      </w:r>
    </w:p>
    <w:p w14:paraId="08E76FC8" w14:textId="77777777" w:rsidR="00A2127C" w:rsidRPr="000B52C6" w:rsidRDefault="00A2127C" w:rsidP="005640E7">
      <w:pPr>
        <w:pStyle w:val="ListParagraph"/>
        <w:widowControl w:val="0"/>
        <w:numPr>
          <w:ilvl w:val="1"/>
          <w:numId w:val="96"/>
        </w:numPr>
        <w:ind w:left="1077" w:hanging="357"/>
        <w:rPr>
          <w:bCs/>
        </w:rPr>
      </w:pPr>
      <w:r w:rsidRPr="000B52C6">
        <w:rPr>
          <w:bCs/>
        </w:rPr>
        <w:t xml:space="preserve">A criterion should be added stating that ‘Patient must not have previously received this drug for this condition’ to prevent patients being retreated with </w:t>
      </w:r>
      <w:proofErr w:type="spellStart"/>
      <w:r w:rsidRPr="000B52C6">
        <w:rPr>
          <w:bCs/>
        </w:rPr>
        <w:t>selinexor</w:t>
      </w:r>
      <w:proofErr w:type="spellEnd"/>
      <w:r w:rsidRPr="000B52C6">
        <w:rPr>
          <w:bCs/>
        </w:rPr>
        <w:t xml:space="preserve">. </w:t>
      </w:r>
    </w:p>
    <w:p w14:paraId="31B7FAB6" w14:textId="77777777" w:rsidR="00A2127C" w:rsidRPr="000B52C6" w:rsidRDefault="00A2127C" w:rsidP="005640E7">
      <w:pPr>
        <w:pStyle w:val="ListParagraph"/>
        <w:widowControl w:val="0"/>
        <w:numPr>
          <w:ilvl w:val="1"/>
          <w:numId w:val="96"/>
        </w:numPr>
        <w:ind w:left="1077" w:hanging="357"/>
        <w:rPr>
          <w:bCs/>
        </w:rPr>
      </w:pPr>
      <w:r w:rsidRPr="000B52C6">
        <w:rPr>
          <w:bCs/>
        </w:rPr>
        <w:t xml:space="preserve">A caution stating that </w:t>
      </w:r>
      <w:proofErr w:type="spellStart"/>
      <w:r w:rsidRPr="000B52C6">
        <w:rPr>
          <w:bCs/>
        </w:rPr>
        <w:t>selinexor</w:t>
      </w:r>
      <w:proofErr w:type="spellEnd"/>
      <w:r w:rsidRPr="000B52C6">
        <w:rPr>
          <w:bCs/>
        </w:rPr>
        <w:t xml:space="preserve"> should not be given to pregnant women should be added to the proposed restrictions.</w:t>
      </w:r>
    </w:p>
    <w:p w14:paraId="7A19F4A7" w14:textId="77777777" w:rsidR="00A2127C" w:rsidRPr="000B52C6" w:rsidRDefault="00A2127C" w:rsidP="005640E7">
      <w:pPr>
        <w:pStyle w:val="ListParagraph"/>
        <w:widowControl w:val="0"/>
        <w:numPr>
          <w:ilvl w:val="1"/>
          <w:numId w:val="96"/>
        </w:numPr>
        <w:ind w:left="1077" w:hanging="357"/>
        <w:rPr>
          <w:bCs/>
        </w:rPr>
      </w:pPr>
      <w:r w:rsidRPr="000B52C6">
        <w:rPr>
          <w:bCs/>
        </w:rPr>
        <w:t>Prescriber instructions for the histological diagnosis of MM in the grandfather restriction should be added.</w:t>
      </w:r>
    </w:p>
    <w:p w14:paraId="4C3A9633" w14:textId="6271F28E" w:rsidR="00E30686" w:rsidRPr="000B52C6" w:rsidRDefault="00E30686" w:rsidP="00E30686">
      <w:pPr>
        <w:widowControl w:val="0"/>
        <w:numPr>
          <w:ilvl w:val="1"/>
          <w:numId w:val="1"/>
        </w:numPr>
        <w:spacing w:after="120"/>
        <w:ind w:left="720" w:hanging="720"/>
        <w:rPr>
          <w:rFonts w:asciiTheme="minorHAnsi" w:hAnsiTheme="minorHAnsi"/>
          <w:bCs/>
          <w:snapToGrid w:val="0"/>
        </w:rPr>
      </w:pPr>
      <w:r w:rsidRPr="000B52C6">
        <w:rPr>
          <w:rFonts w:asciiTheme="minorHAnsi" w:hAnsiTheme="minorHAnsi"/>
          <w:bCs/>
          <w:snapToGrid w:val="0"/>
        </w:rPr>
        <w:t>The resubmission may be lodged at any future standard due date for PBAC submission using the standard re-entry pathway.</w:t>
      </w:r>
    </w:p>
    <w:p w14:paraId="5BB3BA63" w14:textId="77777777" w:rsidR="007C7B1A" w:rsidRPr="000B52C6" w:rsidRDefault="00A83D93" w:rsidP="00A83D93">
      <w:pPr>
        <w:widowControl w:val="0"/>
        <w:numPr>
          <w:ilvl w:val="1"/>
          <w:numId w:val="1"/>
        </w:numPr>
        <w:spacing w:after="120"/>
        <w:ind w:left="720" w:hanging="720"/>
        <w:rPr>
          <w:rFonts w:asciiTheme="minorHAnsi" w:hAnsiTheme="minorHAnsi"/>
          <w:bCs/>
          <w:snapToGrid w:val="0"/>
        </w:rPr>
      </w:pPr>
      <w:r w:rsidRPr="000B52C6">
        <w:rPr>
          <w:rFonts w:asciiTheme="minorHAnsi" w:hAnsiTheme="minorHAnsi"/>
          <w:bCs/>
          <w:snapToGrid w:val="0"/>
        </w:rPr>
        <w:t xml:space="preserve">The PBAC noted that this submission is eligible for an Independent Review. </w:t>
      </w:r>
    </w:p>
    <w:p w14:paraId="7D326967" w14:textId="77777777" w:rsidR="00A83D93" w:rsidRPr="000B52C6" w:rsidRDefault="00A83D93" w:rsidP="00A83D93">
      <w:pPr>
        <w:spacing w:before="240"/>
        <w:rPr>
          <w:rFonts w:asciiTheme="minorHAnsi" w:hAnsiTheme="minorHAnsi"/>
          <w:b/>
          <w:bCs/>
          <w:snapToGrid w:val="0"/>
        </w:rPr>
      </w:pPr>
      <w:r w:rsidRPr="000B52C6">
        <w:rPr>
          <w:rFonts w:asciiTheme="minorHAnsi" w:hAnsiTheme="minorHAnsi"/>
          <w:b/>
          <w:bCs/>
          <w:snapToGrid w:val="0"/>
        </w:rPr>
        <w:t>Outcome:</w:t>
      </w:r>
    </w:p>
    <w:p w14:paraId="12029393" w14:textId="0C1851A2" w:rsidR="00A83D93" w:rsidRPr="000B52C6" w:rsidRDefault="00A83D93" w:rsidP="00A83D93">
      <w:pPr>
        <w:rPr>
          <w:rFonts w:asciiTheme="minorHAnsi" w:hAnsiTheme="minorHAnsi"/>
          <w:bCs/>
          <w:snapToGrid w:val="0"/>
        </w:rPr>
      </w:pPr>
      <w:r w:rsidRPr="000B52C6">
        <w:rPr>
          <w:rFonts w:asciiTheme="minorHAnsi" w:hAnsiTheme="minorHAnsi"/>
          <w:bCs/>
          <w:snapToGrid w:val="0"/>
        </w:rPr>
        <w:t>Not recommended</w:t>
      </w:r>
    </w:p>
    <w:p w14:paraId="07E42B53" w14:textId="77777777" w:rsidR="00A83D93" w:rsidRPr="000B52C6" w:rsidRDefault="00A83D93" w:rsidP="00A83D93">
      <w:pPr>
        <w:widowControl w:val="0"/>
        <w:rPr>
          <w:rFonts w:asciiTheme="minorHAnsi" w:hAnsiTheme="minorHAnsi"/>
          <w:b/>
          <w:bCs/>
          <w:snapToGrid w:val="0"/>
        </w:rPr>
      </w:pPr>
    </w:p>
    <w:bookmarkEnd w:id="1"/>
    <w:bookmarkEnd w:id="68"/>
    <w:bookmarkEnd w:id="69"/>
    <w:p w14:paraId="69F78C2D" w14:textId="72814253" w:rsidR="00A02D03" w:rsidRPr="00A02D03" w:rsidRDefault="00A02D03" w:rsidP="00D27599">
      <w:pPr>
        <w:pStyle w:val="2-SectionHeading"/>
        <w:rPr>
          <w:bCs/>
          <w:lang w:val="en-GB"/>
        </w:rPr>
      </w:pPr>
      <w:r w:rsidRPr="00A02D03">
        <w:t>Context for Decision</w:t>
      </w:r>
    </w:p>
    <w:p w14:paraId="58C98F62" w14:textId="244AB544" w:rsidR="00A02D03" w:rsidRDefault="00A02D03" w:rsidP="00A02D03">
      <w:pPr>
        <w:rPr>
          <w:snapToGrid w:val="0"/>
          <w:lang w:val="en-GB"/>
        </w:rPr>
      </w:pPr>
      <w:r w:rsidRPr="00A02D03">
        <w:rPr>
          <w:snapToGrid w:val="0"/>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118B104" w14:textId="77777777" w:rsidR="00A02D03" w:rsidRPr="00A02D03" w:rsidRDefault="00A02D03" w:rsidP="00D27599">
      <w:pPr>
        <w:rPr>
          <w:lang w:val="en-GB"/>
        </w:rPr>
      </w:pPr>
    </w:p>
    <w:p w14:paraId="478E982A" w14:textId="76E88EB6" w:rsidR="00A02D03" w:rsidRPr="00A02D03" w:rsidRDefault="00A02D03" w:rsidP="00D27599">
      <w:pPr>
        <w:pStyle w:val="2-SectionHeading"/>
      </w:pPr>
      <w:r w:rsidRPr="00A02D03">
        <w:t>Sponsor’s Comment</w:t>
      </w:r>
    </w:p>
    <w:p w14:paraId="7D26FF31" w14:textId="3EE7A6B2" w:rsidR="004A39A5" w:rsidRPr="00D27599" w:rsidRDefault="004A39A5" w:rsidP="006308B7">
      <w:pPr>
        <w:pStyle w:val="NoSpacing"/>
        <w:rPr>
          <w:rFonts w:asciiTheme="minorHAnsi" w:hAnsiTheme="minorHAnsi" w:cstheme="minorHAnsi"/>
          <w:sz w:val="24"/>
          <w:szCs w:val="24"/>
        </w:rPr>
      </w:pPr>
      <w:proofErr w:type="spellStart"/>
      <w:r w:rsidRPr="00D27599">
        <w:rPr>
          <w:rFonts w:asciiTheme="minorHAnsi" w:hAnsiTheme="minorHAnsi" w:cstheme="minorHAnsi"/>
          <w:sz w:val="24"/>
          <w:szCs w:val="24"/>
        </w:rPr>
        <w:t>Antengene</w:t>
      </w:r>
      <w:proofErr w:type="spellEnd"/>
      <w:r w:rsidRPr="00D27599">
        <w:rPr>
          <w:rFonts w:asciiTheme="minorHAnsi" w:hAnsiTheme="minorHAnsi" w:cstheme="minorHAnsi"/>
          <w:sz w:val="24"/>
          <w:szCs w:val="24"/>
        </w:rPr>
        <w:t xml:space="preserve"> wishes to thank the patients, patient organisations and health care professionals for supporting this submission. </w:t>
      </w:r>
      <w:proofErr w:type="spellStart"/>
      <w:r w:rsidRPr="00D27599">
        <w:rPr>
          <w:rFonts w:asciiTheme="minorHAnsi" w:hAnsiTheme="minorHAnsi" w:cstheme="minorHAnsi"/>
          <w:sz w:val="24"/>
          <w:szCs w:val="24"/>
        </w:rPr>
        <w:t>Antengene</w:t>
      </w:r>
      <w:proofErr w:type="spellEnd"/>
      <w:r w:rsidRPr="00D27599">
        <w:rPr>
          <w:rFonts w:asciiTheme="minorHAnsi" w:hAnsiTheme="minorHAnsi" w:cstheme="minorHAnsi"/>
          <w:sz w:val="24"/>
          <w:szCs w:val="24"/>
        </w:rPr>
        <w:t xml:space="preserve"> will continue to work with the Myeloma community and the PBAC to provide access for XPOVIO in this patient population.</w:t>
      </w:r>
    </w:p>
    <w:sectPr w:rsidR="004A39A5" w:rsidRPr="00D27599" w:rsidSect="00837192">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87353" w14:textId="77777777" w:rsidR="001C4AEB" w:rsidRDefault="001C4AEB" w:rsidP="00124A51">
      <w:r>
        <w:separator/>
      </w:r>
    </w:p>
    <w:p w14:paraId="783D382D" w14:textId="77777777" w:rsidR="001C4AEB" w:rsidRDefault="001C4AEB"/>
  </w:endnote>
  <w:endnote w:type="continuationSeparator" w:id="0">
    <w:p w14:paraId="40B47EF0" w14:textId="77777777" w:rsidR="001C4AEB" w:rsidRDefault="001C4AEB" w:rsidP="00124A51">
      <w:r>
        <w:continuationSeparator/>
      </w:r>
    </w:p>
    <w:p w14:paraId="67768E42" w14:textId="77777777" w:rsidR="001C4AEB" w:rsidRDefault="001C4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abon">
    <w:altName w:val="Cambri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E2BD9" w14:textId="77777777" w:rsidR="00DB2D11" w:rsidRDefault="00DB2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57F9A" w14:textId="77777777" w:rsidR="004D5578" w:rsidRPr="00D13A3E" w:rsidRDefault="004D5578" w:rsidP="00015886">
    <w:pPr>
      <w:ind w:right="360"/>
      <w:jc w:val="center"/>
      <w:rPr>
        <w:b/>
        <w:sz w:val="20"/>
      </w:rPr>
    </w:pPr>
  </w:p>
  <w:bookmarkStart w:id="70" w:name="_Hlk76375156"/>
  <w:p w14:paraId="702CDB22" w14:textId="1FDA8C6D" w:rsidR="004D5578" w:rsidRPr="007C1CD9" w:rsidRDefault="004D5578" w:rsidP="00015886">
    <w:pPr>
      <w:ind w:right="360"/>
      <w:jc w:val="center"/>
    </w:pPr>
    <w:r w:rsidRPr="00836F75">
      <w:rPr>
        <w:b/>
      </w:rPr>
      <w:fldChar w:fldCharType="begin"/>
    </w:r>
    <w:r w:rsidRPr="00836F75">
      <w:rPr>
        <w:b/>
      </w:rPr>
      <w:instrText xml:space="preserve"> PAGE   \* MERGEFORMAT </w:instrText>
    </w:r>
    <w:r w:rsidRPr="00836F75">
      <w:rPr>
        <w:b/>
      </w:rPr>
      <w:fldChar w:fldCharType="separate"/>
    </w:r>
    <w:r>
      <w:rPr>
        <w:b/>
        <w:noProof/>
      </w:rPr>
      <w:t>1</w:t>
    </w:r>
    <w:r w:rsidRPr="00836F75">
      <w:rPr>
        <w:b/>
        <w:noProof/>
      </w:rPr>
      <w:fldChar w:fldCharType="end"/>
    </w:r>
    <w:bookmarkEnd w:id="7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82424" w14:textId="77777777" w:rsidR="00DB2D11" w:rsidRDefault="00DB2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467CE" w14:textId="77777777" w:rsidR="001C4AEB" w:rsidRDefault="001C4AEB" w:rsidP="00124A51">
      <w:r>
        <w:separator/>
      </w:r>
    </w:p>
    <w:p w14:paraId="250F3549" w14:textId="77777777" w:rsidR="001C4AEB" w:rsidRDefault="001C4AEB"/>
  </w:footnote>
  <w:footnote w:type="continuationSeparator" w:id="0">
    <w:p w14:paraId="55C47D03" w14:textId="77777777" w:rsidR="001C4AEB" w:rsidRDefault="001C4AEB" w:rsidP="00124A51">
      <w:r>
        <w:continuationSeparator/>
      </w:r>
    </w:p>
    <w:p w14:paraId="6DFCB5A0" w14:textId="77777777" w:rsidR="001C4AEB" w:rsidRDefault="001C4A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25309" w14:textId="77777777" w:rsidR="00DB2D11" w:rsidRDefault="00DB2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60389" w14:textId="57F2BE9F" w:rsidR="004D5578" w:rsidRPr="009825F8" w:rsidRDefault="004D5578">
    <w:pPr>
      <w:pStyle w:val="Header"/>
      <w:rPr>
        <w:i/>
        <w:iCs/>
      </w:rPr>
    </w:pPr>
    <w:r>
      <w:rPr>
        <w:i/>
        <w:iCs/>
      </w:rPr>
      <w:t>Public Summary Document</w:t>
    </w:r>
    <w:r w:rsidRPr="009825F8">
      <w:rPr>
        <w:i/>
        <w:iCs/>
      </w:rPr>
      <w:t xml:space="preserve"> – March 2022 PBAC Meeting</w:t>
    </w:r>
  </w:p>
  <w:p w14:paraId="619FE498" w14:textId="77777777" w:rsidR="004D5578" w:rsidRDefault="004D55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4874E" w14:textId="77777777" w:rsidR="00DB2D11" w:rsidRDefault="00DB2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37A18F8"/>
    <w:lvl w:ilvl="0">
      <w:start w:val="1"/>
      <w:numFmt w:val="bullet"/>
      <w:pStyle w:val="ListBullet"/>
      <w:lvlText w:val=""/>
      <w:lvlJc w:val="left"/>
      <w:pPr>
        <w:tabs>
          <w:tab w:val="num" w:pos="-436"/>
        </w:tabs>
        <w:ind w:left="-436"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E756FB"/>
    <w:multiLevelType w:val="hybridMultilevel"/>
    <w:tmpl w:val="4EEC02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11124DA"/>
    <w:multiLevelType w:val="hybridMultilevel"/>
    <w:tmpl w:val="D4102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3449BA"/>
    <w:multiLevelType w:val="hybridMultilevel"/>
    <w:tmpl w:val="4AF61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58233E"/>
    <w:multiLevelType w:val="hybridMultilevel"/>
    <w:tmpl w:val="C4129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7D7C76"/>
    <w:multiLevelType w:val="hybridMultilevel"/>
    <w:tmpl w:val="559E2364"/>
    <w:lvl w:ilvl="0" w:tplc="0EA2BFF8">
      <w:start w:val="1"/>
      <w:numFmt w:val="decimal"/>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0866708B"/>
    <w:multiLevelType w:val="hybridMultilevel"/>
    <w:tmpl w:val="8816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E27AB3"/>
    <w:multiLevelType w:val="hybridMultilevel"/>
    <w:tmpl w:val="E9FA9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0E6D4D"/>
    <w:multiLevelType w:val="hybridMultilevel"/>
    <w:tmpl w:val="70E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2E42B8"/>
    <w:multiLevelType w:val="hybridMultilevel"/>
    <w:tmpl w:val="A8E04D00"/>
    <w:lvl w:ilvl="0" w:tplc="63FC2B6C">
      <w:start w:val="2"/>
      <w:numFmt w:val="bullet"/>
      <w:lvlText w:val="-"/>
      <w:lvlJc w:val="left"/>
      <w:pPr>
        <w:ind w:left="1080" w:hanging="360"/>
      </w:pPr>
      <w:rPr>
        <w:rFonts w:ascii="Calibri" w:eastAsiaTheme="maj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963E43"/>
    <w:multiLevelType w:val="hybridMultilevel"/>
    <w:tmpl w:val="AE269250"/>
    <w:lvl w:ilvl="0" w:tplc="A1EEBEAA">
      <w:start w:val="1"/>
      <w:numFmt w:val="bullet"/>
      <w:lvlText w:val="•"/>
      <w:lvlJc w:val="left"/>
      <w:pPr>
        <w:tabs>
          <w:tab w:val="num" w:pos="720"/>
        </w:tabs>
        <w:ind w:left="720" w:hanging="360"/>
      </w:pPr>
      <w:rPr>
        <w:rFonts w:ascii="Arial" w:hAnsi="Arial" w:hint="default"/>
      </w:rPr>
    </w:lvl>
    <w:lvl w:ilvl="1" w:tplc="227A13C6">
      <w:start w:val="114"/>
      <w:numFmt w:val="bullet"/>
      <w:lvlText w:val="•"/>
      <w:lvlJc w:val="left"/>
      <w:pPr>
        <w:tabs>
          <w:tab w:val="num" w:pos="1440"/>
        </w:tabs>
        <w:ind w:left="1440" w:hanging="360"/>
      </w:pPr>
      <w:rPr>
        <w:rFonts w:ascii="Arial" w:hAnsi="Arial" w:hint="default"/>
      </w:rPr>
    </w:lvl>
    <w:lvl w:ilvl="2" w:tplc="E6EED294" w:tentative="1">
      <w:start w:val="1"/>
      <w:numFmt w:val="bullet"/>
      <w:lvlText w:val="•"/>
      <w:lvlJc w:val="left"/>
      <w:pPr>
        <w:tabs>
          <w:tab w:val="num" w:pos="2160"/>
        </w:tabs>
        <w:ind w:left="2160" w:hanging="360"/>
      </w:pPr>
      <w:rPr>
        <w:rFonts w:ascii="Arial" w:hAnsi="Arial" w:hint="default"/>
      </w:rPr>
    </w:lvl>
    <w:lvl w:ilvl="3" w:tplc="15BAE386" w:tentative="1">
      <w:start w:val="1"/>
      <w:numFmt w:val="bullet"/>
      <w:lvlText w:val="•"/>
      <w:lvlJc w:val="left"/>
      <w:pPr>
        <w:tabs>
          <w:tab w:val="num" w:pos="2880"/>
        </w:tabs>
        <w:ind w:left="2880" w:hanging="360"/>
      </w:pPr>
      <w:rPr>
        <w:rFonts w:ascii="Arial" w:hAnsi="Arial" w:hint="default"/>
      </w:rPr>
    </w:lvl>
    <w:lvl w:ilvl="4" w:tplc="1F8A35C8" w:tentative="1">
      <w:start w:val="1"/>
      <w:numFmt w:val="bullet"/>
      <w:lvlText w:val="•"/>
      <w:lvlJc w:val="left"/>
      <w:pPr>
        <w:tabs>
          <w:tab w:val="num" w:pos="3600"/>
        </w:tabs>
        <w:ind w:left="3600" w:hanging="360"/>
      </w:pPr>
      <w:rPr>
        <w:rFonts w:ascii="Arial" w:hAnsi="Arial" w:hint="default"/>
      </w:rPr>
    </w:lvl>
    <w:lvl w:ilvl="5" w:tplc="8BD63462" w:tentative="1">
      <w:start w:val="1"/>
      <w:numFmt w:val="bullet"/>
      <w:lvlText w:val="•"/>
      <w:lvlJc w:val="left"/>
      <w:pPr>
        <w:tabs>
          <w:tab w:val="num" w:pos="4320"/>
        </w:tabs>
        <w:ind w:left="4320" w:hanging="360"/>
      </w:pPr>
      <w:rPr>
        <w:rFonts w:ascii="Arial" w:hAnsi="Arial" w:hint="default"/>
      </w:rPr>
    </w:lvl>
    <w:lvl w:ilvl="6" w:tplc="06D09418" w:tentative="1">
      <w:start w:val="1"/>
      <w:numFmt w:val="bullet"/>
      <w:lvlText w:val="•"/>
      <w:lvlJc w:val="left"/>
      <w:pPr>
        <w:tabs>
          <w:tab w:val="num" w:pos="5040"/>
        </w:tabs>
        <w:ind w:left="5040" w:hanging="360"/>
      </w:pPr>
      <w:rPr>
        <w:rFonts w:ascii="Arial" w:hAnsi="Arial" w:hint="default"/>
      </w:rPr>
    </w:lvl>
    <w:lvl w:ilvl="7" w:tplc="FE6E5C00" w:tentative="1">
      <w:start w:val="1"/>
      <w:numFmt w:val="bullet"/>
      <w:lvlText w:val="•"/>
      <w:lvlJc w:val="left"/>
      <w:pPr>
        <w:tabs>
          <w:tab w:val="num" w:pos="5760"/>
        </w:tabs>
        <w:ind w:left="5760" w:hanging="360"/>
      </w:pPr>
      <w:rPr>
        <w:rFonts w:ascii="Arial" w:hAnsi="Arial" w:hint="default"/>
      </w:rPr>
    </w:lvl>
    <w:lvl w:ilvl="8" w:tplc="E59E940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DC145CB"/>
    <w:multiLevelType w:val="hybridMultilevel"/>
    <w:tmpl w:val="9E106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DFE6F44"/>
    <w:multiLevelType w:val="hybridMultilevel"/>
    <w:tmpl w:val="A874DAD2"/>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492BE9"/>
    <w:multiLevelType w:val="multilevel"/>
    <w:tmpl w:val="93F46F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0B0759B"/>
    <w:multiLevelType w:val="hybridMultilevel"/>
    <w:tmpl w:val="66AE9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1A34A1E"/>
    <w:multiLevelType w:val="hybridMultilevel"/>
    <w:tmpl w:val="42CA973E"/>
    <w:lvl w:ilvl="0" w:tplc="0C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2201285"/>
    <w:multiLevelType w:val="multilevel"/>
    <w:tmpl w:val="3EA01084"/>
    <w:lvl w:ilvl="0">
      <w:start w:val="1"/>
      <w:numFmt w:val="decimal"/>
      <w:lvlText w:val="%1"/>
      <w:lvlJc w:val="left"/>
      <w:pPr>
        <w:ind w:left="720" w:hanging="720"/>
      </w:pPr>
      <w:rPr>
        <w:rFonts w:hint="default"/>
        <w:b/>
      </w:rPr>
    </w:lvl>
    <w:lvl w:ilvl="1">
      <w:start w:val="1"/>
      <w:numFmt w:val="bullet"/>
      <w:lvlText w:val=""/>
      <w:lvlJc w:val="left"/>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42D2A5E"/>
    <w:multiLevelType w:val="hybridMultilevel"/>
    <w:tmpl w:val="24902D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149833EB"/>
    <w:multiLevelType w:val="hybridMultilevel"/>
    <w:tmpl w:val="CA92C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64917B8"/>
    <w:multiLevelType w:val="hybridMultilevel"/>
    <w:tmpl w:val="2BD63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6F57131"/>
    <w:multiLevelType w:val="hybridMultilevel"/>
    <w:tmpl w:val="51CC7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93A07FB"/>
    <w:multiLevelType w:val="hybridMultilevel"/>
    <w:tmpl w:val="8EF0042E"/>
    <w:lvl w:ilvl="0" w:tplc="D5B4F260">
      <w:start w:val="1"/>
      <w:numFmt w:val="bullet"/>
      <w:lvlText w:val="•"/>
      <w:lvlJc w:val="left"/>
      <w:pPr>
        <w:tabs>
          <w:tab w:val="num" w:pos="720"/>
        </w:tabs>
        <w:ind w:left="720" w:hanging="360"/>
      </w:pPr>
      <w:rPr>
        <w:rFonts w:ascii="Arial" w:hAnsi="Arial" w:hint="default"/>
      </w:rPr>
    </w:lvl>
    <w:lvl w:ilvl="1" w:tplc="E1484088">
      <w:start w:val="1"/>
      <w:numFmt w:val="bullet"/>
      <w:lvlText w:val="•"/>
      <w:lvlJc w:val="left"/>
      <w:pPr>
        <w:tabs>
          <w:tab w:val="num" w:pos="1440"/>
        </w:tabs>
        <w:ind w:left="1440" w:hanging="360"/>
      </w:pPr>
      <w:rPr>
        <w:rFonts w:ascii="Arial" w:hAnsi="Arial" w:hint="default"/>
      </w:rPr>
    </w:lvl>
    <w:lvl w:ilvl="2" w:tplc="1E22513A" w:tentative="1">
      <w:start w:val="1"/>
      <w:numFmt w:val="bullet"/>
      <w:lvlText w:val="•"/>
      <w:lvlJc w:val="left"/>
      <w:pPr>
        <w:tabs>
          <w:tab w:val="num" w:pos="2160"/>
        </w:tabs>
        <w:ind w:left="2160" w:hanging="360"/>
      </w:pPr>
      <w:rPr>
        <w:rFonts w:ascii="Arial" w:hAnsi="Arial" w:hint="default"/>
      </w:rPr>
    </w:lvl>
    <w:lvl w:ilvl="3" w:tplc="8B3E454C" w:tentative="1">
      <w:start w:val="1"/>
      <w:numFmt w:val="bullet"/>
      <w:lvlText w:val="•"/>
      <w:lvlJc w:val="left"/>
      <w:pPr>
        <w:tabs>
          <w:tab w:val="num" w:pos="2880"/>
        </w:tabs>
        <w:ind w:left="2880" w:hanging="360"/>
      </w:pPr>
      <w:rPr>
        <w:rFonts w:ascii="Arial" w:hAnsi="Arial" w:hint="default"/>
      </w:rPr>
    </w:lvl>
    <w:lvl w:ilvl="4" w:tplc="F7C4C95E" w:tentative="1">
      <w:start w:val="1"/>
      <w:numFmt w:val="bullet"/>
      <w:lvlText w:val="•"/>
      <w:lvlJc w:val="left"/>
      <w:pPr>
        <w:tabs>
          <w:tab w:val="num" w:pos="3600"/>
        </w:tabs>
        <w:ind w:left="3600" w:hanging="360"/>
      </w:pPr>
      <w:rPr>
        <w:rFonts w:ascii="Arial" w:hAnsi="Arial" w:hint="default"/>
      </w:rPr>
    </w:lvl>
    <w:lvl w:ilvl="5" w:tplc="CFA4790C" w:tentative="1">
      <w:start w:val="1"/>
      <w:numFmt w:val="bullet"/>
      <w:lvlText w:val="•"/>
      <w:lvlJc w:val="left"/>
      <w:pPr>
        <w:tabs>
          <w:tab w:val="num" w:pos="4320"/>
        </w:tabs>
        <w:ind w:left="4320" w:hanging="360"/>
      </w:pPr>
      <w:rPr>
        <w:rFonts w:ascii="Arial" w:hAnsi="Arial" w:hint="default"/>
      </w:rPr>
    </w:lvl>
    <w:lvl w:ilvl="6" w:tplc="2A50BFEA" w:tentative="1">
      <w:start w:val="1"/>
      <w:numFmt w:val="bullet"/>
      <w:lvlText w:val="•"/>
      <w:lvlJc w:val="left"/>
      <w:pPr>
        <w:tabs>
          <w:tab w:val="num" w:pos="5040"/>
        </w:tabs>
        <w:ind w:left="5040" w:hanging="360"/>
      </w:pPr>
      <w:rPr>
        <w:rFonts w:ascii="Arial" w:hAnsi="Arial" w:hint="default"/>
      </w:rPr>
    </w:lvl>
    <w:lvl w:ilvl="7" w:tplc="04768976" w:tentative="1">
      <w:start w:val="1"/>
      <w:numFmt w:val="bullet"/>
      <w:lvlText w:val="•"/>
      <w:lvlJc w:val="left"/>
      <w:pPr>
        <w:tabs>
          <w:tab w:val="num" w:pos="5760"/>
        </w:tabs>
        <w:ind w:left="5760" w:hanging="360"/>
      </w:pPr>
      <w:rPr>
        <w:rFonts w:ascii="Arial" w:hAnsi="Arial" w:hint="default"/>
      </w:rPr>
    </w:lvl>
    <w:lvl w:ilvl="8" w:tplc="EDF2DC5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BF66FD7"/>
    <w:multiLevelType w:val="hybridMultilevel"/>
    <w:tmpl w:val="9294B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FA064A0"/>
    <w:multiLevelType w:val="hybridMultilevel"/>
    <w:tmpl w:val="4CA6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0E7081D"/>
    <w:multiLevelType w:val="hybridMultilevel"/>
    <w:tmpl w:val="86282406"/>
    <w:lvl w:ilvl="0" w:tplc="0C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6210BA5"/>
    <w:multiLevelType w:val="hybridMultilevel"/>
    <w:tmpl w:val="7FA45894"/>
    <w:lvl w:ilvl="0" w:tplc="0C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8742DC"/>
    <w:multiLevelType w:val="hybridMultilevel"/>
    <w:tmpl w:val="669837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2750557C"/>
    <w:multiLevelType w:val="hybridMultilevel"/>
    <w:tmpl w:val="73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9D51D15"/>
    <w:multiLevelType w:val="hybridMultilevel"/>
    <w:tmpl w:val="B1E2C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C9D3C5A"/>
    <w:multiLevelType w:val="hybridMultilevel"/>
    <w:tmpl w:val="27706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871BC7"/>
    <w:multiLevelType w:val="hybridMultilevel"/>
    <w:tmpl w:val="9AD8C7A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F6B455C"/>
    <w:multiLevelType w:val="hybridMultilevel"/>
    <w:tmpl w:val="E7ECE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19F6C5E"/>
    <w:multiLevelType w:val="hybridMultilevel"/>
    <w:tmpl w:val="4B50BB1E"/>
    <w:lvl w:ilvl="0" w:tplc="E05E1876">
      <w:start w:val="1"/>
      <w:numFmt w:val="bullet"/>
      <w:lvlText w:val="•"/>
      <w:lvlJc w:val="left"/>
      <w:pPr>
        <w:tabs>
          <w:tab w:val="num" w:pos="720"/>
        </w:tabs>
        <w:ind w:left="720" w:hanging="360"/>
      </w:pPr>
      <w:rPr>
        <w:rFonts w:ascii="Arial" w:hAnsi="Arial" w:hint="default"/>
      </w:rPr>
    </w:lvl>
    <w:lvl w:ilvl="1" w:tplc="C638E282">
      <w:start w:val="1"/>
      <w:numFmt w:val="bullet"/>
      <w:lvlText w:val="•"/>
      <w:lvlJc w:val="left"/>
      <w:pPr>
        <w:tabs>
          <w:tab w:val="num" w:pos="1440"/>
        </w:tabs>
        <w:ind w:left="1440" w:hanging="360"/>
      </w:pPr>
      <w:rPr>
        <w:rFonts w:ascii="Arial" w:hAnsi="Arial" w:hint="default"/>
      </w:rPr>
    </w:lvl>
    <w:lvl w:ilvl="2" w:tplc="1E4CC0B6" w:tentative="1">
      <w:start w:val="1"/>
      <w:numFmt w:val="bullet"/>
      <w:lvlText w:val="•"/>
      <w:lvlJc w:val="left"/>
      <w:pPr>
        <w:tabs>
          <w:tab w:val="num" w:pos="2160"/>
        </w:tabs>
        <w:ind w:left="2160" w:hanging="360"/>
      </w:pPr>
      <w:rPr>
        <w:rFonts w:ascii="Arial" w:hAnsi="Arial" w:hint="default"/>
      </w:rPr>
    </w:lvl>
    <w:lvl w:ilvl="3" w:tplc="B5786DC2" w:tentative="1">
      <w:start w:val="1"/>
      <w:numFmt w:val="bullet"/>
      <w:lvlText w:val="•"/>
      <w:lvlJc w:val="left"/>
      <w:pPr>
        <w:tabs>
          <w:tab w:val="num" w:pos="2880"/>
        </w:tabs>
        <w:ind w:left="2880" w:hanging="360"/>
      </w:pPr>
      <w:rPr>
        <w:rFonts w:ascii="Arial" w:hAnsi="Arial" w:hint="default"/>
      </w:rPr>
    </w:lvl>
    <w:lvl w:ilvl="4" w:tplc="2FFE90A8" w:tentative="1">
      <w:start w:val="1"/>
      <w:numFmt w:val="bullet"/>
      <w:lvlText w:val="•"/>
      <w:lvlJc w:val="left"/>
      <w:pPr>
        <w:tabs>
          <w:tab w:val="num" w:pos="3600"/>
        </w:tabs>
        <w:ind w:left="3600" w:hanging="360"/>
      </w:pPr>
      <w:rPr>
        <w:rFonts w:ascii="Arial" w:hAnsi="Arial" w:hint="default"/>
      </w:rPr>
    </w:lvl>
    <w:lvl w:ilvl="5" w:tplc="FA6A5370" w:tentative="1">
      <w:start w:val="1"/>
      <w:numFmt w:val="bullet"/>
      <w:lvlText w:val="•"/>
      <w:lvlJc w:val="left"/>
      <w:pPr>
        <w:tabs>
          <w:tab w:val="num" w:pos="4320"/>
        </w:tabs>
        <w:ind w:left="4320" w:hanging="360"/>
      </w:pPr>
      <w:rPr>
        <w:rFonts w:ascii="Arial" w:hAnsi="Arial" w:hint="default"/>
      </w:rPr>
    </w:lvl>
    <w:lvl w:ilvl="6" w:tplc="445AA1E6" w:tentative="1">
      <w:start w:val="1"/>
      <w:numFmt w:val="bullet"/>
      <w:lvlText w:val="•"/>
      <w:lvlJc w:val="left"/>
      <w:pPr>
        <w:tabs>
          <w:tab w:val="num" w:pos="5040"/>
        </w:tabs>
        <w:ind w:left="5040" w:hanging="360"/>
      </w:pPr>
      <w:rPr>
        <w:rFonts w:ascii="Arial" w:hAnsi="Arial" w:hint="default"/>
      </w:rPr>
    </w:lvl>
    <w:lvl w:ilvl="7" w:tplc="72BC295C" w:tentative="1">
      <w:start w:val="1"/>
      <w:numFmt w:val="bullet"/>
      <w:lvlText w:val="•"/>
      <w:lvlJc w:val="left"/>
      <w:pPr>
        <w:tabs>
          <w:tab w:val="num" w:pos="5760"/>
        </w:tabs>
        <w:ind w:left="5760" w:hanging="360"/>
      </w:pPr>
      <w:rPr>
        <w:rFonts w:ascii="Arial" w:hAnsi="Arial" w:hint="default"/>
      </w:rPr>
    </w:lvl>
    <w:lvl w:ilvl="8" w:tplc="3062756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4ED15D4"/>
    <w:multiLevelType w:val="hybridMultilevel"/>
    <w:tmpl w:val="18389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6D00C2D"/>
    <w:multiLevelType w:val="hybridMultilevel"/>
    <w:tmpl w:val="8C201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7823EFE"/>
    <w:multiLevelType w:val="hybridMultilevel"/>
    <w:tmpl w:val="A59A9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89909C2"/>
    <w:multiLevelType w:val="hybridMultilevel"/>
    <w:tmpl w:val="20165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A34725"/>
    <w:multiLevelType w:val="hybridMultilevel"/>
    <w:tmpl w:val="3C8AED7C"/>
    <w:lvl w:ilvl="0" w:tplc="460232A8">
      <w:start w:val="1"/>
      <w:numFmt w:val="bullet"/>
      <w:lvlText w:val="•"/>
      <w:lvlJc w:val="left"/>
      <w:pPr>
        <w:tabs>
          <w:tab w:val="num" w:pos="720"/>
        </w:tabs>
        <w:ind w:left="720" w:hanging="360"/>
      </w:pPr>
      <w:rPr>
        <w:rFonts w:ascii="Arial" w:hAnsi="Arial" w:hint="default"/>
      </w:rPr>
    </w:lvl>
    <w:lvl w:ilvl="1" w:tplc="E864DFF2">
      <w:start w:val="1"/>
      <w:numFmt w:val="bullet"/>
      <w:lvlText w:val="•"/>
      <w:lvlJc w:val="left"/>
      <w:pPr>
        <w:tabs>
          <w:tab w:val="num" w:pos="1440"/>
        </w:tabs>
        <w:ind w:left="1440" w:hanging="360"/>
      </w:pPr>
      <w:rPr>
        <w:rFonts w:ascii="Arial" w:hAnsi="Arial" w:hint="default"/>
      </w:rPr>
    </w:lvl>
    <w:lvl w:ilvl="2" w:tplc="F7FAB5B2" w:tentative="1">
      <w:start w:val="1"/>
      <w:numFmt w:val="bullet"/>
      <w:lvlText w:val="•"/>
      <w:lvlJc w:val="left"/>
      <w:pPr>
        <w:tabs>
          <w:tab w:val="num" w:pos="2160"/>
        </w:tabs>
        <w:ind w:left="2160" w:hanging="360"/>
      </w:pPr>
      <w:rPr>
        <w:rFonts w:ascii="Arial" w:hAnsi="Arial" w:hint="default"/>
      </w:rPr>
    </w:lvl>
    <w:lvl w:ilvl="3" w:tplc="24227130" w:tentative="1">
      <w:start w:val="1"/>
      <w:numFmt w:val="bullet"/>
      <w:lvlText w:val="•"/>
      <w:lvlJc w:val="left"/>
      <w:pPr>
        <w:tabs>
          <w:tab w:val="num" w:pos="2880"/>
        </w:tabs>
        <w:ind w:left="2880" w:hanging="360"/>
      </w:pPr>
      <w:rPr>
        <w:rFonts w:ascii="Arial" w:hAnsi="Arial" w:hint="default"/>
      </w:rPr>
    </w:lvl>
    <w:lvl w:ilvl="4" w:tplc="AA6A2B10" w:tentative="1">
      <w:start w:val="1"/>
      <w:numFmt w:val="bullet"/>
      <w:lvlText w:val="•"/>
      <w:lvlJc w:val="left"/>
      <w:pPr>
        <w:tabs>
          <w:tab w:val="num" w:pos="3600"/>
        </w:tabs>
        <w:ind w:left="3600" w:hanging="360"/>
      </w:pPr>
      <w:rPr>
        <w:rFonts w:ascii="Arial" w:hAnsi="Arial" w:hint="default"/>
      </w:rPr>
    </w:lvl>
    <w:lvl w:ilvl="5" w:tplc="54F2190E" w:tentative="1">
      <w:start w:val="1"/>
      <w:numFmt w:val="bullet"/>
      <w:lvlText w:val="•"/>
      <w:lvlJc w:val="left"/>
      <w:pPr>
        <w:tabs>
          <w:tab w:val="num" w:pos="4320"/>
        </w:tabs>
        <w:ind w:left="4320" w:hanging="360"/>
      </w:pPr>
      <w:rPr>
        <w:rFonts w:ascii="Arial" w:hAnsi="Arial" w:hint="default"/>
      </w:rPr>
    </w:lvl>
    <w:lvl w:ilvl="6" w:tplc="9CD05DC4" w:tentative="1">
      <w:start w:val="1"/>
      <w:numFmt w:val="bullet"/>
      <w:lvlText w:val="•"/>
      <w:lvlJc w:val="left"/>
      <w:pPr>
        <w:tabs>
          <w:tab w:val="num" w:pos="5040"/>
        </w:tabs>
        <w:ind w:left="5040" w:hanging="360"/>
      </w:pPr>
      <w:rPr>
        <w:rFonts w:ascii="Arial" w:hAnsi="Arial" w:hint="default"/>
      </w:rPr>
    </w:lvl>
    <w:lvl w:ilvl="7" w:tplc="C1CADB36" w:tentative="1">
      <w:start w:val="1"/>
      <w:numFmt w:val="bullet"/>
      <w:lvlText w:val="•"/>
      <w:lvlJc w:val="left"/>
      <w:pPr>
        <w:tabs>
          <w:tab w:val="num" w:pos="5760"/>
        </w:tabs>
        <w:ind w:left="5760" w:hanging="360"/>
      </w:pPr>
      <w:rPr>
        <w:rFonts w:ascii="Arial" w:hAnsi="Arial" w:hint="default"/>
      </w:rPr>
    </w:lvl>
    <w:lvl w:ilvl="8" w:tplc="52A8823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DB213AF"/>
    <w:multiLevelType w:val="hybridMultilevel"/>
    <w:tmpl w:val="CF022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E0762B2"/>
    <w:multiLevelType w:val="multilevel"/>
    <w:tmpl w:val="02A25B7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7B3CBE"/>
    <w:multiLevelType w:val="hybridMultilevel"/>
    <w:tmpl w:val="10504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293A7D"/>
    <w:multiLevelType w:val="hybridMultilevel"/>
    <w:tmpl w:val="3C444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FC652AF"/>
    <w:multiLevelType w:val="hybridMultilevel"/>
    <w:tmpl w:val="80C0BCEA"/>
    <w:lvl w:ilvl="0" w:tplc="F6CEF1FA">
      <w:start w:val="1"/>
      <w:numFmt w:val="bullet"/>
      <w:lvlText w:val="•"/>
      <w:lvlJc w:val="left"/>
      <w:pPr>
        <w:tabs>
          <w:tab w:val="num" w:pos="720"/>
        </w:tabs>
        <w:ind w:left="720" w:hanging="360"/>
      </w:pPr>
      <w:rPr>
        <w:rFonts w:ascii="Arial" w:hAnsi="Arial" w:hint="default"/>
      </w:rPr>
    </w:lvl>
    <w:lvl w:ilvl="1" w:tplc="C63695AE">
      <w:start w:val="1"/>
      <w:numFmt w:val="bullet"/>
      <w:lvlText w:val="•"/>
      <w:lvlJc w:val="left"/>
      <w:pPr>
        <w:tabs>
          <w:tab w:val="num" w:pos="1440"/>
        </w:tabs>
        <w:ind w:left="1440" w:hanging="360"/>
      </w:pPr>
      <w:rPr>
        <w:rFonts w:ascii="Arial" w:hAnsi="Arial" w:hint="default"/>
      </w:rPr>
    </w:lvl>
    <w:lvl w:ilvl="2" w:tplc="AEB49E20" w:tentative="1">
      <w:start w:val="1"/>
      <w:numFmt w:val="bullet"/>
      <w:lvlText w:val="•"/>
      <w:lvlJc w:val="left"/>
      <w:pPr>
        <w:tabs>
          <w:tab w:val="num" w:pos="2160"/>
        </w:tabs>
        <w:ind w:left="2160" w:hanging="360"/>
      </w:pPr>
      <w:rPr>
        <w:rFonts w:ascii="Arial" w:hAnsi="Arial" w:hint="default"/>
      </w:rPr>
    </w:lvl>
    <w:lvl w:ilvl="3" w:tplc="BC2C77EA" w:tentative="1">
      <w:start w:val="1"/>
      <w:numFmt w:val="bullet"/>
      <w:lvlText w:val="•"/>
      <w:lvlJc w:val="left"/>
      <w:pPr>
        <w:tabs>
          <w:tab w:val="num" w:pos="2880"/>
        </w:tabs>
        <w:ind w:left="2880" w:hanging="360"/>
      </w:pPr>
      <w:rPr>
        <w:rFonts w:ascii="Arial" w:hAnsi="Arial" w:hint="default"/>
      </w:rPr>
    </w:lvl>
    <w:lvl w:ilvl="4" w:tplc="D602B590" w:tentative="1">
      <w:start w:val="1"/>
      <w:numFmt w:val="bullet"/>
      <w:lvlText w:val="•"/>
      <w:lvlJc w:val="left"/>
      <w:pPr>
        <w:tabs>
          <w:tab w:val="num" w:pos="3600"/>
        </w:tabs>
        <w:ind w:left="3600" w:hanging="360"/>
      </w:pPr>
      <w:rPr>
        <w:rFonts w:ascii="Arial" w:hAnsi="Arial" w:hint="default"/>
      </w:rPr>
    </w:lvl>
    <w:lvl w:ilvl="5" w:tplc="E37CB9D0" w:tentative="1">
      <w:start w:val="1"/>
      <w:numFmt w:val="bullet"/>
      <w:lvlText w:val="•"/>
      <w:lvlJc w:val="left"/>
      <w:pPr>
        <w:tabs>
          <w:tab w:val="num" w:pos="4320"/>
        </w:tabs>
        <w:ind w:left="4320" w:hanging="360"/>
      </w:pPr>
      <w:rPr>
        <w:rFonts w:ascii="Arial" w:hAnsi="Arial" w:hint="default"/>
      </w:rPr>
    </w:lvl>
    <w:lvl w:ilvl="6" w:tplc="E5581578" w:tentative="1">
      <w:start w:val="1"/>
      <w:numFmt w:val="bullet"/>
      <w:lvlText w:val="•"/>
      <w:lvlJc w:val="left"/>
      <w:pPr>
        <w:tabs>
          <w:tab w:val="num" w:pos="5040"/>
        </w:tabs>
        <w:ind w:left="5040" w:hanging="360"/>
      </w:pPr>
      <w:rPr>
        <w:rFonts w:ascii="Arial" w:hAnsi="Arial" w:hint="default"/>
      </w:rPr>
    </w:lvl>
    <w:lvl w:ilvl="7" w:tplc="E772C7C2" w:tentative="1">
      <w:start w:val="1"/>
      <w:numFmt w:val="bullet"/>
      <w:lvlText w:val="•"/>
      <w:lvlJc w:val="left"/>
      <w:pPr>
        <w:tabs>
          <w:tab w:val="num" w:pos="5760"/>
        </w:tabs>
        <w:ind w:left="5760" w:hanging="360"/>
      </w:pPr>
      <w:rPr>
        <w:rFonts w:ascii="Arial" w:hAnsi="Arial" w:hint="default"/>
      </w:rPr>
    </w:lvl>
    <w:lvl w:ilvl="8" w:tplc="0E78940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04E3BCC"/>
    <w:multiLevelType w:val="hybridMultilevel"/>
    <w:tmpl w:val="029EB9A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1" w15:restartNumberingAfterBreak="0">
    <w:nsid w:val="407B0183"/>
    <w:multiLevelType w:val="hybridMultilevel"/>
    <w:tmpl w:val="5F40A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08A2DC6"/>
    <w:multiLevelType w:val="hybridMultilevel"/>
    <w:tmpl w:val="94945C82"/>
    <w:lvl w:ilvl="0" w:tplc="50FC4880">
      <w:start w:val="1"/>
      <w:numFmt w:val="bullet"/>
      <w:lvlText w:val="•"/>
      <w:lvlJc w:val="left"/>
      <w:pPr>
        <w:tabs>
          <w:tab w:val="num" w:pos="720"/>
        </w:tabs>
        <w:ind w:left="720" w:hanging="360"/>
      </w:pPr>
      <w:rPr>
        <w:rFonts w:ascii="Arial" w:hAnsi="Arial" w:hint="default"/>
      </w:rPr>
    </w:lvl>
    <w:lvl w:ilvl="1" w:tplc="E63082B4" w:tentative="1">
      <w:start w:val="1"/>
      <w:numFmt w:val="bullet"/>
      <w:lvlText w:val="•"/>
      <w:lvlJc w:val="left"/>
      <w:pPr>
        <w:tabs>
          <w:tab w:val="num" w:pos="1440"/>
        </w:tabs>
        <w:ind w:left="1440" w:hanging="360"/>
      </w:pPr>
      <w:rPr>
        <w:rFonts w:ascii="Arial" w:hAnsi="Arial" w:hint="default"/>
      </w:rPr>
    </w:lvl>
    <w:lvl w:ilvl="2" w:tplc="D8A4C64A" w:tentative="1">
      <w:start w:val="1"/>
      <w:numFmt w:val="bullet"/>
      <w:lvlText w:val="•"/>
      <w:lvlJc w:val="left"/>
      <w:pPr>
        <w:tabs>
          <w:tab w:val="num" w:pos="2160"/>
        </w:tabs>
        <w:ind w:left="2160" w:hanging="360"/>
      </w:pPr>
      <w:rPr>
        <w:rFonts w:ascii="Arial" w:hAnsi="Arial" w:hint="default"/>
      </w:rPr>
    </w:lvl>
    <w:lvl w:ilvl="3" w:tplc="A5F2CDCC" w:tentative="1">
      <w:start w:val="1"/>
      <w:numFmt w:val="bullet"/>
      <w:lvlText w:val="•"/>
      <w:lvlJc w:val="left"/>
      <w:pPr>
        <w:tabs>
          <w:tab w:val="num" w:pos="2880"/>
        </w:tabs>
        <w:ind w:left="2880" w:hanging="360"/>
      </w:pPr>
      <w:rPr>
        <w:rFonts w:ascii="Arial" w:hAnsi="Arial" w:hint="default"/>
      </w:rPr>
    </w:lvl>
    <w:lvl w:ilvl="4" w:tplc="CA6E93E2" w:tentative="1">
      <w:start w:val="1"/>
      <w:numFmt w:val="bullet"/>
      <w:lvlText w:val="•"/>
      <w:lvlJc w:val="left"/>
      <w:pPr>
        <w:tabs>
          <w:tab w:val="num" w:pos="3600"/>
        </w:tabs>
        <w:ind w:left="3600" w:hanging="360"/>
      </w:pPr>
      <w:rPr>
        <w:rFonts w:ascii="Arial" w:hAnsi="Arial" w:hint="default"/>
      </w:rPr>
    </w:lvl>
    <w:lvl w:ilvl="5" w:tplc="D006FE64" w:tentative="1">
      <w:start w:val="1"/>
      <w:numFmt w:val="bullet"/>
      <w:lvlText w:val="•"/>
      <w:lvlJc w:val="left"/>
      <w:pPr>
        <w:tabs>
          <w:tab w:val="num" w:pos="4320"/>
        </w:tabs>
        <w:ind w:left="4320" w:hanging="360"/>
      </w:pPr>
      <w:rPr>
        <w:rFonts w:ascii="Arial" w:hAnsi="Arial" w:hint="default"/>
      </w:rPr>
    </w:lvl>
    <w:lvl w:ilvl="6" w:tplc="CF76905A" w:tentative="1">
      <w:start w:val="1"/>
      <w:numFmt w:val="bullet"/>
      <w:lvlText w:val="•"/>
      <w:lvlJc w:val="left"/>
      <w:pPr>
        <w:tabs>
          <w:tab w:val="num" w:pos="5040"/>
        </w:tabs>
        <w:ind w:left="5040" w:hanging="360"/>
      </w:pPr>
      <w:rPr>
        <w:rFonts w:ascii="Arial" w:hAnsi="Arial" w:hint="default"/>
      </w:rPr>
    </w:lvl>
    <w:lvl w:ilvl="7" w:tplc="2E501138" w:tentative="1">
      <w:start w:val="1"/>
      <w:numFmt w:val="bullet"/>
      <w:lvlText w:val="•"/>
      <w:lvlJc w:val="left"/>
      <w:pPr>
        <w:tabs>
          <w:tab w:val="num" w:pos="5760"/>
        </w:tabs>
        <w:ind w:left="5760" w:hanging="360"/>
      </w:pPr>
      <w:rPr>
        <w:rFonts w:ascii="Arial" w:hAnsi="Arial" w:hint="default"/>
      </w:rPr>
    </w:lvl>
    <w:lvl w:ilvl="8" w:tplc="DDE8B10C"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103014"/>
    <w:multiLevelType w:val="hybridMultilevel"/>
    <w:tmpl w:val="4DB69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61E2E82"/>
    <w:multiLevelType w:val="multilevel"/>
    <w:tmpl w:val="EF542E62"/>
    <w:lvl w:ilvl="0">
      <w:start w:val="1"/>
      <w:numFmt w:val="decimal"/>
      <w:lvlText w:val="%1"/>
      <w:lvlJc w:val="left"/>
      <w:pPr>
        <w:ind w:left="720" w:hanging="720"/>
      </w:pPr>
      <w:rPr>
        <w:rFonts w:hint="default"/>
        <w:b/>
      </w:rPr>
    </w:lvl>
    <w:lvl w:ilvl="1">
      <w:start w:val="1"/>
      <w:numFmt w:val="bullet"/>
      <w:lvlText w:val=""/>
      <w:lvlJc w:val="left"/>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93672CE"/>
    <w:multiLevelType w:val="hybridMultilevel"/>
    <w:tmpl w:val="31807AF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4BB356CA"/>
    <w:multiLevelType w:val="multilevel"/>
    <w:tmpl w:val="9D122CC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BCE6875"/>
    <w:multiLevelType w:val="hybridMultilevel"/>
    <w:tmpl w:val="0A4EA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4EF848AF"/>
    <w:multiLevelType w:val="hybridMultilevel"/>
    <w:tmpl w:val="5498C6B6"/>
    <w:lvl w:ilvl="0" w:tplc="D0FAC400">
      <w:start w:val="1"/>
      <w:numFmt w:val="bullet"/>
      <w:lvlText w:val="•"/>
      <w:lvlJc w:val="left"/>
      <w:pPr>
        <w:tabs>
          <w:tab w:val="num" w:pos="720"/>
        </w:tabs>
        <w:ind w:left="720" w:hanging="360"/>
      </w:pPr>
      <w:rPr>
        <w:rFonts w:ascii="Arial" w:hAnsi="Arial" w:hint="default"/>
      </w:rPr>
    </w:lvl>
    <w:lvl w:ilvl="1" w:tplc="B1A8003C">
      <w:start w:val="1"/>
      <w:numFmt w:val="bullet"/>
      <w:lvlText w:val="•"/>
      <w:lvlJc w:val="left"/>
      <w:pPr>
        <w:tabs>
          <w:tab w:val="num" w:pos="1440"/>
        </w:tabs>
        <w:ind w:left="1440" w:hanging="360"/>
      </w:pPr>
      <w:rPr>
        <w:rFonts w:ascii="Arial" w:hAnsi="Arial" w:hint="default"/>
      </w:rPr>
    </w:lvl>
    <w:lvl w:ilvl="2" w:tplc="5DB0C236" w:tentative="1">
      <w:start w:val="1"/>
      <w:numFmt w:val="bullet"/>
      <w:lvlText w:val="•"/>
      <w:lvlJc w:val="left"/>
      <w:pPr>
        <w:tabs>
          <w:tab w:val="num" w:pos="2160"/>
        </w:tabs>
        <w:ind w:left="2160" w:hanging="360"/>
      </w:pPr>
      <w:rPr>
        <w:rFonts w:ascii="Arial" w:hAnsi="Arial" w:hint="default"/>
      </w:rPr>
    </w:lvl>
    <w:lvl w:ilvl="3" w:tplc="0D606A56" w:tentative="1">
      <w:start w:val="1"/>
      <w:numFmt w:val="bullet"/>
      <w:lvlText w:val="•"/>
      <w:lvlJc w:val="left"/>
      <w:pPr>
        <w:tabs>
          <w:tab w:val="num" w:pos="2880"/>
        </w:tabs>
        <w:ind w:left="2880" w:hanging="360"/>
      </w:pPr>
      <w:rPr>
        <w:rFonts w:ascii="Arial" w:hAnsi="Arial" w:hint="default"/>
      </w:rPr>
    </w:lvl>
    <w:lvl w:ilvl="4" w:tplc="D23CEF04" w:tentative="1">
      <w:start w:val="1"/>
      <w:numFmt w:val="bullet"/>
      <w:lvlText w:val="•"/>
      <w:lvlJc w:val="left"/>
      <w:pPr>
        <w:tabs>
          <w:tab w:val="num" w:pos="3600"/>
        </w:tabs>
        <w:ind w:left="3600" w:hanging="360"/>
      </w:pPr>
      <w:rPr>
        <w:rFonts w:ascii="Arial" w:hAnsi="Arial" w:hint="default"/>
      </w:rPr>
    </w:lvl>
    <w:lvl w:ilvl="5" w:tplc="1D4EA27A" w:tentative="1">
      <w:start w:val="1"/>
      <w:numFmt w:val="bullet"/>
      <w:lvlText w:val="•"/>
      <w:lvlJc w:val="left"/>
      <w:pPr>
        <w:tabs>
          <w:tab w:val="num" w:pos="4320"/>
        </w:tabs>
        <w:ind w:left="4320" w:hanging="360"/>
      </w:pPr>
      <w:rPr>
        <w:rFonts w:ascii="Arial" w:hAnsi="Arial" w:hint="default"/>
      </w:rPr>
    </w:lvl>
    <w:lvl w:ilvl="6" w:tplc="9218434E" w:tentative="1">
      <w:start w:val="1"/>
      <w:numFmt w:val="bullet"/>
      <w:lvlText w:val="•"/>
      <w:lvlJc w:val="left"/>
      <w:pPr>
        <w:tabs>
          <w:tab w:val="num" w:pos="5040"/>
        </w:tabs>
        <w:ind w:left="5040" w:hanging="360"/>
      </w:pPr>
      <w:rPr>
        <w:rFonts w:ascii="Arial" w:hAnsi="Arial" w:hint="default"/>
      </w:rPr>
    </w:lvl>
    <w:lvl w:ilvl="7" w:tplc="673E407E" w:tentative="1">
      <w:start w:val="1"/>
      <w:numFmt w:val="bullet"/>
      <w:lvlText w:val="•"/>
      <w:lvlJc w:val="left"/>
      <w:pPr>
        <w:tabs>
          <w:tab w:val="num" w:pos="5760"/>
        </w:tabs>
        <w:ind w:left="5760" w:hanging="360"/>
      </w:pPr>
      <w:rPr>
        <w:rFonts w:ascii="Arial" w:hAnsi="Arial" w:hint="default"/>
      </w:rPr>
    </w:lvl>
    <w:lvl w:ilvl="8" w:tplc="6D2E0BC2"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4F1E0558"/>
    <w:multiLevelType w:val="hybridMultilevel"/>
    <w:tmpl w:val="3DB48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F547C88"/>
    <w:multiLevelType w:val="hybridMultilevel"/>
    <w:tmpl w:val="5E6CA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1E75B62"/>
    <w:multiLevelType w:val="hybridMultilevel"/>
    <w:tmpl w:val="4CA854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529A1D39"/>
    <w:multiLevelType w:val="hybridMultilevel"/>
    <w:tmpl w:val="402C4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6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56803800"/>
    <w:multiLevelType w:val="hybridMultilevel"/>
    <w:tmpl w:val="3CDC3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C5A3908"/>
    <w:multiLevelType w:val="hybridMultilevel"/>
    <w:tmpl w:val="681ED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D775F6A"/>
    <w:multiLevelType w:val="hybridMultilevel"/>
    <w:tmpl w:val="9FBA2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2" w15:restartNumberingAfterBreak="0">
    <w:nsid w:val="63015CE3"/>
    <w:multiLevelType w:val="hybridMultilevel"/>
    <w:tmpl w:val="E6420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7B557C"/>
    <w:multiLevelType w:val="hybridMultilevel"/>
    <w:tmpl w:val="99888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9F65E3E"/>
    <w:multiLevelType w:val="hybridMultilevel"/>
    <w:tmpl w:val="6F882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C3293"/>
    <w:multiLevelType w:val="hybridMultilevel"/>
    <w:tmpl w:val="026C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BE2C56"/>
    <w:multiLevelType w:val="hybridMultilevel"/>
    <w:tmpl w:val="1B3A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F6549F1"/>
    <w:multiLevelType w:val="multilevel"/>
    <w:tmpl w:val="3EA01084"/>
    <w:lvl w:ilvl="0">
      <w:start w:val="1"/>
      <w:numFmt w:val="decimal"/>
      <w:lvlText w:val="%1"/>
      <w:lvlJc w:val="left"/>
      <w:pPr>
        <w:ind w:left="720" w:hanging="720"/>
      </w:pPr>
      <w:rPr>
        <w:rFonts w:hint="default"/>
        <w:b/>
      </w:rPr>
    </w:lvl>
    <w:lvl w:ilvl="1">
      <w:start w:val="1"/>
      <w:numFmt w:val="bullet"/>
      <w:lvlText w:val=""/>
      <w:lvlJc w:val="left"/>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F33A28"/>
    <w:multiLevelType w:val="hybridMultilevel"/>
    <w:tmpl w:val="BF243C10"/>
    <w:lvl w:ilvl="0" w:tplc="79D0A718">
      <w:numFmt w:val="bullet"/>
      <w:lvlText w:val="-"/>
      <w:lvlJc w:val="left"/>
      <w:pPr>
        <w:ind w:left="720" w:hanging="360"/>
      </w:pPr>
      <w:rPr>
        <w:rFonts w:ascii="Arial Narrow" w:eastAsia="Times New Roman" w:hAnsi="Arial Narrow"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279582E"/>
    <w:multiLevelType w:val="hybridMultilevel"/>
    <w:tmpl w:val="35EE6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6D1C9F"/>
    <w:multiLevelType w:val="hybridMultilevel"/>
    <w:tmpl w:val="8380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8F3C6C"/>
    <w:multiLevelType w:val="hybridMultilevel"/>
    <w:tmpl w:val="9766A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63345F2"/>
    <w:multiLevelType w:val="hybridMultilevel"/>
    <w:tmpl w:val="1BE0DF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5"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CD848D0"/>
    <w:multiLevelType w:val="hybridMultilevel"/>
    <w:tmpl w:val="1CE0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D963C2D"/>
    <w:multiLevelType w:val="hybridMultilevel"/>
    <w:tmpl w:val="B26C7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start w:val="1"/>
      <w:numFmt w:val="lowerLetter"/>
      <w:lvlText w:val="%2."/>
      <w:lvlJc w:val="left"/>
      <w:pPr>
        <w:ind w:left="1549" w:hanging="360"/>
      </w:pPr>
    </w:lvl>
    <w:lvl w:ilvl="2" w:tplc="0C09001B">
      <w:start w:val="1"/>
      <w:numFmt w:val="lowerRoman"/>
      <w:lvlText w:val="%3."/>
      <w:lvlJc w:val="right"/>
      <w:pPr>
        <w:ind w:left="2269" w:hanging="180"/>
      </w:pPr>
    </w:lvl>
    <w:lvl w:ilvl="3" w:tplc="0C09000F">
      <w:start w:val="1"/>
      <w:numFmt w:val="decimal"/>
      <w:lvlText w:val="%4."/>
      <w:lvlJc w:val="left"/>
      <w:pPr>
        <w:ind w:left="2989" w:hanging="360"/>
      </w:pPr>
    </w:lvl>
    <w:lvl w:ilvl="4" w:tplc="0C090019">
      <w:start w:val="1"/>
      <w:numFmt w:val="lowerLetter"/>
      <w:lvlText w:val="%5."/>
      <w:lvlJc w:val="left"/>
      <w:pPr>
        <w:ind w:left="3709" w:hanging="360"/>
      </w:pPr>
    </w:lvl>
    <w:lvl w:ilvl="5" w:tplc="0C09001B">
      <w:start w:val="1"/>
      <w:numFmt w:val="lowerRoman"/>
      <w:lvlText w:val="%6."/>
      <w:lvlJc w:val="right"/>
      <w:pPr>
        <w:ind w:left="4429" w:hanging="180"/>
      </w:pPr>
    </w:lvl>
    <w:lvl w:ilvl="6" w:tplc="0C09000F">
      <w:start w:val="1"/>
      <w:numFmt w:val="decimal"/>
      <w:lvlText w:val="%7."/>
      <w:lvlJc w:val="left"/>
      <w:pPr>
        <w:ind w:left="5149" w:hanging="360"/>
      </w:pPr>
    </w:lvl>
    <w:lvl w:ilvl="7" w:tplc="0C090019">
      <w:start w:val="1"/>
      <w:numFmt w:val="lowerLetter"/>
      <w:lvlText w:val="%8."/>
      <w:lvlJc w:val="left"/>
      <w:pPr>
        <w:ind w:left="5869" w:hanging="360"/>
      </w:pPr>
    </w:lvl>
    <w:lvl w:ilvl="8" w:tplc="0C09001B">
      <w:start w:val="1"/>
      <w:numFmt w:val="lowerRoman"/>
      <w:lvlText w:val="%9."/>
      <w:lvlJc w:val="right"/>
      <w:pPr>
        <w:ind w:left="6589" w:hanging="180"/>
      </w:pPr>
    </w:lvl>
  </w:abstractNum>
  <w:num w:numId="1">
    <w:abstractNumId w:val="85"/>
  </w:num>
  <w:num w:numId="2">
    <w:abstractNumId w:val="54"/>
  </w:num>
  <w:num w:numId="3">
    <w:abstractNumId w:val="56"/>
  </w:num>
  <w:num w:numId="4">
    <w:abstractNumId w:val="0"/>
  </w:num>
  <w:num w:numId="5">
    <w:abstractNumId w:val="85"/>
  </w:num>
  <w:num w:numId="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86"/>
  </w:num>
  <w:num w:numId="9">
    <w:abstractNumId w:val="53"/>
  </w:num>
  <w:num w:numId="10">
    <w:abstractNumId w:val="87"/>
  </w:num>
  <w:num w:numId="11">
    <w:abstractNumId w:val="11"/>
  </w:num>
  <w:num w:numId="12">
    <w:abstractNumId w:val="78"/>
  </w:num>
  <w:num w:numId="13">
    <w:abstractNumId w:val="33"/>
  </w:num>
  <w:num w:numId="14">
    <w:abstractNumId w:val="68"/>
  </w:num>
  <w:num w:numId="15">
    <w:abstractNumId w:val="16"/>
  </w:num>
  <w:num w:numId="16">
    <w:abstractNumId w:val="81"/>
  </w:num>
  <w:num w:numId="17">
    <w:abstractNumId w:val="21"/>
  </w:num>
  <w:num w:numId="18">
    <w:abstractNumId w:val="34"/>
  </w:num>
  <w:num w:numId="19">
    <w:abstractNumId w:val="14"/>
  </w:num>
  <w:num w:numId="20">
    <w:abstractNumId w:val="72"/>
  </w:num>
  <w:num w:numId="21">
    <w:abstractNumId w:val="74"/>
  </w:num>
  <w:num w:numId="22">
    <w:abstractNumId w:val="22"/>
  </w:num>
  <w:num w:numId="23">
    <w:abstractNumId w:val="47"/>
  </w:num>
  <w:num w:numId="24">
    <w:abstractNumId w:val="36"/>
  </w:num>
  <w:num w:numId="25">
    <w:abstractNumId w:val="25"/>
  </w:num>
  <w:num w:numId="26">
    <w:abstractNumId w:val="23"/>
  </w:num>
  <w:num w:numId="27">
    <w:abstractNumId w:val="42"/>
  </w:num>
  <w:num w:numId="28">
    <w:abstractNumId w:val="70"/>
  </w:num>
  <w:num w:numId="29">
    <w:abstractNumId w:val="38"/>
  </w:num>
  <w:num w:numId="30">
    <w:abstractNumId w:val="62"/>
  </w:num>
  <w:num w:numId="31">
    <w:abstractNumId w:val="48"/>
  </w:num>
  <w:num w:numId="32">
    <w:abstractNumId w:val="65"/>
  </w:num>
  <w:num w:numId="33">
    <w:abstractNumId w:val="3"/>
  </w:num>
  <w:num w:numId="34">
    <w:abstractNumId w:val="82"/>
  </w:num>
  <w:num w:numId="35">
    <w:abstractNumId w:val="5"/>
  </w:num>
  <w:num w:numId="36">
    <w:abstractNumId w:val="26"/>
  </w:num>
  <w:num w:numId="37">
    <w:abstractNumId w:val="73"/>
  </w:num>
  <w:num w:numId="38">
    <w:abstractNumId w:val="15"/>
  </w:num>
  <w:num w:numId="39">
    <w:abstractNumId w:val="4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28"/>
  </w:num>
  <w:num w:numId="43">
    <w:abstractNumId w:val="40"/>
  </w:num>
  <w:num w:numId="44">
    <w:abstractNumId w:val="17"/>
  </w:num>
  <w:num w:numId="45">
    <w:abstractNumId w:val="31"/>
  </w:num>
  <w:num w:numId="46">
    <w:abstractNumId w:val="41"/>
  </w:num>
  <w:num w:numId="47">
    <w:abstractNumId w:val="10"/>
  </w:num>
  <w:num w:numId="48">
    <w:abstractNumId w:val="50"/>
  </w:num>
  <w:num w:numId="49">
    <w:abstractNumId w:val="80"/>
  </w:num>
  <w:num w:numId="50">
    <w:abstractNumId w:val="64"/>
  </w:num>
  <w:num w:numId="51">
    <w:abstractNumId w:val="88"/>
  </w:num>
  <w:num w:numId="52">
    <w:abstractNumId w:val="4"/>
  </w:num>
  <w:num w:numId="53">
    <w:abstractNumId w:val="7"/>
  </w:num>
  <w:num w:numId="54">
    <w:abstractNumId w:val="77"/>
  </w:num>
  <w:num w:numId="55">
    <w:abstractNumId w:val="84"/>
  </w:num>
  <w:num w:numId="56">
    <w:abstractNumId w:val="32"/>
  </w:num>
  <w:num w:numId="57">
    <w:abstractNumId w:val="20"/>
  </w:num>
  <w:num w:numId="58">
    <w:abstractNumId w:val="2"/>
  </w:num>
  <w:num w:numId="59">
    <w:abstractNumId w:val="69"/>
  </w:num>
  <w:num w:numId="60">
    <w:abstractNumId w:val="57"/>
  </w:num>
  <w:num w:numId="61">
    <w:abstractNumId w:val="51"/>
  </w:num>
  <w:num w:numId="62">
    <w:abstractNumId w:val="55"/>
  </w:num>
  <w:num w:numId="63">
    <w:abstractNumId w:val="60"/>
  </w:num>
  <w:num w:numId="64">
    <w:abstractNumId w:val="83"/>
  </w:num>
  <w:num w:numId="65">
    <w:abstractNumId w:val="63"/>
  </w:num>
  <w:num w:numId="66">
    <w:abstractNumId w:val="9"/>
  </w:num>
  <w:num w:numId="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num>
  <w:num w:numId="70">
    <w:abstractNumId w:val="75"/>
  </w:num>
  <w:num w:numId="71">
    <w:abstractNumId w:val="8"/>
  </w:num>
  <w:num w:numId="72">
    <w:abstractNumId w:val="66"/>
  </w:num>
  <w:num w:numId="73">
    <w:abstractNumId w:val="67"/>
  </w:num>
  <w:num w:numId="74">
    <w:abstractNumId w:val="12"/>
  </w:num>
  <w:num w:numId="75">
    <w:abstractNumId w:val="1"/>
  </w:num>
  <w:num w:numId="76">
    <w:abstractNumId w:val="30"/>
  </w:num>
  <w:num w:numId="77">
    <w:abstractNumId w:val="35"/>
  </w:num>
  <w:num w:numId="78">
    <w:abstractNumId w:val="29"/>
  </w:num>
  <w:num w:numId="79">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6"/>
  </w:num>
  <w:num w:numId="81">
    <w:abstractNumId w:val="85"/>
  </w:num>
  <w:num w:numId="82">
    <w:abstractNumId w:val="85"/>
  </w:num>
  <w:num w:numId="83">
    <w:abstractNumId w:val="13"/>
  </w:num>
  <w:num w:numId="84">
    <w:abstractNumId w:val="61"/>
  </w:num>
  <w:num w:numId="85">
    <w:abstractNumId w:val="52"/>
  </w:num>
  <w:num w:numId="86">
    <w:abstractNumId w:val="44"/>
  </w:num>
  <w:num w:numId="87">
    <w:abstractNumId w:val="39"/>
  </w:num>
  <w:num w:numId="88">
    <w:abstractNumId w:val="24"/>
  </w:num>
  <w:num w:numId="89">
    <w:abstractNumId w:val="49"/>
  </w:num>
  <w:num w:numId="90">
    <w:abstractNumId w:val="59"/>
  </w:num>
  <w:num w:numId="91">
    <w:abstractNumId w:val="46"/>
  </w:num>
  <w:num w:numId="92">
    <w:abstractNumId w:val="6"/>
  </w:num>
  <w:num w:numId="93">
    <w:abstractNumId w:val="45"/>
  </w:num>
  <w:num w:numId="94">
    <w:abstractNumId w:val="85"/>
  </w:num>
  <w:num w:numId="95">
    <w:abstractNumId w:val="19"/>
  </w:num>
  <w:num w:numId="96">
    <w:abstractNumId w:val="79"/>
  </w:num>
  <w:num w:numId="97">
    <w:abstractNumId w:val="8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hideGrammaticalErrors/>
  <w:activeWritingStyle w:appName="MSWord" w:lang="es-CL"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s-CL" w:vendorID="64" w:dllVersion="0" w:nlCheck="1" w:checkStyle="0"/>
  <w:activeWritingStyle w:appName="MSWord" w:lang="en-GB" w:vendorID="64" w:dllVersion="6"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C1MDMwMzcwMTQwsjRX0lEKTi0uzszPAykwqgUAr7v9ZiwAAAA="/>
  </w:docVars>
  <w:rsids>
    <w:rsidRoot w:val="00E65E79"/>
    <w:rsid w:val="0000012E"/>
    <w:rsid w:val="00000790"/>
    <w:rsid w:val="0000110B"/>
    <w:rsid w:val="00001EDA"/>
    <w:rsid w:val="0000274C"/>
    <w:rsid w:val="00003315"/>
    <w:rsid w:val="00003499"/>
    <w:rsid w:val="00003687"/>
    <w:rsid w:val="000039B7"/>
    <w:rsid w:val="0000639A"/>
    <w:rsid w:val="000063A3"/>
    <w:rsid w:val="00010427"/>
    <w:rsid w:val="00010CE9"/>
    <w:rsid w:val="000114FD"/>
    <w:rsid w:val="0001241E"/>
    <w:rsid w:val="00012CD3"/>
    <w:rsid w:val="00012DA9"/>
    <w:rsid w:val="00012FD3"/>
    <w:rsid w:val="00013247"/>
    <w:rsid w:val="0001364C"/>
    <w:rsid w:val="000136DA"/>
    <w:rsid w:val="000140E3"/>
    <w:rsid w:val="0001534D"/>
    <w:rsid w:val="00015886"/>
    <w:rsid w:val="00015E9C"/>
    <w:rsid w:val="000162EF"/>
    <w:rsid w:val="000200C0"/>
    <w:rsid w:val="0002049B"/>
    <w:rsid w:val="00020536"/>
    <w:rsid w:val="000207C9"/>
    <w:rsid w:val="00020CF8"/>
    <w:rsid w:val="0002124D"/>
    <w:rsid w:val="00021DD7"/>
    <w:rsid w:val="0002225F"/>
    <w:rsid w:val="000224F5"/>
    <w:rsid w:val="0002250D"/>
    <w:rsid w:val="0002282B"/>
    <w:rsid w:val="00022A53"/>
    <w:rsid w:val="00023763"/>
    <w:rsid w:val="0002415D"/>
    <w:rsid w:val="00024854"/>
    <w:rsid w:val="00024DAC"/>
    <w:rsid w:val="0002587F"/>
    <w:rsid w:val="00025920"/>
    <w:rsid w:val="00025B0C"/>
    <w:rsid w:val="00025DC2"/>
    <w:rsid w:val="000260F5"/>
    <w:rsid w:val="00026E0F"/>
    <w:rsid w:val="00026FAD"/>
    <w:rsid w:val="000274B8"/>
    <w:rsid w:val="00027C28"/>
    <w:rsid w:val="00030960"/>
    <w:rsid w:val="00031A90"/>
    <w:rsid w:val="00032CC3"/>
    <w:rsid w:val="00032EF2"/>
    <w:rsid w:val="00033042"/>
    <w:rsid w:val="000333B3"/>
    <w:rsid w:val="00033573"/>
    <w:rsid w:val="00033863"/>
    <w:rsid w:val="0003485A"/>
    <w:rsid w:val="00034E8B"/>
    <w:rsid w:val="00035DC0"/>
    <w:rsid w:val="00036829"/>
    <w:rsid w:val="00036860"/>
    <w:rsid w:val="00036EBB"/>
    <w:rsid w:val="000403BD"/>
    <w:rsid w:val="00040895"/>
    <w:rsid w:val="000410D2"/>
    <w:rsid w:val="00041CD9"/>
    <w:rsid w:val="000423AD"/>
    <w:rsid w:val="0004294D"/>
    <w:rsid w:val="00042C1C"/>
    <w:rsid w:val="000435EE"/>
    <w:rsid w:val="00043C37"/>
    <w:rsid w:val="00044524"/>
    <w:rsid w:val="000448C9"/>
    <w:rsid w:val="00045017"/>
    <w:rsid w:val="00045A2B"/>
    <w:rsid w:val="0004698F"/>
    <w:rsid w:val="00047308"/>
    <w:rsid w:val="0005023A"/>
    <w:rsid w:val="000508A2"/>
    <w:rsid w:val="000539D0"/>
    <w:rsid w:val="00054621"/>
    <w:rsid w:val="000546D7"/>
    <w:rsid w:val="000548FF"/>
    <w:rsid w:val="00055752"/>
    <w:rsid w:val="00055E10"/>
    <w:rsid w:val="00056ECF"/>
    <w:rsid w:val="000604DF"/>
    <w:rsid w:val="00061C56"/>
    <w:rsid w:val="000625AE"/>
    <w:rsid w:val="0006288A"/>
    <w:rsid w:val="00063A47"/>
    <w:rsid w:val="000644E8"/>
    <w:rsid w:val="000653B5"/>
    <w:rsid w:val="00066360"/>
    <w:rsid w:val="00066AF8"/>
    <w:rsid w:val="00070EB3"/>
    <w:rsid w:val="00071248"/>
    <w:rsid w:val="000720B9"/>
    <w:rsid w:val="000721B7"/>
    <w:rsid w:val="00072B85"/>
    <w:rsid w:val="0007363A"/>
    <w:rsid w:val="000737F7"/>
    <w:rsid w:val="00074888"/>
    <w:rsid w:val="00075B20"/>
    <w:rsid w:val="00075C43"/>
    <w:rsid w:val="00075F99"/>
    <w:rsid w:val="0007672F"/>
    <w:rsid w:val="00076B54"/>
    <w:rsid w:val="000771D8"/>
    <w:rsid w:val="000774F0"/>
    <w:rsid w:val="00077B3E"/>
    <w:rsid w:val="00080909"/>
    <w:rsid w:val="00080F28"/>
    <w:rsid w:val="000812CA"/>
    <w:rsid w:val="00081BEB"/>
    <w:rsid w:val="00081E63"/>
    <w:rsid w:val="0008258D"/>
    <w:rsid w:val="00083469"/>
    <w:rsid w:val="00083E99"/>
    <w:rsid w:val="00084129"/>
    <w:rsid w:val="000846EA"/>
    <w:rsid w:val="00084B5D"/>
    <w:rsid w:val="00084FA8"/>
    <w:rsid w:val="000856C5"/>
    <w:rsid w:val="00085C31"/>
    <w:rsid w:val="000861A7"/>
    <w:rsid w:val="00086C36"/>
    <w:rsid w:val="00087076"/>
    <w:rsid w:val="00087D87"/>
    <w:rsid w:val="000902D9"/>
    <w:rsid w:val="0009094F"/>
    <w:rsid w:val="00090C7E"/>
    <w:rsid w:val="00091EF5"/>
    <w:rsid w:val="00092600"/>
    <w:rsid w:val="0009262B"/>
    <w:rsid w:val="00092967"/>
    <w:rsid w:val="00092CA8"/>
    <w:rsid w:val="00093166"/>
    <w:rsid w:val="00093310"/>
    <w:rsid w:val="000934CF"/>
    <w:rsid w:val="0009445C"/>
    <w:rsid w:val="000944D6"/>
    <w:rsid w:val="0009478D"/>
    <w:rsid w:val="00094968"/>
    <w:rsid w:val="00094F51"/>
    <w:rsid w:val="00095200"/>
    <w:rsid w:val="00095FE5"/>
    <w:rsid w:val="00096284"/>
    <w:rsid w:val="00096603"/>
    <w:rsid w:val="00096E71"/>
    <w:rsid w:val="0009764F"/>
    <w:rsid w:val="00097F9C"/>
    <w:rsid w:val="000A0815"/>
    <w:rsid w:val="000A1BC0"/>
    <w:rsid w:val="000A1C36"/>
    <w:rsid w:val="000A2627"/>
    <w:rsid w:val="000A47D5"/>
    <w:rsid w:val="000A6039"/>
    <w:rsid w:val="000A64A4"/>
    <w:rsid w:val="000A7453"/>
    <w:rsid w:val="000A752E"/>
    <w:rsid w:val="000A7D08"/>
    <w:rsid w:val="000A7FD9"/>
    <w:rsid w:val="000B0121"/>
    <w:rsid w:val="000B0670"/>
    <w:rsid w:val="000B0E75"/>
    <w:rsid w:val="000B122B"/>
    <w:rsid w:val="000B29CB"/>
    <w:rsid w:val="000B2AFF"/>
    <w:rsid w:val="000B2DCB"/>
    <w:rsid w:val="000B4D0D"/>
    <w:rsid w:val="000B4E65"/>
    <w:rsid w:val="000B52C6"/>
    <w:rsid w:val="000B5435"/>
    <w:rsid w:val="000B5637"/>
    <w:rsid w:val="000B57FF"/>
    <w:rsid w:val="000B5CE0"/>
    <w:rsid w:val="000B6891"/>
    <w:rsid w:val="000B6CAC"/>
    <w:rsid w:val="000B7612"/>
    <w:rsid w:val="000B78AE"/>
    <w:rsid w:val="000C10FE"/>
    <w:rsid w:val="000C1BE7"/>
    <w:rsid w:val="000C3BAF"/>
    <w:rsid w:val="000C3DF9"/>
    <w:rsid w:val="000C4102"/>
    <w:rsid w:val="000C4AC7"/>
    <w:rsid w:val="000C5AC5"/>
    <w:rsid w:val="000C5D5A"/>
    <w:rsid w:val="000C5E9C"/>
    <w:rsid w:val="000C5F55"/>
    <w:rsid w:val="000C6713"/>
    <w:rsid w:val="000C6851"/>
    <w:rsid w:val="000C6C54"/>
    <w:rsid w:val="000C765C"/>
    <w:rsid w:val="000D0C65"/>
    <w:rsid w:val="000D0DE8"/>
    <w:rsid w:val="000D1308"/>
    <w:rsid w:val="000D1BFC"/>
    <w:rsid w:val="000D1D5D"/>
    <w:rsid w:val="000D2231"/>
    <w:rsid w:val="000D2347"/>
    <w:rsid w:val="000D281A"/>
    <w:rsid w:val="000D2848"/>
    <w:rsid w:val="000D326A"/>
    <w:rsid w:val="000D42E4"/>
    <w:rsid w:val="000D51FB"/>
    <w:rsid w:val="000D6692"/>
    <w:rsid w:val="000D70D6"/>
    <w:rsid w:val="000E0640"/>
    <w:rsid w:val="000E0D5B"/>
    <w:rsid w:val="000E135D"/>
    <w:rsid w:val="000E2D80"/>
    <w:rsid w:val="000E5FE7"/>
    <w:rsid w:val="000F00BA"/>
    <w:rsid w:val="000F087D"/>
    <w:rsid w:val="000F08C0"/>
    <w:rsid w:val="000F1505"/>
    <w:rsid w:val="000F316A"/>
    <w:rsid w:val="000F3C74"/>
    <w:rsid w:val="000F4264"/>
    <w:rsid w:val="000F4BB8"/>
    <w:rsid w:val="000F4FA9"/>
    <w:rsid w:val="000F53FB"/>
    <w:rsid w:val="000F69BE"/>
    <w:rsid w:val="000F7127"/>
    <w:rsid w:val="000F713E"/>
    <w:rsid w:val="000F741C"/>
    <w:rsid w:val="000F7B54"/>
    <w:rsid w:val="00100800"/>
    <w:rsid w:val="00100F11"/>
    <w:rsid w:val="00100F8A"/>
    <w:rsid w:val="00101A21"/>
    <w:rsid w:val="00102102"/>
    <w:rsid w:val="00102174"/>
    <w:rsid w:val="00103110"/>
    <w:rsid w:val="001034D2"/>
    <w:rsid w:val="00103524"/>
    <w:rsid w:val="001036DE"/>
    <w:rsid w:val="0010452E"/>
    <w:rsid w:val="00104566"/>
    <w:rsid w:val="00104AC2"/>
    <w:rsid w:val="00105AE2"/>
    <w:rsid w:val="001060C6"/>
    <w:rsid w:val="00106156"/>
    <w:rsid w:val="001069AE"/>
    <w:rsid w:val="00106A84"/>
    <w:rsid w:val="00106B80"/>
    <w:rsid w:val="00107557"/>
    <w:rsid w:val="00107C70"/>
    <w:rsid w:val="0011032E"/>
    <w:rsid w:val="00110958"/>
    <w:rsid w:val="00111440"/>
    <w:rsid w:val="00111446"/>
    <w:rsid w:val="00111C1A"/>
    <w:rsid w:val="0011348B"/>
    <w:rsid w:val="001142E8"/>
    <w:rsid w:val="00115982"/>
    <w:rsid w:val="0011652F"/>
    <w:rsid w:val="0011674D"/>
    <w:rsid w:val="00116C53"/>
    <w:rsid w:val="00120742"/>
    <w:rsid w:val="00121799"/>
    <w:rsid w:val="0012192A"/>
    <w:rsid w:val="00121F65"/>
    <w:rsid w:val="001222FC"/>
    <w:rsid w:val="00123902"/>
    <w:rsid w:val="00123954"/>
    <w:rsid w:val="00123B22"/>
    <w:rsid w:val="00123E29"/>
    <w:rsid w:val="00124303"/>
    <w:rsid w:val="00124A51"/>
    <w:rsid w:val="00124D91"/>
    <w:rsid w:val="0012501A"/>
    <w:rsid w:val="00125F69"/>
    <w:rsid w:val="0012642B"/>
    <w:rsid w:val="00126621"/>
    <w:rsid w:val="00126B1D"/>
    <w:rsid w:val="001301E9"/>
    <w:rsid w:val="001317E7"/>
    <w:rsid w:val="00131D82"/>
    <w:rsid w:val="00132B22"/>
    <w:rsid w:val="00133164"/>
    <w:rsid w:val="0013316E"/>
    <w:rsid w:val="00133345"/>
    <w:rsid w:val="00133D36"/>
    <w:rsid w:val="00134CDC"/>
    <w:rsid w:val="0013508D"/>
    <w:rsid w:val="00136C17"/>
    <w:rsid w:val="00137645"/>
    <w:rsid w:val="001377E0"/>
    <w:rsid w:val="0014015A"/>
    <w:rsid w:val="00140E99"/>
    <w:rsid w:val="001412B0"/>
    <w:rsid w:val="00143F67"/>
    <w:rsid w:val="00144126"/>
    <w:rsid w:val="00144935"/>
    <w:rsid w:val="00145540"/>
    <w:rsid w:val="001456B0"/>
    <w:rsid w:val="00145F29"/>
    <w:rsid w:val="00146695"/>
    <w:rsid w:val="00150F4E"/>
    <w:rsid w:val="0015119C"/>
    <w:rsid w:val="00151850"/>
    <w:rsid w:val="001518D9"/>
    <w:rsid w:val="00151EAC"/>
    <w:rsid w:val="0015213D"/>
    <w:rsid w:val="001525AD"/>
    <w:rsid w:val="00153236"/>
    <w:rsid w:val="00153BB2"/>
    <w:rsid w:val="00153E72"/>
    <w:rsid w:val="00153F1A"/>
    <w:rsid w:val="0015476F"/>
    <w:rsid w:val="001551E1"/>
    <w:rsid w:val="0015531E"/>
    <w:rsid w:val="00155FEB"/>
    <w:rsid w:val="00156F8F"/>
    <w:rsid w:val="00157130"/>
    <w:rsid w:val="001576B1"/>
    <w:rsid w:val="00157C06"/>
    <w:rsid w:val="001600A0"/>
    <w:rsid w:val="0016047B"/>
    <w:rsid w:val="00160A4C"/>
    <w:rsid w:val="001612C3"/>
    <w:rsid w:val="00162913"/>
    <w:rsid w:val="00163216"/>
    <w:rsid w:val="001633DB"/>
    <w:rsid w:val="001634F0"/>
    <w:rsid w:val="00163EFF"/>
    <w:rsid w:val="00163F66"/>
    <w:rsid w:val="00165198"/>
    <w:rsid w:val="00165436"/>
    <w:rsid w:val="00165EA6"/>
    <w:rsid w:val="001661FB"/>
    <w:rsid w:val="00166911"/>
    <w:rsid w:val="00166E75"/>
    <w:rsid w:val="001671A0"/>
    <w:rsid w:val="0016767F"/>
    <w:rsid w:val="001702D8"/>
    <w:rsid w:val="00171139"/>
    <w:rsid w:val="00173565"/>
    <w:rsid w:val="00173B07"/>
    <w:rsid w:val="00174573"/>
    <w:rsid w:val="00174B37"/>
    <w:rsid w:val="001751A9"/>
    <w:rsid w:val="001751FA"/>
    <w:rsid w:val="00175285"/>
    <w:rsid w:val="00177F3A"/>
    <w:rsid w:val="00180112"/>
    <w:rsid w:val="00181BC5"/>
    <w:rsid w:val="00181C95"/>
    <w:rsid w:val="00181D9C"/>
    <w:rsid w:val="00182310"/>
    <w:rsid w:val="0018291C"/>
    <w:rsid w:val="0018342E"/>
    <w:rsid w:val="00184B0E"/>
    <w:rsid w:val="00184FE7"/>
    <w:rsid w:val="00186925"/>
    <w:rsid w:val="00186C78"/>
    <w:rsid w:val="00186FB8"/>
    <w:rsid w:val="0018752F"/>
    <w:rsid w:val="00187764"/>
    <w:rsid w:val="00187954"/>
    <w:rsid w:val="0018799B"/>
    <w:rsid w:val="00187F70"/>
    <w:rsid w:val="00190293"/>
    <w:rsid w:val="001903C6"/>
    <w:rsid w:val="00190A2E"/>
    <w:rsid w:val="00191DD4"/>
    <w:rsid w:val="00192AD2"/>
    <w:rsid w:val="00193838"/>
    <w:rsid w:val="00194AD8"/>
    <w:rsid w:val="00195222"/>
    <w:rsid w:val="00196040"/>
    <w:rsid w:val="00196E35"/>
    <w:rsid w:val="0019705A"/>
    <w:rsid w:val="00197146"/>
    <w:rsid w:val="001975D8"/>
    <w:rsid w:val="001A03AB"/>
    <w:rsid w:val="001A069E"/>
    <w:rsid w:val="001A075E"/>
    <w:rsid w:val="001A0E8A"/>
    <w:rsid w:val="001A1026"/>
    <w:rsid w:val="001A14E7"/>
    <w:rsid w:val="001A178E"/>
    <w:rsid w:val="001A1FC1"/>
    <w:rsid w:val="001A2F50"/>
    <w:rsid w:val="001A41C9"/>
    <w:rsid w:val="001A43FA"/>
    <w:rsid w:val="001A47C5"/>
    <w:rsid w:val="001A4EC9"/>
    <w:rsid w:val="001A59FB"/>
    <w:rsid w:val="001A5E9E"/>
    <w:rsid w:val="001A6354"/>
    <w:rsid w:val="001A6366"/>
    <w:rsid w:val="001A72E1"/>
    <w:rsid w:val="001A7AE8"/>
    <w:rsid w:val="001B0449"/>
    <w:rsid w:val="001B0C03"/>
    <w:rsid w:val="001B0DED"/>
    <w:rsid w:val="001B204E"/>
    <w:rsid w:val="001B2372"/>
    <w:rsid w:val="001B32E9"/>
    <w:rsid w:val="001B3443"/>
    <w:rsid w:val="001B4762"/>
    <w:rsid w:val="001B4D20"/>
    <w:rsid w:val="001B65AE"/>
    <w:rsid w:val="001B7E9C"/>
    <w:rsid w:val="001C2A9B"/>
    <w:rsid w:val="001C3265"/>
    <w:rsid w:val="001C33FD"/>
    <w:rsid w:val="001C3502"/>
    <w:rsid w:val="001C3AED"/>
    <w:rsid w:val="001C4299"/>
    <w:rsid w:val="001C4874"/>
    <w:rsid w:val="001C495F"/>
    <w:rsid w:val="001C4AEB"/>
    <w:rsid w:val="001C514F"/>
    <w:rsid w:val="001C5F94"/>
    <w:rsid w:val="001C6687"/>
    <w:rsid w:val="001C6E66"/>
    <w:rsid w:val="001C77FB"/>
    <w:rsid w:val="001D0452"/>
    <w:rsid w:val="001D1100"/>
    <w:rsid w:val="001D1391"/>
    <w:rsid w:val="001D1C2B"/>
    <w:rsid w:val="001D25D7"/>
    <w:rsid w:val="001D26D1"/>
    <w:rsid w:val="001D2CC7"/>
    <w:rsid w:val="001D2E32"/>
    <w:rsid w:val="001D3212"/>
    <w:rsid w:val="001D4376"/>
    <w:rsid w:val="001D50B2"/>
    <w:rsid w:val="001D603C"/>
    <w:rsid w:val="001D7645"/>
    <w:rsid w:val="001E1E86"/>
    <w:rsid w:val="001E226D"/>
    <w:rsid w:val="001E238E"/>
    <w:rsid w:val="001E2483"/>
    <w:rsid w:val="001E2B1E"/>
    <w:rsid w:val="001E2CFF"/>
    <w:rsid w:val="001E2F24"/>
    <w:rsid w:val="001E30A9"/>
    <w:rsid w:val="001E30D4"/>
    <w:rsid w:val="001E34DF"/>
    <w:rsid w:val="001E52EB"/>
    <w:rsid w:val="001E5ACC"/>
    <w:rsid w:val="001E61D2"/>
    <w:rsid w:val="001E66D9"/>
    <w:rsid w:val="001E740C"/>
    <w:rsid w:val="001E74BF"/>
    <w:rsid w:val="001F1235"/>
    <w:rsid w:val="001F13E9"/>
    <w:rsid w:val="001F1CB3"/>
    <w:rsid w:val="001F2313"/>
    <w:rsid w:val="001F36FD"/>
    <w:rsid w:val="001F38B5"/>
    <w:rsid w:val="001F390B"/>
    <w:rsid w:val="001F3A70"/>
    <w:rsid w:val="001F4081"/>
    <w:rsid w:val="001F4FAC"/>
    <w:rsid w:val="001F50CE"/>
    <w:rsid w:val="001F5540"/>
    <w:rsid w:val="001F6D9D"/>
    <w:rsid w:val="001F7361"/>
    <w:rsid w:val="001F78FE"/>
    <w:rsid w:val="001F7DDB"/>
    <w:rsid w:val="00200401"/>
    <w:rsid w:val="00200653"/>
    <w:rsid w:val="00200AED"/>
    <w:rsid w:val="002011B0"/>
    <w:rsid w:val="00202771"/>
    <w:rsid w:val="00203181"/>
    <w:rsid w:val="00203783"/>
    <w:rsid w:val="0020385F"/>
    <w:rsid w:val="0020480F"/>
    <w:rsid w:val="002052A9"/>
    <w:rsid w:val="002061BD"/>
    <w:rsid w:val="00206563"/>
    <w:rsid w:val="002068A0"/>
    <w:rsid w:val="00207021"/>
    <w:rsid w:val="0020732F"/>
    <w:rsid w:val="002076A1"/>
    <w:rsid w:val="002076C0"/>
    <w:rsid w:val="00207CE8"/>
    <w:rsid w:val="00207D00"/>
    <w:rsid w:val="002105C1"/>
    <w:rsid w:val="00211926"/>
    <w:rsid w:val="002119F4"/>
    <w:rsid w:val="00212725"/>
    <w:rsid w:val="00212ED3"/>
    <w:rsid w:val="00213EF5"/>
    <w:rsid w:val="00214D21"/>
    <w:rsid w:val="00214E2F"/>
    <w:rsid w:val="00216B42"/>
    <w:rsid w:val="00216BF5"/>
    <w:rsid w:val="002172DF"/>
    <w:rsid w:val="0021745C"/>
    <w:rsid w:val="002208B0"/>
    <w:rsid w:val="00221718"/>
    <w:rsid w:val="00222145"/>
    <w:rsid w:val="00223139"/>
    <w:rsid w:val="00223B49"/>
    <w:rsid w:val="00223D5A"/>
    <w:rsid w:val="00224DD4"/>
    <w:rsid w:val="00224FCC"/>
    <w:rsid w:val="00225020"/>
    <w:rsid w:val="002258BD"/>
    <w:rsid w:val="002261D4"/>
    <w:rsid w:val="002263C1"/>
    <w:rsid w:val="0022709B"/>
    <w:rsid w:val="002278A0"/>
    <w:rsid w:val="00227D54"/>
    <w:rsid w:val="00227FFB"/>
    <w:rsid w:val="002305D4"/>
    <w:rsid w:val="002309CC"/>
    <w:rsid w:val="00230C1D"/>
    <w:rsid w:val="00231456"/>
    <w:rsid w:val="00231668"/>
    <w:rsid w:val="0023209F"/>
    <w:rsid w:val="00232415"/>
    <w:rsid w:val="00232E4C"/>
    <w:rsid w:val="00233C01"/>
    <w:rsid w:val="0023413C"/>
    <w:rsid w:val="002346F0"/>
    <w:rsid w:val="0023579A"/>
    <w:rsid w:val="002358FE"/>
    <w:rsid w:val="0023629D"/>
    <w:rsid w:val="0023691F"/>
    <w:rsid w:val="00237255"/>
    <w:rsid w:val="0024029B"/>
    <w:rsid w:val="00241665"/>
    <w:rsid w:val="002424AF"/>
    <w:rsid w:val="00243417"/>
    <w:rsid w:val="002439DC"/>
    <w:rsid w:val="00243C4A"/>
    <w:rsid w:val="002441D2"/>
    <w:rsid w:val="00244DC8"/>
    <w:rsid w:val="002458BA"/>
    <w:rsid w:val="00245CE9"/>
    <w:rsid w:val="0024636C"/>
    <w:rsid w:val="00247925"/>
    <w:rsid w:val="00251006"/>
    <w:rsid w:val="00251780"/>
    <w:rsid w:val="00251EE8"/>
    <w:rsid w:val="00251F38"/>
    <w:rsid w:val="00252243"/>
    <w:rsid w:val="002524D5"/>
    <w:rsid w:val="00252A47"/>
    <w:rsid w:val="002532DF"/>
    <w:rsid w:val="00253A2E"/>
    <w:rsid w:val="00253B1D"/>
    <w:rsid w:val="00253DB6"/>
    <w:rsid w:val="00254209"/>
    <w:rsid w:val="00254DCF"/>
    <w:rsid w:val="002552B7"/>
    <w:rsid w:val="0025534B"/>
    <w:rsid w:val="00255BB7"/>
    <w:rsid w:val="00255DAF"/>
    <w:rsid w:val="00256B89"/>
    <w:rsid w:val="00257308"/>
    <w:rsid w:val="00257541"/>
    <w:rsid w:val="00257A39"/>
    <w:rsid w:val="00257AC4"/>
    <w:rsid w:val="00257BFF"/>
    <w:rsid w:val="00260901"/>
    <w:rsid w:val="002611EB"/>
    <w:rsid w:val="00261A47"/>
    <w:rsid w:val="00261EEF"/>
    <w:rsid w:val="00262A1A"/>
    <w:rsid w:val="00262A87"/>
    <w:rsid w:val="00263B39"/>
    <w:rsid w:val="00264441"/>
    <w:rsid w:val="0026482E"/>
    <w:rsid w:val="00264D26"/>
    <w:rsid w:val="00265BA7"/>
    <w:rsid w:val="00267642"/>
    <w:rsid w:val="00267AEA"/>
    <w:rsid w:val="002700E6"/>
    <w:rsid w:val="0027175D"/>
    <w:rsid w:val="00271E6F"/>
    <w:rsid w:val="00272698"/>
    <w:rsid w:val="0027294B"/>
    <w:rsid w:val="00272AB7"/>
    <w:rsid w:val="00272CF6"/>
    <w:rsid w:val="00273673"/>
    <w:rsid w:val="00273EB4"/>
    <w:rsid w:val="00274682"/>
    <w:rsid w:val="00274C6E"/>
    <w:rsid w:val="00275C5A"/>
    <w:rsid w:val="00276F5A"/>
    <w:rsid w:val="00277E74"/>
    <w:rsid w:val="002801E7"/>
    <w:rsid w:val="002803BF"/>
    <w:rsid w:val="00280832"/>
    <w:rsid w:val="00281014"/>
    <w:rsid w:val="0028105E"/>
    <w:rsid w:val="00281C94"/>
    <w:rsid w:val="00283DF1"/>
    <w:rsid w:val="0028665D"/>
    <w:rsid w:val="00287744"/>
    <w:rsid w:val="002907E1"/>
    <w:rsid w:val="002910B7"/>
    <w:rsid w:val="002910CA"/>
    <w:rsid w:val="00292D96"/>
    <w:rsid w:val="0029312F"/>
    <w:rsid w:val="002949AA"/>
    <w:rsid w:val="0029578B"/>
    <w:rsid w:val="00296B4B"/>
    <w:rsid w:val="0029739D"/>
    <w:rsid w:val="002973BC"/>
    <w:rsid w:val="00297562"/>
    <w:rsid w:val="00297CB9"/>
    <w:rsid w:val="002A00DF"/>
    <w:rsid w:val="002A04EE"/>
    <w:rsid w:val="002A0647"/>
    <w:rsid w:val="002A1066"/>
    <w:rsid w:val="002A14AB"/>
    <w:rsid w:val="002A1B26"/>
    <w:rsid w:val="002A23BA"/>
    <w:rsid w:val="002A2ADE"/>
    <w:rsid w:val="002A2F50"/>
    <w:rsid w:val="002A31B3"/>
    <w:rsid w:val="002A3CBC"/>
    <w:rsid w:val="002A455E"/>
    <w:rsid w:val="002A5C66"/>
    <w:rsid w:val="002A67E4"/>
    <w:rsid w:val="002A6C0F"/>
    <w:rsid w:val="002A7095"/>
    <w:rsid w:val="002A799D"/>
    <w:rsid w:val="002B05A1"/>
    <w:rsid w:val="002B09A4"/>
    <w:rsid w:val="002B16B5"/>
    <w:rsid w:val="002B1C1F"/>
    <w:rsid w:val="002B285A"/>
    <w:rsid w:val="002B36FB"/>
    <w:rsid w:val="002B432F"/>
    <w:rsid w:val="002B5D48"/>
    <w:rsid w:val="002B5DD9"/>
    <w:rsid w:val="002B62B3"/>
    <w:rsid w:val="002B6754"/>
    <w:rsid w:val="002B6CCE"/>
    <w:rsid w:val="002B6EE3"/>
    <w:rsid w:val="002B7220"/>
    <w:rsid w:val="002B7C7C"/>
    <w:rsid w:val="002B7FAC"/>
    <w:rsid w:val="002C091B"/>
    <w:rsid w:val="002C1528"/>
    <w:rsid w:val="002C2510"/>
    <w:rsid w:val="002C2775"/>
    <w:rsid w:val="002C27C1"/>
    <w:rsid w:val="002C3A40"/>
    <w:rsid w:val="002C3C4F"/>
    <w:rsid w:val="002C5099"/>
    <w:rsid w:val="002C5889"/>
    <w:rsid w:val="002C71CE"/>
    <w:rsid w:val="002D05DF"/>
    <w:rsid w:val="002D08F8"/>
    <w:rsid w:val="002D10E7"/>
    <w:rsid w:val="002D1133"/>
    <w:rsid w:val="002D577C"/>
    <w:rsid w:val="002D57DD"/>
    <w:rsid w:val="002D5DFB"/>
    <w:rsid w:val="002D6C6D"/>
    <w:rsid w:val="002D73C1"/>
    <w:rsid w:val="002D7D24"/>
    <w:rsid w:val="002D7EA2"/>
    <w:rsid w:val="002E0A3B"/>
    <w:rsid w:val="002E1071"/>
    <w:rsid w:val="002E114D"/>
    <w:rsid w:val="002E15B9"/>
    <w:rsid w:val="002E2158"/>
    <w:rsid w:val="002E31A5"/>
    <w:rsid w:val="002E39E5"/>
    <w:rsid w:val="002E3F4D"/>
    <w:rsid w:val="002E4774"/>
    <w:rsid w:val="002E49CA"/>
    <w:rsid w:val="002E4F02"/>
    <w:rsid w:val="002E5A2F"/>
    <w:rsid w:val="002E7722"/>
    <w:rsid w:val="002F01DF"/>
    <w:rsid w:val="002F07BA"/>
    <w:rsid w:val="002F0DA9"/>
    <w:rsid w:val="002F1014"/>
    <w:rsid w:val="002F11A9"/>
    <w:rsid w:val="002F1291"/>
    <w:rsid w:val="002F29FB"/>
    <w:rsid w:val="002F3235"/>
    <w:rsid w:val="002F3811"/>
    <w:rsid w:val="002F3CEA"/>
    <w:rsid w:val="002F403C"/>
    <w:rsid w:val="002F4440"/>
    <w:rsid w:val="002F44CC"/>
    <w:rsid w:val="002F4733"/>
    <w:rsid w:val="002F4BBF"/>
    <w:rsid w:val="002F4CAD"/>
    <w:rsid w:val="002F643C"/>
    <w:rsid w:val="002F6583"/>
    <w:rsid w:val="002F71C0"/>
    <w:rsid w:val="002F74F1"/>
    <w:rsid w:val="0030096D"/>
    <w:rsid w:val="00301017"/>
    <w:rsid w:val="0030155F"/>
    <w:rsid w:val="003037AC"/>
    <w:rsid w:val="00303C39"/>
    <w:rsid w:val="00304426"/>
    <w:rsid w:val="003045EE"/>
    <w:rsid w:val="0030587B"/>
    <w:rsid w:val="0030694B"/>
    <w:rsid w:val="00306D98"/>
    <w:rsid w:val="0030786C"/>
    <w:rsid w:val="00307A0D"/>
    <w:rsid w:val="00310155"/>
    <w:rsid w:val="0031031A"/>
    <w:rsid w:val="00310981"/>
    <w:rsid w:val="00311895"/>
    <w:rsid w:val="00311B0D"/>
    <w:rsid w:val="003124D9"/>
    <w:rsid w:val="00312594"/>
    <w:rsid w:val="00312D65"/>
    <w:rsid w:val="003131D6"/>
    <w:rsid w:val="00313684"/>
    <w:rsid w:val="003150FE"/>
    <w:rsid w:val="00315498"/>
    <w:rsid w:val="00315B68"/>
    <w:rsid w:val="00315E81"/>
    <w:rsid w:val="0031600E"/>
    <w:rsid w:val="00316474"/>
    <w:rsid w:val="00316BDD"/>
    <w:rsid w:val="00316CEA"/>
    <w:rsid w:val="00317635"/>
    <w:rsid w:val="003210D8"/>
    <w:rsid w:val="00322107"/>
    <w:rsid w:val="00322355"/>
    <w:rsid w:val="003223E3"/>
    <w:rsid w:val="00322846"/>
    <w:rsid w:val="003228C9"/>
    <w:rsid w:val="00324F7F"/>
    <w:rsid w:val="003250E4"/>
    <w:rsid w:val="003260D9"/>
    <w:rsid w:val="00326DA7"/>
    <w:rsid w:val="00327055"/>
    <w:rsid w:val="003270E4"/>
    <w:rsid w:val="003275DC"/>
    <w:rsid w:val="00330B02"/>
    <w:rsid w:val="00330DAA"/>
    <w:rsid w:val="00330F5C"/>
    <w:rsid w:val="00331180"/>
    <w:rsid w:val="00331243"/>
    <w:rsid w:val="00331DC5"/>
    <w:rsid w:val="003322EF"/>
    <w:rsid w:val="0033345E"/>
    <w:rsid w:val="00335F0A"/>
    <w:rsid w:val="003366C9"/>
    <w:rsid w:val="00336E0D"/>
    <w:rsid w:val="003371B0"/>
    <w:rsid w:val="00340203"/>
    <w:rsid w:val="00340DF1"/>
    <w:rsid w:val="0034235E"/>
    <w:rsid w:val="00342E1C"/>
    <w:rsid w:val="0034398F"/>
    <w:rsid w:val="00343AD2"/>
    <w:rsid w:val="00343DBB"/>
    <w:rsid w:val="003443EC"/>
    <w:rsid w:val="003444B3"/>
    <w:rsid w:val="00344A33"/>
    <w:rsid w:val="00345E6F"/>
    <w:rsid w:val="0034655C"/>
    <w:rsid w:val="00346B67"/>
    <w:rsid w:val="00346B7A"/>
    <w:rsid w:val="003471CD"/>
    <w:rsid w:val="003474DB"/>
    <w:rsid w:val="003479A8"/>
    <w:rsid w:val="003513BA"/>
    <w:rsid w:val="003517F9"/>
    <w:rsid w:val="00351BA9"/>
    <w:rsid w:val="003538F8"/>
    <w:rsid w:val="00353F9D"/>
    <w:rsid w:val="00354099"/>
    <w:rsid w:val="00354159"/>
    <w:rsid w:val="003548EE"/>
    <w:rsid w:val="00354A40"/>
    <w:rsid w:val="00354F64"/>
    <w:rsid w:val="0035549A"/>
    <w:rsid w:val="00355A34"/>
    <w:rsid w:val="00355AF4"/>
    <w:rsid w:val="00355CAD"/>
    <w:rsid w:val="00355EB5"/>
    <w:rsid w:val="0035620E"/>
    <w:rsid w:val="00356C23"/>
    <w:rsid w:val="00357B1A"/>
    <w:rsid w:val="00360345"/>
    <w:rsid w:val="003614B4"/>
    <w:rsid w:val="003619F3"/>
    <w:rsid w:val="00361A05"/>
    <w:rsid w:val="00361DA2"/>
    <w:rsid w:val="003624C4"/>
    <w:rsid w:val="00362B13"/>
    <w:rsid w:val="00363B00"/>
    <w:rsid w:val="00363E6D"/>
    <w:rsid w:val="00364283"/>
    <w:rsid w:val="003654AC"/>
    <w:rsid w:val="00365C52"/>
    <w:rsid w:val="00366D45"/>
    <w:rsid w:val="00367E3A"/>
    <w:rsid w:val="003710CF"/>
    <w:rsid w:val="00371321"/>
    <w:rsid w:val="00371646"/>
    <w:rsid w:val="0037199B"/>
    <w:rsid w:val="0037219B"/>
    <w:rsid w:val="0037358A"/>
    <w:rsid w:val="0037382D"/>
    <w:rsid w:val="00373E09"/>
    <w:rsid w:val="003740B5"/>
    <w:rsid w:val="003745EF"/>
    <w:rsid w:val="00374C29"/>
    <w:rsid w:val="003750F6"/>
    <w:rsid w:val="0037574F"/>
    <w:rsid w:val="003760FC"/>
    <w:rsid w:val="003763EF"/>
    <w:rsid w:val="003776AE"/>
    <w:rsid w:val="003776F5"/>
    <w:rsid w:val="0038045B"/>
    <w:rsid w:val="00380DF6"/>
    <w:rsid w:val="00381936"/>
    <w:rsid w:val="003831B5"/>
    <w:rsid w:val="0038365C"/>
    <w:rsid w:val="0038369B"/>
    <w:rsid w:val="0038380A"/>
    <w:rsid w:val="00383B78"/>
    <w:rsid w:val="00384DDC"/>
    <w:rsid w:val="00385281"/>
    <w:rsid w:val="00385A9D"/>
    <w:rsid w:val="003860A1"/>
    <w:rsid w:val="00387CC0"/>
    <w:rsid w:val="003902B1"/>
    <w:rsid w:val="00390E00"/>
    <w:rsid w:val="0039179C"/>
    <w:rsid w:val="003928FF"/>
    <w:rsid w:val="0039312C"/>
    <w:rsid w:val="003937BC"/>
    <w:rsid w:val="00394204"/>
    <w:rsid w:val="003944DB"/>
    <w:rsid w:val="00396896"/>
    <w:rsid w:val="00396FD0"/>
    <w:rsid w:val="003A068B"/>
    <w:rsid w:val="003A0A18"/>
    <w:rsid w:val="003A0D30"/>
    <w:rsid w:val="003A1A7A"/>
    <w:rsid w:val="003A1C62"/>
    <w:rsid w:val="003A22CC"/>
    <w:rsid w:val="003A2392"/>
    <w:rsid w:val="003A2831"/>
    <w:rsid w:val="003A3007"/>
    <w:rsid w:val="003A3CB6"/>
    <w:rsid w:val="003A3ED1"/>
    <w:rsid w:val="003A4046"/>
    <w:rsid w:val="003A40AA"/>
    <w:rsid w:val="003A44DB"/>
    <w:rsid w:val="003A49C3"/>
    <w:rsid w:val="003A549C"/>
    <w:rsid w:val="003A6C4D"/>
    <w:rsid w:val="003A7510"/>
    <w:rsid w:val="003A774C"/>
    <w:rsid w:val="003A7C1D"/>
    <w:rsid w:val="003A7D93"/>
    <w:rsid w:val="003B1AD6"/>
    <w:rsid w:val="003B27DF"/>
    <w:rsid w:val="003B2EBB"/>
    <w:rsid w:val="003B3971"/>
    <w:rsid w:val="003B55D1"/>
    <w:rsid w:val="003B5B61"/>
    <w:rsid w:val="003B6D5B"/>
    <w:rsid w:val="003B7D93"/>
    <w:rsid w:val="003C0978"/>
    <w:rsid w:val="003C10F5"/>
    <w:rsid w:val="003C1654"/>
    <w:rsid w:val="003C1B12"/>
    <w:rsid w:val="003C1D5A"/>
    <w:rsid w:val="003C1EFF"/>
    <w:rsid w:val="003C2C6F"/>
    <w:rsid w:val="003C5542"/>
    <w:rsid w:val="003C5C23"/>
    <w:rsid w:val="003C5C39"/>
    <w:rsid w:val="003C638A"/>
    <w:rsid w:val="003C7D19"/>
    <w:rsid w:val="003C7D2F"/>
    <w:rsid w:val="003D0F32"/>
    <w:rsid w:val="003D1828"/>
    <w:rsid w:val="003D1C53"/>
    <w:rsid w:val="003D1DE4"/>
    <w:rsid w:val="003D1E9A"/>
    <w:rsid w:val="003D2422"/>
    <w:rsid w:val="003D2D67"/>
    <w:rsid w:val="003D38A9"/>
    <w:rsid w:val="003D39A1"/>
    <w:rsid w:val="003D3F0E"/>
    <w:rsid w:val="003D3FBF"/>
    <w:rsid w:val="003D4168"/>
    <w:rsid w:val="003D4675"/>
    <w:rsid w:val="003D4A30"/>
    <w:rsid w:val="003D4C82"/>
    <w:rsid w:val="003D62B5"/>
    <w:rsid w:val="003D7452"/>
    <w:rsid w:val="003D7686"/>
    <w:rsid w:val="003D7847"/>
    <w:rsid w:val="003D79BB"/>
    <w:rsid w:val="003D7C98"/>
    <w:rsid w:val="003D7D9D"/>
    <w:rsid w:val="003E0543"/>
    <w:rsid w:val="003E0C5C"/>
    <w:rsid w:val="003E0DF6"/>
    <w:rsid w:val="003E15A2"/>
    <w:rsid w:val="003E1BC8"/>
    <w:rsid w:val="003E3E38"/>
    <w:rsid w:val="003E4739"/>
    <w:rsid w:val="003E4979"/>
    <w:rsid w:val="003E5568"/>
    <w:rsid w:val="003E59FC"/>
    <w:rsid w:val="003E749E"/>
    <w:rsid w:val="003F2EBA"/>
    <w:rsid w:val="003F3F3C"/>
    <w:rsid w:val="003F4156"/>
    <w:rsid w:val="003F450C"/>
    <w:rsid w:val="003F53B8"/>
    <w:rsid w:val="003F5ADF"/>
    <w:rsid w:val="003F6D1B"/>
    <w:rsid w:val="003F71AF"/>
    <w:rsid w:val="00400461"/>
    <w:rsid w:val="0040078C"/>
    <w:rsid w:val="00400B29"/>
    <w:rsid w:val="00400FFC"/>
    <w:rsid w:val="00403003"/>
    <w:rsid w:val="004032E0"/>
    <w:rsid w:val="0040504B"/>
    <w:rsid w:val="004059F4"/>
    <w:rsid w:val="00405E7D"/>
    <w:rsid w:val="00406740"/>
    <w:rsid w:val="00407A6A"/>
    <w:rsid w:val="00407FE5"/>
    <w:rsid w:val="004101B0"/>
    <w:rsid w:val="00410326"/>
    <w:rsid w:val="00410708"/>
    <w:rsid w:val="00410B32"/>
    <w:rsid w:val="00410EC7"/>
    <w:rsid w:val="00411B39"/>
    <w:rsid w:val="004127A7"/>
    <w:rsid w:val="004131D4"/>
    <w:rsid w:val="004132C5"/>
    <w:rsid w:val="00413A1E"/>
    <w:rsid w:val="00414476"/>
    <w:rsid w:val="00414A33"/>
    <w:rsid w:val="00414C2E"/>
    <w:rsid w:val="00414C3B"/>
    <w:rsid w:val="004151CF"/>
    <w:rsid w:val="00416364"/>
    <w:rsid w:val="0041645E"/>
    <w:rsid w:val="0041717D"/>
    <w:rsid w:val="004178C1"/>
    <w:rsid w:val="0041790F"/>
    <w:rsid w:val="00417CC9"/>
    <w:rsid w:val="0042047F"/>
    <w:rsid w:val="00420AA6"/>
    <w:rsid w:val="00420B9F"/>
    <w:rsid w:val="00421322"/>
    <w:rsid w:val="00421357"/>
    <w:rsid w:val="0042192C"/>
    <w:rsid w:val="004220DD"/>
    <w:rsid w:val="00422260"/>
    <w:rsid w:val="00422C85"/>
    <w:rsid w:val="00423404"/>
    <w:rsid w:val="0042386A"/>
    <w:rsid w:val="0042413F"/>
    <w:rsid w:val="004251EC"/>
    <w:rsid w:val="0042566A"/>
    <w:rsid w:val="00425926"/>
    <w:rsid w:val="004259C7"/>
    <w:rsid w:val="0042608C"/>
    <w:rsid w:val="00426554"/>
    <w:rsid w:val="004268A2"/>
    <w:rsid w:val="00426ABA"/>
    <w:rsid w:val="00426FD5"/>
    <w:rsid w:val="004271D9"/>
    <w:rsid w:val="0042727E"/>
    <w:rsid w:val="004277DB"/>
    <w:rsid w:val="00427D7D"/>
    <w:rsid w:val="00427FF6"/>
    <w:rsid w:val="00430184"/>
    <w:rsid w:val="00430BBD"/>
    <w:rsid w:val="0043130E"/>
    <w:rsid w:val="004319F8"/>
    <w:rsid w:val="00431C90"/>
    <w:rsid w:val="00431E55"/>
    <w:rsid w:val="004321F6"/>
    <w:rsid w:val="00433044"/>
    <w:rsid w:val="00433653"/>
    <w:rsid w:val="00433701"/>
    <w:rsid w:val="00433C23"/>
    <w:rsid w:val="00433D03"/>
    <w:rsid w:val="00434088"/>
    <w:rsid w:val="004375B9"/>
    <w:rsid w:val="0044128A"/>
    <w:rsid w:val="0044149E"/>
    <w:rsid w:val="004419C1"/>
    <w:rsid w:val="00442445"/>
    <w:rsid w:val="004428D0"/>
    <w:rsid w:val="004430DD"/>
    <w:rsid w:val="00443552"/>
    <w:rsid w:val="00443D7E"/>
    <w:rsid w:val="00444185"/>
    <w:rsid w:val="004443A7"/>
    <w:rsid w:val="0044442C"/>
    <w:rsid w:val="00445941"/>
    <w:rsid w:val="004460EF"/>
    <w:rsid w:val="004464EB"/>
    <w:rsid w:val="00446577"/>
    <w:rsid w:val="0044751C"/>
    <w:rsid w:val="00447804"/>
    <w:rsid w:val="00447D26"/>
    <w:rsid w:val="00447DFC"/>
    <w:rsid w:val="004501D2"/>
    <w:rsid w:val="004513F2"/>
    <w:rsid w:val="00451D4D"/>
    <w:rsid w:val="00452A3D"/>
    <w:rsid w:val="00454692"/>
    <w:rsid w:val="004554AE"/>
    <w:rsid w:val="00455565"/>
    <w:rsid w:val="00455D45"/>
    <w:rsid w:val="00455EC0"/>
    <w:rsid w:val="00457B78"/>
    <w:rsid w:val="00460D89"/>
    <w:rsid w:val="0046123E"/>
    <w:rsid w:val="00464595"/>
    <w:rsid w:val="004646CA"/>
    <w:rsid w:val="00465271"/>
    <w:rsid w:val="004658B5"/>
    <w:rsid w:val="00466CC1"/>
    <w:rsid w:val="00467F5D"/>
    <w:rsid w:val="00471287"/>
    <w:rsid w:val="004717B2"/>
    <w:rsid w:val="00471EA5"/>
    <w:rsid w:val="00472792"/>
    <w:rsid w:val="00472859"/>
    <w:rsid w:val="00472A79"/>
    <w:rsid w:val="00472AF8"/>
    <w:rsid w:val="004735A3"/>
    <w:rsid w:val="00473DF8"/>
    <w:rsid w:val="00473F19"/>
    <w:rsid w:val="004742DE"/>
    <w:rsid w:val="004748C8"/>
    <w:rsid w:val="00475B7D"/>
    <w:rsid w:val="00475E22"/>
    <w:rsid w:val="004765ED"/>
    <w:rsid w:val="004769F5"/>
    <w:rsid w:val="00476AD1"/>
    <w:rsid w:val="00476D1E"/>
    <w:rsid w:val="00477601"/>
    <w:rsid w:val="004805CC"/>
    <w:rsid w:val="0048088E"/>
    <w:rsid w:val="00480D5A"/>
    <w:rsid w:val="00480F2B"/>
    <w:rsid w:val="0048105F"/>
    <w:rsid w:val="00482403"/>
    <w:rsid w:val="00482720"/>
    <w:rsid w:val="00483417"/>
    <w:rsid w:val="004835E7"/>
    <w:rsid w:val="00483628"/>
    <w:rsid w:val="004837DD"/>
    <w:rsid w:val="00483B4B"/>
    <w:rsid w:val="00483F19"/>
    <w:rsid w:val="0048506E"/>
    <w:rsid w:val="00485CA9"/>
    <w:rsid w:val="004867E2"/>
    <w:rsid w:val="00487A71"/>
    <w:rsid w:val="00487FE1"/>
    <w:rsid w:val="004900D3"/>
    <w:rsid w:val="00490455"/>
    <w:rsid w:val="00490B17"/>
    <w:rsid w:val="00490ED5"/>
    <w:rsid w:val="00491768"/>
    <w:rsid w:val="00491B3A"/>
    <w:rsid w:val="00491C78"/>
    <w:rsid w:val="00492CFD"/>
    <w:rsid w:val="00494207"/>
    <w:rsid w:val="004944C7"/>
    <w:rsid w:val="00494BFF"/>
    <w:rsid w:val="00494CA6"/>
    <w:rsid w:val="00494DD5"/>
    <w:rsid w:val="00495342"/>
    <w:rsid w:val="004953D6"/>
    <w:rsid w:val="004962D2"/>
    <w:rsid w:val="004A0DA1"/>
    <w:rsid w:val="004A13D6"/>
    <w:rsid w:val="004A1908"/>
    <w:rsid w:val="004A20B5"/>
    <w:rsid w:val="004A2758"/>
    <w:rsid w:val="004A2FB7"/>
    <w:rsid w:val="004A362F"/>
    <w:rsid w:val="004A39A5"/>
    <w:rsid w:val="004A39AC"/>
    <w:rsid w:val="004A3B08"/>
    <w:rsid w:val="004A3BA7"/>
    <w:rsid w:val="004A42A1"/>
    <w:rsid w:val="004A486B"/>
    <w:rsid w:val="004A52E9"/>
    <w:rsid w:val="004A55A0"/>
    <w:rsid w:val="004A5AA3"/>
    <w:rsid w:val="004A5E50"/>
    <w:rsid w:val="004A6040"/>
    <w:rsid w:val="004A6100"/>
    <w:rsid w:val="004A6597"/>
    <w:rsid w:val="004A6AEC"/>
    <w:rsid w:val="004A6BD9"/>
    <w:rsid w:val="004A7848"/>
    <w:rsid w:val="004B0801"/>
    <w:rsid w:val="004B1CB4"/>
    <w:rsid w:val="004B2027"/>
    <w:rsid w:val="004B2F18"/>
    <w:rsid w:val="004B3DDB"/>
    <w:rsid w:val="004B4142"/>
    <w:rsid w:val="004B44FD"/>
    <w:rsid w:val="004B4E28"/>
    <w:rsid w:val="004B5CFC"/>
    <w:rsid w:val="004B668F"/>
    <w:rsid w:val="004B6996"/>
    <w:rsid w:val="004B6F79"/>
    <w:rsid w:val="004B6F7F"/>
    <w:rsid w:val="004B774D"/>
    <w:rsid w:val="004C0E29"/>
    <w:rsid w:val="004C0F16"/>
    <w:rsid w:val="004C1207"/>
    <w:rsid w:val="004C1FE2"/>
    <w:rsid w:val="004C476B"/>
    <w:rsid w:val="004C4AED"/>
    <w:rsid w:val="004C6DE9"/>
    <w:rsid w:val="004C6F12"/>
    <w:rsid w:val="004C7377"/>
    <w:rsid w:val="004C7D33"/>
    <w:rsid w:val="004C7D60"/>
    <w:rsid w:val="004C7FF5"/>
    <w:rsid w:val="004D04CD"/>
    <w:rsid w:val="004D102F"/>
    <w:rsid w:val="004D11D8"/>
    <w:rsid w:val="004D12F6"/>
    <w:rsid w:val="004D195D"/>
    <w:rsid w:val="004D2C2D"/>
    <w:rsid w:val="004D2D46"/>
    <w:rsid w:val="004D3E39"/>
    <w:rsid w:val="004D410C"/>
    <w:rsid w:val="004D44B6"/>
    <w:rsid w:val="004D47BE"/>
    <w:rsid w:val="004D5578"/>
    <w:rsid w:val="004D58BD"/>
    <w:rsid w:val="004D5AA8"/>
    <w:rsid w:val="004D5F88"/>
    <w:rsid w:val="004D69B5"/>
    <w:rsid w:val="004D6A7D"/>
    <w:rsid w:val="004D6B50"/>
    <w:rsid w:val="004D6F00"/>
    <w:rsid w:val="004D70CD"/>
    <w:rsid w:val="004D7227"/>
    <w:rsid w:val="004E0D1E"/>
    <w:rsid w:val="004E0E7F"/>
    <w:rsid w:val="004E0EB8"/>
    <w:rsid w:val="004E18E9"/>
    <w:rsid w:val="004E1935"/>
    <w:rsid w:val="004E270A"/>
    <w:rsid w:val="004E2ADC"/>
    <w:rsid w:val="004E36B4"/>
    <w:rsid w:val="004E3E25"/>
    <w:rsid w:val="004E3EF4"/>
    <w:rsid w:val="004E43B2"/>
    <w:rsid w:val="004E54C9"/>
    <w:rsid w:val="004E5BA0"/>
    <w:rsid w:val="004E6EC6"/>
    <w:rsid w:val="004F04F2"/>
    <w:rsid w:val="004F1D02"/>
    <w:rsid w:val="004F2679"/>
    <w:rsid w:val="004F2F21"/>
    <w:rsid w:val="004F3DE5"/>
    <w:rsid w:val="004F3FB9"/>
    <w:rsid w:val="004F496E"/>
    <w:rsid w:val="004F52DC"/>
    <w:rsid w:val="004F6894"/>
    <w:rsid w:val="004F6913"/>
    <w:rsid w:val="004F6A5D"/>
    <w:rsid w:val="004F73C9"/>
    <w:rsid w:val="004F7865"/>
    <w:rsid w:val="0050027F"/>
    <w:rsid w:val="0050046D"/>
    <w:rsid w:val="0050174E"/>
    <w:rsid w:val="00501854"/>
    <w:rsid w:val="0050219B"/>
    <w:rsid w:val="00502599"/>
    <w:rsid w:val="00502C09"/>
    <w:rsid w:val="00502DBF"/>
    <w:rsid w:val="00503A45"/>
    <w:rsid w:val="00503F17"/>
    <w:rsid w:val="005058E3"/>
    <w:rsid w:val="005064FA"/>
    <w:rsid w:val="00506928"/>
    <w:rsid w:val="00506BBE"/>
    <w:rsid w:val="005077EF"/>
    <w:rsid w:val="00510565"/>
    <w:rsid w:val="0051158C"/>
    <w:rsid w:val="00511685"/>
    <w:rsid w:val="00511AD5"/>
    <w:rsid w:val="00511CD3"/>
    <w:rsid w:val="00511DC7"/>
    <w:rsid w:val="0051229D"/>
    <w:rsid w:val="00512707"/>
    <w:rsid w:val="00513E25"/>
    <w:rsid w:val="00514021"/>
    <w:rsid w:val="005142C5"/>
    <w:rsid w:val="005145D7"/>
    <w:rsid w:val="0051501B"/>
    <w:rsid w:val="005152B5"/>
    <w:rsid w:val="0051640C"/>
    <w:rsid w:val="005167CF"/>
    <w:rsid w:val="00516EEB"/>
    <w:rsid w:val="00516F6B"/>
    <w:rsid w:val="0052123C"/>
    <w:rsid w:val="00521319"/>
    <w:rsid w:val="00521842"/>
    <w:rsid w:val="00522119"/>
    <w:rsid w:val="00522BC8"/>
    <w:rsid w:val="00523521"/>
    <w:rsid w:val="005236EA"/>
    <w:rsid w:val="005238FE"/>
    <w:rsid w:val="00523C28"/>
    <w:rsid w:val="005258FB"/>
    <w:rsid w:val="00525DC0"/>
    <w:rsid w:val="0052621E"/>
    <w:rsid w:val="0052694B"/>
    <w:rsid w:val="0053013B"/>
    <w:rsid w:val="00530A85"/>
    <w:rsid w:val="00530E3C"/>
    <w:rsid w:val="0053176B"/>
    <w:rsid w:val="00531816"/>
    <w:rsid w:val="0053194B"/>
    <w:rsid w:val="0053404A"/>
    <w:rsid w:val="005340C3"/>
    <w:rsid w:val="005345F2"/>
    <w:rsid w:val="00535172"/>
    <w:rsid w:val="005351BA"/>
    <w:rsid w:val="00536354"/>
    <w:rsid w:val="00536F42"/>
    <w:rsid w:val="00537182"/>
    <w:rsid w:val="005404D2"/>
    <w:rsid w:val="00541606"/>
    <w:rsid w:val="00541EDD"/>
    <w:rsid w:val="00542743"/>
    <w:rsid w:val="00542C2D"/>
    <w:rsid w:val="005433C6"/>
    <w:rsid w:val="005457FB"/>
    <w:rsid w:val="0054651D"/>
    <w:rsid w:val="005465BB"/>
    <w:rsid w:val="00546920"/>
    <w:rsid w:val="005478BD"/>
    <w:rsid w:val="005479E3"/>
    <w:rsid w:val="0055138A"/>
    <w:rsid w:val="00551985"/>
    <w:rsid w:val="0055217F"/>
    <w:rsid w:val="005525E6"/>
    <w:rsid w:val="00552BD3"/>
    <w:rsid w:val="00552DA3"/>
    <w:rsid w:val="00552EE3"/>
    <w:rsid w:val="005532A0"/>
    <w:rsid w:val="00554045"/>
    <w:rsid w:val="005548B3"/>
    <w:rsid w:val="00555109"/>
    <w:rsid w:val="005558FF"/>
    <w:rsid w:val="00556126"/>
    <w:rsid w:val="0055619C"/>
    <w:rsid w:val="005561A3"/>
    <w:rsid w:val="005569FA"/>
    <w:rsid w:val="00556B35"/>
    <w:rsid w:val="0055741A"/>
    <w:rsid w:val="00560137"/>
    <w:rsid w:val="00560C5C"/>
    <w:rsid w:val="005611B7"/>
    <w:rsid w:val="005618D4"/>
    <w:rsid w:val="00562960"/>
    <w:rsid w:val="0056363E"/>
    <w:rsid w:val="005640E7"/>
    <w:rsid w:val="00564F94"/>
    <w:rsid w:val="00565B61"/>
    <w:rsid w:val="00565BA7"/>
    <w:rsid w:val="00565DF0"/>
    <w:rsid w:val="0056696F"/>
    <w:rsid w:val="00567CE4"/>
    <w:rsid w:val="00570B13"/>
    <w:rsid w:val="00571473"/>
    <w:rsid w:val="00571E3B"/>
    <w:rsid w:val="00572269"/>
    <w:rsid w:val="0057244A"/>
    <w:rsid w:val="0057271E"/>
    <w:rsid w:val="00572F26"/>
    <w:rsid w:val="00573238"/>
    <w:rsid w:val="00574325"/>
    <w:rsid w:val="005750C5"/>
    <w:rsid w:val="005752DE"/>
    <w:rsid w:val="005757C1"/>
    <w:rsid w:val="00575813"/>
    <w:rsid w:val="00575D8D"/>
    <w:rsid w:val="00576368"/>
    <w:rsid w:val="00576972"/>
    <w:rsid w:val="00576F09"/>
    <w:rsid w:val="00577476"/>
    <w:rsid w:val="00577F54"/>
    <w:rsid w:val="0058013F"/>
    <w:rsid w:val="0058315C"/>
    <w:rsid w:val="00583699"/>
    <w:rsid w:val="00583C0B"/>
    <w:rsid w:val="00583E24"/>
    <w:rsid w:val="00584AA9"/>
    <w:rsid w:val="00584AAF"/>
    <w:rsid w:val="005858A7"/>
    <w:rsid w:val="00585CDD"/>
    <w:rsid w:val="005864D0"/>
    <w:rsid w:val="00587058"/>
    <w:rsid w:val="00587259"/>
    <w:rsid w:val="00587B19"/>
    <w:rsid w:val="00591957"/>
    <w:rsid w:val="00592A82"/>
    <w:rsid w:val="00596A9B"/>
    <w:rsid w:val="00596CE7"/>
    <w:rsid w:val="00597782"/>
    <w:rsid w:val="005978F3"/>
    <w:rsid w:val="00597BF9"/>
    <w:rsid w:val="005A06DC"/>
    <w:rsid w:val="005A0DB7"/>
    <w:rsid w:val="005A1016"/>
    <w:rsid w:val="005A20CF"/>
    <w:rsid w:val="005A2C06"/>
    <w:rsid w:val="005A309A"/>
    <w:rsid w:val="005A373D"/>
    <w:rsid w:val="005A3A5E"/>
    <w:rsid w:val="005A491D"/>
    <w:rsid w:val="005A61F3"/>
    <w:rsid w:val="005A66E6"/>
    <w:rsid w:val="005B0B58"/>
    <w:rsid w:val="005B0DDF"/>
    <w:rsid w:val="005B2068"/>
    <w:rsid w:val="005B2477"/>
    <w:rsid w:val="005B2EC3"/>
    <w:rsid w:val="005B3304"/>
    <w:rsid w:val="005B34BB"/>
    <w:rsid w:val="005B3B13"/>
    <w:rsid w:val="005B3E20"/>
    <w:rsid w:val="005B4182"/>
    <w:rsid w:val="005B431B"/>
    <w:rsid w:val="005B43F4"/>
    <w:rsid w:val="005B49D2"/>
    <w:rsid w:val="005B4E53"/>
    <w:rsid w:val="005B4EEC"/>
    <w:rsid w:val="005B5136"/>
    <w:rsid w:val="005B572B"/>
    <w:rsid w:val="005B5857"/>
    <w:rsid w:val="005B6F8F"/>
    <w:rsid w:val="005B7369"/>
    <w:rsid w:val="005C049B"/>
    <w:rsid w:val="005C07A9"/>
    <w:rsid w:val="005C07F8"/>
    <w:rsid w:val="005C19B5"/>
    <w:rsid w:val="005C1B83"/>
    <w:rsid w:val="005C25FF"/>
    <w:rsid w:val="005C2D55"/>
    <w:rsid w:val="005C334B"/>
    <w:rsid w:val="005C346B"/>
    <w:rsid w:val="005C347C"/>
    <w:rsid w:val="005C36D0"/>
    <w:rsid w:val="005C381B"/>
    <w:rsid w:val="005C3880"/>
    <w:rsid w:val="005C3BDE"/>
    <w:rsid w:val="005C4265"/>
    <w:rsid w:val="005C461D"/>
    <w:rsid w:val="005C590B"/>
    <w:rsid w:val="005C6643"/>
    <w:rsid w:val="005C6668"/>
    <w:rsid w:val="005C6F10"/>
    <w:rsid w:val="005C7A6A"/>
    <w:rsid w:val="005D025F"/>
    <w:rsid w:val="005D0433"/>
    <w:rsid w:val="005D044D"/>
    <w:rsid w:val="005D0ABD"/>
    <w:rsid w:val="005D0AF9"/>
    <w:rsid w:val="005D18AD"/>
    <w:rsid w:val="005D1D70"/>
    <w:rsid w:val="005D25C1"/>
    <w:rsid w:val="005D26B4"/>
    <w:rsid w:val="005D3DB9"/>
    <w:rsid w:val="005D4096"/>
    <w:rsid w:val="005D44EC"/>
    <w:rsid w:val="005D489B"/>
    <w:rsid w:val="005D5415"/>
    <w:rsid w:val="005D5B47"/>
    <w:rsid w:val="005D6B7B"/>
    <w:rsid w:val="005D7011"/>
    <w:rsid w:val="005E0445"/>
    <w:rsid w:val="005E1E4F"/>
    <w:rsid w:val="005E222E"/>
    <w:rsid w:val="005E43E0"/>
    <w:rsid w:val="005E635D"/>
    <w:rsid w:val="005E6394"/>
    <w:rsid w:val="005E696C"/>
    <w:rsid w:val="005E6CBC"/>
    <w:rsid w:val="005E72FF"/>
    <w:rsid w:val="005E73C0"/>
    <w:rsid w:val="005E7A31"/>
    <w:rsid w:val="005E7D1A"/>
    <w:rsid w:val="005F0D1C"/>
    <w:rsid w:val="005F16D8"/>
    <w:rsid w:val="005F1830"/>
    <w:rsid w:val="005F2568"/>
    <w:rsid w:val="005F2706"/>
    <w:rsid w:val="005F28F7"/>
    <w:rsid w:val="005F4884"/>
    <w:rsid w:val="005F50F3"/>
    <w:rsid w:val="005F5153"/>
    <w:rsid w:val="005F5C48"/>
    <w:rsid w:val="005F6A8F"/>
    <w:rsid w:val="005F6BA5"/>
    <w:rsid w:val="005F6BB7"/>
    <w:rsid w:val="005F7588"/>
    <w:rsid w:val="006001DE"/>
    <w:rsid w:val="0060050C"/>
    <w:rsid w:val="006013C0"/>
    <w:rsid w:val="00601D7B"/>
    <w:rsid w:val="006020C9"/>
    <w:rsid w:val="00603CE5"/>
    <w:rsid w:val="00603D08"/>
    <w:rsid w:val="00603DB9"/>
    <w:rsid w:val="00604D1F"/>
    <w:rsid w:val="0060549F"/>
    <w:rsid w:val="00605F57"/>
    <w:rsid w:val="00606518"/>
    <w:rsid w:val="00606FBA"/>
    <w:rsid w:val="00607669"/>
    <w:rsid w:val="006076F4"/>
    <w:rsid w:val="00607AFD"/>
    <w:rsid w:val="00610258"/>
    <w:rsid w:val="0061288E"/>
    <w:rsid w:val="006128F7"/>
    <w:rsid w:val="00612F97"/>
    <w:rsid w:val="00613353"/>
    <w:rsid w:val="0061345D"/>
    <w:rsid w:val="0061549B"/>
    <w:rsid w:val="006158AB"/>
    <w:rsid w:val="00615D8C"/>
    <w:rsid w:val="00616802"/>
    <w:rsid w:val="00616ACF"/>
    <w:rsid w:val="00616E7C"/>
    <w:rsid w:val="0061733F"/>
    <w:rsid w:val="00617E12"/>
    <w:rsid w:val="00620159"/>
    <w:rsid w:val="006203E3"/>
    <w:rsid w:val="006203E8"/>
    <w:rsid w:val="00620C25"/>
    <w:rsid w:val="00621477"/>
    <w:rsid w:val="0062198B"/>
    <w:rsid w:val="00621ADA"/>
    <w:rsid w:val="006221F2"/>
    <w:rsid w:val="00622A42"/>
    <w:rsid w:val="00622D57"/>
    <w:rsid w:val="00623F7B"/>
    <w:rsid w:val="006248E5"/>
    <w:rsid w:val="00625C20"/>
    <w:rsid w:val="00625EF8"/>
    <w:rsid w:val="006263AB"/>
    <w:rsid w:val="0062656A"/>
    <w:rsid w:val="0063086A"/>
    <w:rsid w:val="006308B7"/>
    <w:rsid w:val="0063158F"/>
    <w:rsid w:val="006315D6"/>
    <w:rsid w:val="00631D6B"/>
    <w:rsid w:val="00632183"/>
    <w:rsid w:val="006330A1"/>
    <w:rsid w:val="00634248"/>
    <w:rsid w:val="0063479F"/>
    <w:rsid w:val="00635126"/>
    <w:rsid w:val="006353F0"/>
    <w:rsid w:val="006357B5"/>
    <w:rsid w:val="006359DF"/>
    <w:rsid w:val="00636452"/>
    <w:rsid w:val="006364A1"/>
    <w:rsid w:val="0063678E"/>
    <w:rsid w:val="00637523"/>
    <w:rsid w:val="00637BFD"/>
    <w:rsid w:val="006400D1"/>
    <w:rsid w:val="00641199"/>
    <w:rsid w:val="00641C4E"/>
    <w:rsid w:val="00641FB3"/>
    <w:rsid w:val="00642723"/>
    <w:rsid w:val="0064285C"/>
    <w:rsid w:val="00642A3B"/>
    <w:rsid w:val="00643404"/>
    <w:rsid w:val="0064395E"/>
    <w:rsid w:val="0064434C"/>
    <w:rsid w:val="00644EA1"/>
    <w:rsid w:val="00645635"/>
    <w:rsid w:val="00645953"/>
    <w:rsid w:val="00645EA1"/>
    <w:rsid w:val="006471CC"/>
    <w:rsid w:val="006477CD"/>
    <w:rsid w:val="00647A29"/>
    <w:rsid w:val="0065079F"/>
    <w:rsid w:val="00650E8D"/>
    <w:rsid w:val="0065202B"/>
    <w:rsid w:val="00652510"/>
    <w:rsid w:val="00652A28"/>
    <w:rsid w:val="0065379F"/>
    <w:rsid w:val="006543AF"/>
    <w:rsid w:val="00655810"/>
    <w:rsid w:val="00655F29"/>
    <w:rsid w:val="00656188"/>
    <w:rsid w:val="006561CD"/>
    <w:rsid w:val="0065715A"/>
    <w:rsid w:val="0066062B"/>
    <w:rsid w:val="006607B5"/>
    <w:rsid w:val="006608BC"/>
    <w:rsid w:val="00660C56"/>
    <w:rsid w:val="006610F1"/>
    <w:rsid w:val="00661C6B"/>
    <w:rsid w:val="00662072"/>
    <w:rsid w:val="006629AA"/>
    <w:rsid w:val="006633B2"/>
    <w:rsid w:val="006639CA"/>
    <w:rsid w:val="00663CE0"/>
    <w:rsid w:val="00665743"/>
    <w:rsid w:val="006677AB"/>
    <w:rsid w:val="006677B7"/>
    <w:rsid w:val="00667C88"/>
    <w:rsid w:val="00667DA6"/>
    <w:rsid w:val="00671004"/>
    <w:rsid w:val="00671083"/>
    <w:rsid w:val="00671E72"/>
    <w:rsid w:val="00672646"/>
    <w:rsid w:val="00674459"/>
    <w:rsid w:val="0067448D"/>
    <w:rsid w:val="00674602"/>
    <w:rsid w:val="006748D4"/>
    <w:rsid w:val="00674E42"/>
    <w:rsid w:val="00675502"/>
    <w:rsid w:val="00675854"/>
    <w:rsid w:val="00675C57"/>
    <w:rsid w:val="0067663A"/>
    <w:rsid w:val="00676660"/>
    <w:rsid w:val="00676810"/>
    <w:rsid w:val="006808B2"/>
    <w:rsid w:val="00680CEB"/>
    <w:rsid w:val="006813F2"/>
    <w:rsid w:val="006813F8"/>
    <w:rsid w:val="00682112"/>
    <w:rsid w:val="006821E6"/>
    <w:rsid w:val="00682BA6"/>
    <w:rsid w:val="00684062"/>
    <w:rsid w:val="006841BC"/>
    <w:rsid w:val="0068459F"/>
    <w:rsid w:val="006852BD"/>
    <w:rsid w:val="00685330"/>
    <w:rsid w:val="00685A8E"/>
    <w:rsid w:val="00685F63"/>
    <w:rsid w:val="00686957"/>
    <w:rsid w:val="00686A9B"/>
    <w:rsid w:val="00686B26"/>
    <w:rsid w:val="006872BA"/>
    <w:rsid w:val="00690795"/>
    <w:rsid w:val="0069115B"/>
    <w:rsid w:val="00691648"/>
    <w:rsid w:val="006917D7"/>
    <w:rsid w:val="0069373E"/>
    <w:rsid w:val="00693BF7"/>
    <w:rsid w:val="00693D1F"/>
    <w:rsid w:val="00693EDE"/>
    <w:rsid w:val="00693F7F"/>
    <w:rsid w:val="006940A1"/>
    <w:rsid w:val="0069434C"/>
    <w:rsid w:val="00694496"/>
    <w:rsid w:val="00694D5A"/>
    <w:rsid w:val="00694E61"/>
    <w:rsid w:val="00694F44"/>
    <w:rsid w:val="00696F51"/>
    <w:rsid w:val="006979A5"/>
    <w:rsid w:val="006A117F"/>
    <w:rsid w:val="006A1B16"/>
    <w:rsid w:val="006A1BA4"/>
    <w:rsid w:val="006A25BF"/>
    <w:rsid w:val="006A286D"/>
    <w:rsid w:val="006A2890"/>
    <w:rsid w:val="006A472B"/>
    <w:rsid w:val="006A64B0"/>
    <w:rsid w:val="006A68F2"/>
    <w:rsid w:val="006A6B99"/>
    <w:rsid w:val="006A74B9"/>
    <w:rsid w:val="006A7526"/>
    <w:rsid w:val="006A7CB7"/>
    <w:rsid w:val="006A7E5F"/>
    <w:rsid w:val="006A7FF4"/>
    <w:rsid w:val="006B0E1A"/>
    <w:rsid w:val="006B1A96"/>
    <w:rsid w:val="006B261B"/>
    <w:rsid w:val="006B2C90"/>
    <w:rsid w:val="006B3335"/>
    <w:rsid w:val="006B3342"/>
    <w:rsid w:val="006B35E6"/>
    <w:rsid w:val="006B465A"/>
    <w:rsid w:val="006B486C"/>
    <w:rsid w:val="006B5C48"/>
    <w:rsid w:val="006B5CD6"/>
    <w:rsid w:val="006B5D12"/>
    <w:rsid w:val="006B6DD0"/>
    <w:rsid w:val="006B7C22"/>
    <w:rsid w:val="006B7D2F"/>
    <w:rsid w:val="006C0386"/>
    <w:rsid w:val="006C0399"/>
    <w:rsid w:val="006C06E6"/>
    <w:rsid w:val="006C2188"/>
    <w:rsid w:val="006C25B5"/>
    <w:rsid w:val="006C2A8E"/>
    <w:rsid w:val="006C30D6"/>
    <w:rsid w:val="006C3255"/>
    <w:rsid w:val="006C35E1"/>
    <w:rsid w:val="006C3C3B"/>
    <w:rsid w:val="006C3F26"/>
    <w:rsid w:val="006C46FA"/>
    <w:rsid w:val="006D04B7"/>
    <w:rsid w:val="006D06F2"/>
    <w:rsid w:val="006D0D17"/>
    <w:rsid w:val="006D32EE"/>
    <w:rsid w:val="006D3C7D"/>
    <w:rsid w:val="006D4659"/>
    <w:rsid w:val="006D4B86"/>
    <w:rsid w:val="006D5D5F"/>
    <w:rsid w:val="006D68FB"/>
    <w:rsid w:val="006D7176"/>
    <w:rsid w:val="006D7313"/>
    <w:rsid w:val="006D78F8"/>
    <w:rsid w:val="006E0388"/>
    <w:rsid w:val="006E0AD6"/>
    <w:rsid w:val="006E0C1F"/>
    <w:rsid w:val="006E1499"/>
    <w:rsid w:val="006E1DE3"/>
    <w:rsid w:val="006E2868"/>
    <w:rsid w:val="006E3681"/>
    <w:rsid w:val="006E45C4"/>
    <w:rsid w:val="006E5DB1"/>
    <w:rsid w:val="006E7FE1"/>
    <w:rsid w:val="006F0460"/>
    <w:rsid w:val="006F194A"/>
    <w:rsid w:val="006F2CF4"/>
    <w:rsid w:val="006F306C"/>
    <w:rsid w:val="006F4321"/>
    <w:rsid w:val="006F48D3"/>
    <w:rsid w:val="006F49B0"/>
    <w:rsid w:val="006F63A5"/>
    <w:rsid w:val="006F68CA"/>
    <w:rsid w:val="006F7468"/>
    <w:rsid w:val="006F754E"/>
    <w:rsid w:val="006F7D6E"/>
    <w:rsid w:val="006F7F6E"/>
    <w:rsid w:val="006F7F8F"/>
    <w:rsid w:val="0070142B"/>
    <w:rsid w:val="00701B1C"/>
    <w:rsid w:val="0070276E"/>
    <w:rsid w:val="00702F0E"/>
    <w:rsid w:val="00702F8F"/>
    <w:rsid w:val="00703546"/>
    <w:rsid w:val="007050F6"/>
    <w:rsid w:val="0070645D"/>
    <w:rsid w:val="007069E4"/>
    <w:rsid w:val="00706D6D"/>
    <w:rsid w:val="0070795C"/>
    <w:rsid w:val="007079FC"/>
    <w:rsid w:val="00710A96"/>
    <w:rsid w:val="0071144F"/>
    <w:rsid w:val="00711A36"/>
    <w:rsid w:val="00712C9A"/>
    <w:rsid w:val="0071382F"/>
    <w:rsid w:val="00713998"/>
    <w:rsid w:val="0071419C"/>
    <w:rsid w:val="00714C26"/>
    <w:rsid w:val="007150E6"/>
    <w:rsid w:val="0071529C"/>
    <w:rsid w:val="007160A2"/>
    <w:rsid w:val="0071623D"/>
    <w:rsid w:val="007170DA"/>
    <w:rsid w:val="007172AD"/>
    <w:rsid w:val="00720801"/>
    <w:rsid w:val="00720940"/>
    <w:rsid w:val="00720B33"/>
    <w:rsid w:val="00721900"/>
    <w:rsid w:val="00722A7F"/>
    <w:rsid w:val="00722B1B"/>
    <w:rsid w:val="00723167"/>
    <w:rsid w:val="0072355F"/>
    <w:rsid w:val="007235F9"/>
    <w:rsid w:val="0072416F"/>
    <w:rsid w:val="00724705"/>
    <w:rsid w:val="00724A88"/>
    <w:rsid w:val="00724F14"/>
    <w:rsid w:val="00725938"/>
    <w:rsid w:val="00727157"/>
    <w:rsid w:val="0072724F"/>
    <w:rsid w:val="00727555"/>
    <w:rsid w:val="00727C94"/>
    <w:rsid w:val="0073040F"/>
    <w:rsid w:val="007305C8"/>
    <w:rsid w:val="0073063B"/>
    <w:rsid w:val="00731B0A"/>
    <w:rsid w:val="00731DF7"/>
    <w:rsid w:val="00731EAE"/>
    <w:rsid w:val="007321B4"/>
    <w:rsid w:val="007327C4"/>
    <w:rsid w:val="00733073"/>
    <w:rsid w:val="0073320C"/>
    <w:rsid w:val="00733D1D"/>
    <w:rsid w:val="0073432A"/>
    <w:rsid w:val="00734998"/>
    <w:rsid w:val="007349D3"/>
    <w:rsid w:val="00735033"/>
    <w:rsid w:val="00735328"/>
    <w:rsid w:val="00736846"/>
    <w:rsid w:val="0073685B"/>
    <w:rsid w:val="00736E41"/>
    <w:rsid w:val="00737050"/>
    <w:rsid w:val="00737A76"/>
    <w:rsid w:val="00737E57"/>
    <w:rsid w:val="00737ED5"/>
    <w:rsid w:val="007422CB"/>
    <w:rsid w:val="00743DB9"/>
    <w:rsid w:val="00743F59"/>
    <w:rsid w:val="007449BF"/>
    <w:rsid w:val="00745230"/>
    <w:rsid w:val="00746193"/>
    <w:rsid w:val="007465AE"/>
    <w:rsid w:val="0074691D"/>
    <w:rsid w:val="00746BC0"/>
    <w:rsid w:val="00746CC8"/>
    <w:rsid w:val="00747158"/>
    <w:rsid w:val="007474A4"/>
    <w:rsid w:val="00747E4C"/>
    <w:rsid w:val="00750362"/>
    <w:rsid w:val="007510B4"/>
    <w:rsid w:val="00751293"/>
    <w:rsid w:val="0075163F"/>
    <w:rsid w:val="00751C19"/>
    <w:rsid w:val="00752142"/>
    <w:rsid w:val="007523F9"/>
    <w:rsid w:val="0075357E"/>
    <w:rsid w:val="00754711"/>
    <w:rsid w:val="0075498F"/>
    <w:rsid w:val="00754B43"/>
    <w:rsid w:val="007552B9"/>
    <w:rsid w:val="00756669"/>
    <w:rsid w:val="00756941"/>
    <w:rsid w:val="0075699F"/>
    <w:rsid w:val="007573E8"/>
    <w:rsid w:val="00757A5E"/>
    <w:rsid w:val="00760C4E"/>
    <w:rsid w:val="00760F9E"/>
    <w:rsid w:val="00761A8E"/>
    <w:rsid w:val="00761CCC"/>
    <w:rsid w:val="007627BE"/>
    <w:rsid w:val="00764D61"/>
    <w:rsid w:val="00764F03"/>
    <w:rsid w:val="00765B1A"/>
    <w:rsid w:val="0076654D"/>
    <w:rsid w:val="00766EE8"/>
    <w:rsid w:val="00767D7E"/>
    <w:rsid w:val="00770CDA"/>
    <w:rsid w:val="00770FA9"/>
    <w:rsid w:val="007734D9"/>
    <w:rsid w:val="00773D64"/>
    <w:rsid w:val="00774255"/>
    <w:rsid w:val="007749EA"/>
    <w:rsid w:val="00775D04"/>
    <w:rsid w:val="00776416"/>
    <w:rsid w:val="007765D2"/>
    <w:rsid w:val="00777335"/>
    <w:rsid w:val="0077752E"/>
    <w:rsid w:val="00777E1D"/>
    <w:rsid w:val="00777FC9"/>
    <w:rsid w:val="007819C0"/>
    <w:rsid w:val="007823CE"/>
    <w:rsid w:val="0078298C"/>
    <w:rsid w:val="00783F48"/>
    <w:rsid w:val="007843F2"/>
    <w:rsid w:val="007847E5"/>
    <w:rsid w:val="00785A9F"/>
    <w:rsid w:val="007862DF"/>
    <w:rsid w:val="0078648C"/>
    <w:rsid w:val="007866FC"/>
    <w:rsid w:val="00790E21"/>
    <w:rsid w:val="00791A4B"/>
    <w:rsid w:val="007925DF"/>
    <w:rsid w:val="007928A9"/>
    <w:rsid w:val="00792A1A"/>
    <w:rsid w:val="00794A15"/>
    <w:rsid w:val="00794C2B"/>
    <w:rsid w:val="007954F4"/>
    <w:rsid w:val="007955B5"/>
    <w:rsid w:val="00795661"/>
    <w:rsid w:val="00796D93"/>
    <w:rsid w:val="00797A74"/>
    <w:rsid w:val="00797B79"/>
    <w:rsid w:val="007A0414"/>
    <w:rsid w:val="007A08AA"/>
    <w:rsid w:val="007A0A12"/>
    <w:rsid w:val="007A132D"/>
    <w:rsid w:val="007A1345"/>
    <w:rsid w:val="007A1F9F"/>
    <w:rsid w:val="007A27C1"/>
    <w:rsid w:val="007A2DDB"/>
    <w:rsid w:val="007A3109"/>
    <w:rsid w:val="007A3876"/>
    <w:rsid w:val="007A4927"/>
    <w:rsid w:val="007A70BA"/>
    <w:rsid w:val="007A73FF"/>
    <w:rsid w:val="007B0D68"/>
    <w:rsid w:val="007B0E11"/>
    <w:rsid w:val="007B109A"/>
    <w:rsid w:val="007B1496"/>
    <w:rsid w:val="007B1B36"/>
    <w:rsid w:val="007B251D"/>
    <w:rsid w:val="007B2EDD"/>
    <w:rsid w:val="007B499C"/>
    <w:rsid w:val="007B4F58"/>
    <w:rsid w:val="007B528D"/>
    <w:rsid w:val="007B53CF"/>
    <w:rsid w:val="007B63CA"/>
    <w:rsid w:val="007B6B1C"/>
    <w:rsid w:val="007B6C38"/>
    <w:rsid w:val="007B77D1"/>
    <w:rsid w:val="007B7A26"/>
    <w:rsid w:val="007B7A58"/>
    <w:rsid w:val="007C07C7"/>
    <w:rsid w:val="007C18E4"/>
    <w:rsid w:val="007C1CD9"/>
    <w:rsid w:val="007C32EF"/>
    <w:rsid w:val="007C361D"/>
    <w:rsid w:val="007C3E3F"/>
    <w:rsid w:val="007C4B84"/>
    <w:rsid w:val="007C4C5C"/>
    <w:rsid w:val="007C52C6"/>
    <w:rsid w:val="007C553C"/>
    <w:rsid w:val="007C5B93"/>
    <w:rsid w:val="007C70FF"/>
    <w:rsid w:val="007C7B1A"/>
    <w:rsid w:val="007C7C25"/>
    <w:rsid w:val="007C7F3D"/>
    <w:rsid w:val="007D004F"/>
    <w:rsid w:val="007D0B38"/>
    <w:rsid w:val="007D134C"/>
    <w:rsid w:val="007D2489"/>
    <w:rsid w:val="007D28D8"/>
    <w:rsid w:val="007D4A7A"/>
    <w:rsid w:val="007D515A"/>
    <w:rsid w:val="007D5440"/>
    <w:rsid w:val="007D620A"/>
    <w:rsid w:val="007D69EB"/>
    <w:rsid w:val="007D74D7"/>
    <w:rsid w:val="007E128F"/>
    <w:rsid w:val="007E235F"/>
    <w:rsid w:val="007E306C"/>
    <w:rsid w:val="007E3A78"/>
    <w:rsid w:val="007E3D09"/>
    <w:rsid w:val="007E4D54"/>
    <w:rsid w:val="007E5E67"/>
    <w:rsid w:val="007E6119"/>
    <w:rsid w:val="007E79B7"/>
    <w:rsid w:val="007E7D59"/>
    <w:rsid w:val="007F0A88"/>
    <w:rsid w:val="007F0AFA"/>
    <w:rsid w:val="007F1017"/>
    <w:rsid w:val="007F4A3F"/>
    <w:rsid w:val="007F4A61"/>
    <w:rsid w:val="007F5255"/>
    <w:rsid w:val="007F56CC"/>
    <w:rsid w:val="007F5D9B"/>
    <w:rsid w:val="007F61C2"/>
    <w:rsid w:val="007F64A8"/>
    <w:rsid w:val="007F6D41"/>
    <w:rsid w:val="007F7369"/>
    <w:rsid w:val="007F7C41"/>
    <w:rsid w:val="00804BBA"/>
    <w:rsid w:val="00805142"/>
    <w:rsid w:val="00805D0E"/>
    <w:rsid w:val="00805F4E"/>
    <w:rsid w:val="00805FCE"/>
    <w:rsid w:val="008068BD"/>
    <w:rsid w:val="00807A8B"/>
    <w:rsid w:val="00807B1F"/>
    <w:rsid w:val="00811383"/>
    <w:rsid w:val="008113D5"/>
    <w:rsid w:val="00812149"/>
    <w:rsid w:val="00812C6A"/>
    <w:rsid w:val="00812CAC"/>
    <w:rsid w:val="008139BB"/>
    <w:rsid w:val="00813C10"/>
    <w:rsid w:val="00815799"/>
    <w:rsid w:val="00816361"/>
    <w:rsid w:val="008166EF"/>
    <w:rsid w:val="00816FEF"/>
    <w:rsid w:val="00820A8C"/>
    <w:rsid w:val="008215FB"/>
    <w:rsid w:val="00822B05"/>
    <w:rsid w:val="00823174"/>
    <w:rsid w:val="0082357F"/>
    <w:rsid w:val="008239D7"/>
    <w:rsid w:val="00825751"/>
    <w:rsid w:val="008262E2"/>
    <w:rsid w:val="008264EB"/>
    <w:rsid w:val="008277C1"/>
    <w:rsid w:val="00827929"/>
    <w:rsid w:val="00827C60"/>
    <w:rsid w:val="00827DD3"/>
    <w:rsid w:val="00830000"/>
    <w:rsid w:val="008305BB"/>
    <w:rsid w:val="0083083C"/>
    <w:rsid w:val="00831246"/>
    <w:rsid w:val="008324B5"/>
    <w:rsid w:val="008326D4"/>
    <w:rsid w:val="008329C4"/>
    <w:rsid w:val="00833788"/>
    <w:rsid w:val="00833B05"/>
    <w:rsid w:val="00834F8D"/>
    <w:rsid w:val="008362B4"/>
    <w:rsid w:val="00837192"/>
    <w:rsid w:val="00837DB5"/>
    <w:rsid w:val="008401F3"/>
    <w:rsid w:val="00840939"/>
    <w:rsid w:val="00840CA2"/>
    <w:rsid w:val="008416D0"/>
    <w:rsid w:val="00842637"/>
    <w:rsid w:val="0084322F"/>
    <w:rsid w:val="00843467"/>
    <w:rsid w:val="0084374F"/>
    <w:rsid w:val="00844A22"/>
    <w:rsid w:val="00844ADF"/>
    <w:rsid w:val="00844CE8"/>
    <w:rsid w:val="00844D06"/>
    <w:rsid w:val="00845BD2"/>
    <w:rsid w:val="00846CB7"/>
    <w:rsid w:val="00846DF9"/>
    <w:rsid w:val="008476AE"/>
    <w:rsid w:val="00847703"/>
    <w:rsid w:val="00847A16"/>
    <w:rsid w:val="00847DF5"/>
    <w:rsid w:val="00850A3B"/>
    <w:rsid w:val="00851290"/>
    <w:rsid w:val="008512C3"/>
    <w:rsid w:val="0085309D"/>
    <w:rsid w:val="00853744"/>
    <w:rsid w:val="008537FB"/>
    <w:rsid w:val="008556FC"/>
    <w:rsid w:val="008557B7"/>
    <w:rsid w:val="00856897"/>
    <w:rsid w:val="008568B0"/>
    <w:rsid w:val="00856E9A"/>
    <w:rsid w:val="0086075D"/>
    <w:rsid w:val="00861D3E"/>
    <w:rsid w:val="00861E12"/>
    <w:rsid w:val="00861FDA"/>
    <w:rsid w:val="0086224C"/>
    <w:rsid w:val="00862502"/>
    <w:rsid w:val="008629F2"/>
    <w:rsid w:val="00862CC1"/>
    <w:rsid w:val="00862E16"/>
    <w:rsid w:val="00863866"/>
    <w:rsid w:val="00864D2D"/>
    <w:rsid w:val="00864E36"/>
    <w:rsid w:val="00865137"/>
    <w:rsid w:val="00865391"/>
    <w:rsid w:val="00865439"/>
    <w:rsid w:val="008660D4"/>
    <w:rsid w:val="00871332"/>
    <w:rsid w:val="008714F4"/>
    <w:rsid w:val="0087184E"/>
    <w:rsid w:val="00871FA9"/>
    <w:rsid w:val="008728E9"/>
    <w:rsid w:val="00872A95"/>
    <w:rsid w:val="00873B1A"/>
    <w:rsid w:val="00874CA7"/>
    <w:rsid w:val="00875788"/>
    <w:rsid w:val="00875A6D"/>
    <w:rsid w:val="00875AEB"/>
    <w:rsid w:val="00876D66"/>
    <w:rsid w:val="00877784"/>
    <w:rsid w:val="00877D1D"/>
    <w:rsid w:val="00877D36"/>
    <w:rsid w:val="00877EE7"/>
    <w:rsid w:val="0088025E"/>
    <w:rsid w:val="008818DC"/>
    <w:rsid w:val="00882710"/>
    <w:rsid w:val="00882874"/>
    <w:rsid w:val="00882D56"/>
    <w:rsid w:val="00882E3C"/>
    <w:rsid w:val="008832A8"/>
    <w:rsid w:val="00883787"/>
    <w:rsid w:val="00883A57"/>
    <w:rsid w:val="008850C1"/>
    <w:rsid w:val="008855E4"/>
    <w:rsid w:val="00885B7E"/>
    <w:rsid w:val="00885F44"/>
    <w:rsid w:val="00886CD2"/>
    <w:rsid w:val="00887821"/>
    <w:rsid w:val="00887F91"/>
    <w:rsid w:val="0089039C"/>
    <w:rsid w:val="00891018"/>
    <w:rsid w:val="00891D06"/>
    <w:rsid w:val="00891E6F"/>
    <w:rsid w:val="0089216B"/>
    <w:rsid w:val="0089275D"/>
    <w:rsid w:val="00892A36"/>
    <w:rsid w:val="00892BD2"/>
    <w:rsid w:val="00893239"/>
    <w:rsid w:val="008934AA"/>
    <w:rsid w:val="00893883"/>
    <w:rsid w:val="00894489"/>
    <w:rsid w:val="0089571D"/>
    <w:rsid w:val="00895FBF"/>
    <w:rsid w:val="008963A5"/>
    <w:rsid w:val="00896A26"/>
    <w:rsid w:val="00896A85"/>
    <w:rsid w:val="00896D5D"/>
    <w:rsid w:val="00897850"/>
    <w:rsid w:val="008A1739"/>
    <w:rsid w:val="008A18C1"/>
    <w:rsid w:val="008A2126"/>
    <w:rsid w:val="008A306A"/>
    <w:rsid w:val="008A30EA"/>
    <w:rsid w:val="008A3363"/>
    <w:rsid w:val="008A3371"/>
    <w:rsid w:val="008A3447"/>
    <w:rsid w:val="008A382D"/>
    <w:rsid w:val="008A3A48"/>
    <w:rsid w:val="008A3C3E"/>
    <w:rsid w:val="008A4143"/>
    <w:rsid w:val="008A49BE"/>
    <w:rsid w:val="008A65CB"/>
    <w:rsid w:val="008A6927"/>
    <w:rsid w:val="008A7210"/>
    <w:rsid w:val="008A7788"/>
    <w:rsid w:val="008A79DE"/>
    <w:rsid w:val="008A7EA7"/>
    <w:rsid w:val="008B0984"/>
    <w:rsid w:val="008B1757"/>
    <w:rsid w:val="008B2FD0"/>
    <w:rsid w:val="008B382B"/>
    <w:rsid w:val="008B4630"/>
    <w:rsid w:val="008B4C26"/>
    <w:rsid w:val="008B4CCC"/>
    <w:rsid w:val="008B523C"/>
    <w:rsid w:val="008B76BB"/>
    <w:rsid w:val="008B7992"/>
    <w:rsid w:val="008B7A82"/>
    <w:rsid w:val="008B7D7E"/>
    <w:rsid w:val="008B7FCC"/>
    <w:rsid w:val="008C13B3"/>
    <w:rsid w:val="008C16BF"/>
    <w:rsid w:val="008C2E8C"/>
    <w:rsid w:val="008C4D0E"/>
    <w:rsid w:val="008C5610"/>
    <w:rsid w:val="008C5739"/>
    <w:rsid w:val="008C5AA4"/>
    <w:rsid w:val="008C74E5"/>
    <w:rsid w:val="008C768D"/>
    <w:rsid w:val="008C7CE2"/>
    <w:rsid w:val="008C7ECB"/>
    <w:rsid w:val="008D3914"/>
    <w:rsid w:val="008D3B86"/>
    <w:rsid w:val="008D4755"/>
    <w:rsid w:val="008D4C0C"/>
    <w:rsid w:val="008D4C3D"/>
    <w:rsid w:val="008D63DA"/>
    <w:rsid w:val="008D743C"/>
    <w:rsid w:val="008E07D4"/>
    <w:rsid w:val="008E0D3C"/>
    <w:rsid w:val="008E10E6"/>
    <w:rsid w:val="008E1B9E"/>
    <w:rsid w:val="008E32BC"/>
    <w:rsid w:val="008E3332"/>
    <w:rsid w:val="008E5280"/>
    <w:rsid w:val="008E55AB"/>
    <w:rsid w:val="008E6509"/>
    <w:rsid w:val="008E794B"/>
    <w:rsid w:val="008E7EFA"/>
    <w:rsid w:val="008E7FD4"/>
    <w:rsid w:val="008F120A"/>
    <w:rsid w:val="008F1229"/>
    <w:rsid w:val="008F150E"/>
    <w:rsid w:val="008F1CE5"/>
    <w:rsid w:val="008F22CF"/>
    <w:rsid w:val="008F243C"/>
    <w:rsid w:val="008F27E0"/>
    <w:rsid w:val="008F3F87"/>
    <w:rsid w:val="008F4504"/>
    <w:rsid w:val="008F47C5"/>
    <w:rsid w:val="008F48EB"/>
    <w:rsid w:val="008F4F0B"/>
    <w:rsid w:val="008F501A"/>
    <w:rsid w:val="008F516D"/>
    <w:rsid w:val="00900C46"/>
    <w:rsid w:val="00900EC6"/>
    <w:rsid w:val="00901056"/>
    <w:rsid w:val="0090120E"/>
    <w:rsid w:val="009031E5"/>
    <w:rsid w:val="00903235"/>
    <w:rsid w:val="009035BC"/>
    <w:rsid w:val="0090369A"/>
    <w:rsid w:val="009046C4"/>
    <w:rsid w:val="009062A5"/>
    <w:rsid w:val="00906C56"/>
    <w:rsid w:val="00906D5B"/>
    <w:rsid w:val="00906DCA"/>
    <w:rsid w:val="009073F6"/>
    <w:rsid w:val="00907597"/>
    <w:rsid w:val="00910FA7"/>
    <w:rsid w:val="00911015"/>
    <w:rsid w:val="0091120C"/>
    <w:rsid w:val="00911272"/>
    <w:rsid w:val="00911FEF"/>
    <w:rsid w:val="00912462"/>
    <w:rsid w:val="009124CE"/>
    <w:rsid w:val="009135D6"/>
    <w:rsid w:val="00914C77"/>
    <w:rsid w:val="00914E34"/>
    <w:rsid w:val="00916A5B"/>
    <w:rsid w:val="009178F5"/>
    <w:rsid w:val="00917AF3"/>
    <w:rsid w:val="0092024C"/>
    <w:rsid w:val="00920A59"/>
    <w:rsid w:val="00920FB2"/>
    <w:rsid w:val="009212F6"/>
    <w:rsid w:val="00921ACB"/>
    <w:rsid w:val="00922890"/>
    <w:rsid w:val="0092322F"/>
    <w:rsid w:val="0092369B"/>
    <w:rsid w:val="00924FC0"/>
    <w:rsid w:val="00925F37"/>
    <w:rsid w:val="00926772"/>
    <w:rsid w:val="00926CA0"/>
    <w:rsid w:val="00927351"/>
    <w:rsid w:val="0092751A"/>
    <w:rsid w:val="00927847"/>
    <w:rsid w:val="0093076A"/>
    <w:rsid w:val="009311A0"/>
    <w:rsid w:val="0093125A"/>
    <w:rsid w:val="00931CEE"/>
    <w:rsid w:val="00933E74"/>
    <w:rsid w:val="00933FF6"/>
    <w:rsid w:val="0093481F"/>
    <w:rsid w:val="00934988"/>
    <w:rsid w:val="00934BE2"/>
    <w:rsid w:val="0093528F"/>
    <w:rsid w:val="00936050"/>
    <w:rsid w:val="00937089"/>
    <w:rsid w:val="00937095"/>
    <w:rsid w:val="009371A0"/>
    <w:rsid w:val="0093726B"/>
    <w:rsid w:val="009372C6"/>
    <w:rsid w:val="0094029F"/>
    <w:rsid w:val="009404AF"/>
    <w:rsid w:val="00941658"/>
    <w:rsid w:val="009417D8"/>
    <w:rsid w:val="00941D10"/>
    <w:rsid w:val="00942C1C"/>
    <w:rsid w:val="00942E14"/>
    <w:rsid w:val="00943A79"/>
    <w:rsid w:val="00944795"/>
    <w:rsid w:val="00944F8A"/>
    <w:rsid w:val="0094651F"/>
    <w:rsid w:val="00947301"/>
    <w:rsid w:val="00947ADB"/>
    <w:rsid w:val="0095089C"/>
    <w:rsid w:val="00950D2B"/>
    <w:rsid w:val="009510A2"/>
    <w:rsid w:val="009514D7"/>
    <w:rsid w:val="00952481"/>
    <w:rsid w:val="00952EAD"/>
    <w:rsid w:val="00953257"/>
    <w:rsid w:val="009534BC"/>
    <w:rsid w:val="00953C7C"/>
    <w:rsid w:val="0095474C"/>
    <w:rsid w:val="00954776"/>
    <w:rsid w:val="00954FB4"/>
    <w:rsid w:val="009575BA"/>
    <w:rsid w:val="009575DC"/>
    <w:rsid w:val="00957EE2"/>
    <w:rsid w:val="00960278"/>
    <w:rsid w:val="00960C5A"/>
    <w:rsid w:val="0096105B"/>
    <w:rsid w:val="00962CB9"/>
    <w:rsid w:val="00964312"/>
    <w:rsid w:val="0096548B"/>
    <w:rsid w:val="00965935"/>
    <w:rsid w:val="00965B8A"/>
    <w:rsid w:val="00965DC1"/>
    <w:rsid w:val="009667C0"/>
    <w:rsid w:val="00967BB4"/>
    <w:rsid w:val="0097071F"/>
    <w:rsid w:val="00970853"/>
    <w:rsid w:val="009708F8"/>
    <w:rsid w:val="0097169F"/>
    <w:rsid w:val="009717AC"/>
    <w:rsid w:val="00971BEF"/>
    <w:rsid w:val="00973576"/>
    <w:rsid w:val="00973A0D"/>
    <w:rsid w:val="009751C1"/>
    <w:rsid w:val="009758A6"/>
    <w:rsid w:val="00975A27"/>
    <w:rsid w:val="00976BE2"/>
    <w:rsid w:val="00980553"/>
    <w:rsid w:val="00980FD2"/>
    <w:rsid w:val="00981010"/>
    <w:rsid w:val="009811F1"/>
    <w:rsid w:val="00982235"/>
    <w:rsid w:val="009825F8"/>
    <w:rsid w:val="00983488"/>
    <w:rsid w:val="009839B5"/>
    <w:rsid w:val="00983E57"/>
    <w:rsid w:val="00984255"/>
    <w:rsid w:val="0098466F"/>
    <w:rsid w:val="0098510C"/>
    <w:rsid w:val="00985C52"/>
    <w:rsid w:val="00985DE2"/>
    <w:rsid w:val="0098675D"/>
    <w:rsid w:val="00987ABF"/>
    <w:rsid w:val="009908BE"/>
    <w:rsid w:val="00991355"/>
    <w:rsid w:val="009926E0"/>
    <w:rsid w:val="009933B8"/>
    <w:rsid w:val="00993BE0"/>
    <w:rsid w:val="0099451E"/>
    <w:rsid w:val="009949C3"/>
    <w:rsid w:val="00996050"/>
    <w:rsid w:val="0099618A"/>
    <w:rsid w:val="009962E7"/>
    <w:rsid w:val="00996804"/>
    <w:rsid w:val="009968BB"/>
    <w:rsid w:val="00996B1A"/>
    <w:rsid w:val="0099711D"/>
    <w:rsid w:val="009A0466"/>
    <w:rsid w:val="009A071E"/>
    <w:rsid w:val="009A16DA"/>
    <w:rsid w:val="009A1A38"/>
    <w:rsid w:val="009A2DCC"/>
    <w:rsid w:val="009A478C"/>
    <w:rsid w:val="009A47B9"/>
    <w:rsid w:val="009A53DC"/>
    <w:rsid w:val="009A5819"/>
    <w:rsid w:val="009A5ABC"/>
    <w:rsid w:val="009A6DAC"/>
    <w:rsid w:val="009A798E"/>
    <w:rsid w:val="009A7F02"/>
    <w:rsid w:val="009A7F10"/>
    <w:rsid w:val="009B03EF"/>
    <w:rsid w:val="009B251C"/>
    <w:rsid w:val="009B281E"/>
    <w:rsid w:val="009B3DFC"/>
    <w:rsid w:val="009B3E26"/>
    <w:rsid w:val="009B4E9D"/>
    <w:rsid w:val="009B6046"/>
    <w:rsid w:val="009B6FB6"/>
    <w:rsid w:val="009B7100"/>
    <w:rsid w:val="009C09CF"/>
    <w:rsid w:val="009C0ADC"/>
    <w:rsid w:val="009C16CE"/>
    <w:rsid w:val="009C26EF"/>
    <w:rsid w:val="009C2853"/>
    <w:rsid w:val="009C32FD"/>
    <w:rsid w:val="009C351A"/>
    <w:rsid w:val="009C3706"/>
    <w:rsid w:val="009C3A3A"/>
    <w:rsid w:val="009C3C0B"/>
    <w:rsid w:val="009C5E76"/>
    <w:rsid w:val="009C6CEA"/>
    <w:rsid w:val="009C7B85"/>
    <w:rsid w:val="009C7C73"/>
    <w:rsid w:val="009C7EBC"/>
    <w:rsid w:val="009D0244"/>
    <w:rsid w:val="009D0254"/>
    <w:rsid w:val="009D11D2"/>
    <w:rsid w:val="009D18F1"/>
    <w:rsid w:val="009D1930"/>
    <w:rsid w:val="009D1A64"/>
    <w:rsid w:val="009D2DCE"/>
    <w:rsid w:val="009D4324"/>
    <w:rsid w:val="009D4525"/>
    <w:rsid w:val="009D4F9E"/>
    <w:rsid w:val="009D58D2"/>
    <w:rsid w:val="009D5B91"/>
    <w:rsid w:val="009D6A6B"/>
    <w:rsid w:val="009D6A81"/>
    <w:rsid w:val="009D7409"/>
    <w:rsid w:val="009D792E"/>
    <w:rsid w:val="009E0DFE"/>
    <w:rsid w:val="009E0F87"/>
    <w:rsid w:val="009E12D8"/>
    <w:rsid w:val="009E1829"/>
    <w:rsid w:val="009E273B"/>
    <w:rsid w:val="009E278E"/>
    <w:rsid w:val="009E27E1"/>
    <w:rsid w:val="009E31F6"/>
    <w:rsid w:val="009E4095"/>
    <w:rsid w:val="009E4C07"/>
    <w:rsid w:val="009E5516"/>
    <w:rsid w:val="009E560C"/>
    <w:rsid w:val="009E6798"/>
    <w:rsid w:val="009E7EC1"/>
    <w:rsid w:val="009F014A"/>
    <w:rsid w:val="009F0348"/>
    <w:rsid w:val="009F0481"/>
    <w:rsid w:val="009F13AF"/>
    <w:rsid w:val="009F17E3"/>
    <w:rsid w:val="009F1DDC"/>
    <w:rsid w:val="009F2746"/>
    <w:rsid w:val="009F2AC3"/>
    <w:rsid w:val="009F310E"/>
    <w:rsid w:val="009F367A"/>
    <w:rsid w:val="009F382C"/>
    <w:rsid w:val="009F422E"/>
    <w:rsid w:val="009F42A5"/>
    <w:rsid w:val="00A001CC"/>
    <w:rsid w:val="00A00574"/>
    <w:rsid w:val="00A01184"/>
    <w:rsid w:val="00A01A33"/>
    <w:rsid w:val="00A0238A"/>
    <w:rsid w:val="00A02B84"/>
    <w:rsid w:val="00A02D03"/>
    <w:rsid w:val="00A037C2"/>
    <w:rsid w:val="00A03C21"/>
    <w:rsid w:val="00A03D43"/>
    <w:rsid w:val="00A03D96"/>
    <w:rsid w:val="00A04380"/>
    <w:rsid w:val="00A05472"/>
    <w:rsid w:val="00A05C32"/>
    <w:rsid w:val="00A0653F"/>
    <w:rsid w:val="00A07788"/>
    <w:rsid w:val="00A10F65"/>
    <w:rsid w:val="00A11562"/>
    <w:rsid w:val="00A11CD0"/>
    <w:rsid w:val="00A1200C"/>
    <w:rsid w:val="00A124AD"/>
    <w:rsid w:val="00A138DC"/>
    <w:rsid w:val="00A13948"/>
    <w:rsid w:val="00A14153"/>
    <w:rsid w:val="00A1428B"/>
    <w:rsid w:val="00A1454B"/>
    <w:rsid w:val="00A1555B"/>
    <w:rsid w:val="00A155C5"/>
    <w:rsid w:val="00A1575D"/>
    <w:rsid w:val="00A16345"/>
    <w:rsid w:val="00A168CF"/>
    <w:rsid w:val="00A16AD8"/>
    <w:rsid w:val="00A20AB0"/>
    <w:rsid w:val="00A20BB2"/>
    <w:rsid w:val="00A2127C"/>
    <w:rsid w:val="00A21C95"/>
    <w:rsid w:val="00A21CF3"/>
    <w:rsid w:val="00A22E48"/>
    <w:rsid w:val="00A2388C"/>
    <w:rsid w:val="00A24813"/>
    <w:rsid w:val="00A24B10"/>
    <w:rsid w:val="00A259A4"/>
    <w:rsid w:val="00A260DA"/>
    <w:rsid w:val="00A26715"/>
    <w:rsid w:val="00A26AD8"/>
    <w:rsid w:val="00A27AEC"/>
    <w:rsid w:val="00A30A6A"/>
    <w:rsid w:val="00A30BCC"/>
    <w:rsid w:val="00A31CFB"/>
    <w:rsid w:val="00A31F23"/>
    <w:rsid w:val="00A320DB"/>
    <w:rsid w:val="00A32257"/>
    <w:rsid w:val="00A32931"/>
    <w:rsid w:val="00A32CC7"/>
    <w:rsid w:val="00A33E5C"/>
    <w:rsid w:val="00A34999"/>
    <w:rsid w:val="00A35C45"/>
    <w:rsid w:val="00A35D16"/>
    <w:rsid w:val="00A35E3D"/>
    <w:rsid w:val="00A35F6B"/>
    <w:rsid w:val="00A36E92"/>
    <w:rsid w:val="00A3739B"/>
    <w:rsid w:val="00A37BCD"/>
    <w:rsid w:val="00A40363"/>
    <w:rsid w:val="00A40793"/>
    <w:rsid w:val="00A40E38"/>
    <w:rsid w:val="00A41689"/>
    <w:rsid w:val="00A41A0A"/>
    <w:rsid w:val="00A42592"/>
    <w:rsid w:val="00A42D0D"/>
    <w:rsid w:val="00A4320F"/>
    <w:rsid w:val="00A43C59"/>
    <w:rsid w:val="00A43FDD"/>
    <w:rsid w:val="00A453D9"/>
    <w:rsid w:val="00A45B86"/>
    <w:rsid w:val="00A4643F"/>
    <w:rsid w:val="00A47ECE"/>
    <w:rsid w:val="00A50343"/>
    <w:rsid w:val="00A5085F"/>
    <w:rsid w:val="00A50ECD"/>
    <w:rsid w:val="00A51234"/>
    <w:rsid w:val="00A518F3"/>
    <w:rsid w:val="00A51C18"/>
    <w:rsid w:val="00A5230B"/>
    <w:rsid w:val="00A52729"/>
    <w:rsid w:val="00A52938"/>
    <w:rsid w:val="00A53675"/>
    <w:rsid w:val="00A54822"/>
    <w:rsid w:val="00A55113"/>
    <w:rsid w:val="00A55317"/>
    <w:rsid w:val="00A564D7"/>
    <w:rsid w:val="00A569D4"/>
    <w:rsid w:val="00A56B6A"/>
    <w:rsid w:val="00A576DB"/>
    <w:rsid w:val="00A578DC"/>
    <w:rsid w:val="00A61016"/>
    <w:rsid w:val="00A61E79"/>
    <w:rsid w:val="00A61F4A"/>
    <w:rsid w:val="00A6385C"/>
    <w:rsid w:val="00A640E2"/>
    <w:rsid w:val="00A642EE"/>
    <w:rsid w:val="00A64D65"/>
    <w:rsid w:val="00A64FDE"/>
    <w:rsid w:val="00A6725B"/>
    <w:rsid w:val="00A673BE"/>
    <w:rsid w:val="00A67765"/>
    <w:rsid w:val="00A70605"/>
    <w:rsid w:val="00A7156B"/>
    <w:rsid w:val="00A720B0"/>
    <w:rsid w:val="00A72560"/>
    <w:rsid w:val="00A730A2"/>
    <w:rsid w:val="00A730F9"/>
    <w:rsid w:val="00A73134"/>
    <w:rsid w:val="00A73EFB"/>
    <w:rsid w:val="00A73FFF"/>
    <w:rsid w:val="00A7401F"/>
    <w:rsid w:val="00A745BA"/>
    <w:rsid w:val="00A747FF"/>
    <w:rsid w:val="00A75B33"/>
    <w:rsid w:val="00A76001"/>
    <w:rsid w:val="00A7660D"/>
    <w:rsid w:val="00A76A9F"/>
    <w:rsid w:val="00A77022"/>
    <w:rsid w:val="00A777B2"/>
    <w:rsid w:val="00A77B1B"/>
    <w:rsid w:val="00A8066F"/>
    <w:rsid w:val="00A80C6B"/>
    <w:rsid w:val="00A810BC"/>
    <w:rsid w:val="00A81D87"/>
    <w:rsid w:val="00A825A0"/>
    <w:rsid w:val="00A825D4"/>
    <w:rsid w:val="00A828F6"/>
    <w:rsid w:val="00A82B73"/>
    <w:rsid w:val="00A833AE"/>
    <w:rsid w:val="00A83587"/>
    <w:rsid w:val="00A836E5"/>
    <w:rsid w:val="00A83D93"/>
    <w:rsid w:val="00A84496"/>
    <w:rsid w:val="00A849B8"/>
    <w:rsid w:val="00A85AEF"/>
    <w:rsid w:val="00A8658C"/>
    <w:rsid w:val="00A86D26"/>
    <w:rsid w:val="00A86E8B"/>
    <w:rsid w:val="00A87164"/>
    <w:rsid w:val="00A90561"/>
    <w:rsid w:val="00A909CD"/>
    <w:rsid w:val="00A91003"/>
    <w:rsid w:val="00A91184"/>
    <w:rsid w:val="00A92042"/>
    <w:rsid w:val="00A93072"/>
    <w:rsid w:val="00A93475"/>
    <w:rsid w:val="00A938BD"/>
    <w:rsid w:val="00A93953"/>
    <w:rsid w:val="00A93F72"/>
    <w:rsid w:val="00A93FF2"/>
    <w:rsid w:val="00A94739"/>
    <w:rsid w:val="00A9543F"/>
    <w:rsid w:val="00A959D8"/>
    <w:rsid w:val="00A96E4B"/>
    <w:rsid w:val="00A97EE2"/>
    <w:rsid w:val="00AA113D"/>
    <w:rsid w:val="00AA11D8"/>
    <w:rsid w:val="00AA1A08"/>
    <w:rsid w:val="00AA2161"/>
    <w:rsid w:val="00AA36F0"/>
    <w:rsid w:val="00AA3929"/>
    <w:rsid w:val="00AA3DED"/>
    <w:rsid w:val="00AA428E"/>
    <w:rsid w:val="00AA4695"/>
    <w:rsid w:val="00AA5453"/>
    <w:rsid w:val="00AA5B5E"/>
    <w:rsid w:val="00AA6BD5"/>
    <w:rsid w:val="00AA6BD8"/>
    <w:rsid w:val="00AA6C7D"/>
    <w:rsid w:val="00AA7FD6"/>
    <w:rsid w:val="00AB042A"/>
    <w:rsid w:val="00AB045A"/>
    <w:rsid w:val="00AB04C6"/>
    <w:rsid w:val="00AB19EF"/>
    <w:rsid w:val="00AB27DC"/>
    <w:rsid w:val="00AB27E8"/>
    <w:rsid w:val="00AB2D34"/>
    <w:rsid w:val="00AB3430"/>
    <w:rsid w:val="00AB37B9"/>
    <w:rsid w:val="00AB3C95"/>
    <w:rsid w:val="00AB4AD1"/>
    <w:rsid w:val="00AB5E07"/>
    <w:rsid w:val="00AB5E52"/>
    <w:rsid w:val="00AB5F69"/>
    <w:rsid w:val="00AB68D2"/>
    <w:rsid w:val="00AB71D3"/>
    <w:rsid w:val="00AB7CFA"/>
    <w:rsid w:val="00AC165E"/>
    <w:rsid w:val="00AC1A7B"/>
    <w:rsid w:val="00AC1CCF"/>
    <w:rsid w:val="00AC2AA1"/>
    <w:rsid w:val="00AC3952"/>
    <w:rsid w:val="00AC4AC4"/>
    <w:rsid w:val="00AC5B48"/>
    <w:rsid w:val="00AC5BD9"/>
    <w:rsid w:val="00AC5FCD"/>
    <w:rsid w:val="00AC643C"/>
    <w:rsid w:val="00AC6BB9"/>
    <w:rsid w:val="00AD0512"/>
    <w:rsid w:val="00AD1450"/>
    <w:rsid w:val="00AD38C1"/>
    <w:rsid w:val="00AD5342"/>
    <w:rsid w:val="00AD605D"/>
    <w:rsid w:val="00AD6502"/>
    <w:rsid w:val="00AD769E"/>
    <w:rsid w:val="00AE0695"/>
    <w:rsid w:val="00AE0DD9"/>
    <w:rsid w:val="00AE305B"/>
    <w:rsid w:val="00AE309C"/>
    <w:rsid w:val="00AE3E7E"/>
    <w:rsid w:val="00AE55FE"/>
    <w:rsid w:val="00AE5B9C"/>
    <w:rsid w:val="00AE68A4"/>
    <w:rsid w:val="00AE6C96"/>
    <w:rsid w:val="00AE713B"/>
    <w:rsid w:val="00AE76FA"/>
    <w:rsid w:val="00AF0010"/>
    <w:rsid w:val="00AF0F31"/>
    <w:rsid w:val="00AF1315"/>
    <w:rsid w:val="00AF19BF"/>
    <w:rsid w:val="00AF1BDA"/>
    <w:rsid w:val="00AF2DC3"/>
    <w:rsid w:val="00AF413E"/>
    <w:rsid w:val="00AF4E8F"/>
    <w:rsid w:val="00AF5D6B"/>
    <w:rsid w:val="00AF6B2D"/>
    <w:rsid w:val="00B033E5"/>
    <w:rsid w:val="00B03A63"/>
    <w:rsid w:val="00B0546A"/>
    <w:rsid w:val="00B06068"/>
    <w:rsid w:val="00B06A0C"/>
    <w:rsid w:val="00B07505"/>
    <w:rsid w:val="00B07D59"/>
    <w:rsid w:val="00B100FE"/>
    <w:rsid w:val="00B1140C"/>
    <w:rsid w:val="00B12A59"/>
    <w:rsid w:val="00B130AE"/>
    <w:rsid w:val="00B131A5"/>
    <w:rsid w:val="00B14A80"/>
    <w:rsid w:val="00B156E8"/>
    <w:rsid w:val="00B15963"/>
    <w:rsid w:val="00B16061"/>
    <w:rsid w:val="00B17E3D"/>
    <w:rsid w:val="00B201A4"/>
    <w:rsid w:val="00B201D1"/>
    <w:rsid w:val="00B21118"/>
    <w:rsid w:val="00B213A6"/>
    <w:rsid w:val="00B2231C"/>
    <w:rsid w:val="00B235B0"/>
    <w:rsid w:val="00B24DF6"/>
    <w:rsid w:val="00B25EFB"/>
    <w:rsid w:val="00B25F17"/>
    <w:rsid w:val="00B27355"/>
    <w:rsid w:val="00B30915"/>
    <w:rsid w:val="00B3190A"/>
    <w:rsid w:val="00B31E62"/>
    <w:rsid w:val="00B32BCE"/>
    <w:rsid w:val="00B33F84"/>
    <w:rsid w:val="00B34E66"/>
    <w:rsid w:val="00B34FE2"/>
    <w:rsid w:val="00B35166"/>
    <w:rsid w:val="00B357D8"/>
    <w:rsid w:val="00B3594E"/>
    <w:rsid w:val="00B360F4"/>
    <w:rsid w:val="00B36771"/>
    <w:rsid w:val="00B36A00"/>
    <w:rsid w:val="00B36C74"/>
    <w:rsid w:val="00B36CCC"/>
    <w:rsid w:val="00B371D2"/>
    <w:rsid w:val="00B37BFC"/>
    <w:rsid w:val="00B40358"/>
    <w:rsid w:val="00B4096E"/>
    <w:rsid w:val="00B41302"/>
    <w:rsid w:val="00B41614"/>
    <w:rsid w:val="00B4224D"/>
    <w:rsid w:val="00B423B1"/>
    <w:rsid w:val="00B42851"/>
    <w:rsid w:val="00B42BC8"/>
    <w:rsid w:val="00B42F80"/>
    <w:rsid w:val="00B435CB"/>
    <w:rsid w:val="00B475CC"/>
    <w:rsid w:val="00B5007B"/>
    <w:rsid w:val="00B505C8"/>
    <w:rsid w:val="00B50821"/>
    <w:rsid w:val="00B50860"/>
    <w:rsid w:val="00B50DB8"/>
    <w:rsid w:val="00B51593"/>
    <w:rsid w:val="00B520D8"/>
    <w:rsid w:val="00B52A88"/>
    <w:rsid w:val="00B53654"/>
    <w:rsid w:val="00B53905"/>
    <w:rsid w:val="00B547E0"/>
    <w:rsid w:val="00B54B5B"/>
    <w:rsid w:val="00B5562E"/>
    <w:rsid w:val="00B55D65"/>
    <w:rsid w:val="00B56A7E"/>
    <w:rsid w:val="00B57000"/>
    <w:rsid w:val="00B57BE8"/>
    <w:rsid w:val="00B600F9"/>
    <w:rsid w:val="00B60939"/>
    <w:rsid w:val="00B60A95"/>
    <w:rsid w:val="00B60AFD"/>
    <w:rsid w:val="00B60B1D"/>
    <w:rsid w:val="00B60EE3"/>
    <w:rsid w:val="00B6217D"/>
    <w:rsid w:val="00B62635"/>
    <w:rsid w:val="00B62715"/>
    <w:rsid w:val="00B637E0"/>
    <w:rsid w:val="00B63B58"/>
    <w:rsid w:val="00B63E70"/>
    <w:rsid w:val="00B64035"/>
    <w:rsid w:val="00B647B2"/>
    <w:rsid w:val="00B651B5"/>
    <w:rsid w:val="00B65611"/>
    <w:rsid w:val="00B65C31"/>
    <w:rsid w:val="00B666FA"/>
    <w:rsid w:val="00B6690E"/>
    <w:rsid w:val="00B66BAC"/>
    <w:rsid w:val="00B676E4"/>
    <w:rsid w:val="00B676F4"/>
    <w:rsid w:val="00B7025C"/>
    <w:rsid w:val="00B70AC2"/>
    <w:rsid w:val="00B70E8E"/>
    <w:rsid w:val="00B71151"/>
    <w:rsid w:val="00B71884"/>
    <w:rsid w:val="00B73283"/>
    <w:rsid w:val="00B74CC8"/>
    <w:rsid w:val="00B750CA"/>
    <w:rsid w:val="00B75A40"/>
    <w:rsid w:val="00B76C92"/>
    <w:rsid w:val="00B77626"/>
    <w:rsid w:val="00B806B2"/>
    <w:rsid w:val="00B81722"/>
    <w:rsid w:val="00B818A4"/>
    <w:rsid w:val="00B81B0B"/>
    <w:rsid w:val="00B82ACD"/>
    <w:rsid w:val="00B82C13"/>
    <w:rsid w:val="00B8401E"/>
    <w:rsid w:val="00B84020"/>
    <w:rsid w:val="00B84117"/>
    <w:rsid w:val="00B854CA"/>
    <w:rsid w:val="00B858F0"/>
    <w:rsid w:val="00B85AA2"/>
    <w:rsid w:val="00B85BD4"/>
    <w:rsid w:val="00B86166"/>
    <w:rsid w:val="00B8649C"/>
    <w:rsid w:val="00B864E7"/>
    <w:rsid w:val="00B86750"/>
    <w:rsid w:val="00B8695D"/>
    <w:rsid w:val="00B8747D"/>
    <w:rsid w:val="00B87F0A"/>
    <w:rsid w:val="00B90F10"/>
    <w:rsid w:val="00B919F0"/>
    <w:rsid w:val="00B92D0B"/>
    <w:rsid w:val="00B932F2"/>
    <w:rsid w:val="00B93899"/>
    <w:rsid w:val="00B94945"/>
    <w:rsid w:val="00B94DD6"/>
    <w:rsid w:val="00B94E54"/>
    <w:rsid w:val="00B959D3"/>
    <w:rsid w:val="00B96468"/>
    <w:rsid w:val="00B969E8"/>
    <w:rsid w:val="00B97315"/>
    <w:rsid w:val="00B976F4"/>
    <w:rsid w:val="00BA056F"/>
    <w:rsid w:val="00BA1750"/>
    <w:rsid w:val="00BA1B70"/>
    <w:rsid w:val="00BA26FF"/>
    <w:rsid w:val="00BA322D"/>
    <w:rsid w:val="00BA3304"/>
    <w:rsid w:val="00BA3BDA"/>
    <w:rsid w:val="00BA4313"/>
    <w:rsid w:val="00BA5BE7"/>
    <w:rsid w:val="00BA63FA"/>
    <w:rsid w:val="00BB00B3"/>
    <w:rsid w:val="00BB02A8"/>
    <w:rsid w:val="00BB036C"/>
    <w:rsid w:val="00BB0B25"/>
    <w:rsid w:val="00BB0BDD"/>
    <w:rsid w:val="00BB15E0"/>
    <w:rsid w:val="00BB176C"/>
    <w:rsid w:val="00BB1BBE"/>
    <w:rsid w:val="00BB2A73"/>
    <w:rsid w:val="00BB3A45"/>
    <w:rsid w:val="00BB3AE4"/>
    <w:rsid w:val="00BB3E4E"/>
    <w:rsid w:val="00BB3FCA"/>
    <w:rsid w:val="00BB48B7"/>
    <w:rsid w:val="00BB4ACC"/>
    <w:rsid w:val="00BB4B12"/>
    <w:rsid w:val="00BB50FD"/>
    <w:rsid w:val="00BB688F"/>
    <w:rsid w:val="00BB68F9"/>
    <w:rsid w:val="00BB703E"/>
    <w:rsid w:val="00BB732D"/>
    <w:rsid w:val="00BB7405"/>
    <w:rsid w:val="00BC07A3"/>
    <w:rsid w:val="00BC25C0"/>
    <w:rsid w:val="00BC31D4"/>
    <w:rsid w:val="00BC3631"/>
    <w:rsid w:val="00BC37F4"/>
    <w:rsid w:val="00BC3BCD"/>
    <w:rsid w:val="00BC4949"/>
    <w:rsid w:val="00BC54AE"/>
    <w:rsid w:val="00BC591F"/>
    <w:rsid w:val="00BC5992"/>
    <w:rsid w:val="00BC6682"/>
    <w:rsid w:val="00BC6B67"/>
    <w:rsid w:val="00BC70D6"/>
    <w:rsid w:val="00BC73AA"/>
    <w:rsid w:val="00BC7D6D"/>
    <w:rsid w:val="00BD03E1"/>
    <w:rsid w:val="00BD154E"/>
    <w:rsid w:val="00BD1575"/>
    <w:rsid w:val="00BD1D47"/>
    <w:rsid w:val="00BD2108"/>
    <w:rsid w:val="00BD490D"/>
    <w:rsid w:val="00BD499A"/>
    <w:rsid w:val="00BD5BCB"/>
    <w:rsid w:val="00BD5C31"/>
    <w:rsid w:val="00BD6469"/>
    <w:rsid w:val="00BD68A3"/>
    <w:rsid w:val="00BD6938"/>
    <w:rsid w:val="00BD6CF3"/>
    <w:rsid w:val="00BD6D50"/>
    <w:rsid w:val="00BE00CE"/>
    <w:rsid w:val="00BE01F8"/>
    <w:rsid w:val="00BE0ECA"/>
    <w:rsid w:val="00BE1169"/>
    <w:rsid w:val="00BE13D8"/>
    <w:rsid w:val="00BE159D"/>
    <w:rsid w:val="00BE2180"/>
    <w:rsid w:val="00BE21F2"/>
    <w:rsid w:val="00BE24CA"/>
    <w:rsid w:val="00BE4275"/>
    <w:rsid w:val="00BE5AA6"/>
    <w:rsid w:val="00BF06AE"/>
    <w:rsid w:val="00BF08FA"/>
    <w:rsid w:val="00BF0F95"/>
    <w:rsid w:val="00BF2433"/>
    <w:rsid w:val="00BF31E8"/>
    <w:rsid w:val="00BF37C6"/>
    <w:rsid w:val="00BF3D31"/>
    <w:rsid w:val="00BF4721"/>
    <w:rsid w:val="00BF47DD"/>
    <w:rsid w:val="00BF5669"/>
    <w:rsid w:val="00BF61C9"/>
    <w:rsid w:val="00BF6C37"/>
    <w:rsid w:val="00BF6C94"/>
    <w:rsid w:val="00BF7D87"/>
    <w:rsid w:val="00C00424"/>
    <w:rsid w:val="00C00664"/>
    <w:rsid w:val="00C0246A"/>
    <w:rsid w:val="00C0368E"/>
    <w:rsid w:val="00C037ED"/>
    <w:rsid w:val="00C03E06"/>
    <w:rsid w:val="00C040AD"/>
    <w:rsid w:val="00C05547"/>
    <w:rsid w:val="00C05C04"/>
    <w:rsid w:val="00C10798"/>
    <w:rsid w:val="00C107A6"/>
    <w:rsid w:val="00C116AD"/>
    <w:rsid w:val="00C1179F"/>
    <w:rsid w:val="00C11967"/>
    <w:rsid w:val="00C125A4"/>
    <w:rsid w:val="00C12C14"/>
    <w:rsid w:val="00C13656"/>
    <w:rsid w:val="00C14291"/>
    <w:rsid w:val="00C144F3"/>
    <w:rsid w:val="00C14756"/>
    <w:rsid w:val="00C14EDC"/>
    <w:rsid w:val="00C15F04"/>
    <w:rsid w:val="00C16E32"/>
    <w:rsid w:val="00C179B3"/>
    <w:rsid w:val="00C17E2A"/>
    <w:rsid w:val="00C17E3F"/>
    <w:rsid w:val="00C200AA"/>
    <w:rsid w:val="00C20827"/>
    <w:rsid w:val="00C20C97"/>
    <w:rsid w:val="00C20DA0"/>
    <w:rsid w:val="00C21F44"/>
    <w:rsid w:val="00C22B0C"/>
    <w:rsid w:val="00C237ED"/>
    <w:rsid w:val="00C239EF"/>
    <w:rsid w:val="00C241E0"/>
    <w:rsid w:val="00C24632"/>
    <w:rsid w:val="00C25418"/>
    <w:rsid w:val="00C25D9C"/>
    <w:rsid w:val="00C26977"/>
    <w:rsid w:val="00C26A65"/>
    <w:rsid w:val="00C2778B"/>
    <w:rsid w:val="00C27E94"/>
    <w:rsid w:val="00C30B9D"/>
    <w:rsid w:val="00C310ED"/>
    <w:rsid w:val="00C31257"/>
    <w:rsid w:val="00C31649"/>
    <w:rsid w:val="00C33C56"/>
    <w:rsid w:val="00C33D46"/>
    <w:rsid w:val="00C3434C"/>
    <w:rsid w:val="00C3515D"/>
    <w:rsid w:val="00C3599F"/>
    <w:rsid w:val="00C35EED"/>
    <w:rsid w:val="00C36597"/>
    <w:rsid w:val="00C402F6"/>
    <w:rsid w:val="00C40385"/>
    <w:rsid w:val="00C41768"/>
    <w:rsid w:val="00C418BC"/>
    <w:rsid w:val="00C4323A"/>
    <w:rsid w:val="00C444B7"/>
    <w:rsid w:val="00C4480F"/>
    <w:rsid w:val="00C44BF5"/>
    <w:rsid w:val="00C453ED"/>
    <w:rsid w:val="00C45A96"/>
    <w:rsid w:val="00C475AA"/>
    <w:rsid w:val="00C477C3"/>
    <w:rsid w:val="00C478F1"/>
    <w:rsid w:val="00C5052E"/>
    <w:rsid w:val="00C507E6"/>
    <w:rsid w:val="00C516E2"/>
    <w:rsid w:val="00C51A6E"/>
    <w:rsid w:val="00C51F93"/>
    <w:rsid w:val="00C52311"/>
    <w:rsid w:val="00C5319A"/>
    <w:rsid w:val="00C53C98"/>
    <w:rsid w:val="00C546BF"/>
    <w:rsid w:val="00C550EB"/>
    <w:rsid w:val="00C56EFB"/>
    <w:rsid w:val="00C56FCF"/>
    <w:rsid w:val="00C57B6C"/>
    <w:rsid w:val="00C57E14"/>
    <w:rsid w:val="00C6000B"/>
    <w:rsid w:val="00C60C0E"/>
    <w:rsid w:val="00C60D3C"/>
    <w:rsid w:val="00C611CB"/>
    <w:rsid w:val="00C628A6"/>
    <w:rsid w:val="00C6292D"/>
    <w:rsid w:val="00C62D1C"/>
    <w:rsid w:val="00C633C7"/>
    <w:rsid w:val="00C638EB"/>
    <w:rsid w:val="00C63C5E"/>
    <w:rsid w:val="00C63DAA"/>
    <w:rsid w:val="00C63EF7"/>
    <w:rsid w:val="00C64344"/>
    <w:rsid w:val="00C6497A"/>
    <w:rsid w:val="00C649E7"/>
    <w:rsid w:val="00C65108"/>
    <w:rsid w:val="00C65576"/>
    <w:rsid w:val="00C659C0"/>
    <w:rsid w:val="00C66165"/>
    <w:rsid w:val="00C67249"/>
    <w:rsid w:val="00C67E5C"/>
    <w:rsid w:val="00C7060A"/>
    <w:rsid w:val="00C7151A"/>
    <w:rsid w:val="00C717E3"/>
    <w:rsid w:val="00C71B3A"/>
    <w:rsid w:val="00C71F60"/>
    <w:rsid w:val="00C72241"/>
    <w:rsid w:val="00C73057"/>
    <w:rsid w:val="00C73CF3"/>
    <w:rsid w:val="00C748F7"/>
    <w:rsid w:val="00C750C8"/>
    <w:rsid w:val="00C7560F"/>
    <w:rsid w:val="00C75AF7"/>
    <w:rsid w:val="00C75CFD"/>
    <w:rsid w:val="00C76148"/>
    <w:rsid w:val="00C762EA"/>
    <w:rsid w:val="00C76719"/>
    <w:rsid w:val="00C76752"/>
    <w:rsid w:val="00C76EA9"/>
    <w:rsid w:val="00C772A0"/>
    <w:rsid w:val="00C77E15"/>
    <w:rsid w:val="00C803B8"/>
    <w:rsid w:val="00C803BF"/>
    <w:rsid w:val="00C80A0E"/>
    <w:rsid w:val="00C8127B"/>
    <w:rsid w:val="00C820B4"/>
    <w:rsid w:val="00C8213F"/>
    <w:rsid w:val="00C82578"/>
    <w:rsid w:val="00C83187"/>
    <w:rsid w:val="00C84207"/>
    <w:rsid w:val="00C848EA"/>
    <w:rsid w:val="00C8505C"/>
    <w:rsid w:val="00C85154"/>
    <w:rsid w:val="00C85964"/>
    <w:rsid w:val="00C8797A"/>
    <w:rsid w:val="00C879B5"/>
    <w:rsid w:val="00C879D8"/>
    <w:rsid w:val="00C900B8"/>
    <w:rsid w:val="00C90107"/>
    <w:rsid w:val="00C90C71"/>
    <w:rsid w:val="00C90EA8"/>
    <w:rsid w:val="00C9167D"/>
    <w:rsid w:val="00C91FD1"/>
    <w:rsid w:val="00C92E4E"/>
    <w:rsid w:val="00C931CF"/>
    <w:rsid w:val="00C938CF"/>
    <w:rsid w:val="00C94053"/>
    <w:rsid w:val="00C95374"/>
    <w:rsid w:val="00C9624D"/>
    <w:rsid w:val="00C969DA"/>
    <w:rsid w:val="00C97027"/>
    <w:rsid w:val="00C9748D"/>
    <w:rsid w:val="00C97D81"/>
    <w:rsid w:val="00C97FF1"/>
    <w:rsid w:val="00CA04FA"/>
    <w:rsid w:val="00CA09C4"/>
    <w:rsid w:val="00CA0DA6"/>
    <w:rsid w:val="00CA120F"/>
    <w:rsid w:val="00CA20C3"/>
    <w:rsid w:val="00CA2C77"/>
    <w:rsid w:val="00CA2F6E"/>
    <w:rsid w:val="00CA3963"/>
    <w:rsid w:val="00CA3AC5"/>
    <w:rsid w:val="00CA3DE7"/>
    <w:rsid w:val="00CA3F66"/>
    <w:rsid w:val="00CA444F"/>
    <w:rsid w:val="00CA5245"/>
    <w:rsid w:val="00CA5A45"/>
    <w:rsid w:val="00CA6FA1"/>
    <w:rsid w:val="00CA71F4"/>
    <w:rsid w:val="00CA7B09"/>
    <w:rsid w:val="00CB04DD"/>
    <w:rsid w:val="00CB0602"/>
    <w:rsid w:val="00CB0A3C"/>
    <w:rsid w:val="00CB0F78"/>
    <w:rsid w:val="00CB10DB"/>
    <w:rsid w:val="00CB12A5"/>
    <w:rsid w:val="00CB1CAC"/>
    <w:rsid w:val="00CB2F2A"/>
    <w:rsid w:val="00CB348E"/>
    <w:rsid w:val="00CB3CDF"/>
    <w:rsid w:val="00CB58F4"/>
    <w:rsid w:val="00CB5B1A"/>
    <w:rsid w:val="00CB5E4C"/>
    <w:rsid w:val="00CB62EC"/>
    <w:rsid w:val="00CB6B22"/>
    <w:rsid w:val="00CB70D5"/>
    <w:rsid w:val="00CB756F"/>
    <w:rsid w:val="00CB7F5F"/>
    <w:rsid w:val="00CC02D8"/>
    <w:rsid w:val="00CC0E16"/>
    <w:rsid w:val="00CC1B39"/>
    <w:rsid w:val="00CC1CF4"/>
    <w:rsid w:val="00CC35EA"/>
    <w:rsid w:val="00CC376F"/>
    <w:rsid w:val="00CC3848"/>
    <w:rsid w:val="00CC3EB6"/>
    <w:rsid w:val="00CC468C"/>
    <w:rsid w:val="00CC47B5"/>
    <w:rsid w:val="00CC4D90"/>
    <w:rsid w:val="00CC5DD4"/>
    <w:rsid w:val="00CC709D"/>
    <w:rsid w:val="00CC7DFC"/>
    <w:rsid w:val="00CD0484"/>
    <w:rsid w:val="00CD0695"/>
    <w:rsid w:val="00CD06F9"/>
    <w:rsid w:val="00CD081E"/>
    <w:rsid w:val="00CD2D78"/>
    <w:rsid w:val="00CD2F4E"/>
    <w:rsid w:val="00CD36C0"/>
    <w:rsid w:val="00CD3F77"/>
    <w:rsid w:val="00CD5D1F"/>
    <w:rsid w:val="00CD6ADC"/>
    <w:rsid w:val="00CD7193"/>
    <w:rsid w:val="00CD78C8"/>
    <w:rsid w:val="00CE01FD"/>
    <w:rsid w:val="00CE0328"/>
    <w:rsid w:val="00CE1CD2"/>
    <w:rsid w:val="00CE1F04"/>
    <w:rsid w:val="00CE253E"/>
    <w:rsid w:val="00CE2AFB"/>
    <w:rsid w:val="00CE2BC1"/>
    <w:rsid w:val="00CE3435"/>
    <w:rsid w:val="00CE38C8"/>
    <w:rsid w:val="00CE52A1"/>
    <w:rsid w:val="00CE550F"/>
    <w:rsid w:val="00CE6274"/>
    <w:rsid w:val="00CE77B6"/>
    <w:rsid w:val="00CF0DEC"/>
    <w:rsid w:val="00CF21D3"/>
    <w:rsid w:val="00CF23F9"/>
    <w:rsid w:val="00CF2B8D"/>
    <w:rsid w:val="00CF456B"/>
    <w:rsid w:val="00CF4A4E"/>
    <w:rsid w:val="00CF5654"/>
    <w:rsid w:val="00CF5A22"/>
    <w:rsid w:val="00CF6CBB"/>
    <w:rsid w:val="00CF7689"/>
    <w:rsid w:val="00CF79CF"/>
    <w:rsid w:val="00D0022F"/>
    <w:rsid w:val="00D00322"/>
    <w:rsid w:val="00D017A5"/>
    <w:rsid w:val="00D0262E"/>
    <w:rsid w:val="00D02AF1"/>
    <w:rsid w:val="00D02FB7"/>
    <w:rsid w:val="00D05E3D"/>
    <w:rsid w:val="00D06139"/>
    <w:rsid w:val="00D06E92"/>
    <w:rsid w:val="00D07224"/>
    <w:rsid w:val="00D073C6"/>
    <w:rsid w:val="00D07489"/>
    <w:rsid w:val="00D10B9F"/>
    <w:rsid w:val="00D110BD"/>
    <w:rsid w:val="00D11EB0"/>
    <w:rsid w:val="00D12784"/>
    <w:rsid w:val="00D13675"/>
    <w:rsid w:val="00D13AA7"/>
    <w:rsid w:val="00D141E1"/>
    <w:rsid w:val="00D14F3F"/>
    <w:rsid w:val="00D1506F"/>
    <w:rsid w:val="00D15314"/>
    <w:rsid w:val="00D154A6"/>
    <w:rsid w:val="00D16566"/>
    <w:rsid w:val="00D165C0"/>
    <w:rsid w:val="00D16796"/>
    <w:rsid w:val="00D16A8C"/>
    <w:rsid w:val="00D178CC"/>
    <w:rsid w:val="00D17D6C"/>
    <w:rsid w:val="00D20167"/>
    <w:rsid w:val="00D204F0"/>
    <w:rsid w:val="00D2061D"/>
    <w:rsid w:val="00D20BE3"/>
    <w:rsid w:val="00D20CA2"/>
    <w:rsid w:val="00D20F9D"/>
    <w:rsid w:val="00D2155B"/>
    <w:rsid w:val="00D21879"/>
    <w:rsid w:val="00D2190C"/>
    <w:rsid w:val="00D21AFF"/>
    <w:rsid w:val="00D226A5"/>
    <w:rsid w:val="00D22A8D"/>
    <w:rsid w:val="00D23B08"/>
    <w:rsid w:val="00D23D11"/>
    <w:rsid w:val="00D244B6"/>
    <w:rsid w:val="00D24E8B"/>
    <w:rsid w:val="00D25DF0"/>
    <w:rsid w:val="00D264E2"/>
    <w:rsid w:val="00D26BD0"/>
    <w:rsid w:val="00D2754D"/>
    <w:rsid w:val="00D27599"/>
    <w:rsid w:val="00D279A3"/>
    <w:rsid w:val="00D27B27"/>
    <w:rsid w:val="00D33125"/>
    <w:rsid w:val="00D33BE9"/>
    <w:rsid w:val="00D33F93"/>
    <w:rsid w:val="00D345EF"/>
    <w:rsid w:val="00D34623"/>
    <w:rsid w:val="00D357FF"/>
    <w:rsid w:val="00D36A10"/>
    <w:rsid w:val="00D36E4A"/>
    <w:rsid w:val="00D4091A"/>
    <w:rsid w:val="00D42362"/>
    <w:rsid w:val="00D424C7"/>
    <w:rsid w:val="00D43B2A"/>
    <w:rsid w:val="00D43D83"/>
    <w:rsid w:val="00D45D90"/>
    <w:rsid w:val="00D4677C"/>
    <w:rsid w:val="00D46EFF"/>
    <w:rsid w:val="00D47575"/>
    <w:rsid w:val="00D47CDC"/>
    <w:rsid w:val="00D47D35"/>
    <w:rsid w:val="00D500F8"/>
    <w:rsid w:val="00D506A6"/>
    <w:rsid w:val="00D51806"/>
    <w:rsid w:val="00D51C08"/>
    <w:rsid w:val="00D520EE"/>
    <w:rsid w:val="00D5243B"/>
    <w:rsid w:val="00D52491"/>
    <w:rsid w:val="00D5285A"/>
    <w:rsid w:val="00D52AAC"/>
    <w:rsid w:val="00D533EC"/>
    <w:rsid w:val="00D5597C"/>
    <w:rsid w:val="00D55AB3"/>
    <w:rsid w:val="00D55D72"/>
    <w:rsid w:val="00D56692"/>
    <w:rsid w:val="00D569B7"/>
    <w:rsid w:val="00D56A95"/>
    <w:rsid w:val="00D60862"/>
    <w:rsid w:val="00D61469"/>
    <w:rsid w:val="00D617D3"/>
    <w:rsid w:val="00D61930"/>
    <w:rsid w:val="00D64093"/>
    <w:rsid w:val="00D653F0"/>
    <w:rsid w:val="00D65E39"/>
    <w:rsid w:val="00D665BE"/>
    <w:rsid w:val="00D671EE"/>
    <w:rsid w:val="00D67A7C"/>
    <w:rsid w:val="00D67D13"/>
    <w:rsid w:val="00D70C14"/>
    <w:rsid w:val="00D70F16"/>
    <w:rsid w:val="00D71B46"/>
    <w:rsid w:val="00D726A8"/>
    <w:rsid w:val="00D72F57"/>
    <w:rsid w:val="00D73038"/>
    <w:rsid w:val="00D73893"/>
    <w:rsid w:val="00D742B0"/>
    <w:rsid w:val="00D76A44"/>
    <w:rsid w:val="00D76C61"/>
    <w:rsid w:val="00D76E97"/>
    <w:rsid w:val="00D808E0"/>
    <w:rsid w:val="00D80AF8"/>
    <w:rsid w:val="00D80D2B"/>
    <w:rsid w:val="00D815EF"/>
    <w:rsid w:val="00D81EBF"/>
    <w:rsid w:val="00D81F26"/>
    <w:rsid w:val="00D8218F"/>
    <w:rsid w:val="00D8252D"/>
    <w:rsid w:val="00D83361"/>
    <w:rsid w:val="00D84362"/>
    <w:rsid w:val="00D8437D"/>
    <w:rsid w:val="00D84418"/>
    <w:rsid w:val="00D84874"/>
    <w:rsid w:val="00D86231"/>
    <w:rsid w:val="00D86CCE"/>
    <w:rsid w:val="00D905E6"/>
    <w:rsid w:val="00D917AD"/>
    <w:rsid w:val="00D91923"/>
    <w:rsid w:val="00D930BF"/>
    <w:rsid w:val="00D933A2"/>
    <w:rsid w:val="00D933E0"/>
    <w:rsid w:val="00D93589"/>
    <w:rsid w:val="00D936FB"/>
    <w:rsid w:val="00D93753"/>
    <w:rsid w:val="00D93C49"/>
    <w:rsid w:val="00D941CC"/>
    <w:rsid w:val="00D9485D"/>
    <w:rsid w:val="00D94E95"/>
    <w:rsid w:val="00D97BE2"/>
    <w:rsid w:val="00DA0E05"/>
    <w:rsid w:val="00DA1079"/>
    <w:rsid w:val="00DA27C3"/>
    <w:rsid w:val="00DA3167"/>
    <w:rsid w:val="00DA49C1"/>
    <w:rsid w:val="00DA4DC3"/>
    <w:rsid w:val="00DA4E8C"/>
    <w:rsid w:val="00DA513C"/>
    <w:rsid w:val="00DA5900"/>
    <w:rsid w:val="00DA5A8C"/>
    <w:rsid w:val="00DA608F"/>
    <w:rsid w:val="00DA69EB"/>
    <w:rsid w:val="00DA6F29"/>
    <w:rsid w:val="00DA71E1"/>
    <w:rsid w:val="00DA7340"/>
    <w:rsid w:val="00DA766D"/>
    <w:rsid w:val="00DA77A5"/>
    <w:rsid w:val="00DB1237"/>
    <w:rsid w:val="00DB1289"/>
    <w:rsid w:val="00DB1EFB"/>
    <w:rsid w:val="00DB28F0"/>
    <w:rsid w:val="00DB2A4C"/>
    <w:rsid w:val="00DB2D11"/>
    <w:rsid w:val="00DB3BE4"/>
    <w:rsid w:val="00DB3DBF"/>
    <w:rsid w:val="00DB484F"/>
    <w:rsid w:val="00DB5F76"/>
    <w:rsid w:val="00DB6357"/>
    <w:rsid w:val="00DB6692"/>
    <w:rsid w:val="00DB78EC"/>
    <w:rsid w:val="00DB7DB3"/>
    <w:rsid w:val="00DC04F6"/>
    <w:rsid w:val="00DC0690"/>
    <w:rsid w:val="00DC1D65"/>
    <w:rsid w:val="00DC25F2"/>
    <w:rsid w:val="00DC2797"/>
    <w:rsid w:val="00DC3C57"/>
    <w:rsid w:val="00DC4EC8"/>
    <w:rsid w:val="00DC5501"/>
    <w:rsid w:val="00DC59C2"/>
    <w:rsid w:val="00DC7154"/>
    <w:rsid w:val="00DC7E8A"/>
    <w:rsid w:val="00DC7EC5"/>
    <w:rsid w:val="00DD0A8F"/>
    <w:rsid w:val="00DD0F78"/>
    <w:rsid w:val="00DD273C"/>
    <w:rsid w:val="00DD2765"/>
    <w:rsid w:val="00DD2FF0"/>
    <w:rsid w:val="00DD32CB"/>
    <w:rsid w:val="00DD3F28"/>
    <w:rsid w:val="00DD4442"/>
    <w:rsid w:val="00DD4537"/>
    <w:rsid w:val="00DD4E15"/>
    <w:rsid w:val="00DD5522"/>
    <w:rsid w:val="00DD5F88"/>
    <w:rsid w:val="00DD6017"/>
    <w:rsid w:val="00DD6192"/>
    <w:rsid w:val="00DD6962"/>
    <w:rsid w:val="00DD6DAE"/>
    <w:rsid w:val="00DD71BF"/>
    <w:rsid w:val="00DE0ECF"/>
    <w:rsid w:val="00DE1850"/>
    <w:rsid w:val="00DE2304"/>
    <w:rsid w:val="00DE25F6"/>
    <w:rsid w:val="00DE2B45"/>
    <w:rsid w:val="00DE3138"/>
    <w:rsid w:val="00DE31BB"/>
    <w:rsid w:val="00DE355F"/>
    <w:rsid w:val="00DE37F8"/>
    <w:rsid w:val="00DE38AE"/>
    <w:rsid w:val="00DE3F73"/>
    <w:rsid w:val="00DE4FCB"/>
    <w:rsid w:val="00DE5855"/>
    <w:rsid w:val="00DE5D07"/>
    <w:rsid w:val="00DE5E3C"/>
    <w:rsid w:val="00DE5E8E"/>
    <w:rsid w:val="00DE61F0"/>
    <w:rsid w:val="00DE6F2F"/>
    <w:rsid w:val="00DE72A7"/>
    <w:rsid w:val="00DE779B"/>
    <w:rsid w:val="00DE7832"/>
    <w:rsid w:val="00DE7B49"/>
    <w:rsid w:val="00DF18FC"/>
    <w:rsid w:val="00DF1B69"/>
    <w:rsid w:val="00DF2A9D"/>
    <w:rsid w:val="00DF4206"/>
    <w:rsid w:val="00DF58D2"/>
    <w:rsid w:val="00DF5D2B"/>
    <w:rsid w:val="00DF69FB"/>
    <w:rsid w:val="00DF79BF"/>
    <w:rsid w:val="00DF7A96"/>
    <w:rsid w:val="00E00126"/>
    <w:rsid w:val="00E00E8E"/>
    <w:rsid w:val="00E00F8F"/>
    <w:rsid w:val="00E01171"/>
    <w:rsid w:val="00E01238"/>
    <w:rsid w:val="00E0148E"/>
    <w:rsid w:val="00E02DBC"/>
    <w:rsid w:val="00E03CDC"/>
    <w:rsid w:val="00E04546"/>
    <w:rsid w:val="00E0463E"/>
    <w:rsid w:val="00E04A3F"/>
    <w:rsid w:val="00E050D3"/>
    <w:rsid w:val="00E05278"/>
    <w:rsid w:val="00E05630"/>
    <w:rsid w:val="00E0584C"/>
    <w:rsid w:val="00E05BCB"/>
    <w:rsid w:val="00E06DBB"/>
    <w:rsid w:val="00E071CE"/>
    <w:rsid w:val="00E079AC"/>
    <w:rsid w:val="00E10149"/>
    <w:rsid w:val="00E106A3"/>
    <w:rsid w:val="00E1071B"/>
    <w:rsid w:val="00E11340"/>
    <w:rsid w:val="00E122A1"/>
    <w:rsid w:val="00E12D78"/>
    <w:rsid w:val="00E1355F"/>
    <w:rsid w:val="00E139B7"/>
    <w:rsid w:val="00E142BC"/>
    <w:rsid w:val="00E150E5"/>
    <w:rsid w:val="00E16064"/>
    <w:rsid w:val="00E16372"/>
    <w:rsid w:val="00E17D92"/>
    <w:rsid w:val="00E20A94"/>
    <w:rsid w:val="00E20B57"/>
    <w:rsid w:val="00E20E4D"/>
    <w:rsid w:val="00E20ED6"/>
    <w:rsid w:val="00E20FA1"/>
    <w:rsid w:val="00E21358"/>
    <w:rsid w:val="00E21EA3"/>
    <w:rsid w:val="00E2249B"/>
    <w:rsid w:val="00E229AE"/>
    <w:rsid w:val="00E22A0D"/>
    <w:rsid w:val="00E23F2E"/>
    <w:rsid w:val="00E244F6"/>
    <w:rsid w:val="00E24A8E"/>
    <w:rsid w:val="00E24CF6"/>
    <w:rsid w:val="00E25908"/>
    <w:rsid w:val="00E25D2B"/>
    <w:rsid w:val="00E260FF"/>
    <w:rsid w:val="00E26F08"/>
    <w:rsid w:val="00E26FF1"/>
    <w:rsid w:val="00E272AB"/>
    <w:rsid w:val="00E2771E"/>
    <w:rsid w:val="00E2779C"/>
    <w:rsid w:val="00E27F93"/>
    <w:rsid w:val="00E27FED"/>
    <w:rsid w:val="00E30686"/>
    <w:rsid w:val="00E30FC2"/>
    <w:rsid w:val="00E3109E"/>
    <w:rsid w:val="00E311EF"/>
    <w:rsid w:val="00E3217D"/>
    <w:rsid w:val="00E32180"/>
    <w:rsid w:val="00E32CDC"/>
    <w:rsid w:val="00E33D26"/>
    <w:rsid w:val="00E34948"/>
    <w:rsid w:val="00E3537F"/>
    <w:rsid w:val="00E35ABF"/>
    <w:rsid w:val="00E37569"/>
    <w:rsid w:val="00E37837"/>
    <w:rsid w:val="00E401B2"/>
    <w:rsid w:val="00E40D3C"/>
    <w:rsid w:val="00E41E30"/>
    <w:rsid w:val="00E429F2"/>
    <w:rsid w:val="00E42F73"/>
    <w:rsid w:val="00E435EF"/>
    <w:rsid w:val="00E43D70"/>
    <w:rsid w:val="00E43F9A"/>
    <w:rsid w:val="00E444D1"/>
    <w:rsid w:val="00E4575F"/>
    <w:rsid w:val="00E465FE"/>
    <w:rsid w:val="00E466F3"/>
    <w:rsid w:val="00E47B2C"/>
    <w:rsid w:val="00E5080B"/>
    <w:rsid w:val="00E50B23"/>
    <w:rsid w:val="00E51184"/>
    <w:rsid w:val="00E51560"/>
    <w:rsid w:val="00E52027"/>
    <w:rsid w:val="00E5306F"/>
    <w:rsid w:val="00E53746"/>
    <w:rsid w:val="00E53FC8"/>
    <w:rsid w:val="00E54347"/>
    <w:rsid w:val="00E55424"/>
    <w:rsid w:val="00E55915"/>
    <w:rsid w:val="00E55BB5"/>
    <w:rsid w:val="00E55E1F"/>
    <w:rsid w:val="00E5754A"/>
    <w:rsid w:val="00E60468"/>
    <w:rsid w:val="00E60AB5"/>
    <w:rsid w:val="00E61A8F"/>
    <w:rsid w:val="00E61FFB"/>
    <w:rsid w:val="00E62BEF"/>
    <w:rsid w:val="00E63864"/>
    <w:rsid w:val="00E63ED6"/>
    <w:rsid w:val="00E64110"/>
    <w:rsid w:val="00E644D7"/>
    <w:rsid w:val="00E64D38"/>
    <w:rsid w:val="00E653B3"/>
    <w:rsid w:val="00E65E79"/>
    <w:rsid w:val="00E66BA2"/>
    <w:rsid w:val="00E66F10"/>
    <w:rsid w:val="00E67416"/>
    <w:rsid w:val="00E70295"/>
    <w:rsid w:val="00E7137F"/>
    <w:rsid w:val="00E715A6"/>
    <w:rsid w:val="00E718B6"/>
    <w:rsid w:val="00E723BA"/>
    <w:rsid w:val="00E72F22"/>
    <w:rsid w:val="00E73581"/>
    <w:rsid w:val="00E74197"/>
    <w:rsid w:val="00E751D5"/>
    <w:rsid w:val="00E768E7"/>
    <w:rsid w:val="00E77F70"/>
    <w:rsid w:val="00E803DE"/>
    <w:rsid w:val="00E80818"/>
    <w:rsid w:val="00E82EF6"/>
    <w:rsid w:val="00E8330A"/>
    <w:rsid w:val="00E833F7"/>
    <w:rsid w:val="00E834D6"/>
    <w:rsid w:val="00E83BDF"/>
    <w:rsid w:val="00E869FD"/>
    <w:rsid w:val="00E86CEF"/>
    <w:rsid w:val="00E86D98"/>
    <w:rsid w:val="00E872E3"/>
    <w:rsid w:val="00E87A1D"/>
    <w:rsid w:val="00E9024F"/>
    <w:rsid w:val="00E9094A"/>
    <w:rsid w:val="00E915B9"/>
    <w:rsid w:val="00E91930"/>
    <w:rsid w:val="00E91D35"/>
    <w:rsid w:val="00E926A5"/>
    <w:rsid w:val="00E932AA"/>
    <w:rsid w:val="00E94268"/>
    <w:rsid w:val="00E94732"/>
    <w:rsid w:val="00E95F5E"/>
    <w:rsid w:val="00E96326"/>
    <w:rsid w:val="00E96C00"/>
    <w:rsid w:val="00E97FED"/>
    <w:rsid w:val="00EA1265"/>
    <w:rsid w:val="00EA17C3"/>
    <w:rsid w:val="00EA1A28"/>
    <w:rsid w:val="00EA1E63"/>
    <w:rsid w:val="00EA2CAA"/>
    <w:rsid w:val="00EA3864"/>
    <w:rsid w:val="00EA410E"/>
    <w:rsid w:val="00EA44BA"/>
    <w:rsid w:val="00EA68CF"/>
    <w:rsid w:val="00EA7D8D"/>
    <w:rsid w:val="00EA7F1C"/>
    <w:rsid w:val="00EB0248"/>
    <w:rsid w:val="00EB14FF"/>
    <w:rsid w:val="00EB1548"/>
    <w:rsid w:val="00EB15B6"/>
    <w:rsid w:val="00EB2611"/>
    <w:rsid w:val="00EB2CDF"/>
    <w:rsid w:val="00EB2E56"/>
    <w:rsid w:val="00EB394C"/>
    <w:rsid w:val="00EB3CBE"/>
    <w:rsid w:val="00EB3D06"/>
    <w:rsid w:val="00EB40A2"/>
    <w:rsid w:val="00EB4916"/>
    <w:rsid w:val="00EB49D5"/>
    <w:rsid w:val="00EB5AB5"/>
    <w:rsid w:val="00EB655D"/>
    <w:rsid w:val="00EB7413"/>
    <w:rsid w:val="00EB7668"/>
    <w:rsid w:val="00EC00C9"/>
    <w:rsid w:val="00EC046B"/>
    <w:rsid w:val="00EC0DD9"/>
    <w:rsid w:val="00EC2649"/>
    <w:rsid w:val="00EC31ED"/>
    <w:rsid w:val="00EC4511"/>
    <w:rsid w:val="00EC48B7"/>
    <w:rsid w:val="00EC5836"/>
    <w:rsid w:val="00EC5B09"/>
    <w:rsid w:val="00EC5C70"/>
    <w:rsid w:val="00EC688C"/>
    <w:rsid w:val="00EC68EC"/>
    <w:rsid w:val="00EC7972"/>
    <w:rsid w:val="00ED02A2"/>
    <w:rsid w:val="00ED0693"/>
    <w:rsid w:val="00ED08FE"/>
    <w:rsid w:val="00ED3F3F"/>
    <w:rsid w:val="00ED3FF3"/>
    <w:rsid w:val="00ED4649"/>
    <w:rsid w:val="00ED4A6A"/>
    <w:rsid w:val="00ED4BF0"/>
    <w:rsid w:val="00ED57EA"/>
    <w:rsid w:val="00ED5BD4"/>
    <w:rsid w:val="00ED5CDD"/>
    <w:rsid w:val="00ED5F6A"/>
    <w:rsid w:val="00ED6C9B"/>
    <w:rsid w:val="00ED7A46"/>
    <w:rsid w:val="00EE07CA"/>
    <w:rsid w:val="00EE07D3"/>
    <w:rsid w:val="00EE1827"/>
    <w:rsid w:val="00EE1996"/>
    <w:rsid w:val="00EE1C01"/>
    <w:rsid w:val="00EE22AF"/>
    <w:rsid w:val="00EE2E1C"/>
    <w:rsid w:val="00EE3BDE"/>
    <w:rsid w:val="00EE4D9A"/>
    <w:rsid w:val="00EE5CA4"/>
    <w:rsid w:val="00EE6AF9"/>
    <w:rsid w:val="00EE6BD0"/>
    <w:rsid w:val="00EE6F8B"/>
    <w:rsid w:val="00EE73BD"/>
    <w:rsid w:val="00EF0171"/>
    <w:rsid w:val="00EF1B25"/>
    <w:rsid w:val="00EF1DA0"/>
    <w:rsid w:val="00EF1FD7"/>
    <w:rsid w:val="00EF2575"/>
    <w:rsid w:val="00EF44D8"/>
    <w:rsid w:val="00EF4747"/>
    <w:rsid w:val="00EF4BF8"/>
    <w:rsid w:val="00EF4EE1"/>
    <w:rsid w:val="00EF5A0D"/>
    <w:rsid w:val="00EF5CD3"/>
    <w:rsid w:val="00EF60DA"/>
    <w:rsid w:val="00EF68F8"/>
    <w:rsid w:val="00EF6D34"/>
    <w:rsid w:val="00F00802"/>
    <w:rsid w:val="00F02253"/>
    <w:rsid w:val="00F0281F"/>
    <w:rsid w:val="00F0357F"/>
    <w:rsid w:val="00F03C2E"/>
    <w:rsid w:val="00F04901"/>
    <w:rsid w:val="00F04A66"/>
    <w:rsid w:val="00F04B4B"/>
    <w:rsid w:val="00F0516C"/>
    <w:rsid w:val="00F05588"/>
    <w:rsid w:val="00F05ED3"/>
    <w:rsid w:val="00F060BE"/>
    <w:rsid w:val="00F067A2"/>
    <w:rsid w:val="00F07410"/>
    <w:rsid w:val="00F07B9E"/>
    <w:rsid w:val="00F11166"/>
    <w:rsid w:val="00F1116F"/>
    <w:rsid w:val="00F11658"/>
    <w:rsid w:val="00F11AC9"/>
    <w:rsid w:val="00F1263A"/>
    <w:rsid w:val="00F12770"/>
    <w:rsid w:val="00F12C1E"/>
    <w:rsid w:val="00F12E81"/>
    <w:rsid w:val="00F13FF8"/>
    <w:rsid w:val="00F14461"/>
    <w:rsid w:val="00F147C7"/>
    <w:rsid w:val="00F152BE"/>
    <w:rsid w:val="00F15A3D"/>
    <w:rsid w:val="00F15B77"/>
    <w:rsid w:val="00F15E5C"/>
    <w:rsid w:val="00F16E59"/>
    <w:rsid w:val="00F17A05"/>
    <w:rsid w:val="00F17A53"/>
    <w:rsid w:val="00F205D1"/>
    <w:rsid w:val="00F20668"/>
    <w:rsid w:val="00F208FB"/>
    <w:rsid w:val="00F20900"/>
    <w:rsid w:val="00F228D5"/>
    <w:rsid w:val="00F22ADC"/>
    <w:rsid w:val="00F24545"/>
    <w:rsid w:val="00F24837"/>
    <w:rsid w:val="00F24DE6"/>
    <w:rsid w:val="00F2575F"/>
    <w:rsid w:val="00F260E7"/>
    <w:rsid w:val="00F262E4"/>
    <w:rsid w:val="00F26524"/>
    <w:rsid w:val="00F27565"/>
    <w:rsid w:val="00F303C0"/>
    <w:rsid w:val="00F310D4"/>
    <w:rsid w:val="00F31D5A"/>
    <w:rsid w:val="00F32557"/>
    <w:rsid w:val="00F336AA"/>
    <w:rsid w:val="00F33975"/>
    <w:rsid w:val="00F33DE9"/>
    <w:rsid w:val="00F33FAE"/>
    <w:rsid w:val="00F35C18"/>
    <w:rsid w:val="00F35E6D"/>
    <w:rsid w:val="00F3619A"/>
    <w:rsid w:val="00F4007A"/>
    <w:rsid w:val="00F40AAA"/>
    <w:rsid w:val="00F40B9D"/>
    <w:rsid w:val="00F40BA7"/>
    <w:rsid w:val="00F40D24"/>
    <w:rsid w:val="00F40DD1"/>
    <w:rsid w:val="00F40F9D"/>
    <w:rsid w:val="00F4155E"/>
    <w:rsid w:val="00F41ACD"/>
    <w:rsid w:val="00F41DB3"/>
    <w:rsid w:val="00F4301B"/>
    <w:rsid w:val="00F432B1"/>
    <w:rsid w:val="00F446E3"/>
    <w:rsid w:val="00F44ED6"/>
    <w:rsid w:val="00F46315"/>
    <w:rsid w:val="00F46C0E"/>
    <w:rsid w:val="00F46CB6"/>
    <w:rsid w:val="00F46E7C"/>
    <w:rsid w:val="00F46EAC"/>
    <w:rsid w:val="00F4756D"/>
    <w:rsid w:val="00F47DE8"/>
    <w:rsid w:val="00F47EF1"/>
    <w:rsid w:val="00F51828"/>
    <w:rsid w:val="00F51897"/>
    <w:rsid w:val="00F52745"/>
    <w:rsid w:val="00F529CD"/>
    <w:rsid w:val="00F52ABE"/>
    <w:rsid w:val="00F52C02"/>
    <w:rsid w:val="00F52E19"/>
    <w:rsid w:val="00F542C1"/>
    <w:rsid w:val="00F55E73"/>
    <w:rsid w:val="00F55EDA"/>
    <w:rsid w:val="00F56368"/>
    <w:rsid w:val="00F56C80"/>
    <w:rsid w:val="00F57F41"/>
    <w:rsid w:val="00F60092"/>
    <w:rsid w:val="00F608F1"/>
    <w:rsid w:val="00F61381"/>
    <w:rsid w:val="00F61C18"/>
    <w:rsid w:val="00F625B5"/>
    <w:rsid w:val="00F627CB"/>
    <w:rsid w:val="00F62BBC"/>
    <w:rsid w:val="00F65F4B"/>
    <w:rsid w:val="00F65FD6"/>
    <w:rsid w:val="00F668A2"/>
    <w:rsid w:val="00F6716A"/>
    <w:rsid w:val="00F67A69"/>
    <w:rsid w:val="00F67DB4"/>
    <w:rsid w:val="00F67F6C"/>
    <w:rsid w:val="00F7058F"/>
    <w:rsid w:val="00F70BFF"/>
    <w:rsid w:val="00F70C9D"/>
    <w:rsid w:val="00F71141"/>
    <w:rsid w:val="00F729CB"/>
    <w:rsid w:val="00F72BBC"/>
    <w:rsid w:val="00F7304B"/>
    <w:rsid w:val="00F730A7"/>
    <w:rsid w:val="00F73907"/>
    <w:rsid w:val="00F749FC"/>
    <w:rsid w:val="00F74CD9"/>
    <w:rsid w:val="00F7525A"/>
    <w:rsid w:val="00F77D22"/>
    <w:rsid w:val="00F806FA"/>
    <w:rsid w:val="00F80943"/>
    <w:rsid w:val="00F80A7B"/>
    <w:rsid w:val="00F80B25"/>
    <w:rsid w:val="00F80DA0"/>
    <w:rsid w:val="00F80E5D"/>
    <w:rsid w:val="00F81A1A"/>
    <w:rsid w:val="00F81E78"/>
    <w:rsid w:val="00F849F3"/>
    <w:rsid w:val="00F851CE"/>
    <w:rsid w:val="00F85E46"/>
    <w:rsid w:val="00F865F6"/>
    <w:rsid w:val="00F86D53"/>
    <w:rsid w:val="00F86E73"/>
    <w:rsid w:val="00F90012"/>
    <w:rsid w:val="00F910D8"/>
    <w:rsid w:val="00F91219"/>
    <w:rsid w:val="00F92444"/>
    <w:rsid w:val="00F9393E"/>
    <w:rsid w:val="00F93AD7"/>
    <w:rsid w:val="00F9403B"/>
    <w:rsid w:val="00F95A8F"/>
    <w:rsid w:val="00F96EEC"/>
    <w:rsid w:val="00F96FD0"/>
    <w:rsid w:val="00F9765B"/>
    <w:rsid w:val="00F97A78"/>
    <w:rsid w:val="00F97FE4"/>
    <w:rsid w:val="00FA0B20"/>
    <w:rsid w:val="00FA0D42"/>
    <w:rsid w:val="00FA1714"/>
    <w:rsid w:val="00FA24E7"/>
    <w:rsid w:val="00FA2870"/>
    <w:rsid w:val="00FA29B3"/>
    <w:rsid w:val="00FA325D"/>
    <w:rsid w:val="00FA39EA"/>
    <w:rsid w:val="00FA5224"/>
    <w:rsid w:val="00FA5DEF"/>
    <w:rsid w:val="00FA5EE6"/>
    <w:rsid w:val="00FA65D3"/>
    <w:rsid w:val="00FA7902"/>
    <w:rsid w:val="00FA7956"/>
    <w:rsid w:val="00FB14BB"/>
    <w:rsid w:val="00FB18BA"/>
    <w:rsid w:val="00FB18E6"/>
    <w:rsid w:val="00FB202C"/>
    <w:rsid w:val="00FB2131"/>
    <w:rsid w:val="00FB2325"/>
    <w:rsid w:val="00FB2FCB"/>
    <w:rsid w:val="00FB4D4E"/>
    <w:rsid w:val="00FB5422"/>
    <w:rsid w:val="00FB6995"/>
    <w:rsid w:val="00FB7C55"/>
    <w:rsid w:val="00FC1074"/>
    <w:rsid w:val="00FC1170"/>
    <w:rsid w:val="00FC1884"/>
    <w:rsid w:val="00FC371D"/>
    <w:rsid w:val="00FC5462"/>
    <w:rsid w:val="00FC5BC6"/>
    <w:rsid w:val="00FC5F0B"/>
    <w:rsid w:val="00FC61D1"/>
    <w:rsid w:val="00FC63D0"/>
    <w:rsid w:val="00FC6558"/>
    <w:rsid w:val="00FC76E4"/>
    <w:rsid w:val="00FD011A"/>
    <w:rsid w:val="00FD12BA"/>
    <w:rsid w:val="00FD1CBC"/>
    <w:rsid w:val="00FD2100"/>
    <w:rsid w:val="00FD29C8"/>
    <w:rsid w:val="00FD31F1"/>
    <w:rsid w:val="00FD3DEF"/>
    <w:rsid w:val="00FD436C"/>
    <w:rsid w:val="00FD445C"/>
    <w:rsid w:val="00FD446D"/>
    <w:rsid w:val="00FD461A"/>
    <w:rsid w:val="00FD4F2C"/>
    <w:rsid w:val="00FD5141"/>
    <w:rsid w:val="00FD54D0"/>
    <w:rsid w:val="00FD5628"/>
    <w:rsid w:val="00FD5B36"/>
    <w:rsid w:val="00FD6394"/>
    <w:rsid w:val="00FE0822"/>
    <w:rsid w:val="00FE0E6C"/>
    <w:rsid w:val="00FE1673"/>
    <w:rsid w:val="00FE1910"/>
    <w:rsid w:val="00FE1952"/>
    <w:rsid w:val="00FE1CDC"/>
    <w:rsid w:val="00FE37A4"/>
    <w:rsid w:val="00FE4291"/>
    <w:rsid w:val="00FE48CB"/>
    <w:rsid w:val="00FE492B"/>
    <w:rsid w:val="00FE5B46"/>
    <w:rsid w:val="00FE5CE6"/>
    <w:rsid w:val="00FE6158"/>
    <w:rsid w:val="00FE6EEB"/>
    <w:rsid w:val="00FE70C3"/>
    <w:rsid w:val="00FF02AA"/>
    <w:rsid w:val="00FF0E53"/>
    <w:rsid w:val="00FF211A"/>
    <w:rsid w:val="00FF2A33"/>
    <w:rsid w:val="00FF2AD9"/>
    <w:rsid w:val="00FF2C7E"/>
    <w:rsid w:val="00FF359F"/>
    <w:rsid w:val="00FF3DCF"/>
    <w:rsid w:val="00FF4518"/>
    <w:rsid w:val="00FF45BC"/>
    <w:rsid w:val="00FF492C"/>
    <w:rsid w:val="00FF4A21"/>
    <w:rsid w:val="00FF4EEE"/>
    <w:rsid w:val="00FF50CD"/>
    <w:rsid w:val="00FF5725"/>
    <w:rsid w:val="00FF5AA3"/>
    <w:rsid w:val="00FF5AD8"/>
    <w:rsid w:val="00FF5CEE"/>
    <w:rsid w:val="00FF5F6D"/>
    <w:rsid w:val="00FF68C6"/>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BULLET,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der Table,NICE instructions,Source table_,PBAC table,new sty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A97EE2"/>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E1BC8"/>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Annotationtext,Char, Char,Char1,Char2,Comment Text Char1 Char,Comment Text Char Char Char,list paragraph 2,Comment Text ZS"/>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Annotationtext Char,Char Char, Char Char,Char1 Char,Char2 Char,Comment Text Char1 Char Char,Comment Text Char Char Char Char,list paragraph 2 Char,Comment Text ZS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uiPriority w:val="99"/>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paragraph" w:customStyle="1" w:styleId="TableRight">
    <w:name w:val="Table Right"/>
    <w:basedOn w:val="Normal"/>
    <w:uiPriority w:val="5"/>
    <w:rsid w:val="002F6583"/>
    <w:pPr>
      <w:jc w:val="right"/>
    </w:pPr>
    <w:rPr>
      <w:rFonts w:ascii="Arial Narrow" w:eastAsiaTheme="majorEastAsia" w:hAnsi="Arial Narrow" w:cstheme="majorBidi"/>
      <w:sz w:val="20"/>
      <w:szCs w:val="22"/>
      <w:lang w:eastAsia="en-US" w:bidi="en-US"/>
    </w:rPr>
  </w:style>
  <w:style w:type="table" w:customStyle="1" w:styleId="TableGrid1">
    <w:name w:val="Table Grid1"/>
    <w:basedOn w:val="TableNormal"/>
    <w:next w:val="TableGrid"/>
    <w:uiPriority w:val="59"/>
    <w:rsid w:val="00AD38C1"/>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
    <w:name w:val="Small"/>
    <w:basedOn w:val="DefaultParagraphFont"/>
    <w:uiPriority w:val="4"/>
    <w:rsid w:val="0044751C"/>
    <w:rPr>
      <w:rFonts w:ascii="Calibri" w:hAnsi="Calibri"/>
      <w:sz w:val="20"/>
    </w:rPr>
  </w:style>
  <w:style w:type="character" w:customStyle="1" w:styleId="SmallHighlight">
    <w:name w:val="Small Highlight"/>
    <w:basedOn w:val="Small"/>
    <w:uiPriority w:val="1"/>
    <w:rsid w:val="0044751C"/>
    <w:rPr>
      <w:rFonts w:ascii="Calibri" w:hAnsi="Calibri"/>
      <w:sz w:val="20"/>
      <w:bdr w:val="none" w:sz="0" w:space="0" w:color="auto"/>
      <w:shd w:val="clear" w:color="auto" w:fill="FFFF00"/>
    </w:rPr>
  </w:style>
  <w:style w:type="table" w:customStyle="1" w:styleId="THEMA">
    <w:name w:val="THEMA"/>
    <w:basedOn w:val="TableNormal"/>
    <w:uiPriority w:val="99"/>
    <w:rsid w:val="0044751C"/>
    <w:pPr>
      <w:keepNext/>
      <w:keepLines/>
      <w:spacing w:before="20" w:after="20"/>
    </w:pPr>
    <w:rPr>
      <w:rFonts w:asciiTheme="minorHAnsi" w:eastAsiaTheme="majorEastAsia" w:hAnsiTheme="minorHAnsi"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0"/>
      </w:rPr>
      <w:tblPr/>
      <w:tcPr>
        <w:shd w:val="clear" w:color="auto" w:fill="D9D9D9" w:themeFill="background1" w:themeFillShade="D9"/>
      </w:tcPr>
    </w:tblStylePr>
  </w:style>
  <w:style w:type="character" w:customStyle="1" w:styleId="FontSubscript">
    <w:name w:val="Font Subscript"/>
    <w:basedOn w:val="DefaultParagraphFont"/>
    <w:uiPriority w:val="1"/>
    <w:rsid w:val="00230C1D"/>
    <w:rPr>
      <w:rFonts w:ascii="Sabon" w:hAnsi="Sabon"/>
      <w:sz w:val="22"/>
      <w:vertAlign w:val="subscript"/>
    </w:rPr>
  </w:style>
  <w:style w:type="paragraph" w:customStyle="1" w:styleId="TableBullets">
    <w:name w:val="Table Bullets"/>
    <w:basedOn w:val="TableLeft"/>
    <w:uiPriority w:val="5"/>
    <w:qFormat/>
    <w:rsid w:val="00722A7F"/>
    <w:pPr>
      <w:numPr>
        <w:numId w:val="38"/>
      </w:numPr>
      <w:jc w:val="both"/>
    </w:pPr>
    <w:rPr>
      <w:rFonts w:eastAsiaTheme="majorEastAsia" w:cstheme="majorBidi"/>
      <w:sz w:val="18"/>
      <w:lang w:bidi="en-US"/>
    </w:rPr>
  </w:style>
  <w:style w:type="table" w:customStyle="1" w:styleId="Submissionstandard1">
    <w:name w:val="Submission standard1"/>
    <w:basedOn w:val="TableNormal"/>
    <w:uiPriority w:val="99"/>
    <w:qFormat/>
    <w:rsid w:val="0058315C"/>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w:hAnsi="Arial Narrow"/>
        <w:b/>
        <w:sz w:val="20"/>
      </w:rPr>
      <w:tblPr/>
      <w:tcPr>
        <w:shd w:val="clear" w:color="auto" w:fill="BFBFBF" w:themeFill="background1" w:themeFillShade="BF"/>
      </w:tcPr>
    </w:tblStylePr>
  </w:style>
  <w:style w:type="table" w:customStyle="1" w:styleId="Sourcetable2">
    <w:name w:val="Source table_2"/>
    <w:basedOn w:val="TableNormal"/>
    <w:next w:val="TableGrid"/>
    <w:uiPriority w:val="59"/>
    <w:rsid w:val="009758A6"/>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semiHidden/>
    <w:unhideWhenUsed/>
    <w:rsid w:val="006A7CB7"/>
    <w:rPr>
      <w:sz w:val="20"/>
      <w:szCs w:val="20"/>
    </w:rPr>
  </w:style>
  <w:style w:type="character" w:customStyle="1" w:styleId="FootnoteTextChar">
    <w:name w:val="Footnote Text Char"/>
    <w:basedOn w:val="DefaultParagraphFont"/>
    <w:link w:val="FootnoteText"/>
    <w:semiHidden/>
    <w:rsid w:val="006A7CB7"/>
    <w:rPr>
      <w:rFonts w:ascii="Calibri" w:hAnsi="Calibri" w:cs="Arial"/>
    </w:rPr>
  </w:style>
  <w:style w:type="character" w:styleId="FootnoteReference">
    <w:name w:val="footnote reference"/>
    <w:basedOn w:val="DefaultParagraphFont"/>
    <w:semiHidden/>
    <w:unhideWhenUsed/>
    <w:rsid w:val="006A7CB7"/>
    <w:rPr>
      <w:vertAlign w:val="superscript"/>
    </w:rPr>
  </w:style>
  <w:style w:type="character" w:customStyle="1" w:styleId="UnresolvedMention1">
    <w:name w:val="Unresolved Mention1"/>
    <w:basedOn w:val="DefaultParagraphFont"/>
    <w:uiPriority w:val="99"/>
    <w:semiHidden/>
    <w:unhideWhenUsed/>
    <w:rsid w:val="006A7CB7"/>
    <w:rPr>
      <w:color w:val="605E5C"/>
      <w:shd w:val="clear" w:color="auto" w:fill="E1DFDD"/>
    </w:rPr>
  </w:style>
  <w:style w:type="paragraph" w:customStyle="1" w:styleId="Default">
    <w:name w:val="Default"/>
    <w:rsid w:val="00A909CD"/>
    <w:pPr>
      <w:autoSpaceDE w:val="0"/>
      <w:autoSpaceDN w:val="0"/>
      <w:adjustRightInd w:val="0"/>
    </w:pPr>
    <w:rPr>
      <w:rFonts w:ascii="Calibri" w:eastAsia="Batang" w:hAnsi="Calibri" w:cs="Calibri"/>
      <w:color w:val="000000"/>
      <w:sz w:val="24"/>
      <w:szCs w:val="24"/>
      <w:lang w:val="en-US" w:eastAsia="en-US"/>
    </w:rPr>
  </w:style>
  <w:style w:type="paragraph" w:customStyle="1" w:styleId="ExecSumBodyText">
    <w:name w:val="Exec Sum Body Text"/>
    <w:basedOn w:val="Normal"/>
    <w:link w:val="ExecSumBodyTextChar"/>
    <w:uiPriority w:val="99"/>
    <w:qFormat/>
    <w:rsid w:val="003479A8"/>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3479A8"/>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1025">
      <w:bodyDiv w:val="1"/>
      <w:marLeft w:val="0"/>
      <w:marRight w:val="0"/>
      <w:marTop w:val="0"/>
      <w:marBottom w:val="0"/>
      <w:divBdr>
        <w:top w:val="none" w:sz="0" w:space="0" w:color="auto"/>
        <w:left w:val="none" w:sz="0" w:space="0" w:color="auto"/>
        <w:bottom w:val="none" w:sz="0" w:space="0" w:color="auto"/>
        <w:right w:val="none" w:sz="0" w:space="0" w:color="auto"/>
      </w:divBdr>
    </w:div>
    <w:div w:id="45495603">
      <w:bodyDiv w:val="1"/>
      <w:marLeft w:val="0"/>
      <w:marRight w:val="0"/>
      <w:marTop w:val="0"/>
      <w:marBottom w:val="0"/>
      <w:divBdr>
        <w:top w:val="none" w:sz="0" w:space="0" w:color="auto"/>
        <w:left w:val="none" w:sz="0" w:space="0" w:color="auto"/>
        <w:bottom w:val="none" w:sz="0" w:space="0" w:color="auto"/>
        <w:right w:val="none" w:sz="0" w:space="0" w:color="auto"/>
      </w:divBdr>
    </w:div>
    <w:div w:id="57361102">
      <w:bodyDiv w:val="1"/>
      <w:marLeft w:val="0"/>
      <w:marRight w:val="0"/>
      <w:marTop w:val="0"/>
      <w:marBottom w:val="0"/>
      <w:divBdr>
        <w:top w:val="none" w:sz="0" w:space="0" w:color="auto"/>
        <w:left w:val="none" w:sz="0" w:space="0" w:color="auto"/>
        <w:bottom w:val="none" w:sz="0" w:space="0" w:color="auto"/>
        <w:right w:val="none" w:sz="0" w:space="0" w:color="auto"/>
      </w:divBdr>
    </w:div>
    <w:div w:id="6935680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5080393">
      <w:bodyDiv w:val="1"/>
      <w:marLeft w:val="0"/>
      <w:marRight w:val="0"/>
      <w:marTop w:val="0"/>
      <w:marBottom w:val="0"/>
      <w:divBdr>
        <w:top w:val="none" w:sz="0" w:space="0" w:color="auto"/>
        <w:left w:val="none" w:sz="0" w:space="0" w:color="auto"/>
        <w:bottom w:val="none" w:sz="0" w:space="0" w:color="auto"/>
        <w:right w:val="none" w:sz="0" w:space="0" w:color="auto"/>
      </w:divBdr>
      <w:divsChild>
        <w:div w:id="1421873220">
          <w:marLeft w:val="0"/>
          <w:marRight w:val="0"/>
          <w:marTop w:val="0"/>
          <w:marBottom w:val="0"/>
          <w:divBdr>
            <w:top w:val="none" w:sz="0" w:space="0" w:color="auto"/>
            <w:left w:val="none" w:sz="0" w:space="0" w:color="auto"/>
            <w:bottom w:val="none" w:sz="0" w:space="0" w:color="auto"/>
            <w:right w:val="none" w:sz="0" w:space="0" w:color="auto"/>
          </w:divBdr>
          <w:divsChild>
            <w:div w:id="18556205">
              <w:marLeft w:val="0"/>
              <w:marRight w:val="0"/>
              <w:marTop w:val="0"/>
              <w:marBottom w:val="0"/>
              <w:divBdr>
                <w:top w:val="none" w:sz="0" w:space="0" w:color="auto"/>
                <w:left w:val="none" w:sz="0" w:space="0" w:color="auto"/>
                <w:bottom w:val="none" w:sz="0" w:space="0" w:color="auto"/>
                <w:right w:val="none" w:sz="0" w:space="0" w:color="auto"/>
              </w:divBdr>
              <w:divsChild>
                <w:div w:id="15521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6799">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14776093">
      <w:bodyDiv w:val="1"/>
      <w:marLeft w:val="0"/>
      <w:marRight w:val="0"/>
      <w:marTop w:val="0"/>
      <w:marBottom w:val="0"/>
      <w:divBdr>
        <w:top w:val="none" w:sz="0" w:space="0" w:color="auto"/>
        <w:left w:val="none" w:sz="0" w:space="0" w:color="auto"/>
        <w:bottom w:val="none" w:sz="0" w:space="0" w:color="auto"/>
        <w:right w:val="none" w:sz="0" w:space="0" w:color="auto"/>
      </w:divBdr>
    </w:div>
    <w:div w:id="239100430">
      <w:bodyDiv w:val="1"/>
      <w:marLeft w:val="0"/>
      <w:marRight w:val="0"/>
      <w:marTop w:val="0"/>
      <w:marBottom w:val="0"/>
      <w:divBdr>
        <w:top w:val="none" w:sz="0" w:space="0" w:color="auto"/>
        <w:left w:val="none" w:sz="0" w:space="0" w:color="auto"/>
        <w:bottom w:val="none" w:sz="0" w:space="0" w:color="auto"/>
        <w:right w:val="none" w:sz="0" w:space="0" w:color="auto"/>
      </w:divBdr>
    </w:div>
    <w:div w:id="30494045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5907950">
      <w:bodyDiv w:val="1"/>
      <w:marLeft w:val="0"/>
      <w:marRight w:val="0"/>
      <w:marTop w:val="0"/>
      <w:marBottom w:val="0"/>
      <w:divBdr>
        <w:top w:val="none" w:sz="0" w:space="0" w:color="auto"/>
        <w:left w:val="none" w:sz="0" w:space="0" w:color="auto"/>
        <w:bottom w:val="none" w:sz="0" w:space="0" w:color="auto"/>
        <w:right w:val="none" w:sz="0" w:space="0" w:color="auto"/>
      </w:divBdr>
    </w:div>
    <w:div w:id="387386758">
      <w:bodyDiv w:val="1"/>
      <w:marLeft w:val="0"/>
      <w:marRight w:val="0"/>
      <w:marTop w:val="0"/>
      <w:marBottom w:val="0"/>
      <w:divBdr>
        <w:top w:val="none" w:sz="0" w:space="0" w:color="auto"/>
        <w:left w:val="none" w:sz="0" w:space="0" w:color="auto"/>
        <w:bottom w:val="none" w:sz="0" w:space="0" w:color="auto"/>
        <w:right w:val="none" w:sz="0" w:space="0" w:color="auto"/>
      </w:divBdr>
    </w:div>
    <w:div w:id="410395332">
      <w:bodyDiv w:val="1"/>
      <w:marLeft w:val="0"/>
      <w:marRight w:val="0"/>
      <w:marTop w:val="0"/>
      <w:marBottom w:val="0"/>
      <w:divBdr>
        <w:top w:val="none" w:sz="0" w:space="0" w:color="auto"/>
        <w:left w:val="none" w:sz="0" w:space="0" w:color="auto"/>
        <w:bottom w:val="none" w:sz="0" w:space="0" w:color="auto"/>
        <w:right w:val="none" w:sz="0" w:space="0" w:color="auto"/>
      </w:divBdr>
    </w:div>
    <w:div w:id="439489455">
      <w:bodyDiv w:val="1"/>
      <w:marLeft w:val="0"/>
      <w:marRight w:val="0"/>
      <w:marTop w:val="0"/>
      <w:marBottom w:val="0"/>
      <w:divBdr>
        <w:top w:val="none" w:sz="0" w:space="0" w:color="auto"/>
        <w:left w:val="none" w:sz="0" w:space="0" w:color="auto"/>
        <w:bottom w:val="none" w:sz="0" w:space="0" w:color="auto"/>
        <w:right w:val="none" w:sz="0" w:space="0" w:color="auto"/>
      </w:divBdr>
      <w:divsChild>
        <w:div w:id="1353727631">
          <w:marLeft w:val="1080"/>
          <w:marRight w:val="0"/>
          <w:marTop w:val="100"/>
          <w:marBottom w:val="0"/>
          <w:divBdr>
            <w:top w:val="none" w:sz="0" w:space="0" w:color="auto"/>
            <w:left w:val="none" w:sz="0" w:space="0" w:color="auto"/>
            <w:bottom w:val="none" w:sz="0" w:space="0" w:color="auto"/>
            <w:right w:val="none" w:sz="0" w:space="0" w:color="auto"/>
          </w:divBdr>
        </w:div>
        <w:div w:id="652488279">
          <w:marLeft w:val="1080"/>
          <w:marRight w:val="0"/>
          <w:marTop w:val="100"/>
          <w:marBottom w:val="0"/>
          <w:divBdr>
            <w:top w:val="none" w:sz="0" w:space="0" w:color="auto"/>
            <w:left w:val="none" w:sz="0" w:space="0" w:color="auto"/>
            <w:bottom w:val="none" w:sz="0" w:space="0" w:color="auto"/>
            <w:right w:val="none" w:sz="0" w:space="0" w:color="auto"/>
          </w:divBdr>
        </w:div>
        <w:div w:id="1547911397">
          <w:marLeft w:val="1080"/>
          <w:marRight w:val="0"/>
          <w:marTop w:val="100"/>
          <w:marBottom w:val="0"/>
          <w:divBdr>
            <w:top w:val="none" w:sz="0" w:space="0" w:color="auto"/>
            <w:left w:val="none" w:sz="0" w:space="0" w:color="auto"/>
            <w:bottom w:val="none" w:sz="0" w:space="0" w:color="auto"/>
            <w:right w:val="none" w:sz="0" w:space="0" w:color="auto"/>
          </w:divBdr>
        </w:div>
      </w:divsChild>
    </w:div>
    <w:div w:id="548692359">
      <w:bodyDiv w:val="1"/>
      <w:marLeft w:val="0"/>
      <w:marRight w:val="0"/>
      <w:marTop w:val="0"/>
      <w:marBottom w:val="0"/>
      <w:divBdr>
        <w:top w:val="none" w:sz="0" w:space="0" w:color="auto"/>
        <w:left w:val="none" w:sz="0" w:space="0" w:color="auto"/>
        <w:bottom w:val="none" w:sz="0" w:space="0" w:color="auto"/>
        <w:right w:val="none" w:sz="0" w:space="0" w:color="auto"/>
      </w:divBdr>
    </w:div>
    <w:div w:id="569390927">
      <w:bodyDiv w:val="1"/>
      <w:marLeft w:val="0"/>
      <w:marRight w:val="0"/>
      <w:marTop w:val="0"/>
      <w:marBottom w:val="0"/>
      <w:divBdr>
        <w:top w:val="none" w:sz="0" w:space="0" w:color="auto"/>
        <w:left w:val="none" w:sz="0" w:space="0" w:color="auto"/>
        <w:bottom w:val="none" w:sz="0" w:space="0" w:color="auto"/>
        <w:right w:val="none" w:sz="0" w:space="0" w:color="auto"/>
      </w:divBdr>
    </w:div>
    <w:div w:id="603415636">
      <w:bodyDiv w:val="1"/>
      <w:marLeft w:val="0"/>
      <w:marRight w:val="0"/>
      <w:marTop w:val="0"/>
      <w:marBottom w:val="0"/>
      <w:divBdr>
        <w:top w:val="none" w:sz="0" w:space="0" w:color="auto"/>
        <w:left w:val="none" w:sz="0" w:space="0" w:color="auto"/>
        <w:bottom w:val="none" w:sz="0" w:space="0" w:color="auto"/>
        <w:right w:val="none" w:sz="0" w:space="0" w:color="auto"/>
      </w:divBdr>
    </w:div>
    <w:div w:id="663049840">
      <w:bodyDiv w:val="1"/>
      <w:marLeft w:val="0"/>
      <w:marRight w:val="0"/>
      <w:marTop w:val="0"/>
      <w:marBottom w:val="0"/>
      <w:divBdr>
        <w:top w:val="none" w:sz="0" w:space="0" w:color="auto"/>
        <w:left w:val="none" w:sz="0" w:space="0" w:color="auto"/>
        <w:bottom w:val="none" w:sz="0" w:space="0" w:color="auto"/>
        <w:right w:val="none" w:sz="0" w:space="0" w:color="auto"/>
      </w:divBdr>
    </w:div>
    <w:div w:id="676033066">
      <w:bodyDiv w:val="1"/>
      <w:marLeft w:val="0"/>
      <w:marRight w:val="0"/>
      <w:marTop w:val="0"/>
      <w:marBottom w:val="0"/>
      <w:divBdr>
        <w:top w:val="none" w:sz="0" w:space="0" w:color="auto"/>
        <w:left w:val="none" w:sz="0" w:space="0" w:color="auto"/>
        <w:bottom w:val="none" w:sz="0" w:space="0" w:color="auto"/>
        <w:right w:val="none" w:sz="0" w:space="0" w:color="auto"/>
      </w:divBdr>
      <w:divsChild>
        <w:div w:id="917638269">
          <w:marLeft w:val="360"/>
          <w:marRight w:val="0"/>
          <w:marTop w:val="200"/>
          <w:marBottom w:val="0"/>
          <w:divBdr>
            <w:top w:val="none" w:sz="0" w:space="0" w:color="auto"/>
            <w:left w:val="none" w:sz="0" w:space="0" w:color="auto"/>
            <w:bottom w:val="none" w:sz="0" w:space="0" w:color="auto"/>
            <w:right w:val="none" w:sz="0" w:space="0" w:color="auto"/>
          </w:divBdr>
        </w:div>
      </w:divsChild>
    </w:div>
    <w:div w:id="691153475">
      <w:bodyDiv w:val="1"/>
      <w:marLeft w:val="0"/>
      <w:marRight w:val="0"/>
      <w:marTop w:val="0"/>
      <w:marBottom w:val="0"/>
      <w:divBdr>
        <w:top w:val="none" w:sz="0" w:space="0" w:color="auto"/>
        <w:left w:val="none" w:sz="0" w:space="0" w:color="auto"/>
        <w:bottom w:val="none" w:sz="0" w:space="0" w:color="auto"/>
        <w:right w:val="none" w:sz="0" w:space="0" w:color="auto"/>
      </w:divBdr>
    </w:div>
    <w:div w:id="729108859">
      <w:bodyDiv w:val="1"/>
      <w:marLeft w:val="0"/>
      <w:marRight w:val="0"/>
      <w:marTop w:val="0"/>
      <w:marBottom w:val="0"/>
      <w:divBdr>
        <w:top w:val="none" w:sz="0" w:space="0" w:color="auto"/>
        <w:left w:val="none" w:sz="0" w:space="0" w:color="auto"/>
        <w:bottom w:val="none" w:sz="0" w:space="0" w:color="auto"/>
        <w:right w:val="none" w:sz="0" w:space="0" w:color="auto"/>
      </w:divBdr>
    </w:div>
    <w:div w:id="738284546">
      <w:bodyDiv w:val="1"/>
      <w:marLeft w:val="0"/>
      <w:marRight w:val="0"/>
      <w:marTop w:val="0"/>
      <w:marBottom w:val="0"/>
      <w:divBdr>
        <w:top w:val="none" w:sz="0" w:space="0" w:color="auto"/>
        <w:left w:val="none" w:sz="0" w:space="0" w:color="auto"/>
        <w:bottom w:val="none" w:sz="0" w:space="0" w:color="auto"/>
        <w:right w:val="none" w:sz="0" w:space="0" w:color="auto"/>
      </w:divBdr>
    </w:div>
    <w:div w:id="761683699">
      <w:bodyDiv w:val="1"/>
      <w:marLeft w:val="0"/>
      <w:marRight w:val="0"/>
      <w:marTop w:val="0"/>
      <w:marBottom w:val="0"/>
      <w:divBdr>
        <w:top w:val="none" w:sz="0" w:space="0" w:color="auto"/>
        <w:left w:val="none" w:sz="0" w:space="0" w:color="auto"/>
        <w:bottom w:val="none" w:sz="0" w:space="0" w:color="auto"/>
        <w:right w:val="none" w:sz="0" w:space="0" w:color="auto"/>
      </w:divBdr>
    </w:div>
    <w:div w:id="906188324">
      <w:bodyDiv w:val="1"/>
      <w:marLeft w:val="0"/>
      <w:marRight w:val="0"/>
      <w:marTop w:val="0"/>
      <w:marBottom w:val="0"/>
      <w:divBdr>
        <w:top w:val="none" w:sz="0" w:space="0" w:color="auto"/>
        <w:left w:val="none" w:sz="0" w:space="0" w:color="auto"/>
        <w:bottom w:val="none" w:sz="0" w:space="0" w:color="auto"/>
        <w:right w:val="none" w:sz="0" w:space="0" w:color="auto"/>
      </w:divBdr>
    </w:div>
    <w:div w:id="932476079">
      <w:bodyDiv w:val="1"/>
      <w:marLeft w:val="0"/>
      <w:marRight w:val="0"/>
      <w:marTop w:val="0"/>
      <w:marBottom w:val="0"/>
      <w:divBdr>
        <w:top w:val="none" w:sz="0" w:space="0" w:color="auto"/>
        <w:left w:val="none" w:sz="0" w:space="0" w:color="auto"/>
        <w:bottom w:val="none" w:sz="0" w:space="0" w:color="auto"/>
        <w:right w:val="none" w:sz="0" w:space="0" w:color="auto"/>
      </w:divBdr>
      <w:divsChild>
        <w:div w:id="363406910">
          <w:marLeft w:val="0"/>
          <w:marRight w:val="0"/>
          <w:marTop w:val="0"/>
          <w:marBottom w:val="0"/>
          <w:divBdr>
            <w:top w:val="none" w:sz="0" w:space="0" w:color="auto"/>
            <w:left w:val="none" w:sz="0" w:space="0" w:color="auto"/>
            <w:bottom w:val="none" w:sz="0" w:space="0" w:color="auto"/>
            <w:right w:val="none" w:sz="0" w:space="0" w:color="auto"/>
          </w:divBdr>
          <w:divsChild>
            <w:div w:id="686909007">
              <w:marLeft w:val="0"/>
              <w:marRight w:val="0"/>
              <w:marTop w:val="0"/>
              <w:marBottom w:val="0"/>
              <w:divBdr>
                <w:top w:val="none" w:sz="0" w:space="0" w:color="auto"/>
                <w:left w:val="none" w:sz="0" w:space="0" w:color="auto"/>
                <w:bottom w:val="none" w:sz="0" w:space="0" w:color="auto"/>
                <w:right w:val="none" w:sz="0" w:space="0" w:color="auto"/>
              </w:divBdr>
              <w:divsChild>
                <w:div w:id="200654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5518">
      <w:bodyDiv w:val="1"/>
      <w:marLeft w:val="0"/>
      <w:marRight w:val="0"/>
      <w:marTop w:val="0"/>
      <w:marBottom w:val="0"/>
      <w:divBdr>
        <w:top w:val="none" w:sz="0" w:space="0" w:color="auto"/>
        <w:left w:val="none" w:sz="0" w:space="0" w:color="auto"/>
        <w:bottom w:val="none" w:sz="0" w:space="0" w:color="auto"/>
        <w:right w:val="none" w:sz="0" w:space="0" w:color="auto"/>
      </w:divBdr>
    </w:div>
    <w:div w:id="965550084">
      <w:bodyDiv w:val="1"/>
      <w:marLeft w:val="0"/>
      <w:marRight w:val="0"/>
      <w:marTop w:val="0"/>
      <w:marBottom w:val="0"/>
      <w:divBdr>
        <w:top w:val="none" w:sz="0" w:space="0" w:color="auto"/>
        <w:left w:val="none" w:sz="0" w:space="0" w:color="auto"/>
        <w:bottom w:val="none" w:sz="0" w:space="0" w:color="auto"/>
        <w:right w:val="none" w:sz="0" w:space="0" w:color="auto"/>
      </w:divBdr>
    </w:div>
    <w:div w:id="1022780512">
      <w:bodyDiv w:val="1"/>
      <w:marLeft w:val="0"/>
      <w:marRight w:val="0"/>
      <w:marTop w:val="0"/>
      <w:marBottom w:val="0"/>
      <w:divBdr>
        <w:top w:val="none" w:sz="0" w:space="0" w:color="auto"/>
        <w:left w:val="none" w:sz="0" w:space="0" w:color="auto"/>
        <w:bottom w:val="none" w:sz="0" w:space="0" w:color="auto"/>
        <w:right w:val="none" w:sz="0" w:space="0" w:color="auto"/>
      </w:divBdr>
    </w:div>
    <w:div w:id="1041439159">
      <w:bodyDiv w:val="1"/>
      <w:marLeft w:val="0"/>
      <w:marRight w:val="0"/>
      <w:marTop w:val="0"/>
      <w:marBottom w:val="0"/>
      <w:divBdr>
        <w:top w:val="none" w:sz="0" w:space="0" w:color="auto"/>
        <w:left w:val="none" w:sz="0" w:space="0" w:color="auto"/>
        <w:bottom w:val="none" w:sz="0" w:space="0" w:color="auto"/>
        <w:right w:val="none" w:sz="0" w:space="0" w:color="auto"/>
      </w:divBdr>
    </w:div>
    <w:div w:id="1101409764">
      <w:bodyDiv w:val="1"/>
      <w:marLeft w:val="0"/>
      <w:marRight w:val="0"/>
      <w:marTop w:val="0"/>
      <w:marBottom w:val="0"/>
      <w:divBdr>
        <w:top w:val="none" w:sz="0" w:space="0" w:color="auto"/>
        <w:left w:val="none" w:sz="0" w:space="0" w:color="auto"/>
        <w:bottom w:val="none" w:sz="0" w:space="0" w:color="auto"/>
        <w:right w:val="none" w:sz="0" w:space="0" w:color="auto"/>
      </w:divBdr>
      <w:divsChild>
        <w:div w:id="962610541">
          <w:marLeft w:val="1080"/>
          <w:marRight w:val="0"/>
          <w:marTop w:val="100"/>
          <w:marBottom w:val="0"/>
          <w:divBdr>
            <w:top w:val="none" w:sz="0" w:space="0" w:color="auto"/>
            <w:left w:val="none" w:sz="0" w:space="0" w:color="auto"/>
            <w:bottom w:val="none" w:sz="0" w:space="0" w:color="auto"/>
            <w:right w:val="none" w:sz="0" w:space="0" w:color="auto"/>
          </w:divBdr>
        </w:div>
        <w:div w:id="413278846">
          <w:marLeft w:val="1080"/>
          <w:marRight w:val="0"/>
          <w:marTop w:val="100"/>
          <w:marBottom w:val="0"/>
          <w:divBdr>
            <w:top w:val="none" w:sz="0" w:space="0" w:color="auto"/>
            <w:left w:val="none" w:sz="0" w:space="0" w:color="auto"/>
            <w:bottom w:val="none" w:sz="0" w:space="0" w:color="auto"/>
            <w:right w:val="none" w:sz="0" w:space="0" w:color="auto"/>
          </w:divBdr>
        </w:div>
        <w:div w:id="1482230218">
          <w:marLeft w:val="1080"/>
          <w:marRight w:val="0"/>
          <w:marTop w:val="100"/>
          <w:marBottom w:val="0"/>
          <w:divBdr>
            <w:top w:val="none" w:sz="0" w:space="0" w:color="auto"/>
            <w:left w:val="none" w:sz="0" w:space="0" w:color="auto"/>
            <w:bottom w:val="none" w:sz="0" w:space="0" w:color="auto"/>
            <w:right w:val="none" w:sz="0" w:space="0" w:color="auto"/>
          </w:divBdr>
        </w:div>
        <w:div w:id="648095356">
          <w:marLeft w:val="1080"/>
          <w:marRight w:val="0"/>
          <w:marTop w:val="100"/>
          <w:marBottom w:val="0"/>
          <w:divBdr>
            <w:top w:val="none" w:sz="0" w:space="0" w:color="auto"/>
            <w:left w:val="none" w:sz="0" w:space="0" w:color="auto"/>
            <w:bottom w:val="none" w:sz="0" w:space="0" w:color="auto"/>
            <w:right w:val="none" w:sz="0" w:space="0" w:color="auto"/>
          </w:divBdr>
        </w:div>
        <w:div w:id="1338651246">
          <w:marLeft w:val="1080"/>
          <w:marRight w:val="0"/>
          <w:marTop w:val="1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418">
      <w:bodyDiv w:val="1"/>
      <w:marLeft w:val="0"/>
      <w:marRight w:val="0"/>
      <w:marTop w:val="0"/>
      <w:marBottom w:val="0"/>
      <w:divBdr>
        <w:top w:val="none" w:sz="0" w:space="0" w:color="auto"/>
        <w:left w:val="none" w:sz="0" w:space="0" w:color="auto"/>
        <w:bottom w:val="none" w:sz="0" w:space="0" w:color="auto"/>
        <w:right w:val="none" w:sz="0" w:space="0" w:color="auto"/>
      </w:divBdr>
      <w:divsChild>
        <w:div w:id="537357074">
          <w:marLeft w:val="1080"/>
          <w:marRight w:val="0"/>
          <w:marTop w:val="100"/>
          <w:marBottom w:val="0"/>
          <w:divBdr>
            <w:top w:val="none" w:sz="0" w:space="0" w:color="auto"/>
            <w:left w:val="none" w:sz="0" w:space="0" w:color="auto"/>
            <w:bottom w:val="none" w:sz="0" w:space="0" w:color="auto"/>
            <w:right w:val="none" w:sz="0" w:space="0" w:color="auto"/>
          </w:divBdr>
        </w:div>
      </w:divsChild>
    </w:div>
    <w:div w:id="1192770147">
      <w:bodyDiv w:val="1"/>
      <w:marLeft w:val="0"/>
      <w:marRight w:val="0"/>
      <w:marTop w:val="0"/>
      <w:marBottom w:val="0"/>
      <w:divBdr>
        <w:top w:val="none" w:sz="0" w:space="0" w:color="auto"/>
        <w:left w:val="none" w:sz="0" w:space="0" w:color="auto"/>
        <w:bottom w:val="none" w:sz="0" w:space="0" w:color="auto"/>
        <w:right w:val="none" w:sz="0" w:space="0" w:color="auto"/>
      </w:divBdr>
    </w:div>
    <w:div w:id="1244144162">
      <w:bodyDiv w:val="1"/>
      <w:marLeft w:val="0"/>
      <w:marRight w:val="0"/>
      <w:marTop w:val="0"/>
      <w:marBottom w:val="0"/>
      <w:divBdr>
        <w:top w:val="none" w:sz="0" w:space="0" w:color="auto"/>
        <w:left w:val="none" w:sz="0" w:space="0" w:color="auto"/>
        <w:bottom w:val="none" w:sz="0" w:space="0" w:color="auto"/>
        <w:right w:val="none" w:sz="0" w:space="0" w:color="auto"/>
      </w:divBdr>
    </w:div>
    <w:div w:id="1249651475">
      <w:bodyDiv w:val="1"/>
      <w:marLeft w:val="0"/>
      <w:marRight w:val="0"/>
      <w:marTop w:val="0"/>
      <w:marBottom w:val="0"/>
      <w:divBdr>
        <w:top w:val="none" w:sz="0" w:space="0" w:color="auto"/>
        <w:left w:val="none" w:sz="0" w:space="0" w:color="auto"/>
        <w:bottom w:val="none" w:sz="0" w:space="0" w:color="auto"/>
        <w:right w:val="none" w:sz="0" w:space="0" w:color="auto"/>
      </w:divBdr>
    </w:div>
    <w:div w:id="1266884621">
      <w:bodyDiv w:val="1"/>
      <w:marLeft w:val="0"/>
      <w:marRight w:val="0"/>
      <w:marTop w:val="0"/>
      <w:marBottom w:val="0"/>
      <w:divBdr>
        <w:top w:val="none" w:sz="0" w:space="0" w:color="auto"/>
        <w:left w:val="none" w:sz="0" w:space="0" w:color="auto"/>
        <w:bottom w:val="none" w:sz="0" w:space="0" w:color="auto"/>
        <w:right w:val="none" w:sz="0" w:space="0" w:color="auto"/>
      </w:divBdr>
    </w:div>
    <w:div w:id="1320769985">
      <w:bodyDiv w:val="1"/>
      <w:marLeft w:val="0"/>
      <w:marRight w:val="0"/>
      <w:marTop w:val="0"/>
      <w:marBottom w:val="0"/>
      <w:divBdr>
        <w:top w:val="none" w:sz="0" w:space="0" w:color="auto"/>
        <w:left w:val="none" w:sz="0" w:space="0" w:color="auto"/>
        <w:bottom w:val="none" w:sz="0" w:space="0" w:color="auto"/>
        <w:right w:val="none" w:sz="0" w:space="0" w:color="auto"/>
      </w:divBdr>
    </w:div>
    <w:div w:id="1358697692">
      <w:bodyDiv w:val="1"/>
      <w:marLeft w:val="0"/>
      <w:marRight w:val="0"/>
      <w:marTop w:val="0"/>
      <w:marBottom w:val="0"/>
      <w:divBdr>
        <w:top w:val="none" w:sz="0" w:space="0" w:color="auto"/>
        <w:left w:val="none" w:sz="0" w:space="0" w:color="auto"/>
        <w:bottom w:val="none" w:sz="0" w:space="0" w:color="auto"/>
        <w:right w:val="none" w:sz="0" w:space="0" w:color="auto"/>
      </w:divBdr>
    </w:div>
    <w:div w:id="1407148273">
      <w:bodyDiv w:val="1"/>
      <w:marLeft w:val="0"/>
      <w:marRight w:val="0"/>
      <w:marTop w:val="0"/>
      <w:marBottom w:val="0"/>
      <w:divBdr>
        <w:top w:val="none" w:sz="0" w:space="0" w:color="auto"/>
        <w:left w:val="none" w:sz="0" w:space="0" w:color="auto"/>
        <w:bottom w:val="none" w:sz="0" w:space="0" w:color="auto"/>
        <w:right w:val="none" w:sz="0" w:space="0" w:color="auto"/>
      </w:divBdr>
    </w:div>
    <w:div w:id="1435058705">
      <w:bodyDiv w:val="1"/>
      <w:marLeft w:val="0"/>
      <w:marRight w:val="0"/>
      <w:marTop w:val="0"/>
      <w:marBottom w:val="0"/>
      <w:divBdr>
        <w:top w:val="none" w:sz="0" w:space="0" w:color="auto"/>
        <w:left w:val="none" w:sz="0" w:space="0" w:color="auto"/>
        <w:bottom w:val="none" w:sz="0" w:space="0" w:color="auto"/>
        <w:right w:val="none" w:sz="0" w:space="0" w:color="auto"/>
      </w:divBdr>
      <w:divsChild>
        <w:div w:id="1796823494">
          <w:marLeft w:val="1080"/>
          <w:marRight w:val="0"/>
          <w:marTop w:val="120"/>
          <w:marBottom w:val="0"/>
          <w:divBdr>
            <w:top w:val="none" w:sz="0" w:space="0" w:color="auto"/>
            <w:left w:val="none" w:sz="0" w:space="0" w:color="auto"/>
            <w:bottom w:val="none" w:sz="0" w:space="0" w:color="auto"/>
            <w:right w:val="none" w:sz="0" w:space="0" w:color="auto"/>
          </w:divBdr>
        </w:div>
        <w:div w:id="63646517">
          <w:marLeft w:val="1080"/>
          <w:marRight w:val="0"/>
          <w:marTop w:val="120"/>
          <w:marBottom w:val="0"/>
          <w:divBdr>
            <w:top w:val="none" w:sz="0" w:space="0" w:color="auto"/>
            <w:left w:val="none" w:sz="0" w:space="0" w:color="auto"/>
            <w:bottom w:val="none" w:sz="0" w:space="0" w:color="auto"/>
            <w:right w:val="none" w:sz="0" w:space="0" w:color="auto"/>
          </w:divBdr>
        </w:div>
        <w:div w:id="1084885462">
          <w:marLeft w:val="1080"/>
          <w:marRight w:val="0"/>
          <w:marTop w:val="120"/>
          <w:marBottom w:val="0"/>
          <w:divBdr>
            <w:top w:val="none" w:sz="0" w:space="0" w:color="auto"/>
            <w:left w:val="none" w:sz="0" w:space="0" w:color="auto"/>
            <w:bottom w:val="none" w:sz="0" w:space="0" w:color="auto"/>
            <w:right w:val="none" w:sz="0" w:space="0" w:color="auto"/>
          </w:divBdr>
        </w:div>
      </w:divsChild>
    </w:div>
    <w:div w:id="1435633247">
      <w:bodyDiv w:val="1"/>
      <w:marLeft w:val="0"/>
      <w:marRight w:val="0"/>
      <w:marTop w:val="0"/>
      <w:marBottom w:val="0"/>
      <w:divBdr>
        <w:top w:val="none" w:sz="0" w:space="0" w:color="auto"/>
        <w:left w:val="none" w:sz="0" w:space="0" w:color="auto"/>
        <w:bottom w:val="none" w:sz="0" w:space="0" w:color="auto"/>
        <w:right w:val="none" w:sz="0" w:space="0" w:color="auto"/>
      </w:divBdr>
    </w:div>
    <w:div w:id="1486049636">
      <w:bodyDiv w:val="1"/>
      <w:marLeft w:val="0"/>
      <w:marRight w:val="0"/>
      <w:marTop w:val="0"/>
      <w:marBottom w:val="0"/>
      <w:divBdr>
        <w:top w:val="none" w:sz="0" w:space="0" w:color="auto"/>
        <w:left w:val="none" w:sz="0" w:space="0" w:color="auto"/>
        <w:bottom w:val="none" w:sz="0" w:space="0" w:color="auto"/>
        <w:right w:val="none" w:sz="0" w:space="0" w:color="auto"/>
      </w:divBdr>
    </w:div>
    <w:div w:id="1504125122">
      <w:bodyDiv w:val="1"/>
      <w:marLeft w:val="0"/>
      <w:marRight w:val="0"/>
      <w:marTop w:val="0"/>
      <w:marBottom w:val="0"/>
      <w:divBdr>
        <w:top w:val="none" w:sz="0" w:space="0" w:color="auto"/>
        <w:left w:val="none" w:sz="0" w:space="0" w:color="auto"/>
        <w:bottom w:val="none" w:sz="0" w:space="0" w:color="auto"/>
        <w:right w:val="none" w:sz="0" w:space="0" w:color="auto"/>
      </w:divBdr>
    </w:div>
    <w:div w:id="1515192722">
      <w:bodyDiv w:val="1"/>
      <w:marLeft w:val="0"/>
      <w:marRight w:val="0"/>
      <w:marTop w:val="0"/>
      <w:marBottom w:val="0"/>
      <w:divBdr>
        <w:top w:val="none" w:sz="0" w:space="0" w:color="auto"/>
        <w:left w:val="none" w:sz="0" w:space="0" w:color="auto"/>
        <w:bottom w:val="none" w:sz="0" w:space="0" w:color="auto"/>
        <w:right w:val="none" w:sz="0" w:space="0" w:color="auto"/>
      </w:divBdr>
    </w:div>
    <w:div w:id="1534271744">
      <w:bodyDiv w:val="1"/>
      <w:marLeft w:val="0"/>
      <w:marRight w:val="0"/>
      <w:marTop w:val="0"/>
      <w:marBottom w:val="0"/>
      <w:divBdr>
        <w:top w:val="none" w:sz="0" w:space="0" w:color="auto"/>
        <w:left w:val="none" w:sz="0" w:space="0" w:color="auto"/>
        <w:bottom w:val="none" w:sz="0" w:space="0" w:color="auto"/>
        <w:right w:val="none" w:sz="0" w:space="0" w:color="auto"/>
      </w:divBdr>
    </w:div>
    <w:div w:id="1548834957">
      <w:bodyDiv w:val="1"/>
      <w:marLeft w:val="0"/>
      <w:marRight w:val="0"/>
      <w:marTop w:val="0"/>
      <w:marBottom w:val="0"/>
      <w:divBdr>
        <w:top w:val="none" w:sz="0" w:space="0" w:color="auto"/>
        <w:left w:val="none" w:sz="0" w:space="0" w:color="auto"/>
        <w:bottom w:val="none" w:sz="0" w:space="0" w:color="auto"/>
        <w:right w:val="none" w:sz="0" w:space="0" w:color="auto"/>
      </w:divBdr>
    </w:div>
    <w:div w:id="1560019894">
      <w:bodyDiv w:val="1"/>
      <w:marLeft w:val="0"/>
      <w:marRight w:val="0"/>
      <w:marTop w:val="0"/>
      <w:marBottom w:val="0"/>
      <w:divBdr>
        <w:top w:val="none" w:sz="0" w:space="0" w:color="auto"/>
        <w:left w:val="none" w:sz="0" w:space="0" w:color="auto"/>
        <w:bottom w:val="none" w:sz="0" w:space="0" w:color="auto"/>
        <w:right w:val="none" w:sz="0" w:space="0" w:color="auto"/>
      </w:divBdr>
    </w:div>
    <w:div w:id="1571573326">
      <w:bodyDiv w:val="1"/>
      <w:marLeft w:val="0"/>
      <w:marRight w:val="0"/>
      <w:marTop w:val="0"/>
      <w:marBottom w:val="0"/>
      <w:divBdr>
        <w:top w:val="none" w:sz="0" w:space="0" w:color="auto"/>
        <w:left w:val="none" w:sz="0" w:space="0" w:color="auto"/>
        <w:bottom w:val="none" w:sz="0" w:space="0" w:color="auto"/>
        <w:right w:val="none" w:sz="0" w:space="0" w:color="auto"/>
      </w:divBdr>
    </w:div>
    <w:div w:id="1588340248">
      <w:bodyDiv w:val="1"/>
      <w:marLeft w:val="0"/>
      <w:marRight w:val="0"/>
      <w:marTop w:val="0"/>
      <w:marBottom w:val="0"/>
      <w:divBdr>
        <w:top w:val="none" w:sz="0" w:space="0" w:color="auto"/>
        <w:left w:val="none" w:sz="0" w:space="0" w:color="auto"/>
        <w:bottom w:val="none" w:sz="0" w:space="0" w:color="auto"/>
        <w:right w:val="none" w:sz="0" w:space="0" w:color="auto"/>
      </w:divBdr>
      <w:divsChild>
        <w:div w:id="2092386813">
          <w:marLeft w:val="360"/>
          <w:marRight w:val="0"/>
          <w:marTop w:val="120"/>
          <w:marBottom w:val="0"/>
          <w:divBdr>
            <w:top w:val="none" w:sz="0" w:space="0" w:color="auto"/>
            <w:left w:val="none" w:sz="0" w:space="0" w:color="auto"/>
            <w:bottom w:val="none" w:sz="0" w:space="0" w:color="auto"/>
            <w:right w:val="none" w:sz="0" w:space="0" w:color="auto"/>
          </w:divBdr>
        </w:div>
        <w:div w:id="1973364234">
          <w:marLeft w:val="1080"/>
          <w:marRight w:val="0"/>
          <w:marTop w:val="120"/>
          <w:marBottom w:val="0"/>
          <w:divBdr>
            <w:top w:val="none" w:sz="0" w:space="0" w:color="auto"/>
            <w:left w:val="none" w:sz="0" w:space="0" w:color="auto"/>
            <w:bottom w:val="none" w:sz="0" w:space="0" w:color="auto"/>
            <w:right w:val="none" w:sz="0" w:space="0" w:color="auto"/>
          </w:divBdr>
        </w:div>
      </w:divsChild>
    </w:div>
    <w:div w:id="1673415415">
      <w:bodyDiv w:val="1"/>
      <w:marLeft w:val="0"/>
      <w:marRight w:val="0"/>
      <w:marTop w:val="0"/>
      <w:marBottom w:val="0"/>
      <w:divBdr>
        <w:top w:val="none" w:sz="0" w:space="0" w:color="auto"/>
        <w:left w:val="none" w:sz="0" w:space="0" w:color="auto"/>
        <w:bottom w:val="none" w:sz="0" w:space="0" w:color="auto"/>
        <w:right w:val="none" w:sz="0" w:space="0" w:color="auto"/>
      </w:divBdr>
    </w:div>
    <w:div w:id="1723092661">
      <w:bodyDiv w:val="1"/>
      <w:marLeft w:val="0"/>
      <w:marRight w:val="0"/>
      <w:marTop w:val="0"/>
      <w:marBottom w:val="0"/>
      <w:divBdr>
        <w:top w:val="none" w:sz="0" w:space="0" w:color="auto"/>
        <w:left w:val="none" w:sz="0" w:space="0" w:color="auto"/>
        <w:bottom w:val="none" w:sz="0" w:space="0" w:color="auto"/>
        <w:right w:val="none" w:sz="0" w:space="0" w:color="auto"/>
      </w:divBdr>
    </w:div>
    <w:div w:id="1730766534">
      <w:bodyDiv w:val="1"/>
      <w:marLeft w:val="0"/>
      <w:marRight w:val="0"/>
      <w:marTop w:val="0"/>
      <w:marBottom w:val="0"/>
      <w:divBdr>
        <w:top w:val="none" w:sz="0" w:space="0" w:color="auto"/>
        <w:left w:val="none" w:sz="0" w:space="0" w:color="auto"/>
        <w:bottom w:val="none" w:sz="0" w:space="0" w:color="auto"/>
        <w:right w:val="none" w:sz="0" w:space="0" w:color="auto"/>
      </w:divBdr>
    </w:div>
    <w:div w:id="1730768591">
      <w:bodyDiv w:val="1"/>
      <w:marLeft w:val="0"/>
      <w:marRight w:val="0"/>
      <w:marTop w:val="0"/>
      <w:marBottom w:val="0"/>
      <w:divBdr>
        <w:top w:val="none" w:sz="0" w:space="0" w:color="auto"/>
        <w:left w:val="none" w:sz="0" w:space="0" w:color="auto"/>
        <w:bottom w:val="none" w:sz="0" w:space="0" w:color="auto"/>
        <w:right w:val="none" w:sz="0" w:space="0" w:color="auto"/>
      </w:divBdr>
    </w:div>
    <w:div w:id="1772974702">
      <w:bodyDiv w:val="1"/>
      <w:marLeft w:val="0"/>
      <w:marRight w:val="0"/>
      <w:marTop w:val="0"/>
      <w:marBottom w:val="0"/>
      <w:divBdr>
        <w:top w:val="none" w:sz="0" w:space="0" w:color="auto"/>
        <w:left w:val="none" w:sz="0" w:space="0" w:color="auto"/>
        <w:bottom w:val="none" w:sz="0" w:space="0" w:color="auto"/>
        <w:right w:val="none" w:sz="0" w:space="0" w:color="auto"/>
      </w:divBdr>
    </w:div>
    <w:div w:id="1825466896">
      <w:bodyDiv w:val="1"/>
      <w:marLeft w:val="0"/>
      <w:marRight w:val="0"/>
      <w:marTop w:val="0"/>
      <w:marBottom w:val="0"/>
      <w:divBdr>
        <w:top w:val="none" w:sz="0" w:space="0" w:color="auto"/>
        <w:left w:val="none" w:sz="0" w:space="0" w:color="auto"/>
        <w:bottom w:val="none" w:sz="0" w:space="0" w:color="auto"/>
        <w:right w:val="none" w:sz="0" w:space="0" w:color="auto"/>
      </w:divBdr>
    </w:div>
    <w:div w:id="1844202253">
      <w:bodyDiv w:val="1"/>
      <w:marLeft w:val="0"/>
      <w:marRight w:val="0"/>
      <w:marTop w:val="0"/>
      <w:marBottom w:val="0"/>
      <w:divBdr>
        <w:top w:val="none" w:sz="0" w:space="0" w:color="auto"/>
        <w:left w:val="none" w:sz="0" w:space="0" w:color="auto"/>
        <w:bottom w:val="none" w:sz="0" w:space="0" w:color="auto"/>
        <w:right w:val="none" w:sz="0" w:space="0" w:color="auto"/>
      </w:divBdr>
      <w:divsChild>
        <w:div w:id="1127510183">
          <w:marLeft w:val="0"/>
          <w:marRight w:val="0"/>
          <w:marTop w:val="0"/>
          <w:marBottom w:val="0"/>
          <w:divBdr>
            <w:top w:val="none" w:sz="0" w:space="0" w:color="auto"/>
            <w:left w:val="none" w:sz="0" w:space="0" w:color="auto"/>
            <w:bottom w:val="none" w:sz="0" w:space="0" w:color="auto"/>
            <w:right w:val="none" w:sz="0" w:space="0" w:color="auto"/>
          </w:divBdr>
          <w:divsChild>
            <w:div w:id="1930889949">
              <w:marLeft w:val="0"/>
              <w:marRight w:val="0"/>
              <w:marTop w:val="0"/>
              <w:marBottom w:val="0"/>
              <w:divBdr>
                <w:top w:val="none" w:sz="0" w:space="0" w:color="auto"/>
                <w:left w:val="none" w:sz="0" w:space="0" w:color="auto"/>
                <w:bottom w:val="none" w:sz="0" w:space="0" w:color="auto"/>
                <w:right w:val="none" w:sz="0" w:space="0" w:color="auto"/>
              </w:divBdr>
              <w:divsChild>
                <w:div w:id="13536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22550">
      <w:bodyDiv w:val="1"/>
      <w:marLeft w:val="0"/>
      <w:marRight w:val="0"/>
      <w:marTop w:val="0"/>
      <w:marBottom w:val="0"/>
      <w:divBdr>
        <w:top w:val="none" w:sz="0" w:space="0" w:color="auto"/>
        <w:left w:val="none" w:sz="0" w:space="0" w:color="auto"/>
        <w:bottom w:val="none" w:sz="0" w:space="0" w:color="auto"/>
        <w:right w:val="none" w:sz="0" w:space="0" w:color="auto"/>
      </w:divBdr>
    </w:div>
    <w:div w:id="193481952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9161724">
      <w:bodyDiv w:val="1"/>
      <w:marLeft w:val="0"/>
      <w:marRight w:val="0"/>
      <w:marTop w:val="0"/>
      <w:marBottom w:val="0"/>
      <w:divBdr>
        <w:top w:val="none" w:sz="0" w:space="0" w:color="auto"/>
        <w:left w:val="none" w:sz="0" w:space="0" w:color="auto"/>
        <w:bottom w:val="none" w:sz="0" w:space="0" w:color="auto"/>
        <w:right w:val="none" w:sz="0" w:space="0" w:color="auto"/>
      </w:divBdr>
    </w:div>
    <w:div w:id="2022972547">
      <w:bodyDiv w:val="1"/>
      <w:marLeft w:val="0"/>
      <w:marRight w:val="0"/>
      <w:marTop w:val="0"/>
      <w:marBottom w:val="0"/>
      <w:divBdr>
        <w:top w:val="none" w:sz="0" w:space="0" w:color="auto"/>
        <w:left w:val="none" w:sz="0" w:space="0" w:color="auto"/>
        <w:bottom w:val="none" w:sz="0" w:space="0" w:color="auto"/>
        <w:right w:val="none" w:sz="0" w:space="0" w:color="auto"/>
      </w:divBdr>
    </w:div>
    <w:div w:id="2040353099">
      <w:bodyDiv w:val="1"/>
      <w:marLeft w:val="0"/>
      <w:marRight w:val="0"/>
      <w:marTop w:val="0"/>
      <w:marBottom w:val="0"/>
      <w:divBdr>
        <w:top w:val="none" w:sz="0" w:space="0" w:color="auto"/>
        <w:left w:val="none" w:sz="0" w:space="0" w:color="auto"/>
        <w:bottom w:val="none" w:sz="0" w:space="0" w:color="auto"/>
        <w:right w:val="none" w:sz="0" w:space="0" w:color="auto"/>
      </w:divBdr>
    </w:div>
    <w:div w:id="2079589634">
      <w:bodyDiv w:val="1"/>
      <w:marLeft w:val="0"/>
      <w:marRight w:val="0"/>
      <w:marTop w:val="0"/>
      <w:marBottom w:val="0"/>
      <w:divBdr>
        <w:top w:val="none" w:sz="0" w:space="0" w:color="auto"/>
        <w:left w:val="none" w:sz="0" w:space="0" w:color="auto"/>
        <w:bottom w:val="none" w:sz="0" w:space="0" w:color="auto"/>
        <w:right w:val="none" w:sz="0" w:space="0" w:color="auto"/>
      </w:divBdr>
    </w:div>
    <w:div w:id="2083210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Aus19</b:Tag>
    <b:SourceType>ElectronicSource</b:SourceType>
    <b:Guid>{5D03AEC3-B5C3-F146-B36D-30E70EF9D3EA}</b:Guid>
    <b:Author>
      <b:Author>
        <b:NameList>
          <b:Person>
            <b:Last>(MSAG)</b:Last>
            <b:First>Australian</b:First>
            <b:Middle>Medical Scientific Advisory Group</b:Middle>
          </b:Person>
        </b:NameList>
      </b:Author>
    </b:Author>
    <b:Title>Clinical Practice Guideline, Multiple Myeloma</b:Title>
    <b:Year>2019</b:Year>
    <b:RefOrder>1</b:RefOrder>
  </b:Source>
</b:Sources>
</file>

<file path=customXml/itemProps1.xml><?xml version="1.0" encoding="utf-8"?>
<ds:datastoreItem xmlns:ds="http://schemas.openxmlformats.org/officeDocument/2006/customXml" ds:itemID="{55E3B0B2-D060-4D7B-BBD5-1129224F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18650</Words>
  <Characters>106305</Characters>
  <Application>Microsoft Office Word</Application>
  <DocSecurity>0</DocSecurity>
  <Lines>885</Lines>
  <Paragraphs>249</Paragraphs>
  <ScaleCrop>false</ScaleCrop>
  <Company/>
  <LinksUpToDate>false</LinksUpToDate>
  <CharactersWithSpaces>124706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2022-06-26T02:57:00Z</dcterms:created>
  <dcterms:modified xsi:type="dcterms:W3CDTF">2022-06-26T02:58:00Z</dcterms:modified>
</cp:coreProperties>
</file>