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2A534" w14:textId="600BF8D5" w:rsidR="00A173AE" w:rsidRPr="00457FD3" w:rsidRDefault="00A173AE" w:rsidP="00A173AE">
      <w:pPr>
        <w:pStyle w:val="1-MainHeading"/>
      </w:pPr>
      <w:r w:rsidRPr="00457FD3">
        <w:t>5.11</w:t>
      </w:r>
      <w:r w:rsidRPr="00457FD3">
        <w:tab/>
        <w:t>SACITUZUMAB GOVITECAN,</w:t>
      </w:r>
      <w:r w:rsidRPr="00457FD3">
        <w:br/>
        <w:t>Powder for injection 180 mg,</w:t>
      </w:r>
      <w:r w:rsidRPr="00457FD3">
        <w:br/>
        <w:t>Trodelvy</w:t>
      </w:r>
      <w:r w:rsidRPr="00457FD3">
        <w:rPr>
          <w:vertAlign w:val="superscript"/>
        </w:rPr>
        <w:t xml:space="preserve"> </w:t>
      </w:r>
      <w:r w:rsidRPr="00457FD3">
        <w:t>®,</w:t>
      </w:r>
      <w:r w:rsidRPr="00457FD3">
        <w:br/>
        <w:t>Gilead Sciences Pty Ltd.</w:t>
      </w:r>
    </w:p>
    <w:p w14:paraId="1D986CBF" w14:textId="77777777" w:rsidR="00A173AE" w:rsidRPr="00457FD3" w:rsidRDefault="00A173AE" w:rsidP="00A173AE">
      <w:pPr>
        <w:pStyle w:val="2-SectionHeading"/>
        <w:numPr>
          <w:ilvl w:val="0"/>
          <w:numId w:val="1"/>
        </w:numPr>
      </w:pPr>
      <w:r w:rsidRPr="00457FD3">
        <w:t>Purpose of submission</w:t>
      </w:r>
    </w:p>
    <w:p w14:paraId="7B909F58" w14:textId="77777777" w:rsidR="00A173AE" w:rsidRPr="00457FD3" w:rsidRDefault="00A173AE" w:rsidP="00A173AE">
      <w:pPr>
        <w:pStyle w:val="3-BodyText"/>
      </w:pPr>
      <w:r w:rsidRPr="00457FD3">
        <w:t>The Category 1 submission requested Section 100 (Efficient Funding of Chemotherapy),</w:t>
      </w:r>
      <w:r w:rsidR="00700DC5">
        <w:t xml:space="preserve"> Authority Required (</w:t>
      </w:r>
      <w:r w:rsidR="000D4CD9" w:rsidRPr="00457FD3">
        <w:t>STREAMLINED</w:t>
      </w:r>
      <w:r w:rsidR="00700DC5">
        <w:t>)</w:t>
      </w:r>
      <w:r w:rsidRPr="00457FD3">
        <w:t xml:space="preserve"> listing for sacituzumab govitecan (SG) for the treatment of patients with unresectable locally advanced or metastatic triple negative breast cancer (TNBC), who have received at least two prior therapies, including at least one prior therapy for locally advanced or metastatic disease.</w:t>
      </w:r>
    </w:p>
    <w:p w14:paraId="763DE981" w14:textId="77777777" w:rsidR="00A173AE" w:rsidRPr="00457FD3" w:rsidRDefault="00A173AE" w:rsidP="00A173AE">
      <w:pPr>
        <w:pStyle w:val="3-BodyText"/>
      </w:pPr>
      <w:r w:rsidRPr="00457FD3">
        <w:t>Listing was requested on the basis of a cost-effectiveness analysis of SG versus physician’s choice of a single-agent treatment (TPC), consisting of capecitabine, gemcitabine, eribulin or vinorelbine. The key components of the clinical issue addressed by the submission are summarised below.</w:t>
      </w:r>
    </w:p>
    <w:p w14:paraId="00880657" w14:textId="77777777" w:rsidR="004F3AB0" w:rsidRDefault="004F3AB0">
      <w:pPr>
        <w:jc w:val="left"/>
        <w:rPr>
          <w:rFonts w:ascii="Arial Narrow" w:eastAsiaTheme="majorEastAsia" w:hAnsi="Arial Narrow" w:cstheme="majorBidi"/>
          <w:b/>
          <w:bCs/>
          <w:sz w:val="20"/>
        </w:rPr>
      </w:pPr>
      <w:r>
        <w:br w:type="page"/>
      </w:r>
    </w:p>
    <w:p w14:paraId="4033E17D" w14:textId="70CCEC09" w:rsidR="00A173AE" w:rsidRPr="00457FD3" w:rsidRDefault="00A173AE" w:rsidP="00A173AE">
      <w:pPr>
        <w:pStyle w:val="TableFigureHeading"/>
        <w:rPr>
          <w:rStyle w:val="CommentReference"/>
          <w:b/>
          <w:szCs w:val="24"/>
        </w:rPr>
      </w:pPr>
      <w:r w:rsidRPr="00457FD3">
        <w:t xml:space="preserve">Table </w:t>
      </w:r>
      <w:r w:rsidR="00970868" w:rsidRPr="00457FD3">
        <w:rPr>
          <w:noProof/>
        </w:rPr>
        <w:t>1</w:t>
      </w:r>
      <w:r w:rsidRPr="00457FD3">
        <w:t xml:space="preserve">: </w:t>
      </w:r>
      <w:r w:rsidRPr="00457FD3">
        <w:rPr>
          <w:rStyle w:val="CommentReference"/>
          <w:b/>
          <w:szCs w:val="24"/>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43"/>
      </w:tblGrid>
      <w:tr w:rsidR="00A173AE" w:rsidRPr="00457FD3" w14:paraId="4F110D51" w14:textId="77777777" w:rsidTr="00F614CB">
        <w:tc>
          <w:tcPr>
            <w:tcW w:w="1413" w:type="dxa"/>
            <w:vAlign w:val="center"/>
          </w:tcPr>
          <w:p w14:paraId="215E5A58" w14:textId="77777777" w:rsidR="00A173AE" w:rsidRPr="00457FD3" w:rsidRDefault="00A173AE" w:rsidP="00207EE8">
            <w:pPr>
              <w:pStyle w:val="In-tableHeading"/>
            </w:pPr>
            <w:r w:rsidRPr="00457FD3">
              <w:t>Component</w:t>
            </w:r>
          </w:p>
        </w:tc>
        <w:tc>
          <w:tcPr>
            <w:tcW w:w="7743" w:type="dxa"/>
            <w:vAlign w:val="center"/>
          </w:tcPr>
          <w:p w14:paraId="3BBCA4F5" w14:textId="77777777" w:rsidR="00A173AE" w:rsidRPr="00457FD3" w:rsidRDefault="00A173AE" w:rsidP="00207EE8">
            <w:pPr>
              <w:pStyle w:val="In-tableHeading"/>
            </w:pPr>
            <w:r w:rsidRPr="00457FD3">
              <w:t>Description</w:t>
            </w:r>
          </w:p>
        </w:tc>
      </w:tr>
      <w:tr w:rsidR="00A173AE" w:rsidRPr="00457FD3" w14:paraId="38B95427" w14:textId="77777777" w:rsidTr="00F614CB">
        <w:tc>
          <w:tcPr>
            <w:tcW w:w="1413" w:type="dxa"/>
            <w:vAlign w:val="center"/>
          </w:tcPr>
          <w:p w14:paraId="5C38ACBF" w14:textId="77777777" w:rsidR="00A173AE" w:rsidRPr="00457FD3" w:rsidRDefault="00A173AE" w:rsidP="00207EE8">
            <w:pPr>
              <w:pStyle w:val="TableText0"/>
            </w:pPr>
            <w:r w:rsidRPr="00457FD3">
              <w:t>Population</w:t>
            </w:r>
          </w:p>
        </w:tc>
        <w:tc>
          <w:tcPr>
            <w:tcW w:w="7743" w:type="dxa"/>
            <w:vAlign w:val="center"/>
          </w:tcPr>
          <w:p w14:paraId="054810CE" w14:textId="77777777" w:rsidR="00A173AE" w:rsidRPr="00457FD3" w:rsidRDefault="00A173AE" w:rsidP="00207EE8">
            <w:pPr>
              <w:pStyle w:val="TableText0"/>
            </w:pPr>
            <w:r w:rsidRPr="00457FD3">
              <w:t>Patients with unresectable locally advanced or metastatic triple negative breast cancer (TNBC), who have received at least two prior therapies, including at least one prior therapy for locally advanced or metastatic disease.</w:t>
            </w:r>
          </w:p>
        </w:tc>
      </w:tr>
      <w:tr w:rsidR="00A173AE" w:rsidRPr="00457FD3" w14:paraId="1F3370D8" w14:textId="77777777" w:rsidTr="00F614CB">
        <w:tc>
          <w:tcPr>
            <w:tcW w:w="1413" w:type="dxa"/>
            <w:vAlign w:val="center"/>
          </w:tcPr>
          <w:p w14:paraId="38DE212D" w14:textId="77777777" w:rsidR="00A173AE" w:rsidRPr="00457FD3" w:rsidRDefault="00A173AE" w:rsidP="00207EE8">
            <w:pPr>
              <w:pStyle w:val="TableText0"/>
            </w:pPr>
            <w:r w:rsidRPr="00457FD3">
              <w:t>Intervention</w:t>
            </w:r>
          </w:p>
        </w:tc>
        <w:tc>
          <w:tcPr>
            <w:tcW w:w="7743" w:type="dxa"/>
            <w:vAlign w:val="center"/>
          </w:tcPr>
          <w:p w14:paraId="3CABA05A" w14:textId="77777777" w:rsidR="00A173AE" w:rsidRPr="00457FD3" w:rsidRDefault="00A173AE" w:rsidP="00207EE8">
            <w:pPr>
              <w:pStyle w:val="TableText0"/>
            </w:pPr>
            <w:r w:rsidRPr="00457FD3">
              <w:t>Sacituzumab govitecan-hziy (SG) 10mg/kg administered as an IV infusion once weekly on Days 1 and 8 of 21-day treatment cycles, until disease progression or unacceptable toxicity.</w:t>
            </w:r>
          </w:p>
        </w:tc>
      </w:tr>
      <w:tr w:rsidR="00A173AE" w:rsidRPr="00457FD3" w14:paraId="0A78AFF4" w14:textId="77777777" w:rsidTr="00F614CB">
        <w:tc>
          <w:tcPr>
            <w:tcW w:w="1413" w:type="dxa"/>
            <w:vAlign w:val="center"/>
          </w:tcPr>
          <w:p w14:paraId="137CC146" w14:textId="77777777" w:rsidR="00A173AE" w:rsidRPr="00457FD3" w:rsidRDefault="00A173AE" w:rsidP="00207EE8">
            <w:pPr>
              <w:pStyle w:val="TableText0"/>
            </w:pPr>
            <w:r w:rsidRPr="00457FD3">
              <w:t>Comparator</w:t>
            </w:r>
          </w:p>
        </w:tc>
        <w:tc>
          <w:tcPr>
            <w:tcW w:w="7743" w:type="dxa"/>
            <w:vAlign w:val="center"/>
          </w:tcPr>
          <w:p w14:paraId="340F53C0" w14:textId="77777777" w:rsidR="00A173AE" w:rsidRPr="00457FD3" w:rsidRDefault="00A173AE" w:rsidP="00207EE8">
            <w:pPr>
              <w:pStyle w:val="TableText0"/>
            </w:pPr>
            <w:r w:rsidRPr="00457FD3">
              <w:t>Single agent treatment of physician’s choice (TPC)</w:t>
            </w:r>
            <w:r w:rsidRPr="00457FD3">
              <w:rPr>
                <w:vertAlign w:val="superscript"/>
              </w:rPr>
              <w:t>a</w:t>
            </w:r>
            <w:r w:rsidRPr="00457FD3">
              <w:t xml:space="preserve">, consisting of: </w:t>
            </w:r>
          </w:p>
          <w:p w14:paraId="4B0CC4DE" w14:textId="77777777" w:rsidR="00A173AE" w:rsidRPr="00457FD3" w:rsidRDefault="00A173AE" w:rsidP="00207EE8">
            <w:pPr>
              <w:pStyle w:val="TableText0"/>
              <w:rPr>
                <w:vertAlign w:val="superscript"/>
              </w:rPr>
            </w:pPr>
            <w:r w:rsidRPr="00457FD3">
              <w:t>Eribulin: 1.4 mg/m</w:t>
            </w:r>
            <w:r w:rsidRPr="00457FD3">
              <w:rPr>
                <w:vertAlign w:val="superscript"/>
              </w:rPr>
              <w:t>2</w:t>
            </w:r>
            <w:r w:rsidRPr="00457FD3">
              <w:t xml:space="preserve"> or 1.23 mg/m</w:t>
            </w:r>
            <w:r w:rsidRPr="00457FD3">
              <w:rPr>
                <w:vertAlign w:val="superscript"/>
              </w:rPr>
              <w:t>2</w:t>
            </w:r>
            <w:r w:rsidRPr="00457FD3">
              <w:t xml:space="preserve"> IV on Days 1 and 8 of a 21-day cycle</w:t>
            </w:r>
            <w:r w:rsidRPr="00457FD3">
              <w:rPr>
                <w:vertAlign w:val="superscript"/>
              </w:rPr>
              <w:t>b</w:t>
            </w:r>
          </w:p>
          <w:p w14:paraId="43E94380" w14:textId="77777777" w:rsidR="00A173AE" w:rsidRPr="00457FD3" w:rsidRDefault="00A173AE" w:rsidP="00207EE8">
            <w:pPr>
              <w:pStyle w:val="TableText0"/>
              <w:rPr>
                <w:vertAlign w:val="superscript"/>
              </w:rPr>
            </w:pPr>
            <w:r w:rsidRPr="00457FD3">
              <w:t>Capecitabine: 1,000 to 1,250 mg/m</w:t>
            </w:r>
            <w:r w:rsidRPr="00457FD3">
              <w:rPr>
                <w:vertAlign w:val="superscript"/>
              </w:rPr>
              <w:t>2</w:t>
            </w:r>
            <w:r w:rsidRPr="00457FD3">
              <w:t xml:space="preserve"> orally twice daily for 2 weeks followed by 1 week rest, in a 21-day cycle</w:t>
            </w:r>
            <w:r w:rsidRPr="00457FD3">
              <w:rPr>
                <w:vertAlign w:val="superscript"/>
              </w:rPr>
              <w:t>c</w:t>
            </w:r>
          </w:p>
          <w:p w14:paraId="66CF70F2" w14:textId="77777777" w:rsidR="00A173AE" w:rsidRPr="00457FD3" w:rsidRDefault="00A173AE" w:rsidP="00207EE8">
            <w:pPr>
              <w:pStyle w:val="TableText0"/>
              <w:rPr>
                <w:vertAlign w:val="superscript"/>
              </w:rPr>
            </w:pPr>
            <w:r w:rsidRPr="00457FD3">
              <w:t>Gemcitabine: 800-1,200 mg/m</w:t>
            </w:r>
            <w:r w:rsidRPr="00457FD3">
              <w:rPr>
                <w:vertAlign w:val="superscript"/>
              </w:rPr>
              <w:t>2</w:t>
            </w:r>
            <w:r w:rsidRPr="00457FD3">
              <w:t xml:space="preserve"> IV on Days 1, 8 and 15 of a 28-day cycle</w:t>
            </w:r>
            <w:r w:rsidRPr="00457FD3">
              <w:rPr>
                <w:vertAlign w:val="superscript"/>
              </w:rPr>
              <w:t>d</w:t>
            </w:r>
          </w:p>
          <w:p w14:paraId="3F2CDFE3" w14:textId="77777777" w:rsidR="00A173AE" w:rsidRPr="00457FD3" w:rsidRDefault="00A173AE" w:rsidP="00207EE8">
            <w:pPr>
              <w:pStyle w:val="TableText0"/>
            </w:pPr>
            <w:r w:rsidRPr="00457FD3">
              <w:t>Vinorelbine: 25 mg/m</w:t>
            </w:r>
            <w:r w:rsidRPr="00457FD3">
              <w:rPr>
                <w:vertAlign w:val="superscript"/>
              </w:rPr>
              <w:t>2</w:t>
            </w:r>
            <w:r w:rsidRPr="00457FD3">
              <w:t xml:space="preserve"> IV weekly</w:t>
            </w:r>
            <w:r w:rsidRPr="00457FD3">
              <w:rPr>
                <w:vertAlign w:val="superscript"/>
              </w:rPr>
              <w:t>e</w:t>
            </w:r>
          </w:p>
          <w:p w14:paraId="3795D77D" w14:textId="77777777" w:rsidR="00A173AE" w:rsidRPr="00457FD3" w:rsidRDefault="00A173AE" w:rsidP="00207EE8">
            <w:pPr>
              <w:pStyle w:val="TableText0"/>
            </w:pPr>
            <w:r w:rsidRPr="00457FD3">
              <w:t>Treatment with all comparator drugs is continued until disease progression or unacceptable toxicity.</w:t>
            </w:r>
          </w:p>
        </w:tc>
      </w:tr>
      <w:tr w:rsidR="00A173AE" w:rsidRPr="00457FD3" w14:paraId="65BD3DE0" w14:textId="77777777" w:rsidTr="00F614CB">
        <w:tc>
          <w:tcPr>
            <w:tcW w:w="1413" w:type="dxa"/>
            <w:vAlign w:val="center"/>
          </w:tcPr>
          <w:p w14:paraId="5302D970" w14:textId="77777777" w:rsidR="00A173AE" w:rsidRPr="00457FD3" w:rsidRDefault="00A173AE" w:rsidP="00207EE8">
            <w:pPr>
              <w:pStyle w:val="TableText0"/>
            </w:pPr>
            <w:r w:rsidRPr="00457FD3">
              <w:t>Outcomes</w:t>
            </w:r>
          </w:p>
        </w:tc>
        <w:tc>
          <w:tcPr>
            <w:tcW w:w="7743" w:type="dxa"/>
            <w:vAlign w:val="center"/>
          </w:tcPr>
          <w:p w14:paraId="2F5C8790" w14:textId="77777777" w:rsidR="00A173AE" w:rsidRPr="00457FD3" w:rsidRDefault="00A173AE" w:rsidP="00207EE8">
            <w:pPr>
              <w:pStyle w:val="TableText0"/>
            </w:pPr>
            <w:r w:rsidRPr="00457FD3">
              <w:t>Overall survival</w:t>
            </w:r>
          </w:p>
          <w:p w14:paraId="0BC96C0B" w14:textId="77777777" w:rsidR="00A173AE" w:rsidRPr="00457FD3" w:rsidRDefault="00A173AE" w:rsidP="00207EE8">
            <w:pPr>
              <w:pStyle w:val="TableText0"/>
            </w:pPr>
            <w:r w:rsidRPr="00457FD3">
              <w:t>Progression free survival</w:t>
            </w:r>
          </w:p>
          <w:p w14:paraId="49429579" w14:textId="77777777" w:rsidR="00A173AE" w:rsidRPr="00457FD3" w:rsidRDefault="00A173AE" w:rsidP="00207EE8">
            <w:pPr>
              <w:pStyle w:val="TableText0"/>
            </w:pPr>
            <w:r w:rsidRPr="00457FD3">
              <w:t>Quality of life</w:t>
            </w:r>
          </w:p>
          <w:p w14:paraId="1A6D14A2" w14:textId="77777777" w:rsidR="00A173AE" w:rsidRPr="00457FD3" w:rsidRDefault="00A173AE" w:rsidP="00207EE8">
            <w:pPr>
              <w:pStyle w:val="TableText0"/>
            </w:pPr>
            <w:r w:rsidRPr="00457FD3">
              <w:t>Safety</w:t>
            </w:r>
          </w:p>
        </w:tc>
      </w:tr>
      <w:tr w:rsidR="00A173AE" w:rsidRPr="00457FD3" w14:paraId="67033206" w14:textId="77777777" w:rsidTr="00F614CB">
        <w:tc>
          <w:tcPr>
            <w:tcW w:w="1413" w:type="dxa"/>
            <w:vAlign w:val="center"/>
          </w:tcPr>
          <w:p w14:paraId="27FBAEF7" w14:textId="77777777" w:rsidR="00A173AE" w:rsidRPr="00457FD3" w:rsidRDefault="00A173AE" w:rsidP="00207EE8">
            <w:pPr>
              <w:pStyle w:val="TableText0"/>
            </w:pPr>
            <w:r w:rsidRPr="00457FD3">
              <w:t>Clinical claim</w:t>
            </w:r>
          </w:p>
        </w:tc>
        <w:tc>
          <w:tcPr>
            <w:tcW w:w="7743" w:type="dxa"/>
            <w:vAlign w:val="center"/>
          </w:tcPr>
          <w:p w14:paraId="7D74057B" w14:textId="77777777" w:rsidR="00A173AE" w:rsidRPr="00457FD3" w:rsidRDefault="00A173AE" w:rsidP="00207EE8">
            <w:pPr>
              <w:pStyle w:val="TableText0"/>
            </w:pPr>
            <w:r w:rsidRPr="00457FD3">
              <w:t>In patients with unresectable locally advanced or metastatic TNBC, who have received at least two prior therapies, including at least one prior therapy for locally advanced or metastatic disease, SG is superior in terms of efficacy with a similar but different safety profile, compared to TPC.</w:t>
            </w:r>
          </w:p>
        </w:tc>
      </w:tr>
    </w:tbl>
    <w:p w14:paraId="00A2F137" w14:textId="77777777" w:rsidR="00A173AE" w:rsidRPr="00457FD3" w:rsidRDefault="00A173AE" w:rsidP="00A173AE">
      <w:pPr>
        <w:pStyle w:val="TableFigureFooter"/>
      </w:pPr>
      <w:r w:rsidRPr="00457FD3">
        <w:t xml:space="preserve">Source: Table 1-1, p18 of the submission. </w:t>
      </w:r>
    </w:p>
    <w:p w14:paraId="060C8714" w14:textId="04269BD4" w:rsidR="00A173AE" w:rsidRPr="00457FD3" w:rsidRDefault="00A173AE" w:rsidP="00A173AE">
      <w:pPr>
        <w:pStyle w:val="TableFigureFooter"/>
      </w:pPr>
      <w:r w:rsidRPr="00457FD3">
        <w:t xml:space="preserve">IV = </w:t>
      </w:r>
      <w:proofErr w:type="spellStart"/>
      <w:r w:rsidRPr="00457FD3">
        <w:t>intravenous</w:t>
      </w:r>
      <w:r w:rsidR="007E1E66">
        <w:t>s</w:t>
      </w:r>
      <w:proofErr w:type="spellEnd"/>
    </w:p>
    <w:p w14:paraId="29A6B14E" w14:textId="77777777" w:rsidR="00A173AE" w:rsidRPr="00457FD3" w:rsidRDefault="00A173AE" w:rsidP="00A173AE">
      <w:pPr>
        <w:pStyle w:val="TableFigureFooter"/>
        <w:ind w:left="142" w:hanging="142"/>
      </w:pPr>
      <w:r w:rsidRPr="00457FD3">
        <w:rPr>
          <w:vertAlign w:val="superscript"/>
        </w:rPr>
        <w:t>a</w:t>
      </w:r>
      <w:r w:rsidRPr="00457FD3">
        <w:t xml:space="preserve"> Doses are those used in the key ASCENT trial.</w:t>
      </w:r>
    </w:p>
    <w:p w14:paraId="7AECD4A8" w14:textId="77777777" w:rsidR="00A173AE" w:rsidRPr="00457FD3" w:rsidRDefault="00A173AE" w:rsidP="00A173AE">
      <w:pPr>
        <w:pStyle w:val="TableFigureFooter"/>
        <w:ind w:left="142" w:hanging="142"/>
      </w:pPr>
      <w:r w:rsidRPr="00457FD3">
        <w:rPr>
          <w:vertAlign w:val="superscript"/>
        </w:rPr>
        <w:t>b</w:t>
      </w:r>
      <w:r w:rsidRPr="00457FD3">
        <w:t xml:space="preserve"> A dose of 1.4mg/ m</w:t>
      </w:r>
      <w:r w:rsidRPr="00457FD3">
        <w:rPr>
          <w:vertAlign w:val="superscript"/>
        </w:rPr>
        <w:t>2</w:t>
      </w:r>
      <w:r w:rsidRPr="00457FD3">
        <w:t xml:space="preserve"> was used at North American sites and a dose of 1.23mg/ m</w:t>
      </w:r>
      <w:r w:rsidRPr="00457FD3">
        <w:rPr>
          <w:vertAlign w:val="superscript"/>
        </w:rPr>
        <w:t>2</w:t>
      </w:r>
      <w:r w:rsidRPr="00457FD3">
        <w:t xml:space="preserve"> was used at European sites. The TGA recommended dose is 1.4 mg/m</w:t>
      </w:r>
      <w:r w:rsidRPr="00457FD3">
        <w:rPr>
          <w:vertAlign w:val="superscript"/>
        </w:rPr>
        <w:t xml:space="preserve">2 </w:t>
      </w:r>
      <w:r w:rsidRPr="00457FD3">
        <w:t>IV on Days 1 and 8 of every 21-day cycle.</w:t>
      </w:r>
    </w:p>
    <w:p w14:paraId="6AA73158" w14:textId="77777777" w:rsidR="00A173AE" w:rsidRPr="00457FD3" w:rsidRDefault="00A173AE" w:rsidP="00A173AE">
      <w:pPr>
        <w:pStyle w:val="TableFigureFooter"/>
        <w:ind w:left="142" w:hanging="142"/>
      </w:pPr>
      <w:r w:rsidRPr="00457FD3">
        <w:rPr>
          <w:vertAlign w:val="superscript"/>
        </w:rPr>
        <w:t>c</w:t>
      </w:r>
      <w:r w:rsidRPr="00457FD3">
        <w:t xml:space="preserve"> The TGA recommended dose is 1,250 mg/m</w:t>
      </w:r>
      <w:r w:rsidRPr="00457FD3">
        <w:rPr>
          <w:vertAlign w:val="superscript"/>
        </w:rPr>
        <w:t>2</w:t>
      </w:r>
      <w:r w:rsidRPr="00457FD3">
        <w:t xml:space="preserve"> twice daily for 2 weeks followed by a 7 day rest period; given as 3 week cycles</w:t>
      </w:r>
    </w:p>
    <w:p w14:paraId="2B1CEC64" w14:textId="1B040453" w:rsidR="00A173AE" w:rsidRPr="00457FD3" w:rsidRDefault="00A173AE" w:rsidP="00A173AE">
      <w:pPr>
        <w:pStyle w:val="TableFigureFooter"/>
        <w:ind w:left="142" w:hanging="142"/>
      </w:pPr>
      <w:r w:rsidRPr="00457FD3">
        <w:rPr>
          <w:vertAlign w:val="superscript"/>
        </w:rPr>
        <w:t xml:space="preserve">d </w:t>
      </w:r>
      <w:r w:rsidRPr="00457FD3">
        <w:t xml:space="preserve">The TGA approved product information for </w:t>
      </w:r>
      <w:proofErr w:type="spellStart"/>
      <w:r w:rsidRPr="00457FD3">
        <w:t>g</w:t>
      </w:r>
      <w:r w:rsidR="007E1E66">
        <w:t>s</w:t>
      </w:r>
      <w:r w:rsidRPr="00457FD3">
        <w:t>emcitabine</w:t>
      </w:r>
      <w:proofErr w:type="spellEnd"/>
      <w:r w:rsidRPr="00457FD3">
        <w:t xml:space="preserve"> does not include a recommended single-agent dose regimen for gemcitabine. When administered in combination with paclitaxel, the recommended dose is 1,250 mg/m</w:t>
      </w:r>
      <w:r w:rsidRPr="00457FD3">
        <w:rPr>
          <w:vertAlign w:val="superscript"/>
        </w:rPr>
        <w:t>2</w:t>
      </w:r>
      <w:r w:rsidRPr="00457FD3">
        <w:t xml:space="preserve"> on days 1 and 8 of each 21 day cycle.</w:t>
      </w:r>
    </w:p>
    <w:p w14:paraId="0FA56FA1" w14:textId="77777777" w:rsidR="00A173AE" w:rsidRPr="00457FD3" w:rsidRDefault="00A173AE" w:rsidP="00A173AE">
      <w:pPr>
        <w:pStyle w:val="TableFigureFooter"/>
      </w:pPr>
      <w:r w:rsidRPr="00457FD3">
        <w:rPr>
          <w:vertAlign w:val="superscript"/>
        </w:rPr>
        <w:lastRenderedPageBreak/>
        <w:t xml:space="preserve">e </w:t>
      </w:r>
      <w:r w:rsidRPr="00457FD3">
        <w:rPr>
          <w:rStyle w:val="TableFigureFooterChar"/>
        </w:rPr>
        <w:t>The TGA recommended dose for the IV formulation is 25-30 mg/m2 weekly.</w:t>
      </w:r>
    </w:p>
    <w:p w14:paraId="58B828E9" w14:textId="77777777" w:rsidR="00A173AE" w:rsidRPr="00457FD3" w:rsidRDefault="00A173AE" w:rsidP="00A173AE">
      <w:pPr>
        <w:pStyle w:val="2-SectionHeading"/>
        <w:numPr>
          <w:ilvl w:val="0"/>
          <w:numId w:val="1"/>
        </w:numPr>
      </w:pPr>
      <w:r w:rsidRPr="00457FD3">
        <w:t>Background</w:t>
      </w:r>
    </w:p>
    <w:p w14:paraId="2C06600B" w14:textId="77777777" w:rsidR="00A173AE" w:rsidRPr="00457FD3" w:rsidRDefault="00A173AE" w:rsidP="00A173AE">
      <w:pPr>
        <w:pStyle w:val="4-SubsectionHeading"/>
        <w:rPr>
          <w:i w:val="0"/>
        </w:rPr>
      </w:pPr>
      <w:r w:rsidRPr="00457FD3">
        <w:rPr>
          <w:i w:val="0"/>
        </w:rPr>
        <w:t>Registration status</w:t>
      </w:r>
    </w:p>
    <w:p w14:paraId="0B9F40F8" w14:textId="77777777" w:rsidR="006F772E" w:rsidRPr="00457FD3" w:rsidRDefault="00857D82" w:rsidP="00EB1E44">
      <w:pPr>
        <w:pStyle w:val="3-BodyText"/>
      </w:pPr>
      <w:r w:rsidRPr="00457FD3">
        <w:rPr>
          <w:b/>
        </w:rPr>
        <w:t xml:space="preserve">TGA status at the time of </w:t>
      </w:r>
      <w:r w:rsidR="009C090E">
        <w:rPr>
          <w:b/>
        </w:rPr>
        <w:t>PBAC consideration</w:t>
      </w:r>
      <w:r w:rsidRPr="00457FD3">
        <w:rPr>
          <w:b/>
        </w:rPr>
        <w:t xml:space="preserve">: </w:t>
      </w:r>
      <w:r w:rsidR="00A173AE" w:rsidRPr="00457FD3">
        <w:t>The TGA approve</w:t>
      </w:r>
      <w:r w:rsidR="00EC3316" w:rsidRPr="00457FD3">
        <w:t>d</w:t>
      </w:r>
      <w:r w:rsidR="00A173AE" w:rsidRPr="00457FD3">
        <w:t xml:space="preserve"> the registration of SG </w:t>
      </w:r>
      <w:r w:rsidR="00EC3316" w:rsidRPr="00457FD3">
        <w:t>on 6</w:t>
      </w:r>
      <w:r w:rsidR="009B63B0" w:rsidRPr="00457FD3">
        <w:t> </w:t>
      </w:r>
      <w:r w:rsidR="00EC3316" w:rsidRPr="00457FD3">
        <w:t>September</w:t>
      </w:r>
      <w:r w:rsidR="009B63B0" w:rsidRPr="00457FD3">
        <w:t> </w:t>
      </w:r>
      <w:r w:rsidR="00EC3316" w:rsidRPr="00457FD3">
        <w:t>2021</w:t>
      </w:r>
      <w:r w:rsidR="006F772E" w:rsidRPr="00457FD3">
        <w:t xml:space="preserve">. </w:t>
      </w:r>
    </w:p>
    <w:p w14:paraId="778C1BB1" w14:textId="77777777" w:rsidR="00A173AE" w:rsidRPr="00457FD3" w:rsidRDefault="006F772E" w:rsidP="00EB1E44">
      <w:pPr>
        <w:pStyle w:val="3-BodyText"/>
      </w:pPr>
      <w:r w:rsidRPr="00457FD3">
        <w:t>The approved TGA indication is as follows:</w:t>
      </w:r>
      <w:r w:rsidR="00EC3316" w:rsidRPr="00457FD3">
        <w:t xml:space="preserve"> </w:t>
      </w:r>
    </w:p>
    <w:p w14:paraId="550F5EF1" w14:textId="77777777" w:rsidR="00A173AE" w:rsidRPr="00457FD3" w:rsidRDefault="006F772E" w:rsidP="00A173AE">
      <w:pPr>
        <w:pStyle w:val="3-BodyText"/>
        <w:numPr>
          <w:ilvl w:val="0"/>
          <w:numId w:val="0"/>
        </w:numPr>
        <w:ind w:left="851"/>
      </w:pPr>
      <w:r w:rsidRPr="00457FD3">
        <w:t>‘</w:t>
      </w:r>
      <w:r w:rsidR="00A173AE" w:rsidRPr="00457FD3">
        <w:t xml:space="preserve">Sacituzumab govitecan is indicated for the treatment of adult patients with unresectable locally advanced or metastatic triple-negative breast cancer (mTNBC) who have received </w:t>
      </w:r>
      <w:r w:rsidR="00EC3316" w:rsidRPr="00457FD3">
        <w:t xml:space="preserve">at least </w:t>
      </w:r>
      <w:r w:rsidR="00A173AE" w:rsidRPr="00457FD3">
        <w:t xml:space="preserve">two prior systemic therapies, </w:t>
      </w:r>
      <w:r w:rsidR="00EC3316" w:rsidRPr="00457FD3">
        <w:t xml:space="preserve">including </w:t>
      </w:r>
      <w:r w:rsidR="00A173AE" w:rsidRPr="00457FD3">
        <w:t>at least one</w:t>
      </w:r>
      <w:r w:rsidR="00EC3316" w:rsidRPr="00457FD3">
        <w:t xml:space="preserve"> prior therapy for locally advanced or </w:t>
      </w:r>
      <w:r w:rsidR="00A173AE" w:rsidRPr="00457FD3">
        <w:t>metastatic disease</w:t>
      </w:r>
      <w:r w:rsidRPr="00457FD3">
        <w:t>’</w:t>
      </w:r>
      <w:r w:rsidR="00A173AE" w:rsidRPr="00457FD3">
        <w:t>.</w:t>
      </w:r>
    </w:p>
    <w:p w14:paraId="49BA3751" w14:textId="77777777" w:rsidR="00A173AE" w:rsidRPr="00457FD3" w:rsidRDefault="00A173AE" w:rsidP="00675036">
      <w:pPr>
        <w:pStyle w:val="3-BodyText"/>
      </w:pPr>
      <w:r w:rsidRPr="00457FD3">
        <w:t xml:space="preserve">As the evaluation has been facilitated through Project Orbis, SG </w:t>
      </w:r>
      <w:r w:rsidR="00EC3316" w:rsidRPr="00457FD3">
        <w:t xml:space="preserve">was </w:t>
      </w:r>
      <w:r w:rsidRPr="00457FD3">
        <w:t>not considered at an Advisory Committee on Medicines meeting.</w:t>
      </w:r>
    </w:p>
    <w:p w14:paraId="07E8EA42" w14:textId="77777777" w:rsidR="00A173AE" w:rsidRDefault="00952BA2" w:rsidP="00A173AE">
      <w:pPr>
        <w:pStyle w:val="3-BodyText"/>
      </w:pPr>
      <w:r w:rsidRPr="00457FD3">
        <w:t>The ESC noted that t</w:t>
      </w:r>
      <w:r w:rsidR="00A173AE" w:rsidRPr="00457FD3">
        <w:t xml:space="preserve">he submission of data to confirm efficacy and safety in patients with brain metastases </w:t>
      </w:r>
      <w:r w:rsidR="00377E9B" w:rsidRPr="00457FD3">
        <w:t>was</w:t>
      </w:r>
      <w:r w:rsidR="00A173AE" w:rsidRPr="00457FD3">
        <w:t xml:space="preserve"> a condition of registration in Australia (p5 TGA Delegate’s Overview)</w:t>
      </w:r>
      <w:r w:rsidRPr="00457FD3">
        <w:t xml:space="preserve"> and the final report of th</w:t>
      </w:r>
      <w:r w:rsidR="00BE0318" w:rsidRPr="00457FD3">
        <w:t>e</w:t>
      </w:r>
      <w:r w:rsidRPr="00457FD3">
        <w:t>s</w:t>
      </w:r>
      <w:r w:rsidR="00BE0318" w:rsidRPr="00457FD3">
        <w:t>e</w:t>
      </w:r>
      <w:r w:rsidRPr="00457FD3">
        <w:t xml:space="preserve"> data </w:t>
      </w:r>
      <w:r w:rsidR="00C7040B" w:rsidRPr="00457FD3">
        <w:t>i</w:t>
      </w:r>
      <w:r w:rsidRPr="00457FD3">
        <w:t>s expected to be available in February</w:t>
      </w:r>
      <w:r w:rsidR="009B63B0" w:rsidRPr="00457FD3">
        <w:t> </w:t>
      </w:r>
      <w:r w:rsidRPr="00457FD3">
        <w:t>2025</w:t>
      </w:r>
      <w:r w:rsidR="00A173AE" w:rsidRPr="00457FD3">
        <w:t>.</w:t>
      </w:r>
      <w:r w:rsidR="00447572" w:rsidRPr="00457FD3">
        <w:t xml:space="preserve"> </w:t>
      </w:r>
    </w:p>
    <w:p w14:paraId="0D6F9290" w14:textId="77777777" w:rsidR="00457FD3" w:rsidRPr="00457FD3" w:rsidRDefault="00457FD3" w:rsidP="00457FD3">
      <w:pPr>
        <w:pStyle w:val="3-BodyText"/>
        <w:numPr>
          <w:ilvl w:val="0"/>
          <w:numId w:val="0"/>
        </w:numPr>
        <w:ind w:left="720"/>
        <w:rPr>
          <w:i/>
          <w:iCs/>
        </w:rPr>
      </w:pPr>
      <w:r w:rsidRPr="00457FD3">
        <w:rPr>
          <w:i/>
          <w:iCs/>
        </w:rPr>
        <w:t>For more detail on PBAC’s view, see section 7 PBAC outcome.</w:t>
      </w:r>
    </w:p>
    <w:p w14:paraId="0C5654B7" w14:textId="77777777" w:rsidR="00A173AE" w:rsidRPr="00457FD3" w:rsidRDefault="00A173AE" w:rsidP="00A173AE">
      <w:pPr>
        <w:pStyle w:val="2-SectionHeading"/>
        <w:numPr>
          <w:ilvl w:val="0"/>
          <w:numId w:val="1"/>
        </w:numPr>
      </w:pPr>
      <w:r w:rsidRPr="00457FD3">
        <w:t>Requested listing</w:t>
      </w:r>
    </w:p>
    <w:p w14:paraId="66FC9F02" w14:textId="6A7CC452" w:rsidR="005F4832" w:rsidRDefault="00047068" w:rsidP="009910D2">
      <w:pPr>
        <w:pStyle w:val="3-BodyText"/>
        <w:rPr>
          <w:rFonts w:cstheme="minorHAnsi"/>
          <w:iCs/>
        </w:rPr>
      </w:pPr>
      <w:r w:rsidRPr="000C23C6">
        <w:t>Suggestions</w:t>
      </w:r>
      <w:r w:rsidRPr="000C23C6">
        <w:rPr>
          <w:rFonts w:cstheme="minorHAnsi"/>
          <w:iCs/>
        </w:rPr>
        <w:t xml:space="preserve"> and additions proposed by the Secretariat are added in italics and suggested deletions are crossed out with strikethrough. </w:t>
      </w:r>
    </w:p>
    <w:p w14:paraId="4F846377" w14:textId="77777777" w:rsidR="005F4832" w:rsidRDefault="005F4832">
      <w:pPr>
        <w:jc w:val="left"/>
        <w:rPr>
          <w:rFonts w:asciiTheme="minorHAnsi" w:hAnsiTheme="minorHAnsi" w:cstheme="minorHAnsi"/>
          <w:iCs/>
          <w:snapToGrid w:val="0"/>
        </w:rPr>
      </w:pPr>
      <w:r>
        <w:rPr>
          <w:rFonts w:cstheme="minorHAnsi"/>
          <w:iCs/>
        </w:rPr>
        <w:br w:type="page"/>
      </w:r>
    </w:p>
    <w:p w14:paraId="046D0837" w14:textId="77777777" w:rsidR="00047068" w:rsidRPr="000C23C6" w:rsidRDefault="00047068" w:rsidP="00047068">
      <w:pPr>
        <w:pStyle w:val="ListBullet"/>
        <w:numPr>
          <w:ilvl w:val="0"/>
          <w:numId w:val="0"/>
        </w:numPr>
        <w:ind w:left="360"/>
        <w:rPr>
          <w:rFonts w:eastAsia="MS Mincho"/>
          <w:lang w:val="en-US"/>
        </w:rPr>
      </w:pPr>
    </w:p>
    <w:tbl>
      <w:tblPr>
        <w:tblW w:w="5000" w:type="pct"/>
        <w:tblCellMar>
          <w:left w:w="28" w:type="dxa"/>
          <w:right w:w="28" w:type="dxa"/>
        </w:tblCellMar>
        <w:tblLook w:val="0000" w:firstRow="0" w:lastRow="0" w:firstColumn="0" w:lastColumn="0" w:noHBand="0" w:noVBand="0"/>
      </w:tblPr>
      <w:tblGrid>
        <w:gridCol w:w="3046"/>
        <w:gridCol w:w="1080"/>
        <w:gridCol w:w="1298"/>
        <w:gridCol w:w="2114"/>
        <w:gridCol w:w="1489"/>
      </w:tblGrid>
      <w:tr w:rsidR="00A173AE" w:rsidRPr="00457FD3" w14:paraId="138569D4" w14:textId="77777777" w:rsidTr="00207EE8">
        <w:trPr>
          <w:cantSplit/>
          <w:trHeight w:val="463"/>
        </w:trPr>
        <w:tc>
          <w:tcPr>
            <w:tcW w:w="1687" w:type="pct"/>
            <w:tcBorders>
              <w:top w:val="single" w:sz="4" w:space="0" w:color="auto"/>
              <w:bottom w:val="single" w:sz="4" w:space="0" w:color="auto"/>
            </w:tcBorders>
            <w:vAlign w:val="center"/>
          </w:tcPr>
          <w:p w14:paraId="65E0DC74" w14:textId="77777777" w:rsidR="00A173AE" w:rsidRPr="00457FD3" w:rsidRDefault="00A173AE" w:rsidP="00207EE8">
            <w:pPr>
              <w:keepNext/>
              <w:jc w:val="left"/>
              <w:rPr>
                <w:rFonts w:ascii="Arial Narrow" w:hAnsi="Arial Narrow"/>
                <w:b/>
                <w:sz w:val="20"/>
              </w:rPr>
            </w:pPr>
            <w:r w:rsidRPr="00457FD3">
              <w:rPr>
                <w:rFonts w:ascii="Arial Narrow" w:hAnsi="Arial Narrow"/>
                <w:b/>
                <w:sz w:val="20"/>
              </w:rPr>
              <w:t>Name, Restriction,</w:t>
            </w:r>
          </w:p>
          <w:p w14:paraId="7E762A00" w14:textId="77777777" w:rsidR="00A173AE" w:rsidRPr="00457FD3" w:rsidRDefault="00A173AE" w:rsidP="00207EE8">
            <w:pPr>
              <w:keepNext/>
              <w:jc w:val="left"/>
              <w:rPr>
                <w:rFonts w:ascii="Arial Narrow" w:hAnsi="Arial Narrow"/>
                <w:b/>
                <w:sz w:val="20"/>
              </w:rPr>
            </w:pPr>
            <w:r w:rsidRPr="00457FD3">
              <w:rPr>
                <w:rFonts w:ascii="Arial Narrow" w:hAnsi="Arial Narrow"/>
                <w:b/>
                <w:sz w:val="20"/>
              </w:rPr>
              <w:t>Manner of administration and form</w:t>
            </w:r>
          </w:p>
        </w:tc>
        <w:tc>
          <w:tcPr>
            <w:tcW w:w="598" w:type="pct"/>
            <w:tcBorders>
              <w:top w:val="single" w:sz="4" w:space="0" w:color="auto"/>
              <w:bottom w:val="single" w:sz="4" w:space="0" w:color="auto"/>
            </w:tcBorders>
            <w:vAlign w:val="center"/>
          </w:tcPr>
          <w:p w14:paraId="1636365E" w14:textId="77777777" w:rsidR="00A173AE" w:rsidRPr="00457FD3" w:rsidRDefault="00A173AE" w:rsidP="00207EE8">
            <w:pPr>
              <w:keepNext/>
              <w:jc w:val="center"/>
              <w:rPr>
                <w:rFonts w:ascii="Arial Narrow" w:hAnsi="Arial Narrow"/>
                <w:b/>
                <w:sz w:val="20"/>
              </w:rPr>
            </w:pPr>
            <w:r w:rsidRPr="00457FD3">
              <w:rPr>
                <w:rFonts w:ascii="Arial Narrow" w:hAnsi="Arial Narrow"/>
                <w:b/>
                <w:sz w:val="20"/>
              </w:rPr>
              <w:t>Max.</w:t>
            </w:r>
          </w:p>
          <w:p w14:paraId="38D06B12" w14:textId="77777777" w:rsidR="00A173AE" w:rsidRPr="00457FD3" w:rsidRDefault="00A173AE" w:rsidP="00207EE8">
            <w:pPr>
              <w:keepNext/>
              <w:jc w:val="center"/>
              <w:rPr>
                <w:rFonts w:ascii="Arial Narrow" w:hAnsi="Arial Narrow"/>
                <w:b/>
                <w:sz w:val="20"/>
              </w:rPr>
            </w:pPr>
            <w:r w:rsidRPr="00457FD3">
              <w:rPr>
                <w:rFonts w:ascii="Arial Narrow" w:hAnsi="Arial Narrow"/>
                <w:b/>
                <w:sz w:val="20"/>
              </w:rPr>
              <w:t>Amt</w:t>
            </w:r>
          </w:p>
        </w:tc>
        <w:tc>
          <w:tcPr>
            <w:tcW w:w="719" w:type="pct"/>
            <w:tcBorders>
              <w:top w:val="single" w:sz="4" w:space="0" w:color="auto"/>
              <w:bottom w:val="single" w:sz="4" w:space="0" w:color="auto"/>
            </w:tcBorders>
            <w:vAlign w:val="center"/>
          </w:tcPr>
          <w:p w14:paraId="2EA870D9" w14:textId="77777777" w:rsidR="00A173AE" w:rsidRPr="00457FD3" w:rsidRDefault="00A173AE" w:rsidP="00207EE8">
            <w:pPr>
              <w:keepNext/>
              <w:jc w:val="center"/>
              <w:rPr>
                <w:rFonts w:ascii="Arial Narrow" w:hAnsi="Arial Narrow"/>
                <w:b/>
                <w:sz w:val="20"/>
              </w:rPr>
            </w:pPr>
            <w:r w:rsidRPr="00457FD3">
              <w:rPr>
                <w:rFonts w:ascii="Arial Narrow" w:hAnsi="Arial Narrow" w:cs="Times New Roman"/>
                <w:b/>
                <w:sz w:val="20"/>
              </w:rPr>
              <w:t>№</w:t>
            </w:r>
            <w:r w:rsidRPr="00457FD3">
              <w:rPr>
                <w:rFonts w:ascii="Arial Narrow" w:hAnsi="Arial Narrow"/>
                <w:b/>
                <w:sz w:val="20"/>
              </w:rPr>
              <w:t>.of</w:t>
            </w:r>
          </w:p>
          <w:p w14:paraId="0EFE1079" w14:textId="77777777" w:rsidR="00A173AE" w:rsidRPr="00457FD3" w:rsidRDefault="00A173AE" w:rsidP="00207EE8">
            <w:pPr>
              <w:keepNext/>
              <w:jc w:val="center"/>
              <w:rPr>
                <w:rFonts w:ascii="Arial Narrow" w:hAnsi="Arial Narrow"/>
                <w:b/>
                <w:sz w:val="20"/>
              </w:rPr>
            </w:pPr>
            <w:r w:rsidRPr="00457FD3">
              <w:rPr>
                <w:rFonts w:ascii="Arial Narrow" w:hAnsi="Arial Narrow"/>
                <w:b/>
                <w:sz w:val="20"/>
              </w:rPr>
              <w:t>Rpts</w:t>
            </w:r>
          </w:p>
        </w:tc>
        <w:tc>
          <w:tcPr>
            <w:tcW w:w="1171" w:type="pct"/>
            <w:tcBorders>
              <w:top w:val="single" w:sz="4" w:space="0" w:color="auto"/>
              <w:bottom w:val="single" w:sz="4" w:space="0" w:color="auto"/>
            </w:tcBorders>
            <w:vAlign w:val="center"/>
          </w:tcPr>
          <w:p w14:paraId="43CAAB0D" w14:textId="77777777" w:rsidR="00A173AE" w:rsidRPr="00457FD3" w:rsidRDefault="00A173AE" w:rsidP="00207EE8">
            <w:pPr>
              <w:keepNext/>
              <w:jc w:val="center"/>
              <w:rPr>
                <w:rFonts w:ascii="Arial Narrow" w:hAnsi="Arial Narrow"/>
                <w:b/>
                <w:sz w:val="20"/>
              </w:rPr>
            </w:pPr>
            <w:r w:rsidRPr="00457FD3">
              <w:rPr>
                <w:rFonts w:ascii="Arial Narrow" w:hAnsi="Arial Narrow"/>
                <w:b/>
                <w:sz w:val="20"/>
              </w:rPr>
              <w:t xml:space="preserve">Dispensed Price for </w:t>
            </w:r>
            <w:r w:rsidRPr="00457FD3">
              <w:rPr>
                <w:rFonts w:ascii="Arial Narrow" w:hAnsi="Arial Narrow"/>
                <w:b/>
                <w:sz w:val="20"/>
              </w:rPr>
              <w:br/>
              <w:t>Max. Amt</w:t>
            </w:r>
          </w:p>
        </w:tc>
        <w:tc>
          <w:tcPr>
            <w:tcW w:w="825" w:type="pct"/>
            <w:tcBorders>
              <w:top w:val="single" w:sz="4" w:space="0" w:color="auto"/>
              <w:bottom w:val="single" w:sz="4" w:space="0" w:color="auto"/>
            </w:tcBorders>
            <w:vAlign w:val="center"/>
          </w:tcPr>
          <w:p w14:paraId="5110FB4C" w14:textId="77777777" w:rsidR="00A173AE" w:rsidRPr="00457FD3" w:rsidRDefault="00A173AE" w:rsidP="00207EE8">
            <w:pPr>
              <w:keepNext/>
              <w:jc w:val="center"/>
              <w:rPr>
                <w:rFonts w:ascii="Arial Narrow" w:hAnsi="Arial Narrow"/>
                <w:b/>
                <w:sz w:val="20"/>
                <w:lang w:val="fr-FR"/>
              </w:rPr>
            </w:pPr>
            <w:r w:rsidRPr="00457FD3">
              <w:rPr>
                <w:rFonts w:ascii="Arial Narrow" w:hAnsi="Arial Narrow"/>
                <w:b/>
                <w:sz w:val="20"/>
              </w:rPr>
              <w:t>Proprietary Name and Manufacturer</w:t>
            </w:r>
          </w:p>
        </w:tc>
      </w:tr>
      <w:tr w:rsidR="00A173AE" w:rsidRPr="00457FD3" w14:paraId="77F5B3ED" w14:textId="77777777" w:rsidTr="00207EE8">
        <w:trPr>
          <w:cantSplit/>
          <w:trHeight w:val="567"/>
        </w:trPr>
        <w:tc>
          <w:tcPr>
            <w:tcW w:w="1687" w:type="pct"/>
            <w:vAlign w:val="center"/>
          </w:tcPr>
          <w:p w14:paraId="0039ADFB" w14:textId="77777777" w:rsidR="00A173AE" w:rsidRPr="00457FD3" w:rsidRDefault="00A173AE" w:rsidP="00207EE8">
            <w:pPr>
              <w:keepNext/>
              <w:jc w:val="left"/>
              <w:rPr>
                <w:rFonts w:ascii="Arial Narrow" w:hAnsi="Arial Narrow"/>
                <w:smallCaps/>
                <w:sz w:val="20"/>
              </w:rPr>
            </w:pPr>
            <w:r w:rsidRPr="00457FD3">
              <w:rPr>
                <w:rFonts w:ascii="Arial Narrow" w:hAnsi="Arial Narrow"/>
                <w:smallCaps/>
                <w:sz w:val="20"/>
              </w:rPr>
              <w:t>Sacituzumab Govitecan</w:t>
            </w:r>
          </w:p>
          <w:p w14:paraId="3FD41FFE" w14:textId="77777777" w:rsidR="00A173AE" w:rsidRPr="00457FD3" w:rsidRDefault="00A173AE" w:rsidP="00207EE8">
            <w:pPr>
              <w:keepNext/>
              <w:jc w:val="left"/>
              <w:rPr>
                <w:rFonts w:ascii="Arial Narrow" w:hAnsi="Arial Narrow"/>
                <w:sz w:val="20"/>
              </w:rPr>
            </w:pPr>
            <w:r w:rsidRPr="00457FD3">
              <w:rPr>
                <w:rFonts w:ascii="Arial Narrow" w:hAnsi="Arial Narrow"/>
                <w:sz w:val="20"/>
              </w:rPr>
              <w:t>Powder for injection, 180 mg vial</w:t>
            </w:r>
          </w:p>
        </w:tc>
        <w:tc>
          <w:tcPr>
            <w:tcW w:w="598" w:type="pct"/>
            <w:vAlign w:val="center"/>
          </w:tcPr>
          <w:p w14:paraId="47DC3AC0" w14:textId="77777777" w:rsidR="00A173AE" w:rsidRPr="001E21CB" w:rsidRDefault="00A173AE" w:rsidP="00207EE8">
            <w:pPr>
              <w:keepNext/>
              <w:jc w:val="center"/>
              <w:rPr>
                <w:rFonts w:ascii="Arial Narrow" w:hAnsi="Arial Narrow"/>
                <w:strike/>
                <w:sz w:val="20"/>
              </w:rPr>
            </w:pPr>
            <w:r w:rsidRPr="001E21CB">
              <w:rPr>
                <w:rFonts w:ascii="Arial Narrow" w:hAnsi="Arial Narrow"/>
                <w:strike/>
                <w:sz w:val="20"/>
              </w:rPr>
              <w:t>4 vials</w:t>
            </w:r>
          </w:p>
          <w:p w14:paraId="66C6BA0E" w14:textId="77777777" w:rsidR="00A173AE" w:rsidRPr="00457FD3" w:rsidRDefault="00A173AE" w:rsidP="00207EE8">
            <w:pPr>
              <w:keepNext/>
              <w:jc w:val="center"/>
              <w:rPr>
                <w:rFonts w:ascii="Arial Narrow" w:hAnsi="Arial Narrow"/>
                <w:sz w:val="20"/>
              </w:rPr>
            </w:pPr>
            <w:r w:rsidRPr="00457FD3">
              <w:rPr>
                <w:rFonts w:ascii="Arial Narrow" w:hAnsi="Arial Narrow"/>
                <w:sz w:val="20"/>
              </w:rPr>
              <w:t>(</w:t>
            </w:r>
            <w:r w:rsidRPr="001E21CB">
              <w:rPr>
                <w:rFonts w:ascii="Arial Narrow" w:hAnsi="Arial Narrow"/>
                <w:strike/>
                <w:sz w:val="20"/>
              </w:rPr>
              <w:t>720</w:t>
            </w:r>
            <w:r w:rsidRPr="00457FD3">
              <w:rPr>
                <w:rFonts w:ascii="Arial Narrow" w:hAnsi="Arial Narrow"/>
                <w:sz w:val="20"/>
              </w:rPr>
              <w:t> </w:t>
            </w:r>
            <w:r w:rsidR="001E21CB" w:rsidRPr="001E21CB">
              <w:rPr>
                <w:rFonts w:ascii="Arial Narrow" w:hAnsi="Arial Narrow"/>
                <w:i/>
                <w:iCs/>
                <w:sz w:val="20"/>
              </w:rPr>
              <w:t>1200</w:t>
            </w:r>
            <w:r w:rsidR="001E21CB">
              <w:rPr>
                <w:rFonts w:ascii="Arial Narrow" w:hAnsi="Arial Narrow"/>
                <w:sz w:val="20"/>
              </w:rPr>
              <w:t xml:space="preserve"> </w:t>
            </w:r>
            <w:r w:rsidRPr="00457FD3">
              <w:rPr>
                <w:rFonts w:ascii="Arial Narrow" w:hAnsi="Arial Narrow"/>
                <w:sz w:val="20"/>
              </w:rPr>
              <w:t>mg)</w:t>
            </w:r>
          </w:p>
        </w:tc>
        <w:tc>
          <w:tcPr>
            <w:tcW w:w="719" w:type="pct"/>
            <w:vAlign w:val="center"/>
          </w:tcPr>
          <w:p w14:paraId="70DC90E9" w14:textId="77777777" w:rsidR="00A173AE" w:rsidRPr="00457FD3" w:rsidRDefault="00A173AE" w:rsidP="00207EE8">
            <w:pPr>
              <w:keepNext/>
              <w:jc w:val="center"/>
              <w:rPr>
                <w:rFonts w:ascii="Arial Narrow" w:hAnsi="Arial Narrow"/>
                <w:sz w:val="20"/>
              </w:rPr>
            </w:pPr>
            <w:r w:rsidRPr="001E21CB">
              <w:rPr>
                <w:rFonts w:ascii="Arial Narrow" w:hAnsi="Arial Narrow"/>
                <w:strike/>
                <w:sz w:val="20"/>
              </w:rPr>
              <w:t xml:space="preserve">6 </w:t>
            </w:r>
            <w:r w:rsidR="001E21CB" w:rsidRPr="001E21CB">
              <w:rPr>
                <w:rFonts w:ascii="Arial Narrow" w:hAnsi="Arial Narrow"/>
                <w:i/>
                <w:iCs/>
                <w:sz w:val="20"/>
              </w:rPr>
              <w:t>7</w:t>
            </w:r>
            <w:r w:rsidR="00DA32BC">
              <w:rPr>
                <w:rFonts w:ascii="Arial Narrow" w:hAnsi="Arial Narrow"/>
                <w:i/>
                <w:iCs/>
                <w:sz w:val="20"/>
              </w:rPr>
              <w:t xml:space="preserve"> </w:t>
            </w:r>
            <w:r w:rsidRPr="00457FD3">
              <w:rPr>
                <w:rFonts w:ascii="Arial Narrow" w:hAnsi="Arial Narrow"/>
                <w:sz w:val="20"/>
              </w:rPr>
              <w:t>initial</w:t>
            </w:r>
          </w:p>
          <w:p w14:paraId="58B03514" w14:textId="77777777" w:rsidR="00A173AE" w:rsidRPr="00457FD3" w:rsidRDefault="00A173AE" w:rsidP="00207EE8">
            <w:pPr>
              <w:keepNext/>
              <w:jc w:val="center"/>
              <w:rPr>
                <w:rFonts w:ascii="Arial Narrow" w:hAnsi="Arial Narrow"/>
                <w:sz w:val="20"/>
              </w:rPr>
            </w:pPr>
            <w:r w:rsidRPr="00457FD3">
              <w:rPr>
                <w:rFonts w:ascii="Arial Narrow" w:hAnsi="Arial Narrow"/>
                <w:sz w:val="20"/>
              </w:rPr>
              <w:t>13 continuing</w:t>
            </w:r>
          </w:p>
        </w:tc>
        <w:tc>
          <w:tcPr>
            <w:tcW w:w="1171" w:type="pct"/>
            <w:vAlign w:val="center"/>
          </w:tcPr>
          <w:p w14:paraId="7AF1129C" w14:textId="77777777" w:rsidR="00A173AE" w:rsidRPr="00457FD3" w:rsidRDefault="00A173AE" w:rsidP="00207EE8">
            <w:pPr>
              <w:keepNext/>
              <w:jc w:val="center"/>
              <w:rPr>
                <w:rFonts w:ascii="Arial Narrow" w:hAnsi="Arial Narrow"/>
                <w:sz w:val="20"/>
                <w:vertAlign w:val="superscript"/>
              </w:rPr>
            </w:pPr>
            <w:r w:rsidRPr="00457FD3">
              <w:rPr>
                <w:rFonts w:ascii="Arial Narrow" w:hAnsi="Arial Narrow"/>
                <w:sz w:val="20"/>
              </w:rPr>
              <w:t>Published price</w:t>
            </w:r>
            <w:r w:rsidRPr="00457FD3">
              <w:rPr>
                <w:rFonts w:ascii="Arial Narrow" w:hAnsi="Arial Narrow"/>
                <w:sz w:val="20"/>
                <w:vertAlign w:val="superscript"/>
              </w:rPr>
              <w:t>a</w:t>
            </w:r>
          </w:p>
          <w:p w14:paraId="0D63DC6B" w14:textId="77777777" w:rsidR="00A173AE" w:rsidRPr="00457FD3" w:rsidRDefault="00A173AE" w:rsidP="00207EE8">
            <w:pPr>
              <w:keepNext/>
              <w:jc w:val="center"/>
              <w:rPr>
                <w:rFonts w:ascii="Arial Narrow" w:hAnsi="Arial Narrow"/>
                <w:sz w:val="20"/>
                <w:vertAlign w:val="superscript"/>
              </w:rPr>
            </w:pPr>
            <w:r w:rsidRPr="00457FD3">
              <w:rPr>
                <w:rFonts w:ascii="Arial Narrow" w:hAnsi="Arial Narrow"/>
                <w:sz w:val="20"/>
              </w:rPr>
              <w:t>$6,024.64 (Public)</w:t>
            </w:r>
          </w:p>
          <w:p w14:paraId="4B0B9E28" w14:textId="77777777" w:rsidR="00A173AE" w:rsidRPr="00457FD3" w:rsidRDefault="00A173AE" w:rsidP="00207EE8">
            <w:pPr>
              <w:keepNext/>
              <w:jc w:val="center"/>
              <w:rPr>
                <w:rFonts w:ascii="Arial Narrow" w:hAnsi="Arial Narrow"/>
                <w:sz w:val="20"/>
                <w:vertAlign w:val="superscript"/>
              </w:rPr>
            </w:pPr>
            <w:r w:rsidRPr="00457FD3">
              <w:rPr>
                <w:rFonts w:ascii="Arial Narrow" w:hAnsi="Arial Narrow"/>
                <w:sz w:val="20"/>
              </w:rPr>
              <w:t>$6,148.81 (Private)</w:t>
            </w:r>
          </w:p>
          <w:p w14:paraId="17BF4198" w14:textId="77777777" w:rsidR="00F6196F" w:rsidRPr="00457FD3" w:rsidRDefault="00F6196F" w:rsidP="00F6196F">
            <w:pPr>
              <w:keepNext/>
              <w:jc w:val="center"/>
              <w:rPr>
                <w:rFonts w:ascii="Arial Narrow" w:hAnsi="Arial Narrow"/>
                <w:sz w:val="20"/>
              </w:rPr>
            </w:pPr>
            <w:r w:rsidRPr="00457FD3">
              <w:rPr>
                <w:rFonts w:ascii="Arial Narrow" w:hAnsi="Arial Narrow"/>
                <w:sz w:val="20"/>
              </w:rPr>
              <w:t>Effective price</w:t>
            </w:r>
            <w:r w:rsidRPr="00457FD3">
              <w:rPr>
                <w:rFonts w:ascii="Arial Narrow" w:hAnsi="Arial Narrow"/>
                <w:sz w:val="20"/>
                <w:vertAlign w:val="superscript"/>
              </w:rPr>
              <w:t>b</w:t>
            </w:r>
          </w:p>
          <w:p w14:paraId="1F442EA0" w14:textId="77777777" w:rsidR="00F6196F" w:rsidRPr="00457FD3" w:rsidRDefault="00F6196F" w:rsidP="00F6196F">
            <w:pPr>
              <w:keepNext/>
              <w:jc w:val="center"/>
              <w:rPr>
                <w:rFonts w:ascii="Arial Narrow" w:hAnsi="Arial Narrow"/>
                <w:sz w:val="20"/>
              </w:rPr>
            </w:pPr>
            <w:r w:rsidRPr="00457FD3">
              <w:rPr>
                <w:rFonts w:ascii="Arial Narrow" w:hAnsi="Arial Narrow"/>
                <w:sz w:val="20"/>
              </w:rPr>
              <w:t>$</w:t>
            </w:r>
            <w:r w:rsidR="00730CE5">
              <w:rPr>
                <w:rFonts w:ascii="Arial Narrow" w:hAnsi="Arial Narrow"/>
                <w:noProof/>
                <w:color w:val="000000"/>
                <w:sz w:val="20"/>
                <w:highlight w:val="black"/>
              </w:rPr>
              <w:t xml:space="preserve">'''''''''''''''''''''' </w:t>
            </w:r>
            <w:r w:rsidRPr="00457FD3">
              <w:rPr>
                <w:rFonts w:ascii="Arial Narrow" w:hAnsi="Arial Narrow"/>
                <w:sz w:val="20"/>
              </w:rPr>
              <w:t>(Public)</w:t>
            </w:r>
          </w:p>
          <w:p w14:paraId="15BD71C4" w14:textId="77777777" w:rsidR="00A173AE" w:rsidRPr="00457FD3" w:rsidRDefault="00F6196F" w:rsidP="00F6196F">
            <w:pPr>
              <w:keepNext/>
              <w:jc w:val="center"/>
              <w:rPr>
                <w:rFonts w:ascii="Arial Narrow" w:hAnsi="Arial Narrow"/>
                <w:sz w:val="20"/>
              </w:rPr>
            </w:pPr>
            <w:r w:rsidRPr="00457FD3">
              <w:rPr>
                <w:rFonts w:ascii="Arial Narrow" w:hAnsi="Arial Narrow"/>
                <w:sz w:val="20"/>
              </w:rPr>
              <w:t>$</w:t>
            </w:r>
            <w:r w:rsidR="00730CE5">
              <w:rPr>
                <w:rFonts w:ascii="Arial Narrow" w:hAnsi="Arial Narrow"/>
                <w:noProof/>
                <w:color w:val="000000"/>
                <w:sz w:val="20"/>
                <w:highlight w:val="black"/>
              </w:rPr>
              <w:t xml:space="preserve">''''''''''''''''''''' </w:t>
            </w:r>
            <w:r w:rsidRPr="00457FD3">
              <w:rPr>
                <w:rFonts w:ascii="Arial Narrow" w:hAnsi="Arial Narrow"/>
                <w:sz w:val="20"/>
              </w:rPr>
              <w:t>(Private)</w:t>
            </w:r>
          </w:p>
        </w:tc>
        <w:tc>
          <w:tcPr>
            <w:tcW w:w="825" w:type="pct"/>
            <w:vAlign w:val="center"/>
          </w:tcPr>
          <w:p w14:paraId="1FC2242D" w14:textId="77777777" w:rsidR="00A173AE" w:rsidRPr="00457FD3" w:rsidRDefault="00A173AE" w:rsidP="00207EE8">
            <w:pPr>
              <w:keepNext/>
              <w:jc w:val="center"/>
              <w:rPr>
                <w:rFonts w:ascii="Arial Narrow" w:hAnsi="Arial Narrow"/>
                <w:sz w:val="20"/>
              </w:rPr>
            </w:pPr>
            <w:r w:rsidRPr="00457FD3">
              <w:rPr>
                <w:rFonts w:ascii="Arial Narrow" w:hAnsi="Arial Narrow"/>
                <w:sz w:val="20"/>
              </w:rPr>
              <w:t>TRODELVY</w:t>
            </w:r>
            <w:r w:rsidRPr="00457FD3">
              <w:rPr>
                <w:rFonts w:ascii="Arial Narrow" w:hAnsi="Arial Narrow"/>
                <w:sz w:val="20"/>
                <w:vertAlign w:val="superscript"/>
              </w:rPr>
              <w:t>®</w:t>
            </w:r>
          </w:p>
          <w:p w14:paraId="75F2A01F" w14:textId="77777777" w:rsidR="00A173AE" w:rsidRPr="00457FD3" w:rsidRDefault="00A173AE" w:rsidP="00207EE8">
            <w:pPr>
              <w:keepNext/>
              <w:jc w:val="center"/>
              <w:rPr>
                <w:rFonts w:ascii="Arial Narrow" w:hAnsi="Arial Narrow"/>
                <w:sz w:val="20"/>
              </w:rPr>
            </w:pPr>
            <w:r w:rsidRPr="00457FD3">
              <w:rPr>
                <w:rFonts w:ascii="Arial Narrow" w:hAnsi="Arial Narrow"/>
                <w:sz w:val="20"/>
              </w:rPr>
              <w:t>Gilead Sciences Pty Ltd</w:t>
            </w:r>
          </w:p>
        </w:tc>
      </w:tr>
    </w:tbl>
    <w:p w14:paraId="2804963E" w14:textId="77777777" w:rsidR="00A173AE" w:rsidRPr="00457FD3" w:rsidRDefault="00A173AE" w:rsidP="00A173AE">
      <w:pPr>
        <w:pStyle w:val="TableFigureFooter"/>
        <w:ind w:left="142" w:hanging="142"/>
      </w:pPr>
      <w:r w:rsidRPr="00457FD3">
        <w:rPr>
          <w:vertAlign w:val="superscript"/>
        </w:rPr>
        <w:t>a</w:t>
      </w:r>
      <w:r w:rsidRPr="00457FD3">
        <w:t xml:space="preserve"> Dispensed price updated during the evaluation, based on a proposed published ex-manufacturer price of $1,484.59 per vial, pharmacy mark-up $83.14, distribution fee $27.75, diluent fee $5.50, preparation fee $86.28 and ready prepared fee $7.78 (fees as of 1 July 2021).</w:t>
      </w:r>
    </w:p>
    <w:p w14:paraId="530487D6" w14:textId="77777777" w:rsidR="00A173AE" w:rsidRPr="00457FD3" w:rsidRDefault="00A173AE" w:rsidP="00A173AE">
      <w:pPr>
        <w:pStyle w:val="TableFigureFooter"/>
        <w:ind w:left="142" w:hanging="142"/>
      </w:pPr>
      <w:r w:rsidRPr="00457FD3">
        <w:rPr>
          <w:vertAlign w:val="superscript"/>
        </w:rPr>
        <w:t xml:space="preserve">b </w:t>
      </w:r>
      <w:r w:rsidRPr="00457FD3">
        <w:t>The sponsor advised that the proposed effective</w:t>
      </w:r>
      <w:r w:rsidR="00BE0318" w:rsidRPr="00457FD3">
        <w:t xml:space="preserve"> ex-manufacturer</w:t>
      </w:r>
      <w:r w:rsidRPr="00457FD3">
        <w:t xml:space="preserve"> price for sacituzumab govitecan is </w:t>
      </w:r>
      <w:r w:rsidR="00F6196F" w:rsidRPr="00457FD3">
        <w:t>$</w:t>
      </w:r>
      <w:r w:rsidR="00730CE5">
        <w:rPr>
          <w:noProof/>
          <w:color w:val="000000"/>
          <w:highlight w:val="black"/>
        </w:rPr>
        <w:t>''''''''</w:t>
      </w:r>
      <w:r w:rsidR="00F6196F" w:rsidRPr="00457FD3">
        <w:t xml:space="preserve"> per vial.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33"/>
        <w:gridCol w:w="6784"/>
      </w:tblGrid>
      <w:tr w:rsidR="00A173AE" w:rsidRPr="00457FD3" w14:paraId="333D27B7"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6FDC093C" w14:textId="77777777" w:rsidR="00A173AE" w:rsidRPr="00457FD3" w:rsidRDefault="00A173AE" w:rsidP="00AB778B">
            <w:pPr>
              <w:pStyle w:val="TableText0"/>
              <w:keepNext w:val="0"/>
            </w:pPr>
            <w:r w:rsidRPr="00457FD3">
              <w:t>Category/Program:</w:t>
            </w:r>
          </w:p>
        </w:tc>
        <w:tc>
          <w:tcPr>
            <w:tcW w:w="3762" w:type="pct"/>
            <w:tcBorders>
              <w:top w:val="single" w:sz="4" w:space="0" w:color="auto"/>
              <w:left w:val="single" w:sz="4" w:space="0" w:color="auto"/>
              <w:bottom w:val="single" w:sz="4" w:space="0" w:color="auto"/>
              <w:right w:val="single" w:sz="4" w:space="0" w:color="auto"/>
            </w:tcBorders>
          </w:tcPr>
          <w:p w14:paraId="675B4399" w14:textId="77777777" w:rsidR="00A173AE" w:rsidRPr="00457FD3" w:rsidRDefault="00A173AE" w:rsidP="00AB778B">
            <w:pPr>
              <w:pStyle w:val="TableText0"/>
              <w:keepNext w:val="0"/>
            </w:pPr>
            <w:r w:rsidRPr="00457FD3">
              <w:t>Section 100 – Efficient Funding of Chemotherapy (Private/Public Hospital codes)</w:t>
            </w:r>
          </w:p>
        </w:tc>
      </w:tr>
      <w:tr w:rsidR="00A173AE" w:rsidRPr="00457FD3" w14:paraId="521E0CDA"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4C2956DF" w14:textId="77777777" w:rsidR="00A173AE" w:rsidRPr="00457FD3" w:rsidRDefault="00A173AE" w:rsidP="00AB778B">
            <w:pPr>
              <w:pStyle w:val="TableText0"/>
              <w:keepNext w:val="0"/>
            </w:pPr>
            <w:r w:rsidRPr="00457FD3">
              <w:t>PBS indication:</w:t>
            </w:r>
          </w:p>
        </w:tc>
        <w:tc>
          <w:tcPr>
            <w:tcW w:w="3762" w:type="pct"/>
            <w:tcBorders>
              <w:top w:val="single" w:sz="4" w:space="0" w:color="auto"/>
              <w:left w:val="single" w:sz="4" w:space="0" w:color="auto"/>
              <w:bottom w:val="single" w:sz="4" w:space="0" w:color="auto"/>
              <w:right w:val="single" w:sz="4" w:space="0" w:color="auto"/>
            </w:tcBorders>
          </w:tcPr>
          <w:p w14:paraId="68F6761C" w14:textId="77777777" w:rsidR="00A173AE" w:rsidRPr="00457FD3" w:rsidRDefault="00A173AE" w:rsidP="00AB778B">
            <w:pPr>
              <w:pStyle w:val="TableText0"/>
              <w:keepNext w:val="0"/>
            </w:pPr>
            <w:r w:rsidRPr="00457FD3">
              <w:t>Unresectable locally advanced or metastatic triple-negative breast cancer</w:t>
            </w:r>
          </w:p>
        </w:tc>
      </w:tr>
      <w:tr w:rsidR="00A173AE" w:rsidRPr="00457FD3" w14:paraId="51ABD3F2"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65DFEAA0" w14:textId="77777777" w:rsidR="00A173AE" w:rsidRPr="00457FD3" w:rsidRDefault="00A173AE" w:rsidP="00AB778B">
            <w:pPr>
              <w:pStyle w:val="TableText0"/>
              <w:keepNext w:val="0"/>
            </w:pPr>
            <w:r w:rsidRPr="00457FD3">
              <w:t>Treatment phase:</w:t>
            </w:r>
          </w:p>
        </w:tc>
        <w:tc>
          <w:tcPr>
            <w:tcW w:w="3762" w:type="pct"/>
            <w:tcBorders>
              <w:top w:val="single" w:sz="4" w:space="0" w:color="auto"/>
              <w:left w:val="single" w:sz="4" w:space="0" w:color="auto"/>
              <w:bottom w:val="single" w:sz="4" w:space="0" w:color="auto"/>
              <w:right w:val="single" w:sz="4" w:space="0" w:color="auto"/>
            </w:tcBorders>
          </w:tcPr>
          <w:p w14:paraId="5A38D763" w14:textId="77777777" w:rsidR="00A173AE" w:rsidRPr="00457FD3" w:rsidRDefault="00A173AE" w:rsidP="00AB778B">
            <w:pPr>
              <w:pStyle w:val="TableText0"/>
              <w:keepNext w:val="0"/>
            </w:pPr>
            <w:r w:rsidRPr="00457FD3">
              <w:t>Initial treatment</w:t>
            </w:r>
          </w:p>
        </w:tc>
      </w:tr>
      <w:tr w:rsidR="00A173AE" w:rsidRPr="00457FD3" w14:paraId="07215A5D"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47EEC2BB" w14:textId="77777777" w:rsidR="00A173AE" w:rsidRPr="00457FD3" w:rsidRDefault="00A173AE" w:rsidP="00AB778B">
            <w:pPr>
              <w:pStyle w:val="TableText0"/>
              <w:keepNext w:val="0"/>
            </w:pPr>
            <w:r w:rsidRPr="00457FD3">
              <w:t>Restriction:</w:t>
            </w:r>
          </w:p>
        </w:tc>
        <w:tc>
          <w:tcPr>
            <w:tcW w:w="3762" w:type="pct"/>
            <w:tcBorders>
              <w:top w:val="single" w:sz="4" w:space="0" w:color="auto"/>
              <w:left w:val="single" w:sz="4" w:space="0" w:color="auto"/>
              <w:bottom w:val="single" w:sz="4" w:space="0" w:color="auto"/>
              <w:right w:val="single" w:sz="4" w:space="0" w:color="auto"/>
            </w:tcBorders>
          </w:tcPr>
          <w:p w14:paraId="2DB15547" w14:textId="77777777" w:rsidR="00A173AE" w:rsidRPr="00457FD3" w:rsidRDefault="00A173AE" w:rsidP="00AB778B">
            <w:pPr>
              <w:pStyle w:val="TableText0"/>
              <w:keepNext w:val="0"/>
            </w:pPr>
            <w:r w:rsidRPr="00457FD3">
              <w:fldChar w:fldCharType="begin">
                <w:ffData>
                  <w:name w:val="Check5"/>
                  <w:enabled/>
                  <w:calcOnExit w:val="0"/>
                  <w:checkBox>
                    <w:sizeAuto/>
                    <w:default w:val="1"/>
                  </w:checkBox>
                </w:ffData>
              </w:fldChar>
            </w:r>
            <w:r w:rsidRPr="00457FD3">
              <w:instrText xml:space="preserve"> FORMCHECKBOX </w:instrText>
            </w:r>
            <w:r w:rsidR="007E1E66">
              <w:fldChar w:fldCharType="separate"/>
            </w:r>
            <w:r w:rsidRPr="00457FD3">
              <w:fldChar w:fldCharType="end"/>
            </w:r>
            <w:r w:rsidRPr="00457FD3">
              <w:t>Streamlined</w:t>
            </w:r>
          </w:p>
        </w:tc>
      </w:tr>
      <w:tr w:rsidR="00A173AE" w:rsidRPr="00457FD3" w14:paraId="2DA4F378"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259465E6" w14:textId="77777777" w:rsidR="00A173AE" w:rsidRPr="00457FD3" w:rsidRDefault="00A173AE" w:rsidP="00AB778B">
            <w:pPr>
              <w:pStyle w:val="TableText0"/>
              <w:keepNext w:val="0"/>
            </w:pPr>
            <w:r w:rsidRPr="00457FD3">
              <w:t>Clinical criteria:</w:t>
            </w:r>
          </w:p>
        </w:tc>
        <w:tc>
          <w:tcPr>
            <w:tcW w:w="3762" w:type="pct"/>
            <w:tcBorders>
              <w:top w:val="single" w:sz="4" w:space="0" w:color="auto"/>
              <w:left w:val="single" w:sz="4" w:space="0" w:color="auto"/>
              <w:bottom w:val="single" w:sz="4" w:space="0" w:color="auto"/>
              <w:right w:val="single" w:sz="4" w:space="0" w:color="auto"/>
            </w:tcBorders>
          </w:tcPr>
          <w:p w14:paraId="4915E04D" w14:textId="77777777" w:rsidR="00A173AE" w:rsidRPr="001E21CB" w:rsidRDefault="00A173AE" w:rsidP="00AB778B">
            <w:pPr>
              <w:pStyle w:val="TableText0"/>
              <w:keepNext w:val="0"/>
              <w:rPr>
                <w:strike/>
              </w:rPr>
            </w:pPr>
            <w:r w:rsidRPr="00457FD3">
              <w:t xml:space="preserve">The condition must be </w:t>
            </w:r>
            <w:r w:rsidRPr="001E21CB">
              <w:rPr>
                <w:strike/>
              </w:rPr>
              <w:t>hormone receptor (oestrogen and progesterone) negative</w:t>
            </w:r>
          </w:p>
          <w:p w14:paraId="674AC934" w14:textId="77777777" w:rsidR="00A173AE" w:rsidRPr="00457FD3" w:rsidRDefault="00A173AE" w:rsidP="00AB778B">
            <w:pPr>
              <w:pStyle w:val="TableText0"/>
              <w:keepNext w:val="0"/>
            </w:pPr>
            <w:r w:rsidRPr="001E21CB">
              <w:rPr>
                <w:strike/>
              </w:rPr>
              <w:t>AND</w:t>
            </w:r>
            <w:r w:rsidR="001E21CB">
              <w:rPr>
                <w:strike/>
              </w:rPr>
              <w:t xml:space="preserve"> </w:t>
            </w:r>
            <w:r w:rsidR="001E21CB" w:rsidRPr="001E21CB">
              <w:rPr>
                <w:i/>
                <w:iCs/>
                <w:szCs w:val="20"/>
              </w:rPr>
              <w:t>tested negative for the expression of each of: (i) estrogen receptor, (ii) progesterone receptor, (iii)</w:t>
            </w:r>
            <w:r w:rsidR="001E21CB" w:rsidRPr="001E21CB">
              <w:rPr>
                <w:szCs w:val="20"/>
              </w:rPr>
              <w:t xml:space="preserve"> excess </w:t>
            </w:r>
            <w:r w:rsidRPr="001E21CB">
              <w:rPr>
                <w:strike/>
              </w:rPr>
              <w:t xml:space="preserve">The condition must be </w:t>
            </w:r>
            <w:r w:rsidRPr="00457FD3">
              <w:t>human epidermal growth factor receptor 2 (HER2) negative</w:t>
            </w:r>
          </w:p>
          <w:p w14:paraId="3B15CAEC" w14:textId="77777777" w:rsidR="00A173AE" w:rsidRPr="00457FD3" w:rsidRDefault="00A173AE" w:rsidP="00AB778B">
            <w:pPr>
              <w:pStyle w:val="TableText0"/>
              <w:keepNext w:val="0"/>
            </w:pPr>
            <w:r w:rsidRPr="00457FD3">
              <w:t>AND</w:t>
            </w:r>
          </w:p>
          <w:p w14:paraId="4E16A350" w14:textId="77777777" w:rsidR="00A173AE" w:rsidRDefault="00A173AE" w:rsidP="00AB778B">
            <w:pPr>
              <w:pStyle w:val="TableText0"/>
              <w:keepNext w:val="0"/>
            </w:pPr>
            <w:r w:rsidRPr="00457FD3">
              <w:t xml:space="preserve">Patient must have </w:t>
            </w:r>
            <w:r w:rsidRPr="003859C1">
              <w:rPr>
                <w:strike/>
              </w:rPr>
              <w:t>received</w:t>
            </w:r>
            <w:r w:rsidR="003859C1">
              <w:t xml:space="preserve"> </w:t>
            </w:r>
            <w:r w:rsidR="0043032C" w:rsidRPr="0043032C">
              <w:rPr>
                <w:i/>
              </w:rPr>
              <w:t>progressive disease following</w:t>
            </w:r>
            <w:r w:rsidR="0043032C">
              <w:t xml:space="preserve"> </w:t>
            </w:r>
            <w:r w:rsidRPr="00457FD3">
              <w:t xml:space="preserve">two or more prior </w:t>
            </w:r>
            <w:r w:rsidR="003859C1" w:rsidRPr="003859C1">
              <w:rPr>
                <w:i/>
                <w:iCs/>
              </w:rPr>
              <w:t xml:space="preserve">systemic </w:t>
            </w:r>
            <w:r w:rsidRPr="00457FD3">
              <w:t>therapies, at least one of them in the locally advanced or metastatic setting</w:t>
            </w:r>
          </w:p>
          <w:p w14:paraId="55841D43" w14:textId="77777777" w:rsidR="001E21CB" w:rsidRPr="001E21CB" w:rsidRDefault="001E21CB" w:rsidP="00AB778B">
            <w:pPr>
              <w:pStyle w:val="TableText0"/>
              <w:keepNext w:val="0"/>
              <w:rPr>
                <w:i/>
                <w:iCs/>
              </w:rPr>
            </w:pPr>
            <w:r w:rsidRPr="001E21CB">
              <w:rPr>
                <w:i/>
                <w:iCs/>
              </w:rPr>
              <w:t xml:space="preserve">AND </w:t>
            </w:r>
          </w:p>
          <w:p w14:paraId="48636E14" w14:textId="77777777" w:rsidR="001E21CB" w:rsidRDefault="001E21CB" w:rsidP="00AB778B">
            <w:pPr>
              <w:pStyle w:val="TableText0"/>
              <w:keepNext w:val="0"/>
              <w:rPr>
                <w:rFonts w:cs="Arial"/>
                <w:i/>
                <w:iCs/>
                <w:szCs w:val="20"/>
              </w:rPr>
            </w:pPr>
            <w:r w:rsidRPr="001E21CB">
              <w:rPr>
                <w:rFonts w:cs="Arial"/>
                <w:i/>
                <w:iCs/>
                <w:szCs w:val="20"/>
              </w:rPr>
              <w:t>The condition must be inoperable</w:t>
            </w:r>
          </w:p>
          <w:p w14:paraId="2982CDD5" w14:textId="77777777" w:rsidR="003859C1" w:rsidRPr="001E21CB" w:rsidRDefault="003859C1" w:rsidP="00AB778B">
            <w:pPr>
              <w:pStyle w:val="TableText0"/>
              <w:keepNext w:val="0"/>
              <w:rPr>
                <w:i/>
                <w:iCs/>
              </w:rPr>
            </w:pPr>
            <w:r w:rsidRPr="001E21CB">
              <w:rPr>
                <w:i/>
                <w:iCs/>
              </w:rPr>
              <w:t xml:space="preserve">AND </w:t>
            </w:r>
          </w:p>
          <w:p w14:paraId="1A1F32AE" w14:textId="77777777" w:rsidR="003859C1" w:rsidRDefault="003859C1" w:rsidP="00AB778B">
            <w:pPr>
              <w:pStyle w:val="TableText0"/>
              <w:keepNext w:val="0"/>
              <w:rPr>
                <w:bCs w:val="0"/>
                <w:i/>
                <w:iCs/>
                <w:szCs w:val="20"/>
              </w:rPr>
            </w:pPr>
            <w:r w:rsidRPr="003859C1">
              <w:rPr>
                <w:bCs w:val="0"/>
                <w:i/>
                <w:iCs/>
                <w:szCs w:val="20"/>
              </w:rPr>
              <w:t>Patient must have an Eastern Cooperative Oncology Group (ECOG) performance status of 1 or less,</w:t>
            </w:r>
          </w:p>
          <w:p w14:paraId="39E80FEF" w14:textId="77777777" w:rsidR="003859C1" w:rsidRPr="001E21CB" w:rsidRDefault="003859C1" w:rsidP="00AB778B">
            <w:pPr>
              <w:pStyle w:val="TableText0"/>
              <w:keepNext w:val="0"/>
              <w:rPr>
                <w:i/>
                <w:iCs/>
              </w:rPr>
            </w:pPr>
            <w:r w:rsidRPr="001E21CB">
              <w:rPr>
                <w:i/>
                <w:iCs/>
              </w:rPr>
              <w:t xml:space="preserve">AND </w:t>
            </w:r>
          </w:p>
          <w:p w14:paraId="16B80BAF" w14:textId="77777777" w:rsidR="003859C1" w:rsidRPr="003859C1" w:rsidRDefault="003859C1" w:rsidP="00AB778B">
            <w:pPr>
              <w:pStyle w:val="TableText0"/>
              <w:keepNext w:val="0"/>
              <w:rPr>
                <w:i/>
                <w:iCs/>
              </w:rPr>
            </w:pPr>
            <w:r w:rsidRPr="003859C1">
              <w:rPr>
                <w:i/>
                <w:iCs/>
                <w:szCs w:val="20"/>
              </w:rPr>
              <w:t>The treatment must be the sole PBS-subsidised therapy for this condition</w:t>
            </w:r>
          </w:p>
        </w:tc>
      </w:tr>
      <w:tr w:rsidR="003859C1" w:rsidRPr="00457FD3" w14:paraId="040A03EF"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2C1D1398" w14:textId="77777777" w:rsidR="003859C1" w:rsidRPr="003859C1" w:rsidRDefault="003859C1" w:rsidP="00AB778B">
            <w:pPr>
              <w:pStyle w:val="TableText0"/>
              <w:keepNext w:val="0"/>
            </w:pPr>
            <w:r w:rsidRPr="003859C1">
              <w:rPr>
                <w:szCs w:val="20"/>
              </w:rPr>
              <w:t>7606</w:t>
            </w:r>
          </w:p>
        </w:tc>
        <w:tc>
          <w:tcPr>
            <w:tcW w:w="3762" w:type="pct"/>
            <w:tcBorders>
              <w:top w:val="single" w:sz="4" w:space="0" w:color="auto"/>
              <w:left w:val="single" w:sz="4" w:space="0" w:color="auto"/>
              <w:bottom w:val="single" w:sz="4" w:space="0" w:color="auto"/>
              <w:right w:val="single" w:sz="4" w:space="0" w:color="auto"/>
            </w:tcBorders>
          </w:tcPr>
          <w:p w14:paraId="72856F41" w14:textId="77777777" w:rsidR="003859C1" w:rsidRPr="003859C1" w:rsidRDefault="003859C1" w:rsidP="00AB778B">
            <w:pPr>
              <w:pStyle w:val="TableText0"/>
              <w:keepNext w:val="0"/>
            </w:pPr>
            <w:r w:rsidRPr="003859C1">
              <w:rPr>
                <w:b/>
                <w:i/>
                <w:iCs/>
                <w:szCs w:val="20"/>
              </w:rPr>
              <w:t xml:space="preserve">Administrative Advice: </w:t>
            </w:r>
            <w:r w:rsidRPr="003859C1">
              <w:rPr>
                <w:i/>
                <w:iCs/>
                <w:szCs w:val="20"/>
              </w:rPr>
              <w:t>No increase in the maximum quantity or number of units may be authorised.</w:t>
            </w:r>
          </w:p>
        </w:tc>
      </w:tr>
      <w:tr w:rsidR="003859C1" w:rsidRPr="00457FD3" w14:paraId="26C65EB3"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0F4589EB" w14:textId="77777777" w:rsidR="003859C1" w:rsidRPr="003859C1" w:rsidRDefault="003859C1" w:rsidP="00AB778B">
            <w:pPr>
              <w:pStyle w:val="TableText0"/>
              <w:keepNext w:val="0"/>
              <w:rPr>
                <w:szCs w:val="20"/>
              </w:rPr>
            </w:pPr>
            <w:r w:rsidRPr="003859C1">
              <w:rPr>
                <w:szCs w:val="20"/>
              </w:rPr>
              <w:t>7607</w:t>
            </w:r>
          </w:p>
        </w:tc>
        <w:tc>
          <w:tcPr>
            <w:tcW w:w="3762" w:type="pct"/>
            <w:tcBorders>
              <w:top w:val="single" w:sz="4" w:space="0" w:color="auto"/>
              <w:left w:val="single" w:sz="4" w:space="0" w:color="auto"/>
              <w:bottom w:val="single" w:sz="4" w:space="0" w:color="auto"/>
              <w:right w:val="single" w:sz="4" w:space="0" w:color="auto"/>
            </w:tcBorders>
          </w:tcPr>
          <w:p w14:paraId="79C8C8A5" w14:textId="77777777" w:rsidR="003859C1" w:rsidRPr="00AB778B" w:rsidRDefault="003859C1" w:rsidP="00AB778B">
            <w:pPr>
              <w:rPr>
                <w:rFonts w:ascii="Arial Narrow" w:hAnsi="Arial Narrow"/>
                <w:b/>
                <w:bCs/>
                <w:i/>
                <w:iCs/>
                <w:sz w:val="20"/>
                <w:szCs w:val="20"/>
              </w:rPr>
            </w:pPr>
            <w:r w:rsidRPr="003859C1">
              <w:rPr>
                <w:rFonts w:ascii="Arial Narrow" w:hAnsi="Arial Narrow"/>
                <w:b/>
                <w:bCs/>
                <w:i/>
                <w:iCs/>
                <w:sz w:val="20"/>
                <w:szCs w:val="20"/>
              </w:rPr>
              <w:t>Administrative Advice:</w:t>
            </w:r>
            <w:r w:rsidRPr="003859C1">
              <w:rPr>
                <w:rFonts w:ascii="Arial Narrow" w:hAnsi="Arial Narrow"/>
                <w:i/>
                <w:iCs/>
                <w:sz w:val="20"/>
                <w:szCs w:val="20"/>
              </w:rPr>
              <w:t xml:space="preserve"> No increase in the maximum number of repeats may be authorised.</w:t>
            </w:r>
          </w:p>
        </w:tc>
      </w:tr>
      <w:tr w:rsidR="003859C1" w:rsidRPr="00457FD3" w14:paraId="0BC90EE4"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232BBD24" w14:textId="77777777" w:rsidR="003859C1" w:rsidRPr="003859C1" w:rsidRDefault="003859C1" w:rsidP="00AB778B">
            <w:pPr>
              <w:pStyle w:val="TableText0"/>
              <w:keepNext w:val="0"/>
              <w:rPr>
                <w:szCs w:val="20"/>
              </w:rPr>
            </w:pPr>
            <w:r w:rsidRPr="003859C1">
              <w:rPr>
                <w:szCs w:val="20"/>
              </w:rPr>
              <w:t>7608</w:t>
            </w:r>
          </w:p>
        </w:tc>
        <w:tc>
          <w:tcPr>
            <w:tcW w:w="3762" w:type="pct"/>
            <w:tcBorders>
              <w:top w:val="single" w:sz="4" w:space="0" w:color="auto"/>
              <w:left w:val="single" w:sz="4" w:space="0" w:color="auto"/>
              <w:bottom w:val="single" w:sz="4" w:space="0" w:color="auto"/>
              <w:right w:val="single" w:sz="4" w:space="0" w:color="auto"/>
            </w:tcBorders>
          </w:tcPr>
          <w:p w14:paraId="6003C5D3" w14:textId="77777777" w:rsidR="003859C1" w:rsidRPr="003859C1" w:rsidRDefault="003859C1" w:rsidP="00AB778B">
            <w:pPr>
              <w:rPr>
                <w:rFonts w:ascii="Arial Narrow" w:hAnsi="Arial Narrow"/>
                <w:b/>
                <w:bCs/>
                <w:i/>
                <w:iCs/>
                <w:sz w:val="20"/>
                <w:szCs w:val="20"/>
              </w:rPr>
            </w:pPr>
            <w:r w:rsidRPr="003859C1">
              <w:rPr>
                <w:rFonts w:ascii="Arial Narrow" w:hAnsi="Arial Narrow"/>
                <w:b/>
                <w:bCs/>
                <w:i/>
                <w:iCs/>
                <w:sz w:val="20"/>
                <w:szCs w:val="20"/>
              </w:rPr>
              <w:t>Administrative Advice:</w:t>
            </w:r>
            <w:r w:rsidRPr="003859C1">
              <w:rPr>
                <w:rFonts w:ascii="Arial Narrow" w:hAnsi="Arial Narrow"/>
                <w:i/>
                <w:iCs/>
                <w:sz w:val="20"/>
                <w:szCs w:val="20"/>
              </w:rPr>
              <w:t xml:space="preserve"> Special Pricing Arrangements apply.</w:t>
            </w:r>
          </w:p>
        </w:tc>
      </w:tr>
      <w:tr w:rsidR="003859C1" w:rsidRPr="00457FD3" w14:paraId="48D569A9"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3B4CEF22" w14:textId="77777777" w:rsidR="003859C1" w:rsidRPr="003859C1" w:rsidRDefault="003859C1" w:rsidP="00AB778B">
            <w:pPr>
              <w:pStyle w:val="TableText0"/>
              <w:keepNext w:val="0"/>
              <w:rPr>
                <w:szCs w:val="20"/>
              </w:rPr>
            </w:pPr>
          </w:p>
        </w:tc>
        <w:tc>
          <w:tcPr>
            <w:tcW w:w="3762" w:type="pct"/>
            <w:tcBorders>
              <w:top w:val="single" w:sz="4" w:space="0" w:color="auto"/>
              <w:left w:val="single" w:sz="4" w:space="0" w:color="auto"/>
              <w:bottom w:val="single" w:sz="4" w:space="0" w:color="auto"/>
              <w:right w:val="single" w:sz="4" w:space="0" w:color="auto"/>
            </w:tcBorders>
          </w:tcPr>
          <w:p w14:paraId="117ECEEF" w14:textId="77777777" w:rsidR="003859C1" w:rsidRPr="003859C1" w:rsidRDefault="003859C1" w:rsidP="00AB778B">
            <w:pPr>
              <w:rPr>
                <w:rFonts w:ascii="Arial Narrow" w:hAnsi="Arial Narrow"/>
                <w:b/>
                <w:bCs/>
                <w:i/>
                <w:iCs/>
                <w:sz w:val="20"/>
                <w:szCs w:val="20"/>
              </w:rPr>
            </w:pPr>
            <w:r w:rsidRPr="003859C1">
              <w:rPr>
                <w:rFonts w:ascii="Arial Narrow" w:hAnsi="Arial Narrow"/>
                <w:b/>
                <w:bCs/>
                <w:i/>
                <w:iCs/>
                <w:sz w:val="20"/>
                <w:szCs w:val="20"/>
              </w:rPr>
              <w:t>Caution:</w:t>
            </w:r>
            <w:r w:rsidRPr="003859C1">
              <w:rPr>
                <w:rFonts w:ascii="Arial Narrow" w:hAnsi="Arial Narrow"/>
                <w:i/>
                <w:iCs/>
                <w:sz w:val="20"/>
                <w:szCs w:val="20"/>
              </w:rPr>
              <w:t xml:space="preserve"> This medicine contains a cytotoxic component and causes chemotherapy-like toxicity, in particular, it can cause severe or life-threatening neutropenia and severe diarrhoea. For further information, refer to the Product Information.</w:t>
            </w:r>
          </w:p>
        </w:tc>
      </w:tr>
    </w:tbl>
    <w:p w14:paraId="3E435322" w14:textId="77777777" w:rsidR="00A173AE" w:rsidRPr="00457FD3" w:rsidRDefault="00A173AE" w:rsidP="00AB778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33"/>
        <w:gridCol w:w="6784"/>
      </w:tblGrid>
      <w:tr w:rsidR="00A173AE" w:rsidRPr="00457FD3" w14:paraId="64C47934"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37D917EB" w14:textId="77777777" w:rsidR="00A173AE" w:rsidRPr="00457FD3" w:rsidRDefault="00A173AE" w:rsidP="00207EE8">
            <w:pPr>
              <w:pStyle w:val="TableText0"/>
            </w:pPr>
            <w:r w:rsidRPr="00457FD3">
              <w:lastRenderedPageBreak/>
              <w:t>Category/Program:</w:t>
            </w:r>
          </w:p>
        </w:tc>
        <w:tc>
          <w:tcPr>
            <w:tcW w:w="3762" w:type="pct"/>
            <w:tcBorders>
              <w:top w:val="single" w:sz="4" w:space="0" w:color="auto"/>
              <w:left w:val="single" w:sz="4" w:space="0" w:color="auto"/>
              <w:bottom w:val="single" w:sz="4" w:space="0" w:color="auto"/>
              <w:right w:val="single" w:sz="4" w:space="0" w:color="auto"/>
            </w:tcBorders>
          </w:tcPr>
          <w:p w14:paraId="1E7760AC" w14:textId="77777777" w:rsidR="00A173AE" w:rsidRPr="00457FD3" w:rsidRDefault="00A173AE" w:rsidP="00207EE8">
            <w:pPr>
              <w:pStyle w:val="TableText0"/>
            </w:pPr>
            <w:r w:rsidRPr="00457FD3">
              <w:t>Section 100 – Efficient Funding of Chemotherapy (Private/Public Hospital codes)</w:t>
            </w:r>
          </w:p>
        </w:tc>
      </w:tr>
      <w:tr w:rsidR="00A173AE" w:rsidRPr="00457FD3" w14:paraId="415BD1F5"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606AAE1C" w14:textId="77777777" w:rsidR="00A173AE" w:rsidRPr="00457FD3" w:rsidRDefault="00A173AE" w:rsidP="00207EE8">
            <w:pPr>
              <w:pStyle w:val="TableText0"/>
            </w:pPr>
            <w:r w:rsidRPr="00457FD3">
              <w:t>PBS indication:</w:t>
            </w:r>
          </w:p>
        </w:tc>
        <w:tc>
          <w:tcPr>
            <w:tcW w:w="3762" w:type="pct"/>
            <w:tcBorders>
              <w:top w:val="single" w:sz="4" w:space="0" w:color="auto"/>
              <w:left w:val="single" w:sz="4" w:space="0" w:color="auto"/>
              <w:bottom w:val="single" w:sz="4" w:space="0" w:color="auto"/>
              <w:right w:val="single" w:sz="4" w:space="0" w:color="auto"/>
            </w:tcBorders>
          </w:tcPr>
          <w:p w14:paraId="77A6496D" w14:textId="77777777" w:rsidR="00A173AE" w:rsidRPr="00457FD3" w:rsidRDefault="00A173AE" w:rsidP="00207EE8">
            <w:pPr>
              <w:pStyle w:val="TableText0"/>
            </w:pPr>
            <w:r w:rsidRPr="00457FD3">
              <w:t>Unresectable locally advanced or metastatic triple-negative breast cancer</w:t>
            </w:r>
          </w:p>
        </w:tc>
      </w:tr>
      <w:tr w:rsidR="00A173AE" w:rsidRPr="00457FD3" w14:paraId="3BF91B92"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7A928B7A" w14:textId="77777777" w:rsidR="00A173AE" w:rsidRPr="00457FD3" w:rsidRDefault="00A173AE" w:rsidP="00207EE8">
            <w:pPr>
              <w:pStyle w:val="TableText0"/>
            </w:pPr>
            <w:r w:rsidRPr="00457FD3">
              <w:t>Treatment phase:</w:t>
            </w:r>
          </w:p>
        </w:tc>
        <w:tc>
          <w:tcPr>
            <w:tcW w:w="3762" w:type="pct"/>
            <w:tcBorders>
              <w:top w:val="single" w:sz="4" w:space="0" w:color="auto"/>
              <w:left w:val="single" w:sz="4" w:space="0" w:color="auto"/>
              <w:bottom w:val="single" w:sz="4" w:space="0" w:color="auto"/>
              <w:right w:val="single" w:sz="4" w:space="0" w:color="auto"/>
            </w:tcBorders>
          </w:tcPr>
          <w:p w14:paraId="62FDC19A" w14:textId="77777777" w:rsidR="00A173AE" w:rsidRPr="00457FD3" w:rsidRDefault="00A173AE" w:rsidP="00207EE8">
            <w:pPr>
              <w:pStyle w:val="TableText0"/>
            </w:pPr>
            <w:r w:rsidRPr="00457FD3">
              <w:t>Continuing treatment</w:t>
            </w:r>
          </w:p>
        </w:tc>
      </w:tr>
      <w:tr w:rsidR="00A173AE" w:rsidRPr="00457FD3" w14:paraId="44E8A6F2"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5EA375B9" w14:textId="77777777" w:rsidR="00A173AE" w:rsidRPr="00457FD3" w:rsidRDefault="00A173AE" w:rsidP="00207EE8">
            <w:pPr>
              <w:pStyle w:val="TableText0"/>
            </w:pPr>
            <w:r w:rsidRPr="00457FD3">
              <w:t>Restriction:</w:t>
            </w:r>
          </w:p>
        </w:tc>
        <w:tc>
          <w:tcPr>
            <w:tcW w:w="3762" w:type="pct"/>
            <w:tcBorders>
              <w:top w:val="single" w:sz="4" w:space="0" w:color="auto"/>
              <w:left w:val="single" w:sz="4" w:space="0" w:color="auto"/>
              <w:bottom w:val="single" w:sz="4" w:space="0" w:color="auto"/>
              <w:right w:val="single" w:sz="4" w:space="0" w:color="auto"/>
            </w:tcBorders>
          </w:tcPr>
          <w:p w14:paraId="3FE81133" w14:textId="77777777" w:rsidR="00A173AE" w:rsidRPr="00457FD3" w:rsidRDefault="00A173AE" w:rsidP="00207EE8">
            <w:pPr>
              <w:pStyle w:val="TableText0"/>
            </w:pPr>
            <w:r w:rsidRPr="00457FD3">
              <w:fldChar w:fldCharType="begin">
                <w:ffData>
                  <w:name w:val="Check5"/>
                  <w:enabled/>
                  <w:calcOnExit w:val="0"/>
                  <w:checkBox>
                    <w:sizeAuto/>
                    <w:default w:val="1"/>
                  </w:checkBox>
                </w:ffData>
              </w:fldChar>
            </w:r>
            <w:r w:rsidRPr="00457FD3">
              <w:instrText xml:space="preserve"> FORMCHECKBOX </w:instrText>
            </w:r>
            <w:r w:rsidR="007E1E66">
              <w:fldChar w:fldCharType="separate"/>
            </w:r>
            <w:r w:rsidRPr="00457FD3">
              <w:fldChar w:fldCharType="end"/>
            </w:r>
            <w:r w:rsidRPr="00457FD3">
              <w:t>Streamlined</w:t>
            </w:r>
          </w:p>
        </w:tc>
      </w:tr>
      <w:tr w:rsidR="00A173AE" w:rsidRPr="00457FD3" w14:paraId="2EF1176C"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2C596E74" w14:textId="77777777" w:rsidR="00A173AE" w:rsidRPr="00457FD3" w:rsidRDefault="00A173AE" w:rsidP="00207EE8">
            <w:pPr>
              <w:pStyle w:val="TableText0"/>
            </w:pPr>
            <w:r w:rsidRPr="00457FD3">
              <w:t>Clinical criteria:</w:t>
            </w:r>
          </w:p>
        </w:tc>
        <w:tc>
          <w:tcPr>
            <w:tcW w:w="3762" w:type="pct"/>
            <w:tcBorders>
              <w:top w:val="single" w:sz="4" w:space="0" w:color="auto"/>
              <w:left w:val="single" w:sz="4" w:space="0" w:color="auto"/>
              <w:bottom w:val="single" w:sz="4" w:space="0" w:color="auto"/>
              <w:right w:val="single" w:sz="4" w:space="0" w:color="auto"/>
            </w:tcBorders>
          </w:tcPr>
          <w:p w14:paraId="7DEF1820" w14:textId="77777777" w:rsidR="00A173AE" w:rsidRPr="00457FD3" w:rsidRDefault="00A173AE" w:rsidP="00207EE8">
            <w:pPr>
              <w:pStyle w:val="TableText0"/>
            </w:pPr>
            <w:r w:rsidRPr="00457FD3">
              <w:t>Patient must have previously received PBS-subsidised treatment with this drug for this condition</w:t>
            </w:r>
          </w:p>
          <w:p w14:paraId="587D8879" w14:textId="77777777" w:rsidR="00A173AE" w:rsidRPr="00457FD3" w:rsidRDefault="00A173AE" w:rsidP="00207EE8">
            <w:pPr>
              <w:pStyle w:val="TableText0"/>
            </w:pPr>
            <w:r w:rsidRPr="00457FD3">
              <w:t>AND</w:t>
            </w:r>
          </w:p>
          <w:p w14:paraId="62E965BE" w14:textId="77777777" w:rsidR="00A173AE" w:rsidRPr="00457FD3" w:rsidRDefault="00A173AE" w:rsidP="00207EE8">
            <w:pPr>
              <w:pStyle w:val="TableText0"/>
            </w:pPr>
            <w:r w:rsidRPr="00457FD3">
              <w:t>Patient must not have developed disease progression while being treated with this drug for this condition</w:t>
            </w:r>
          </w:p>
        </w:tc>
      </w:tr>
      <w:tr w:rsidR="003859C1" w:rsidRPr="00457FD3" w14:paraId="73DBBBFC"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721C4533" w14:textId="77777777" w:rsidR="003859C1" w:rsidRPr="003859C1" w:rsidRDefault="003859C1" w:rsidP="003859C1">
            <w:pPr>
              <w:pStyle w:val="TableText0"/>
            </w:pPr>
            <w:r w:rsidRPr="003859C1">
              <w:rPr>
                <w:szCs w:val="20"/>
              </w:rPr>
              <w:t>7606</w:t>
            </w:r>
          </w:p>
        </w:tc>
        <w:tc>
          <w:tcPr>
            <w:tcW w:w="3762" w:type="pct"/>
            <w:tcBorders>
              <w:top w:val="single" w:sz="4" w:space="0" w:color="auto"/>
              <w:left w:val="single" w:sz="4" w:space="0" w:color="auto"/>
              <w:bottom w:val="single" w:sz="4" w:space="0" w:color="auto"/>
              <w:right w:val="single" w:sz="4" w:space="0" w:color="auto"/>
            </w:tcBorders>
          </w:tcPr>
          <w:p w14:paraId="4197B3DB" w14:textId="77777777" w:rsidR="003859C1" w:rsidRPr="003859C1" w:rsidRDefault="003859C1" w:rsidP="003859C1">
            <w:pPr>
              <w:pStyle w:val="TableText0"/>
            </w:pPr>
            <w:r w:rsidRPr="003859C1">
              <w:rPr>
                <w:b/>
                <w:i/>
                <w:iCs/>
                <w:szCs w:val="20"/>
              </w:rPr>
              <w:t xml:space="preserve">Administrative Advice: </w:t>
            </w:r>
            <w:r w:rsidRPr="003859C1">
              <w:rPr>
                <w:i/>
                <w:iCs/>
                <w:szCs w:val="20"/>
              </w:rPr>
              <w:t>No increase in the maximum quantity or number of units may be authorised.</w:t>
            </w:r>
          </w:p>
        </w:tc>
      </w:tr>
      <w:tr w:rsidR="003859C1" w:rsidRPr="00457FD3" w14:paraId="3517414A"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4FC7B42C" w14:textId="77777777" w:rsidR="003859C1" w:rsidRPr="003859C1" w:rsidRDefault="003859C1" w:rsidP="003859C1">
            <w:pPr>
              <w:pStyle w:val="TableText0"/>
              <w:rPr>
                <w:szCs w:val="20"/>
              </w:rPr>
            </w:pPr>
            <w:r w:rsidRPr="003859C1">
              <w:rPr>
                <w:szCs w:val="20"/>
              </w:rPr>
              <w:t>7607</w:t>
            </w:r>
          </w:p>
        </w:tc>
        <w:tc>
          <w:tcPr>
            <w:tcW w:w="3762" w:type="pct"/>
            <w:tcBorders>
              <w:top w:val="single" w:sz="4" w:space="0" w:color="auto"/>
              <w:left w:val="single" w:sz="4" w:space="0" w:color="auto"/>
              <w:bottom w:val="single" w:sz="4" w:space="0" w:color="auto"/>
              <w:right w:val="single" w:sz="4" w:space="0" w:color="auto"/>
            </w:tcBorders>
          </w:tcPr>
          <w:p w14:paraId="3B57DF1D" w14:textId="77777777" w:rsidR="003859C1" w:rsidRPr="00F614CB" w:rsidRDefault="003859C1" w:rsidP="00F614CB">
            <w:pPr>
              <w:rPr>
                <w:rFonts w:ascii="Arial Narrow" w:hAnsi="Arial Narrow"/>
                <w:b/>
                <w:bCs/>
                <w:i/>
                <w:iCs/>
                <w:sz w:val="20"/>
                <w:szCs w:val="20"/>
              </w:rPr>
            </w:pPr>
            <w:r w:rsidRPr="003859C1">
              <w:rPr>
                <w:rFonts w:ascii="Arial Narrow" w:hAnsi="Arial Narrow"/>
                <w:b/>
                <w:bCs/>
                <w:i/>
                <w:iCs/>
                <w:sz w:val="20"/>
                <w:szCs w:val="20"/>
              </w:rPr>
              <w:t>Administrative Advice:</w:t>
            </w:r>
            <w:r w:rsidRPr="003859C1">
              <w:rPr>
                <w:rFonts w:ascii="Arial Narrow" w:hAnsi="Arial Narrow"/>
                <w:i/>
                <w:iCs/>
                <w:sz w:val="20"/>
                <w:szCs w:val="20"/>
              </w:rPr>
              <w:t xml:space="preserve"> No increase in the maximum number of repeats may be authorised.</w:t>
            </w:r>
          </w:p>
        </w:tc>
      </w:tr>
      <w:tr w:rsidR="003859C1" w:rsidRPr="00457FD3" w14:paraId="0BDA16B8"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583080FC" w14:textId="77777777" w:rsidR="003859C1" w:rsidRPr="003859C1" w:rsidRDefault="003859C1" w:rsidP="003859C1">
            <w:pPr>
              <w:pStyle w:val="TableText0"/>
              <w:rPr>
                <w:szCs w:val="20"/>
              </w:rPr>
            </w:pPr>
            <w:r w:rsidRPr="003859C1">
              <w:rPr>
                <w:szCs w:val="20"/>
              </w:rPr>
              <w:t>7608</w:t>
            </w:r>
          </w:p>
        </w:tc>
        <w:tc>
          <w:tcPr>
            <w:tcW w:w="3762" w:type="pct"/>
            <w:tcBorders>
              <w:top w:val="single" w:sz="4" w:space="0" w:color="auto"/>
              <w:left w:val="single" w:sz="4" w:space="0" w:color="auto"/>
              <w:bottom w:val="single" w:sz="4" w:space="0" w:color="auto"/>
              <w:right w:val="single" w:sz="4" w:space="0" w:color="auto"/>
            </w:tcBorders>
          </w:tcPr>
          <w:p w14:paraId="57D119DD" w14:textId="77777777" w:rsidR="003859C1" w:rsidRPr="003859C1" w:rsidRDefault="003859C1" w:rsidP="00AB778B">
            <w:pPr>
              <w:rPr>
                <w:rFonts w:ascii="Arial Narrow" w:hAnsi="Arial Narrow"/>
                <w:b/>
                <w:bCs/>
                <w:i/>
                <w:iCs/>
                <w:sz w:val="20"/>
                <w:szCs w:val="20"/>
              </w:rPr>
            </w:pPr>
            <w:r w:rsidRPr="003859C1">
              <w:rPr>
                <w:rFonts w:ascii="Arial Narrow" w:hAnsi="Arial Narrow"/>
                <w:b/>
                <w:bCs/>
                <w:i/>
                <w:iCs/>
                <w:sz w:val="20"/>
                <w:szCs w:val="20"/>
              </w:rPr>
              <w:t>Administrative Advice:</w:t>
            </w:r>
            <w:r w:rsidRPr="003859C1">
              <w:rPr>
                <w:rFonts w:ascii="Arial Narrow" w:hAnsi="Arial Narrow"/>
                <w:i/>
                <w:iCs/>
                <w:sz w:val="20"/>
                <w:szCs w:val="20"/>
              </w:rPr>
              <w:t xml:space="preserve"> Special Pricing Arrangements apply.</w:t>
            </w:r>
          </w:p>
        </w:tc>
      </w:tr>
      <w:tr w:rsidR="003859C1" w:rsidRPr="00457FD3" w14:paraId="6338972D"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48A645BE" w14:textId="77777777" w:rsidR="003859C1" w:rsidRPr="006730EA" w:rsidRDefault="003859C1" w:rsidP="003859C1">
            <w:pPr>
              <w:pStyle w:val="TableText0"/>
              <w:rPr>
                <w:szCs w:val="20"/>
                <w:highlight w:val="yellow"/>
              </w:rPr>
            </w:pPr>
          </w:p>
        </w:tc>
        <w:tc>
          <w:tcPr>
            <w:tcW w:w="3762" w:type="pct"/>
            <w:tcBorders>
              <w:top w:val="single" w:sz="4" w:space="0" w:color="auto"/>
              <w:left w:val="single" w:sz="4" w:space="0" w:color="auto"/>
              <w:bottom w:val="single" w:sz="4" w:space="0" w:color="auto"/>
              <w:right w:val="single" w:sz="4" w:space="0" w:color="auto"/>
            </w:tcBorders>
          </w:tcPr>
          <w:p w14:paraId="2DCE6D01" w14:textId="77777777" w:rsidR="003859C1" w:rsidRPr="001E21CB" w:rsidRDefault="003859C1" w:rsidP="003859C1">
            <w:pPr>
              <w:rPr>
                <w:rFonts w:ascii="Arial Narrow" w:hAnsi="Arial Narrow"/>
                <w:b/>
                <w:bCs/>
                <w:i/>
                <w:iCs/>
                <w:sz w:val="20"/>
                <w:szCs w:val="20"/>
                <w:highlight w:val="yellow"/>
              </w:rPr>
            </w:pPr>
            <w:r w:rsidRPr="003859C1">
              <w:rPr>
                <w:rFonts w:ascii="Arial Narrow" w:hAnsi="Arial Narrow"/>
                <w:b/>
                <w:bCs/>
                <w:i/>
                <w:iCs/>
                <w:sz w:val="20"/>
                <w:szCs w:val="20"/>
              </w:rPr>
              <w:t>Caution:</w:t>
            </w:r>
            <w:r w:rsidRPr="003859C1">
              <w:rPr>
                <w:rFonts w:ascii="Arial Narrow" w:hAnsi="Arial Narrow"/>
                <w:i/>
                <w:iCs/>
                <w:sz w:val="20"/>
                <w:szCs w:val="20"/>
              </w:rPr>
              <w:t xml:space="preserve"> This medicine contains a cytotoxic component and causes chemotherapy-like toxicity, in particular, it can cause severe or life-threatening neutropenia and severe diarrhoea. For further information, refer to the Product Information.</w:t>
            </w:r>
          </w:p>
        </w:tc>
      </w:tr>
    </w:tbl>
    <w:p w14:paraId="0D0C950F" w14:textId="77777777" w:rsidR="00A173AE" w:rsidRPr="00457FD3" w:rsidRDefault="00A173AE" w:rsidP="00A173A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33"/>
        <w:gridCol w:w="6784"/>
      </w:tblGrid>
      <w:tr w:rsidR="00A173AE" w:rsidRPr="00457FD3" w14:paraId="54B69730"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36BF0FA8" w14:textId="77777777" w:rsidR="00A173AE" w:rsidRPr="00457FD3" w:rsidRDefault="00A173AE" w:rsidP="00AB778B">
            <w:pPr>
              <w:pStyle w:val="TableText0"/>
              <w:keepNext w:val="0"/>
            </w:pPr>
            <w:r w:rsidRPr="00457FD3">
              <w:t>Category/Program:</w:t>
            </w:r>
          </w:p>
        </w:tc>
        <w:tc>
          <w:tcPr>
            <w:tcW w:w="3762" w:type="pct"/>
            <w:tcBorders>
              <w:top w:val="single" w:sz="4" w:space="0" w:color="auto"/>
              <w:left w:val="single" w:sz="4" w:space="0" w:color="auto"/>
              <w:bottom w:val="single" w:sz="4" w:space="0" w:color="auto"/>
              <w:right w:val="single" w:sz="4" w:space="0" w:color="auto"/>
            </w:tcBorders>
          </w:tcPr>
          <w:p w14:paraId="5AC86424" w14:textId="77777777" w:rsidR="00A173AE" w:rsidRPr="00457FD3" w:rsidRDefault="00A173AE" w:rsidP="00AB778B">
            <w:pPr>
              <w:pStyle w:val="TableText0"/>
              <w:keepNext w:val="0"/>
            </w:pPr>
            <w:r w:rsidRPr="00457FD3">
              <w:t>Section 100 – Efficient Funding of Chemotherapy (Private/Public Hospital codes)</w:t>
            </w:r>
          </w:p>
        </w:tc>
      </w:tr>
      <w:tr w:rsidR="00A173AE" w:rsidRPr="00457FD3" w14:paraId="78348DE5"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7BD2EBAB" w14:textId="77777777" w:rsidR="00A173AE" w:rsidRPr="00457FD3" w:rsidRDefault="00A173AE" w:rsidP="00AB778B">
            <w:pPr>
              <w:pStyle w:val="TableText0"/>
              <w:keepNext w:val="0"/>
            </w:pPr>
            <w:r w:rsidRPr="00457FD3">
              <w:t>PBS indication:</w:t>
            </w:r>
          </w:p>
        </w:tc>
        <w:tc>
          <w:tcPr>
            <w:tcW w:w="3762" w:type="pct"/>
            <w:tcBorders>
              <w:top w:val="single" w:sz="4" w:space="0" w:color="auto"/>
              <w:left w:val="single" w:sz="4" w:space="0" w:color="auto"/>
              <w:bottom w:val="single" w:sz="4" w:space="0" w:color="auto"/>
              <w:right w:val="single" w:sz="4" w:space="0" w:color="auto"/>
            </w:tcBorders>
          </w:tcPr>
          <w:p w14:paraId="65A7FA27" w14:textId="77777777" w:rsidR="00A173AE" w:rsidRPr="00457FD3" w:rsidRDefault="00A173AE" w:rsidP="00AB778B">
            <w:pPr>
              <w:pStyle w:val="TableText0"/>
              <w:keepNext w:val="0"/>
            </w:pPr>
            <w:r w:rsidRPr="00457FD3">
              <w:t>Unresectable locally advanced or metastatic triple-negative breast cancer</w:t>
            </w:r>
          </w:p>
        </w:tc>
      </w:tr>
      <w:tr w:rsidR="00A173AE" w:rsidRPr="00457FD3" w14:paraId="4F5A7A25"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13348155" w14:textId="77777777" w:rsidR="00A173AE" w:rsidRPr="00457FD3" w:rsidRDefault="00A173AE" w:rsidP="00AB778B">
            <w:pPr>
              <w:pStyle w:val="TableText0"/>
              <w:keepNext w:val="0"/>
            </w:pPr>
            <w:r w:rsidRPr="00457FD3">
              <w:t>Treatment phase:</w:t>
            </w:r>
          </w:p>
        </w:tc>
        <w:tc>
          <w:tcPr>
            <w:tcW w:w="3762" w:type="pct"/>
            <w:tcBorders>
              <w:top w:val="single" w:sz="4" w:space="0" w:color="auto"/>
              <w:left w:val="single" w:sz="4" w:space="0" w:color="auto"/>
              <w:bottom w:val="single" w:sz="4" w:space="0" w:color="auto"/>
              <w:right w:val="single" w:sz="4" w:space="0" w:color="auto"/>
            </w:tcBorders>
          </w:tcPr>
          <w:p w14:paraId="60524629" w14:textId="77777777" w:rsidR="00A173AE" w:rsidRPr="00457FD3" w:rsidRDefault="003859C1" w:rsidP="00AB778B">
            <w:pPr>
              <w:pStyle w:val="TableText0"/>
              <w:keepNext w:val="0"/>
            </w:pPr>
            <w:r w:rsidRPr="003859C1">
              <w:rPr>
                <w:bCs w:val="0"/>
                <w:szCs w:val="20"/>
              </w:rPr>
              <w:t xml:space="preserve">Transitioning from non-PBS to PBS-subsidised supply – </w:t>
            </w:r>
            <w:r w:rsidR="00A173AE" w:rsidRPr="00457FD3">
              <w:t>Grandfather treatment</w:t>
            </w:r>
            <w:r w:rsidR="00A173AE" w:rsidRPr="003859C1">
              <w:rPr>
                <w:strike/>
              </w:rPr>
              <w:t xml:space="preserve"> (initial treatment of a patient commenced on non-PBS-subsidised treatment)</w:t>
            </w:r>
          </w:p>
        </w:tc>
      </w:tr>
      <w:tr w:rsidR="00A173AE" w:rsidRPr="00457FD3" w14:paraId="45344F91"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5D0CC2D1" w14:textId="77777777" w:rsidR="00A173AE" w:rsidRPr="00457FD3" w:rsidRDefault="00A173AE" w:rsidP="00AB778B">
            <w:pPr>
              <w:pStyle w:val="TableText0"/>
              <w:keepNext w:val="0"/>
            </w:pPr>
            <w:r w:rsidRPr="00457FD3">
              <w:t>Restriction:</w:t>
            </w:r>
          </w:p>
        </w:tc>
        <w:tc>
          <w:tcPr>
            <w:tcW w:w="3762" w:type="pct"/>
            <w:tcBorders>
              <w:top w:val="single" w:sz="4" w:space="0" w:color="auto"/>
              <w:left w:val="single" w:sz="4" w:space="0" w:color="auto"/>
              <w:bottom w:val="single" w:sz="4" w:space="0" w:color="auto"/>
              <w:right w:val="single" w:sz="4" w:space="0" w:color="auto"/>
            </w:tcBorders>
          </w:tcPr>
          <w:p w14:paraId="4D9AC2E9" w14:textId="77777777" w:rsidR="00A173AE" w:rsidRPr="00457FD3" w:rsidRDefault="00A173AE" w:rsidP="00AB778B">
            <w:pPr>
              <w:pStyle w:val="TableText0"/>
              <w:keepNext w:val="0"/>
            </w:pPr>
            <w:r w:rsidRPr="00457FD3">
              <w:fldChar w:fldCharType="begin">
                <w:ffData>
                  <w:name w:val="Check5"/>
                  <w:enabled/>
                  <w:calcOnExit w:val="0"/>
                  <w:checkBox>
                    <w:sizeAuto/>
                    <w:default w:val="1"/>
                  </w:checkBox>
                </w:ffData>
              </w:fldChar>
            </w:r>
            <w:r w:rsidRPr="00457FD3">
              <w:instrText xml:space="preserve"> FORMCHECKBOX </w:instrText>
            </w:r>
            <w:r w:rsidR="007E1E66">
              <w:fldChar w:fldCharType="separate"/>
            </w:r>
            <w:r w:rsidRPr="00457FD3">
              <w:fldChar w:fldCharType="end"/>
            </w:r>
            <w:r w:rsidRPr="00457FD3">
              <w:t>Streamlined</w:t>
            </w:r>
          </w:p>
        </w:tc>
      </w:tr>
      <w:tr w:rsidR="00A173AE" w:rsidRPr="00457FD3" w14:paraId="12B314D2"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02DD4F3D" w14:textId="77777777" w:rsidR="00A173AE" w:rsidRPr="00457FD3" w:rsidRDefault="00A173AE" w:rsidP="00AB778B">
            <w:pPr>
              <w:pStyle w:val="TableText0"/>
              <w:keepNext w:val="0"/>
            </w:pPr>
            <w:r w:rsidRPr="00457FD3">
              <w:t>Clinical criteria:</w:t>
            </w:r>
          </w:p>
        </w:tc>
        <w:tc>
          <w:tcPr>
            <w:tcW w:w="3762" w:type="pct"/>
            <w:tcBorders>
              <w:top w:val="single" w:sz="4" w:space="0" w:color="auto"/>
              <w:left w:val="single" w:sz="4" w:space="0" w:color="auto"/>
              <w:bottom w:val="single" w:sz="4" w:space="0" w:color="auto"/>
              <w:right w:val="single" w:sz="4" w:space="0" w:color="auto"/>
            </w:tcBorders>
          </w:tcPr>
          <w:p w14:paraId="7F35774D" w14:textId="77777777" w:rsidR="003859C1" w:rsidRPr="001E21CB" w:rsidRDefault="003859C1" w:rsidP="00AB778B">
            <w:pPr>
              <w:pStyle w:val="TableText0"/>
              <w:keepNext w:val="0"/>
              <w:rPr>
                <w:strike/>
              </w:rPr>
            </w:pPr>
            <w:r w:rsidRPr="00457FD3">
              <w:t xml:space="preserve">The condition must be </w:t>
            </w:r>
            <w:r w:rsidRPr="001E21CB">
              <w:rPr>
                <w:strike/>
              </w:rPr>
              <w:t>hormone receptor (oestrogen and progesterone) negative</w:t>
            </w:r>
          </w:p>
          <w:p w14:paraId="412EC241" w14:textId="77777777" w:rsidR="003859C1" w:rsidRPr="00457FD3" w:rsidRDefault="003859C1" w:rsidP="00AB778B">
            <w:pPr>
              <w:pStyle w:val="TableText0"/>
              <w:keepNext w:val="0"/>
            </w:pPr>
            <w:r w:rsidRPr="001E21CB">
              <w:rPr>
                <w:strike/>
              </w:rPr>
              <w:t>AND</w:t>
            </w:r>
            <w:r>
              <w:rPr>
                <w:strike/>
              </w:rPr>
              <w:t xml:space="preserve"> </w:t>
            </w:r>
            <w:r w:rsidRPr="001E21CB">
              <w:rPr>
                <w:i/>
                <w:iCs/>
                <w:szCs w:val="20"/>
              </w:rPr>
              <w:t>tested negative for the expression of each of: (i) estrogen receptor, (ii) progesterone receptor, (iii)</w:t>
            </w:r>
            <w:r w:rsidRPr="001E21CB">
              <w:rPr>
                <w:szCs w:val="20"/>
              </w:rPr>
              <w:t xml:space="preserve"> excess </w:t>
            </w:r>
            <w:r w:rsidRPr="001E21CB">
              <w:rPr>
                <w:strike/>
              </w:rPr>
              <w:t xml:space="preserve">The condition must be </w:t>
            </w:r>
            <w:r w:rsidRPr="00457FD3">
              <w:t>human epidermal growth factor receptor 2 (HER2) negative</w:t>
            </w:r>
          </w:p>
          <w:p w14:paraId="39DF1D24" w14:textId="77777777" w:rsidR="003859C1" w:rsidRPr="00457FD3" w:rsidRDefault="003859C1" w:rsidP="00AB778B">
            <w:pPr>
              <w:pStyle w:val="TableText0"/>
              <w:keepNext w:val="0"/>
            </w:pPr>
            <w:r w:rsidRPr="00457FD3">
              <w:t>AND</w:t>
            </w:r>
          </w:p>
          <w:p w14:paraId="3F6DCCA3" w14:textId="77777777" w:rsidR="00A173AE" w:rsidRDefault="00A173AE" w:rsidP="00AB778B">
            <w:pPr>
              <w:pStyle w:val="TableText0"/>
              <w:keepNext w:val="0"/>
            </w:pPr>
            <w:r w:rsidRPr="00457FD3">
              <w:t xml:space="preserve">Patient must have received treatment with this drug for this </w:t>
            </w:r>
            <w:r w:rsidRPr="003859C1">
              <w:rPr>
                <w:strike/>
              </w:rPr>
              <w:t>condition</w:t>
            </w:r>
            <w:r w:rsidRPr="00457FD3">
              <w:t xml:space="preserve"> </w:t>
            </w:r>
            <w:r w:rsidR="003859C1" w:rsidRPr="003859C1">
              <w:rPr>
                <w:i/>
                <w:iCs/>
              </w:rPr>
              <w:t xml:space="preserve">PBS indication </w:t>
            </w:r>
            <w:r w:rsidRPr="00457FD3">
              <w:t>prior to [PBS listing date]</w:t>
            </w:r>
          </w:p>
          <w:p w14:paraId="72506BE5" w14:textId="77777777" w:rsidR="00A173AE" w:rsidRDefault="00A173AE" w:rsidP="00AB778B">
            <w:pPr>
              <w:pStyle w:val="TableText0"/>
              <w:keepNext w:val="0"/>
            </w:pPr>
            <w:r w:rsidRPr="00457FD3">
              <w:t>AND</w:t>
            </w:r>
          </w:p>
          <w:p w14:paraId="12481280" w14:textId="77777777" w:rsidR="00A173AE" w:rsidRDefault="00A173AE" w:rsidP="00AB778B">
            <w:pPr>
              <w:pStyle w:val="TableText0"/>
              <w:keepNext w:val="0"/>
            </w:pPr>
            <w:r w:rsidRPr="00457FD3">
              <w:t>Patient must not have developed disease progression while being treated with this drug for this condition</w:t>
            </w:r>
          </w:p>
          <w:p w14:paraId="71FA77F6" w14:textId="77777777" w:rsidR="003859C1" w:rsidRPr="00457FD3" w:rsidRDefault="003859C1" w:rsidP="00AB778B">
            <w:pPr>
              <w:pStyle w:val="TableText0"/>
              <w:keepNext w:val="0"/>
            </w:pPr>
            <w:r w:rsidRPr="00457FD3">
              <w:t>AND</w:t>
            </w:r>
          </w:p>
          <w:p w14:paraId="30D912CD" w14:textId="77777777" w:rsidR="003859C1" w:rsidRPr="00457FD3" w:rsidRDefault="003859C1" w:rsidP="00AB778B">
            <w:pPr>
              <w:pStyle w:val="TableText0"/>
              <w:keepNext w:val="0"/>
            </w:pPr>
            <w:r w:rsidRPr="003859C1">
              <w:rPr>
                <w:bCs w:val="0"/>
                <w:i/>
                <w:iCs/>
                <w:szCs w:val="20"/>
              </w:rPr>
              <w:t xml:space="preserve">Patient must have an Eastern Cooperative Oncology Group (ECOG) performance status of 1 or less, </w:t>
            </w:r>
            <w:r w:rsidRPr="003859C1">
              <w:rPr>
                <w:i/>
                <w:iCs/>
                <w:szCs w:val="20"/>
              </w:rPr>
              <w:t>prior to initiation of non-PBS subsidised treatment with this drug for this condition</w:t>
            </w:r>
            <w:r w:rsidRPr="003859C1">
              <w:rPr>
                <w:szCs w:val="20"/>
              </w:rPr>
              <w:t>.</w:t>
            </w:r>
          </w:p>
        </w:tc>
      </w:tr>
      <w:tr w:rsidR="001E21CB" w:rsidRPr="00457FD3" w14:paraId="6DEBF4F5"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7B3287AA" w14:textId="77777777" w:rsidR="001E21CB" w:rsidRPr="003859C1" w:rsidRDefault="001E21CB" w:rsidP="00AB778B">
            <w:pPr>
              <w:pStyle w:val="TableText0"/>
              <w:keepNext w:val="0"/>
              <w:rPr>
                <w:szCs w:val="20"/>
              </w:rPr>
            </w:pPr>
            <w:r w:rsidRPr="003859C1">
              <w:rPr>
                <w:szCs w:val="20"/>
              </w:rPr>
              <w:t>7608</w:t>
            </w:r>
          </w:p>
        </w:tc>
        <w:tc>
          <w:tcPr>
            <w:tcW w:w="3762" w:type="pct"/>
            <w:tcBorders>
              <w:top w:val="single" w:sz="4" w:space="0" w:color="auto"/>
              <w:left w:val="single" w:sz="4" w:space="0" w:color="auto"/>
              <w:bottom w:val="single" w:sz="4" w:space="0" w:color="auto"/>
              <w:right w:val="single" w:sz="4" w:space="0" w:color="auto"/>
            </w:tcBorders>
          </w:tcPr>
          <w:p w14:paraId="5C8B7A9E" w14:textId="77777777" w:rsidR="001E21CB" w:rsidRPr="003859C1" w:rsidRDefault="001E21CB" w:rsidP="00AB778B">
            <w:pPr>
              <w:rPr>
                <w:rFonts w:ascii="Arial Narrow" w:hAnsi="Arial Narrow"/>
                <w:b/>
                <w:bCs/>
                <w:i/>
                <w:iCs/>
                <w:sz w:val="20"/>
                <w:szCs w:val="20"/>
              </w:rPr>
            </w:pPr>
            <w:r w:rsidRPr="003859C1">
              <w:rPr>
                <w:rFonts w:ascii="Arial Narrow" w:hAnsi="Arial Narrow"/>
                <w:b/>
                <w:bCs/>
                <w:i/>
                <w:iCs/>
                <w:sz w:val="20"/>
                <w:szCs w:val="20"/>
              </w:rPr>
              <w:t>Administrative Advice:</w:t>
            </w:r>
            <w:r w:rsidRPr="003859C1">
              <w:rPr>
                <w:rFonts w:ascii="Arial Narrow" w:hAnsi="Arial Narrow"/>
                <w:i/>
                <w:iCs/>
                <w:sz w:val="20"/>
                <w:szCs w:val="20"/>
              </w:rPr>
              <w:t xml:space="preserve"> Special Pricing Arrangements apply.</w:t>
            </w:r>
          </w:p>
        </w:tc>
      </w:tr>
      <w:tr w:rsidR="003859C1" w:rsidRPr="00457FD3" w14:paraId="6B130CD0" w14:textId="77777777" w:rsidTr="00AF257F">
        <w:trPr>
          <w:trHeight w:val="20"/>
        </w:trPr>
        <w:tc>
          <w:tcPr>
            <w:tcW w:w="1238" w:type="pct"/>
            <w:tcBorders>
              <w:top w:val="single" w:sz="4" w:space="0" w:color="auto"/>
              <w:left w:val="single" w:sz="4" w:space="0" w:color="auto"/>
              <w:bottom w:val="single" w:sz="4" w:space="0" w:color="auto"/>
              <w:right w:val="single" w:sz="4" w:space="0" w:color="auto"/>
            </w:tcBorders>
            <w:vAlign w:val="center"/>
          </w:tcPr>
          <w:p w14:paraId="10215AFC" w14:textId="77777777" w:rsidR="003859C1" w:rsidRPr="003859C1" w:rsidRDefault="003859C1" w:rsidP="00AB778B">
            <w:pPr>
              <w:pStyle w:val="TableText0"/>
              <w:keepNext w:val="0"/>
              <w:rPr>
                <w:szCs w:val="20"/>
              </w:rPr>
            </w:pPr>
            <w:r w:rsidRPr="003859C1">
              <w:rPr>
                <w:szCs w:val="20"/>
              </w:rPr>
              <w:t>17098</w:t>
            </w:r>
          </w:p>
        </w:tc>
        <w:tc>
          <w:tcPr>
            <w:tcW w:w="3762" w:type="pct"/>
            <w:tcBorders>
              <w:top w:val="single" w:sz="4" w:space="0" w:color="auto"/>
              <w:left w:val="single" w:sz="4" w:space="0" w:color="auto"/>
              <w:bottom w:val="single" w:sz="4" w:space="0" w:color="auto"/>
              <w:right w:val="single" w:sz="4" w:space="0" w:color="auto"/>
            </w:tcBorders>
            <w:vAlign w:val="center"/>
          </w:tcPr>
          <w:p w14:paraId="6AAC3250" w14:textId="77777777" w:rsidR="003859C1" w:rsidRPr="003859C1" w:rsidRDefault="003859C1" w:rsidP="00AB778B">
            <w:pPr>
              <w:rPr>
                <w:rFonts w:ascii="Arial Narrow" w:hAnsi="Arial Narrow"/>
                <w:b/>
                <w:bCs/>
                <w:i/>
                <w:iCs/>
                <w:sz w:val="20"/>
                <w:szCs w:val="20"/>
              </w:rPr>
            </w:pPr>
            <w:r w:rsidRPr="003859C1">
              <w:rPr>
                <w:b/>
                <w:bCs/>
                <w:sz w:val="20"/>
                <w:szCs w:val="20"/>
              </w:rPr>
              <w:t xml:space="preserve">Administrative Advice: </w:t>
            </w:r>
            <w:r w:rsidRPr="00076F0E">
              <w:rPr>
                <w:rFonts w:ascii="Arial Narrow" w:eastAsiaTheme="majorEastAsia" w:hAnsi="Arial Narrow" w:cstheme="majorBidi"/>
                <w:bCs/>
                <w:sz w:val="20"/>
              </w:rPr>
              <w:t>Patients may qualify for PBS-subsidised treatment under this restriction once only. For continuing PBS-subsidised treatment, a 'Grandfathered' patient must qualify under the 'Continuing treatment' criteria.</w:t>
            </w:r>
          </w:p>
        </w:tc>
      </w:tr>
      <w:tr w:rsidR="003859C1" w:rsidRPr="00457FD3" w14:paraId="650E6838" w14:textId="77777777" w:rsidTr="00AF257F">
        <w:trPr>
          <w:trHeight w:val="20"/>
        </w:trPr>
        <w:tc>
          <w:tcPr>
            <w:tcW w:w="1238" w:type="pct"/>
            <w:tcBorders>
              <w:top w:val="single" w:sz="4" w:space="0" w:color="auto"/>
              <w:left w:val="single" w:sz="4" w:space="0" w:color="auto"/>
              <w:bottom w:val="single" w:sz="4" w:space="0" w:color="auto"/>
              <w:right w:val="single" w:sz="4" w:space="0" w:color="auto"/>
            </w:tcBorders>
          </w:tcPr>
          <w:p w14:paraId="54DF7B07" w14:textId="77777777" w:rsidR="003859C1" w:rsidRPr="003859C1" w:rsidRDefault="003859C1" w:rsidP="00AB778B">
            <w:pPr>
              <w:pStyle w:val="TableText0"/>
              <w:keepNext w:val="0"/>
              <w:rPr>
                <w:szCs w:val="20"/>
              </w:rPr>
            </w:pPr>
            <w:r w:rsidRPr="003859C1">
              <w:rPr>
                <w:bCs w:val="0"/>
                <w:szCs w:val="20"/>
              </w:rPr>
              <w:t>25398</w:t>
            </w:r>
          </w:p>
        </w:tc>
        <w:tc>
          <w:tcPr>
            <w:tcW w:w="3762" w:type="pct"/>
            <w:tcBorders>
              <w:top w:val="single" w:sz="4" w:space="0" w:color="auto"/>
              <w:left w:val="single" w:sz="4" w:space="0" w:color="auto"/>
              <w:bottom w:val="single" w:sz="4" w:space="0" w:color="auto"/>
              <w:right w:val="single" w:sz="4" w:space="0" w:color="auto"/>
            </w:tcBorders>
          </w:tcPr>
          <w:p w14:paraId="1C7F91F0" w14:textId="77777777" w:rsidR="003859C1" w:rsidRPr="003859C1" w:rsidRDefault="003859C1" w:rsidP="00AB778B">
            <w:pPr>
              <w:rPr>
                <w:b/>
                <w:bCs/>
                <w:sz w:val="20"/>
                <w:szCs w:val="20"/>
              </w:rPr>
            </w:pPr>
            <w:r w:rsidRPr="003859C1">
              <w:rPr>
                <w:rFonts w:ascii="Arial Narrow" w:hAnsi="Arial Narrow"/>
                <w:b/>
                <w:bCs/>
                <w:sz w:val="20"/>
                <w:szCs w:val="20"/>
              </w:rPr>
              <w:t xml:space="preserve">Administrative advice: </w:t>
            </w:r>
            <w:r w:rsidRPr="003859C1">
              <w:rPr>
                <w:rFonts w:ascii="Arial Narrow" w:eastAsia="Calibri" w:hAnsi="Arial Narrow" w:cstheme="minorHAnsi"/>
                <w:sz w:val="20"/>
                <w:szCs w:val="20"/>
              </w:rPr>
              <w:t xml:space="preserve">This grandfather restriction will cease to operate from </w:t>
            </w:r>
            <w:r w:rsidRPr="003859C1">
              <w:rPr>
                <w:rFonts w:ascii="Arial Narrow" w:eastAsia="Calibri" w:hAnsi="Arial Narrow" w:cstheme="minorHAnsi"/>
                <w:strike/>
                <w:sz w:val="20"/>
                <w:szCs w:val="20"/>
              </w:rPr>
              <w:t>[insert date 12 months from listing date here]</w:t>
            </w:r>
            <w:r w:rsidRPr="003859C1">
              <w:rPr>
                <w:rFonts w:ascii="Arial Narrow" w:hAnsi="Arial Narrow" w:cstheme="minorHAnsi"/>
                <w:bCs/>
                <w:strike/>
                <w:sz w:val="20"/>
                <w:szCs w:val="20"/>
              </w:rPr>
              <w:t>.</w:t>
            </w:r>
            <w:r w:rsidRPr="003859C1">
              <w:rPr>
                <w:rFonts w:ascii="Arial Narrow" w:hAnsi="Arial Narrow"/>
                <w:bCs/>
                <w:sz w:val="20"/>
                <w:szCs w:val="20"/>
              </w:rPr>
              <w:t>12 months after the date specified in the clinical criteria.</w:t>
            </w:r>
          </w:p>
        </w:tc>
      </w:tr>
      <w:tr w:rsidR="003859C1" w:rsidRPr="00457FD3" w14:paraId="15F0FEE2" w14:textId="77777777" w:rsidTr="001150EC">
        <w:trPr>
          <w:trHeight w:val="20"/>
        </w:trPr>
        <w:tc>
          <w:tcPr>
            <w:tcW w:w="1238" w:type="pct"/>
            <w:tcBorders>
              <w:top w:val="single" w:sz="4" w:space="0" w:color="auto"/>
              <w:left w:val="single" w:sz="4" w:space="0" w:color="auto"/>
              <w:bottom w:val="single" w:sz="4" w:space="0" w:color="auto"/>
              <w:right w:val="single" w:sz="4" w:space="0" w:color="auto"/>
            </w:tcBorders>
            <w:vAlign w:val="center"/>
          </w:tcPr>
          <w:p w14:paraId="74C129D9" w14:textId="77777777" w:rsidR="003859C1" w:rsidRPr="003859C1" w:rsidRDefault="003859C1" w:rsidP="00AB778B">
            <w:pPr>
              <w:pStyle w:val="TableText0"/>
              <w:keepNext w:val="0"/>
              <w:rPr>
                <w:szCs w:val="20"/>
              </w:rPr>
            </w:pPr>
            <w:r w:rsidRPr="003859C1">
              <w:rPr>
                <w:szCs w:val="20"/>
              </w:rPr>
              <w:t>NEW</w:t>
            </w:r>
          </w:p>
        </w:tc>
        <w:tc>
          <w:tcPr>
            <w:tcW w:w="3762" w:type="pct"/>
            <w:tcBorders>
              <w:top w:val="single" w:sz="4" w:space="0" w:color="auto"/>
              <w:left w:val="single" w:sz="4" w:space="0" w:color="auto"/>
              <w:bottom w:val="single" w:sz="4" w:space="0" w:color="auto"/>
              <w:right w:val="single" w:sz="4" w:space="0" w:color="auto"/>
            </w:tcBorders>
            <w:vAlign w:val="center"/>
          </w:tcPr>
          <w:p w14:paraId="316F4D30" w14:textId="77777777" w:rsidR="003859C1" w:rsidRPr="003859C1" w:rsidRDefault="003859C1" w:rsidP="00AB778B">
            <w:pPr>
              <w:rPr>
                <w:rFonts w:ascii="Arial Narrow" w:hAnsi="Arial Narrow"/>
                <w:b/>
                <w:bCs/>
                <w:sz w:val="20"/>
                <w:szCs w:val="20"/>
              </w:rPr>
            </w:pPr>
            <w:r w:rsidRPr="003859C1">
              <w:rPr>
                <w:rFonts w:ascii="Arial Narrow" w:hAnsi="Arial Narrow"/>
                <w:b/>
                <w:bCs/>
                <w:sz w:val="20"/>
                <w:szCs w:val="20"/>
              </w:rPr>
              <w:t>Caution:</w:t>
            </w:r>
            <w:r w:rsidRPr="003859C1">
              <w:rPr>
                <w:rFonts w:ascii="Arial Narrow" w:hAnsi="Arial Narrow"/>
                <w:sz w:val="20"/>
                <w:szCs w:val="20"/>
              </w:rPr>
              <w:t xml:space="preserve"> This medicine contains a cytotoxic component and causes chemotherapy-like toxicity, in particular, it can cause severe or life-threatening neutropenia and severe diarrhoea. For further information, refer to the Product Information.</w:t>
            </w:r>
          </w:p>
        </w:tc>
      </w:tr>
    </w:tbl>
    <w:p w14:paraId="596EF2C6" w14:textId="77777777" w:rsidR="001E21CB" w:rsidRPr="006730EA" w:rsidRDefault="001E21CB" w:rsidP="001E21CB">
      <w:pPr>
        <w:spacing w:after="120"/>
        <w:rPr>
          <w:rFonts w:asciiTheme="minorHAnsi" w:hAnsiTheme="minorHAnsi" w:cstheme="minorHAnsi"/>
          <w:highlight w:val="yellow"/>
        </w:rPr>
      </w:pPr>
    </w:p>
    <w:p w14:paraId="10648B7F" w14:textId="77777777" w:rsidR="00447572" w:rsidRPr="00457FD3" w:rsidRDefault="00A173AE" w:rsidP="00C7040B">
      <w:pPr>
        <w:pStyle w:val="3-BodyText"/>
      </w:pPr>
      <w:r w:rsidRPr="00457FD3">
        <w:t>The submission stated that the requested maximum amount and number of repeats w</w:t>
      </w:r>
      <w:r w:rsidR="00F66260" w:rsidRPr="00457FD3">
        <w:t>ere</w:t>
      </w:r>
      <w:r w:rsidRPr="00457FD3">
        <w:t xml:space="preserve"> consistent with the average dose and treatment duration in the ASCENT trial, and the dosage recommendations in the Product Information (PI). The requested maximum amount of 4 vials (720 mg) was sufficient for a single infusion for a patient </w:t>
      </w:r>
      <w:r w:rsidRPr="00457FD3">
        <w:lastRenderedPageBreak/>
        <w:t xml:space="preserve">weighing up to 72 kg (10 mg/kg). </w:t>
      </w:r>
      <w:r w:rsidR="00447572" w:rsidRPr="00457FD3">
        <w:t>The ESC</w:t>
      </w:r>
      <w:r w:rsidR="00856F0E" w:rsidRPr="00457FD3">
        <w:t xml:space="preserve"> </w:t>
      </w:r>
      <w:r w:rsidR="00DA32BC">
        <w:t xml:space="preserve">and PBAC </w:t>
      </w:r>
      <w:r w:rsidR="00856F0E" w:rsidRPr="00457FD3">
        <w:t>considered that</w:t>
      </w:r>
      <w:r w:rsidR="00F66260" w:rsidRPr="00457FD3">
        <w:t>, while</w:t>
      </w:r>
      <w:r w:rsidR="00856F0E" w:rsidRPr="00457FD3">
        <w:t xml:space="preserve"> it would be appropr</w:t>
      </w:r>
      <w:r w:rsidR="00C7040B" w:rsidRPr="00457FD3">
        <w:t xml:space="preserve">iate to </w:t>
      </w:r>
      <w:r w:rsidR="00B13607" w:rsidRPr="00457FD3">
        <w:t>increas</w:t>
      </w:r>
      <w:r w:rsidR="00C7040B" w:rsidRPr="00457FD3">
        <w:t>e the maximum amount to 1,200 mg (</w:t>
      </w:r>
      <w:r w:rsidR="00C7040B" w:rsidRPr="00457FD3">
        <w:rPr>
          <w:rFonts w:ascii="Calibri" w:hAnsi="Calibri"/>
          <w:bCs/>
        </w:rPr>
        <w:t>based on a 120 kg patient)</w:t>
      </w:r>
      <w:r w:rsidR="00C7040B" w:rsidRPr="00457FD3">
        <w:t xml:space="preserve">, </w:t>
      </w:r>
      <w:r w:rsidR="00F66260" w:rsidRPr="00457FD3">
        <w:t xml:space="preserve">this maximum </w:t>
      </w:r>
      <w:r w:rsidR="004124D8" w:rsidRPr="00457FD3">
        <w:t xml:space="preserve">dose would not commonly </w:t>
      </w:r>
      <w:r w:rsidR="00F66260" w:rsidRPr="00457FD3">
        <w:t xml:space="preserve">be </w:t>
      </w:r>
      <w:r w:rsidR="004124D8" w:rsidRPr="00457FD3">
        <w:t xml:space="preserve">required as </w:t>
      </w:r>
      <w:r w:rsidR="00B13607" w:rsidRPr="00457FD3">
        <w:t xml:space="preserve">patients </w:t>
      </w:r>
      <w:r w:rsidR="00745269">
        <w:t>may be more</w:t>
      </w:r>
      <w:r w:rsidR="00745269" w:rsidRPr="00457FD3">
        <w:t xml:space="preserve"> </w:t>
      </w:r>
      <w:r w:rsidR="00B13607" w:rsidRPr="00457FD3">
        <w:t>likely to be frail at</w:t>
      </w:r>
      <w:r w:rsidR="00C7040B" w:rsidRPr="00457FD3">
        <w:t xml:space="preserve"> the stage of disease</w:t>
      </w:r>
      <w:r w:rsidR="00447572" w:rsidRPr="00457FD3">
        <w:t>.</w:t>
      </w:r>
    </w:p>
    <w:p w14:paraId="7C483A62" w14:textId="77777777" w:rsidR="00A173AE" w:rsidRPr="00457FD3" w:rsidRDefault="00207EE8" w:rsidP="00A173AE">
      <w:pPr>
        <w:pStyle w:val="3-BodyText"/>
      </w:pPr>
      <w:r w:rsidRPr="00457FD3">
        <w:t xml:space="preserve">The </w:t>
      </w:r>
      <w:r w:rsidR="009909C6" w:rsidRPr="00457FD3">
        <w:t xml:space="preserve">ESC noted that the number of repeats is sufficient for 7 infusions (2 infusions per 21-day cycle for 3.5 cycles) in the initial treatment phase. </w:t>
      </w:r>
      <w:r w:rsidR="00683E9D" w:rsidRPr="00457FD3">
        <w:t>The ESC considered that it</w:t>
      </w:r>
      <w:r w:rsidR="004124D8" w:rsidRPr="00457FD3">
        <w:t xml:space="preserve"> would be</w:t>
      </w:r>
      <w:r w:rsidR="00683E9D" w:rsidRPr="00457FD3">
        <w:t xml:space="preserve"> appropriate to align the treatment cycle</w:t>
      </w:r>
      <w:r w:rsidR="00A147B9" w:rsidRPr="00457FD3">
        <w:t>s of SG</w:t>
      </w:r>
      <w:r w:rsidR="00683E9D" w:rsidRPr="00457FD3">
        <w:t xml:space="preserve"> with eribulin, which currently provides four treatment cycles</w:t>
      </w:r>
      <w:r w:rsidR="009909C6" w:rsidRPr="00457FD3">
        <w:t xml:space="preserve"> (7 repeats)</w:t>
      </w:r>
      <w:r w:rsidR="00683E9D" w:rsidRPr="00457FD3">
        <w:t xml:space="preserve"> for the initial treatment phase and seven treatment cycles </w:t>
      </w:r>
      <w:r w:rsidR="009909C6" w:rsidRPr="00457FD3">
        <w:t xml:space="preserve">(13 repeats) </w:t>
      </w:r>
      <w:r w:rsidR="00683E9D" w:rsidRPr="00457FD3">
        <w:t xml:space="preserve">for the continuing treatment phase. </w:t>
      </w:r>
    </w:p>
    <w:p w14:paraId="79F4CB17" w14:textId="77777777" w:rsidR="00A173AE" w:rsidRPr="00457FD3" w:rsidRDefault="00A173AE" w:rsidP="00A173AE">
      <w:pPr>
        <w:pStyle w:val="3-BodyText"/>
      </w:pPr>
      <w:r w:rsidRPr="00457FD3">
        <w:t>Patients in the ASCENT trial were required to be refractory to, or relapsed after, at least two prior standard of care chemotherapy regimens for unresectable locally advanced or metastatic breast cancer. However, earlier adjuvant or neoadjuvant therapy for more limited disease qualified as one of the required prior regimens if the development of unresectable locally advanced or metastatic disease occurred within a 12-month period after completion of chemotherapy</w:t>
      </w:r>
      <w:r w:rsidRPr="00457FD3">
        <w:rPr>
          <w:rStyle w:val="FootnoteReference"/>
        </w:rPr>
        <w:footnoteReference w:id="2"/>
      </w:r>
      <w:r w:rsidRPr="00457FD3">
        <w:t>. Therefore, this was consistent with the requested restriction.</w:t>
      </w:r>
    </w:p>
    <w:p w14:paraId="3F203D8C" w14:textId="77777777" w:rsidR="00432FE0" w:rsidRPr="00457FD3" w:rsidRDefault="00432FE0" w:rsidP="00432FE0">
      <w:pPr>
        <w:pStyle w:val="3-BodyText"/>
      </w:pPr>
      <w:r w:rsidRPr="00457FD3">
        <w:t xml:space="preserve">The </w:t>
      </w:r>
      <w:r w:rsidR="00A173AE" w:rsidRPr="00457FD3">
        <w:t>proposed restriction for initial treatment states that the patient must have received two prior treatments.</w:t>
      </w:r>
      <w:r w:rsidRPr="00457FD3">
        <w:t xml:space="preserve"> The ESC </w:t>
      </w:r>
      <w:r w:rsidR="00DA32BC">
        <w:t xml:space="preserve">and PBAC </w:t>
      </w:r>
      <w:r w:rsidRPr="00457FD3">
        <w:t xml:space="preserve">considered that it </w:t>
      </w:r>
      <w:r w:rsidR="00F4169A" w:rsidRPr="00457FD3">
        <w:t>would be</w:t>
      </w:r>
      <w:r w:rsidRPr="00457FD3">
        <w:t xml:space="preserve"> </w:t>
      </w:r>
      <w:r w:rsidR="00C73E95" w:rsidRPr="00457FD3">
        <w:t>reasonable</w:t>
      </w:r>
      <w:r w:rsidRPr="00457FD3">
        <w:t xml:space="preserve"> to specify that patients must have </w:t>
      </w:r>
      <w:r w:rsidR="004504D1">
        <w:t xml:space="preserve">progressive disease following </w:t>
      </w:r>
      <w:r w:rsidRPr="00457FD3">
        <w:t xml:space="preserve">two or more prior </w:t>
      </w:r>
      <w:r w:rsidR="00F4169A" w:rsidRPr="00457FD3">
        <w:t xml:space="preserve">systemic </w:t>
      </w:r>
      <w:r w:rsidRPr="00457FD3">
        <w:t xml:space="preserve">therapies, at least one of them in the locally advanced or metastatic setting, noting that was consistent </w:t>
      </w:r>
      <w:r w:rsidR="00A47BCA" w:rsidRPr="00457FD3">
        <w:t>with</w:t>
      </w:r>
      <w:r w:rsidRPr="00457FD3">
        <w:t xml:space="preserve"> the trial. </w:t>
      </w:r>
    </w:p>
    <w:p w14:paraId="52E5F801" w14:textId="77777777" w:rsidR="00432FE0" w:rsidRPr="00457FD3" w:rsidRDefault="00A173AE" w:rsidP="00432FE0">
      <w:pPr>
        <w:pStyle w:val="3-BodyText"/>
      </w:pPr>
      <w:r w:rsidRPr="00457FD3">
        <w:t>The inclusion criteria for ASCENT required patients to have previously been treated with a taxane, regardless of disease stage when it was given (adjuvant, neoadjuvant or advanced)</w:t>
      </w:r>
      <w:r w:rsidR="00432FE0" w:rsidRPr="00457FD3">
        <w:t xml:space="preserve">. </w:t>
      </w:r>
      <w:r w:rsidR="00B13607" w:rsidRPr="00457FD3">
        <w:t xml:space="preserve">However, the ESC </w:t>
      </w:r>
      <w:r w:rsidR="00DA32BC">
        <w:t xml:space="preserve">and PBAC </w:t>
      </w:r>
      <w:r w:rsidR="00B13607" w:rsidRPr="00457FD3">
        <w:t>considered that</w:t>
      </w:r>
      <w:r w:rsidR="004124D8" w:rsidRPr="00457FD3">
        <w:t xml:space="preserve"> the listing should not</w:t>
      </w:r>
      <w:r w:rsidR="00B13607" w:rsidRPr="00457FD3">
        <w:t xml:space="preserve"> require </w:t>
      </w:r>
      <w:r w:rsidR="0043032C">
        <w:t xml:space="preserve">patients to have progressed on </w:t>
      </w:r>
      <w:r w:rsidR="00B13607" w:rsidRPr="00457FD3">
        <w:t xml:space="preserve">prior </w:t>
      </w:r>
      <w:r w:rsidR="004124D8" w:rsidRPr="00457FD3">
        <w:t xml:space="preserve">taxane therapy given: (a) </w:t>
      </w:r>
      <w:r w:rsidR="00C73E95" w:rsidRPr="00457FD3">
        <w:t xml:space="preserve">most patients would have received treatment with a taxane </w:t>
      </w:r>
      <w:r w:rsidR="00A47BCA" w:rsidRPr="00457FD3">
        <w:t>earlier in the treatment algorithm</w:t>
      </w:r>
      <w:r w:rsidR="004124D8" w:rsidRPr="00457FD3">
        <w:t>; and (b)</w:t>
      </w:r>
      <w:r w:rsidR="00A47BCA" w:rsidRPr="00457FD3">
        <w:t xml:space="preserve"> </w:t>
      </w:r>
      <w:r w:rsidR="00053031" w:rsidRPr="00457FD3">
        <w:t>some</w:t>
      </w:r>
      <w:r w:rsidR="0035347F" w:rsidRPr="00457FD3">
        <w:t xml:space="preserve"> patients </w:t>
      </w:r>
      <w:r w:rsidR="00475470" w:rsidRPr="00457FD3">
        <w:t xml:space="preserve">would not have </w:t>
      </w:r>
      <w:r w:rsidR="0035347F" w:rsidRPr="00457FD3">
        <w:t>tolerate</w:t>
      </w:r>
      <w:r w:rsidR="00475470" w:rsidRPr="00457FD3">
        <w:t>d</w:t>
      </w:r>
      <w:r w:rsidR="0035347F" w:rsidRPr="00457FD3">
        <w:t xml:space="preserve"> taxane</w:t>
      </w:r>
      <w:r w:rsidR="00A47BCA" w:rsidRPr="00457FD3">
        <w:t xml:space="preserve"> therapy</w:t>
      </w:r>
      <w:r w:rsidR="00053031" w:rsidRPr="00457FD3">
        <w:t>, notably those who develop</w:t>
      </w:r>
      <w:r w:rsidR="00855F92" w:rsidRPr="00457FD3">
        <w:t>ed</w:t>
      </w:r>
      <w:r w:rsidR="00053031" w:rsidRPr="00457FD3">
        <w:t xml:space="preserve"> significant peripheral neuropathy.</w:t>
      </w:r>
      <w:r w:rsidR="0035347F" w:rsidRPr="00457FD3">
        <w:t xml:space="preserve"> </w:t>
      </w:r>
    </w:p>
    <w:p w14:paraId="5B681787" w14:textId="77777777" w:rsidR="00075B4A" w:rsidRPr="00457FD3" w:rsidRDefault="00432FE0" w:rsidP="00B8370A">
      <w:pPr>
        <w:pStyle w:val="3-BodyText"/>
      </w:pPr>
      <w:r w:rsidRPr="00457FD3">
        <w:t xml:space="preserve">The ESC </w:t>
      </w:r>
      <w:r w:rsidR="00DA32BC">
        <w:t xml:space="preserve">and PBAC </w:t>
      </w:r>
      <w:r w:rsidRPr="00457FD3">
        <w:t>noted that</w:t>
      </w:r>
      <w:r w:rsidR="00A173AE" w:rsidRPr="00457FD3">
        <w:t xml:space="preserve"> patients were required to have an Eastern Cooperative Oncology Group (ECOG) performance status of 0 or 1</w:t>
      </w:r>
      <w:r w:rsidRPr="00457FD3">
        <w:t xml:space="preserve"> in the ASCENT trial</w:t>
      </w:r>
      <w:r w:rsidR="00B13607" w:rsidRPr="00457FD3">
        <w:t>, and considered this requirement should be included in the listing</w:t>
      </w:r>
      <w:r w:rsidR="00A173AE" w:rsidRPr="00457FD3">
        <w:t>.</w:t>
      </w:r>
      <w:r w:rsidRPr="00457FD3">
        <w:t xml:space="preserve"> </w:t>
      </w:r>
    </w:p>
    <w:p w14:paraId="435B75BA" w14:textId="77777777" w:rsidR="00985DBE" w:rsidRDefault="00A173AE" w:rsidP="00FF6715">
      <w:pPr>
        <w:pStyle w:val="3-BodyText"/>
      </w:pPr>
      <w:r w:rsidRPr="00457FD3">
        <w:t xml:space="preserve">The submission stated that </w:t>
      </w:r>
      <w:r w:rsidR="000D4607">
        <w:t>&lt; 500</w:t>
      </w:r>
      <w:r w:rsidRPr="00457FD3">
        <w:t xml:space="preserve">patients were anticipated to access SG via the proposed grandfather provision. </w:t>
      </w:r>
    </w:p>
    <w:p w14:paraId="26C038B0" w14:textId="77777777" w:rsidR="00457FD3" w:rsidRPr="00457FD3" w:rsidRDefault="00457FD3" w:rsidP="00457FD3">
      <w:pPr>
        <w:pStyle w:val="3-BodyText"/>
        <w:numPr>
          <w:ilvl w:val="0"/>
          <w:numId w:val="0"/>
        </w:numPr>
        <w:ind w:left="720"/>
        <w:rPr>
          <w:i/>
          <w:iCs/>
        </w:rPr>
      </w:pPr>
      <w:r w:rsidRPr="00457FD3">
        <w:rPr>
          <w:i/>
          <w:iCs/>
        </w:rPr>
        <w:t>For more detail on PBAC’s view, see section 7 PBAC outcome.</w:t>
      </w:r>
    </w:p>
    <w:p w14:paraId="374B82CB" w14:textId="77777777" w:rsidR="00A173AE" w:rsidRPr="00457FD3" w:rsidRDefault="00A173AE" w:rsidP="00A173AE">
      <w:pPr>
        <w:pStyle w:val="2-SectionHeading"/>
        <w:numPr>
          <w:ilvl w:val="0"/>
          <w:numId w:val="1"/>
        </w:numPr>
      </w:pPr>
      <w:r w:rsidRPr="00457FD3">
        <w:lastRenderedPageBreak/>
        <w:t>Population and disease</w:t>
      </w:r>
    </w:p>
    <w:p w14:paraId="66E56AD4" w14:textId="77777777" w:rsidR="00A173AE" w:rsidRPr="00457FD3" w:rsidRDefault="00A173AE" w:rsidP="00A173AE">
      <w:pPr>
        <w:pStyle w:val="3-BodyText"/>
      </w:pPr>
      <w:r w:rsidRPr="00457FD3">
        <w:t>Breast cancer is the most commonly diagnosed cancer in Australia. In 2019, there were 19,535 new cases of breast cancer in Australia, of which 15-20% were estimated to have had TNBC. TNBC is a breast tumour subtype that is negative for expression of oestrogen receptors (ER) and progesterone receptors (PR), and lacks overexpression of the human epidermal growth factor receptor 2 (HER2) protein. Patients with breast cancer can experience altered hormone receptor and HER2 status throughout tumour progression</w:t>
      </w:r>
      <w:r w:rsidRPr="00457FD3">
        <w:rPr>
          <w:vertAlign w:val="superscript"/>
        </w:rPr>
        <w:footnoteReference w:id="3"/>
      </w:r>
      <w:r w:rsidRPr="00457FD3">
        <w:t>.</w:t>
      </w:r>
      <w:r w:rsidR="000301FB" w:rsidRPr="00457FD3">
        <w:rPr>
          <w:rFonts w:ascii="Calibri" w:hAnsi="Calibri"/>
          <w:snapToGrid/>
        </w:rPr>
        <w:t xml:space="preserve"> Compared to other types of breast cancer, TNBC is more likely to occur in younger pre-menopausal women.</w:t>
      </w:r>
    </w:p>
    <w:p w14:paraId="0A4032FE" w14:textId="77777777" w:rsidR="000301FB" w:rsidRPr="00457FD3" w:rsidRDefault="00A173AE" w:rsidP="000301FB">
      <w:pPr>
        <w:pStyle w:val="3-BodyText"/>
      </w:pPr>
      <w:r w:rsidRPr="00457FD3">
        <w:t xml:space="preserve">TNBC is an aggressive phenotype of breast cancer; pathological features include higher mean tumour size, tumour grade, and proliferation index at diagnosis compared with non-TNBC tumours, and it is associated with shorter time to relapse and poorer long-term outcomes compared with other breast cancer subtypes. </w:t>
      </w:r>
      <w:r w:rsidR="003077C4">
        <w:rPr>
          <w:rFonts w:ascii="Calibri" w:hAnsi="Calibri"/>
          <w:snapToGrid/>
        </w:rPr>
        <w:t xml:space="preserve">Median overall survival in the control arm of the pivotal trial was only </w:t>
      </w:r>
      <w:r w:rsidR="003077C4" w:rsidRPr="00457FD3">
        <w:t xml:space="preserve">6.9 </w:t>
      </w:r>
      <w:r w:rsidR="003077C4">
        <w:t xml:space="preserve">months </w:t>
      </w:r>
      <w:r w:rsidR="003077C4" w:rsidRPr="00457FD3">
        <w:t>(</w:t>
      </w:r>
      <w:r w:rsidR="003077C4">
        <w:t xml:space="preserve">95% CI: </w:t>
      </w:r>
      <w:r w:rsidR="003077C4" w:rsidRPr="00457FD3">
        <w:t>5.9, 7.7)</w:t>
      </w:r>
      <w:r w:rsidR="003077C4">
        <w:t>.</w:t>
      </w:r>
      <w:r w:rsidR="003077C4">
        <w:rPr>
          <w:rFonts w:ascii="Calibri" w:hAnsi="Calibri"/>
          <w:snapToGrid/>
        </w:rPr>
        <w:t xml:space="preserve"> </w:t>
      </w:r>
      <w:r w:rsidR="000301FB" w:rsidRPr="00457FD3">
        <w:rPr>
          <w:rFonts w:ascii="Calibri" w:hAnsi="Calibri"/>
          <w:snapToGrid/>
        </w:rPr>
        <w:t>The TGA Delegate’s Overview (page 7) states that “current treatment options are limited and unsatisfactory”.</w:t>
      </w:r>
    </w:p>
    <w:p w14:paraId="5BF0E3EF" w14:textId="77777777" w:rsidR="00A173AE" w:rsidRPr="00457FD3" w:rsidRDefault="00A173AE" w:rsidP="00A173AE">
      <w:pPr>
        <w:numPr>
          <w:ilvl w:val="1"/>
          <w:numId w:val="1"/>
        </w:numPr>
        <w:spacing w:after="120"/>
      </w:pPr>
      <w:r w:rsidRPr="00457FD3">
        <w:t>The submission proposed SG for the treatment of patients with unresectable locally advanced or metastatic TNBC, who have received at least two prior therapies, including at least one prior therapy for locally advanced or metastatic disease. Essentially these patients included two distinct populations:</w:t>
      </w:r>
    </w:p>
    <w:p w14:paraId="4365215D" w14:textId="77777777" w:rsidR="00A173AE" w:rsidRPr="00457FD3" w:rsidRDefault="00A173AE" w:rsidP="00A173AE">
      <w:pPr>
        <w:pStyle w:val="ListParagraph"/>
        <w:ind w:left="1134"/>
      </w:pPr>
      <w:r w:rsidRPr="00457FD3">
        <w:t xml:space="preserve">Patients diagnosed with unresectable locally advanced or metastatic TNBC (de novo locally advanced or metastatic disease) who have received at least two prior therapies in the locally advanced or metastatic setting, and </w:t>
      </w:r>
    </w:p>
    <w:p w14:paraId="19BDC8F3" w14:textId="77777777" w:rsidR="00A173AE" w:rsidRPr="00457FD3" w:rsidRDefault="00A173AE" w:rsidP="00A173AE">
      <w:pPr>
        <w:pStyle w:val="ListParagraph"/>
        <w:ind w:left="1134"/>
      </w:pPr>
      <w:r w:rsidRPr="00457FD3">
        <w:t>Patients diagnosed with earlier stage resectable breast cancer (not necessarily TNBC), who progress to unresectable, locally advanced or metastatic TNBC having received prior (neo)adjuvant treatment and at least one prior therapy in the locally advanced or metastatic setting.</w:t>
      </w:r>
    </w:p>
    <w:p w14:paraId="20D2D5CA" w14:textId="77777777" w:rsidR="00A173AE" w:rsidRDefault="00A173AE" w:rsidP="00A173AE">
      <w:pPr>
        <w:numPr>
          <w:ilvl w:val="1"/>
          <w:numId w:val="1"/>
        </w:numPr>
      </w:pPr>
      <w:r w:rsidRPr="00457FD3">
        <w:t xml:space="preserve">SG is an antibody-drug conjugate directed to the tumour-associated calcium signal transducer 2 (Trop-2), a protein frequently expressed in multiple types of epithelial tumours, including TNBC, where high expression is associated with poor survival and relapse. Sacituzumab is a humanised antibody that recognises Trop-2. The small molecule SN-38 is a topoisomerase I inhibitor, which is covalently attached to the antibody by a linker. Pharmacology data suggest that SG binds to Trop-2-expressing cancer cells and is internalised with the subsequent release of SN-38 via hydrolysis of </w:t>
      </w:r>
      <w:r w:rsidRPr="00457FD3">
        <w:lastRenderedPageBreak/>
        <w:t>the linker. SN-38 interacts with topoisomerase I and prevents re-ligation of topoisomerase I-induced single strand breaks. The resulting DNA damage leads to apoptosis and cell death. SN-38 is the active metabolite of irinotecan.</w:t>
      </w:r>
    </w:p>
    <w:p w14:paraId="5360731C" w14:textId="77777777" w:rsidR="009C090E" w:rsidRDefault="009C090E" w:rsidP="00457FD3">
      <w:pPr>
        <w:ind w:left="720"/>
        <w:rPr>
          <w:i/>
          <w:iCs/>
        </w:rPr>
      </w:pPr>
    </w:p>
    <w:p w14:paraId="362CD303" w14:textId="77777777" w:rsidR="00457FD3" w:rsidRPr="00457FD3" w:rsidRDefault="00457FD3" w:rsidP="00457FD3">
      <w:pPr>
        <w:ind w:left="720"/>
        <w:rPr>
          <w:i/>
          <w:iCs/>
        </w:rPr>
      </w:pPr>
      <w:r w:rsidRPr="00457FD3">
        <w:rPr>
          <w:i/>
          <w:iCs/>
        </w:rPr>
        <w:t>For more detail on PBAC’s view, see section 7 PBAC outcome.</w:t>
      </w:r>
    </w:p>
    <w:p w14:paraId="70A7EBC2" w14:textId="77777777" w:rsidR="00A173AE" w:rsidRPr="00457FD3" w:rsidRDefault="00A173AE" w:rsidP="00A173AE">
      <w:pPr>
        <w:pStyle w:val="2-SectionHeading"/>
        <w:numPr>
          <w:ilvl w:val="0"/>
          <w:numId w:val="1"/>
        </w:numPr>
      </w:pPr>
      <w:r w:rsidRPr="00457FD3">
        <w:t>Comparator</w:t>
      </w:r>
    </w:p>
    <w:p w14:paraId="750C713A" w14:textId="77777777" w:rsidR="00A173AE" w:rsidRPr="00457FD3" w:rsidRDefault="00A173AE" w:rsidP="00A173AE">
      <w:pPr>
        <w:pStyle w:val="3-BodyText"/>
        <w:rPr>
          <w:snapToGrid/>
          <w:lang w:val="en-US"/>
        </w:rPr>
      </w:pPr>
      <w:r w:rsidRPr="00457FD3">
        <w:t xml:space="preserve">The submission nominated single-agent </w:t>
      </w:r>
      <w:r w:rsidR="00552415">
        <w:t>treatment of physician’s choice (</w:t>
      </w:r>
      <w:r w:rsidRPr="00457FD3">
        <w:t>TPC</w:t>
      </w:r>
      <w:r w:rsidR="00552415">
        <w:t>)</w:t>
      </w:r>
      <w:r w:rsidRPr="00457FD3">
        <w:t xml:space="preserve">, consisting of capecitabine, gemcitabine, eribulin or vinorelbine, as the main comparator. The nomination of single-agent </w:t>
      </w:r>
      <w:r w:rsidR="00552415">
        <w:t>TPC</w:t>
      </w:r>
      <w:r w:rsidRPr="00457FD3">
        <w:t xml:space="preserve"> as the comparator was appropriate. Capecitabine, gemcitabine, eribulin and vinorelbine are representative of standard of care in patients with unresectable locally advanced or metastatic TNBC previously treated with an anthracycline and/or taxane. </w:t>
      </w:r>
    </w:p>
    <w:p w14:paraId="7960B2BB" w14:textId="77777777" w:rsidR="0009354D" w:rsidRPr="00457FD3" w:rsidRDefault="000A76EE" w:rsidP="00303D2C">
      <w:pPr>
        <w:pStyle w:val="3-BodyText"/>
        <w:rPr>
          <w:bCs/>
        </w:rPr>
      </w:pPr>
      <w:r w:rsidRPr="00457FD3">
        <w:t>The Commentary considered that s</w:t>
      </w:r>
      <w:r w:rsidR="00A173AE" w:rsidRPr="00457FD3">
        <w:t>ingle-agent platinum therapy may also be an appropriate comparator. The 2020 European School of Oncology – European Society for Medical Oncology International Consensus Guidelines for Advanced Breast Cancer state that carboplatin is an important treatment option in patients with TNBC (regardless of BRCA mutation status)</w:t>
      </w:r>
      <w:r w:rsidR="003010E2" w:rsidRPr="00457FD3">
        <w:t>. Carboplatin</w:t>
      </w:r>
      <w:r w:rsidR="00A173AE" w:rsidRPr="00457FD3">
        <w:t xml:space="preserve"> is included as a first line treatment option in patients previously untreated with anthracycline or taxanes</w:t>
      </w:r>
      <w:r w:rsidR="003010E2" w:rsidRPr="00457FD3">
        <w:t>. In addition</w:t>
      </w:r>
      <w:r w:rsidR="00A173AE" w:rsidRPr="00457FD3">
        <w:t xml:space="preserve">, </w:t>
      </w:r>
      <w:r w:rsidR="004F3E94" w:rsidRPr="00457FD3">
        <w:t>c</w:t>
      </w:r>
      <w:r w:rsidR="003010E2" w:rsidRPr="00457FD3">
        <w:t>arboplatin is included</w:t>
      </w:r>
      <w:r w:rsidR="00A173AE" w:rsidRPr="00457FD3">
        <w:t xml:space="preserve"> as an alternative to eribulin, vinorelbine and capecitabine in patients previously treated with anthracycline or taxanes. The National Comprehensive Cancer Network Guidelines for breast cancer also include platinum agents as a treatment option for patients with TNBC and germline BRCA1/2 mutations.</w:t>
      </w:r>
      <w:r w:rsidR="00A173AE" w:rsidRPr="00457FD3">
        <w:rPr>
          <w:rStyle w:val="FootnoteReference"/>
        </w:rPr>
        <w:footnoteReference w:id="4"/>
      </w:r>
      <w:r w:rsidR="00A173AE" w:rsidRPr="00457FD3">
        <w:t xml:space="preserve"> </w:t>
      </w:r>
      <w:r w:rsidR="004F3E94" w:rsidRPr="00457FD3">
        <w:t>However, the ESC noted that single-agent platinum therapy is generally used in earlier lines of therapy and considered that the submission’s proposed comparator (single-agent treatment of physician’s choice) was appropriate.</w:t>
      </w:r>
    </w:p>
    <w:p w14:paraId="0DB5A919" w14:textId="77777777" w:rsidR="00457FD3" w:rsidRPr="00457FD3" w:rsidRDefault="00457FD3" w:rsidP="00457FD3">
      <w:pPr>
        <w:pStyle w:val="3-BodyText"/>
        <w:numPr>
          <w:ilvl w:val="0"/>
          <w:numId w:val="0"/>
        </w:numPr>
        <w:ind w:left="720"/>
        <w:rPr>
          <w:bCs/>
          <w:i/>
          <w:iCs/>
        </w:rPr>
      </w:pPr>
      <w:r w:rsidRPr="00457FD3">
        <w:rPr>
          <w:bCs/>
          <w:i/>
          <w:iCs/>
        </w:rPr>
        <w:t>For more detail on PBAC’s view, see section 7 PBAC outcome.</w:t>
      </w:r>
    </w:p>
    <w:p w14:paraId="0D24CC9F" w14:textId="77777777" w:rsidR="00A173AE" w:rsidRPr="00457FD3" w:rsidRDefault="00A173AE" w:rsidP="00A173AE">
      <w:pPr>
        <w:pStyle w:val="2-SectionHeading"/>
        <w:numPr>
          <w:ilvl w:val="0"/>
          <w:numId w:val="1"/>
        </w:numPr>
      </w:pPr>
      <w:r w:rsidRPr="00457FD3">
        <w:t>Consideration of the evidence</w:t>
      </w:r>
    </w:p>
    <w:p w14:paraId="57CAAD80" w14:textId="77777777" w:rsidR="00457FD3" w:rsidRPr="00B54A80" w:rsidRDefault="00457FD3" w:rsidP="00370714">
      <w:pPr>
        <w:pStyle w:val="4-SubsectionHeading"/>
      </w:pPr>
      <w:bookmarkStart w:id="0" w:name="_Hlk76375935"/>
      <w:r w:rsidRPr="00B54A80">
        <w:t>Sponsor hearing</w:t>
      </w:r>
    </w:p>
    <w:p w14:paraId="156EFB1E" w14:textId="77777777" w:rsidR="00457FD3" w:rsidRPr="00B54A80" w:rsidRDefault="00457FD3" w:rsidP="00457FD3">
      <w:pPr>
        <w:widowControl w:val="0"/>
        <w:numPr>
          <w:ilvl w:val="1"/>
          <w:numId w:val="1"/>
        </w:numPr>
        <w:spacing w:after="120"/>
        <w:rPr>
          <w:rFonts w:cs="Calibri"/>
          <w:bCs/>
          <w:snapToGrid w:val="0"/>
        </w:rPr>
      </w:pPr>
      <w:r w:rsidRPr="00B54A80">
        <w:rPr>
          <w:rFonts w:cs="Calibri"/>
          <w:bCs/>
          <w:snapToGrid w:val="0"/>
        </w:rPr>
        <w:t>There was no hearing for this item.</w:t>
      </w:r>
    </w:p>
    <w:p w14:paraId="5DA46BCA" w14:textId="77777777" w:rsidR="00457FD3" w:rsidRPr="00901BEB" w:rsidRDefault="00457FD3" w:rsidP="00370714">
      <w:pPr>
        <w:pStyle w:val="4-SubsectionHeading"/>
      </w:pPr>
      <w:r w:rsidRPr="00901BEB">
        <w:lastRenderedPageBreak/>
        <w:t>Consumer comments</w:t>
      </w:r>
    </w:p>
    <w:p w14:paraId="07C7FF93" w14:textId="77777777" w:rsidR="00457FD3" w:rsidRPr="00901BEB" w:rsidRDefault="00457FD3" w:rsidP="004215FF">
      <w:pPr>
        <w:pStyle w:val="3-BodyText"/>
      </w:pPr>
      <w:bookmarkStart w:id="1" w:name="_Hlk76382618"/>
      <w:r w:rsidRPr="00901BEB">
        <w:t>The PBAC noted and welcomed the input from individuals (</w:t>
      </w:r>
      <w:r w:rsidR="007D497A" w:rsidRPr="00901BEB">
        <w:t>4</w:t>
      </w:r>
      <w:r w:rsidRPr="00901BEB">
        <w:t>) and organisations (</w:t>
      </w:r>
      <w:r w:rsidR="00DD4823">
        <w:t>4</w:t>
      </w:r>
      <w:r w:rsidRPr="00901BEB">
        <w:t>) via the Consumer Comments facility on the PBS website. The comments</w:t>
      </w:r>
      <w:r w:rsidR="00DF1948">
        <w:t xml:space="preserve"> outlined</w:t>
      </w:r>
      <w:r w:rsidRPr="00901BEB">
        <w:t xml:space="preserve"> </w:t>
      </w:r>
      <w:r w:rsidR="00DF1948">
        <w:t xml:space="preserve">the need for more treatment options and the hope </w:t>
      </w:r>
      <w:r w:rsidR="004A2258">
        <w:t xml:space="preserve">of future benefit </w:t>
      </w:r>
      <w:r w:rsidR="00DF1948">
        <w:t xml:space="preserve">associated with having access to effective therapies. The comments also </w:t>
      </w:r>
      <w:r w:rsidRPr="00901BEB">
        <w:t xml:space="preserve">described a range of benefits of </w:t>
      </w:r>
      <w:r w:rsidR="00F10A9A" w:rsidRPr="00901BEB">
        <w:t>SG</w:t>
      </w:r>
      <w:r w:rsidRPr="00901BEB">
        <w:t xml:space="preserve"> including</w:t>
      </w:r>
      <w:r w:rsidR="00F10A9A" w:rsidRPr="00901BEB">
        <w:t xml:space="preserve"> prolong</w:t>
      </w:r>
      <w:r w:rsidR="00DF1948">
        <w:t>ed survival</w:t>
      </w:r>
      <w:r w:rsidR="00F10A9A" w:rsidRPr="00901BEB">
        <w:t xml:space="preserve"> and </w:t>
      </w:r>
      <w:r w:rsidR="00DF1948">
        <w:t xml:space="preserve">the potential to </w:t>
      </w:r>
      <w:r w:rsidR="00F10A9A" w:rsidRPr="00901BEB">
        <w:t>improv</w:t>
      </w:r>
      <w:r w:rsidR="00DF1948">
        <w:t>e</w:t>
      </w:r>
      <w:r w:rsidR="00F10A9A" w:rsidRPr="00901BEB">
        <w:t xml:space="preserve"> quality of life.</w:t>
      </w:r>
      <w:r w:rsidR="00DF1948">
        <w:t xml:space="preserve"> The comments outlined that additional months of life are highly valued by patient</w:t>
      </w:r>
      <w:r w:rsidR="004215FF">
        <w:t>s with</w:t>
      </w:r>
      <w:r w:rsidR="004215FF" w:rsidRPr="004215FF">
        <w:rPr>
          <w:snapToGrid/>
        </w:rPr>
        <w:t xml:space="preserve"> metastatic triple-negative breast cancer</w:t>
      </w:r>
      <w:r w:rsidR="00DF1948">
        <w:t xml:space="preserve">, </w:t>
      </w:r>
      <w:r w:rsidR="004215FF">
        <w:t xml:space="preserve">which is more likely to occur in younger women than </w:t>
      </w:r>
      <w:r w:rsidR="004215FF" w:rsidRPr="004215FF">
        <w:rPr>
          <w:bCs/>
        </w:rPr>
        <w:t>other types of breast cancer</w:t>
      </w:r>
      <w:r w:rsidR="003C7833">
        <w:rPr>
          <w:bCs/>
        </w:rPr>
        <w:t xml:space="preserve">. The comments outlined the priority that these patients place on having the opportunity to spend more time </w:t>
      </w:r>
      <w:r w:rsidR="004A2258">
        <w:rPr>
          <w:bCs/>
        </w:rPr>
        <w:t xml:space="preserve">particularly </w:t>
      </w:r>
      <w:r w:rsidR="003C7833">
        <w:rPr>
          <w:bCs/>
        </w:rPr>
        <w:t xml:space="preserve">with their </w:t>
      </w:r>
      <w:r w:rsidR="004215FF">
        <w:t>young children.</w:t>
      </w:r>
      <w:r w:rsidRPr="00901BEB">
        <w:t xml:space="preserve"> </w:t>
      </w:r>
    </w:p>
    <w:p w14:paraId="1EA4600E" w14:textId="77777777" w:rsidR="0026332D" w:rsidRDefault="00457FD3" w:rsidP="006B6261">
      <w:pPr>
        <w:widowControl w:val="0"/>
        <w:numPr>
          <w:ilvl w:val="1"/>
          <w:numId w:val="1"/>
        </w:numPr>
        <w:spacing w:after="120"/>
      </w:pPr>
      <w:r w:rsidRPr="00125782">
        <w:rPr>
          <w:rFonts w:asciiTheme="minorHAnsi" w:hAnsiTheme="minorHAnsi"/>
          <w:bCs/>
          <w:snapToGrid w:val="0"/>
        </w:rPr>
        <w:t xml:space="preserve">The </w:t>
      </w:r>
      <w:r w:rsidR="007D497A" w:rsidRPr="00125782">
        <w:rPr>
          <w:rFonts w:asciiTheme="minorHAnsi" w:hAnsiTheme="minorHAnsi"/>
          <w:bCs/>
          <w:snapToGrid w:val="0"/>
        </w:rPr>
        <w:t>Bre</w:t>
      </w:r>
      <w:r w:rsidR="004A2258">
        <w:rPr>
          <w:rFonts w:asciiTheme="minorHAnsi" w:hAnsiTheme="minorHAnsi"/>
          <w:bCs/>
          <w:snapToGrid w:val="0"/>
        </w:rPr>
        <w:t>a</w:t>
      </w:r>
      <w:r w:rsidR="007D497A" w:rsidRPr="00125782">
        <w:rPr>
          <w:rFonts w:asciiTheme="minorHAnsi" w:hAnsiTheme="minorHAnsi"/>
          <w:bCs/>
          <w:snapToGrid w:val="0"/>
        </w:rPr>
        <w:t>st Cancer Network Australia</w:t>
      </w:r>
      <w:r w:rsidR="00F10A9A" w:rsidRPr="00125782">
        <w:rPr>
          <w:rFonts w:asciiTheme="minorHAnsi" w:hAnsiTheme="minorHAnsi"/>
          <w:bCs/>
          <w:snapToGrid w:val="0"/>
        </w:rPr>
        <w:t xml:space="preserve"> (BCNA) </w:t>
      </w:r>
      <w:r w:rsidR="00DF1948" w:rsidRPr="00125782">
        <w:rPr>
          <w:rFonts w:asciiTheme="minorHAnsi" w:hAnsiTheme="minorHAnsi"/>
          <w:bCs/>
          <w:snapToGrid w:val="0"/>
        </w:rPr>
        <w:t xml:space="preserve">supported the application. The BCNA </w:t>
      </w:r>
      <w:r w:rsidR="00DF1948" w:rsidRPr="00125782">
        <w:rPr>
          <w:rFonts w:asciiTheme="minorHAnsi" w:hAnsiTheme="minorHAnsi"/>
          <w:bCs/>
          <w:lang w:val="en-GB"/>
        </w:rPr>
        <w:t xml:space="preserve">acknowledged the adverse event profile of SG and </w:t>
      </w:r>
      <w:r w:rsidR="00056696" w:rsidRPr="00125782">
        <w:rPr>
          <w:rFonts w:asciiTheme="minorHAnsi" w:hAnsiTheme="minorHAnsi"/>
          <w:bCs/>
          <w:lang w:val="en-GB"/>
        </w:rPr>
        <w:t>support</w:t>
      </w:r>
      <w:r w:rsidR="00DF1948" w:rsidRPr="00125782">
        <w:rPr>
          <w:rFonts w:asciiTheme="minorHAnsi" w:hAnsiTheme="minorHAnsi"/>
          <w:bCs/>
          <w:lang w:val="en-GB"/>
        </w:rPr>
        <w:t>ed</w:t>
      </w:r>
      <w:r w:rsidR="00056696" w:rsidRPr="00125782">
        <w:rPr>
          <w:rFonts w:asciiTheme="minorHAnsi" w:hAnsiTheme="minorHAnsi"/>
          <w:bCs/>
          <w:lang w:val="en-GB"/>
        </w:rPr>
        <w:t xml:space="preserve"> patient</w:t>
      </w:r>
      <w:r w:rsidR="00DF1948" w:rsidRPr="00125782">
        <w:rPr>
          <w:rFonts w:asciiTheme="minorHAnsi" w:hAnsiTheme="minorHAnsi"/>
          <w:bCs/>
          <w:lang w:val="en-GB"/>
        </w:rPr>
        <w:t>s’</w:t>
      </w:r>
      <w:r w:rsidR="00056696" w:rsidRPr="00125782">
        <w:rPr>
          <w:rFonts w:asciiTheme="minorHAnsi" w:hAnsiTheme="minorHAnsi"/>
          <w:bCs/>
          <w:lang w:val="en-GB"/>
        </w:rPr>
        <w:t xml:space="preserve"> ability to weigh up survival, adverse event</w:t>
      </w:r>
      <w:r w:rsidR="004215FF" w:rsidRPr="00125782">
        <w:rPr>
          <w:rFonts w:asciiTheme="minorHAnsi" w:hAnsiTheme="minorHAnsi"/>
          <w:bCs/>
          <w:lang w:val="en-GB"/>
        </w:rPr>
        <w:t>s</w:t>
      </w:r>
      <w:r w:rsidR="00056696" w:rsidRPr="00125782">
        <w:rPr>
          <w:rFonts w:asciiTheme="minorHAnsi" w:hAnsiTheme="minorHAnsi"/>
          <w:bCs/>
          <w:lang w:val="en-GB"/>
        </w:rPr>
        <w:t xml:space="preserve"> and quality of life. The </w:t>
      </w:r>
      <w:r w:rsidR="00DD4823" w:rsidRPr="00125782">
        <w:rPr>
          <w:rFonts w:asciiTheme="minorHAnsi" w:hAnsiTheme="minorHAnsi"/>
          <w:bCs/>
          <w:lang w:val="en-GB"/>
        </w:rPr>
        <w:t>BCNA stated</w:t>
      </w:r>
      <w:r w:rsidR="00056696" w:rsidRPr="00125782">
        <w:rPr>
          <w:rFonts w:asciiTheme="minorHAnsi" w:hAnsiTheme="minorHAnsi"/>
          <w:bCs/>
          <w:lang w:val="en-GB"/>
        </w:rPr>
        <w:t xml:space="preserve"> that additional months of progression-free </w:t>
      </w:r>
      <w:r w:rsidR="00DF1948" w:rsidRPr="00125782">
        <w:rPr>
          <w:rFonts w:asciiTheme="minorHAnsi" w:hAnsiTheme="minorHAnsi"/>
          <w:bCs/>
          <w:lang w:val="en-GB"/>
        </w:rPr>
        <w:t>and</w:t>
      </w:r>
      <w:r w:rsidR="00056696" w:rsidRPr="00125782">
        <w:rPr>
          <w:rFonts w:asciiTheme="minorHAnsi" w:hAnsiTheme="minorHAnsi"/>
          <w:bCs/>
          <w:lang w:val="en-GB"/>
        </w:rPr>
        <w:t xml:space="preserve"> overall survival are highly </w:t>
      </w:r>
      <w:r w:rsidR="00DF1948" w:rsidRPr="00125782">
        <w:rPr>
          <w:rFonts w:asciiTheme="minorHAnsi" w:hAnsiTheme="minorHAnsi"/>
          <w:bCs/>
          <w:lang w:val="en-GB"/>
        </w:rPr>
        <w:t xml:space="preserve">valued by </w:t>
      </w:r>
      <w:r w:rsidR="0082753F" w:rsidRPr="00125782">
        <w:rPr>
          <w:rFonts w:asciiTheme="minorHAnsi" w:hAnsiTheme="minorHAnsi"/>
          <w:bCs/>
          <w:lang w:val="en-GB"/>
        </w:rPr>
        <w:t>this patient group, giving them more time with loved ones</w:t>
      </w:r>
      <w:r w:rsidR="00DF1948" w:rsidRPr="00125782">
        <w:rPr>
          <w:rFonts w:asciiTheme="minorHAnsi" w:hAnsiTheme="minorHAnsi"/>
          <w:bCs/>
          <w:lang w:val="en-GB"/>
        </w:rPr>
        <w:t xml:space="preserve">, especially in this case </w:t>
      </w:r>
      <w:r w:rsidR="00056696" w:rsidRPr="00125782">
        <w:rPr>
          <w:rFonts w:asciiTheme="minorHAnsi" w:hAnsiTheme="minorHAnsi"/>
          <w:bCs/>
          <w:lang w:val="en-GB"/>
        </w:rPr>
        <w:t>where patients have</w:t>
      </w:r>
      <w:r w:rsidR="00DF1948" w:rsidRPr="00125782">
        <w:rPr>
          <w:rFonts w:asciiTheme="minorHAnsi" w:hAnsiTheme="minorHAnsi"/>
          <w:bCs/>
          <w:lang w:val="en-GB"/>
        </w:rPr>
        <w:t>,</w:t>
      </w:r>
      <w:r w:rsidR="00056696" w:rsidRPr="00125782">
        <w:rPr>
          <w:rFonts w:asciiTheme="minorHAnsi" w:hAnsiTheme="minorHAnsi"/>
          <w:bCs/>
          <w:lang w:val="en-GB"/>
        </w:rPr>
        <w:t xml:space="preserve"> in many cases</w:t>
      </w:r>
      <w:r w:rsidR="00DF1948" w:rsidRPr="00125782">
        <w:rPr>
          <w:rFonts w:asciiTheme="minorHAnsi" w:hAnsiTheme="minorHAnsi"/>
          <w:bCs/>
          <w:lang w:val="en-GB"/>
        </w:rPr>
        <w:t xml:space="preserve">, </w:t>
      </w:r>
      <w:r w:rsidR="00056696" w:rsidRPr="00125782">
        <w:rPr>
          <w:rFonts w:asciiTheme="minorHAnsi" w:hAnsiTheme="minorHAnsi"/>
          <w:bCs/>
          <w:lang w:val="en-GB"/>
        </w:rPr>
        <w:t>exhausted all treatment options</w:t>
      </w:r>
      <w:r w:rsidR="003C7833" w:rsidRPr="00125782">
        <w:rPr>
          <w:rFonts w:asciiTheme="minorHAnsi" w:hAnsiTheme="minorHAnsi"/>
          <w:bCs/>
          <w:lang w:val="en-GB"/>
        </w:rPr>
        <w:t>.</w:t>
      </w:r>
      <w:r w:rsidR="003C7833">
        <w:t xml:space="preserve"> Rare Cancers Australia also discussed the financial hardship of self-funding SG.</w:t>
      </w:r>
      <w:r w:rsidR="00125782">
        <w:t xml:space="preserve"> </w:t>
      </w:r>
      <w:r w:rsidR="00AB778B">
        <w:t xml:space="preserve">The PBAC </w:t>
      </w:r>
      <w:r w:rsidR="00F10A9A" w:rsidRPr="00901BEB">
        <w:t xml:space="preserve">noted </w:t>
      </w:r>
      <w:r w:rsidR="00A20B40" w:rsidRPr="00901BEB">
        <w:t>that</w:t>
      </w:r>
      <w:r w:rsidR="00F10A9A" w:rsidRPr="00901BEB">
        <w:t xml:space="preserve"> the Centre for Community-Driven Research</w:t>
      </w:r>
      <w:r w:rsidR="00A20B40" w:rsidRPr="00901BEB">
        <w:t xml:space="preserve"> conducted </w:t>
      </w:r>
      <w:r w:rsidR="007E5592">
        <w:t>qualitative research in</w:t>
      </w:r>
      <w:r w:rsidR="00A20B40" w:rsidRPr="00901BEB">
        <w:t xml:space="preserve"> patients</w:t>
      </w:r>
      <w:r w:rsidR="007E5592">
        <w:t xml:space="preserve"> with TNBC </w:t>
      </w:r>
      <w:r w:rsidR="003C7833">
        <w:t>which</w:t>
      </w:r>
      <w:r w:rsidR="00A20B40" w:rsidRPr="00901BEB">
        <w:t xml:space="preserve"> described the </w:t>
      </w:r>
      <w:r w:rsidR="007E5592">
        <w:t xml:space="preserve">experiences, impact of adverse events and value of potential survival. </w:t>
      </w:r>
      <w:r w:rsidR="00A20B40" w:rsidRPr="00901BEB">
        <w:t xml:space="preserve">  </w:t>
      </w:r>
    </w:p>
    <w:p w14:paraId="2305AEA9" w14:textId="77777777" w:rsidR="00F10A9A" w:rsidRPr="00901BEB" w:rsidRDefault="001518EC" w:rsidP="004D4A9D">
      <w:pPr>
        <w:widowControl w:val="0"/>
        <w:numPr>
          <w:ilvl w:val="1"/>
          <w:numId w:val="1"/>
        </w:numPr>
        <w:spacing w:after="120"/>
      </w:pPr>
      <w:r w:rsidRPr="001518EC">
        <w:t xml:space="preserve">The Medical Oncology Group of Australia (MOGA) also expressed its strong support for the SG submission, categorising it as one of the therapies of “highest priority for PBS listing” on the basis of the ASCENT trial. The PBAC noted that the MOGA presented a European Society for Medical Oncology Magnitude of Clinical Benefit Scale (ESMO-MCBS) for SG, which was limited to 4 (out of a maximum of 5, where 5 and 4 represent the grades with substantial improvement), based on a comparison with other chemotherapies.  </w:t>
      </w:r>
    </w:p>
    <w:bookmarkEnd w:id="0"/>
    <w:bookmarkEnd w:id="1"/>
    <w:p w14:paraId="2C0A5E5D" w14:textId="77777777" w:rsidR="00A173AE" w:rsidRPr="00037EC2" w:rsidRDefault="00A173AE" w:rsidP="00A173AE">
      <w:pPr>
        <w:pStyle w:val="4-SubsectionHeading"/>
        <w:rPr>
          <w:iCs/>
        </w:rPr>
      </w:pPr>
      <w:r w:rsidRPr="00037EC2">
        <w:rPr>
          <w:iCs/>
        </w:rPr>
        <w:t>Clinical trials</w:t>
      </w:r>
    </w:p>
    <w:p w14:paraId="24D2EEE0" w14:textId="77777777" w:rsidR="00A173AE" w:rsidRPr="00457FD3" w:rsidRDefault="00A173AE" w:rsidP="00A173AE">
      <w:pPr>
        <w:pStyle w:val="3-BodyText"/>
      </w:pPr>
      <w:r w:rsidRPr="00457FD3">
        <w:t xml:space="preserve">The submission was based on one head-to-head trial (ASCENT) comparing SG with TPC (eribulin, vinorelbine, capecitabine, or gemcitabine) (n=529), in patients with unresectable locally advanced or metastatic TNBC, who were refractory to, or relapsed after, at least two prior standard of care chemotherapy regimens. </w:t>
      </w:r>
    </w:p>
    <w:p w14:paraId="4B22E017" w14:textId="77777777" w:rsidR="00A173AE" w:rsidRPr="00457FD3" w:rsidRDefault="00A173AE" w:rsidP="00A173AE">
      <w:pPr>
        <w:pStyle w:val="3-BodyText"/>
      </w:pPr>
      <w:r w:rsidRPr="00457FD3">
        <w:t xml:space="preserve">Details of the trial presented in the submission are provided in the table below. </w:t>
      </w:r>
    </w:p>
    <w:p w14:paraId="13FBAE98" w14:textId="77777777" w:rsidR="00A173AE" w:rsidRPr="00457FD3" w:rsidRDefault="00A173AE" w:rsidP="00A173AE">
      <w:pPr>
        <w:pStyle w:val="TableFigureHeading"/>
        <w:rPr>
          <w:snapToGrid w:val="0"/>
        </w:rPr>
      </w:pPr>
      <w:r w:rsidRPr="00457FD3">
        <w:rPr>
          <w:snapToGrid w:val="0"/>
        </w:rPr>
        <w:lastRenderedPageBreak/>
        <w:t xml:space="preserve">Table </w:t>
      </w:r>
      <w:r w:rsidR="00970868" w:rsidRPr="00457FD3">
        <w:rPr>
          <w:noProof/>
          <w:snapToGrid w:val="0"/>
        </w:rPr>
        <w:t>2</w:t>
      </w:r>
      <w:r w:rsidRPr="00457FD3">
        <w:rPr>
          <w:snapToGrid w:val="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A173AE" w:rsidRPr="00457FD3" w14:paraId="566EED53" w14:textId="77777777" w:rsidTr="00207EE8">
        <w:trPr>
          <w:tblHeader/>
        </w:trPr>
        <w:tc>
          <w:tcPr>
            <w:tcW w:w="796" w:type="pct"/>
            <w:vAlign w:val="center"/>
          </w:tcPr>
          <w:p w14:paraId="3965C7B3" w14:textId="77777777" w:rsidR="00A173AE" w:rsidRPr="00457FD3" w:rsidRDefault="00A173AE" w:rsidP="00207EE8">
            <w:pPr>
              <w:pStyle w:val="In-tableHeading"/>
              <w:rPr>
                <w:snapToGrid w:val="0"/>
              </w:rPr>
            </w:pPr>
            <w:r w:rsidRPr="00457FD3">
              <w:rPr>
                <w:snapToGrid w:val="0"/>
              </w:rPr>
              <w:t>Trial ID</w:t>
            </w:r>
          </w:p>
        </w:tc>
        <w:tc>
          <w:tcPr>
            <w:tcW w:w="3027" w:type="pct"/>
            <w:vAlign w:val="center"/>
          </w:tcPr>
          <w:p w14:paraId="10AAE6A3" w14:textId="77777777" w:rsidR="00A173AE" w:rsidRPr="00457FD3" w:rsidRDefault="00A173AE" w:rsidP="00207EE8">
            <w:pPr>
              <w:pStyle w:val="In-tableHeading"/>
              <w:rPr>
                <w:snapToGrid w:val="0"/>
              </w:rPr>
            </w:pPr>
            <w:r w:rsidRPr="00457FD3">
              <w:rPr>
                <w:snapToGrid w:val="0"/>
              </w:rPr>
              <w:t>Protocol title/ Publication title</w:t>
            </w:r>
          </w:p>
        </w:tc>
        <w:tc>
          <w:tcPr>
            <w:tcW w:w="1177" w:type="pct"/>
            <w:vAlign w:val="center"/>
          </w:tcPr>
          <w:p w14:paraId="075EAF12" w14:textId="77777777" w:rsidR="00A173AE" w:rsidRPr="00457FD3" w:rsidRDefault="00A173AE" w:rsidP="00207EE8">
            <w:pPr>
              <w:pStyle w:val="In-tableHeading"/>
              <w:rPr>
                <w:snapToGrid w:val="0"/>
              </w:rPr>
            </w:pPr>
            <w:r w:rsidRPr="00457FD3">
              <w:rPr>
                <w:snapToGrid w:val="0"/>
              </w:rPr>
              <w:t>Publication citation</w:t>
            </w:r>
          </w:p>
        </w:tc>
      </w:tr>
      <w:tr w:rsidR="00A173AE" w:rsidRPr="00457FD3" w14:paraId="4F9DD945" w14:textId="77777777" w:rsidTr="00F614CB">
        <w:tc>
          <w:tcPr>
            <w:tcW w:w="796" w:type="pct"/>
            <w:tcBorders>
              <w:bottom w:val="nil"/>
            </w:tcBorders>
          </w:tcPr>
          <w:p w14:paraId="7893744C" w14:textId="77777777" w:rsidR="00A173AE" w:rsidRPr="00457FD3" w:rsidRDefault="00A173AE" w:rsidP="00F614CB">
            <w:pPr>
              <w:pStyle w:val="TableText0"/>
              <w:rPr>
                <w:snapToGrid w:val="0"/>
              </w:rPr>
            </w:pPr>
            <w:r w:rsidRPr="00457FD3">
              <w:rPr>
                <w:snapToGrid w:val="0"/>
              </w:rPr>
              <w:t>ASCENT</w:t>
            </w:r>
          </w:p>
        </w:tc>
        <w:tc>
          <w:tcPr>
            <w:tcW w:w="3027" w:type="pct"/>
            <w:tcBorders>
              <w:bottom w:val="nil"/>
            </w:tcBorders>
            <w:vAlign w:val="center"/>
          </w:tcPr>
          <w:p w14:paraId="4BE17E12" w14:textId="77777777" w:rsidR="00A173AE" w:rsidRPr="00457FD3" w:rsidRDefault="00A173AE" w:rsidP="00207EE8">
            <w:pPr>
              <w:pStyle w:val="TableText0"/>
              <w:rPr>
                <w:snapToGrid w:val="0"/>
              </w:rPr>
            </w:pPr>
            <w:r w:rsidRPr="00457FD3">
              <w:rPr>
                <w:snapToGrid w:val="0"/>
              </w:rPr>
              <w:t>An international, multi-center, open-label, randomized, phase 3 trial of sacituzumab govitecan versus treatment of physician choice in patients with metastatic triple-negative breast cancer who received at least two prior treatments.</w:t>
            </w:r>
          </w:p>
        </w:tc>
        <w:tc>
          <w:tcPr>
            <w:tcW w:w="1177" w:type="pct"/>
            <w:tcBorders>
              <w:bottom w:val="nil"/>
            </w:tcBorders>
            <w:vAlign w:val="center"/>
          </w:tcPr>
          <w:p w14:paraId="24AE5920" w14:textId="77777777" w:rsidR="00A173AE" w:rsidRPr="00457FD3" w:rsidRDefault="00A173AE" w:rsidP="00207EE8">
            <w:pPr>
              <w:pStyle w:val="TableText0"/>
              <w:rPr>
                <w:snapToGrid w:val="0"/>
              </w:rPr>
            </w:pPr>
            <w:r w:rsidRPr="00457FD3">
              <w:rPr>
                <w:snapToGrid w:val="0"/>
              </w:rPr>
              <w:t>October 2020</w:t>
            </w:r>
          </w:p>
        </w:tc>
      </w:tr>
      <w:tr w:rsidR="00A173AE" w:rsidRPr="00457FD3" w14:paraId="6A24BA20" w14:textId="77777777" w:rsidTr="00207EE8">
        <w:tc>
          <w:tcPr>
            <w:tcW w:w="796" w:type="pct"/>
            <w:tcBorders>
              <w:top w:val="nil"/>
              <w:bottom w:val="nil"/>
            </w:tcBorders>
            <w:vAlign w:val="center"/>
          </w:tcPr>
          <w:p w14:paraId="75A51231" w14:textId="77777777" w:rsidR="00A173AE" w:rsidRPr="00457FD3" w:rsidRDefault="00A173AE" w:rsidP="00207EE8">
            <w:pPr>
              <w:pStyle w:val="TableText0"/>
              <w:rPr>
                <w:snapToGrid w:val="0"/>
              </w:rPr>
            </w:pPr>
          </w:p>
        </w:tc>
        <w:tc>
          <w:tcPr>
            <w:tcW w:w="3027" w:type="pct"/>
            <w:tcBorders>
              <w:top w:val="nil"/>
              <w:bottom w:val="nil"/>
            </w:tcBorders>
            <w:vAlign w:val="center"/>
          </w:tcPr>
          <w:p w14:paraId="58B7D1BE" w14:textId="77777777" w:rsidR="00A173AE" w:rsidRPr="00457FD3" w:rsidRDefault="00A173AE" w:rsidP="00207EE8">
            <w:pPr>
              <w:pStyle w:val="TableText0"/>
              <w:rPr>
                <w:snapToGrid w:val="0"/>
              </w:rPr>
            </w:pPr>
            <w:r w:rsidRPr="00457FD3">
              <w:rPr>
                <w:snapToGrid w:val="0"/>
              </w:rPr>
              <w:t>Bardia A, Hurvitz SA, Tolaney SM et al. Sacituzumab govitecan in metastatic triple-negative breast cancer.</w:t>
            </w:r>
          </w:p>
        </w:tc>
        <w:tc>
          <w:tcPr>
            <w:tcW w:w="1177" w:type="pct"/>
            <w:tcBorders>
              <w:top w:val="nil"/>
              <w:bottom w:val="nil"/>
            </w:tcBorders>
            <w:vAlign w:val="center"/>
          </w:tcPr>
          <w:p w14:paraId="1EF64E40" w14:textId="77777777" w:rsidR="00A173AE" w:rsidRPr="00457FD3" w:rsidRDefault="00A173AE" w:rsidP="00207EE8">
            <w:pPr>
              <w:pStyle w:val="TableText0"/>
              <w:rPr>
                <w:snapToGrid w:val="0"/>
              </w:rPr>
            </w:pPr>
            <w:r w:rsidRPr="00457FD3">
              <w:rPr>
                <w:snapToGrid w:val="0"/>
              </w:rPr>
              <w:t>NEJM 2021; 384: 1529-1541.</w:t>
            </w:r>
          </w:p>
        </w:tc>
      </w:tr>
      <w:tr w:rsidR="00A173AE" w:rsidRPr="00457FD3" w14:paraId="30238EA4" w14:textId="77777777" w:rsidTr="00207EE8">
        <w:tc>
          <w:tcPr>
            <w:tcW w:w="796" w:type="pct"/>
            <w:tcBorders>
              <w:top w:val="nil"/>
              <w:bottom w:val="nil"/>
            </w:tcBorders>
            <w:vAlign w:val="center"/>
          </w:tcPr>
          <w:p w14:paraId="1E054567" w14:textId="77777777" w:rsidR="00A173AE" w:rsidRPr="00457FD3" w:rsidRDefault="00A173AE" w:rsidP="00207EE8">
            <w:pPr>
              <w:pStyle w:val="TableText0"/>
              <w:rPr>
                <w:snapToGrid w:val="0"/>
              </w:rPr>
            </w:pPr>
          </w:p>
        </w:tc>
        <w:tc>
          <w:tcPr>
            <w:tcW w:w="3027" w:type="pct"/>
            <w:tcBorders>
              <w:top w:val="nil"/>
              <w:bottom w:val="nil"/>
            </w:tcBorders>
            <w:vAlign w:val="center"/>
          </w:tcPr>
          <w:p w14:paraId="4B4449D9" w14:textId="77777777" w:rsidR="00A173AE" w:rsidRPr="00457FD3" w:rsidRDefault="00A173AE" w:rsidP="00207EE8">
            <w:pPr>
              <w:pStyle w:val="TableText0"/>
              <w:rPr>
                <w:snapToGrid w:val="0"/>
                <w:lang w:val="en-US"/>
              </w:rPr>
            </w:pPr>
            <w:r w:rsidRPr="00457FD3">
              <w:rPr>
                <w:snapToGrid w:val="0"/>
                <w:lang w:val="en-US"/>
              </w:rPr>
              <w:t>Conference abstracts:</w:t>
            </w:r>
          </w:p>
        </w:tc>
        <w:tc>
          <w:tcPr>
            <w:tcW w:w="1177" w:type="pct"/>
            <w:tcBorders>
              <w:top w:val="nil"/>
              <w:bottom w:val="nil"/>
            </w:tcBorders>
            <w:vAlign w:val="center"/>
          </w:tcPr>
          <w:p w14:paraId="15D1E3F9" w14:textId="77777777" w:rsidR="00A173AE" w:rsidRPr="00457FD3" w:rsidRDefault="00A173AE" w:rsidP="00207EE8">
            <w:pPr>
              <w:pStyle w:val="TableText0"/>
              <w:rPr>
                <w:snapToGrid w:val="0"/>
                <w:lang w:val="en-US"/>
              </w:rPr>
            </w:pPr>
          </w:p>
        </w:tc>
      </w:tr>
      <w:tr w:rsidR="00A173AE" w:rsidRPr="00457FD3" w14:paraId="405F16DE" w14:textId="77777777" w:rsidTr="00207EE8">
        <w:tc>
          <w:tcPr>
            <w:tcW w:w="796" w:type="pct"/>
            <w:tcBorders>
              <w:top w:val="nil"/>
              <w:bottom w:val="nil"/>
            </w:tcBorders>
            <w:vAlign w:val="center"/>
          </w:tcPr>
          <w:p w14:paraId="5F23F27B" w14:textId="77777777" w:rsidR="00A173AE" w:rsidRPr="00457FD3" w:rsidRDefault="00A173AE" w:rsidP="00207EE8">
            <w:pPr>
              <w:pStyle w:val="TableText0"/>
              <w:rPr>
                <w:snapToGrid w:val="0"/>
              </w:rPr>
            </w:pPr>
          </w:p>
        </w:tc>
        <w:tc>
          <w:tcPr>
            <w:tcW w:w="3027" w:type="pct"/>
            <w:tcBorders>
              <w:top w:val="nil"/>
              <w:bottom w:val="nil"/>
            </w:tcBorders>
            <w:vAlign w:val="center"/>
          </w:tcPr>
          <w:p w14:paraId="011A4EC6" w14:textId="77777777" w:rsidR="00A173AE" w:rsidRPr="00457FD3" w:rsidRDefault="00A173AE" w:rsidP="00207EE8">
            <w:pPr>
              <w:pStyle w:val="TableText0"/>
              <w:rPr>
                <w:snapToGrid w:val="0"/>
              </w:rPr>
            </w:pPr>
            <w:r w:rsidRPr="00457FD3">
              <w:rPr>
                <w:snapToGrid w:val="0"/>
              </w:rPr>
              <w:t>Bardia A, Tolaney SM, Loirat D, et al. ASCENT: a randomized phase 3 study of sacituzumab govitecan vs treatment of physician’s choice in patients with previously treated metastatic triple-negative breast cancer.</w:t>
            </w:r>
          </w:p>
        </w:tc>
        <w:tc>
          <w:tcPr>
            <w:tcW w:w="1177" w:type="pct"/>
            <w:tcBorders>
              <w:top w:val="nil"/>
              <w:bottom w:val="nil"/>
            </w:tcBorders>
            <w:vAlign w:val="center"/>
          </w:tcPr>
          <w:p w14:paraId="694CBF98" w14:textId="77777777" w:rsidR="00A173AE" w:rsidRPr="00457FD3" w:rsidRDefault="00A173AE" w:rsidP="00207EE8">
            <w:pPr>
              <w:pStyle w:val="TableText0"/>
              <w:rPr>
                <w:snapToGrid w:val="0"/>
                <w:lang w:val="en-US"/>
              </w:rPr>
            </w:pPr>
            <w:r w:rsidRPr="00457FD3">
              <w:rPr>
                <w:snapToGrid w:val="0"/>
                <w:lang w:val="en-US"/>
              </w:rPr>
              <w:t>Annals of Oncology 2020; 31(suppl 4):S1142-S1215.</w:t>
            </w:r>
          </w:p>
        </w:tc>
      </w:tr>
      <w:tr w:rsidR="00A173AE" w:rsidRPr="00457FD3" w14:paraId="5237C096" w14:textId="77777777" w:rsidTr="00207EE8">
        <w:tc>
          <w:tcPr>
            <w:tcW w:w="796" w:type="pct"/>
            <w:tcBorders>
              <w:top w:val="nil"/>
              <w:bottom w:val="nil"/>
            </w:tcBorders>
            <w:vAlign w:val="center"/>
          </w:tcPr>
          <w:p w14:paraId="1AFD1020" w14:textId="77777777" w:rsidR="00A173AE" w:rsidRPr="00457FD3" w:rsidRDefault="00A173AE" w:rsidP="00207EE8">
            <w:pPr>
              <w:pStyle w:val="TableText0"/>
              <w:rPr>
                <w:snapToGrid w:val="0"/>
              </w:rPr>
            </w:pPr>
          </w:p>
        </w:tc>
        <w:tc>
          <w:tcPr>
            <w:tcW w:w="3027" w:type="pct"/>
            <w:tcBorders>
              <w:top w:val="nil"/>
              <w:bottom w:val="nil"/>
            </w:tcBorders>
            <w:vAlign w:val="center"/>
          </w:tcPr>
          <w:p w14:paraId="79606E6B" w14:textId="77777777" w:rsidR="00A173AE" w:rsidRPr="00457FD3" w:rsidRDefault="00A173AE" w:rsidP="00207EE8">
            <w:pPr>
              <w:pStyle w:val="TableText0"/>
              <w:rPr>
                <w:snapToGrid w:val="0"/>
              </w:rPr>
            </w:pPr>
            <w:r w:rsidRPr="00457FD3">
              <w:rPr>
                <w:snapToGrid w:val="0"/>
              </w:rPr>
              <w:t>Carey LA, Loirat D, Punie K, et al. Assessment of sacituzumab govitecan (SG) in patients (pts) with prior neoadjuvant/adjuvant chemotherapy in the phase 3 ASCENT study in metastatic triple-negative breast cancer (mTNBC) [abstract].</w:t>
            </w:r>
          </w:p>
        </w:tc>
        <w:tc>
          <w:tcPr>
            <w:tcW w:w="1177" w:type="pct"/>
            <w:tcBorders>
              <w:top w:val="nil"/>
              <w:bottom w:val="nil"/>
            </w:tcBorders>
            <w:vAlign w:val="center"/>
          </w:tcPr>
          <w:p w14:paraId="0378F410" w14:textId="77777777" w:rsidR="00A173AE" w:rsidRPr="00457FD3" w:rsidRDefault="00A173AE" w:rsidP="00207EE8">
            <w:pPr>
              <w:pStyle w:val="TableText0"/>
              <w:rPr>
                <w:snapToGrid w:val="0"/>
                <w:lang w:val="en-US"/>
              </w:rPr>
            </w:pPr>
            <w:r w:rsidRPr="00457FD3">
              <w:rPr>
                <w:snapToGrid w:val="0"/>
                <w:lang w:val="en-US"/>
              </w:rPr>
              <w:t>Journal of Clinical Oncology 2021; 39(15 suppl): Abstract 1080.</w:t>
            </w:r>
          </w:p>
        </w:tc>
      </w:tr>
      <w:tr w:rsidR="00A173AE" w:rsidRPr="00457FD3" w14:paraId="0EE3A25A" w14:textId="77777777" w:rsidTr="00207EE8">
        <w:tc>
          <w:tcPr>
            <w:tcW w:w="796" w:type="pct"/>
            <w:tcBorders>
              <w:top w:val="nil"/>
              <w:bottom w:val="nil"/>
            </w:tcBorders>
            <w:vAlign w:val="center"/>
          </w:tcPr>
          <w:p w14:paraId="3FE40BDD" w14:textId="77777777" w:rsidR="00A173AE" w:rsidRPr="00457FD3" w:rsidRDefault="00A173AE" w:rsidP="00207EE8">
            <w:pPr>
              <w:pStyle w:val="TableText0"/>
              <w:rPr>
                <w:snapToGrid w:val="0"/>
              </w:rPr>
            </w:pPr>
          </w:p>
        </w:tc>
        <w:tc>
          <w:tcPr>
            <w:tcW w:w="3027" w:type="pct"/>
            <w:tcBorders>
              <w:top w:val="nil"/>
              <w:bottom w:val="nil"/>
            </w:tcBorders>
            <w:vAlign w:val="center"/>
          </w:tcPr>
          <w:p w14:paraId="2AA8012B" w14:textId="77777777" w:rsidR="00A173AE" w:rsidRPr="00457FD3" w:rsidRDefault="00A173AE" w:rsidP="00207EE8">
            <w:pPr>
              <w:pStyle w:val="TableText0"/>
              <w:rPr>
                <w:snapToGrid w:val="0"/>
              </w:rPr>
            </w:pPr>
            <w:r w:rsidRPr="00457FD3">
              <w:rPr>
                <w:snapToGrid w:val="0"/>
              </w:rPr>
              <w:t>Diéras V, Weaver R, Tolaney SM, et al. Subgroup analysis of patients with brain metastases from the phase 3 ASCENT study of sacituzumab govitecan versus chemotherapy in metastatic triple-negative breast cancer [poster PD13-07].</w:t>
            </w:r>
          </w:p>
        </w:tc>
        <w:tc>
          <w:tcPr>
            <w:tcW w:w="1177" w:type="pct"/>
            <w:tcBorders>
              <w:top w:val="nil"/>
              <w:bottom w:val="nil"/>
            </w:tcBorders>
            <w:vAlign w:val="center"/>
          </w:tcPr>
          <w:p w14:paraId="0A4186F9" w14:textId="77777777" w:rsidR="00A173AE" w:rsidRPr="00457FD3" w:rsidRDefault="00A173AE" w:rsidP="00207EE8">
            <w:pPr>
              <w:pStyle w:val="TableText0"/>
              <w:rPr>
                <w:snapToGrid w:val="0"/>
                <w:lang w:val="en-US"/>
              </w:rPr>
            </w:pPr>
            <w:r w:rsidRPr="00457FD3">
              <w:rPr>
                <w:snapToGrid w:val="0"/>
                <w:lang w:val="en-US"/>
              </w:rPr>
              <w:t>Virtual San Antonio Breast Cancer Symposium; December 2020.</w:t>
            </w:r>
          </w:p>
        </w:tc>
      </w:tr>
      <w:tr w:rsidR="00A173AE" w:rsidRPr="00457FD3" w14:paraId="1F80BF12" w14:textId="77777777" w:rsidTr="00207EE8">
        <w:tc>
          <w:tcPr>
            <w:tcW w:w="796" w:type="pct"/>
            <w:tcBorders>
              <w:top w:val="nil"/>
              <w:bottom w:val="nil"/>
            </w:tcBorders>
            <w:vAlign w:val="center"/>
          </w:tcPr>
          <w:p w14:paraId="4DD80A65" w14:textId="77777777" w:rsidR="00A173AE" w:rsidRPr="00457FD3" w:rsidRDefault="00A173AE" w:rsidP="00207EE8">
            <w:pPr>
              <w:pStyle w:val="TableText0"/>
              <w:rPr>
                <w:snapToGrid w:val="0"/>
              </w:rPr>
            </w:pPr>
          </w:p>
        </w:tc>
        <w:tc>
          <w:tcPr>
            <w:tcW w:w="3027" w:type="pct"/>
            <w:tcBorders>
              <w:top w:val="nil"/>
              <w:bottom w:val="nil"/>
            </w:tcBorders>
            <w:vAlign w:val="center"/>
          </w:tcPr>
          <w:p w14:paraId="7413AB44" w14:textId="77777777" w:rsidR="00A173AE" w:rsidRPr="00457FD3" w:rsidRDefault="00A173AE" w:rsidP="00207EE8">
            <w:pPr>
              <w:pStyle w:val="TableText0"/>
              <w:rPr>
                <w:snapToGrid w:val="0"/>
              </w:rPr>
            </w:pPr>
            <w:r w:rsidRPr="00457FD3">
              <w:rPr>
                <w:snapToGrid w:val="0"/>
              </w:rPr>
              <w:t>Kalinsky K, Oliveira M, Traina T, et al. Outcomes in patients (pts) aged ≥65 years in the phase 3 ASCENT study of sacituzumab govitecan (SG) in metastatic triple-negative breast cancer (mTNBC) [abstract].</w:t>
            </w:r>
          </w:p>
        </w:tc>
        <w:tc>
          <w:tcPr>
            <w:tcW w:w="1177" w:type="pct"/>
            <w:tcBorders>
              <w:top w:val="nil"/>
              <w:bottom w:val="nil"/>
            </w:tcBorders>
            <w:vAlign w:val="center"/>
          </w:tcPr>
          <w:p w14:paraId="319E4318" w14:textId="77777777" w:rsidR="00A173AE" w:rsidRPr="00457FD3" w:rsidRDefault="00A173AE" w:rsidP="00207EE8">
            <w:pPr>
              <w:pStyle w:val="TableText0"/>
              <w:rPr>
                <w:snapToGrid w:val="0"/>
                <w:lang w:val="en-US"/>
              </w:rPr>
            </w:pPr>
            <w:r w:rsidRPr="00457FD3">
              <w:rPr>
                <w:snapToGrid w:val="0"/>
                <w:lang w:val="en-US"/>
              </w:rPr>
              <w:t>Journal of Clinical Oncology 2021; 39(15 suppl): Abstract 1011.</w:t>
            </w:r>
          </w:p>
        </w:tc>
      </w:tr>
      <w:tr w:rsidR="00A173AE" w:rsidRPr="00457FD3" w14:paraId="6AFB9DC8" w14:textId="77777777" w:rsidTr="00207EE8">
        <w:tc>
          <w:tcPr>
            <w:tcW w:w="796" w:type="pct"/>
            <w:tcBorders>
              <w:top w:val="nil"/>
              <w:bottom w:val="nil"/>
            </w:tcBorders>
            <w:vAlign w:val="center"/>
          </w:tcPr>
          <w:p w14:paraId="292ED6BA" w14:textId="77777777" w:rsidR="00A173AE" w:rsidRPr="00457FD3" w:rsidRDefault="00A173AE" w:rsidP="00207EE8">
            <w:pPr>
              <w:pStyle w:val="TableText0"/>
              <w:rPr>
                <w:snapToGrid w:val="0"/>
              </w:rPr>
            </w:pPr>
          </w:p>
        </w:tc>
        <w:tc>
          <w:tcPr>
            <w:tcW w:w="3027" w:type="pct"/>
            <w:tcBorders>
              <w:top w:val="nil"/>
              <w:bottom w:val="nil"/>
            </w:tcBorders>
            <w:vAlign w:val="center"/>
          </w:tcPr>
          <w:p w14:paraId="04F07876" w14:textId="77777777" w:rsidR="00A173AE" w:rsidRPr="00457FD3" w:rsidRDefault="00A173AE" w:rsidP="00207EE8">
            <w:pPr>
              <w:pStyle w:val="TableText0"/>
              <w:rPr>
                <w:snapToGrid w:val="0"/>
              </w:rPr>
            </w:pPr>
            <w:r w:rsidRPr="00457FD3">
              <w:rPr>
                <w:snapToGrid w:val="0"/>
              </w:rPr>
              <w:t>Hurvitz SA, Tolaney SM, Punie K, et al. Biomarker evaluation in the phase 3 ASCENT study of sacituzumab govitecan versus chemotherapy in patients with metastatic triple-negative breast cancer.</w:t>
            </w:r>
          </w:p>
        </w:tc>
        <w:tc>
          <w:tcPr>
            <w:tcW w:w="1177" w:type="pct"/>
            <w:tcBorders>
              <w:top w:val="nil"/>
              <w:bottom w:val="nil"/>
            </w:tcBorders>
            <w:vAlign w:val="center"/>
          </w:tcPr>
          <w:p w14:paraId="184A0702" w14:textId="77777777" w:rsidR="00A173AE" w:rsidRPr="00457FD3" w:rsidRDefault="00A173AE" w:rsidP="00207EE8">
            <w:pPr>
              <w:pStyle w:val="TableText0"/>
              <w:rPr>
                <w:snapToGrid w:val="0"/>
                <w:lang w:val="en-US"/>
              </w:rPr>
            </w:pPr>
            <w:r w:rsidRPr="00457FD3">
              <w:rPr>
                <w:snapToGrid w:val="0"/>
                <w:lang w:val="en-US"/>
              </w:rPr>
              <w:t>Virtual San Antonio Breast Cancer Symposium; December 2020.</w:t>
            </w:r>
          </w:p>
        </w:tc>
      </w:tr>
      <w:tr w:rsidR="00A173AE" w:rsidRPr="00457FD3" w14:paraId="55905771" w14:textId="77777777" w:rsidTr="00207EE8">
        <w:tc>
          <w:tcPr>
            <w:tcW w:w="796" w:type="pct"/>
            <w:tcBorders>
              <w:top w:val="nil"/>
              <w:bottom w:val="nil"/>
            </w:tcBorders>
            <w:vAlign w:val="center"/>
          </w:tcPr>
          <w:p w14:paraId="51E0FB7D" w14:textId="77777777" w:rsidR="00A173AE" w:rsidRPr="00457FD3" w:rsidRDefault="00A173AE" w:rsidP="00207EE8">
            <w:pPr>
              <w:pStyle w:val="TableText0"/>
              <w:rPr>
                <w:snapToGrid w:val="0"/>
              </w:rPr>
            </w:pPr>
          </w:p>
        </w:tc>
        <w:tc>
          <w:tcPr>
            <w:tcW w:w="3027" w:type="pct"/>
            <w:tcBorders>
              <w:top w:val="nil"/>
              <w:bottom w:val="nil"/>
            </w:tcBorders>
            <w:vAlign w:val="center"/>
          </w:tcPr>
          <w:p w14:paraId="3F1CD1BD" w14:textId="77777777" w:rsidR="00A173AE" w:rsidRPr="00457FD3" w:rsidRDefault="00A173AE" w:rsidP="00207EE8">
            <w:pPr>
              <w:pStyle w:val="TableText0"/>
              <w:rPr>
                <w:snapToGrid w:val="0"/>
              </w:rPr>
            </w:pPr>
            <w:r w:rsidRPr="00457FD3">
              <w:rPr>
                <w:snapToGrid w:val="0"/>
              </w:rPr>
              <w:t>O’Shaughnessy J et al. Assessment of sacituzumab govitecan vs treatment of physician’s choice cohort by agent in the phase 3 ASCENT study of patients with metastatic triple</w:t>
            </w:r>
            <w:r w:rsidRPr="00457FD3">
              <w:rPr>
                <w:snapToGrid w:val="0"/>
              </w:rPr>
              <w:noBreakHyphen/>
              <w:t>negative breast cancer.</w:t>
            </w:r>
          </w:p>
        </w:tc>
        <w:tc>
          <w:tcPr>
            <w:tcW w:w="1177" w:type="pct"/>
            <w:tcBorders>
              <w:top w:val="nil"/>
              <w:bottom w:val="nil"/>
            </w:tcBorders>
            <w:vAlign w:val="center"/>
          </w:tcPr>
          <w:p w14:paraId="4FA705A4" w14:textId="77777777" w:rsidR="00A173AE" w:rsidRPr="00457FD3" w:rsidRDefault="00A173AE" w:rsidP="00207EE8">
            <w:pPr>
              <w:pStyle w:val="TableText0"/>
              <w:rPr>
                <w:snapToGrid w:val="0"/>
                <w:lang w:val="en-US"/>
              </w:rPr>
            </w:pPr>
            <w:r w:rsidRPr="00457FD3">
              <w:rPr>
                <w:snapToGrid w:val="0"/>
                <w:lang w:val="en-US"/>
              </w:rPr>
              <w:t>Journal of Clinical Oncology 2021; 39(15 suppl): Abstract 1077.</w:t>
            </w:r>
          </w:p>
        </w:tc>
      </w:tr>
      <w:tr w:rsidR="00A173AE" w:rsidRPr="00457FD3" w14:paraId="34ED4E4D" w14:textId="77777777" w:rsidTr="00207EE8">
        <w:tc>
          <w:tcPr>
            <w:tcW w:w="796" w:type="pct"/>
            <w:tcBorders>
              <w:top w:val="nil"/>
              <w:bottom w:val="single" w:sz="4" w:space="0" w:color="auto"/>
            </w:tcBorders>
            <w:vAlign w:val="center"/>
          </w:tcPr>
          <w:p w14:paraId="1D77755A" w14:textId="77777777" w:rsidR="00A173AE" w:rsidRPr="00457FD3" w:rsidRDefault="00A173AE" w:rsidP="00207EE8">
            <w:pPr>
              <w:pStyle w:val="TableText0"/>
              <w:rPr>
                <w:snapToGrid w:val="0"/>
              </w:rPr>
            </w:pPr>
          </w:p>
        </w:tc>
        <w:tc>
          <w:tcPr>
            <w:tcW w:w="3027" w:type="pct"/>
            <w:tcBorders>
              <w:top w:val="nil"/>
              <w:bottom w:val="single" w:sz="4" w:space="0" w:color="auto"/>
            </w:tcBorders>
            <w:vAlign w:val="center"/>
          </w:tcPr>
          <w:p w14:paraId="0ADDB55F" w14:textId="77777777" w:rsidR="00A173AE" w:rsidRPr="00457FD3" w:rsidRDefault="00A173AE" w:rsidP="00207EE8">
            <w:pPr>
              <w:pStyle w:val="TableText0"/>
              <w:rPr>
                <w:snapToGrid w:val="0"/>
                <w:lang w:val="en-US"/>
              </w:rPr>
            </w:pPr>
            <w:r w:rsidRPr="00457FD3">
              <w:rPr>
                <w:snapToGrid w:val="0"/>
                <w:lang w:bidi="en-US"/>
              </w:rPr>
              <w:t>Rugo HS, Tolaney SM, Loirat D, et al. Impact of UGT1A1 status on the safety profile of sacituzumab govitecan in the phase 3 ASCENT study in patients with metastatic triple</w:t>
            </w:r>
            <w:r w:rsidRPr="00457FD3">
              <w:rPr>
                <w:rFonts w:ascii="Cambria Math" w:hAnsi="Cambria Math" w:cs="Cambria Math"/>
                <w:snapToGrid w:val="0"/>
                <w:lang w:bidi="en-US"/>
              </w:rPr>
              <w:t>‑</w:t>
            </w:r>
            <w:r w:rsidRPr="00457FD3">
              <w:rPr>
                <w:snapToGrid w:val="0"/>
                <w:lang w:bidi="en-US"/>
              </w:rPr>
              <w:t>negative breast cancer [poster PS11-09].</w:t>
            </w:r>
          </w:p>
        </w:tc>
        <w:tc>
          <w:tcPr>
            <w:tcW w:w="1177" w:type="pct"/>
            <w:tcBorders>
              <w:top w:val="nil"/>
              <w:bottom w:val="single" w:sz="4" w:space="0" w:color="auto"/>
            </w:tcBorders>
            <w:vAlign w:val="center"/>
          </w:tcPr>
          <w:p w14:paraId="7683AF69" w14:textId="77777777" w:rsidR="00A173AE" w:rsidRPr="00457FD3" w:rsidRDefault="00A173AE" w:rsidP="00207EE8">
            <w:pPr>
              <w:pStyle w:val="TableText0"/>
              <w:rPr>
                <w:snapToGrid w:val="0"/>
                <w:lang w:val="en-US"/>
              </w:rPr>
            </w:pPr>
            <w:r w:rsidRPr="00457FD3">
              <w:rPr>
                <w:snapToGrid w:val="0"/>
                <w:lang w:val="en-US"/>
              </w:rPr>
              <w:t>Virtual San Antonio Breast Cancer Symposium; December 2020.</w:t>
            </w:r>
          </w:p>
        </w:tc>
      </w:tr>
    </w:tbl>
    <w:p w14:paraId="0EE19CE5" w14:textId="77777777" w:rsidR="00A173AE" w:rsidRPr="00457FD3" w:rsidRDefault="00A173AE" w:rsidP="00A173AE">
      <w:pPr>
        <w:pStyle w:val="TableFigureFooter"/>
      </w:pPr>
      <w:r w:rsidRPr="00457FD3">
        <w:rPr>
          <w:rFonts w:eastAsiaTheme="majorEastAsia"/>
        </w:rPr>
        <w:t>Source: Table 2-7, pp54-55 of the submission.</w:t>
      </w:r>
    </w:p>
    <w:p w14:paraId="004CA429" w14:textId="77777777" w:rsidR="00A173AE" w:rsidRPr="00457FD3" w:rsidRDefault="00A173AE" w:rsidP="00A173AE">
      <w:pPr>
        <w:pStyle w:val="3-BodyText"/>
      </w:pPr>
      <w:r w:rsidRPr="00457FD3">
        <w:t xml:space="preserve">The key features of the direct randomised trial are summarised in the table below. </w:t>
      </w:r>
    </w:p>
    <w:p w14:paraId="17425765" w14:textId="77777777" w:rsidR="00A173AE" w:rsidRPr="00457FD3" w:rsidRDefault="00A173AE" w:rsidP="00A173AE">
      <w:pPr>
        <w:pStyle w:val="TableFigureHeading"/>
        <w:rPr>
          <w:snapToGrid w:val="0"/>
        </w:rPr>
      </w:pPr>
      <w:r w:rsidRPr="00457FD3">
        <w:rPr>
          <w:snapToGrid w:val="0"/>
        </w:rPr>
        <w:t xml:space="preserve">Table </w:t>
      </w:r>
      <w:r w:rsidR="00970868" w:rsidRPr="00457FD3">
        <w:rPr>
          <w:noProof/>
          <w:snapToGrid w:val="0"/>
        </w:rPr>
        <w:t>3</w:t>
      </w:r>
      <w:r w:rsidRPr="00457FD3">
        <w:rPr>
          <w:snapToGrid w:val="0"/>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6"/>
        <w:gridCol w:w="568"/>
        <w:gridCol w:w="1421"/>
        <w:gridCol w:w="1134"/>
        <w:gridCol w:w="1951"/>
        <w:gridCol w:w="1122"/>
        <w:gridCol w:w="1695"/>
      </w:tblGrid>
      <w:tr w:rsidR="00A173AE" w:rsidRPr="00457FD3" w14:paraId="25913B20" w14:textId="77777777" w:rsidTr="00207EE8">
        <w:trPr>
          <w:cantSplit/>
          <w:tblHeader/>
        </w:trPr>
        <w:tc>
          <w:tcPr>
            <w:tcW w:w="624" w:type="pct"/>
            <w:shd w:val="clear" w:color="auto" w:fill="auto"/>
            <w:vAlign w:val="center"/>
          </w:tcPr>
          <w:p w14:paraId="671F6E65" w14:textId="77777777" w:rsidR="00A173AE" w:rsidRPr="00457FD3" w:rsidRDefault="00A173AE" w:rsidP="00207EE8">
            <w:pPr>
              <w:pStyle w:val="In-tableHeading"/>
              <w:rPr>
                <w:snapToGrid w:val="0"/>
              </w:rPr>
            </w:pPr>
            <w:r w:rsidRPr="00457FD3">
              <w:rPr>
                <w:snapToGrid w:val="0"/>
              </w:rPr>
              <w:t>Trial</w:t>
            </w:r>
          </w:p>
        </w:tc>
        <w:tc>
          <w:tcPr>
            <w:tcW w:w="315" w:type="pct"/>
            <w:shd w:val="clear" w:color="auto" w:fill="auto"/>
            <w:vAlign w:val="center"/>
          </w:tcPr>
          <w:p w14:paraId="3BDB0372" w14:textId="77777777" w:rsidR="00A173AE" w:rsidRPr="00457FD3" w:rsidRDefault="00A173AE" w:rsidP="00207EE8">
            <w:pPr>
              <w:pStyle w:val="In-tableHeading"/>
              <w:jc w:val="center"/>
              <w:rPr>
                <w:snapToGrid w:val="0"/>
              </w:rPr>
            </w:pPr>
            <w:r w:rsidRPr="00457FD3">
              <w:rPr>
                <w:snapToGrid w:val="0"/>
              </w:rPr>
              <w:t>N</w:t>
            </w:r>
          </w:p>
        </w:tc>
        <w:tc>
          <w:tcPr>
            <w:tcW w:w="788" w:type="pct"/>
            <w:shd w:val="clear" w:color="auto" w:fill="auto"/>
            <w:vAlign w:val="center"/>
          </w:tcPr>
          <w:p w14:paraId="5C2007E6" w14:textId="77777777" w:rsidR="00A173AE" w:rsidRPr="00457FD3" w:rsidRDefault="00A173AE" w:rsidP="00207EE8">
            <w:pPr>
              <w:pStyle w:val="In-tableHeading"/>
              <w:jc w:val="center"/>
              <w:rPr>
                <w:snapToGrid w:val="0"/>
              </w:rPr>
            </w:pPr>
            <w:r w:rsidRPr="00457FD3">
              <w:rPr>
                <w:snapToGrid w:val="0"/>
              </w:rPr>
              <w:t>Design/ duration</w:t>
            </w:r>
          </w:p>
        </w:tc>
        <w:tc>
          <w:tcPr>
            <w:tcW w:w="629" w:type="pct"/>
            <w:shd w:val="clear" w:color="auto" w:fill="auto"/>
            <w:vAlign w:val="center"/>
          </w:tcPr>
          <w:p w14:paraId="53DBFA70" w14:textId="77777777" w:rsidR="00A173AE" w:rsidRPr="00457FD3" w:rsidRDefault="00A173AE" w:rsidP="00207EE8">
            <w:pPr>
              <w:pStyle w:val="In-tableHeading"/>
              <w:jc w:val="center"/>
              <w:rPr>
                <w:snapToGrid w:val="0"/>
              </w:rPr>
            </w:pPr>
            <w:r w:rsidRPr="00457FD3">
              <w:rPr>
                <w:snapToGrid w:val="0"/>
              </w:rPr>
              <w:t>Risk of bias</w:t>
            </w:r>
          </w:p>
        </w:tc>
        <w:tc>
          <w:tcPr>
            <w:tcW w:w="1082" w:type="pct"/>
            <w:shd w:val="clear" w:color="auto" w:fill="auto"/>
            <w:vAlign w:val="center"/>
          </w:tcPr>
          <w:p w14:paraId="39238C81" w14:textId="77777777" w:rsidR="00A173AE" w:rsidRPr="00457FD3" w:rsidRDefault="00A173AE" w:rsidP="00207EE8">
            <w:pPr>
              <w:pStyle w:val="In-tableHeading"/>
              <w:jc w:val="center"/>
              <w:rPr>
                <w:snapToGrid w:val="0"/>
              </w:rPr>
            </w:pPr>
            <w:r w:rsidRPr="00457FD3">
              <w:rPr>
                <w:snapToGrid w:val="0"/>
              </w:rPr>
              <w:t>Patient population</w:t>
            </w:r>
          </w:p>
        </w:tc>
        <w:tc>
          <w:tcPr>
            <w:tcW w:w="622" w:type="pct"/>
            <w:shd w:val="clear" w:color="auto" w:fill="auto"/>
            <w:vAlign w:val="center"/>
          </w:tcPr>
          <w:p w14:paraId="23D20755" w14:textId="77777777" w:rsidR="00A173AE" w:rsidRPr="00457FD3" w:rsidRDefault="00A173AE" w:rsidP="00207EE8">
            <w:pPr>
              <w:pStyle w:val="In-tableHeading"/>
              <w:jc w:val="center"/>
              <w:rPr>
                <w:snapToGrid w:val="0"/>
              </w:rPr>
            </w:pPr>
            <w:r w:rsidRPr="00457FD3">
              <w:rPr>
                <w:snapToGrid w:val="0"/>
              </w:rPr>
              <w:t>Outcomes</w:t>
            </w:r>
          </w:p>
        </w:tc>
        <w:tc>
          <w:tcPr>
            <w:tcW w:w="940" w:type="pct"/>
            <w:shd w:val="clear" w:color="auto" w:fill="auto"/>
            <w:vAlign w:val="center"/>
          </w:tcPr>
          <w:p w14:paraId="4B7012E2" w14:textId="77777777" w:rsidR="00A173AE" w:rsidRPr="00457FD3" w:rsidRDefault="00A173AE" w:rsidP="00207EE8">
            <w:pPr>
              <w:pStyle w:val="In-tableHeading"/>
              <w:jc w:val="center"/>
              <w:rPr>
                <w:snapToGrid w:val="0"/>
              </w:rPr>
            </w:pPr>
            <w:r w:rsidRPr="00457FD3">
              <w:rPr>
                <w:snapToGrid w:val="0"/>
              </w:rPr>
              <w:t>Use in modelled evaluation</w:t>
            </w:r>
          </w:p>
        </w:tc>
      </w:tr>
      <w:tr w:rsidR="00A173AE" w:rsidRPr="00457FD3" w14:paraId="47579C0C" w14:textId="77777777" w:rsidTr="00207EE8">
        <w:trPr>
          <w:cantSplit/>
        </w:trPr>
        <w:tc>
          <w:tcPr>
            <w:tcW w:w="5000" w:type="pct"/>
            <w:gridSpan w:val="7"/>
            <w:shd w:val="clear" w:color="auto" w:fill="auto"/>
            <w:vAlign w:val="center"/>
          </w:tcPr>
          <w:p w14:paraId="4F95F7FE" w14:textId="77777777" w:rsidR="00A173AE" w:rsidRPr="00457FD3" w:rsidRDefault="00A173AE" w:rsidP="00207EE8">
            <w:pPr>
              <w:pStyle w:val="TableText0"/>
              <w:rPr>
                <w:b/>
              </w:rPr>
            </w:pPr>
            <w:r w:rsidRPr="00457FD3">
              <w:rPr>
                <w:b/>
              </w:rPr>
              <w:t>SG vs. TPC</w:t>
            </w:r>
          </w:p>
        </w:tc>
      </w:tr>
      <w:tr w:rsidR="00A173AE" w:rsidRPr="00457FD3" w14:paraId="0E4938BC" w14:textId="77777777" w:rsidTr="00207EE8">
        <w:trPr>
          <w:cantSplit/>
        </w:trPr>
        <w:tc>
          <w:tcPr>
            <w:tcW w:w="624" w:type="pct"/>
            <w:shd w:val="clear" w:color="auto" w:fill="auto"/>
            <w:vAlign w:val="center"/>
          </w:tcPr>
          <w:p w14:paraId="070A4ADC" w14:textId="77777777" w:rsidR="00A173AE" w:rsidRPr="00457FD3" w:rsidRDefault="00A173AE" w:rsidP="00207EE8">
            <w:pPr>
              <w:pStyle w:val="TableText0"/>
            </w:pPr>
            <w:r w:rsidRPr="00457FD3">
              <w:t>ASCENT</w:t>
            </w:r>
          </w:p>
        </w:tc>
        <w:tc>
          <w:tcPr>
            <w:tcW w:w="315" w:type="pct"/>
            <w:shd w:val="clear" w:color="auto" w:fill="auto"/>
            <w:vAlign w:val="center"/>
          </w:tcPr>
          <w:p w14:paraId="30E68CE0" w14:textId="77777777" w:rsidR="00A173AE" w:rsidRPr="00457FD3" w:rsidRDefault="00A173AE" w:rsidP="00207EE8">
            <w:pPr>
              <w:pStyle w:val="TableText0"/>
              <w:jc w:val="center"/>
            </w:pPr>
            <w:r w:rsidRPr="00457FD3">
              <w:t>529</w:t>
            </w:r>
          </w:p>
        </w:tc>
        <w:tc>
          <w:tcPr>
            <w:tcW w:w="788" w:type="pct"/>
            <w:shd w:val="clear" w:color="auto" w:fill="auto"/>
            <w:vAlign w:val="center"/>
          </w:tcPr>
          <w:p w14:paraId="17B734A2" w14:textId="77777777" w:rsidR="00A173AE" w:rsidRPr="00457FD3" w:rsidRDefault="00A173AE" w:rsidP="00207EE8">
            <w:pPr>
              <w:pStyle w:val="TableText0"/>
              <w:jc w:val="center"/>
            </w:pPr>
            <w:r w:rsidRPr="00457FD3">
              <w:t>R, OL, MC</w:t>
            </w:r>
          </w:p>
          <w:p w14:paraId="6A6AFAB9" w14:textId="77777777" w:rsidR="00A173AE" w:rsidRPr="00457FD3" w:rsidRDefault="00A173AE" w:rsidP="00207EE8">
            <w:pPr>
              <w:pStyle w:val="TableText0"/>
              <w:jc w:val="center"/>
            </w:pPr>
            <w:r w:rsidRPr="00457FD3">
              <w:t>17.7 m</w:t>
            </w:r>
            <w:r w:rsidR="00F614CB">
              <w:t>on</w:t>
            </w:r>
            <w:r w:rsidRPr="00457FD3">
              <w:t>ths</w:t>
            </w:r>
          </w:p>
        </w:tc>
        <w:tc>
          <w:tcPr>
            <w:tcW w:w="629" w:type="pct"/>
            <w:shd w:val="clear" w:color="auto" w:fill="auto"/>
            <w:vAlign w:val="center"/>
          </w:tcPr>
          <w:p w14:paraId="25217D2D" w14:textId="77777777" w:rsidR="00A173AE" w:rsidRPr="00457FD3" w:rsidRDefault="00A173AE" w:rsidP="00207EE8">
            <w:pPr>
              <w:pStyle w:val="TableText0"/>
              <w:jc w:val="center"/>
            </w:pPr>
            <w:r w:rsidRPr="00457FD3">
              <w:t>Low for OS</w:t>
            </w:r>
          </w:p>
          <w:p w14:paraId="10CBE564" w14:textId="77777777" w:rsidR="00A173AE" w:rsidRPr="00457FD3" w:rsidRDefault="00A173AE" w:rsidP="00207EE8">
            <w:pPr>
              <w:pStyle w:val="TableText0"/>
              <w:jc w:val="center"/>
            </w:pPr>
            <w:r w:rsidRPr="00457FD3">
              <w:t>High for PFS and QoL</w:t>
            </w:r>
          </w:p>
        </w:tc>
        <w:tc>
          <w:tcPr>
            <w:tcW w:w="1082" w:type="pct"/>
            <w:shd w:val="clear" w:color="auto" w:fill="auto"/>
            <w:vAlign w:val="center"/>
          </w:tcPr>
          <w:p w14:paraId="792BF016" w14:textId="77777777" w:rsidR="00A173AE" w:rsidRPr="00457FD3" w:rsidRDefault="00A173AE" w:rsidP="00207EE8">
            <w:pPr>
              <w:pStyle w:val="TableText0"/>
              <w:jc w:val="center"/>
            </w:pPr>
            <w:r w:rsidRPr="00457FD3">
              <w:t>Unresectable locally advanced or metastatic TNBC, who were refractory to, or relapsed after, at least two prior chemotherapy regimens</w:t>
            </w:r>
          </w:p>
        </w:tc>
        <w:tc>
          <w:tcPr>
            <w:tcW w:w="622" w:type="pct"/>
            <w:shd w:val="clear" w:color="auto" w:fill="auto"/>
            <w:vAlign w:val="center"/>
          </w:tcPr>
          <w:p w14:paraId="25A67621" w14:textId="77777777" w:rsidR="00A173AE" w:rsidRPr="00457FD3" w:rsidRDefault="00A173AE" w:rsidP="00207EE8">
            <w:pPr>
              <w:pStyle w:val="TableText0"/>
              <w:jc w:val="center"/>
            </w:pPr>
            <w:r w:rsidRPr="00457FD3">
              <w:t>PFS, OS, QoL and AEs</w:t>
            </w:r>
          </w:p>
        </w:tc>
        <w:tc>
          <w:tcPr>
            <w:tcW w:w="940" w:type="pct"/>
            <w:shd w:val="clear" w:color="auto" w:fill="auto"/>
            <w:vAlign w:val="center"/>
          </w:tcPr>
          <w:p w14:paraId="7E0E8675" w14:textId="77777777" w:rsidR="00A173AE" w:rsidRPr="00457FD3" w:rsidRDefault="00A173AE" w:rsidP="00207EE8">
            <w:pPr>
              <w:pStyle w:val="TableText0"/>
              <w:jc w:val="center"/>
            </w:pPr>
            <w:r w:rsidRPr="00457FD3">
              <w:t>PFS, OS, QoL and AEs were all used in the economic model</w:t>
            </w:r>
          </w:p>
        </w:tc>
      </w:tr>
    </w:tbl>
    <w:p w14:paraId="2A122C16" w14:textId="77777777" w:rsidR="00A173AE" w:rsidRPr="00457FD3" w:rsidRDefault="00A173AE" w:rsidP="00A173AE">
      <w:pPr>
        <w:pStyle w:val="TableFigureFooter"/>
        <w:rPr>
          <w:rFonts w:eastAsiaTheme="majorEastAsia"/>
        </w:rPr>
      </w:pPr>
      <w:r w:rsidRPr="00457FD3">
        <w:rPr>
          <w:rFonts w:eastAsiaTheme="majorEastAsia"/>
        </w:rPr>
        <w:t>Source: Sections 2.3 and 2.4 of the submission.</w:t>
      </w:r>
    </w:p>
    <w:p w14:paraId="16320CC7" w14:textId="77777777" w:rsidR="00A173AE" w:rsidRPr="00457FD3" w:rsidRDefault="00A173AE" w:rsidP="00A173AE">
      <w:pPr>
        <w:pStyle w:val="TableFigureFooter"/>
        <w:rPr>
          <w:rFonts w:eastAsiaTheme="majorEastAsia"/>
        </w:rPr>
      </w:pPr>
      <w:r w:rsidRPr="00457FD3">
        <w:rPr>
          <w:rFonts w:eastAsiaTheme="majorEastAsia"/>
        </w:rPr>
        <w:t>AE = adverse event; MC = multi-centre; OL = open label; OS = overall survival; PFS = progression-free survival; QoL = quality of life; R = randomised; SG = sacituzumab govitecan; TNBC = triple negative breast cancer; TPC = single agent chemotherapy treatment of physician’s choice.</w:t>
      </w:r>
    </w:p>
    <w:p w14:paraId="1920FE65" w14:textId="77777777" w:rsidR="00044CC4" w:rsidRPr="00457FD3" w:rsidRDefault="00A173AE" w:rsidP="00A173AE">
      <w:pPr>
        <w:pStyle w:val="3-BodyText"/>
      </w:pPr>
      <w:r w:rsidRPr="00457FD3">
        <w:t xml:space="preserve">There was a risk of attrition bias in the trial. A total of 38/262 (14.5%) of patients randomised to TPC did not receive the assigned study drug, compared with </w:t>
      </w:r>
      <w:r w:rsidRPr="00457FD3">
        <w:lastRenderedPageBreak/>
        <w:t>9/267</w:t>
      </w:r>
      <w:r w:rsidR="00945A50" w:rsidRPr="00457FD3">
        <w:t> </w:t>
      </w:r>
      <w:r w:rsidRPr="00457FD3">
        <w:t xml:space="preserve">(3.4%) of patients randomised to SG. Up to a third of patients in the primary analysis of progression free survival (PFS) were censored for reasons other than continuing on study treatment with no progression event at the data cut-off date; 77/267 (28.8%) of patients in the SG arm and 91/262 (34.7%) patients in the TPC arm were censored; of these, only 17 (6.4%) patients in the SG arm were continuing study treatment. Under the censoring rules for PFS, patients who had a progression event after missing two or more scheduled successive assessments were censored at the date of last adequate assessment prior to the missed ones, and patients who initiated other anti-cancer treatment prior to a progression event were censored prior to starting other treatment, even if they subsequently had a documented progression event. </w:t>
      </w:r>
    </w:p>
    <w:p w14:paraId="21CC22D7" w14:textId="77777777" w:rsidR="00044CC4" w:rsidRPr="00457FD3" w:rsidRDefault="00044CC4" w:rsidP="00D27E15">
      <w:pPr>
        <w:pStyle w:val="3-BodyText"/>
      </w:pPr>
      <w:r w:rsidRPr="00457FD3">
        <w:t>The</w:t>
      </w:r>
      <w:r w:rsidR="00766505" w:rsidRPr="00457FD3">
        <w:t xml:space="preserve"> ESC </w:t>
      </w:r>
      <w:r w:rsidR="00D27E15" w:rsidRPr="00457FD3">
        <w:t>considered that the rate of censoring for reasons other than continuing on treatment with no progression event w</w:t>
      </w:r>
      <w:r w:rsidR="00F16373">
        <w:t>as</w:t>
      </w:r>
      <w:r w:rsidR="00D27E15" w:rsidRPr="00457FD3">
        <w:t xml:space="preserve"> extensive and </w:t>
      </w:r>
      <w:r w:rsidR="00766505" w:rsidRPr="00457FD3">
        <w:t xml:space="preserve">noted </w:t>
      </w:r>
      <w:r w:rsidR="00D27E15" w:rsidRPr="00457FD3">
        <w:t>the differential rates between the two treatment arms, i.e. 34.7% of patients in the TPC arm and 22.4% in the SG arm (28.8% minus 6.4%</w:t>
      </w:r>
      <w:r w:rsidR="00DC0094" w:rsidRPr="00457FD3">
        <w:t xml:space="preserve"> continuing study treatment</w:t>
      </w:r>
      <w:r w:rsidR="00D27E15" w:rsidRPr="00457FD3">
        <w:t>). The ESC considered that g</w:t>
      </w:r>
      <w:r w:rsidRPr="00457FD3">
        <w:t>iven the open-label design of the trial, patients may have dropped out of the TPC arm</w:t>
      </w:r>
      <w:r w:rsidR="007D1AEE" w:rsidRPr="00457FD3">
        <w:t xml:space="preserve"> (e.g. non-attendance at imaging appointments to assess PFS)</w:t>
      </w:r>
      <w:r w:rsidRPr="00457FD3">
        <w:t xml:space="preserve"> due to knowledge of their treatment assignment.</w:t>
      </w:r>
    </w:p>
    <w:p w14:paraId="2F6143C9" w14:textId="77777777" w:rsidR="004827A9" w:rsidRPr="00457FD3" w:rsidRDefault="00A173AE" w:rsidP="00A173AE">
      <w:pPr>
        <w:pStyle w:val="3-BodyText"/>
      </w:pPr>
      <w:r w:rsidRPr="00457FD3">
        <w:t xml:space="preserve">A sensitivity analysis </w:t>
      </w:r>
      <w:r w:rsidR="00044CC4" w:rsidRPr="00457FD3">
        <w:t xml:space="preserve">of censoring for PFS </w:t>
      </w:r>
      <w:r w:rsidRPr="00457FD3">
        <w:t>was performed, where patients with objectively documented progression or death were not censored, regardless of the timing of the events (sensitivity analysis 1). This sensitivity analysis indicated that</w:t>
      </w:r>
      <w:r w:rsidR="00467A4B" w:rsidRPr="00457FD3">
        <w:t xml:space="preserve">, while SG was statistically significantly superior to TPC </w:t>
      </w:r>
      <w:r w:rsidR="00044CC4" w:rsidRPr="00457FD3">
        <w:t xml:space="preserve">for PFS </w:t>
      </w:r>
      <w:r w:rsidR="00467A4B" w:rsidRPr="00457FD3">
        <w:t>in both analyses,</w:t>
      </w:r>
      <w:r w:rsidRPr="00457FD3">
        <w:t xml:space="preserve"> the </w:t>
      </w:r>
      <w:r w:rsidR="00855F92" w:rsidRPr="00457FD3">
        <w:t>censoring</w:t>
      </w:r>
      <w:r w:rsidR="007D1AEE" w:rsidRPr="00457FD3">
        <w:t xml:space="preserve"> </w:t>
      </w:r>
      <w:r w:rsidRPr="00457FD3">
        <w:t xml:space="preserve">in the primary analysis of PFS may have biased the results in favour of SG.  </w:t>
      </w:r>
    </w:p>
    <w:p w14:paraId="417239E8" w14:textId="77777777" w:rsidR="00A572AC" w:rsidRPr="00457FD3" w:rsidRDefault="00A173AE" w:rsidP="00A572AC">
      <w:pPr>
        <w:pStyle w:val="3-BodyText"/>
      </w:pPr>
      <w:r w:rsidRPr="00457FD3">
        <w:t>The risk of bias for the outcome of overall survival (OS) was low, with only limited loss to follow-up for this outcome (4.7% in the SG arm and 6.4% in the TPC arm). Due to the open-label design, there was a high risk of bias for subjective outcomes, such as quality of life (QoL) and adverse events.</w:t>
      </w:r>
      <w:r w:rsidR="00AE0EC4" w:rsidRPr="00457FD3">
        <w:t xml:space="preserve"> </w:t>
      </w:r>
    </w:p>
    <w:p w14:paraId="5624427C" w14:textId="77777777" w:rsidR="00A173AE" w:rsidRPr="00457FD3" w:rsidRDefault="00A173AE" w:rsidP="00A173AE">
      <w:pPr>
        <w:pStyle w:val="3-BodyText"/>
      </w:pPr>
      <w:r w:rsidRPr="00457FD3">
        <w:t>The primary analysis population for efficacy outcomes was the brain metastases negative (BM -ve) population</w:t>
      </w:r>
      <w:r w:rsidRPr="00457FD3">
        <w:rPr>
          <w:rStyle w:val="FootnoteReference"/>
        </w:rPr>
        <w:footnoteReference w:id="5"/>
      </w:r>
      <w:r w:rsidRPr="00457FD3">
        <w:t>. To control for type I error at a two-sided alpha level of 0.05, a hierarchical testing procedure was implemented. The primary outcome of PFS (Independent Review Committee (IRC) assessment) was analysed and tested in the BM -ve population. If the primary analysis test was statistically significant, subsequent key secondary endpoints (OS in the BM -ve population, PFS by IRC assessment in the intention to treat (ITT) population, OS in the ITT population) were tested in a sequential manner, where a given hypothesis was only declared statistically significant if all hypotheses above it in the hierarchy were also statistically significant.</w:t>
      </w:r>
    </w:p>
    <w:p w14:paraId="48177AA5" w14:textId="77777777" w:rsidR="00A173AE" w:rsidRPr="00457FD3" w:rsidRDefault="00802117" w:rsidP="00A173AE">
      <w:pPr>
        <w:pStyle w:val="3-BodyText"/>
      </w:pPr>
      <w:r>
        <w:lastRenderedPageBreak/>
        <w:t xml:space="preserve">SG would </w:t>
      </w:r>
      <w:r w:rsidR="00A173AE" w:rsidRPr="00457FD3">
        <w:t xml:space="preserve">likely be the third treatment option for patients who have </w:t>
      </w:r>
      <w:r w:rsidR="00B978B4">
        <w:t>received</w:t>
      </w:r>
      <w:r w:rsidR="00B978B4" w:rsidRPr="00457FD3">
        <w:t xml:space="preserve"> </w:t>
      </w:r>
      <w:r w:rsidR="00A173AE" w:rsidRPr="00457FD3">
        <w:t>two prior therapies for this condition (with at least one in the locally advanced or metastatic setting). In contrast, approximately 31% of patients in the ASCENT trial had received more than three prior lines of chemotherapy. Therefore, the Australian patient population may, on average, be less heavily pre-treated than the trial population. Exploratory subgroup analyses in ASCENT indicated that the comparative treatment effect of SG, compared with TPC, may be greater in patients who had only received two or three prior therapies in the locally advanced or metastatic setting (hazard ratio (HR) for OS 0.44; 95% confidence interval (CI): 0.35,</w:t>
      </w:r>
      <w:r w:rsidR="00932447" w:rsidRPr="00457FD3">
        <w:t> </w:t>
      </w:r>
      <w:r w:rsidR="00A173AE" w:rsidRPr="00457FD3">
        <w:t>0.57), compared with those who had received three or more prior therapies (HR</w:t>
      </w:r>
      <w:r w:rsidR="00932447" w:rsidRPr="00457FD3">
        <w:t> </w:t>
      </w:r>
      <w:r w:rsidR="00A173AE" w:rsidRPr="00457FD3">
        <w:t xml:space="preserve">for OS 0.72; 95% CI: 0.50, 1.02). </w:t>
      </w:r>
    </w:p>
    <w:p w14:paraId="47C8DF7C" w14:textId="77777777" w:rsidR="00A173AE" w:rsidRPr="00037EC2" w:rsidRDefault="00A173AE" w:rsidP="00A173AE">
      <w:pPr>
        <w:pStyle w:val="4-SubsectionHeading"/>
        <w:rPr>
          <w:iCs/>
        </w:rPr>
      </w:pPr>
      <w:r w:rsidRPr="00037EC2">
        <w:rPr>
          <w:iCs/>
        </w:rPr>
        <w:t>Comparative effectiveness</w:t>
      </w:r>
    </w:p>
    <w:p w14:paraId="00328632" w14:textId="77777777" w:rsidR="00A173AE" w:rsidRPr="00457FD3" w:rsidRDefault="00A173AE" w:rsidP="00A173AE">
      <w:pPr>
        <w:pStyle w:val="3-BodyText"/>
      </w:pPr>
      <w:r w:rsidRPr="00457FD3">
        <w:t>The OS results for the ITT population and the BM -ve population in ASCENT, and the Kaplan-Meier OS curves for the ITT population, are presented below.</w:t>
      </w:r>
      <w:r w:rsidRPr="00457FD3">
        <w:rPr>
          <w:snapToGrid/>
          <w:lang w:val="en-US"/>
        </w:rPr>
        <w:t xml:space="preserve"> </w:t>
      </w:r>
    </w:p>
    <w:p w14:paraId="2D52E017" w14:textId="77777777" w:rsidR="00A173AE" w:rsidRPr="00457FD3" w:rsidRDefault="00A173AE" w:rsidP="00A173AE">
      <w:pPr>
        <w:pStyle w:val="TableFigureHeading"/>
      </w:pPr>
      <w:r w:rsidRPr="00457FD3">
        <w:t xml:space="preserve">Table </w:t>
      </w:r>
      <w:r w:rsidR="00970868" w:rsidRPr="00457FD3">
        <w:rPr>
          <w:noProof/>
        </w:rPr>
        <w:t>4</w:t>
      </w:r>
      <w:r w:rsidRPr="00457FD3">
        <w:t>: Summary of overall survival in ASCENT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814"/>
        <w:gridCol w:w="1823"/>
        <w:gridCol w:w="1232"/>
        <w:gridCol w:w="1573"/>
      </w:tblGrid>
      <w:tr w:rsidR="00A173AE" w:rsidRPr="00457FD3" w14:paraId="29F22709" w14:textId="77777777" w:rsidTr="00207EE8">
        <w:tc>
          <w:tcPr>
            <w:tcW w:w="1428" w:type="pct"/>
            <w:tcBorders>
              <w:bottom w:val="single" w:sz="4" w:space="0" w:color="auto"/>
            </w:tcBorders>
            <w:vAlign w:val="center"/>
          </w:tcPr>
          <w:p w14:paraId="5F6BA779" w14:textId="77777777" w:rsidR="00A173AE" w:rsidRPr="006730EA" w:rsidRDefault="00A173AE" w:rsidP="00207EE8">
            <w:pPr>
              <w:pStyle w:val="In-tableHeading"/>
              <w:rPr>
                <w:highlight w:val="yellow"/>
              </w:rPr>
            </w:pPr>
          </w:p>
        </w:tc>
        <w:tc>
          <w:tcPr>
            <w:tcW w:w="1006" w:type="pct"/>
            <w:tcBorders>
              <w:bottom w:val="single" w:sz="4" w:space="0" w:color="auto"/>
            </w:tcBorders>
            <w:vAlign w:val="center"/>
          </w:tcPr>
          <w:p w14:paraId="4004C25F" w14:textId="77777777" w:rsidR="00A173AE" w:rsidRPr="004E4374" w:rsidRDefault="00A173AE" w:rsidP="00207EE8">
            <w:pPr>
              <w:pStyle w:val="In-tableHeading"/>
              <w:jc w:val="center"/>
            </w:pPr>
            <w:r w:rsidRPr="004E4374">
              <w:t>SG</w:t>
            </w:r>
            <w:r w:rsidRPr="004E4374">
              <w:br/>
              <w:t>n/N (%)</w:t>
            </w:r>
          </w:p>
        </w:tc>
        <w:tc>
          <w:tcPr>
            <w:tcW w:w="1011" w:type="pct"/>
            <w:tcBorders>
              <w:bottom w:val="single" w:sz="4" w:space="0" w:color="auto"/>
            </w:tcBorders>
            <w:vAlign w:val="center"/>
          </w:tcPr>
          <w:p w14:paraId="11A18231" w14:textId="77777777" w:rsidR="00A173AE" w:rsidRPr="004E4374" w:rsidRDefault="00A173AE" w:rsidP="00207EE8">
            <w:pPr>
              <w:pStyle w:val="In-tableHeading"/>
              <w:jc w:val="center"/>
            </w:pPr>
            <w:r w:rsidRPr="004E4374">
              <w:t>TPC</w:t>
            </w:r>
            <w:r w:rsidRPr="004E4374">
              <w:br/>
              <w:t>n/N (%)</w:t>
            </w:r>
          </w:p>
        </w:tc>
        <w:tc>
          <w:tcPr>
            <w:tcW w:w="683" w:type="pct"/>
            <w:tcBorders>
              <w:bottom w:val="single" w:sz="4" w:space="0" w:color="auto"/>
            </w:tcBorders>
            <w:vAlign w:val="center"/>
          </w:tcPr>
          <w:p w14:paraId="7C0C56CE" w14:textId="77777777" w:rsidR="00A173AE" w:rsidRPr="004E4374" w:rsidRDefault="00A173AE" w:rsidP="00207EE8">
            <w:pPr>
              <w:pStyle w:val="In-tableHeading"/>
              <w:jc w:val="center"/>
            </w:pPr>
            <w:r w:rsidRPr="004E4374">
              <w:t xml:space="preserve">Absolute </w:t>
            </w:r>
            <w:r w:rsidRPr="004E4374">
              <w:br/>
              <w:t>difference</w:t>
            </w:r>
          </w:p>
        </w:tc>
        <w:tc>
          <w:tcPr>
            <w:tcW w:w="872" w:type="pct"/>
            <w:tcBorders>
              <w:bottom w:val="single" w:sz="4" w:space="0" w:color="auto"/>
            </w:tcBorders>
            <w:vAlign w:val="center"/>
          </w:tcPr>
          <w:p w14:paraId="006B2835" w14:textId="77777777" w:rsidR="00A173AE" w:rsidRPr="004E4374" w:rsidRDefault="00A173AE" w:rsidP="00207EE8">
            <w:pPr>
              <w:pStyle w:val="In-tableHeading"/>
              <w:jc w:val="center"/>
            </w:pPr>
            <w:r w:rsidRPr="004E4374">
              <w:t>HR (95% CI)</w:t>
            </w:r>
          </w:p>
        </w:tc>
      </w:tr>
      <w:tr w:rsidR="00A173AE" w:rsidRPr="00457FD3" w14:paraId="599D5682" w14:textId="77777777" w:rsidTr="00207EE8">
        <w:tc>
          <w:tcPr>
            <w:tcW w:w="5000" w:type="pct"/>
            <w:gridSpan w:val="5"/>
            <w:tcBorders>
              <w:top w:val="single" w:sz="4" w:space="0" w:color="auto"/>
            </w:tcBorders>
            <w:vAlign w:val="center"/>
          </w:tcPr>
          <w:p w14:paraId="49D05D6F" w14:textId="77777777" w:rsidR="00A173AE" w:rsidRPr="00457FD3" w:rsidRDefault="00A173AE" w:rsidP="00207EE8">
            <w:pPr>
              <w:pStyle w:val="TableText0"/>
              <w:rPr>
                <w:b/>
                <w:lang w:val="en-US"/>
              </w:rPr>
            </w:pPr>
            <w:r w:rsidRPr="00457FD3">
              <w:rPr>
                <w:b/>
                <w:lang w:val="en-US"/>
              </w:rPr>
              <w:t xml:space="preserve">Overall survival </w:t>
            </w:r>
          </w:p>
        </w:tc>
      </w:tr>
      <w:tr w:rsidR="00A173AE" w:rsidRPr="00457FD3" w14:paraId="73640E79" w14:textId="77777777" w:rsidTr="00207EE8">
        <w:tc>
          <w:tcPr>
            <w:tcW w:w="5000" w:type="pct"/>
            <w:gridSpan w:val="5"/>
            <w:vAlign w:val="center"/>
          </w:tcPr>
          <w:p w14:paraId="040CA008" w14:textId="77777777" w:rsidR="00A173AE" w:rsidRPr="00457FD3" w:rsidRDefault="00A173AE" w:rsidP="00207EE8">
            <w:pPr>
              <w:pStyle w:val="TableText0"/>
              <w:rPr>
                <w:b/>
                <w:lang w:val="en-US"/>
              </w:rPr>
            </w:pPr>
            <w:r w:rsidRPr="00457FD3">
              <w:rPr>
                <w:b/>
                <w:lang w:val="en-US"/>
              </w:rPr>
              <w:t>ITT population</w:t>
            </w:r>
          </w:p>
        </w:tc>
      </w:tr>
      <w:tr w:rsidR="00A173AE" w:rsidRPr="00457FD3" w14:paraId="7543BAE2" w14:textId="77777777" w:rsidTr="00207EE8">
        <w:tc>
          <w:tcPr>
            <w:tcW w:w="1428" w:type="pct"/>
            <w:vAlign w:val="center"/>
          </w:tcPr>
          <w:p w14:paraId="608C214E" w14:textId="77777777" w:rsidR="00A173AE" w:rsidRPr="00457FD3" w:rsidRDefault="00A173AE" w:rsidP="00207EE8">
            <w:pPr>
              <w:pStyle w:val="TableText0"/>
            </w:pPr>
            <w:r w:rsidRPr="00457FD3">
              <w:t>Patients with event</w:t>
            </w:r>
          </w:p>
        </w:tc>
        <w:tc>
          <w:tcPr>
            <w:tcW w:w="1006" w:type="pct"/>
            <w:vAlign w:val="center"/>
          </w:tcPr>
          <w:p w14:paraId="7AE69628" w14:textId="77777777" w:rsidR="00A173AE" w:rsidRPr="00457FD3" w:rsidRDefault="00A173AE" w:rsidP="00207EE8">
            <w:pPr>
              <w:pStyle w:val="TableText0"/>
              <w:jc w:val="center"/>
            </w:pPr>
            <w:r w:rsidRPr="00457FD3">
              <w:t>179/267 (67.0%)</w:t>
            </w:r>
          </w:p>
        </w:tc>
        <w:tc>
          <w:tcPr>
            <w:tcW w:w="1011" w:type="pct"/>
            <w:vAlign w:val="center"/>
          </w:tcPr>
          <w:p w14:paraId="7B1B8127" w14:textId="77777777" w:rsidR="00A173AE" w:rsidRPr="00457FD3" w:rsidRDefault="00A173AE" w:rsidP="00207EE8">
            <w:pPr>
              <w:pStyle w:val="TableText0"/>
              <w:jc w:val="center"/>
            </w:pPr>
            <w:r w:rsidRPr="00457FD3">
              <w:t>206/262 (78.6%)</w:t>
            </w:r>
          </w:p>
        </w:tc>
        <w:tc>
          <w:tcPr>
            <w:tcW w:w="683" w:type="pct"/>
            <w:vAlign w:val="center"/>
          </w:tcPr>
          <w:p w14:paraId="6936A27C" w14:textId="77777777" w:rsidR="00A173AE" w:rsidRPr="00457FD3" w:rsidRDefault="00A173AE" w:rsidP="00207EE8">
            <w:pPr>
              <w:pStyle w:val="TableText0"/>
              <w:jc w:val="center"/>
            </w:pPr>
            <w:r w:rsidRPr="00457FD3">
              <w:t>-</w:t>
            </w:r>
          </w:p>
        </w:tc>
        <w:tc>
          <w:tcPr>
            <w:tcW w:w="872" w:type="pct"/>
            <w:vAlign w:val="center"/>
          </w:tcPr>
          <w:p w14:paraId="70046FD9" w14:textId="77777777" w:rsidR="00A173AE" w:rsidRPr="00457FD3" w:rsidRDefault="00A173AE" w:rsidP="00207EE8">
            <w:pPr>
              <w:pStyle w:val="TableText0"/>
              <w:jc w:val="center"/>
            </w:pPr>
            <w:r w:rsidRPr="00457FD3">
              <w:t>-</w:t>
            </w:r>
          </w:p>
        </w:tc>
      </w:tr>
      <w:tr w:rsidR="00A173AE" w:rsidRPr="00457FD3" w14:paraId="7BB01729" w14:textId="77777777" w:rsidTr="00207EE8">
        <w:tc>
          <w:tcPr>
            <w:tcW w:w="1428" w:type="pct"/>
            <w:vAlign w:val="center"/>
          </w:tcPr>
          <w:p w14:paraId="42657566" w14:textId="77777777" w:rsidR="00A173AE" w:rsidRPr="00457FD3" w:rsidRDefault="00A173AE" w:rsidP="00207EE8">
            <w:pPr>
              <w:pStyle w:val="TableText0"/>
            </w:pPr>
            <w:r w:rsidRPr="00457FD3">
              <w:t>Median OS months (95% CI)</w:t>
            </w:r>
          </w:p>
        </w:tc>
        <w:tc>
          <w:tcPr>
            <w:tcW w:w="1006" w:type="pct"/>
            <w:vAlign w:val="center"/>
          </w:tcPr>
          <w:p w14:paraId="4955A94A" w14:textId="77777777" w:rsidR="00A173AE" w:rsidRPr="00457FD3" w:rsidRDefault="00A173AE" w:rsidP="00207EE8">
            <w:pPr>
              <w:pStyle w:val="TableText0"/>
              <w:jc w:val="center"/>
            </w:pPr>
            <w:r w:rsidRPr="00457FD3">
              <w:t>11.8 (10.5, 13.8)</w:t>
            </w:r>
          </w:p>
        </w:tc>
        <w:tc>
          <w:tcPr>
            <w:tcW w:w="1011" w:type="pct"/>
            <w:vAlign w:val="center"/>
          </w:tcPr>
          <w:p w14:paraId="764C508C" w14:textId="77777777" w:rsidR="00A173AE" w:rsidRPr="00457FD3" w:rsidRDefault="00A173AE" w:rsidP="00207EE8">
            <w:pPr>
              <w:pStyle w:val="TableText0"/>
              <w:jc w:val="center"/>
            </w:pPr>
            <w:r w:rsidRPr="00457FD3">
              <w:t>6.9 (5.9, 7.7)</w:t>
            </w:r>
          </w:p>
        </w:tc>
        <w:tc>
          <w:tcPr>
            <w:tcW w:w="683" w:type="pct"/>
            <w:vAlign w:val="center"/>
          </w:tcPr>
          <w:p w14:paraId="68BB14CD" w14:textId="77777777" w:rsidR="00A173AE" w:rsidRPr="00457FD3" w:rsidRDefault="00A173AE" w:rsidP="00207EE8">
            <w:pPr>
              <w:pStyle w:val="TableText0"/>
              <w:jc w:val="center"/>
            </w:pPr>
            <w:r w:rsidRPr="00457FD3">
              <w:t>4.9</w:t>
            </w:r>
          </w:p>
        </w:tc>
        <w:tc>
          <w:tcPr>
            <w:tcW w:w="872" w:type="pct"/>
            <w:vAlign w:val="center"/>
          </w:tcPr>
          <w:p w14:paraId="6C19E5BF" w14:textId="77777777" w:rsidR="00A173AE" w:rsidRPr="00457FD3" w:rsidRDefault="00A173AE" w:rsidP="00207EE8">
            <w:pPr>
              <w:pStyle w:val="TableText0"/>
              <w:jc w:val="center"/>
              <w:rPr>
                <w:b/>
              </w:rPr>
            </w:pPr>
            <w:r w:rsidRPr="00457FD3">
              <w:rPr>
                <w:b/>
              </w:rPr>
              <w:t>0.51 (0.41, 0.62)</w:t>
            </w:r>
          </w:p>
          <w:p w14:paraId="388FB218" w14:textId="77777777" w:rsidR="00A173AE" w:rsidRPr="00457FD3" w:rsidRDefault="00A173AE" w:rsidP="00207EE8">
            <w:pPr>
              <w:pStyle w:val="TableText0"/>
              <w:jc w:val="center"/>
              <w:rPr>
                <w:vertAlign w:val="superscript"/>
              </w:rPr>
            </w:pPr>
            <w:r w:rsidRPr="00457FD3">
              <w:rPr>
                <w:b/>
              </w:rPr>
              <w:t>p &lt;0.0001</w:t>
            </w:r>
            <w:r w:rsidRPr="00457FD3">
              <w:rPr>
                <w:b/>
                <w:vertAlign w:val="superscript"/>
              </w:rPr>
              <w:t>a</w:t>
            </w:r>
          </w:p>
        </w:tc>
      </w:tr>
      <w:tr w:rsidR="00A173AE" w:rsidRPr="00457FD3" w14:paraId="0E13C42D" w14:textId="77777777" w:rsidTr="00207EE8">
        <w:tc>
          <w:tcPr>
            <w:tcW w:w="5000" w:type="pct"/>
            <w:gridSpan w:val="5"/>
            <w:vAlign w:val="center"/>
          </w:tcPr>
          <w:p w14:paraId="2D7574EF" w14:textId="77777777" w:rsidR="00A173AE" w:rsidRPr="00457FD3" w:rsidRDefault="00A173AE" w:rsidP="00207EE8">
            <w:pPr>
              <w:pStyle w:val="TableText0"/>
              <w:rPr>
                <w:b/>
                <w:lang w:val="en-US"/>
              </w:rPr>
            </w:pPr>
            <w:r w:rsidRPr="00457FD3">
              <w:rPr>
                <w:b/>
                <w:lang w:val="en-US"/>
              </w:rPr>
              <w:t>Brain metastasis negative population</w:t>
            </w:r>
          </w:p>
        </w:tc>
      </w:tr>
      <w:tr w:rsidR="00A173AE" w:rsidRPr="00457FD3" w14:paraId="2AA5413A" w14:textId="77777777" w:rsidTr="00207EE8">
        <w:tc>
          <w:tcPr>
            <w:tcW w:w="1428" w:type="pct"/>
            <w:vAlign w:val="center"/>
          </w:tcPr>
          <w:p w14:paraId="2759B389" w14:textId="77777777" w:rsidR="00A173AE" w:rsidRPr="00457FD3" w:rsidRDefault="00A173AE" w:rsidP="00207EE8">
            <w:pPr>
              <w:pStyle w:val="TableText0"/>
            </w:pPr>
            <w:r w:rsidRPr="00457FD3">
              <w:t>Patients with event</w:t>
            </w:r>
          </w:p>
        </w:tc>
        <w:tc>
          <w:tcPr>
            <w:tcW w:w="1006" w:type="pct"/>
            <w:vAlign w:val="center"/>
          </w:tcPr>
          <w:p w14:paraId="374969A9" w14:textId="77777777" w:rsidR="00A173AE" w:rsidRPr="00457FD3" w:rsidRDefault="00A173AE" w:rsidP="00207EE8">
            <w:pPr>
              <w:pStyle w:val="TableText0"/>
              <w:jc w:val="center"/>
            </w:pPr>
            <w:r w:rsidRPr="00457FD3">
              <w:t>155/235 (66.0%)</w:t>
            </w:r>
          </w:p>
        </w:tc>
        <w:tc>
          <w:tcPr>
            <w:tcW w:w="1011" w:type="pct"/>
            <w:vAlign w:val="center"/>
          </w:tcPr>
          <w:p w14:paraId="16673889" w14:textId="77777777" w:rsidR="00A173AE" w:rsidRPr="00457FD3" w:rsidRDefault="00A173AE" w:rsidP="00207EE8">
            <w:pPr>
              <w:pStyle w:val="TableText0"/>
              <w:jc w:val="center"/>
            </w:pPr>
            <w:r w:rsidRPr="00457FD3">
              <w:t>185/233 (79.4%)</w:t>
            </w:r>
          </w:p>
        </w:tc>
        <w:tc>
          <w:tcPr>
            <w:tcW w:w="683" w:type="pct"/>
            <w:vAlign w:val="center"/>
          </w:tcPr>
          <w:p w14:paraId="10F0A5D5" w14:textId="77777777" w:rsidR="00A173AE" w:rsidRPr="00457FD3" w:rsidRDefault="00A173AE" w:rsidP="00207EE8">
            <w:pPr>
              <w:pStyle w:val="TableText0"/>
              <w:jc w:val="center"/>
            </w:pPr>
            <w:r w:rsidRPr="00457FD3">
              <w:t>-</w:t>
            </w:r>
          </w:p>
        </w:tc>
        <w:tc>
          <w:tcPr>
            <w:tcW w:w="872" w:type="pct"/>
            <w:vAlign w:val="center"/>
          </w:tcPr>
          <w:p w14:paraId="7B16897C" w14:textId="77777777" w:rsidR="00A173AE" w:rsidRPr="00457FD3" w:rsidRDefault="00A173AE" w:rsidP="00207EE8">
            <w:pPr>
              <w:pStyle w:val="TableText0"/>
              <w:jc w:val="center"/>
            </w:pPr>
            <w:r w:rsidRPr="00457FD3">
              <w:t>-</w:t>
            </w:r>
          </w:p>
        </w:tc>
      </w:tr>
      <w:tr w:rsidR="00A173AE" w:rsidRPr="00457FD3" w14:paraId="4CFB787E" w14:textId="77777777" w:rsidTr="00207EE8">
        <w:tc>
          <w:tcPr>
            <w:tcW w:w="1428" w:type="pct"/>
            <w:tcBorders>
              <w:bottom w:val="single" w:sz="4" w:space="0" w:color="auto"/>
            </w:tcBorders>
            <w:vAlign w:val="center"/>
          </w:tcPr>
          <w:p w14:paraId="20C40632" w14:textId="77777777" w:rsidR="00A173AE" w:rsidRPr="00457FD3" w:rsidRDefault="00A173AE" w:rsidP="00207EE8">
            <w:pPr>
              <w:pStyle w:val="TableText0"/>
            </w:pPr>
            <w:r w:rsidRPr="00457FD3">
              <w:t>Median OS months (95% CI)</w:t>
            </w:r>
          </w:p>
        </w:tc>
        <w:tc>
          <w:tcPr>
            <w:tcW w:w="1006" w:type="pct"/>
            <w:tcBorders>
              <w:bottom w:val="single" w:sz="4" w:space="0" w:color="auto"/>
            </w:tcBorders>
            <w:vAlign w:val="center"/>
          </w:tcPr>
          <w:p w14:paraId="1B2E6184" w14:textId="77777777" w:rsidR="00A173AE" w:rsidRPr="00457FD3" w:rsidRDefault="00A173AE" w:rsidP="00207EE8">
            <w:pPr>
              <w:pStyle w:val="TableText0"/>
              <w:jc w:val="center"/>
            </w:pPr>
            <w:r w:rsidRPr="00457FD3">
              <w:t>12.1 (10.7, 14.0)</w:t>
            </w:r>
          </w:p>
        </w:tc>
        <w:tc>
          <w:tcPr>
            <w:tcW w:w="1011" w:type="pct"/>
            <w:tcBorders>
              <w:bottom w:val="single" w:sz="4" w:space="0" w:color="auto"/>
            </w:tcBorders>
            <w:vAlign w:val="center"/>
          </w:tcPr>
          <w:p w14:paraId="5D5FC504" w14:textId="77777777" w:rsidR="00A173AE" w:rsidRPr="00457FD3" w:rsidRDefault="00A173AE" w:rsidP="00207EE8">
            <w:pPr>
              <w:pStyle w:val="TableText0"/>
              <w:jc w:val="center"/>
            </w:pPr>
            <w:r w:rsidRPr="00457FD3">
              <w:t>6.7 (5.8, 7.7)</w:t>
            </w:r>
          </w:p>
        </w:tc>
        <w:tc>
          <w:tcPr>
            <w:tcW w:w="683" w:type="pct"/>
            <w:tcBorders>
              <w:bottom w:val="single" w:sz="4" w:space="0" w:color="auto"/>
            </w:tcBorders>
            <w:vAlign w:val="center"/>
          </w:tcPr>
          <w:p w14:paraId="3E160FE8" w14:textId="77777777" w:rsidR="00A173AE" w:rsidRPr="00457FD3" w:rsidRDefault="00A173AE" w:rsidP="00207EE8">
            <w:pPr>
              <w:pStyle w:val="TableText0"/>
              <w:jc w:val="center"/>
            </w:pPr>
            <w:r w:rsidRPr="00457FD3">
              <w:t>5.4</w:t>
            </w:r>
          </w:p>
        </w:tc>
        <w:tc>
          <w:tcPr>
            <w:tcW w:w="872" w:type="pct"/>
            <w:tcBorders>
              <w:bottom w:val="single" w:sz="4" w:space="0" w:color="auto"/>
            </w:tcBorders>
            <w:vAlign w:val="center"/>
          </w:tcPr>
          <w:p w14:paraId="6F6D0EDF" w14:textId="77777777" w:rsidR="00A173AE" w:rsidRPr="00457FD3" w:rsidRDefault="00A173AE" w:rsidP="00207EE8">
            <w:pPr>
              <w:pStyle w:val="TableText0"/>
              <w:jc w:val="center"/>
              <w:rPr>
                <w:b/>
              </w:rPr>
            </w:pPr>
            <w:r w:rsidRPr="00457FD3">
              <w:rPr>
                <w:b/>
              </w:rPr>
              <w:t>0.48 (0.38, 0.59)</w:t>
            </w:r>
          </w:p>
          <w:p w14:paraId="45E067D0" w14:textId="77777777" w:rsidR="00A173AE" w:rsidRPr="00457FD3" w:rsidRDefault="00A173AE" w:rsidP="00207EE8">
            <w:pPr>
              <w:pStyle w:val="TableText0"/>
              <w:jc w:val="center"/>
              <w:rPr>
                <w:vertAlign w:val="superscript"/>
              </w:rPr>
            </w:pPr>
            <w:r w:rsidRPr="00457FD3">
              <w:rPr>
                <w:b/>
              </w:rPr>
              <w:t>p &lt;0.0001</w:t>
            </w:r>
            <w:r w:rsidRPr="00457FD3">
              <w:rPr>
                <w:b/>
                <w:vertAlign w:val="superscript"/>
              </w:rPr>
              <w:t>a</w:t>
            </w:r>
          </w:p>
        </w:tc>
      </w:tr>
    </w:tbl>
    <w:p w14:paraId="664A631F" w14:textId="77777777" w:rsidR="00A173AE" w:rsidRPr="00457FD3" w:rsidRDefault="00A173AE" w:rsidP="00A173AE">
      <w:pPr>
        <w:pStyle w:val="TableFigureFooter"/>
        <w:rPr>
          <w:rFonts w:eastAsiaTheme="majorEastAsia"/>
        </w:rPr>
      </w:pPr>
      <w:r w:rsidRPr="00457FD3">
        <w:rPr>
          <w:rFonts w:eastAsiaTheme="majorEastAsia"/>
        </w:rPr>
        <w:t>Source: Table 2-35 p84 of the submission.</w:t>
      </w:r>
    </w:p>
    <w:p w14:paraId="4EC984F0" w14:textId="77777777" w:rsidR="00A173AE" w:rsidRPr="00457FD3" w:rsidRDefault="00A173AE" w:rsidP="00A173AE">
      <w:pPr>
        <w:pStyle w:val="TableFigureFooter"/>
        <w:rPr>
          <w:rFonts w:eastAsiaTheme="majorEastAsia"/>
        </w:rPr>
      </w:pPr>
      <w:r w:rsidRPr="00457FD3">
        <w:rPr>
          <w:rFonts w:eastAsiaTheme="majorEastAsia"/>
        </w:rPr>
        <w:t>CI = confidence interval; HR = hazard ratio; ITT = intention to treat; OS = overall survival; SG = sacituzumab govitecan; TPC = treatment of physician's choice.</w:t>
      </w:r>
    </w:p>
    <w:p w14:paraId="23FDBB83" w14:textId="77777777" w:rsidR="00A173AE" w:rsidRPr="00457FD3" w:rsidRDefault="00A173AE" w:rsidP="00A173AE">
      <w:pPr>
        <w:pStyle w:val="TableFigureFooter"/>
        <w:rPr>
          <w:rFonts w:eastAsiaTheme="majorEastAsia"/>
        </w:rPr>
      </w:pPr>
      <w:r w:rsidRPr="00457FD3">
        <w:rPr>
          <w:rFonts w:eastAsiaTheme="majorEastAsia"/>
          <w:vertAlign w:val="superscript"/>
        </w:rPr>
        <w:t>a</w:t>
      </w:r>
      <w:r w:rsidRPr="00457FD3">
        <w:rPr>
          <w:rFonts w:eastAsiaTheme="majorEastAsia"/>
        </w:rPr>
        <w:t xml:space="preserve"> Stratified log-rank p-value.</w:t>
      </w:r>
    </w:p>
    <w:p w14:paraId="580F5FA3" w14:textId="77777777" w:rsidR="00A173AE" w:rsidRPr="00457FD3" w:rsidRDefault="00A173AE" w:rsidP="00A173AE">
      <w:pPr>
        <w:pStyle w:val="TableFigureFooter"/>
        <w:rPr>
          <w:rFonts w:eastAsiaTheme="majorEastAsia"/>
        </w:rPr>
      </w:pPr>
      <w:r w:rsidRPr="00457FD3">
        <w:rPr>
          <w:rFonts w:eastAsiaTheme="majorEastAsia"/>
          <w:b/>
        </w:rPr>
        <w:t>Figures in bold text indicate statistically significant differences between treatment groups</w:t>
      </w:r>
    </w:p>
    <w:p w14:paraId="60D4E241" w14:textId="77777777" w:rsidR="00A173AE" w:rsidRPr="00457FD3" w:rsidRDefault="00A173AE" w:rsidP="00A173AE"/>
    <w:p w14:paraId="61F8C2FC" w14:textId="77777777" w:rsidR="00A173AE" w:rsidRPr="00457FD3" w:rsidRDefault="00A173AE" w:rsidP="00A173AE">
      <w:pPr>
        <w:pStyle w:val="TableFigureHeading"/>
      </w:pPr>
      <w:r w:rsidRPr="00457FD3">
        <w:lastRenderedPageBreak/>
        <w:t xml:space="preserve">Figure </w:t>
      </w:r>
      <w:r w:rsidR="00970868" w:rsidRPr="00457FD3">
        <w:rPr>
          <w:noProof/>
        </w:rPr>
        <w:t>1</w:t>
      </w:r>
      <w:r w:rsidRPr="00457FD3">
        <w:t>: Kaplan-Meier plot of overall survival (ITT population)</w:t>
      </w:r>
    </w:p>
    <w:p w14:paraId="1F5D228D" w14:textId="77777777" w:rsidR="00A173AE" w:rsidRPr="00457FD3" w:rsidRDefault="00A173AE" w:rsidP="00A173AE">
      <w:pPr>
        <w:rPr>
          <w:b/>
        </w:rPr>
      </w:pPr>
      <w:r w:rsidRPr="00457FD3">
        <w:rPr>
          <w:b/>
          <w:noProof/>
        </w:rPr>
        <w:drawing>
          <wp:inline distT="0" distB="0" distL="0" distR="0" wp14:anchorId="61C32260" wp14:editId="50A7E9FF">
            <wp:extent cx="5730875" cy="3096895"/>
            <wp:effectExtent l="0" t="0" r="3175" b="8255"/>
            <wp:docPr id="85" name="Picture 85" title="Figure 1: Kaplan-Meier plot of overall surviv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3096895"/>
                    </a:xfrm>
                    <a:prstGeom prst="rect">
                      <a:avLst/>
                    </a:prstGeom>
                    <a:noFill/>
                  </pic:spPr>
                </pic:pic>
              </a:graphicData>
            </a:graphic>
          </wp:inline>
        </w:drawing>
      </w:r>
    </w:p>
    <w:p w14:paraId="53034F5E" w14:textId="77777777" w:rsidR="00A173AE" w:rsidRPr="00457FD3" w:rsidRDefault="00A173AE" w:rsidP="00A173AE">
      <w:pPr>
        <w:pStyle w:val="TableFigureFooter"/>
      </w:pPr>
      <w:r w:rsidRPr="00457FD3">
        <w:t>Source: Figure 2-6, p85 of the submission.</w:t>
      </w:r>
    </w:p>
    <w:p w14:paraId="4108A250" w14:textId="77777777" w:rsidR="00A173AE" w:rsidRPr="00457FD3" w:rsidRDefault="00A173AE" w:rsidP="00A173AE">
      <w:pPr>
        <w:pStyle w:val="TableFigureFooter"/>
      </w:pPr>
      <w:r w:rsidRPr="00457FD3">
        <w:t>CI = confidence interval; IMMU-132 = sacituzumab govitecan; ITT = intention to treat; TPC = treatment of physician's choice.</w:t>
      </w:r>
    </w:p>
    <w:p w14:paraId="0347B6C0" w14:textId="77777777" w:rsidR="00A173AE" w:rsidRPr="00457FD3" w:rsidRDefault="00A173AE" w:rsidP="00A173AE">
      <w:pPr>
        <w:pStyle w:val="3-BodyText"/>
      </w:pPr>
      <w:r w:rsidRPr="00457FD3">
        <w:t>SG was associated with a statistically significant</w:t>
      </w:r>
      <w:r w:rsidR="00970868" w:rsidRPr="00457FD3">
        <w:t xml:space="preserve"> </w:t>
      </w:r>
      <w:r w:rsidRPr="00457FD3">
        <w:t>reduction in the hazard of death compared with TPC, in both the ITT and the BM -ve populations. The improvement in median OS observed with SG compared with TPC (4.9 months) was also clinically relevant for this patient population.</w:t>
      </w:r>
    </w:p>
    <w:p w14:paraId="713A9580" w14:textId="77777777" w:rsidR="00A173AE" w:rsidRPr="00457FD3" w:rsidRDefault="00A173AE" w:rsidP="00FA58A8">
      <w:pPr>
        <w:pStyle w:val="3-BodyText"/>
      </w:pPr>
      <w:r w:rsidRPr="00457FD3">
        <w:t>For the subgroup of patients with known brain metastases at baseline (N=61), the median OS was 6.8 (95% CI: 4.7, 14.1) months in the SG arm compared with 7.5</w:t>
      </w:r>
      <w:r w:rsidR="00932447" w:rsidRPr="00457FD3">
        <w:t> </w:t>
      </w:r>
      <w:r w:rsidRPr="00457FD3">
        <w:t>(95%</w:t>
      </w:r>
      <w:r w:rsidR="00932447" w:rsidRPr="00457FD3">
        <w:t> </w:t>
      </w:r>
      <w:r w:rsidRPr="00457FD3">
        <w:t>CI: 4.7, 11.1) months in the TPC arm, with a HR of 0.95 (95% CI: 0.52, 1.72)</w:t>
      </w:r>
      <w:r w:rsidRPr="00457FD3">
        <w:rPr>
          <w:rStyle w:val="FootnoteReference"/>
        </w:rPr>
        <w:footnoteReference w:id="6"/>
      </w:r>
      <w:r w:rsidRPr="00457FD3">
        <w:t xml:space="preserve">. While this was only an exploratory analysis and was statistically underpowered, there was no evidence of any incremental treatment benefit with SG compared with TPC in this subgroup of patients. The TGA Delegate sought expert advice regarding whether patients with brain metastases should be included in the TGA indication for SG. Three independent Australian clinicians, expert in the treatment of breast cancer, considered that these patients should be included, as: i) they were included in the ITT analyses, with overall statistically and clinically significant results for both PFS and OS, and ii) due to the small sample size, the point estimates for OS and PFS in the brain metastases positive subgroup were imprecisely estimated, with wide confidence </w:t>
      </w:r>
      <w:r w:rsidRPr="00457FD3">
        <w:lastRenderedPageBreak/>
        <w:t>intervals.</w:t>
      </w:r>
      <w:r w:rsidR="00417CCF" w:rsidRPr="00457FD3">
        <w:t xml:space="preserve"> </w:t>
      </w:r>
      <w:r w:rsidR="00FA58A8">
        <w:t xml:space="preserve">The PBAC also considered that </w:t>
      </w:r>
      <w:r w:rsidR="00FA58A8" w:rsidRPr="00FA58A8">
        <w:t xml:space="preserve">patients with brain metastases should be included in the </w:t>
      </w:r>
      <w:r w:rsidR="00FA58A8">
        <w:t>PBS restriction</w:t>
      </w:r>
      <w:r w:rsidR="00FA58A8" w:rsidRPr="00FA58A8">
        <w:t xml:space="preserve"> for SG</w:t>
      </w:r>
      <w:r w:rsidR="00FA58A8">
        <w:t>.</w:t>
      </w:r>
    </w:p>
    <w:p w14:paraId="6F8640B7" w14:textId="77777777" w:rsidR="00A173AE" w:rsidRPr="00457FD3" w:rsidRDefault="00A173AE" w:rsidP="00A173AE">
      <w:pPr>
        <w:pStyle w:val="3-BodyText"/>
      </w:pPr>
      <w:r w:rsidRPr="00457FD3">
        <w:t>The PFS results for the ITT population and the BM -ve population, and the Kaplan-Meier curves for the ITT population are presented below.</w:t>
      </w:r>
    </w:p>
    <w:p w14:paraId="0C6DAEEF" w14:textId="77777777" w:rsidR="00A173AE" w:rsidRPr="00457FD3" w:rsidRDefault="00A173AE" w:rsidP="00A173AE">
      <w:pPr>
        <w:pStyle w:val="TableFigureHeading"/>
      </w:pPr>
      <w:r w:rsidRPr="00457FD3">
        <w:t xml:space="preserve">Table </w:t>
      </w:r>
      <w:r w:rsidR="00970868" w:rsidRPr="00457FD3">
        <w:rPr>
          <w:noProof/>
        </w:rPr>
        <w:t>5</w:t>
      </w:r>
      <w:r w:rsidRPr="00457FD3">
        <w:t>: Summary of progression free survival in ASCENT (IRC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814"/>
        <w:gridCol w:w="1823"/>
        <w:gridCol w:w="1232"/>
        <w:gridCol w:w="1573"/>
      </w:tblGrid>
      <w:tr w:rsidR="00A173AE" w:rsidRPr="00457FD3" w14:paraId="5E96DCE0" w14:textId="77777777" w:rsidTr="00207EE8">
        <w:tc>
          <w:tcPr>
            <w:tcW w:w="1428" w:type="pct"/>
            <w:tcBorders>
              <w:bottom w:val="single" w:sz="4" w:space="0" w:color="auto"/>
            </w:tcBorders>
            <w:vAlign w:val="center"/>
          </w:tcPr>
          <w:p w14:paraId="66DCC370" w14:textId="77777777" w:rsidR="00A173AE" w:rsidRPr="00457FD3" w:rsidRDefault="00A173AE" w:rsidP="00207EE8">
            <w:pPr>
              <w:pStyle w:val="In-tableHeading"/>
            </w:pPr>
          </w:p>
        </w:tc>
        <w:tc>
          <w:tcPr>
            <w:tcW w:w="1006" w:type="pct"/>
            <w:tcBorders>
              <w:bottom w:val="single" w:sz="4" w:space="0" w:color="auto"/>
            </w:tcBorders>
            <w:vAlign w:val="center"/>
          </w:tcPr>
          <w:p w14:paraId="3E429DDE" w14:textId="77777777" w:rsidR="00A173AE" w:rsidRPr="00457FD3" w:rsidRDefault="00A173AE" w:rsidP="00207EE8">
            <w:pPr>
              <w:pStyle w:val="In-tableHeading"/>
              <w:jc w:val="center"/>
            </w:pPr>
            <w:r w:rsidRPr="00457FD3">
              <w:t>SG</w:t>
            </w:r>
            <w:r w:rsidRPr="00457FD3">
              <w:br/>
              <w:t>n/N (%)</w:t>
            </w:r>
          </w:p>
        </w:tc>
        <w:tc>
          <w:tcPr>
            <w:tcW w:w="1011" w:type="pct"/>
            <w:tcBorders>
              <w:bottom w:val="single" w:sz="4" w:space="0" w:color="auto"/>
            </w:tcBorders>
            <w:vAlign w:val="center"/>
          </w:tcPr>
          <w:p w14:paraId="1CAF22FF" w14:textId="77777777" w:rsidR="00A173AE" w:rsidRPr="00457FD3" w:rsidRDefault="00A173AE" w:rsidP="00207EE8">
            <w:pPr>
              <w:pStyle w:val="In-tableHeading"/>
              <w:jc w:val="center"/>
            </w:pPr>
            <w:r w:rsidRPr="00457FD3">
              <w:t>TPC</w:t>
            </w:r>
            <w:r w:rsidRPr="00457FD3">
              <w:br/>
              <w:t>n/N (%)</w:t>
            </w:r>
          </w:p>
        </w:tc>
        <w:tc>
          <w:tcPr>
            <w:tcW w:w="683" w:type="pct"/>
            <w:tcBorders>
              <w:bottom w:val="single" w:sz="4" w:space="0" w:color="auto"/>
            </w:tcBorders>
            <w:vAlign w:val="center"/>
          </w:tcPr>
          <w:p w14:paraId="05DE3FD8" w14:textId="77777777" w:rsidR="00A173AE" w:rsidRPr="00457FD3" w:rsidRDefault="00A173AE" w:rsidP="00207EE8">
            <w:pPr>
              <w:pStyle w:val="In-tableHeading"/>
              <w:jc w:val="center"/>
            </w:pPr>
            <w:r w:rsidRPr="00457FD3">
              <w:t xml:space="preserve">Absolute </w:t>
            </w:r>
            <w:r w:rsidRPr="00457FD3">
              <w:br/>
              <w:t>difference</w:t>
            </w:r>
          </w:p>
        </w:tc>
        <w:tc>
          <w:tcPr>
            <w:tcW w:w="872" w:type="pct"/>
            <w:tcBorders>
              <w:bottom w:val="single" w:sz="4" w:space="0" w:color="auto"/>
            </w:tcBorders>
            <w:vAlign w:val="center"/>
          </w:tcPr>
          <w:p w14:paraId="3A440594" w14:textId="77777777" w:rsidR="00A173AE" w:rsidRPr="00457FD3" w:rsidRDefault="00A173AE" w:rsidP="00207EE8">
            <w:pPr>
              <w:pStyle w:val="In-tableHeading"/>
              <w:jc w:val="center"/>
            </w:pPr>
            <w:r w:rsidRPr="00457FD3">
              <w:t>HR (95% CI)</w:t>
            </w:r>
          </w:p>
        </w:tc>
      </w:tr>
      <w:tr w:rsidR="00A173AE" w:rsidRPr="00457FD3" w14:paraId="2881A158" w14:textId="77777777" w:rsidTr="00207EE8">
        <w:tc>
          <w:tcPr>
            <w:tcW w:w="5000" w:type="pct"/>
            <w:gridSpan w:val="5"/>
            <w:vAlign w:val="center"/>
          </w:tcPr>
          <w:p w14:paraId="5CA45C9C" w14:textId="77777777" w:rsidR="00A173AE" w:rsidRPr="00457FD3" w:rsidRDefault="00A173AE" w:rsidP="00207EE8">
            <w:pPr>
              <w:pStyle w:val="TableText0"/>
              <w:rPr>
                <w:b/>
                <w:lang w:val="en-US"/>
              </w:rPr>
            </w:pPr>
            <w:r w:rsidRPr="00457FD3">
              <w:rPr>
                <w:b/>
                <w:lang w:val="en-US"/>
              </w:rPr>
              <w:t>ITT population</w:t>
            </w:r>
            <w:r w:rsidRPr="00457FD3">
              <w:rPr>
                <w:b/>
                <w:vertAlign w:val="superscript"/>
                <w:lang w:val="en-US"/>
              </w:rPr>
              <w:t>a</w:t>
            </w:r>
          </w:p>
        </w:tc>
      </w:tr>
      <w:tr w:rsidR="00A173AE" w:rsidRPr="00457FD3" w14:paraId="1F845A6C" w14:textId="77777777" w:rsidTr="00207EE8">
        <w:tc>
          <w:tcPr>
            <w:tcW w:w="1428" w:type="pct"/>
            <w:tcBorders>
              <w:bottom w:val="single" w:sz="4" w:space="0" w:color="auto"/>
            </w:tcBorders>
            <w:vAlign w:val="center"/>
          </w:tcPr>
          <w:p w14:paraId="10176A30" w14:textId="77777777" w:rsidR="00A173AE" w:rsidRPr="00457FD3" w:rsidRDefault="00A173AE" w:rsidP="00207EE8">
            <w:pPr>
              <w:pStyle w:val="TableText0"/>
            </w:pPr>
            <w:r w:rsidRPr="00457FD3">
              <w:t>Patients with event</w:t>
            </w:r>
          </w:p>
        </w:tc>
        <w:tc>
          <w:tcPr>
            <w:tcW w:w="1006" w:type="pct"/>
            <w:tcBorders>
              <w:bottom w:val="single" w:sz="4" w:space="0" w:color="auto"/>
            </w:tcBorders>
            <w:vAlign w:val="center"/>
          </w:tcPr>
          <w:p w14:paraId="6D517645" w14:textId="77777777" w:rsidR="00A173AE" w:rsidRPr="00457FD3" w:rsidRDefault="00A173AE" w:rsidP="00207EE8">
            <w:pPr>
              <w:pStyle w:val="TableText0"/>
              <w:jc w:val="center"/>
            </w:pPr>
            <w:r w:rsidRPr="00457FD3">
              <w:t>190/267 (71.2%)</w:t>
            </w:r>
          </w:p>
        </w:tc>
        <w:tc>
          <w:tcPr>
            <w:tcW w:w="1011" w:type="pct"/>
            <w:tcBorders>
              <w:bottom w:val="single" w:sz="4" w:space="0" w:color="auto"/>
            </w:tcBorders>
            <w:vAlign w:val="center"/>
          </w:tcPr>
          <w:p w14:paraId="6933362A" w14:textId="77777777" w:rsidR="00A173AE" w:rsidRPr="00457FD3" w:rsidRDefault="00A173AE" w:rsidP="00207EE8">
            <w:pPr>
              <w:pStyle w:val="TableText0"/>
              <w:jc w:val="center"/>
            </w:pPr>
            <w:r w:rsidRPr="00457FD3">
              <w:t>171/262 (65.3%)</w:t>
            </w:r>
          </w:p>
        </w:tc>
        <w:tc>
          <w:tcPr>
            <w:tcW w:w="683" w:type="pct"/>
            <w:tcBorders>
              <w:bottom w:val="single" w:sz="4" w:space="0" w:color="auto"/>
            </w:tcBorders>
            <w:vAlign w:val="center"/>
          </w:tcPr>
          <w:p w14:paraId="6CB1E842" w14:textId="77777777" w:rsidR="00A173AE" w:rsidRPr="00457FD3" w:rsidRDefault="00A173AE" w:rsidP="00207EE8">
            <w:pPr>
              <w:pStyle w:val="TableText0"/>
              <w:jc w:val="center"/>
            </w:pPr>
            <w:r w:rsidRPr="00457FD3">
              <w:t>-</w:t>
            </w:r>
          </w:p>
        </w:tc>
        <w:tc>
          <w:tcPr>
            <w:tcW w:w="872" w:type="pct"/>
            <w:tcBorders>
              <w:bottom w:val="single" w:sz="4" w:space="0" w:color="auto"/>
            </w:tcBorders>
            <w:vAlign w:val="center"/>
          </w:tcPr>
          <w:p w14:paraId="0028279D" w14:textId="77777777" w:rsidR="00A173AE" w:rsidRPr="00457FD3" w:rsidRDefault="00A173AE" w:rsidP="00207EE8">
            <w:pPr>
              <w:pStyle w:val="TableText0"/>
              <w:jc w:val="center"/>
            </w:pPr>
            <w:r w:rsidRPr="00457FD3">
              <w:t>-</w:t>
            </w:r>
          </w:p>
        </w:tc>
      </w:tr>
      <w:tr w:rsidR="00A173AE" w:rsidRPr="00457FD3" w14:paraId="43ECD207" w14:textId="77777777" w:rsidTr="00207EE8">
        <w:tc>
          <w:tcPr>
            <w:tcW w:w="1428" w:type="pct"/>
            <w:tcBorders>
              <w:bottom w:val="single" w:sz="4" w:space="0" w:color="auto"/>
            </w:tcBorders>
            <w:vAlign w:val="center"/>
          </w:tcPr>
          <w:p w14:paraId="338DB768" w14:textId="77777777" w:rsidR="00A173AE" w:rsidRPr="00457FD3" w:rsidRDefault="00A173AE" w:rsidP="00207EE8">
            <w:pPr>
              <w:pStyle w:val="TableText0"/>
            </w:pPr>
            <w:r w:rsidRPr="00457FD3">
              <w:t>Patients censored</w:t>
            </w:r>
          </w:p>
        </w:tc>
        <w:tc>
          <w:tcPr>
            <w:tcW w:w="1006" w:type="pct"/>
            <w:tcBorders>
              <w:bottom w:val="single" w:sz="4" w:space="0" w:color="auto"/>
            </w:tcBorders>
            <w:vAlign w:val="center"/>
          </w:tcPr>
          <w:p w14:paraId="5EC1CE4C" w14:textId="77777777" w:rsidR="00A173AE" w:rsidRPr="00457FD3" w:rsidRDefault="00A173AE" w:rsidP="00207EE8">
            <w:pPr>
              <w:pStyle w:val="TableText0"/>
              <w:jc w:val="center"/>
              <w:rPr>
                <w:vertAlign w:val="superscript"/>
              </w:rPr>
            </w:pPr>
            <w:r w:rsidRPr="00457FD3">
              <w:t>77/267 (28.8%)</w:t>
            </w:r>
            <w:r w:rsidRPr="00457FD3">
              <w:rPr>
                <w:vertAlign w:val="superscript"/>
              </w:rPr>
              <w:t>c</w:t>
            </w:r>
          </w:p>
        </w:tc>
        <w:tc>
          <w:tcPr>
            <w:tcW w:w="1011" w:type="pct"/>
            <w:tcBorders>
              <w:bottom w:val="single" w:sz="4" w:space="0" w:color="auto"/>
            </w:tcBorders>
            <w:vAlign w:val="center"/>
          </w:tcPr>
          <w:p w14:paraId="4C141851" w14:textId="77777777" w:rsidR="00A173AE" w:rsidRPr="00457FD3" w:rsidRDefault="00A173AE" w:rsidP="00207EE8">
            <w:pPr>
              <w:pStyle w:val="TableText0"/>
              <w:jc w:val="center"/>
              <w:rPr>
                <w:vertAlign w:val="superscript"/>
              </w:rPr>
            </w:pPr>
            <w:r w:rsidRPr="00457FD3">
              <w:t>91/262 (34.7%)</w:t>
            </w:r>
            <w:r w:rsidRPr="00457FD3">
              <w:rPr>
                <w:vertAlign w:val="superscript"/>
              </w:rPr>
              <w:t>c</w:t>
            </w:r>
          </w:p>
        </w:tc>
        <w:tc>
          <w:tcPr>
            <w:tcW w:w="683" w:type="pct"/>
            <w:tcBorders>
              <w:bottom w:val="single" w:sz="4" w:space="0" w:color="auto"/>
            </w:tcBorders>
            <w:vAlign w:val="center"/>
          </w:tcPr>
          <w:p w14:paraId="39F5CC0B" w14:textId="77777777" w:rsidR="00A173AE" w:rsidRPr="00457FD3" w:rsidRDefault="00A173AE" w:rsidP="00207EE8">
            <w:pPr>
              <w:pStyle w:val="TableText0"/>
              <w:jc w:val="center"/>
            </w:pPr>
            <w:r w:rsidRPr="00457FD3">
              <w:t>-</w:t>
            </w:r>
          </w:p>
        </w:tc>
        <w:tc>
          <w:tcPr>
            <w:tcW w:w="872" w:type="pct"/>
            <w:tcBorders>
              <w:bottom w:val="single" w:sz="4" w:space="0" w:color="auto"/>
            </w:tcBorders>
            <w:vAlign w:val="center"/>
          </w:tcPr>
          <w:p w14:paraId="25A19C10" w14:textId="77777777" w:rsidR="00A173AE" w:rsidRPr="00457FD3" w:rsidRDefault="00A173AE" w:rsidP="00207EE8">
            <w:pPr>
              <w:pStyle w:val="TableText0"/>
              <w:jc w:val="center"/>
            </w:pPr>
            <w:r w:rsidRPr="00457FD3">
              <w:t>-</w:t>
            </w:r>
          </w:p>
        </w:tc>
      </w:tr>
      <w:tr w:rsidR="00A173AE" w:rsidRPr="00457FD3" w14:paraId="5B4ABEA4" w14:textId="77777777" w:rsidTr="00207EE8">
        <w:tc>
          <w:tcPr>
            <w:tcW w:w="1428" w:type="pct"/>
            <w:tcBorders>
              <w:bottom w:val="single" w:sz="4" w:space="0" w:color="auto"/>
            </w:tcBorders>
            <w:vAlign w:val="center"/>
          </w:tcPr>
          <w:p w14:paraId="6F422391" w14:textId="77777777" w:rsidR="00A173AE" w:rsidRPr="00457FD3" w:rsidRDefault="00A173AE" w:rsidP="00207EE8">
            <w:pPr>
              <w:pStyle w:val="TableText0"/>
            </w:pPr>
            <w:r w:rsidRPr="00457FD3">
              <w:t>Median PFS months (95% CI)</w:t>
            </w:r>
          </w:p>
        </w:tc>
        <w:tc>
          <w:tcPr>
            <w:tcW w:w="1006" w:type="pct"/>
            <w:tcBorders>
              <w:bottom w:val="single" w:sz="4" w:space="0" w:color="auto"/>
            </w:tcBorders>
            <w:vAlign w:val="center"/>
          </w:tcPr>
          <w:p w14:paraId="575B6763" w14:textId="77777777" w:rsidR="00A173AE" w:rsidRPr="00457FD3" w:rsidRDefault="00A173AE" w:rsidP="00207EE8">
            <w:pPr>
              <w:pStyle w:val="TableText0"/>
              <w:jc w:val="center"/>
            </w:pPr>
            <w:r w:rsidRPr="00457FD3">
              <w:t>4.8 (4.1, 5.8)</w:t>
            </w:r>
          </w:p>
        </w:tc>
        <w:tc>
          <w:tcPr>
            <w:tcW w:w="1011" w:type="pct"/>
            <w:tcBorders>
              <w:bottom w:val="single" w:sz="4" w:space="0" w:color="auto"/>
            </w:tcBorders>
            <w:vAlign w:val="center"/>
          </w:tcPr>
          <w:p w14:paraId="689A2897" w14:textId="77777777" w:rsidR="00A173AE" w:rsidRPr="00457FD3" w:rsidRDefault="00A173AE" w:rsidP="00207EE8">
            <w:pPr>
              <w:pStyle w:val="TableText0"/>
              <w:jc w:val="center"/>
            </w:pPr>
            <w:r w:rsidRPr="00457FD3">
              <w:t>1.7 (1.5, 2.5)</w:t>
            </w:r>
          </w:p>
        </w:tc>
        <w:tc>
          <w:tcPr>
            <w:tcW w:w="683" w:type="pct"/>
            <w:tcBorders>
              <w:bottom w:val="single" w:sz="4" w:space="0" w:color="auto"/>
            </w:tcBorders>
            <w:vAlign w:val="center"/>
          </w:tcPr>
          <w:p w14:paraId="7D140AB5" w14:textId="77777777" w:rsidR="00A173AE" w:rsidRPr="00457FD3" w:rsidRDefault="00A173AE" w:rsidP="00207EE8">
            <w:pPr>
              <w:pStyle w:val="TableText0"/>
              <w:jc w:val="center"/>
            </w:pPr>
            <w:r w:rsidRPr="00457FD3">
              <w:t>3.1</w:t>
            </w:r>
          </w:p>
        </w:tc>
        <w:tc>
          <w:tcPr>
            <w:tcW w:w="872" w:type="pct"/>
            <w:tcBorders>
              <w:bottom w:val="single" w:sz="4" w:space="0" w:color="auto"/>
            </w:tcBorders>
            <w:vAlign w:val="center"/>
          </w:tcPr>
          <w:p w14:paraId="04EBCA81" w14:textId="77777777" w:rsidR="00A173AE" w:rsidRPr="00457FD3" w:rsidRDefault="00A173AE" w:rsidP="00207EE8">
            <w:pPr>
              <w:pStyle w:val="TableText0"/>
              <w:jc w:val="center"/>
              <w:rPr>
                <w:b/>
              </w:rPr>
            </w:pPr>
            <w:r w:rsidRPr="00457FD3">
              <w:rPr>
                <w:b/>
              </w:rPr>
              <w:t>0.43 (0.35, 0.54)</w:t>
            </w:r>
          </w:p>
          <w:p w14:paraId="64C45701" w14:textId="77777777" w:rsidR="00A173AE" w:rsidRPr="00457FD3" w:rsidRDefault="00A173AE" w:rsidP="00207EE8">
            <w:pPr>
              <w:pStyle w:val="TableText0"/>
              <w:jc w:val="center"/>
              <w:rPr>
                <w:vertAlign w:val="superscript"/>
              </w:rPr>
            </w:pPr>
            <w:r w:rsidRPr="00457FD3">
              <w:rPr>
                <w:b/>
              </w:rPr>
              <w:t>p&lt;0.0001</w:t>
            </w:r>
            <w:r w:rsidRPr="00457FD3">
              <w:rPr>
                <w:b/>
                <w:vertAlign w:val="superscript"/>
              </w:rPr>
              <w:t>d</w:t>
            </w:r>
          </w:p>
        </w:tc>
      </w:tr>
      <w:tr w:rsidR="00A173AE" w:rsidRPr="00457FD3" w14:paraId="27E372FD" w14:textId="77777777" w:rsidTr="00207EE8">
        <w:tc>
          <w:tcPr>
            <w:tcW w:w="5000" w:type="pct"/>
            <w:gridSpan w:val="5"/>
            <w:tcBorders>
              <w:bottom w:val="single" w:sz="4" w:space="0" w:color="auto"/>
            </w:tcBorders>
            <w:vAlign w:val="center"/>
          </w:tcPr>
          <w:p w14:paraId="5D808E64" w14:textId="77777777" w:rsidR="00A173AE" w:rsidRPr="00457FD3" w:rsidRDefault="00A173AE" w:rsidP="00207EE8">
            <w:pPr>
              <w:pStyle w:val="TableText0"/>
              <w:rPr>
                <w:b/>
                <w:vertAlign w:val="superscript"/>
              </w:rPr>
            </w:pPr>
            <w:r w:rsidRPr="00457FD3">
              <w:rPr>
                <w:b/>
              </w:rPr>
              <w:t>Sensitivity analysis 1: objectively documented PD or death not censored, regardless of the timing of the event</w:t>
            </w:r>
            <w:r w:rsidRPr="00457FD3">
              <w:rPr>
                <w:b/>
                <w:vertAlign w:val="superscript"/>
              </w:rPr>
              <w:t>b</w:t>
            </w:r>
          </w:p>
        </w:tc>
      </w:tr>
      <w:tr w:rsidR="00A173AE" w:rsidRPr="00457FD3" w14:paraId="0FA2D681" w14:textId="77777777" w:rsidTr="00207EE8">
        <w:tc>
          <w:tcPr>
            <w:tcW w:w="1428" w:type="pct"/>
            <w:tcBorders>
              <w:bottom w:val="single" w:sz="4" w:space="0" w:color="auto"/>
            </w:tcBorders>
            <w:vAlign w:val="center"/>
          </w:tcPr>
          <w:p w14:paraId="5BBF1386" w14:textId="77777777" w:rsidR="00A173AE" w:rsidRPr="00457FD3" w:rsidRDefault="00A173AE" w:rsidP="00207EE8">
            <w:pPr>
              <w:pStyle w:val="TableText0"/>
            </w:pPr>
            <w:r w:rsidRPr="00457FD3">
              <w:t>Patients with event</w:t>
            </w:r>
          </w:p>
        </w:tc>
        <w:tc>
          <w:tcPr>
            <w:tcW w:w="1006" w:type="pct"/>
            <w:tcBorders>
              <w:bottom w:val="single" w:sz="4" w:space="0" w:color="auto"/>
            </w:tcBorders>
            <w:vAlign w:val="center"/>
          </w:tcPr>
          <w:p w14:paraId="4C5CDDAF" w14:textId="77777777" w:rsidR="00A173AE" w:rsidRPr="00457FD3" w:rsidRDefault="00A173AE" w:rsidP="00207EE8">
            <w:pPr>
              <w:pStyle w:val="TableText0"/>
              <w:jc w:val="center"/>
            </w:pPr>
            <w:r w:rsidRPr="00457FD3">
              <w:t>225/267 (84.3%)</w:t>
            </w:r>
          </w:p>
        </w:tc>
        <w:tc>
          <w:tcPr>
            <w:tcW w:w="1011" w:type="pct"/>
            <w:tcBorders>
              <w:bottom w:val="single" w:sz="4" w:space="0" w:color="auto"/>
            </w:tcBorders>
            <w:vAlign w:val="center"/>
          </w:tcPr>
          <w:p w14:paraId="21B172E5" w14:textId="77777777" w:rsidR="00A173AE" w:rsidRPr="00457FD3" w:rsidRDefault="00A173AE" w:rsidP="00207EE8">
            <w:pPr>
              <w:pStyle w:val="TableText0"/>
              <w:jc w:val="center"/>
            </w:pPr>
            <w:r w:rsidRPr="00457FD3">
              <w:t>232/267 (88.5%)</w:t>
            </w:r>
          </w:p>
        </w:tc>
        <w:tc>
          <w:tcPr>
            <w:tcW w:w="683" w:type="pct"/>
            <w:tcBorders>
              <w:bottom w:val="single" w:sz="4" w:space="0" w:color="auto"/>
            </w:tcBorders>
            <w:vAlign w:val="center"/>
          </w:tcPr>
          <w:p w14:paraId="2F917962" w14:textId="77777777" w:rsidR="00A173AE" w:rsidRPr="00457FD3" w:rsidRDefault="00A173AE" w:rsidP="00207EE8">
            <w:pPr>
              <w:pStyle w:val="TableText0"/>
              <w:jc w:val="center"/>
            </w:pPr>
            <w:r w:rsidRPr="00457FD3">
              <w:t>-</w:t>
            </w:r>
          </w:p>
        </w:tc>
        <w:tc>
          <w:tcPr>
            <w:tcW w:w="872" w:type="pct"/>
            <w:tcBorders>
              <w:bottom w:val="single" w:sz="4" w:space="0" w:color="auto"/>
            </w:tcBorders>
            <w:vAlign w:val="center"/>
          </w:tcPr>
          <w:p w14:paraId="7AEA754C" w14:textId="77777777" w:rsidR="00A173AE" w:rsidRPr="00457FD3" w:rsidRDefault="00A173AE" w:rsidP="00207EE8">
            <w:pPr>
              <w:pStyle w:val="TableText0"/>
              <w:jc w:val="center"/>
            </w:pPr>
            <w:r w:rsidRPr="00457FD3">
              <w:t>-</w:t>
            </w:r>
          </w:p>
        </w:tc>
      </w:tr>
      <w:tr w:rsidR="00A173AE" w:rsidRPr="00457FD3" w14:paraId="5ED1A389" w14:textId="77777777" w:rsidTr="00207EE8">
        <w:tc>
          <w:tcPr>
            <w:tcW w:w="1428" w:type="pct"/>
            <w:tcBorders>
              <w:bottom w:val="single" w:sz="4" w:space="0" w:color="auto"/>
            </w:tcBorders>
            <w:vAlign w:val="center"/>
          </w:tcPr>
          <w:p w14:paraId="750BC9EF" w14:textId="77777777" w:rsidR="00A173AE" w:rsidRPr="00457FD3" w:rsidRDefault="00A173AE" w:rsidP="00207EE8">
            <w:pPr>
              <w:pStyle w:val="TableText0"/>
            </w:pPr>
            <w:r w:rsidRPr="00457FD3">
              <w:t>Patients censored</w:t>
            </w:r>
          </w:p>
        </w:tc>
        <w:tc>
          <w:tcPr>
            <w:tcW w:w="1006" w:type="pct"/>
            <w:tcBorders>
              <w:bottom w:val="single" w:sz="4" w:space="0" w:color="auto"/>
            </w:tcBorders>
            <w:vAlign w:val="center"/>
          </w:tcPr>
          <w:p w14:paraId="604EC311" w14:textId="77777777" w:rsidR="00A173AE" w:rsidRPr="00457FD3" w:rsidRDefault="00A173AE" w:rsidP="00207EE8">
            <w:pPr>
              <w:pStyle w:val="TableText0"/>
              <w:jc w:val="center"/>
            </w:pPr>
            <w:r w:rsidRPr="00457FD3">
              <w:t>42/267 (15.7%)</w:t>
            </w:r>
          </w:p>
        </w:tc>
        <w:tc>
          <w:tcPr>
            <w:tcW w:w="1011" w:type="pct"/>
            <w:tcBorders>
              <w:bottom w:val="single" w:sz="4" w:space="0" w:color="auto"/>
            </w:tcBorders>
            <w:vAlign w:val="center"/>
          </w:tcPr>
          <w:p w14:paraId="489E5D15" w14:textId="77777777" w:rsidR="00A173AE" w:rsidRPr="00457FD3" w:rsidRDefault="00A173AE" w:rsidP="00207EE8">
            <w:pPr>
              <w:pStyle w:val="TableText0"/>
              <w:jc w:val="center"/>
            </w:pPr>
            <w:r w:rsidRPr="00457FD3">
              <w:t>30/262 (11.5%)</w:t>
            </w:r>
          </w:p>
        </w:tc>
        <w:tc>
          <w:tcPr>
            <w:tcW w:w="683" w:type="pct"/>
            <w:tcBorders>
              <w:bottom w:val="single" w:sz="4" w:space="0" w:color="auto"/>
            </w:tcBorders>
            <w:vAlign w:val="center"/>
          </w:tcPr>
          <w:p w14:paraId="7E65DCC5" w14:textId="77777777" w:rsidR="00A173AE" w:rsidRPr="00457FD3" w:rsidRDefault="00A173AE" w:rsidP="00207EE8">
            <w:pPr>
              <w:pStyle w:val="TableText0"/>
              <w:jc w:val="center"/>
            </w:pPr>
            <w:r w:rsidRPr="00457FD3">
              <w:t>-</w:t>
            </w:r>
          </w:p>
        </w:tc>
        <w:tc>
          <w:tcPr>
            <w:tcW w:w="872" w:type="pct"/>
            <w:tcBorders>
              <w:bottom w:val="single" w:sz="4" w:space="0" w:color="auto"/>
            </w:tcBorders>
            <w:vAlign w:val="center"/>
          </w:tcPr>
          <w:p w14:paraId="24D37238" w14:textId="77777777" w:rsidR="00A173AE" w:rsidRPr="00457FD3" w:rsidRDefault="00A173AE" w:rsidP="00207EE8">
            <w:pPr>
              <w:pStyle w:val="TableText0"/>
              <w:jc w:val="center"/>
            </w:pPr>
            <w:r w:rsidRPr="00457FD3">
              <w:t>-</w:t>
            </w:r>
          </w:p>
        </w:tc>
      </w:tr>
      <w:tr w:rsidR="00A173AE" w:rsidRPr="00457FD3" w14:paraId="48301153" w14:textId="77777777" w:rsidTr="00207EE8">
        <w:tc>
          <w:tcPr>
            <w:tcW w:w="1428" w:type="pct"/>
            <w:vAlign w:val="center"/>
          </w:tcPr>
          <w:p w14:paraId="2B7BACC4" w14:textId="77777777" w:rsidR="00A173AE" w:rsidRPr="00457FD3" w:rsidRDefault="00A173AE" w:rsidP="00207EE8">
            <w:pPr>
              <w:pStyle w:val="TableText0"/>
            </w:pPr>
            <w:r w:rsidRPr="00457FD3">
              <w:t>Median PFS months (95% CI)</w:t>
            </w:r>
          </w:p>
        </w:tc>
        <w:tc>
          <w:tcPr>
            <w:tcW w:w="1006" w:type="pct"/>
            <w:vAlign w:val="center"/>
          </w:tcPr>
          <w:p w14:paraId="429FA78E" w14:textId="77777777" w:rsidR="00A173AE" w:rsidRPr="00457FD3" w:rsidRDefault="00A173AE" w:rsidP="00207EE8">
            <w:pPr>
              <w:pStyle w:val="TableText0"/>
              <w:jc w:val="center"/>
            </w:pPr>
            <w:r w:rsidRPr="00457FD3">
              <w:t>5.1 (4.2, 5.8)</w:t>
            </w:r>
          </w:p>
        </w:tc>
        <w:tc>
          <w:tcPr>
            <w:tcW w:w="1011" w:type="pct"/>
            <w:vAlign w:val="center"/>
          </w:tcPr>
          <w:p w14:paraId="01EBCFF3" w14:textId="77777777" w:rsidR="00A173AE" w:rsidRPr="00457FD3" w:rsidRDefault="00A173AE" w:rsidP="00207EE8">
            <w:pPr>
              <w:pStyle w:val="TableText0"/>
              <w:jc w:val="center"/>
            </w:pPr>
            <w:r w:rsidRPr="00457FD3">
              <w:t>2.7 (1.8, 2.8)</w:t>
            </w:r>
          </w:p>
        </w:tc>
        <w:tc>
          <w:tcPr>
            <w:tcW w:w="683" w:type="pct"/>
            <w:vAlign w:val="center"/>
          </w:tcPr>
          <w:p w14:paraId="4E955D31" w14:textId="77777777" w:rsidR="00A173AE" w:rsidRPr="00457FD3" w:rsidRDefault="00A173AE" w:rsidP="00207EE8">
            <w:pPr>
              <w:pStyle w:val="TableText0"/>
              <w:jc w:val="center"/>
            </w:pPr>
            <w:r w:rsidRPr="00457FD3">
              <w:t>2.4</w:t>
            </w:r>
          </w:p>
        </w:tc>
        <w:tc>
          <w:tcPr>
            <w:tcW w:w="872" w:type="pct"/>
            <w:vAlign w:val="center"/>
          </w:tcPr>
          <w:p w14:paraId="5324F852" w14:textId="77777777" w:rsidR="00A173AE" w:rsidRPr="00457FD3" w:rsidRDefault="00A173AE" w:rsidP="00207EE8">
            <w:pPr>
              <w:pStyle w:val="TableText0"/>
              <w:jc w:val="center"/>
              <w:rPr>
                <w:b/>
              </w:rPr>
            </w:pPr>
            <w:r w:rsidRPr="00457FD3">
              <w:rPr>
                <w:b/>
              </w:rPr>
              <w:t>0.55 (0.46, 0.67)</w:t>
            </w:r>
          </w:p>
          <w:p w14:paraId="4C573243" w14:textId="77777777" w:rsidR="00A173AE" w:rsidRPr="00457FD3" w:rsidRDefault="00A173AE" w:rsidP="00207EE8">
            <w:pPr>
              <w:pStyle w:val="TableText0"/>
              <w:jc w:val="center"/>
              <w:rPr>
                <w:b/>
                <w:vertAlign w:val="superscript"/>
              </w:rPr>
            </w:pPr>
            <w:r w:rsidRPr="00457FD3">
              <w:rPr>
                <w:b/>
              </w:rPr>
              <w:t>p&lt;0.0001</w:t>
            </w:r>
            <w:r w:rsidRPr="00457FD3">
              <w:rPr>
                <w:b/>
                <w:vertAlign w:val="superscript"/>
              </w:rPr>
              <w:t>d</w:t>
            </w:r>
          </w:p>
        </w:tc>
      </w:tr>
      <w:tr w:rsidR="00A173AE" w:rsidRPr="00457FD3" w14:paraId="0FE70467" w14:textId="77777777" w:rsidTr="00207EE8">
        <w:tc>
          <w:tcPr>
            <w:tcW w:w="5000" w:type="pct"/>
            <w:gridSpan w:val="5"/>
            <w:tcBorders>
              <w:top w:val="single" w:sz="4" w:space="0" w:color="auto"/>
            </w:tcBorders>
            <w:vAlign w:val="center"/>
          </w:tcPr>
          <w:p w14:paraId="771586F3" w14:textId="77777777" w:rsidR="00A173AE" w:rsidRPr="00457FD3" w:rsidRDefault="00A173AE" w:rsidP="00207EE8">
            <w:pPr>
              <w:pStyle w:val="TableText0"/>
              <w:rPr>
                <w:b/>
                <w:lang w:val="en-US"/>
              </w:rPr>
            </w:pPr>
            <w:r w:rsidRPr="00457FD3">
              <w:rPr>
                <w:b/>
                <w:lang w:val="en-US"/>
              </w:rPr>
              <w:t>Brain metastasis negative population</w:t>
            </w:r>
            <w:r w:rsidRPr="00457FD3">
              <w:rPr>
                <w:b/>
                <w:vertAlign w:val="superscript"/>
                <w:lang w:val="en-US"/>
              </w:rPr>
              <w:t>a</w:t>
            </w:r>
            <w:r w:rsidRPr="00457FD3">
              <w:rPr>
                <w:b/>
                <w:lang w:val="en-US"/>
              </w:rPr>
              <w:t xml:space="preserve"> </w:t>
            </w:r>
          </w:p>
        </w:tc>
      </w:tr>
      <w:tr w:rsidR="00A173AE" w:rsidRPr="00457FD3" w14:paraId="27DC75D9" w14:textId="77777777" w:rsidTr="00207EE8">
        <w:tc>
          <w:tcPr>
            <w:tcW w:w="1428" w:type="pct"/>
            <w:vAlign w:val="center"/>
          </w:tcPr>
          <w:p w14:paraId="2CA09B17" w14:textId="77777777" w:rsidR="00A173AE" w:rsidRPr="00457FD3" w:rsidRDefault="00A173AE" w:rsidP="00207EE8">
            <w:pPr>
              <w:pStyle w:val="TableText0"/>
            </w:pPr>
            <w:r w:rsidRPr="00457FD3">
              <w:t>Patients with event</w:t>
            </w:r>
          </w:p>
        </w:tc>
        <w:tc>
          <w:tcPr>
            <w:tcW w:w="1006" w:type="pct"/>
            <w:vAlign w:val="center"/>
          </w:tcPr>
          <w:p w14:paraId="286A999F" w14:textId="77777777" w:rsidR="00A173AE" w:rsidRPr="00457FD3" w:rsidRDefault="00A173AE" w:rsidP="00207EE8">
            <w:pPr>
              <w:pStyle w:val="TableText0"/>
              <w:jc w:val="center"/>
            </w:pPr>
            <w:r w:rsidRPr="00457FD3">
              <w:t>166/235 (70.6%)</w:t>
            </w:r>
          </w:p>
        </w:tc>
        <w:tc>
          <w:tcPr>
            <w:tcW w:w="1011" w:type="pct"/>
            <w:vAlign w:val="center"/>
          </w:tcPr>
          <w:p w14:paraId="1C94418E" w14:textId="77777777" w:rsidR="00A173AE" w:rsidRPr="00457FD3" w:rsidRDefault="00A173AE" w:rsidP="00207EE8">
            <w:pPr>
              <w:pStyle w:val="TableText0"/>
              <w:jc w:val="center"/>
            </w:pPr>
            <w:r w:rsidRPr="00457FD3">
              <w:t>150/233 (64.4%)</w:t>
            </w:r>
          </w:p>
        </w:tc>
        <w:tc>
          <w:tcPr>
            <w:tcW w:w="683" w:type="pct"/>
            <w:vAlign w:val="center"/>
          </w:tcPr>
          <w:p w14:paraId="7EA3A16D" w14:textId="77777777" w:rsidR="00A173AE" w:rsidRPr="00457FD3" w:rsidRDefault="00A173AE" w:rsidP="00207EE8">
            <w:pPr>
              <w:pStyle w:val="TableText0"/>
              <w:jc w:val="center"/>
            </w:pPr>
            <w:r w:rsidRPr="00457FD3">
              <w:t>-</w:t>
            </w:r>
          </w:p>
        </w:tc>
        <w:tc>
          <w:tcPr>
            <w:tcW w:w="872" w:type="pct"/>
            <w:vAlign w:val="center"/>
          </w:tcPr>
          <w:p w14:paraId="6674BF51" w14:textId="77777777" w:rsidR="00A173AE" w:rsidRPr="00457FD3" w:rsidRDefault="00A173AE" w:rsidP="00207EE8">
            <w:pPr>
              <w:pStyle w:val="TableText0"/>
              <w:jc w:val="center"/>
            </w:pPr>
            <w:r w:rsidRPr="00457FD3">
              <w:t>-</w:t>
            </w:r>
          </w:p>
        </w:tc>
      </w:tr>
      <w:tr w:rsidR="00A173AE" w:rsidRPr="00457FD3" w14:paraId="493BDB5F" w14:textId="77777777" w:rsidTr="00207EE8">
        <w:tc>
          <w:tcPr>
            <w:tcW w:w="1428" w:type="pct"/>
            <w:vAlign w:val="center"/>
          </w:tcPr>
          <w:p w14:paraId="4FA1BD21" w14:textId="77777777" w:rsidR="00A173AE" w:rsidRPr="00457FD3" w:rsidRDefault="00A173AE" w:rsidP="00207EE8">
            <w:pPr>
              <w:pStyle w:val="TableText0"/>
            </w:pPr>
            <w:r w:rsidRPr="00457FD3">
              <w:t>Patients censored</w:t>
            </w:r>
          </w:p>
        </w:tc>
        <w:tc>
          <w:tcPr>
            <w:tcW w:w="1006" w:type="pct"/>
            <w:vAlign w:val="center"/>
          </w:tcPr>
          <w:p w14:paraId="0AE176C7" w14:textId="77777777" w:rsidR="00A173AE" w:rsidRPr="00457FD3" w:rsidRDefault="00A173AE" w:rsidP="00207EE8">
            <w:pPr>
              <w:pStyle w:val="TableText0"/>
              <w:jc w:val="center"/>
            </w:pPr>
            <w:r w:rsidRPr="00457FD3">
              <w:t>69/235 (29.4%)</w:t>
            </w:r>
          </w:p>
        </w:tc>
        <w:tc>
          <w:tcPr>
            <w:tcW w:w="1011" w:type="pct"/>
            <w:vAlign w:val="center"/>
          </w:tcPr>
          <w:p w14:paraId="06967754" w14:textId="77777777" w:rsidR="00A173AE" w:rsidRPr="00457FD3" w:rsidRDefault="00A173AE" w:rsidP="00207EE8">
            <w:pPr>
              <w:pStyle w:val="TableText0"/>
              <w:jc w:val="center"/>
            </w:pPr>
            <w:r w:rsidRPr="00457FD3">
              <w:t>83/233 (35.6%)</w:t>
            </w:r>
          </w:p>
        </w:tc>
        <w:tc>
          <w:tcPr>
            <w:tcW w:w="683" w:type="pct"/>
            <w:vAlign w:val="center"/>
          </w:tcPr>
          <w:p w14:paraId="556C8C7C" w14:textId="77777777" w:rsidR="00A173AE" w:rsidRPr="00457FD3" w:rsidRDefault="00A173AE" w:rsidP="00207EE8">
            <w:pPr>
              <w:pStyle w:val="TableText0"/>
              <w:jc w:val="center"/>
            </w:pPr>
            <w:r w:rsidRPr="00457FD3">
              <w:t>-</w:t>
            </w:r>
          </w:p>
        </w:tc>
        <w:tc>
          <w:tcPr>
            <w:tcW w:w="872" w:type="pct"/>
            <w:vAlign w:val="center"/>
          </w:tcPr>
          <w:p w14:paraId="40564903" w14:textId="77777777" w:rsidR="00A173AE" w:rsidRPr="00457FD3" w:rsidRDefault="00A173AE" w:rsidP="00207EE8">
            <w:pPr>
              <w:pStyle w:val="TableText0"/>
              <w:jc w:val="center"/>
            </w:pPr>
            <w:r w:rsidRPr="00457FD3">
              <w:t>-</w:t>
            </w:r>
          </w:p>
        </w:tc>
      </w:tr>
      <w:tr w:rsidR="00A173AE" w:rsidRPr="00457FD3" w14:paraId="5857F43D" w14:textId="77777777" w:rsidTr="00207EE8">
        <w:tc>
          <w:tcPr>
            <w:tcW w:w="1428" w:type="pct"/>
            <w:vAlign w:val="center"/>
          </w:tcPr>
          <w:p w14:paraId="185B98D7" w14:textId="77777777" w:rsidR="00A173AE" w:rsidRPr="00457FD3" w:rsidRDefault="00A173AE" w:rsidP="00207EE8">
            <w:pPr>
              <w:pStyle w:val="TableText0"/>
            </w:pPr>
            <w:r w:rsidRPr="00457FD3">
              <w:t>Median PFS months (95% CI)</w:t>
            </w:r>
          </w:p>
        </w:tc>
        <w:tc>
          <w:tcPr>
            <w:tcW w:w="1006" w:type="pct"/>
            <w:vAlign w:val="center"/>
          </w:tcPr>
          <w:p w14:paraId="0D0334F8" w14:textId="77777777" w:rsidR="00A173AE" w:rsidRPr="00457FD3" w:rsidRDefault="00A173AE" w:rsidP="00207EE8">
            <w:pPr>
              <w:pStyle w:val="TableText0"/>
              <w:jc w:val="center"/>
            </w:pPr>
            <w:r w:rsidRPr="00457FD3">
              <w:t>5.6 (4.3, 6.3)</w:t>
            </w:r>
          </w:p>
        </w:tc>
        <w:tc>
          <w:tcPr>
            <w:tcW w:w="1011" w:type="pct"/>
            <w:vAlign w:val="center"/>
          </w:tcPr>
          <w:p w14:paraId="4F13BECC" w14:textId="77777777" w:rsidR="00A173AE" w:rsidRPr="00457FD3" w:rsidRDefault="00A173AE" w:rsidP="00207EE8">
            <w:pPr>
              <w:pStyle w:val="TableText0"/>
              <w:jc w:val="center"/>
            </w:pPr>
            <w:r w:rsidRPr="00457FD3">
              <w:t>1.7 (1.5, 2.6)</w:t>
            </w:r>
          </w:p>
        </w:tc>
        <w:tc>
          <w:tcPr>
            <w:tcW w:w="683" w:type="pct"/>
            <w:vAlign w:val="center"/>
          </w:tcPr>
          <w:p w14:paraId="438B747F" w14:textId="77777777" w:rsidR="00A173AE" w:rsidRPr="00457FD3" w:rsidRDefault="00A173AE" w:rsidP="00207EE8">
            <w:pPr>
              <w:pStyle w:val="TableText0"/>
              <w:jc w:val="center"/>
            </w:pPr>
            <w:r w:rsidRPr="00457FD3">
              <w:t>3.9</w:t>
            </w:r>
          </w:p>
        </w:tc>
        <w:tc>
          <w:tcPr>
            <w:tcW w:w="872" w:type="pct"/>
            <w:vAlign w:val="center"/>
          </w:tcPr>
          <w:p w14:paraId="5801048D" w14:textId="77777777" w:rsidR="00A173AE" w:rsidRPr="00457FD3" w:rsidRDefault="00A173AE" w:rsidP="00207EE8">
            <w:pPr>
              <w:pStyle w:val="TableText0"/>
              <w:jc w:val="center"/>
              <w:rPr>
                <w:b/>
              </w:rPr>
            </w:pPr>
            <w:r w:rsidRPr="00457FD3">
              <w:rPr>
                <w:b/>
              </w:rPr>
              <w:t>0.41 (0.32, 0.52)</w:t>
            </w:r>
          </w:p>
          <w:p w14:paraId="3A187BF3" w14:textId="77777777" w:rsidR="00A173AE" w:rsidRPr="00457FD3" w:rsidRDefault="00A173AE" w:rsidP="00207EE8">
            <w:pPr>
              <w:pStyle w:val="TableText0"/>
              <w:jc w:val="center"/>
            </w:pPr>
            <w:r w:rsidRPr="00457FD3">
              <w:rPr>
                <w:b/>
              </w:rPr>
              <w:t>p&lt;0.0001</w:t>
            </w:r>
            <w:r w:rsidRPr="00457FD3">
              <w:rPr>
                <w:b/>
                <w:vertAlign w:val="superscript"/>
              </w:rPr>
              <w:t>d</w:t>
            </w:r>
          </w:p>
        </w:tc>
      </w:tr>
      <w:tr w:rsidR="00A173AE" w:rsidRPr="00457FD3" w14:paraId="10E1C9CB" w14:textId="77777777" w:rsidTr="00207EE8">
        <w:tc>
          <w:tcPr>
            <w:tcW w:w="5000" w:type="pct"/>
            <w:gridSpan w:val="5"/>
            <w:tcBorders>
              <w:bottom w:val="single" w:sz="4" w:space="0" w:color="auto"/>
            </w:tcBorders>
            <w:vAlign w:val="center"/>
          </w:tcPr>
          <w:p w14:paraId="4141B5A1" w14:textId="77777777" w:rsidR="00A173AE" w:rsidRPr="00457FD3" w:rsidRDefault="00A173AE" w:rsidP="00207EE8">
            <w:pPr>
              <w:pStyle w:val="TableText0"/>
              <w:rPr>
                <w:b/>
                <w:vertAlign w:val="superscript"/>
              </w:rPr>
            </w:pPr>
            <w:r w:rsidRPr="00457FD3">
              <w:rPr>
                <w:b/>
              </w:rPr>
              <w:t>Sensitivity analysis 1: objectively documented PD or death not censored, regardless of the timing of the event</w:t>
            </w:r>
            <w:r w:rsidRPr="00457FD3">
              <w:rPr>
                <w:b/>
                <w:vertAlign w:val="superscript"/>
              </w:rPr>
              <w:t>b</w:t>
            </w:r>
          </w:p>
        </w:tc>
      </w:tr>
      <w:tr w:rsidR="00A173AE" w:rsidRPr="00457FD3" w14:paraId="475B7142" w14:textId="77777777" w:rsidTr="00207EE8">
        <w:tc>
          <w:tcPr>
            <w:tcW w:w="1428" w:type="pct"/>
            <w:tcBorders>
              <w:bottom w:val="single" w:sz="4" w:space="0" w:color="auto"/>
            </w:tcBorders>
            <w:vAlign w:val="center"/>
          </w:tcPr>
          <w:p w14:paraId="41071E3A" w14:textId="77777777" w:rsidR="00A173AE" w:rsidRPr="00457FD3" w:rsidRDefault="00A173AE" w:rsidP="00207EE8">
            <w:pPr>
              <w:pStyle w:val="TableText0"/>
            </w:pPr>
            <w:r w:rsidRPr="00457FD3">
              <w:t>Patients with event</w:t>
            </w:r>
          </w:p>
        </w:tc>
        <w:tc>
          <w:tcPr>
            <w:tcW w:w="1006" w:type="pct"/>
            <w:tcBorders>
              <w:bottom w:val="single" w:sz="4" w:space="0" w:color="auto"/>
            </w:tcBorders>
            <w:vAlign w:val="center"/>
          </w:tcPr>
          <w:p w14:paraId="491F7ABA" w14:textId="77777777" w:rsidR="00A173AE" w:rsidRPr="00457FD3" w:rsidRDefault="00A173AE" w:rsidP="00207EE8">
            <w:pPr>
              <w:pStyle w:val="TableText0"/>
              <w:jc w:val="center"/>
            </w:pPr>
            <w:r w:rsidRPr="00457FD3">
              <w:t>196/235 (83.4%)</w:t>
            </w:r>
          </w:p>
        </w:tc>
        <w:tc>
          <w:tcPr>
            <w:tcW w:w="1011" w:type="pct"/>
            <w:tcBorders>
              <w:bottom w:val="single" w:sz="4" w:space="0" w:color="auto"/>
            </w:tcBorders>
            <w:vAlign w:val="center"/>
          </w:tcPr>
          <w:p w14:paraId="57B3FB60" w14:textId="77777777" w:rsidR="00A173AE" w:rsidRPr="00457FD3" w:rsidRDefault="00A173AE" w:rsidP="00207EE8">
            <w:pPr>
              <w:pStyle w:val="TableText0"/>
              <w:jc w:val="center"/>
            </w:pPr>
            <w:r w:rsidRPr="00457FD3">
              <w:t>208/233 (89.3%)</w:t>
            </w:r>
          </w:p>
        </w:tc>
        <w:tc>
          <w:tcPr>
            <w:tcW w:w="683" w:type="pct"/>
            <w:tcBorders>
              <w:bottom w:val="single" w:sz="4" w:space="0" w:color="auto"/>
            </w:tcBorders>
            <w:vAlign w:val="center"/>
          </w:tcPr>
          <w:p w14:paraId="2EBF687E" w14:textId="77777777" w:rsidR="00A173AE" w:rsidRPr="00457FD3" w:rsidRDefault="00A173AE" w:rsidP="00207EE8">
            <w:pPr>
              <w:pStyle w:val="TableText0"/>
              <w:jc w:val="center"/>
            </w:pPr>
            <w:r w:rsidRPr="00457FD3">
              <w:t>-</w:t>
            </w:r>
          </w:p>
        </w:tc>
        <w:tc>
          <w:tcPr>
            <w:tcW w:w="872" w:type="pct"/>
            <w:tcBorders>
              <w:bottom w:val="single" w:sz="4" w:space="0" w:color="auto"/>
            </w:tcBorders>
            <w:vAlign w:val="center"/>
          </w:tcPr>
          <w:p w14:paraId="001882B8" w14:textId="77777777" w:rsidR="00A173AE" w:rsidRPr="00457FD3" w:rsidRDefault="00A173AE" w:rsidP="00207EE8">
            <w:pPr>
              <w:pStyle w:val="TableText0"/>
              <w:jc w:val="center"/>
            </w:pPr>
            <w:r w:rsidRPr="00457FD3">
              <w:t>-</w:t>
            </w:r>
          </w:p>
        </w:tc>
      </w:tr>
      <w:tr w:rsidR="00A173AE" w:rsidRPr="00457FD3" w14:paraId="11AD6E5E" w14:textId="77777777" w:rsidTr="00207EE8">
        <w:tc>
          <w:tcPr>
            <w:tcW w:w="1428" w:type="pct"/>
            <w:tcBorders>
              <w:bottom w:val="single" w:sz="4" w:space="0" w:color="auto"/>
            </w:tcBorders>
            <w:vAlign w:val="center"/>
          </w:tcPr>
          <w:p w14:paraId="1A14D576" w14:textId="77777777" w:rsidR="00A173AE" w:rsidRPr="00457FD3" w:rsidRDefault="00A173AE" w:rsidP="00207EE8">
            <w:pPr>
              <w:pStyle w:val="TableText0"/>
            </w:pPr>
            <w:r w:rsidRPr="00457FD3">
              <w:t>Patients censored</w:t>
            </w:r>
          </w:p>
        </w:tc>
        <w:tc>
          <w:tcPr>
            <w:tcW w:w="1006" w:type="pct"/>
            <w:tcBorders>
              <w:bottom w:val="single" w:sz="4" w:space="0" w:color="auto"/>
            </w:tcBorders>
            <w:vAlign w:val="center"/>
          </w:tcPr>
          <w:p w14:paraId="2C4DC0DF" w14:textId="77777777" w:rsidR="00A173AE" w:rsidRPr="00457FD3" w:rsidRDefault="00A173AE" w:rsidP="00207EE8">
            <w:pPr>
              <w:pStyle w:val="TableText0"/>
              <w:jc w:val="center"/>
              <w:rPr>
                <w:vertAlign w:val="superscript"/>
              </w:rPr>
            </w:pPr>
            <w:r w:rsidRPr="00457FD3">
              <w:t>39/235 (16.6%)</w:t>
            </w:r>
            <w:r w:rsidRPr="00457FD3">
              <w:rPr>
                <w:vertAlign w:val="superscript"/>
              </w:rPr>
              <w:t>e</w:t>
            </w:r>
          </w:p>
        </w:tc>
        <w:tc>
          <w:tcPr>
            <w:tcW w:w="1011" w:type="pct"/>
            <w:tcBorders>
              <w:bottom w:val="single" w:sz="4" w:space="0" w:color="auto"/>
            </w:tcBorders>
            <w:vAlign w:val="center"/>
          </w:tcPr>
          <w:p w14:paraId="3DECFCE9" w14:textId="77777777" w:rsidR="00A173AE" w:rsidRPr="00457FD3" w:rsidRDefault="00A173AE" w:rsidP="00207EE8">
            <w:pPr>
              <w:pStyle w:val="TableText0"/>
              <w:jc w:val="center"/>
              <w:rPr>
                <w:vertAlign w:val="superscript"/>
              </w:rPr>
            </w:pPr>
            <w:r w:rsidRPr="00457FD3">
              <w:t>25 (10.7%)</w:t>
            </w:r>
            <w:r w:rsidRPr="00457FD3">
              <w:rPr>
                <w:vertAlign w:val="superscript"/>
              </w:rPr>
              <w:t>e</w:t>
            </w:r>
          </w:p>
        </w:tc>
        <w:tc>
          <w:tcPr>
            <w:tcW w:w="683" w:type="pct"/>
            <w:tcBorders>
              <w:bottom w:val="single" w:sz="4" w:space="0" w:color="auto"/>
            </w:tcBorders>
            <w:vAlign w:val="center"/>
          </w:tcPr>
          <w:p w14:paraId="47AF3E93" w14:textId="77777777" w:rsidR="00A173AE" w:rsidRPr="00457FD3" w:rsidRDefault="00A173AE" w:rsidP="00207EE8">
            <w:pPr>
              <w:pStyle w:val="TableText0"/>
              <w:jc w:val="center"/>
            </w:pPr>
            <w:r w:rsidRPr="00457FD3">
              <w:t>-</w:t>
            </w:r>
          </w:p>
        </w:tc>
        <w:tc>
          <w:tcPr>
            <w:tcW w:w="872" w:type="pct"/>
            <w:tcBorders>
              <w:bottom w:val="single" w:sz="4" w:space="0" w:color="auto"/>
            </w:tcBorders>
            <w:vAlign w:val="center"/>
          </w:tcPr>
          <w:p w14:paraId="290075A1" w14:textId="77777777" w:rsidR="00A173AE" w:rsidRPr="00457FD3" w:rsidRDefault="00A173AE" w:rsidP="00207EE8">
            <w:pPr>
              <w:pStyle w:val="TableText0"/>
              <w:jc w:val="center"/>
            </w:pPr>
            <w:r w:rsidRPr="00457FD3">
              <w:t>-</w:t>
            </w:r>
          </w:p>
        </w:tc>
      </w:tr>
      <w:tr w:rsidR="00A173AE" w:rsidRPr="00457FD3" w14:paraId="3DEEABCE" w14:textId="77777777" w:rsidTr="00207EE8">
        <w:tc>
          <w:tcPr>
            <w:tcW w:w="1428" w:type="pct"/>
            <w:vAlign w:val="center"/>
          </w:tcPr>
          <w:p w14:paraId="456FCD90" w14:textId="77777777" w:rsidR="00A173AE" w:rsidRPr="00457FD3" w:rsidRDefault="00A173AE" w:rsidP="00207EE8">
            <w:pPr>
              <w:pStyle w:val="TableText0"/>
            </w:pPr>
            <w:r w:rsidRPr="00457FD3">
              <w:t>Median PFS months (95% CI)</w:t>
            </w:r>
          </w:p>
        </w:tc>
        <w:tc>
          <w:tcPr>
            <w:tcW w:w="1006" w:type="pct"/>
            <w:vAlign w:val="center"/>
          </w:tcPr>
          <w:p w14:paraId="6D2DD6BD" w14:textId="77777777" w:rsidR="00A173AE" w:rsidRPr="00457FD3" w:rsidRDefault="00A173AE" w:rsidP="00207EE8">
            <w:pPr>
              <w:pStyle w:val="TableText0"/>
              <w:jc w:val="center"/>
            </w:pPr>
            <w:r w:rsidRPr="00457FD3">
              <w:t>5.6 (4.3, 6.5)</w:t>
            </w:r>
          </w:p>
        </w:tc>
        <w:tc>
          <w:tcPr>
            <w:tcW w:w="1011" w:type="pct"/>
            <w:vAlign w:val="center"/>
          </w:tcPr>
          <w:p w14:paraId="1294112A" w14:textId="77777777" w:rsidR="00A173AE" w:rsidRPr="00457FD3" w:rsidRDefault="00A173AE" w:rsidP="00207EE8">
            <w:pPr>
              <w:pStyle w:val="TableText0"/>
              <w:jc w:val="center"/>
            </w:pPr>
            <w:r w:rsidRPr="00457FD3">
              <w:t>2.7 (2.0, 2.9)</w:t>
            </w:r>
          </w:p>
        </w:tc>
        <w:tc>
          <w:tcPr>
            <w:tcW w:w="683" w:type="pct"/>
            <w:vAlign w:val="center"/>
          </w:tcPr>
          <w:p w14:paraId="55633F83" w14:textId="77777777" w:rsidR="00A173AE" w:rsidRPr="00457FD3" w:rsidRDefault="00A173AE" w:rsidP="00207EE8">
            <w:pPr>
              <w:pStyle w:val="TableText0"/>
              <w:jc w:val="center"/>
            </w:pPr>
            <w:r w:rsidRPr="00457FD3">
              <w:t>2.9</w:t>
            </w:r>
          </w:p>
        </w:tc>
        <w:tc>
          <w:tcPr>
            <w:tcW w:w="872" w:type="pct"/>
            <w:vAlign w:val="center"/>
          </w:tcPr>
          <w:p w14:paraId="5B887AD3" w14:textId="77777777" w:rsidR="00A173AE" w:rsidRPr="00457FD3" w:rsidRDefault="00A173AE" w:rsidP="00207EE8">
            <w:pPr>
              <w:pStyle w:val="TableText0"/>
              <w:jc w:val="center"/>
              <w:rPr>
                <w:b/>
              </w:rPr>
            </w:pPr>
            <w:r w:rsidRPr="00457FD3">
              <w:rPr>
                <w:b/>
              </w:rPr>
              <w:t>0.54 (0.44, 0.65)</w:t>
            </w:r>
          </w:p>
          <w:p w14:paraId="1DDCE29F" w14:textId="77777777" w:rsidR="00A173AE" w:rsidRPr="00457FD3" w:rsidRDefault="00A173AE" w:rsidP="00207EE8">
            <w:pPr>
              <w:pStyle w:val="TableText0"/>
              <w:jc w:val="center"/>
              <w:rPr>
                <w:b/>
                <w:vertAlign w:val="superscript"/>
              </w:rPr>
            </w:pPr>
            <w:r w:rsidRPr="00457FD3">
              <w:rPr>
                <w:b/>
              </w:rPr>
              <w:t>p&lt;0.0001</w:t>
            </w:r>
            <w:r w:rsidRPr="00457FD3">
              <w:rPr>
                <w:b/>
                <w:vertAlign w:val="superscript"/>
              </w:rPr>
              <w:t>d</w:t>
            </w:r>
          </w:p>
        </w:tc>
      </w:tr>
    </w:tbl>
    <w:p w14:paraId="0841C09A" w14:textId="77777777" w:rsidR="00A173AE" w:rsidRPr="00457FD3" w:rsidRDefault="00A173AE" w:rsidP="00A173AE">
      <w:pPr>
        <w:pStyle w:val="TableFigureFooter"/>
        <w:rPr>
          <w:rFonts w:eastAsiaTheme="majorEastAsia"/>
        </w:rPr>
      </w:pPr>
      <w:r w:rsidRPr="00457FD3">
        <w:rPr>
          <w:rFonts w:eastAsiaTheme="majorEastAsia"/>
        </w:rPr>
        <w:t>Source: Table 2-39 p 92 of the submission.</w:t>
      </w:r>
    </w:p>
    <w:p w14:paraId="5D86815A" w14:textId="77777777" w:rsidR="00A173AE" w:rsidRPr="00457FD3" w:rsidRDefault="00A173AE" w:rsidP="00A173AE">
      <w:pPr>
        <w:pStyle w:val="TableFigureFooter"/>
        <w:rPr>
          <w:rFonts w:eastAsiaTheme="majorEastAsia"/>
        </w:rPr>
      </w:pPr>
      <w:r w:rsidRPr="00457FD3">
        <w:rPr>
          <w:rFonts w:eastAsiaTheme="majorEastAsia"/>
        </w:rPr>
        <w:t>CI = confidence interval; HR = hazard ratio; IRC = Independent Review Committee; ITT = intention to treat; PD = progressive disease; PFS = progression free survival; SG = sacituzumab govitecan; TPC = treatment of physician's choice.</w:t>
      </w:r>
    </w:p>
    <w:p w14:paraId="0C1D3663" w14:textId="77777777" w:rsidR="00A173AE" w:rsidRPr="00457FD3" w:rsidRDefault="00A173AE" w:rsidP="00A173AE">
      <w:pPr>
        <w:pStyle w:val="TableFigureFooter"/>
        <w:ind w:left="142" w:hanging="142"/>
      </w:pPr>
      <w:r w:rsidRPr="00457FD3">
        <w:rPr>
          <w:rFonts w:eastAsiaTheme="majorEastAsia"/>
          <w:vertAlign w:val="superscript"/>
        </w:rPr>
        <w:t>a</w:t>
      </w:r>
      <w:r w:rsidRPr="00457FD3">
        <w:rPr>
          <w:rFonts w:eastAsiaTheme="majorEastAsia"/>
        </w:rPr>
        <w:t xml:space="preserve"> In addition to censoring patients who remained on study treatment with no progression event,</w:t>
      </w:r>
      <w:r w:rsidRPr="00457FD3">
        <w:t xml:space="preserve"> patients who had a progression event after missing two or more scheduled successive assessments were censored at the date of the last assessment prior to the missed ones, and patients who initiated other anti-cancer treatment prior to a progression event were censored prior to starting other treatment, even if they subsequently had a documented progression event. </w:t>
      </w:r>
    </w:p>
    <w:p w14:paraId="57BC1B87" w14:textId="77777777" w:rsidR="00A173AE" w:rsidRPr="00457FD3" w:rsidRDefault="00A173AE" w:rsidP="00A173AE">
      <w:pPr>
        <w:pStyle w:val="TableFigureFooter"/>
        <w:ind w:left="142" w:hanging="142"/>
        <w:rPr>
          <w:rFonts w:eastAsiaTheme="majorEastAsia"/>
        </w:rPr>
      </w:pPr>
      <w:r w:rsidRPr="00457FD3">
        <w:rPr>
          <w:rFonts w:eastAsiaTheme="majorEastAsia"/>
          <w:vertAlign w:val="superscript"/>
        </w:rPr>
        <w:t xml:space="preserve">b </w:t>
      </w:r>
      <w:r w:rsidRPr="00457FD3">
        <w:rPr>
          <w:rFonts w:eastAsiaTheme="majorEastAsia"/>
        </w:rPr>
        <w:t>In PFS sensitivity analysis 1, patients with objectively documented progression or death were considered to have experienced an event at the date of progression or death, rather than being censored, regardless of the timing of the event.</w:t>
      </w:r>
    </w:p>
    <w:p w14:paraId="6678E049" w14:textId="77777777" w:rsidR="00A173AE" w:rsidRPr="00457FD3" w:rsidRDefault="00A173AE" w:rsidP="00A173AE">
      <w:pPr>
        <w:pStyle w:val="TableFigureFooter"/>
        <w:rPr>
          <w:rFonts w:eastAsiaTheme="majorEastAsia"/>
        </w:rPr>
      </w:pPr>
      <w:r w:rsidRPr="00457FD3">
        <w:rPr>
          <w:rFonts w:eastAsiaTheme="majorEastAsia"/>
          <w:vertAlign w:val="superscript"/>
        </w:rPr>
        <w:t>c</w:t>
      </w:r>
      <w:r w:rsidRPr="00457FD3">
        <w:rPr>
          <w:rFonts w:eastAsiaTheme="majorEastAsia"/>
        </w:rPr>
        <w:t xml:space="preserve"> Only 17 patients (6.4%) in the SG arm were continuing on study treatment. All patients in the TPC arm had discontinued study treatment.</w:t>
      </w:r>
    </w:p>
    <w:p w14:paraId="46412CFB" w14:textId="77777777" w:rsidR="00A173AE" w:rsidRPr="00457FD3" w:rsidRDefault="00A173AE" w:rsidP="00A173AE">
      <w:pPr>
        <w:pStyle w:val="TableFigureFooter"/>
        <w:rPr>
          <w:rFonts w:eastAsiaTheme="majorEastAsia"/>
        </w:rPr>
      </w:pPr>
      <w:r w:rsidRPr="00457FD3">
        <w:rPr>
          <w:rFonts w:eastAsiaTheme="majorEastAsia"/>
          <w:vertAlign w:val="superscript"/>
        </w:rPr>
        <w:t>d</w:t>
      </w:r>
      <w:r w:rsidRPr="00457FD3">
        <w:rPr>
          <w:rFonts w:eastAsiaTheme="majorEastAsia"/>
        </w:rPr>
        <w:t xml:space="preserve"> Stratified log-rank p-value.</w:t>
      </w:r>
    </w:p>
    <w:p w14:paraId="4D677891" w14:textId="77777777" w:rsidR="00A173AE" w:rsidRPr="00457FD3" w:rsidRDefault="00A173AE" w:rsidP="00A173AE">
      <w:pPr>
        <w:pStyle w:val="TableFigureFooter"/>
        <w:rPr>
          <w:rFonts w:eastAsiaTheme="majorEastAsia"/>
        </w:rPr>
      </w:pPr>
      <w:r w:rsidRPr="00457FD3">
        <w:rPr>
          <w:rFonts w:eastAsiaTheme="majorEastAsia"/>
          <w:vertAlign w:val="superscript"/>
        </w:rPr>
        <w:t>e</w:t>
      </w:r>
      <w:r w:rsidRPr="00457FD3">
        <w:rPr>
          <w:rFonts w:eastAsiaTheme="majorEastAsia"/>
        </w:rPr>
        <w:t> Only 15 patients (6.4%) in the SG arm were continuing on study treatment. All patients in the TPC arm had discontinued study treatment.</w:t>
      </w:r>
    </w:p>
    <w:p w14:paraId="15893549" w14:textId="77777777" w:rsidR="00A173AE" w:rsidRPr="00457FD3" w:rsidRDefault="00A173AE" w:rsidP="00A173AE">
      <w:pPr>
        <w:pStyle w:val="TableFigureFooter"/>
        <w:rPr>
          <w:rFonts w:eastAsiaTheme="majorEastAsia"/>
          <w:b/>
        </w:rPr>
      </w:pPr>
      <w:r w:rsidRPr="00457FD3">
        <w:rPr>
          <w:rFonts w:eastAsiaTheme="majorEastAsia"/>
          <w:b/>
        </w:rPr>
        <w:t>Figures in bold text indicate statistically significant differences between treatment groups.</w:t>
      </w:r>
    </w:p>
    <w:p w14:paraId="4BCDE67E" w14:textId="77777777" w:rsidR="00A173AE" w:rsidRPr="00457FD3" w:rsidRDefault="00A173AE" w:rsidP="00A173AE">
      <w:pPr>
        <w:rPr>
          <w:rFonts w:eastAsiaTheme="majorEastAsia"/>
        </w:rPr>
      </w:pPr>
    </w:p>
    <w:p w14:paraId="351059B9" w14:textId="77777777" w:rsidR="00A173AE" w:rsidRPr="00457FD3" w:rsidRDefault="00A173AE" w:rsidP="00A173AE">
      <w:pPr>
        <w:pStyle w:val="TableFigureHeading"/>
      </w:pPr>
      <w:r w:rsidRPr="00457FD3">
        <w:lastRenderedPageBreak/>
        <w:t xml:space="preserve">Figure </w:t>
      </w:r>
      <w:r w:rsidR="00970868" w:rsidRPr="00457FD3">
        <w:rPr>
          <w:noProof/>
        </w:rPr>
        <w:t>2</w:t>
      </w:r>
      <w:r w:rsidRPr="00457FD3">
        <w:t>: Kaplan-Meier plot of progression free survival by IRC assessment (ITT population)</w:t>
      </w:r>
    </w:p>
    <w:p w14:paraId="4F4EE1E7" w14:textId="77777777" w:rsidR="00A173AE" w:rsidRPr="00457FD3" w:rsidRDefault="00A173AE" w:rsidP="00A173AE">
      <w:pPr>
        <w:pStyle w:val="TableText0"/>
      </w:pPr>
      <w:r w:rsidRPr="00457FD3">
        <w:rPr>
          <w:noProof/>
        </w:rPr>
        <w:drawing>
          <wp:inline distT="0" distB="0" distL="0" distR="0" wp14:anchorId="328096E8" wp14:editId="70AA733E">
            <wp:extent cx="5730875" cy="2938780"/>
            <wp:effectExtent l="0" t="0" r="3175" b="0"/>
            <wp:docPr id="86" name="Picture 86" title="Figure 2: Kaplan-Meier plot of progression free survival by IRC assessment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2938780"/>
                    </a:xfrm>
                    <a:prstGeom prst="rect">
                      <a:avLst/>
                    </a:prstGeom>
                    <a:noFill/>
                  </pic:spPr>
                </pic:pic>
              </a:graphicData>
            </a:graphic>
          </wp:inline>
        </w:drawing>
      </w:r>
    </w:p>
    <w:p w14:paraId="203D30A3" w14:textId="77777777" w:rsidR="00A173AE" w:rsidRPr="00457FD3" w:rsidRDefault="00A173AE" w:rsidP="00A173AE">
      <w:pPr>
        <w:pStyle w:val="TableFigureFooter"/>
        <w:rPr>
          <w:rFonts w:eastAsiaTheme="majorEastAsia"/>
        </w:rPr>
      </w:pPr>
      <w:r w:rsidRPr="00457FD3">
        <w:rPr>
          <w:rFonts w:eastAsiaTheme="majorEastAsia"/>
        </w:rPr>
        <w:t>Source: Figure 2-10, p93 of the submission.</w:t>
      </w:r>
    </w:p>
    <w:p w14:paraId="667FAF42" w14:textId="77777777" w:rsidR="00A173AE" w:rsidRPr="00457FD3" w:rsidRDefault="00A173AE" w:rsidP="00A173AE">
      <w:pPr>
        <w:pStyle w:val="TableFigureFooter"/>
      </w:pPr>
      <w:r w:rsidRPr="00457FD3">
        <w:rPr>
          <w:rFonts w:eastAsiaTheme="majorEastAsia"/>
        </w:rPr>
        <w:t>CI = confidence interval; IMMU-132 = sacituzumab govitecan; IRC = Independent Review Committee; ITT = intention to treat; TPC = treatment of physician's choice.</w:t>
      </w:r>
      <w:r w:rsidRPr="00457FD3">
        <w:t xml:space="preserve"> </w:t>
      </w:r>
    </w:p>
    <w:p w14:paraId="4B737335" w14:textId="77777777" w:rsidR="00A173AE" w:rsidRPr="00457FD3" w:rsidRDefault="00A173AE" w:rsidP="00DC0094">
      <w:pPr>
        <w:pStyle w:val="3-BodyText"/>
      </w:pPr>
      <w:r w:rsidRPr="00457FD3">
        <w:t xml:space="preserve">SG was statistically superior to TPC in terms of PFS. The submission performed a number of sensitivity analyses for PFS using alternative censoring rules. The results of sensitivity analysis 1 indicate that the extensive censoring of patients in the </w:t>
      </w:r>
      <w:r w:rsidR="00DC0094" w:rsidRPr="00457FD3">
        <w:t xml:space="preserve">TPC arm in the </w:t>
      </w:r>
      <w:r w:rsidRPr="00457FD3">
        <w:t xml:space="preserve">primary analysis, mostly for reasons other than continuing on treatment with no progression event, may have biased the results of the primary analysis in favour of SG. </w:t>
      </w:r>
    </w:p>
    <w:p w14:paraId="2717983D" w14:textId="77777777" w:rsidR="00A173AE" w:rsidRPr="00457FD3" w:rsidRDefault="00A173AE" w:rsidP="00A173AE">
      <w:pPr>
        <w:pStyle w:val="3-BodyText"/>
      </w:pPr>
      <w:r w:rsidRPr="00457FD3">
        <w:t>Quality of life was assessed using</w:t>
      </w:r>
      <w:r w:rsidRPr="00457FD3">
        <w:rPr>
          <w:rFonts w:ascii="Calibri" w:hAnsi="Calibri"/>
          <w:snapToGrid/>
        </w:rPr>
        <w:t xml:space="preserve"> </w:t>
      </w:r>
      <w:r w:rsidRPr="00457FD3">
        <w:t>European Organisation for Research and Treatment of Cancer Quality of life Questionnaire-Core 30 (EORTC QLQ-C30) at baseline, the beginning of every cycle (defined as 21 days), and the final study visit (four weeks after the last dose of study drug or in event of premature study termination). The submission stated that QoL was similar in the SG and TPC groups over time.</w:t>
      </w:r>
    </w:p>
    <w:p w14:paraId="4F3829C9" w14:textId="77777777" w:rsidR="005F7A19" w:rsidRDefault="00A173AE" w:rsidP="005F7A19">
      <w:pPr>
        <w:pStyle w:val="3-BodyText"/>
      </w:pPr>
      <w:r w:rsidRPr="00457FD3">
        <w:t>As the submission did not provide details of the number of patients completing the questionnaire each cycle, the risk of responder bias could not be assessed</w:t>
      </w:r>
      <w:r w:rsidR="00004B0D">
        <w:t xml:space="preserve"> in the evaluation</w:t>
      </w:r>
      <w:r w:rsidRPr="00457FD3">
        <w:t xml:space="preserve">. </w:t>
      </w:r>
      <w:r w:rsidR="005F7A19">
        <w:t>The pre-PBAC response provided data that showed:</w:t>
      </w:r>
    </w:p>
    <w:p w14:paraId="38A7E4C1" w14:textId="77777777" w:rsidR="005F7A19" w:rsidRDefault="005F7A19" w:rsidP="00AB778B">
      <w:pPr>
        <w:pStyle w:val="ListParagraph"/>
        <w:ind w:left="1134"/>
      </w:pPr>
      <w:r w:rsidRPr="005E77FD">
        <w:t>HR-QoL assessment</w:t>
      </w:r>
      <w:r>
        <w:t>/</w:t>
      </w:r>
      <w:r w:rsidRPr="005E77FD">
        <w:t>s</w:t>
      </w:r>
      <w:r>
        <w:t xml:space="preserve"> were available for 88.4% of patients in SG arm (236/267), and 69.8% of patients in the TPC arm (183/262).</w:t>
      </w:r>
    </w:p>
    <w:p w14:paraId="1BFF86B3" w14:textId="77777777" w:rsidR="00B97E42" w:rsidRDefault="005F7A19" w:rsidP="00AB778B">
      <w:pPr>
        <w:pStyle w:val="ListParagraph"/>
        <w:ind w:left="1134"/>
      </w:pPr>
      <w:r>
        <w:t>the completion rate (</w:t>
      </w:r>
      <w:r w:rsidRPr="005E77FD">
        <w:t>estimated by dividing the number of valid HR-QoL assessments with the number of patients expected to provide an assessment at that time point</w:t>
      </w:r>
      <w:r>
        <w:t xml:space="preserve">) was generally 90% or higher until treatment cycle 10 and was comparable between SG and TPC across assessments. </w:t>
      </w:r>
    </w:p>
    <w:p w14:paraId="34DF388D" w14:textId="77777777" w:rsidR="00004B0D" w:rsidRDefault="00B97E42" w:rsidP="00B97E42">
      <w:pPr>
        <w:pStyle w:val="3-BodyText"/>
      </w:pPr>
      <w:r>
        <w:lastRenderedPageBreak/>
        <w:t>Th</w:t>
      </w:r>
      <w:r w:rsidR="00FA58A8">
        <w:t>e</w:t>
      </w:r>
      <w:r w:rsidR="00A173AE" w:rsidRPr="00457FD3">
        <w:t xml:space="preserve">re was considerable risk of performance/assessment bias due to the open-label design of the trial. Therefore, </w:t>
      </w:r>
      <w:r w:rsidR="005F21CB" w:rsidRPr="00457FD3">
        <w:t xml:space="preserve">the evaluation </w:t>
      </w:r>
      <w:r>
        <w:t xml:space="preserve">and the ESC </w:t>
      </w:r>
      <w:r w:rsidR="005F21CB" w:rsidRPr="00457FD3">
        <w:t xml:space="preserve">considered that </w:t>
      </w:r>
      <w:r w:rsidR="00A173AE" w:rsidRPr="00457FD3">
        <w:t xml:space="preserve">the validity of the results was uncertain and they should be interpreted with caution. </w:t>
      </w:r>
    </w:p>
    <w:p w14:paraId="7289438C" w14:textId="77777777" w:rsidR="00691D87" w:rsidRDefault="00FA58A8" w:rsidP="0035347F">
      <w:pPr>
        <w:pStyle w:val="3-BodyText"/>
      </w:pPr>
      <w:r>
        <w:t>A</w:t>
      </w:r>
      <w:r w:rsidR="00A173AE" w:rsidRPr="00457FD3">
        <w:t>s patients completed the questionnaire on Day 1 of each 21-day study cycle, the data may not have captured the full impact of adverse events (AEs) on the patients’ QoL, especially for those drugs administered on a 21-day treatment cycle where treatment is only administered on days 1 and 8 (SG and eribulin), or patients have a week’s rest from treatment prior to commencing the next cycle (capecitabine). The</w:t>
      </w:r>
      <w:r>
        <w:t xml:space="preserve"> evaluation considered that the</w:t>
      </w:r>
      <w:r w:rsidR="00A173AE" w:rsidRPr="00457FD3">
        <w:t xml:space="preserve"> QoL data were not consistent with the comparative safety profiles of SG and TPC. These data were used to derive the utility values applied in the progression free and progressed disease health states in the economic model.</w:t>
      </w:r>
      <w:r w:rsidR="00E2235D" w:rsidRPr="00457FD3">
        <w:t xml:space="preserve"> </w:t>
      </w:r>
    </w:p>
    <w:p w14:paraId="16F15942" w14:textId="77777777" w:rsidR="005F7A19" w:rsidRPr="005F7A19" w:rsidRDefault="00E2235D" w:rsidP="005F7A19">
      <w:pPr>
        <w:pStyle w:val="3-BodyText"/>
      </w:pPr>
      <w:r w:rsidRPr="00457FD3">
        <w:t xml:space="preserve">The </w:t>
      </w:r>
      <w:r w:rsidR="008135D8">
        <w:t>Pre-Sub-Committee Response (</w:t>
      </w:r>
      <w:r w:rsidRPr="00457FD3">
        <w:t>PSCR</w:t>
      </w:r>
      <w:r w:rsidR="008135D8">
        <w:t>)</w:t>
      </w:r>
      <w:r w:rsidR="00375E01" w:rsidRPr="00457FD3">
        <w:t xml:space="preserve"> </w:t>
      </w:r>
      <w:r w:rsidR="005C0DE3" w:rsidRPr="00457FD3">
        <w:t xml:space="preserve">stated </w:t>
      </w:r>
      <w:r w:rsidRPr="00457FD3">
        <w:t xml:space="preserve">that </w:t>
      </w:r>
      <w:r w:rsidR="005C0DE3" w:rsidRPr="00457FD3">
        <w:rPr>
          <w:lang w:val="en-US"/>
        </w:rPr>
        <w:t>the QoL data collect</w:t>
      </w:r>
      <w:r w:rsidR="00FC389F" w:rsidRPr="00457FD3">
        <w:rPr>
          <w:lang w:val="en-US"/>
        </w:rPr>
        <w:t>ion</w:t>
      </w:r>
      <w:r w:rsidR="005C0DE3" w:rsidRPr="00457FD3">
        <w:rPr>
          <w:lang w:val="en-US"/>
        </w:rPr>
        <w:t xml:space="preserve"> w</w:t>
      </w:r>
      <w:r w:rsidR="00FC389F" w:rsidRPr="00457FD3">
        <w:rPr>
          <w:lang w:val="en-US"/>
        </w:rPr>
        <w:t>as</w:t>
      </w:r>
      <w:r w:rsidR="005C0DE3" w:rsidRPr="00457FD3">
        <w:rPr>
          <w:lang w:val="en-US"/>
        </w:rPr>
        <w:t xml:space="preserve"> repeated by each patient in subsequent cycles </w:t>
      </w:r>
      <w:r w:rsidR="00FC389F" w:rsidRPr="00457FD3">
        <w:rPr>
          <w:lang w:val="en-US"/>
        </w:rPr>
        <w:t>which was</w:t>
      </w:r>
      <w:r w:rsidRPr="00457FD3">
        <w:rPr>
          <w:rFonts w:cstheme="minorHAnsi"/>
        </w:rPr>
        <w:t xml:space="preserve"> likely to capture AE</w:t>
      </w:r>
      <w:r w:rsidR="00FC389F" w:rsidRPr="00457FD3">
        <w:rPr>
          <w:rFonts w:cstheme="minorHAnsi"/>
        </w:rPr>
        <w:t>s</w:t>
      </w:r>
      <w:r w:rsidRPr="00457FD3">
        <w:rPr>
          <w:rFonts w:cstheme="minorHAnsi"/>
        </w:rPr>
        <w:t xml:space="preserve"> over time (for more than 1 treatment cycle)</w:t>
      </w:r>
      <w:r w:rsidR="005C0DE3" w:rsidRPr="00457FD3">
        <w:rPr>
          <w:rFonts w:cstheme="minorHAnsi"/>
        </w:rPr>
        <w:t xml:space="preserve">. </w:t>
      </w:r>
      <w:r w:rsidR="00FC389F" w:rsidRPr="00457FD3">
        <w:rPr>
          <w:rFonts w:cstheme="minorHAnsi"/>
        </w:rPr>
        <w:t>Further, t</w:t>
      </w:r>
      <w:r w:rsidR="005C0DE3" w:rsidRPr="00457FD3">
        <w:rPr>
          <w:rFonts w:cstheme="minorHAnsi"/>
        </w:rPr>
        <w:t>he PSCR arg</w:t>
      </w:r>
      <w:r w:rsidR="00FC389F" w:rsidRPr="00457FD3">
        <w:rPr>
          <w:rFonts w:cstheme="minorHAnsi"/>
        </w:rPr>
        <w:t>u</w:t>
      </w:r>
      <w:r w:rsidR="005C0DE3" w:rsidRPr="00457FD3">
        <w:rPr>
          <w:rFonts w:cstheme="minorHAnsi"/>
        </w:rPr>
        <w:t>ed</w:t>
      </w:r>
      <w:r w:rsidR="00375E01" w:rsidRPr="00457FD3">
        <w:rPr>
          <w:rFonts w:cstheme="minorHAnsi"/>
        </w:rPr>
        <w:t xml:space="preserve"> that t</w:t>
      </w:r>
      <w:r w:rsidRPr="00457FD3">
        <w:rPr>
          <w:rFonts w:cstheme="minorHAnsi"/>
        </w:rPr>
        <w:t>he measure</w:t>
      </w:r>
      <w:r w:rsidR="00FC389F" w:rsidRPr="00457FD3">
        <w:rPr>
          <w:rFonts w:cstheme="minorHAnsi"/>
        </w:rPr>
        <w:t>ment</w:t>
      </w:r>
      <w:r w:rsidRPr="00457FD3">
        <w:rPr>
          <w:rFonts w:cstheme="minorHAnsi"/>
        </w:rPr>
        <w:t xml:space="preserve"> of QoL encompasses many factors, AEs being only one</w:t>
      </w:r>
      <w:r w:rsidR="00475470" w:rsidRPr="00457FD3">
        <w:rPr>
          <w:rFonts w:cstheme="minorHAnsi"/>
        </w:rPr>
        <w:t xml:space="preserve">, with </w:t>
      </w:r>
      <w:r w:rsidR="00475470" w:rsidRPr="00457FD3">
        <w:rPr>
          <w:rFonts w:cstheme="minorHAnsi"/>
          <w:shd w:val="clear" w:color="auto" w:fill="FFFFFF"/>
        </w:rPr>
        <w:t>other</w:t>
      </w:r>
      <w:r w:rsidRPr="00457FD3">
        <w:rPr>
          <w:rFonts w:cstheme="minorHAnsi"/>
          <w:shd w:val="clear" w:color="auto" w:fill="FFFFFF"/>
        </w:rPr>
        <w:t xml:space="preserve"> domains including physical functioning, psychological well-being (such as levels of anxiety and depression) and social support. </w:t>
      </w:r>
      <w:r w:rsidR="00FF6715" w:rsidRPr="00457FD3">
        <w:rPr>
          <w:rFonts w:cstheme="minorHAnsi"/>
          <w:shd w:val="clear" w:color="auto" w:fill="FFFFFF"/>
        </w:rPr>
        <w:t xml:space="preserve">While the ESC agreed with the PSCR that QoL encompasses many factors in addition to AEs, the </w:t>
      </w:r>
      <w:r w:rsidR="00855F92" w:rsidRPr="00457FD3">
        <w:rPr>
          <w:rFonts w:cstheme="minorHAnsi"/>
          <w:shd w:val="clear" w:color="auto" w:fill="FFFFFF"/>
        </w:rPr>
        <w:t>Committee</w:t>
      </w:r>
      <w:r w:rsidR="00FF6715" w:rsidRPr="00457FD3">
        <w:rPr>
          <w:rFonts w:cstheme="minorHAnsi"/>
          <w:shd w:val="clear" w:color="auto" w:fill="FFFFFF"/>
        </w:rPr>
        <w:t xml:space="preserve"> noted that the </w:t>
      </w:r>
      <w:r w:rsidR="00475470" w:rsidRPr="00457FD3">
        <w:t>EORTC QLQ-C30</w:t>
      </w:r>
      <w:r w:rsidR="00FF6715" w:rsidRPr="00457FD3">
        <w:rPr>
          <w:rFonts w:cstheme="minorHAnsi"/>
          <w:shd w:val="clear" w:color="auto" w:fill="FFFFFF"/>
        </w:rPr>
        <w:t xml:space="preserve"> questionnaire, which was completed on Day 1 of each 21-day study cycle, asked patients to recall their experience in the last week. The ESC considered that the full impact of </w:t>
      </w:r>
      <w:r w:rsidR="00475470" w:rsidRPr="00457FD3">
        <w:rPr>
          <w:rFonts w:cstheme="minorHAnsi"/>
          <w:shd w:val="clear" w:color="auto" w:fill="FFFFFF"/>
        </w:rPr>
        <w:t>AEs</w:t>
      </w:r>
      <w:r w:rsidR="00FF6715" w:rsidRPr="00457FD3">
        <w:rPr>
          <w:rFonts w:cstheme="minorHAnsi"/>
          <w:shd w:val="clear" w:color="auto" w:fill="FFFFFF"/>
        </w:rPr>
        <w:t xml:space="preserve"> may not be captured in the patients’ QoL score depending on the timing of the AEs, and whether the questionnaire was capturing actual or recalled experience. </w:t>
      </w:r>
    </w:p>
    <w:p w14:paraId="43F9F525" w14:textId="77777777" w:rsidR="005F7A19" w:rsidRPr="00637BBA" w:rsidRDefault="005F7A19" w:rsidP="005F7A19">
      <w:pPr>
        <w:pStyle w:val="3-BodyText"/>
      </w:pPr>
      <w:r>
        <w:rPr>
          <w:rFonts w:cstheme="minorHAnsi"/>
          <w:shd w:val="clear" w:color="auto" w:fill="FFFFFF"/>
        </w:rPr>
        <w:t xml:space="preserve">The </w:t>
      </w:r>
      <w:r>
        <w:t xml:space="preserve">EORTC QLQ-C30 results from the trial by functional and symptom scale are shown in the table below. The </w:t>
      </w:r>
      <w:r>
        <w:rPr>
          <w:rFonts w:cstheme="minorHAnsi"/>
          <w:shd w:val="clear" w:color="auto" w:fill="FFFFFF"/>
        </w:rPr>
        <w:t xml:space="preserve">PBAC noted </w:t>
      </w:r>
      <w:r>
        <w:t>that the f</w:t>
      </w:r>
      <w:r w:rsidRPr="00637BBA">
        <w:rPr>
          <w:rFonts w:cstheme="minorHAnsi"/>
          <w:shd w:val="clear" w:color="auto" w:fill="FFFFFF"/>
        </w:rPr>
        <w:t>unctional scales favour</w:t>
      </w:r>
      <w:r>
        <w:rPr>
          <w:rFonts w:cstheme="minorHAnsi"/>
          <w:shd w:val="clear" w:color="auto" w:fill="FFFFFF"/>
        </w:rPr>
        <w:t>ed</w:t>
      </w:r>
      <w:r w:rsidRPr="00637BBA">
        <w:rPr>
          <w:rFonts w:cstheme="minorHAnsi"/>
          <w:shd w:val="clear" w:color="auto" w:fill="FFFFFF"/>
        </w:rPr>
        <w:t xml:space="preserve"> SG, </w:t>
      </w:r>
      <w:r>
        <w:rPr>
          <w:rFonts w:cstheme="minorHAnsi"/>
          <w:shd w:val="clear" w:color="auto" w:fill="FFFFFF"/>
        </w:rPr>
        <w:t xml:space="preserve">while </w:t>
      </w:r>
      <w:r w:rsidR="00B978B4">
        <w:rPr>
          <w:rFonts w:cstheme="minorHAnsi"/>
          <w:shd w:val="clear" w:color="auto" w:fill="FFFFFF"/>
        </w:rPr>
        <w:t xml:space="preserve">some </w:t>
      </w:r>
      <w:r>
        <w:rPr>
          <w:rFonts w:cstheme="minorHAnsi"/>
          <w:shd w:val="clear" w:color="auto" w:fill="FFFFFF"/>
        </w:rPr>
        <w:t xml:space="preserve">of the </w:t>
      </w:r>
      <w:r w:rsidRPr="00637BBA">
        <w:rPr>
          <w:rFonts w:cstheme="minorHAnsi"/>
          <w:shd w:val="clear" w:color="auto" w:fill="FFFFFF"/>
        </w:rPr>
        <w:t xml:space="preserve">symptom scales </w:t>
      </w:r>
      <w:r>
        <w:rPr>
          <w:rFonts w:cstheme="minorHAnsi"/>
          <w:shd w:val="clear" w:color="auto" w:fill="FFFFFF"/>
        </w:rPr>
        <w:t xml:space="preserve">(particularly diarrhoea) favoured TPC, with the QLQ summary score and </w:t>
      </w:r>
      <w:r>
        <w:t>Global health status/QoL favouring SG</w:t>
      </w:r>
      <w:r>
        <w:rPr>
          <w:rFonts w:cstheme="minorHAnsi"/>
          <w:shd w:val="clear" w:color="auto" w:fill="FFFFFF"/>
        </w:rPr>
        <w:t xml:space="preserve">. </w:t>
      </w:r>
    </w:p>
    <w:p w14:paraId="673E60CF" w14:textId="77777777" w:rsidR="005F7A19" w:rsidRDefault="005F7A19" w:rsidP="005F7A19">
      <w:pPr>
        <w:pStyle w:val="TableFigureHeading"/>
      </w:pPr>
      <w:bookmarkStart w:id="2" w:name="_Ref78439477"/>
      <w:r>
        <w:lastRenderedPageBreak/>
        <w:t xml:space="preserve">Table </w:t>
      </w:r>
      <w:bookmarkEnd w:id="2"/>
      <w:r w:rsidR="002367C0">
        <w:t>6:</w:t>
      </w:r>
      <w:r>
        <w:t xml:space="preserve"> Summary of repeated measures analysis of QLQ-C30 scales (ITT population)</w:t>
      </w:r>
    </w:p>
    <w:tbl>
      <w:tblPr>
        <w:tblStyle w:val="TableGrid"/>
        <w:tblW w:w="5000" w:type="pct"/>
        <w:tblLook w:val="04A0" w:firstRow="1" w:lastRow="0" w:firstColumn="1" w:lastColumn="0" w:noHBand="0" w:noVBand="1"/>
        <w:tblCaption w:val="Table 6: Summary of repeated measures analysis of QLQ-C30 scales (ITT population)"/>
      </w:tblPr>
      <w:tblGrid>
        <w:gridCol w:w="2400"/>
        <w:gridCol w:w="2150"/>
        <w:gridCol w:w="2150"/>
        <w:gridCol w:w="2317"/>
      </w:tblGrid>
      <w:tr w:rsidR="005F7A19" w14:paraId="6D04717D" w14:textId="77777777" w:rsidTr="00FB0337">
        <w:trPr>
          <w:tblHeader/>
        </w:trPr>
        <w:tc>
          <w:tcPr>
            <w:tcW w:w="1331" w:type="pct"/>
            <w:vAlign w:val="center"/>
          </w:tcPr>
          <w:p w14:paraId="5F14D344" w14:textId="77777777" w:rsidR="005F7A19" w:rsidRDefault="005F7A19" w:rsidP="004A0962">
            <w:pPr>
              <w:pStyle w:val="In-tableHeading"/>
            </w:pPr>
            <w:r>
              <w:t>Scale</w:t>
            </w:r>
          </w:p>
        </w:tc>
        <w:tc>
          <w:tcPr>
            <w:tcW w:w="2384" w:type="pct"/>
            <w:gridSpan w:val="2"/>
          </w:tcPr>
          <w:p w14:paraId="3CF9D163" w14:textId="77777777" w:rsidR="005F7A19" w:rsidRDefault="005F7A19" w:rsidP="004A0962">
            <w:pPr>
              <w:pStyle w:val="In-tableHeading"/>
              <w:jc w:val="center"/>
            </w:pPr>
            <w:r>
              <w:t>Change from baseline,</w:t>
            </w:r>
            <w:r>
              <w:br/>
              <w:t>LS means (SE)</w:t>
            </w:r>
          </w:p>
        </w:tc>
        <w:tc>
          <w:tcPr>
            <w:tcW w:w="1285" w:type="pct"/>
          </w:tcPr>
          <w:p w14:paraId="56E29C34" w14:textId="77777777" w:rsidR="005F7A19" w:rsidRDefault="005F7A19" w:rsidP="004A0962">
            <w:pPr>
              <w:pStyle w:val="In-tableHeading"/>
              <w:jc w:val="center"/>
            </w:pPr>
            <w:r>
              <w:t>LS mean difference</w:t>
            </w:r>
          </w:p>
          <w:p w14:paraId="4E8F5D8B" w14:textId="77777777" w:rsidR="005F7A19" w:rsidRDefault="005F7A19" w:rsidP="004A0962">
            <w:pPr>
              <w:pStyle w:val="In-tableHeading"/>
              <w:jc w:val="center"/>
            </w:pPr>
            <w:r>
              <w:t>(95% CI)</w:t>
            </w:r>
          </w:p>
        </w:tc>
      </w:tr>
      <w:tr w:rsidR="005F7A19" w14:paraId="756D34EB" w14:textId="77777777" w:rsidTr="004A0962">
        <w:tc>
          <w:tcPr>
            <w:tcW w:w="1331" w:type="pct"/>
          </w:tcPr>
          <w:p w14:paraId="5E82BA00" w14:textId="77777777" w:rsidR="005F7A19" w:rsidRDefault="005F7A19" w:rsidP="004A0962">
            <w:pPr>
              <w:pStyle w:val="In-tableHeading"/>
            </w:pPr>
          </w:p>
        </w:tc>
        <w:tc>
          <w:tcPr>
            <w:tcW w:w="1192" w:type="pct"/>
          </w:tcPr>
          <w:p w14:paraId="582679ED" w14:textId="77777777" w:rsidR="005F7A19" w:rsidRDefault="005F7A19" w:rsidP="004A0962">
            <w:pPr>
              <w:pStyle w:val="In-tableHeading"/>
              <w:jc w:val="center"/>
            </w:pPr>
            <w:r>
              <w:t>SG</w:t>
            </w:r>
          </w:p>
        </w:tc>
        <w:tc>
          <w:tcPr>
            <w:tcW w:w="1192" w:type="pct"/>
          </w:tcPr>
          <w:p w14:paraId="57205077" w14:textId="77777777" w:rsidR="005F7A19" w:rsidRDefault="005F7A19" w:rsidP="004A0962">
            <w:pPr>
              <w:pStyle w:val="In-tableHeading"/>
              <w:jc w:val="center"/>
            </w:pPr>
            <w:r>
              <w:t>TPC</w:t>
            </w:r>
          </w:p>
        </w:tc>
        <w:tc>
          <w:tcPr>
            <w:tcW w:w="1285" w:type="pct"/>
          </w:tcPr>
          <w:p w14:paraId="0DBBB721" w14:textId="77777777" w:rsidR="005F7A19" w:rsidRDefault="005F7A19" w:rsidP="004A0962">
            <w:pPr>
              <w:pStyle w:val="In-tableHeading"/>
              <w:jc w:val="center"/>
            </w:pPr>
          </w:p>
        </w:tc>
      </w:tr>
      <w:tr w:rsidR="005F7A19" w14:paraId="25BC7ABA" w14:textId="77777777" w:rsidTr="004A0962">
        <w:tc>
          <w:tcPr>
            <w:tcW w:w="1331" w:type="pct"/>
          </w:tcPr>
          <w:p w14:paraId="79940398" w14:textId="77777777" w:rsidR="005F7A19" w:rsidRPr="00C87EFE" w:rsidRDefault="005F7A19" w:rsidP="004A0962">
            <w:pPr>
              <w:pStyle w:val="TableText0"/>
              <w:rPr>
                <w:vertAlign w:val="superscript"/>
              </w:rPr>
            </w:pPr>
            <w:r>
              <w:t>QLQ summary score</w:t>
            </w:r>
            <w:r>
              <w:rPr>
                <w:vertAlign w:val="superscript"/>
              </w:rPr>
              <w:t>a</w:t>
            </w:r>
          </w:p>
        </w:tc>
        <w:tc>
          <w:tcPr>
            <w:tcW w:w="1192" w:type="pct"/>
          </w:tcPr>
          <w:p w14:paraId="3E5AD189" w14:textId="77777777" w:rsidR="005F7A19" w:rsidRDefault="005F7A19" w:rsidP="004A0962">
            <w:pPr>
              <w:pStyle w:val="TableText0"/>
              <w:jc w:val="center"/>
            </w:pPr>
            <w:r>
              <w:t>-4.03 (1.33)</w:t>
            </w:r>
          </w:p>
        </w:tc>
        <w:tc>
          <w:tcPr>
            <w:tcW w:w="1192" w:type="pct"/>
          </w:tcPr>
          <w:p w14:paraId="3D253D3A" w14:textId="77777777" w:rsidR="005F7A19" w:rsidRDefault="005F7A19" w:rsidP="004A0962">
            <w:pPr>
              <w:pStyle w:val="TableText0"/>
              <w:jc w:val="center"/>
            </w:pPr>
            <w:r>
              <w:t>-6.07 (1.43)</w:t>
            </w:r>
          </w:p>
        </w:tc>
        <w:tc>
          <w:tcPr>
            <w:tcW w:w="1285" w:type="pct"/>
          </w:tcPr>
          <w:p w14:paraId="58AAA659" w14:textId="77777777" w:rsidR="005F7A19" w:rsidRDefault="005F7A19" w:rsidP="004A0962">
            <w:pPr>
              <w:pStyle w:val="TableText0"/>
              <w:jc w:val="center"/>
            </w:pPr>
            <w:r>
              <w:t>2.03 (-0.18, 4.24)</w:t>
            </w:r>
          </w:p>
        </w:tc>
      </w:tr>
      <w:tr w:rsidR="005F7A19" w14:paraId="250D0E0B" w14:textId="77777777" w:rsidTr="004A0962">
        <w:tc>
          <w:tcPr>
            <w:tcW w:w="1331" w:type="pct"/>
          </w:tcPr>
          <w:p w14:paraId="4ABCF59B" w14:textId="77777777" w:rsidR="005F7A19" w:rsidRPr="00C87EFE" w:rsidRDefault="005F7A19" w:rsidP="004A0962">
            <w:pPr>
              <w:pStyle w:val="TableText0"/>
              <w:rPr>
                <w:vertAlign w:val="superscript"/>
              </w:rPr>
            </w:pPr>
            <w:r>
              <w:t>Global health status/QoL</w:t>
            </w:r>
            <w:r>
              <w:rPr>
                <w:vertAlign w:val="superscript"/>
              </w:rPr>
              <w:t>a</w:t>
            </w:r>
          </w:p>
        </w:tc>
        <w:tc>
          <w:tcPr>
            <w:tcW w:w="1192" w:type="pct"/>
          </w:tcPr>
          <w:p w14:paraId="4E271273" w14:textId="77777777" w:rsidR="005F7A19" w:rsidRDefault="005F7A19" w:rsidP="004A0962">
            <w:pPr>
              <w:pStyle w:val="TableText0"/>
              <w:jc w:val="center"/>
            </w:pPr>
            <w:r>
              <w:t>-4.85 (1.88)</w:t>
            </w:r>
          </w:p>
        </w:tc>
        <w:tc>
          <w:tcPr>
            <w:tcW w:w="1192" w:type="pct"/>
          </w:tcPr>
          <w:p w14:paraId="4BFBA922" w14:textId="77777777" w:rsidR="005F7A19" w:rsidRDefault="005F7A19" w:rsidP="004A0962">
            <w:pPr>
              <w:pStyle w:val="TableText0"/>
              <w:jc w:val="center"/>
            </w:pPr>
            <w:r>
              <w:t>-7.36 (2.02)</w:t>
            </w:r>
          </w:p>
        </w:tc>
        <w:tc>
          <w:tcPr>
            <w:tcW w:w="1285" w:type="pct"/>
          </w:tcPr>
          <w:p w14:paraId="109451A6" w14:textId="77777777" w:rsidR="005F7A19" w:rsidRDefault="005F7A19" w:rsidP="004A0962">
            <w:pPr>
              <w:pStyle w:val="TableText0"/>
              <w:jc w:val="center"/>
            </w:pPr>
            <w:r>
              <w:t>2.51 (-0.43, 5.46)</w:t>
            </w:r>
          </w:p>
        </w:tc>
      </w:tr>
      <w:tr w:rsidR="005F7A19" w14:paraId="17549CD1" w14:textId="77777777" w:rsidTr="004A0962">
        <w:tc>
          <w:tcPr>
            <w:tcW w:w="1331" w:type="pct"/>
          </w:tcPr>
          <w:p w14:paraId="00E09371" w14:textId="77777777" w:rsidR="005F7A19" w:rsidRPr="00C87EFE" w:rsidRDefault="005F7A19" w:rsidP="004A0962">
            <w:pPr>
              <w:pStyle w:val="TableText0"/>
              <w:rPr>
                <w:vertAlign w:val="superscript"/>
              </w:rPr>
            </w:pPr>
            <w:r w:rsidRPr="00D87205">
              <w:t>Functional scales</w:t>
            </w:r>
            <w:r>
              <w:rPr>
                <w:vertAlign w:val="superscript"/>
              </w:rPr>
              <w:t>a</w:t>
            </w:r>
          </w:p>
        </w:tc>
        <w:tc>
          <w:tcPr>
            <w:tcW w:w="1192" w:type="pct"/>
          </w:tcPr>
          <w:p w14:paraId="4285088D" w14:textId="77777777" w:rsidR="005F7A19" w:rsidRDefault="005F7A19" w:rsidP="004A0962">
            <w:pPr>
              <w:pStyle w:val="TableText0"/>
              <w:jc w:val="center"/>
            </w:pPr>
          </w:p>
        </w:tc>
        <w:tc>
          <w:tcPr>
            <w:tcW w:w="1192" w:type="pct"/>
          </w:tcPr>
          <w:p w14:paraId="04A5F367" w14:textId="77777777" w:rsidR="005F7A19" w:rsidRDefault="005F7A19" w:rsidP="004A0962">
            <w:pPr>
              <w:pStyle w:val="TableText0"/>
              <w:jc w:val="center"/>
            </w:pPr>
          </w:p>
        </w:tc>
        <w:tc>
          <w:tcPr>
            <w:tcW w:w="1285" w:type="pct"/>
          </w:tcPr>
          <w:p w14:paraId="6D775DC1" w14:textId="77777777" w:rsidR="005F7A19" w:rsidRDefault="005F7A19" w:rsidP="004A0962">
            <w:pPr>
              <w:pStyle w:val="TableText0"/>
              <w:jc w:val="center"/>
            </w:pPr>
          </w:p>
        </w:tc>
      </w:tr>
      <w:tr w:rsidR="005F7A19" w14:paraId="7F5DD695" w14:textId="77777777" w:rsidTr="004A0962">
        <w:tc>
          <w:tcPr>
            <w:tcW w:w="1331" w:type="pct"/>
          </w:tcPr>
          <w:p w14:paraId="2410C064" w14:textId="77777777" w:rsidR="005F7A19" w:rsidRDefault="005F7A19" w:rsidP="004A0962">
            <w:pPr>
              <w:pStyle w:val="TableText0"/>
              <w:ind w:left="171"/>
            </w:pPr>
            <w:r>
              <w:t>Cognitive</w:t>
            </w:r>
          </w:p>
        </w:tc>
        <w:tc>
          <w:tcPr>
            <w:tcW w:w="1192" w:type="pct"/>
          </w:tcPr>
          <w:p w14:paraId="31B1743A" w14:textId="77777777" w:rsidR="005F7A19" w:rsidRDefault="005F7A19" w:rsidP="004A0962">
            <w:pPr>
              <w:pStyle w:val="TableText0"/>
              <w:jc w:val="center"/>
            </w:pPr>
            <w:r>
              <w:t>-5.22 (1.82)</w:t>
            </w:r>
          </w:p>
        </w:tc>
        <w:tc>
          <w:tcPr>
            <w:tcW w:w="1192" w:type="pct"/>
          </w:tcPr>
          <w:p w14:paraId="7FC49BE0" w14:textId="77777777" w:rsidR="005F7A19" w:rsidRDefault="005F7A19" w:rsidP="004A0962">
            <w:pPr>
              <w:pStyle w:val="TableText0"/>
              <w:jc w:val="center"/>
            </w:pPr>
            <w:r>
              <w:t>-5.43 (1.96)</w:t>
            </w:r>
          </w:p>
        </w:tc>
        <w:tc>
          <w:tcPr>
            <w:tcW w:w="1285" w:type="pct"/>
          </w:tcPr>
          <w:p w14:paraId="349CD32B" w14:textId="77777777" w:rsidR="005F7A19" w:rsidRDefault="005F7A19" w:rsidP="004A0962">
            <w:pPr>
              <w:pStyle w:val="TableText0"/>
              <w:jc w:val="center"/>
            </w:pPr>
            <w:r>
              <w:t>0.21 (-2.73, 3.16)</w:t>
            </w:r>
          </w:p>
        </w:tc>
      </w:tr>
      <w:tr w:rsidR="005F7A19" w14:paraId="59977B75" w14:textId="77777777" w:rsidTr="004A0962">
        <w:tc>
          <w:tcPr>
            <w:tcW w:w="1331" w:type="pct"/>
          </w:tcPr>
          <w:p w14:paraId="4DFE1AA6" w14:textId="77777777" w:rsidR="005F7A19" w:rsidRDefault="005F7A19" w:rsidP="004A0962">
            <w:pPr>
              <w:pStyle w:val="TableText0"/>
              <w:ind w:left="171"/>
            </w:pPr>
            <w:r>
              <w:t>Emotional</w:t>
            </w:r>
          </w:p>
        </w:tc>
        <w:tc>
          <w:tcPr>
            <w:tcW w:w="1192" w:type="pct"/>
          </w:tcPr>
          <w:p w14:paraId="28512A59" w14:textId="77777777" w:rsidR="005F7A19" w:rsidRDefault="005F7A19" w:rsidP="004A0962">
            <w:pPr>
              <w:pStyle w:val="TableText0"/>
              <w:jc w:val="center"/>
            </w:pPr>
            <w:r>
              <w:t>-0.88 (1.87)</w:t>
            </w:r>
          </w:p>
        </w:tc>
        <w:tc>
          <w:tcPr>
            <w:tcW w:w="1192" w:type="pct"/>
          </w:tcPr>
          <w:p w14:paraId="4CD25C37" w14:textId="77777777" w:rsidR="005F7A19" w:rsidRDefault="005F7A19" w:rsidP="004A0962">
            <w:pPr>
              <w:pStyle w:val="TableText0"/>
              <w:jc w:val="center"/>
            </w:pPr>
            <w:r>
              <w:t>-2.69 (2.00)</w:t>
            </w:r>
          </w:p>
        </w:tc>
        <w:tc>
          <w:tcPr>
            <w:tcW w:w="1285" w:type="pct"/>
          </w:tcPr>
          <w:p w14:paraId="3D28998D" w14:textId="77777777" w:rsidR="005F7A19" w:rsidRDefault="005F7A19" w:rsidP="004A0962">
            <w:pPr>
              <w:pStyle w:val="TableText0"/>
              <w:jc w:val="center"/>
            </w:pPr>
            <w:r>
              <w:t>1.80 (-1.11, 4.72)</w:t>
            </w:r>
          </w:p>
        </w:tc>
      </w:tr>
      <w:tr w:rsidR="005F7A19" w14:paraId="517E348C" w14:textId="77777777" w:rsidTr="004A0962">
        <w:tc>
          <w:tcPr>
            <w:tcW w:w="1331" w:type="pct"/>
          </w:tcPr>
          <w:p w14:paraId="23680B0D" w14:textId="77777777" w:rsidR="005F7A19" w:rsidRDefault="005F7A19" w:rsidP="004A0962">
            <w:pPr>
              <w:pStyle w:val="TableText0"/>
              <w:ind w:left="171"/>
            </w:pPr>
            <w:r>
              <w:t>Physical</w:t>
            </w:r>
          </w:p>
        </w:tc>
        <w:tc>
          <w:tcPr>
            <w:tcW w:w="1192" w:type="pct"/>
          </w:tcPr>
          <w:p w14:paraId="697CB980" w14:textId="77777777" w:rsidR="005F7A19" w:rsidRDefault="005F7A19" w:rsidP="004A0962">
            <w:pPr>
              <w:pStyle w:val="TableText0"/>
              <w:jc w:val="center"/>
            </w:pPr>
            <w:r>
              <w:t>-3.93 (1.72)</w:t>
            </w:r>
          </w:p>
        </w:tc>
        <w:tc>
          <w:tcPr>
            <w:tcW w:w="1192" w:type="pct"/>
          </w:tcPr>
          <w:p w14:paraId="70E56426" w14:textId="77777777" w:rsidR="005F7A19" w:rsidRDefault="005F7A19" w:rsidP="004A0962">
            <w:pPr>
              <w:pStyle w:val="TableText0"/>
              <w:jc w:val="center"/>
            </w:pPr>
            <w:r>
              <w:t>-10.44 (1.85)</w:t>
            </w:r>
          </w:p>
        </w:tc>
        <w:tc>
          <w:tcPr>
            <w:tcW w:w="1285" w:type="pct"/>
          </w:tcPr>
          <w:p w14:paraId="2B40014A" w14:textId="77777777" w:rsidR="005F7A19" w:rsidRDefault="005F7A19" w:rsidP="004A0962">
            <w:pPr>
              <w:pStyle w:val="TableText0"/>
              <w:jc w:val="center"/>
            </w:pPr>
            <w:r>
              <w:t>6.50 (3.56, 9.44)</w:t>
            </w:r>
          </w:p>
        </w:tc>
      </w:tr>
      <w:tr w:rsidR="005F7A19" w14:paraId="452D3E79" w14:textId="77777777" w:rsidTr="004A0962">
        <w:tc>
          <w:tcPr>
            <w:tcW w:w="1331" w:type="pct"/>
          </w:tcPr>
          <w:p w14:paraId="71B2AF54" w14:textId="77777777" w:rsidR="005F7A19" w:rsidRDefault="005F7A19" w:rsidP="004A0962">
            <w:pPr>
              <w:pStyle w:val="TableText0"/>
              <w:ind w:left="171"/>
            </w:pPr>
            <w:r>
              <w:t>Role</w:t>
            </w:r>
          </w:p>
        </w:tc>
        <w:tc>
          <w:tcPr>
            <w:tcW w:w="1192" w:type="pct"/>
          </w:tcPr>
          <w:p w14:paraId="6EFD2CDD" w14:textId="77777777" w:rsidR="005F7A19" w:rsidRDefault="005F7A19" w:rsidP="004A0962">
            <w:pPr>
              <w:pStyle w:val="TableText0"/>
              <w:jc w:val="center"/>
            </w:pPr>
            <w:r>
              <w:t>-7.80 (2.51)</w:t>
            </w:r>
          </w:p>
        </w:tc>
        <w:tc>
          <w:tcPr>
            <w:tcW w:w="1192" w:type="pct"/>
          </w:tcPr>
          <w:p w14:paraId="01AF042A" w14:textId="77777777" w:rsidR="005F7A19" w:rsidRDefault="005F7A19" w:rsidP="004A0962">
            <w:pPr>
              <w:pStyle w:val="TableText0"/>
              <w:jc w:val="center"/>
            </w:pPr>
            <w:r>
              <w:t>-14.04 (2.76)</w:t>
            </w:r>
          </w:p>
        </w:tc>
        <w:tc>
          <w:tcPr>
            <w:tcW w:w="1285" w:type="pct"/>
          </w:tcPr>
          <w:p w14:paraId="323F65B2" w14:textId="77777777" w:rsidR="005F7A19" w:rsidRDefault="005F7A19" w:rsidP="004A0962">
            <w:pPr>
              <w:pStyle w:val="TableText0"/>
              <w:jc w:val="center"/>
            </w:pPr>
            <w:r>
              <w:t>6.24 (3.20, 9.27)</w:t>
            </w:r>
          </w:p>
        </w:tc>
      </w:tr>
      <w:tr w:rsidR="005F7A19" w14:paraId="45F811E7" w14:textId="77777777" w:rsidTr="004A0962">
        <w:tc>
          <w:tcPr>
            <w:tcW w:w="1331" w:type="pct"/>
          </w:tcPr>
          <w:p w14:paraId="73C28C82" w14:textId="77777777" w:rsidR="005F7A19" w:rsidRDefault="005F7A19" w:rsidP="004A0962">
            <w:pPr>
              <w:pStyle w:val="TableText0"/>
              <w:ind w:left="171"/>
            </w:pPr>
            <w:r>
              <w:t>Social</w:t>
            </w:r>
          </w:p>
        </w:tc>
        <w:tc>
          <w:tcPr>
            <w:tcW w:w="1192" w:type="pct"/>
          </w:tcPr>
          <w:p w14:paraId="09954E4B" w14:textId="77777777" w:rsidR="005F7A19" w:rsidRDefault="005F7A19" w:rsidP="004A0962">
            <w:pPr>
              <w:pStyle w:val="TableText0"/>
              <w:jc w:val="center"/>
            </w:pPr>
            <w:r>
              <w:t>-7.89 (2.48)</w:t>
            </w:r>
          </w:p>
        </w:tc>
        <w:tc>
          <w:tcPr>
            <w:tcW w:w="1192" w:type="pct"/>
          </w:tcPr>
          <w:p w14:paraId="3FE9387C" w14:textId="77777777" w:rsidR="005F7A19" w:rsidRDefault="005F7A19" w:rsidP="004A0962">
            <w:pPr>
              <w:pStyle w:val="TableText0"/>
              <w:jc w:val="center"/>
            </w:pPr>
            <w:r>
              <w:t>-10.54 (2.66)</w:t>
            </w:r>
          </w:p>
        </w:tc>
        <w:tc>
          <w:tcPr>
            <w:tcW w:w="1285" w:type="pct"/>
          </w:tcPr>
          <w:p w14:paraId="7128D173" w14:textId="77777777" w:rsidR="005F7A19" w:rsidRDefault="005F7A19" w:rsidP="004A0962">
            <w:pPr>
              <w:pStyle w:val="TableText0"/>
              <w:jc w:val="center"/>
            </w:pPr>
            <w:r>
              <w:t>2.64 (-1.42, 6.71</w:t>
            </w:r>
          </w:p>
        </w:tc>
      </w:tr>
      <w:tr w:rsidR="005F7A19" w14:paraId="6364918F" w14:textId="77777777" w:rsidTr="004A0962">
        <w:tc>
          <w:tcPr>
            <w:tcW w:w="1331" w:type="pct"/>
          </w:tcPr>
          <w:p w14:paraId="58D39EC3" w14:textId="77777777" w:rsidR="005F7A19" w:rsidRPr="00C87EFE" w:rsidRDefault="005F7A19" w:rsidP="004A0962">
            <w:pPr>
              <w:pStyle w:val="TableText0"/>
              <w:rPr>
                <w:vertAlign w:val="superscript"/>
              </w:rPr>
            </w:pPr>
            <w:r w:rsidRPr="00D87205">
              <w:t>Symptom scales</w:t>
            </w:r>
            <w:r>
              <w:rPr>
                <w:vertAlign w:val="superscript"/>
              </w:rPr>
              <w:t>b</w:t>
            </w:r>
          </w:p>
        </w:tc>
        <w:tc>
          <w:tcPr>
            <w:tcW w:w="1192" w:type="pct"/>
          </w:tcPr>
          <w:p w14:paraId="497E827F" w14:textId="77777777" w:rsidR="005F7A19" w:rsidRDefault="005F7A19" w:rsidP="004A0962">
            <w:pPr>
              <w:pStyle w:val="TableText0"/>
              <w:jc w:val="center"/>
            </w:pPr>
          </w:p>
        </w:tc>
        <w:tc>
          <w:tcPr>
            <w:tcW w:w="1192" w:type="pct"/>
          </w:tcPr>
          <w:p w14:paraId="15610BF2" w14:textId="77777777" w:rsidR="005F7A19" w:rsidRDefault="005F7A19" w:rsidP="004A0962">
            <w:pPr>
              <w:pStyle w:val="TableText0"/>
              <w:jc w:val="center"/>
            </w:pPr>
          </w:p>
        </w:tc>
        <w:tc>
          <w:tcPr>
            <w:tcW w:w="1285" w:type="pct"/>
          </w:tcPr>
          <w:p w14:paraId="4713F32B" w14:textId="77777777" w:rsidR="005F7A19" w:rsidRDefault="005F7A19" w:rsidP="004A0962">
            <w:pPr>
              <w:pStyle w:val="TableText0"/>
              <w:jc w:val="center"/>
            </w:pPr>
          </w:p>
        </w:tc>
      </w:tr>
      <w:tr w:rsidR="005F7A19" w14:paraId="5A6F1171" w14:textId="77777777" w:rsidTr="004A0962">
        <w:tc>
          <w:tcPr>
            <w:tcW w:w="1331" w:type="pct"/>
          </w:tcPr>
          <w:p w14:paraId="24310C18" w14:textId="77777777" w:rsidR="005F7A19" w:rsidRDefault="005F7A19" w:rsidP="004A0962">
            <w:pPr>
              <w:pStyle w:val="TableText0"/>
              <w:ind w:left="171"/>
            </w:pPr>
            <w:r>
              <w:t>Appetite loss</w:t>
            </w:r>
          </w:p>
        </w:tc>
        <w:tc>
          <w:tcPr>
            <w:tcW w:w="1192" w:type="pct"/>
          </w:tcPr>
          <w:p w14:paraId="08A9B2D7" w14:textId="77777777" w:rsidR="005F7A19" w:rsidRDefault="005F7A19" w:rsidP="004A0962">
            <w:pPr>
              <w:pStyle w:val="TableText0"/>
              <w:jc w:val="center"/>
            </w:pPr>
            <w:r>
              <w:t>2.90 (2.60)</w:t>
            </w:r>
          </w:p>
        </w:tc>
        <w:tc>
          <w:tcPr>
            <w:tcW w:w="1192" w:type="pct"/>
          </w:tcPr>
          <w:p w14:paraId="713E8578" w14:textId="77777777" w:rsidR="005F7A19" w:rsidRDefault="005F7A19" w:rsidP="004A0962">
            <w:pPr>
              <w:pStyle w:val="TableText0"/>
              <w:jc w:val="center"/>
            </w:pPr>
            <w:r>
              <w:t>5.50 (2.78)</w:t>
            </w:r>
          </w:p>
        </w:tc>
        <w:tc>
          <w:tcPr>
            <w:tcW w:w="1285" w:type="pct"/>
          </w:tcPr>
          <w:p w14:paraId="0693429C" w14:textId="77777777" w:rsidR="005F7A19" w:rsidRDefault="005F7A19" w:rsidP="004A0962">
            <w:pPr>
              <w:pStyle w:val="TableText0"/>
              <w:jc w:val="center"/>
            </w:pPr>
            <w:r>
              <w:t>-2.60 (-6.59, 1.40)</w:t>
            </w:r>
          </w:p>
        </w:tc>
      </w:tr>
      <w:tr w:rsidR="005F7A19" w14:paraId="483DDFF5" w14:textId="77777777" w:rsidTr="004A0962">
        <w:tc>
          <w:tcPr>
            <w:tcW w:w="1331" w:type="pct"/>
          </w:tcPr>
          <w:p w14:paraId="71FD13C9" w14:textId="77777777" w:rsidR="005F7A19" w:rsidRDefault="005F7A19" w:rsidP="004A0962">
            <w:pPr>
              <w:pStyle w:val="TableText0"/>
              <w:ind w:left="171"/>
            </w:pPr>
            <w:r>
              <w:t>Constipation subdomain</w:t>
            </w:r>
          </w:p>
        </w:tc>
        <w:tc>
          <w:tcPr>
            <w:tcW w:w="1192" w:type="pct"/>
          </w:tcPr>
          <w:p w14:paraId="14ECE9E7" w14:textId="77777777" w:rsidR="005F7A19" w:rsidRDefault="005F7A19" w:rsidP="004A0962">
            <w:pPr>
              <w:pStyle w:val="TableText0"/>
              <w:jc w:val="center"/>
            </w:pPr>
            <w:r>
              <w:t>-0.49 (2.58)</w:t>
            </w:r>
          </w:p>
        </w:tc>
        <w:tc>
          <w:tcPr>
            <w:tcW w:w="1192" w:type="pct"/>
          </w:tcPr>
          <w:p w14:paraId="5FD5FB56" w14:textId="77777777" w:rsidR="005F7A19" w:rsidRDefault="005F7A19" w:rsidP="004A0962">
            <w:pPr>
              <w:pStyle w:val="TableText0"/>
              <w:jc w:val="center"/>
            </w:pPr>
            <w:r>
              <w:t>2.42 (2.76)</w:t>
            </w:r>
          </w:p>
        </w:tc>
        <w:tc>
          <w:tcPr>
            <w:tcW w:w="1285" w:type="pct"/>
          </w:tcPr>
          <w:p w14:paraId="2F1809D4" w14:textId="77777777" w:rsidR="005F7A19" w:rsidRDefault="005F7A19" w:rsidP="004A0962">
            <w:pPr>
              <w:pStyle w:val="TableText0"/>
              <w:jc w:val="center"/>
            </w:pPr>
            <w:r>
              <w:t>2.03 (-6.89, 1.08)</w:t>
            </w:r>
          </w:p>
        </w:tc>
      </w:tr>
      <w:tr w:rsidR="005F7A19" w14:paraId="771123B0" w14:textId="77777777" w:rsidTr="004A0962">
        <w:tc>
          <w:tcPr>
            <w:tcW w:w="1331" w:type="pct"/>
          </w:tcPr>
          <w:p w14:paraId="08C5A0F6" w14:textId="77777777" w:rsidR="005F7A19" w:rsidRDefault="005F7A19" w:rsidP="004A0962">
            <w:pPr>
              <w:pStyle w:val="TableText0"/>
              <w:ind w:left="171"/>
            </w:pPr>
            <w:r>
              <w:t>Diarrhoea</w:t>
            </w:r>
          </w:p>
        </w:tc>
        <w:tc>
          <w:tcPr>
            <w:tcW w:w="1192" w:type="pct"/>
          </w:tcPr>
          <w:p w14:paraId="20BCA083" w14:textId="77777777" w:rsidR="005F7A19" w:rsidRDefault="005F7A19" w:rsidP="004A0962">
            <w:pPr>
              <w:pStyle w:val="TableText0"/>
              <w:jc w:val="center"/>
            </w:pPr>
            <w:r>
              <w:t>15.37 (2.59)</w:t>
            </w:r>
          </w:p>
        </w:tc>
        <w:tc>
          <w:tcPr>
            <w:tcW w:w="1192" w:type="pct"/>
          </w:tcPr>
          <w:p w14:paraId="7F667C55" w14:textId="77777777" w:rsidR="005F7A19" w:rsidRDefault="005F7A19" w:rsidP="004A0962">
            <w:pPr>
              <w:pStyle w:val="TableText0"/>
              <w:jc w:val="center"/>
            </w:pPr>
            <w:r>
              <w:t>2.18 (2.83)</w:t>
            </w:r>
          </w:p>
        </w:tc>
        <w:tc>
          <w:tcPr>
            <w:tcW w:w="1285" w:type="pct"/>
          </w:tcPr>
          <w:p w14:paraId="19BCB24E" w14:textId="77777777" w:rsidR="005F7A19" w:rsidRDefault="005F7A19" w:rsidP="004A0962">
            <w:pPr>
              <w:pStyle w:val="TableText0"/>
              <w:jc w:val="center"/>
            </w:pPr>
            <w:r>
              <w:t>13.19 (10.16, 16.22)</w:t>
            </w:r>
          </w:p>
        </w:tc>
      </w:tr>
      <w:tr w:rsidR="005F7A19" w14:paraId="6CE76FA7" w14:textId="77777777" w:rsidTr="004A0962">
        <w:tc>
          <w:tcPr>
            <w:tcW w:w="1331" w:type="pct"/>
          </w:tcPr>
          <w:p w14:paraId="67931078" w14:textId="77777777" w:rsidR="005F7A19" w:rsidRDefault="005F7A19" w:rsidP="004A0962">
            <w:pPr>
              <w:pStyle w:val="TableText0"/>
              <w:ind w:left="171"/>
            </w:pPr>
            <w:r>
              <w:t>Dyspnoea</w:t>
            </w:r>
          </w:p>
        </w:tc>
        <w:tc>
          <w:tcPr>
            <w:tcW w:w="1192" w:type="pct"/>
          </w:tcPr>
          <w:p w14:paraId="0FEBBD6A" w14:textId="77777777" w:rsidR="005F7A19" w:rsidRDefault="005F7A19" w:rsidP="004A0962">
            <w:pPr>
              <w:pStyle w:val="TableText0"/>
              <w:jc w:val="center"/>
            </w:pPr>
            <w:r>
              <w:t>-0.23 (47.55)</w:t>
            </w:r>
          </w:p>
        </w:tc>
        <w:tc>
          <w:tcPr>
            <w:tcW w:w="1192" w:type="pct"/>
          </w:tcPr>
          <w:p w14:paraId="61CE3B9C" w14:textId="77777777" w:rsidR="005F7A19" w:rsidRDefault="005F7A19" w:rsidP="004A0962">
            <w:pPr>
              <w:pStyle w:val="TableText0"/>
              <w:jc w:val="center"/>
            </w:pPr>
            <w:r>
              <w:t>6.99 (50.21)</w:t>
            </w:r>
          </w:p>
        </w:tc>
        <w:tc>
          <w:tcPr>
            <w:tcW w:w="1285" w:type="pct"/>
          </w:tcPr>
          <w:p w14:paraId="3FD1C10A" w14:textId="77777777" w:rsidR="005F7A19" w:rsidRDefault="005F7A19" w:rsidP="004A0962">
            <w:pPr>
              <w:pStyle w:val="TableText0"/>
              <w:jc w:val="center"/>
            </w:pPr>
            <w:r>
              <w:t>-7.22 (-54.50, 40.06)</w:t>
            </w:r>
          </w:p>
        </w:tc>
      </w:tr>
      <w:tr w:rsidR="005F7A19" w14:paraId="30D606D1" w14:textId="77777777" w:rsidTr="004A0962">
        <w:tc>
          <w:tcPr>
            <w:tcW w:w="1331" w:type="pct"/>
          </w:tcPr>
          <w:p w14:paraId="05B33D67" w14:textId="77777777" w:rsidR="005F7A19" w:rsidRDefault="005F7A19" w:rsidP="004A0962">
            <w:pPr>
              <w:pStyle w:val="TableText0"/>
              <w:ind w:left="171"/>
            </w:pPr>
            <w:r>
              <w:t>Fatigue</w:t>
            </w:r>
          </w:p>
        </w:tc>
        <w:tc>
          <w:tcPr>
            <w:tcW w:w="1192" w:type="pct"/>
          </w:tcPr>
          <w:p w14:paraId="484742E7" w14:textId="77777777" w:rsidR="005F7A19" w:rsidRDefault="005F7A19" w:rsidP="004A0962">
            <w:pPr>
              <w:pStyle w:val="TableText0"/>
              <w:jc w:val="center"/>
            </w:pPr>
            <w:r>
              <w:t>5.85 (2.12)</w:t>
            </w:r>
          </w:p>
        </w:tc>
        <w:tc>
          <w:tcPr>
            <w:tcW w:w="1192" w:type="pct"/>
          </w:tcPr>
          <w:p w14:paraId="70DE7161" w14:textId="77777777" w:rsidR="005F7A19" w:rsidRDefault="005F7A19" w:rsidP="004A0962">
            <w:pPr>
              <w:pStyle w:val="TableText0"/>
              <w:jc w:val="center"/>
            </w:pPr>
            <w:r>
              <w:t>11.01 (2.26)</w:t>
            </w:r>
          </w:p>
        </w:tc>
        <w:tc>
          <w:tcPr>
            <w:tcW w:w="1285" w:type="pct"/>
          </w:tcPr>
          <w:p w14:paraId="20B091CC" w14:textId="77777777" w:rsidR="005F7A19" w:rsidRDefault="005F7A19" w:rsidP="004A0962">
            <w:pPr>
              <w:pStyle w:val="TableText0"/>
              <w:jc w:val="center"/>
            </w:pPr>
            <w:r>
              <w:t>-5.15 (-8.46, -1.85)</w:t>
            </w:r>
          </w:p>
        </w:tc>
      </w:tr>
      <w:tr w:rsidR="005F7A19" w14:paraId="0562429D" w14:textId="77777777" w:rsidTr="004A0962">
        <w:tc>
          <w:tcPr>
            <w:tcW w:w="1331" w:type="pct"/>
          </w:tcPr>
          <w:p w14:paraId="1DD05340" w14:textId="77777777" w:rsidR="005F7A19" w:rsidRDefault="005F7A19" w:rsidP="004A0962">
            <w:pPr>
              <w:pStyle w:val="TableText0"/>
              <w:ind w:left="171"/>
            </w:pPr>
            <w:r>
              <w:t>Insomnia</w:t>
            </w:r>
          </w:p>
        </w:tc>
        <w:tc>
          <w:tcPr>
            <w:tcW w:w="1192" w:type="pct"/>
          </w:tcPr>
          <w:p w14:paraId="5C167120" w14:textId="77777777" w:rsidR="005F7A19" w:rsidRDefault="005F7A19" w:rsidP="004A0962">
            <w:pPr>
              <w:pStyle w:val="TableText0"/>
              <w:jc w:val="center"/>
            </w:pPr>
            <w:r>
              <w:t>0.09 (2.72)</w:t>
            </w:r>
          </w:p>
        </w:tc>
        <w:tc>
          <w:tcPr>
            <w:tcW w:w="1192" w:type="pct"/>
          </w:tcPr>
          <w:p w14:paraId="63FEBF46" w14:textId="77777777" w:rsidR="005F7A19" w:rsidRDefault="005F7A19" w:rsidP="004A0962">
            <w:pPr>
              <w:pStyle w:val="TableText0"/>
              <w:jc w:val="center"/>
            </w:pPr>
            <w:r>
              <w:t>1.38 (2.91)</w:t>
            </w:r>
          </w:p>
        </w:tc>
        <w:tc>
          <w:tcPr>
            <w:tcW w:w="1285" w:type="pct"/>
          </w:tcPr>
          <w:p w14:paraId="3EFCDACA" w14:textId="77777777" w:rsidR="005F7A19" w:rsidRDefault="005F7A19" w:rsidP="004A0962">
            <w:pPr>
              <w:pStyle w:val="TableText0"/>
              <w:jc w:val="center"/>
            </w:pPr>
            <w:r>
              <w:t>-1.28 (-5.42, 2.86)</w:t>
            </w:r>
          </w:p>
        </w:tc>
      </w:tr>
      <w:tr w:rsidR="005F7A19" w14:paraId="14E00C05" w14:textId="77777777" w:rsidTr="004A0962">
        <w:tc>
          <w:tcPr>
            <w:tcW w:w="1331" w:type="pct"/>
          </w:tcPr>
          <w:p w14:paraId="25A24299" w14:textId="77777777" w:rsidR="005F7A19" w:rsidRDefault="005F7A19" w:rsidP="004A0962">
            <w:pPr>
              <w:pStyle w:val="TableText0"/>
              <w:ind w:left="171"/>
            </w:pPr>
            <w:r>
              <w:t>Nausea and vomiting</w:t>
            </w:r>
          </w:p>
        </w:tc>
        <w:tc>
          <w:tcPr>
            <w:tcW w:w="1192" w:type="pct"/>
          </w:tcPr>
          <w:p w14:paraId="5CE1BEF2" w14:textId="77777777" w:rsidR="005F7A19" w:rsidRDefault="005F7A19" w:rsidP="004A0962">
            <w:pPr>
              <w:pStyle w:val="TableText0"/>
              <w:jc w:val="center"/>
            </w:pPr>
            <w:r>
              <w:t>5.69 (1.72)</w:t>
            </w:r>
          </w:p>
        </w:tc>
        <w:tc>
          <w:tcPr>
            <w:tcW w:w="1192" w:type="pct"/>
          </w:tcPr>
          <w:p w14:paraId="5B67422C" w14:textId="77777777" w:rsidR="005F7A19" w:rsidRDefault="005F7A19" w:rsidP="004A0962">
            <w:pPr>
              <w:pStyle w:val="TableText0"/>
              <w:jc w:val="center"/>
            </w:pPr>
            <w:r>
              <w:t>4.47 (1.83)</w:t>
            </w:r>
          </w:p>
        </w:tc>
        <w:tc>
          <w:tcPr>
            <w:tcW w:w="1285" w:type="pct"/>
          </w:tcPr>
          <w:p w14:paraId="23628048" w14:textId="77777777" w:rsidR="005F7A19" w:rsidRDefault="005F7A19" w:rsidP="004A0962">
            <w:pPr>
              <w:pStyle w:val="TableText0"/>
              <w:jc w:val="center"/>
            </w:pPr>
            <w:r>
              <w:t>1.23 (-1.25, 3.70)</w:t>
            </w:r>
          </w:p>
        </w:tc>
      </w:tr>
      <w:tr w:rsidR="005F7A19" w14:paraId="701153E8" w14:textId="77777777" w:rsidTr="004A0962">
        <w:tc>
          <w:tcPr>
            <w:tcW w:w="1331" w:type="pct"/>
          </w:tcPr>
          <w:p w14:paraId="7239E8B1" w14:textId="77777777" w:rsidR="005F7A19" w:rsidRDefault="005F7A19" w:rsidP="004A0962">
            <w:pPr>
              <w:pStyle w:val="TableText0"/>
              <w:ind w:left="171"/>
            </w:pPr>
            <w:r>
              <w:t>Pain subdomain</w:t>
            </w:r>
          </w:p>
        </w:tc>
        <w:tc>
          <w:tcPr>
            <w:tcW w:w="1192" w:type="pct"/>
          </w:tcPr>
          <w:p w14:paraId="32A0B614" w14:textId="77777777" w:rsidR="005F7A19" w:rsidRDefault="005F7A19" w:rsidP="004A0962">
            <w:pPr>
              <w:pStyle w:val="TableText0"/>
              <w:jc w:val="center"/>
            </w:pPr>
            <w:r>
              <w:t>-5.72 (2.45)</w:t>
            </w:r>
          </w:p>
        </w:tc>
        <w:tc>
          <w:tcPr>
            <w:tcW w:w="1192" w:type="pct"/>
          </w:tcPr>
          <w:p w14:paraId="5A75E6C5" w14:textId="77777777" w:rsidR="005F7A19" w:rsidRDefault="005F7A19" w:rsidP="004A0962">
            <w:pPr>
              <w:pStyle w:val="TableText0"/>
              <w:jc w:val="center"/>
            </w:pPr>
            <w:r>
              <w:t>1.24 (2.62)</w:t>
            </w:r>
          </w:p>
        </w:tc>
        <w:tc>
          <w:tcPr>
            <w:tcW w:w="1285" w:type="pct"/>
          </w:tcPr>
          <w:p w14:paraId="7822F4AC" w14:textId="77777777" w:rsidR="005F7A19" w:rsidRDefault="005F7A19" w:rsidP="004A0962">
            <w:pPr>
              <w:pStyle w:val="TableText0"/>
              <w:jc w:val="center"/>
            </w:pPr>
            <w:r>
              <w:t>-6.96 (-10.75, -3.17)</w:t>
            </w:r>
          </w:p>
        </w:tc>
      </w:tr>
      <w:tr w:rsidR="005F7A19" w14:paraId="2BF2ADF5" w14:textId="77777777" w:rsidTr="004A0962">
        <w:tc>
          <w:tcPr>
            <w:tcW w:w="1331" w:type="pct"/>
          </w:tcPr>
          <w:p w14:paraId="63CCDAFF" w14:textId="77777777" w:rsidR="005F7A19" w:rsidRPr="00C87EFE" w:rsidRDefault="005F7A19" w:rsidP="004A0962">
            <w:pPr>
              <w:pStyle w:val="TableText0"/>
              <w:ind w:left="171"/>
              <w:rPr>
                <w:vertAlign w:val="superscript"/>
              </w:rPr>
            </w:pPr>
            <w:r>
              <w:t>Financial difficulties</w:t>
            </w:r>
          </w:p>
        </w:tc>
        <w:tc>
          <w:tcPr>
            <w:tcW w:w="1192" w:type="pct"/>
          </w:tcPr>
          <w:p w14:paraId="44FA623F" w14:textId="77777777" w:rsidR="005F7A19" w:rsidRDefault="005F7A19" w:rsidP="004A0962">
            <w:pPr>
              <w:pStyle w:val="TableText0"/>
              <w:jc w:val="center"/>
            </w:pPr>
            <w:r>
              <w:t>-2.54 (2.08)</w:t>
            </w:r>
          </w:p>
        </w:tc>
        <w:tc>
          <w:tcPr>
            <w:tcW w:w="1192" w:type="pct"/>
          </w:tcPr>
          <w:p w14:paraId="5497DD28" w14:textId="77777777" w:rsidR="005F7A19" w:rsidRDefault="005F7A19" w:rsidP="004A0962">
            <w:pPr>
              <w:pStyle w:val="TableText0"/>
              <w:jc w:val="center"/>
            </w:pPr>
            <w:r>
              <w:t>-0.36 (2.31)</w:t>
            </w:r>
          </w:p>
        </w:tc>
        <w:tc>
          <w:tcPr>
            <w:tcW w:w="1285" w:type="pct"/>
          </w:tcPr>
          <w:p w14:paraId="610C324D" w14:textId="77777777" w:rsidR="005F7A19" w:rsidRDefault="005F7A19" w:rsidP="004A0962">
            <w:pPr>
              <w:pStyle w:val="TableText0"/>
              <w:jc w:val="center"/>
            </w:pPr>
            <w:r>
              <w:t>-2.19 (-4.83, 0.46)</w:t>
            </w:r>
          </w:p>
        </w:tc>
      </w:tr>
    </w:tbl>
    <w:p w14:paraId="18085EC2" w14:textId="77777777" w:rsidR="005F7A19" w:rsidRDefault="005F7A19" w:rsidP="005F7A19">
      <w:pPr>
        <w:pStyle w:val="TableFigureFooter"/>
      </w:pPr>
      <w:r>
        <w:t xml:space="preserve">Source: Table 14.2.6.3 of the CSR. </w:t>
      </w:r>
    </w:p>
    <w:p w14:paraId="1427E849" w14:textId="77777777" w:rsidR="005F7A19" w:rsidRDefault="005F7A19" w:rsidP="005F7A19">
      <w:pPr>
        <w:pStyle w:val="TableFigureFooter"/>
      </w:pPr>
      <w:r>
        <w:t>CI = confidence interval; ITT = intention to treat; LS = least square; QoL = quality of life; SE = standard error; SG = sacituzumab govitecan; TPC = treatment of physician's choice.</w:t>
      </w:r>
    </w:p>
    <w:p w14:paraId="5A06E7A6" w14:textId="77777777" w:rsidR="005F7A19" w:rsidRDefault="005F7A19" w:rsidP="005F7A19">
      <w:pPr>
        <w:pStyle w:val="TableFigureFooter"/>
      </w:pPr>
      <w:r>
        <w:rPr>
          <w:vertAlign w:val="superscript"/>
        </w:rPr>
        <w:t>a</w:t>
      </w:r>
      <w:r>
        <w:t xml:space="preserve"> Higher scores denote better level of functioning.</w:t>
      </w:r>
    </w:p>
    <w:p w14:paraId="55F1AECF" w14:textId="77777777" w:rsidR="005F7A19" w:rsidRPr="00C87EFE" w:rsidRDefault="005F7A19" w:rsidP="005F7A19">
      <w:pPr>
        <w:pStyle w:val="TableFigureFooter"/>
      </w:pPr>
      <w:r>
        <w:rPr>
          <w:vertAlign w:val="superscript"/>
        </w:rPr>
        <w:t>b</w:t>
      </w:r>
      <w:r>
        <w:t xml:space="preserve"> Higher scores indicate higher level of symptoms.</w:t>
      </w:r>
    </w:p>
    <w:p w14:paraId="33CC1D6E" w14:textId="77777777" w:rsidR="00A173AE" w:rsidRPr="00637BBA" w:rsidRDefault="005F7A19" w:rsidP="00937F7C">
      <w:pPr>
        <w:pStyle w:val="3-BodyText"/>
      </w:pPr>
      <w:r>
        <w:t xml:space="preserve">The PBAC noted </w:t>
      </w:r>
      <w:r w:rsidR="00D1598D">
        <w:t xml:space="preserve">that </w:t>
      </w:r>
      <w:r>
        <w:t xml:space="preserve">a conference abstract </w:t>
      </w:r>
      <w:r w:rsidR="0091680B">
        <w:t xml:space="preserve">was </w:t>
      </w:r>
      <w:r>
        <w:t>presented in the PSCR titled ‘</w:t>
      </w:r>
      <w:r w:rsidRPr="005F7A19">
        <w:t>Assessment of health-related quality of life by clinical response from the phase 3 ASCENT study in metastatic triple-negative breast cancer (mTNBC)</w:t>
      </w:r>
      <w:r>
        <w:t>’ (</w:t>
      </w:r>
      <w:r w:rsidRPr="0014545B">
        <w:t>Loibl 2021)</w:t>
      </w:r>
      <w:r>
        <w:t xml:space="preserve">, which further classified patients as responders (partial or complete disease response) or non-responders (stable or progressive disease or not evaluable) based on best overall response (by RECIST criteria). </w:t>
      </w:r>
      <w:r w:rsidR="00937F7C">
        <w:t xml:space="preserve">A mixed-effect model for repeated measures was used to estimate the least-square mean EORTC QLQ-C30 score changes from baseline using all HRQoL data assessed during Cycle 2 to Cycle 6 (where n was ≥25 in both treatment arms) for responders and non-responders within each treatment group. </w:t>
      </w:r>
      <w:r>
        <w:t xml:space="preserve">The authors found </w:t>
      </w:r>
      <w:r w:rsidR="0052636A">
        <w:t>that ‘irrespective of their clinical response status, patients treated with SG showed more favo</w:t>
      </w:r>
      <w:r w:rsidR="00937F7C">
        <w:t>u</w:t>
      </w:r>
      <w:r w:rsidR="0052636A">
        <w:t xml:space="preserve">rable </w:t>
      </w:r>
      <w:r w:rsidR="00937F7C">
        <w:t>least-square</w:t>
      </w:r>
      <w:r w:rsidR="0052636A">
        <w:t xml:space="preserve"> mean changes than patients who received TPC in all EORTC QLQ-C30 domains,</w:t>
      </w:r>
      <w:r w:rsidR="00937F7C">
        <w:t xml:space="preserve"> </w:t>
      </w:r>
      <w:r w:rsidR="0052636A">
        <w:t xml:space="preserve">except for nausea/vomiting and </w:t>
      </w:r>
      <w:r w:rsidR="00937F7C">
        <w:t xml:space="preserve">diarrhoea’. The changes from baseline in Global health status/QoL were 2.46 (95% CI: -1.52; 6.43) and </w:t>
      </w:r>
      <w:r w:rsidR="00937F7C">
        <w:noBreakHyphen/>
        <w:t xml:space="preserve">0.57 (95% CI: -3.68, 2.54) in the SG responders and non-responders groups, respectively; and -1.64 (95% CI: -10.22, </w:t>
      </w:r>
      <w:r w:rsidR="00937F7C" w:rsidRPr="00937F7C">
        <w:rPr>
          <w:rFonts w:ascii="Calibri" w:hAnsi="Calibri"/>
          <w:snapToGrid/>
        </w:rPr>
        <w:t>6.95) and -2.29 (</w:t>
      </w:r>
      <w:r w:rsidR="00937F7C">
        <w:t xml:space="preserve">95% CI: </w:t>
      </w:r>
      <w:r w:rsidR="00937F7C" w:rsidRPr="00937F7C">
        <w:rPr>
          <w:rFonts w:ascii="Calibri" w:hAnsi="Calibri"/>
          <w:snapToGrid/>
        </w:rPr>
        <w:t>-5.63, 1.05)</w:t>
      </w:r>
      <w:r w:rsidR="00937F7C">
        <w:rPr>
          <w:rFonts w:ascii="Calibri" w:hAnsi="Calibri"/>
          <w:snapToGrid/>
        </w:rPr>
        <w:t xml:space="preserve"> </w:t>
      </w:r>
      <w:r w:rsidR="00937F7C">
        <w:t>in the TPC responders and non-responders groups, respectively.</w:t>
      </w:r>
      <w:r w:rsidR="00937F7C" w:rsidRPr="00937F7C">
        <w:rPr>
          <w:rFonts w:ascii="Calibri" w:hAnsi="Calibri"/>
          <w:snapToGrid/>
        </w:rPr>
        <w:t xml:space="preserve"> The authors concluded </w:t>
      </w:r>
      <w:r w:rsidRPr="00937F7C">
        <w:rPr>
          <w:rFonts w:ascii="Calibri" w:hAnsi="Calibri"/>
          <w:snapToGrid/>
        </w:rPr>
        <w:t>‘regardless of response status, SG responders and non-responders showed a better trend in HRQoL changes than TPC. Patients who achieved a tumo</w:t>
      </w:r>
      <w:r w:rsidR="00937F7C" w:rsidRPr="00937F7C">
        <w:rPr>
          <w:rFonts w:ascii="Calibri" w:hAnsi="Calibri"/>
          <w:snapToGrid/>
        </w:rPr>
        <w:t>u</w:t>
      </w:r>
      <w:r w:rsidRPr="00937F7C">
        <w:rPr>
          <w:rFonts w:ascii="Calibri" w:hAnsi="Calibri"/>
          <w:snapToGrid/>
        </w:rPr>
        <w:t>r response</w:t>
      </w:r>
      <w:r>
        <w:t xml:space="preserve"> to SG may benefit most in HRQoL. Although patients treated with SG reported higher rates </w:t>
      </w:r>
      <w:r>
        <w:lastRenderedPageBreak/>
        <w:t>of diarrhoea, this did not generate a negative impact on their overall quality of life or functioning’.</w:t>
      </w:r>
    </w:p>
    <w:p w14:paraId="3891E3D2" w14:textId="77777777" w:rsidR="00A173AE" w:rsidRPr="00037EC2" w:rsidRDefault="00A173AE" w:rsidP="00A173AE">
      <w:pPr>
        <w:pStyle w:val="4-SubsectionHeading"/>
        <w:rPr>
          <w:iCs/>
        </w:rPr>
      </w:pPr>
      <w:r w:rsidRPr="00037EC2">
        <w:rPr>
          <w:iCs/>
        </w:rPr>
        <w:t>Comparative harms</w:t>
      </w:r>
    </w:p>
    <w:p w14:paraId="4FDDC77B" w14:textId="77777777" w:rsidR="00A173AE" w:rsidRPr="00457FD3" w:rsidRDefault="00A173AE" w:rsidP="00A173AE">
      <w:pPr>
        <w:pStyle w:val="3-BodyText"/>
      </w:pPr>
      <w:r w:rsidRPr="00457FD3">
        <w:t>The key treatment emergent AEs from ASCENT are summarised below.</w:t>
      </w:r>
    </w:p>
    <w:p w14:paraId="0A3A8B82" w14:textId="77777777" w:rsidR="00A173AE" w:rsidRPr="00457FD3" w:rsidRDefault="00A173AE" w:rsidP="00A173AE">
      <w:pPr>
        <w:pStyle w:val="TableFigureHeading"/>
      </w:pPr>
      <w:r w:rsidRPr="00457FD3">
        <w:t xml:space="preserve">Table </w:t>
      </w:r>
      <w:r w:rsidR="002367C0">
        <w:t>7</w:t>
      </w:r>
      <w:r w:rsidRPr="00457FD3">
        <w:t>: Summary of key treatment emergent adverse events in ASCENT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2346"/>
        <w:gridCol w:w="2346"/>
      </w:tblGrid>
      <w:tr w:rsidR="00A173AE" w:rsidRPr="00457FD3" w14:paraId="10FED59D" w14:textId="77777777" w:rsidTr="00207EE8">
        <w:trPr>
          <w:tblHeader/>
        </w:trPr>
        <w:tc>
          <w:tcPr>
            <w:tcW w:w="2398" w:type="pct"/>
            <w:vAlign w:val="center"/>
          </w:tcPr>
          <w:p w14:paraId="0306BB32" w14:textId="77777777" w:rsidR="00A173AE" w:rsidRPr="00457FD3" w:rsidRDefault="00A173AE" w:rsidP="00207EE8">
            <w:pPr>
              <w:pStyle w:val="In-tableHeading"/>
            </w:pPr>
          </w:p>
        </w:tc>
        <w:tc>
          <w:tcPr>
            <w:tcW w:w="1301" w:type="pct"/>
            <w:vAlign w:val="center"/>
          </w:tcPr>
          <w:p w14:paraId="34480CC9" w14:textId="77777777" w:rsidR="00A173AE" w:rsidRPr="00457FD3" w:rsidRDefault="00A173AE" w:rsidP="00207EE8">
            <w:pPr>
              <w:pStyle w:val="In-tableHeading"/>
              <w:jc w:val="center"/>
            </w:pPr>
            <w:r w:rsidRPr="00457FD3">
              <w:t>SG</w:t>
            </w:r>
          </w:p>
          <w:p w14:paraId="4B1F4786" w14:textId="77777777" w:rsidR="00A173AE" w:rsidRPr="00457FD3" w:rsidRDefault="00A173AE" w:rsidP="00207EE8">
            <w:pPr>
              <w:pStyle w:val="In-tableHeading"/>
              <w:jc w:val="center"/>
            </w:pPr>
            <w:r w:rsidRPr="00457FD3">
              <w:t>N=258</w:t>
            </w:r>
          </w:p>
          <w:p w14:paraId="0A07BB9F" w14:textId="77777777" w:rsidR="00A173AE" w:rsidRPr="00457FD3" w:rsidRDefault="00A173AE" w:rsidP="00207EE8">
            <w:pPr>
              <w:pStyle w:val="In-tableHeading"/>
              <w:jc w:val="center"/>
            </w:pPr>
            <w:r w:rsidRPr="00457FD3">
              <w:t>n (%)</w:t>
            </w:r>
          </w:p>
        </w:tc>
        <w:tc>
          <w:tcPr>
            <w:tcW w:w="1301" w:type="pct"/>
            <w:vAlign w:val="center"/>
          </w:tcPr>
          <w:p w14:paraId="65B5715D" w14:textId="77777777" w:rsidR="00A173AE" w:rsidRPr="00457FD3" w:rsidRDefault="00A173AE" w:rsidP="00207EE8">
            <w:pPr>
              <w:pStyle w:val="In-tableHeading"/>
              <w:jc w:val="center"/>
            </w:pPr>
            <w:r w:rsidRPr="00457FD3">
              <w:t>TPC</w:t>
            </w:r>
          </w:p>
          <w:p w14:paraId="7CCAFC3C" w14:textId="77777777" w:rsidR="00A173AE" w:rsidRPr="00457FD3" w:rsidRDefault="00A173AE" w:rsidP="00207EE8">
            <w:pPr>
              <w:pStyle w:val="In-tableHeading"/>
              <w:jc w:val="center"/>
            </w:pPr>
            <w:r w:rsidRPr="00457FD3">
              <w:t>N=224</w:t>
            </w:r>
          </w:p>
          <w:p w14:paraId="123B88E1" w14:textId="77777777" w:rsidR="00A173AE" w:rsidRPr="00457FD3" w:rsidRDefault="00A173AE" w:rsidP="00207EE8">
            <w:pPr>
              <w:pStyle w:val="In-tableHeading"/>
              <w:jc w:val="center"/>
            </w:pPr>
            <w:r w:rsidRPr="00457FD3">
              <w:t>n (%)</w:t>
            </w:r>
          </w:p>
        </w:tc>
      </w:tr>
      <w:tr w:rsidR="00A173AE" w:rsidRPr="00457FD3" w14:paraId="05D4CB69" w14:textId="77777777" w:rsidTr="00207EE8">
        <w:tc>
          <w:tcPr>
            <w:tcW w:w="2398" w:type="pct"/>
            <w:vAlign w:val="center"/>
          </w:tcPr>
          <w:p w14:paraId="1B55B284" w14:textId="77777777" w:rsidR="00A173AE" w:rsidRPr="00457FD3" w:rsidRDefault="00A173AE" w:rsidP="00207EE8">
            <w:pPr>
              <w:pStyle w:val="TableText0"/>
            </w:pPr>
            <w:r w:rsidRPr="00457FD3">
              <w:t>Any AE</w:t>
            </w:r>
          </w:p>
        </w:tc>
        <w:tc>
          <w:tcPr>
            <w:tcW w:w="1301" w:type="pct"/>
            <w:vAlign w:val="center"/>
          </w:tcPr>
          <w:p w14:paraId="41AE3A8F" w14:textId="77777777" w:rsidR="00A173AE" w:rsidRPr="00457FD3" w:rsidRDefault="00A173AE" w:rsidP="00207EE8">
            <w:pPr>
              <w:pStyle w:val="TableText0"/>
              <w:jc w:val="center"/>
            </w:pPr>
            <w:r w:rsidRPr="00457FD3">
              <w:t>257 (99.6%)</w:t>
            </w:r>
          </w:p>
        </w:tc>
        <w:tc>
          <w:tcPr>
            <w:tcW w:w="1301" w:type="pct"/>
            <w:vAlign w:val="center"/>
          </w:tcPr>
          <w:p w14:paraId="54095A29" w14:textId="77777777" w:rsidR="00A173AE" w:rsidRPr="00457FD3" w:rsidRDefault="00A173AE" w:rsidP="00207EE8">
            <w:pPr>
              <w:pStyle w:val="TableText0"/>
              <w:jc w:val="center"/>
            </w:pPr>
            <w:r w:rsidRPr="00457FD3">
              <w:t>219 (97.8%)</w:t>
            </w:r>
          </w:p>
        </w:tc>
      </w:tr>
      <w:tr w:rsidR="00A173AE" w:rsidRPr="00457FD3" w14:paraId="433FBB8B" w14:textId="77777777" w:rsidTr="00207EE8">
        <w:tc>
          <w:tcPr>
            <w:tcW w:w="2398" w:type="pct"/>
            <w:vAlign w:val="center"/>
          </w:tcPr>
          <w:p w14:paraId="4F8C3FEE" w14:textId="77777777" w:rsidR="00A173AE" w:rsidRPr="00457FD3" w:rsidRDefault="00A173AE" w:rsidP="00207EE8">
            <w:pPr>
              <w:pStyle w:val="TableText0"/>
            </w:pPr>
            <w:r w:rsidRPr="00457FD3">
              <w:t>Treatment-related AE</w:t>
            </w:r>
          </w:p>
        </w:tc>
        <w:tc>
          <w:tcPr>
            <w:tcW w:w="1301" w:type="pct"/>
            <w:vAlign w:val="center"/>
          </w:tcPr>
          <w:p w14:paraId="527D5D8F" w14:textId="77777777" w:rsidR="00A173AE" w:rsidRPr="00457FD3" w:rsidRDefault="00A173AE" w:rsidP="00207EE8">
            <w:pPr>
              <w:pStyle w:val="TableText0"/>
              <w:jc w:val="center"/>
            </w:pPr>
            <w:r w:rsidRPr="00457FD3">
              <w:t>252 (97.7%)</w:t>
            </w:r>
          </w:p>
        </w:tc>
        <w:tc>
          <w:tcPr>
            <w:tcW w:w="1301" w:type="pct"/>
            <w:vAlign w:val="center"/>
          </w:tcPr>
          <w:p w14:paraId="2E7B1775" w14:textId="77777777" w:rsidR="00A173AE" w:rsidRPr="00457FD3" w:rsidRDefault="00A173AE" w:rsidP="00207EE8">
            <w:pPr>
              <w:pStyle w:val="TableText0"/>
              <w:jc w:val="center"/>
            </w:pPr>
            <w:r w:rsidRPr="00457FD3">
              <w:t>192 (85.7%)</w:t>
            </w:r>
          </w:p>
        </w:tc>
      </w:tr>
      <w:tr w:rsidR="00A173AE" w:rsidRPr="00457FD3" w14:paraId="247AFA8F" w14:textId="77777777" w:rsidTr="00207EE8">
        <w:tc>
          <w:tcPr>
            <w:tcW w:w="2398" w:type="pct"/>
            <w:vAlign w:val="center"/>
          </w:tcPr>
          <w:p w14:paraId="7F0AADBE" w14:textId="77777777" w:rsidR="00A173AE" w:rsidRPr="00457FD3" w:rsidRDefault="00A173AE" w:rsidP="00207EE8">
            <w:pPr>
              <w:pStyle w:val="TableText0"/>
            </w:pPr>
            <w:r w:rsidRPr="00457FD3">
              <w:t>≥ Grade 3 AE</w:t>
            </w:r>
          </w:p>
        </w:tc>
        <w:tc>
          <w:tcPr>
            <w:tcW w:w="1301" w:type="pct"/>
            <w:vAlign w:val="center"/>
          </w:tcPr>
          <w:p w14:paraId="57B84197" w14:textId="77777777" w:rsidR="00A173AE" w:rsidRPr="00457FD3" w:rsidRDefault="00A173AE" w:rsidP="00207EE8">
            <w:pPr>
              <w:pStyle w:val="TableText0"/>
              <w:jc w:val="center"/>
            </w:pPr>
            <w:r w:rsidRPr="00457FD3">
              <w:t>186 (72.1%)</w:t>
            </w:r>
          </w:p>
        </w:tc>
        <w:tc>
          <w:tcPr>
            <w:tcW w:w="1301" w:type="pct"/>
            <w:vAlign w:val="center"/>
          </w:tcPr>
          <w:p w14:paraId="52B92987" w14:textId="77777777" w:rsidR="00A173AE" w:rsidRPr="00457FD3" w:rsidRDefault="00A173AE" w:rsidP="00207EE8">
            <w:pPr>
              <w:pStyle w:val="TableText0"/>
              <w:jc w:val="center"/>
            </w:pPr>
            <w:r w:rsidRPr="00457FD3">
              <w:t>145 (64.7%)</w:t>
            </w:r>
          </w:p>
        </w:tc>
      </w:tr>
      <w:tr w:rsidR="00A173AE" w:rsidRPr="00457FD3" w14:paraId="7C2BD099" w14:textId="77777777" w:rsidTr="00207EE8">
        <w:tc>
          <w:tcPr>
            <w:tcW w:w="2398" w:type="pct"/>
            <w:vAlign w:val="center"/>
          </w:tcPr>
          <w:p w14:paraId="1CEB039D" w14:textId="77777777" w:rsidR="00A173AE" w:rsidRPr="00457FD3" w:rsidRDefault="00A173AE" w:rsidP="00207EE8">
            <w:pPr>
              <w:pStyle w:val="TableText0"/>
            </w:pPr>
            <w:r w:rsidRPr="00457FD3">
              <w:t>≥ Grade 3 treatment-related AE</w:t>
            </w:r>
          </w:p>
        </w:tc>
        <w:tc>
          <w:tcPr>
            <w:tcW w:w="1301" w:type="pct"/>
            <w:vAlign w:val="center"/>
          </w:tcPr>
          <w:p w14:paraId="7EF65255" w14:textId="77777777" w:rsidR="00A173AE" w:rsidRPr="00457FD3" w:rsidRDefault="00A173AE" w:rsidP="00207EE8">
            <w:pPr>
              <w:pStyle w:val="TableText0"/>
              <w:jc w:val="center"/>
            </w:pPr>
            <w:r w:rsidRPr="00457FD3">
              <w:t>166 (64.3%)</w:t>
            </w:r>
          </w:p>
        </w:tc>
        <w:tc>
          <w:tcPr>
            <w:tcW w:w="1301" w:type="pct"/>
            <w:vAlign w:val="center"/>
          </w:tcPr>
          <w:p w14:paraId="4AC17ED7" w14:textId="77777777" w:rsidR="00A173AE" w:rsidRPr="00457FD3" w:rsidRDefault="00A173AE" w:rsidP="00207EE8">
            <w:pPr>
              <w:pStyle w:val="TableText0"/>
              <w:jc w:val="center"/>
            </w:pPr>
            <w:r w:rsidRPr="00457FD3">
              <w:t>105 (46.9%)</w:t>
            </w:r>
          </w:p>
        </w:tc>
      </w:tr>
      <w:tr w:rsidR="00A173AE" w:rsidRPr="00457FD3" w14:paraId="41AF871B" w14:textId="77777777" w:rsidTr="00207EE8">
        <w:tc>
          <w:tcPr>
            <w:tcW w:w="2398" w:type="pct"/>
            <w:vAlign w:val="center"/>
          </w:tcPr>
          <w:p w14:paraId="37EE7D43" w14:textId="77777777" w:rsidR="00A173AE" w:rsidRPr="00457FD3" w:rsidRDefault="00A173AE" w:rsidP="00207EE8">
            <w:pPr>
              <w:pStyle w:val="TableText0"/>
            </w:pPr>
            <w:r w:rsidRPr="00457FD3">
              <w:t>Serious AE</w:t>
            </w:r>
          </w:p>
        </w:tc>
        <w:tc>
          <w:tcPr>
            <w:tcW w:w="1301" w:type="pct"/>
            <w:vAlign w:val="center"/>
          </w:tcPr>
          <w:p w14:paraId="53483A99" w14:textId="77777777" w:rsidR="00A173AE" w:rsidRPr="00457FD3" w:rsidRDefault="00A173AE" w:rsidP="00207EE8">
            <w:pPr>
              <w:pStyle w:val="TableText0"/>
              <w:jc w:val="center"/>
            </w:pPr>
            <w:r w:rsidRPr="00457FD3">
              <w:t>69 (26.7%)</w:t>
            </w:r>
          </w:p>
        </w:tc>
        <w:tc>
          <w:tcPr>
            <w:tcW w:w="1301" w:type="pct"/>
            <w:vAlign w:val="center"/>
          </w:tcPr>
          <w:p w14:paraId="14FCCF75" w14:textId="77777777" w:rsidR="00A173AE" w:rsidRPr="00457FD3" w:rsidRDefault="00A173AE" w:rsidP="00207EE8">
            <w:pPr>
              <w:pStyle w:val="TableText0"/>
              <w:jc w:val="center"/>
            </w:pPr>
            <w:r w:rsidRPr="00457FD3">
              <w:t>63 (28.1%)</w:t>
            </w:r>
          </w:p>
        </w:tc>
      </w:tr>
      <w:tr w:rsidR="00A173AE" w:rsidRPr="00457FD3" w14:paraId="1163CB70" w14:textId="77777777" w:rsidTr="00207EE8">
        <w:tc>
          <w:tcPr>
            <w:tcW w:w="2398" w:type="pct"/>
            <w:vAlign w:val="center"/>
          </w:tcPr>
          <w:p w14:paraId="05DEFB37" w14:textId="77777777" w:rsidR="00A173AE" w:rsidRPr="00457FD3" w:rsidRDefault="00A173AE" w:rsidP="00207EE8">
            <w:pPr>
              <w:pStyle w:val="TableText0"/>
            </w:pPr>
            <w:r w:rsidRPr="00457FD3">
              <w:t>Treatment-related serious AE</w:t>
            </w:r>
          </w:p>
        </w:tc>
        <w:tc>
          <w:tcPr>
            <w:tcW w:w="1301" w:type="pct"/>
            <w:vAlign w:val="center"/>
          </w:tcPr>
          <w:p w14:paraId="56582FBE" w14:textId="77777777" w:rsidR="00A173AE" w:rsidRPr="00457FD3" w:rsidRDefault="00A173AE" w:rsidP="00207EE8">
            <w:pPr>
              <w:pStyle w:val="TableText0"/>
              <w:jc w:val="center"/>
            </w:pPr>
            <w:r w:rsidRPr="00457FD3">
              <w:t>39 (15.1%)</w:t>
            </w:r>
          </w:p>
        </w:tc>
        <w:tc>
          <w:tcPr>
            <w:tcW w:w="1301" w:type="pct"/>
            <w:vAlign w:val="center"/>
          </w:tcPr>
          <w:p w14:paraId="102C5FCC" w14:textId="77777777" w:rsidR="00A173AE" w:rsidRPr="00457FD3" w:rsidRDefault="00A173AE" w:rsidP="00207EE8">
            <w:pPr>
              <w:pStyle w:val="TableText0"/>
              <w:jc w:val="center"/>
            </w:pPr>
            <w:r w:rsidRPr="00457FD3">
              <w:t>19 (8.5%)</w:t>
            </w:r>
          </w:p>
        </w:tc>
      </w:tr>
      <w:tr w:rsidR="00A173AE" w:rsidRPr="00457FD3" w14:paraId="621F632E" w14:textId="77777777" w:rsidTr="00207EE8">
        <w:tc>
          <w:tcPr>
            <w:tcW w:w="2398" w:type="pct"/>
            <w:vAlign w:val="center"/>
          </w:tcPr>
          <w:p w14:paraId="3C802F40" w14:textId="77777777" w:rsidR="00A173AE" w:rsidRPr="00457FD3" w:rsidRDefault="00A173AE" w:rsidP="00207EE8">
            <w:pPr>
              <w:pStyle w:val="TableText0"/>
            </w:pPr>
            <w:r w:rsidRPr="00457FD3">
              <w:t>AE leading to:</w:t>
            </w:r>
          </w:p>
        </w:tc>
        <w:tc>
          <w:tcPr>
            <w:tcW w:w="1301" w:type="pct"/>
            <w:vAlign w:val="center"/>
          </w:tcPr>
          <w:p w14:paraId="1CA1807F" w14:textId="77777777" w:rsidR="00A173AE" w:rsidRPr="00457FD3" w:rsidRDefault="00A173AE" w:rsidP="00207EE8">
            <w:pPr>
              <w:pStyle w:val="TableText0"/>
              <w:jc w:val="center"/>
            </w:pPr>
          </w:p>
        </w:tc>
        <w:tc>
          <w:tcPr>
            <w:tcW w:w="1301" w:type="pct"/>
            <w:vAlign w:val="center"/>
          </w:tcPr>
          <w:p w14:paraId="7ACB3E3B" w14:textId="77777777" w:rsidR="00A173AE" w:rsidRPr="00457FD3" w:rsidRDefault="00A173AE" w:rsidP="00207EE8">
            <w:pPr>
              <w:pStyle w:val="TableText0"/>
              <w:jc w:val="center"/>
            </w:pPr>
          </w:p>
        </w:tc>
      </w:tr>
      <w:tr w:rsidR="00A173AE" w:rsidRPr="00457FD3" w14:paraId="1646E75C" w14:textId="77777777" w:rsidTr="00207EE8">
        <w:tc>
          <w:tcPr>
            <w:tcW w:w="2398" w:type="pct"/>
            <w:vAlign w:val="center"/>
          </w:tcPr>
          <w:p w14:paraId="692CBE64" w14:textId="77777777" w:rsidR="00A173AE" w:rsidRPr="00457FD3" w:rsidRDefault="00A173AE" w:rsidP="00207EE8">
            <w:pPr>
              <w:pStyle w:val="TableText0"/>
              <w:ind w:left="171"/>
            </w:pPr>
            <w:r w:rsidRPr="00457FD3">
              <w:t>dose reduction</w:t>
            </w:r>
          </w:p>
        </w:tc>
        <w:tc>
          <w:tcPr>
            <w:tcW w:w="1301" w:type="pct"/>
            <w:vAlign w:val="center"/>
          </w:tcPr>
          <w:p w14:paraId="7490E4A2" w14:textId="77777777" w:rsidR="00A173AE" w:rsidRPr="00457FD3" w:rsidRDefault="00A173AE" w:rsidP="00207EE8">
            <w:pPr>
              <w:pStyle w:val="TableText0"/>
              <w:jc w:val="center"/>
            </w:pPr>
            <w:r w:rsidRPr="00457FD3">
              <w:t>56 (21.7%)</w:t>
            </w:r>
          </w:p>
        </w:tc>
        <w:tc>
          <w:tcPr>
            <w:tcW w:w="1301" w:type="pct"/>
            <w:vAlign w:val="center"/>
          </w:tcPr>
          <w:p w14:paraId="75A000AD" w14:textId="77777777" w:rsidR="00A173AE" w:rsidRPr="00457FD3" w:rsidRDefault="00A173AE" w:rsidP="00207EE8">
            <w:pPr>
              <w:pStyle w:val="TableText0"/>
              <w:jc w:val="center"/>
            </w:pPr>
            <w:r w:rsidRPr="00457FD3">
              <w:t>59 (26.3%)</w:t>
            </w:r>
          </w:p>
        </w:tc>
      </w:tr>
      <w:tr w:rsidR="00A173AE" w:rsidRPr="00457FD3" w14:paraId="45487178" w14:textId="77777777" w:rsidTr="00207EE8">
        <w:tc>
          <w:tcPr>
            <w:tcW w:w="2398" w:type="pct"/>
            <w:vAlign w:val="center"/>
          </w:tcPr>
          <w:p w14:paraId="3926674D" w14:textId="77777777" w:rsidR="00A173AE" w:rsidRPr="00457FD3" w:rsidRDefault="00A173AE" w:rsidP="00207EE8">
            <w:pPr>
              <w:pStyle w:val="TableText0"/>
              <w:ind w:left="171"/>
            </w:pPr>
            <w:r w:rsidRPr="00457FD3">
              <w:t>drug interruption</w:t>
            </w:r>
          </w:p>
        </w:tc>
        <w:tc>
          <w:tcPr>
            <w:tcW w:w="1301" w:type="pct"/>
            <w:vAlign w:val="center"/>
          </w:tcPr>
          <w:p w14:paraId="1155B544" w14:textId="77777777" w:rsidR="00A173AE" w:rsidRPr="00457FD3" w:rsidRDefault="00A173AE" w:rsidP="00207EE8">
            <w:pPr>
              <w:pStyle w:val="TableText0"/>
              <w:jc w:val="center"/>
            </w:pPr>
            <w:r w:rsidRPr="00457FD3">
              <w:t>162 (62.8%)</w:t>
            </w:r>
          </w:p>
        </w:tc>
        <w:tc>
          <w:tcPr>
            <w:tcW w:w="1301" w:type="pct"/>
            <w:vAlign w:val="center"/>
          </w:tcPr>
          <w:p w14:paraId="20179F56" w14:textId="77777777" w:rsidR="00A173AE" w:rsidRPr="00457FD3" w:rsidRDefault="00A173AE" w:rsidP="00207EE8">
            <w:pPr>
              <w:pStyle w:val="TableText0"/>
              <w:jc w:val="center"/>
            </w:pPr>
            <w:r w:rsidRPr="00457FD3">
              <w:t>87 (38.8%)</w:t>
            </w:r>
          </w:p>
        </w:tc>
      </w:tr>
      <w:tr w:rsidR="00A173AE" w:rsidRPr="00457FD3" w14:paraId="54A945E3" w14:textId="77777777" w:rsidTr="00207EE8">
        <w:tc>
          <w:tcPr>
            <w:tcW w:w="2398" w:type="pct"/>
            <w:vAlign w:val="center"/>
          </w:tcPr>
          <w:p w14:paraId="0735F086" w14:textId="77777777" w:rsidR="00A173AE" w:rsidRPr="00457FD3" w:rsidRDefault="00A173AE" w:rsidP="00207EE8">
            <w:pPr>
              <w:pStyle w:val="TableText0"/>
              <w:ind w:left="171"/>
            </w:pPr>
            <w:r w:rsidRPr="00457FD3">
              <w:t>drug discontinuation</w:t>
            </w:r>
          </w:p>
        </w:tc>
        <w:tc>
          <w:tcPr>
            <w:tcW w:w="1301" w:type="pct"/>
            <w:vAlign w:val="center"/>
          </w:tcPr>
          <w:p w14:paraId="3B58F5AF" w14:textId="77777777" w:rsidR="00A173AE" w:rsidRPr="00457FD3" w:rsidRDefault="00A173AE" w:rsidP="00207EE8">
            <w:pPr>
              <w:pStyle w:val="TableText0"/>
              <w:jc w:val="center"/>
            </w:pPr>
            <w:r w:rsidRPr="00457FD3">
              <w:t>12 (4.7%)</w:t>
            </w:r>
          </w:p>
        </w:tc>
        <w:tc>
          <w:tcPr>
            <w:tcW w:w="1301" w:type="pct"/>
            <w:vAlign w:val="center"/>
          </w:tcPr>
          <w:p w14:paraId="5ED60C78" w14:textId="77777777" w:rsidR="00A173AE" w:rsidRPr="00457FD3" w:rsidRDefault="00A173AE" w:rsidP="00207EE8">
            <w:pPr>
              <w:pStyle w:val="TableText0"/>
              <w:jc w:val="center"/>
            </w:pPr>
            <w:r w:rsidRPr="00457FD3">
              <w:t>12 (5.4%)</w:t>
            </w:r>
          </w:p>
        </w:tc>
      </w:tr>
      <w:tr w:rsidR="00A173AE" w:rsidRPr="00457FD3" w14:paraId="3044BECC" w14:textId="77777777" w:rsidTr="00207EE8">
        <w:tc>
          <w:tcPr>
            <w:tcW w:w="2398" w:type="pct"/>
            <w:vAlign w:val="center"/>
          </w:tcPr>
          <w:p w14:paraId="7CEAFDB0" w14:textId="77777777" w:rsidR="00A173AE" w:rsidRPr="00457FD3" w:rsidRDefault="00A173AE" w:rsidP="00207EE8">
            <w:pPr>
              <w:pStyle w:val="TableText0"/>
            </w:pPr>
            <w:r w:rsidRPr="00457FD3">
              <w:t>Treatment-related AE leading to discontinuation</w:t>
            </w:r>
          </w:p>
        </w:tc>
        <w:tc>
          <w:tcPr>
            <w:tcW w:w="1301" w:type="pct"/>
            <w:vAlign w:val="center"/>
          </w:tcPr>
          <w:p w14:paraId="5E133C2D" w14:textId="77777777" w:rsidR="00A173AE" w:rsidRPr="00457FD3" w:rsidRDefault="00A173AE" w:rsidP="00207EE8">
            <w:pPr>
              <w:pStyle w:val="TableText0"/>
              <w:jc w:val="center"/>
            </w:pPr>
            <w:r w:rsidRPr="00457FD3">
              <w:t>5 (1.9%)</w:t>
            </w:r>
          </w:p>
        </w:tc>
        <w:tc>
          <w:tcPr>
            <w:tcW w:w="1301" w:type="pct"/>
            <w:vAlign w:val="center"/>
          </w:tcPr>
          <w:p w14:paraId="22F87246" w14:textId="77777777" w:rsidR="00A173AE" w:rsidRPr="00457FD3" w:rsidRDefault="00A173AE" w:rsidP="00207EE8">
            <w:pPr>
              <w:pStyle w:val="TableText0"/>
              <w:jc w:val="center"/>
            </w:pPr>
            <w:r w:rsidRPr="00457FD3">
              <w:t>6 (2.7%)</w:t>
            </w:r>
          </w:p>
        </w:tc>
      </w:tr>
      <w:tr w:rsidR="00A173AE" w:rsidRPr="00457FD3" w14:paraId="1A9D17DB" w14:textId="77777777" w:rsidTr="00207EE8">
        <w:tc>
          <w:tcPr>
            <w:tcW w:w="2398" w:type="pct"/>
            <w:vAlign w:val="center"/>
          </w:tcPr>
          <w:p w14:paraId="58586A01" w14:textId="77777777" w:rsidR="00A173AE" w:rsidRPr="00457FD3" w:rsidRDefault="00A173AE" w:rsidP="00207EE8">
            <w:pPr>
              <w:pStyle w:val="TableText0"/>
            </w:pPr>
            <w:r w:rsidRPr="00457FD3">
              <w:t>AE leading to death</w:t>
            </w:r>
          </w:p>
        </w:tc>
        <w:tc>
          <w:tcPr>
            <w:tcW w:w="1301" w:type="pct"/>
            <w:vAlign w:val="center"/>
          </w:tcPr>
          <w:p w14:paraId="52E796A8" w14:textId="77777777" w:rsidR="00A173AE" w:rsidRPr="00457FD3" w:rsidRDefault="00A173AE" w:rsidP="00207EE8">
            <w:pPr>
              <w:pStyle w:val="TableText0"/>
              <w:jc w:val="center"/>
              <w:rPr>
                <w:vertAlign w:val="superscript"/>
              </w:rPr>
            </w:pPr>
            <w:r w:rsidRPr="00457FD3">
              <w:t>1 (0.4%)</w:t>
            </w:r>
            <w:r w:rsidRPr="00457FD3">
              <w:rPr>
                <w:vertAlign w:val="superscript"/>
              </w:rPr>
              <w:t>a</w:t>
            </w:r>
          </w:p>
        </w:tc>
        <w:tc>
          <w:tcPr>
            <w:tcW w:w="1301" w:type="pct"/>
            <w:vAlign w:val="center"/>
          </w:tcPr>
          <w:p w14:paraId="198B9342" w14:textId="77777777" w:rsidR="00A173AE" w:rsidRPr="00457FD3" w:rsidRDefault="00A173AE" w:rsidP="00207EE8">
            <w:pPr>
              <w:pStyle w:val="TableText0"/>
              <w:jc w:val="center"/>
            </w:pPr>
            <w:r w:rsidRPr="00457FD3">
              <w:t>3 (1.3%)</w:t>
            </w:r>
          </w:p>
        </w:tc>
      </w:tr>
      <w:tr w:rsidR="00A173AE" w:rsidRPr="00457FD3" w14:paraId="345DE97E" w14:textId="77777777" w:rsidTr="00207EE8">
        <w:tc>
          <w:tcPr>
            <w:tcW w:w="2398" w:type="pct"/>
            <w:vAlign w:val="center"/>
          </w:tcPr>
          <w:p w14:paraId="17A8EDF9" w14:textId="77777777" w:rsidR="00A173AE" w:rsidRPr="00457FD3" w:rsidRDefault="00A173AE" w:rsidP="00207EE8">
            <w:pPr>
              <w:pStyle w:val="TableText0"/>
            </w:pPr>
            <w:r w:rsidRPr="00457FD3">
              <w:t>Treatment-related AE leading to death</w:t>
            </w:r>
          </w:p>
        </w:tc>
        <w:tc>
          <w:tcPr>
            <w:tcW w:w="1301" w:type="pct"/>
            <w:vAlign w:val="center"/>
          </w:tcPr>
          <w:p w14:paraId="46BE32E3" w14:textId="77777777" w:rsidR="00A173AE" w:rsidRPr="00457FD3" w:rsidRDefault="00A173AE" w:rsidP="00207EE8">
            <w:pPr>
              <w:pStyle w:val="TableText0"/>
              <w:jc w:val="center"/>
            </w:pPr>
            <w:r w:rsidRPr="00457FD3">
              <w:t>0</w:t>
            </w:r>
          </w:p>
        </w:tc>
        <w:tc>
          <w:tcPr>
            <w:tcW w:w="1301" w:type="pct"/>
            <w:vAlign w:val="center"/>
          </w:tcPr>
          <w:p w14:paraId="09B3089B" w14:textId="77777777" w:rsidR="00A173AE" w:rsidRPr="00457FD3" w:rsidRDefault="00A173AE" w:rsidP="00207EE8">
            <w:pPr>
              <w:pStyle w:val="TableText0"/>
              <w:jc w:val="center"/>
            </w:pPr>
            <w:r w:rsidRPr="00457FD3">
              <w:t>1 (0.4%)</w:t>
            </w:r>
          </w:p>
        </w:tc>
      </w:tr>
      <w:tr w:rsidR="006D5EB5" w:rsidRPr="00457FD3" w14:paraId="72A495EF" w14:textId="77777777" w:rsidTr="003B00C2">
        <w:tc>
          <w:tcPr>
            <w:tcW w:w="5000" w:type="pct"/>
            <w:gridSpan w:val="3"/>
            <w:tcBorders>
              <w:right w:val="nil"/>
            </w:tcBorders>
            <w:vAlign w:val="center"/>
          </w:tcPr>
          <w:p w14:paraId="11D34FAF" w14:textId="77777777" w:rsidR="006D5EB5" w:rsidRPr="00457FD3" w:rsidRDefault="006D5EB5" w:rsidP="006D5EB5">
            <w:pPr>
              <w:pStyle w:val="TableText0"/>
            </w:pPr>
            <w:r w:rsidRPr="00457FD3">
              <w:rPr>
                <w:b/>
              </w:rPr>
              <w:t>Serious AE, any causality (≥2% in either group)</w:t>
            </w:r>
          </w:p>
        </w:tc>
      </w:tr>
      <w:tr w:rsidR="006D5EB5" w:rsidRPr="00457FD3" w14:paraId="24B50B64" w14:textId="77777777" w:rsidTr="003B00C2">
        <w:tc>
          <w:tcPr>
            <w:tcW w:w="2398" w:type="pct"/>
            <w:vAlign w:val="center"/>
          </w:tcPr>
          <w:p w14:paraId="2F18D5DB" w14:textId="77777777" w:rsidR="006D5EB5" w:rsidRPr="00457FD3" w:rsidRDefault="006D5EB5" w:rsidP="006D5EB5">
            <w:pPr>
              <w:pStyle w:val="TableText0"/>
            </w:pPr>
            <w:r w:rsidRPr="00457FD3">
              <w:t>Febrile neutropenia</w:t>
            </w:r>
            <w:r w:rsidRPr="00457FD3">
              <w:rPr>
                <w:b/>
              </w:rPr>
              <w:t xml:space="preserve"> </w:t>
            </w:r>
          </w:p>
        </w:tc>
        <w:tc>
          <w:tcPr>
            <w:tcW w:w="1301" w:type="pct"/>
          </w:tcPr>
          <w:p w14:paraId="66D0F8EA" w14:textId="77777777" w:rsidR="006D5EB5" w:rsidRPr="00457FD3" w:rsidRDefault="006D5EB5" w:rsidP="006D5EB5">
            <w:pPr>
              <w:pStyle w:val="TableText0"/>
              <w:jc w:val="center"/>
            </w:pPr>
            <w:r w:rsidRPr="00457FD3">
              <w:t>13 (5.0%)</w:t>
            </w:r>
          </w:p>
        </w:tc>
        <w:tc>
          <w:tcPr>
            <w:tcW w:w="1301" w:type="pct"/>
          </w:tcPr>
          <w:p w14:paraId="79EA1859" w14:textId="77777777" w:rsidR="006D5EB5" w:rsidRPr="00457FD3" w:rsidRDefault="006D5EB5" w:rsidP="006D5EB5">
            <w:pPr>
              <w:pStyle w:val="TableText0"/>
              <w:jc w:val="center"/>
            </w:pPr>
            <w:r w:rsidRPr="00457FD3">
              <w:t>4 (1.8%)</w:t>
            </w:r>
          </w:p>
        </w:tc>
      </w:tr>
      <w:tr w:rsidR="006D5EB5" w:rsidRPr="00457FD3" w14:paraId="4B874640" w14:textId="77777777" w:rsidTr="003B00C2">
        <w:tc>
          <w:tcPr>
            <w:tcW w:w="2398" w:type="pct"/>
            <w:vAlign w:val="center"/>
          </w:tcPr>
          <w:p w14:paraId="5082B4F3" w14:textId="77777777" w:rsidR="006D5EB5" w:rsidRPr="00457FD3" w:rsidRDefault="006D5EB5" w:rsidP="006D5EB5">
            <w:pPr>
              <w:pStyle w:val="TableText0"/>
            </w:pPr>
            <w:r w:rsidRPr="00457FD3">
              <w:t>Diarrhoea</w:t>
            </w:r>
          </w:p>
        </w:tc>
        <w:tc>
          <w:tcPr>
            <w:tcW w:w="1301" w:type="pct"/>
          </w:tcPr>
          <w:p w14:paraId="41649BE7" w14:textId="77777777" w:rsidR="006D5EB5" w:rsidRPr="00457FD3" w:rsidRDefault="006D5EB5" w:rsidP="006D5EB5">
            <w:pPr>
              <w:pStyle w:val="TableText0"/>
              <w:jc w:val="center"/>
            </w:pPr>
            <w:r w:rsidRPr="00457FD3">
              <w:t>9 (3.5%)</w:t>
            </w:r>
          </w:p>
        </w:tc>
        <w:tc>
          <w:tcPr>
            <w:tcW w:w="1301" w:type="pct"/>
          </w:tcPr>
          <w:p w14:paraId="4BBDCDA6" w14:textId="77777777" w:rsidR="006D5EB5" w:rsidRPr="00457FD3" w:rsidRDefault="006D5EB5" w:rsidP="006D5EB5">
            <w:pPr>
              <w:pStyle w:val="TableText0"/>
              <w:jc w:val="center"/>
            </w:pPr>
            <w:r w:rsidRPr="00457FD3">
              <w:t>0</w:t>
            </w:r>
          </w:p>
        </w:tc>
      </w:tr>
      <w:tr w:rsidR="006D5EB5" w:rsidRPr="00457FD3" w14:paraId="389F7A00" w14:textId="77777777" w:rsidTr="003B00C2">
        <w:tc>
          <w:tcPr>
            <w:tcW w:w="2398" w:type="pct"/>
            <w:vAlign w:val="center"/>
          </w:tcPr>
          <w:p w14:paraId="1F9EE323" w14:textId="77777777" w:rsidR="006D5EB5" w:rsidRPr="00457FD3" w:rsidRDefault="006D5EB5" w:rsidP="006D5EB5">
            <w:pPr>
              <w:pStyle w:val="TableText0"/>
            </w:pPr>
            <w:r w:rsidRPr="00457FD3">
              <w:t>Pneumonia</w:t>
            </w:r>
          </w:p>
        </w:tc>
        <w:tc>
          <w:tcPr>
            <w:tcW w:w="1301" w:type="pct"/>
          </w:tcPr>
          <w:p w14:paraId="2D7C800C" w14:textId="77777777" w:rsidR="006D5EB5" w:rsidRPr="00457FD3" w:rsidRDefault="006D5EB5" w:rsidP="006D5EB5">
            <w:pPr>
              <w:pStyle w:val="TableText0"/>
              <w:jc w:val="center"/>
            </w:pPr>
            <w:r w:rsidRPr="00457FD3">
              <w:t>7 (2.7%)</w:t>
            </w:r>
          </w:p>
        </w:tc>
        <w:tc>
          <w:tcPr>
            <w:tcW w:w="1301" w:type="pct"/>
          </w:tcPr>
          <w:p w14:paraId="1C490708" w14:textId="77777777" w:rsidR="006D5EB5" w:rsidRPr="00457FD3" w:rsidRDefault="006D5EB5" w:rsidP="006D5EB5">
            <w:pPr>
              <w:pStyle w:val="TableText0"/>
              <w:jc w:val="center"/>
            </w:pPr>
            <w:r w:rsidRPr="00457FD3">
              <w:t>4 (1.8%)</w:t>
            </w:r>
          </w:p>
        </w:tc>
      </w:tr>
      <w:tr w:rsidR="006D5EB5" w:rsidRPr="00457FD3" w14:paraId="089F0D25" w14:textId="77777777" w:rsidTr="003B00C2">
        <w:tc>
          <w:tcPr>
            <w:tcW w:w="2398" w:type="pct"/>
            <w:vAlign w:val="center"/>
          </w:tcPr>
          <w:p w14:paraId="59181F66" w14:textId="77777777" w:rsidR="006D5EB5" w:rsidRPr="00457FD3" w:rsidRDefault="006D5EB5" w:rsidP="006D5EB5">
            <w:pPr>
              <w:pStyle w:val="TableText0"/>
            </w:pPr>
            <w:r w:rsidRPr="00457FD3">
              <w:t>Pyrexia</w:t>
            </w:r>
          </w:p>
        </w:tc>
        <w:tc>
          <w:tcPr>
            <w:tcW w:w="1301" w:type="pct"/>
          </w:tcPr>
          <w:p w14:paraId="0D797E40" w14:textId="77777777" w:rsidR="006D5EB5" w:rsidRPr="00457FD3" w:rsidRDefault="006D5EB5" w:rsidP="006D5EB5">
            <w:pPr>
              <w:pStyle w:val="TableText0"/>
              <w:jc w:val="center"/>
            </w:pPr>
            <w:r w:rsidRPr="00457FD3">
              <w:t>3 (1.2%)</w:t>
            </w:r>
          </w:p>
        </w:tc>
        <w:tc>
          <w:tcPr>
            <w:tcW w:w="1301" w:type="pct"/>
          </w:tcPr>
          <w:p w14:paraId="08ED09D6" w14:textId="77777777" w:rsidR="006D5EB5" w:rsidRPr="00457FD3" w:rsidRDefault="006D5EB5" w:rsidP="006D5EB5">
            <w:pPr>
              <w:pStyle w:val="TableText0"/>
              <w:jc w:val="center"/>
            </w:pPr>
            <w:r w:rsidRPr="00457FD3">
              <w:t>5 (2.2%)</w:t>
            </w:r>
          </w:p>
        </w:tc>
      </w:tr>
      <w:tr w:rsidR="006D5EB5" w:rsidRPr="00457FD3" w14:paraId="4CC8FDCF" w14:textId="77777777" w:rsidTr="003B00C2">
        <w:tc>
          <w:tcPr>
            <w:tcW w:w="2398" w:type="pct"/>
            <w:vAlign w:val="center"/>
          </w:tcPr>
          <w:p w14:paraId="58C7F2F8" w14:textId="77777777" w:rsidR="006D5EB5" w:rsidRPr="00457FD3" w:rsidRDefault="006D5EB5" w:rsidP="006D5EB5">
            <w:pPr>
              <w:pStyle w:val="TableText0"/>
            </w:pPr>
            <w:r w:rsidRPr="00457FD3">
              <w:t>Dyspnoea</w:t>
            </w:r>
          </w:p>
        </w:tc>
        <w:tc>
          <w:tcPr>
            <w:tcW w:w="1301" w:type="pct"/>
          </w:tcPr>
          <w:p w14:paraId="09C10C95" w14:textId="77777777" w:rsidR="006D5EB5" w:rsidRPr="00457FD3" w:rsidRDefault="006D5EB5" w:rsidP="006D5EB5">
            <w:pPr>
              <w:pStyle w:val="TableText0"/>
              <w:jc w:val="center"/>
            </w:pPr>
            <w:r w:rsidRPr="00457FD3">
              <w:t>2 (0.8)</w:t>
            </w:r>
          </w:p>
        </w:tc>
        <w:tc>
          <w:tcPr>
            <w:tcW w:w="1301" w:type="pct"/>
          </w:tcPr>
          <w:p w14:paraId="4E0C669A" w14:textId="77777777" w:rsidR="006D5EB5" w:rsidRPr="00457FD3" w:rsidRDefault="006D5EB5" w:rsidP="006D5EB5">
            <w:pPr>
              <w:pStyle w:val="TableText0"/>
              <w:jc w:val="center"/>
            </w:pPr>
            <w:r w:rsidRPr="00457FD3">
              <w:t>7 (3.1)</w:t>
            </w:r>
          </w:p>
        </w:tc>
      </w:tr>
      <w:tr w:rsidR="006D5EB5" w:rsidRPr="00457FD3" w14:paraId="164E73D6" w14:textId="77777777" w:rsidTr="003B00C2">
        <w:tc>
          <w:tcPr>
            <w:tcW w:w="2398" w:type="pct"/>
            <w:vAlign w:val="center"/>
          </w:tcPr>
          <w:p w14:paraId="55BDBC33" w14:textId="77777777" w:rsidR="006D5EB5" w:rsidRPr="00457FD3" w:rsidRDefault="006D5EB5" w:rsidP="006D5EB5">
            <w:pPr>
              <w:pStyle w:val="TableText0"/>
            </w:pPr>
            <w:r w:rsidRPr="00457FD3">
              <w:t>Pleural effusion</w:t>
            </w:r>
          </w:p>
        </w:tc>
        <w:tc>
          <w:tcPr>
            <w:tcW w:w="1301" w:type="pct"/>
          </w:tcPr>
          <w:p w14:paraId="6AE9CDBC" w14:textId="77777777" w:rsidR="006D5EB5" w:rsidRPr="00457FD3" w:rsidRDefault="006D5EB5" w:rsidP="006D5EB5">
            <w:pPr>
              <w:pStyle w:val="TableText0"/>
              <w:jc w:val="center"/>
            </w:pPr>
            <w:r w:rsidRPr="00457FD3">
              <w:t>2 (0.8)</w:t>
            </w:r>
          </w:p>
        </w:tc>
        <w:tc>
          <w:tcPr>
            <w:tcW w:w="1301" w:type="pct"/>
          </w:tcPr>
          <w:p w14:paraId="2686A401" w14:textId="77777777" w:rsidR="006D5EB5" w:rsidRPr="00457FD3" w:rsidRDefault="006D5EB5" w:rsidP="006D5EB5">
            <w:pPr>
              <w:pStyle w:val="TableText0"/>
              <w:jc w:val="center"/>
            </w:pPr>
            <w:r w:rsidRPr="00457FD3">
              <w:t>6 (2.7)</w:t>
            </w:r>
          </w:p>
        </w:tc>
      </w:tr>
    </w:tbl>
    <w:p w14:paraId="5ABE986E" w14:textId="77777777" w:rsidR="00A173AE" w:rsidRPr="00457FD3" w:rsidRDefault="00A173AE" w:rsidP="00A173AE">
      <w:pPr>
        <w:pStyle w:val="TableFigureFooter"/>
        <w:rPr>
          <w:rFonts w:eastAsiaTheme="majorEastAsia"/>
        </w:rPr>
      </w:pPr>
      <w:r w:rsidRPr="00457FD3">
        <w:rPr>
          <w:rFonts w:eastAsiaTheme="majorEastAsia"/>
        </w:rPr>
        <w:t>Source: Table 2-54, p113 of the submission; Table 33 p101, Table 14.3.1.3, Table 14.3.1.5 CSR; Table 3, pp1538 Bardia et al (2021).</w:t>
      </w:r>
    </w:p>
    <w:p w14:paraId="5CEA9CEF" w14:textId="77777777" w:rsidR="00A173AE" w:rsidRPr="00457FD3" w:rsidRDefault="00A173AE" w:rsidP="00A173AE">
      <w:pPr>
        <w:pStyle w:val="TableFigureFooter"/>
        <w:rPr>
          <w:rFonts w:eastAsiaTheme="majorEastAsia"/>
        </w:rPr>
      </w:pPr>
      <w:r w:rsidRPr="00457FD3">
        <w:rPr>
          <w:rFonts w:eastAsiaTheme="majorEastAsia"/>
        </w:rPr>
        <w:t>AE = adverse event; SG = sacituzumab govitecan; TPC = treatment of physician's choice.</w:t>
      </w:r>
    </w:p>
    <w:p w14:paraId="2F936906" w14:textId="79DE0645" w:rsidR="00A173AE" w:rsidRPr="00457FD3" w:rsidRDefault="00A173AE" w:rsidP="00A173AE">
      <w:pPr>
        <w:pStyle w:val="TableFigureFooter"/>
        <w:ind w:left="142" w:hanging="142"/>
        <w:rPr>
          <w:rFonts w:eastAsiaTheme="majorEastAsia"/>
        </w:rPr>
      </w:pPr>
      <w:r w:rsidRPr="00457FD3">
        <w:rPr>
          <w:rFonts w:eastAsiaTheme="majorEastAsia"/>
          <w:vertAlign w:val="superscript"/>
        </w:rPr>
        <w:t>a</w:t>
      </w:r>
      <w:r w:rsidRPr="00457FD3">
        <w:rPr>
          <w:rFonts w:eastAsiaTheme="majorEastAsia"/>
        </w:rPr>
        <w:t xml:space="preserve"> further two </w:t>
      </w:r>
      <w:r w:rsidRPr="00457FD3">
        <w:rPr>
          <w:rFonts w:eastAsiaTheme="majorEastAsia"/>
          <w:lang w:val="en-US"/>
        </w:rPr>
        <w:t>patients in the SG group had AEs leading to death that occurred following the discontinuation of SG (i.e. not treatment emergent).</w:t>
      </w:r>
    </w:p>
    <w:p w14:paraId="4530C9BF" w14:textId="77777777" w:rsidR="00A173AE" w:rsidRPr="00457FD3" w:rsidRDefault="00A173AE" w:rsidP="00A173AE">
      <w:pPr>
        <w:pStyle w:val="3-BodyText"/>
      </w:pPr>
      <w:r w:rsidRPr="00457FD3">
        <w:t xml:space="preserve">The submission stated that three patients in each arm of ASCENT died owing to AEs, of which only one in the TPC group was deemed to be treatment-related. As the relationship of the AEs to study drug was determined by the investigator, there was potential for assessment bias due to the open-label design of the trial. The TGA Delegate reported that there were two deaths in the SG arm due to AEs of respiratory failure, in the context of neutropenia and infection, and considered that the myelosuppression caused by SG therapy may have contributed to these deaths. </w:t>
      </w:r>
    </w:p>
    <w:p w14:paraId="7BB8718F" w14:textId="77777777" w:rsidR="00F60FEE" w:rsidRPr="00457FD3" w:rsidRDefault="00A173AE" w:rsidP="00F60FEE">
      <w:pPr>
        <w:pStyle w:val="3-BodyText"/>
      </w:pPr>
      <w:r w:rsidRPr="00457FD3">
        <w:t>Serious treatment-related AEs were reported in 39/258 (15.1%) of patients receiving SG, compared with 19/224 (8.5%) receiving TPC. The most common treatment-related serious AEs were febrile neutropenia and diarrhoea, both of which were reported in a higher percentage of patients in the SG group compared with the TPC group.</w:t>
      </w:r>
      <w:r w:rsidR="00E43DA1">
        <w:t xml:space="preserve"> </w:t>
      </w:r>
      <w:r w:rsidR="00F60FEE" w:rsidRPr="00457FD3">
        <w:t xml:space="preserve">It is noted that the above adverse event rates were not exposure-time-adjusted and patients remained on treatment with SG for longer than TPC (medians: SG 4 months, TPC </w:t>
      </w:r>
      <w:r w:rsidR="00F60FEE" w:rsidRPr="00457FD3">
        <w:lastRenderedPageBreak/>
        <w:t>2</w:t>
      </w:r>
      <w:r w:rsidR="00932447" w:rsidRPr="00457FD3">
        <w:t> </w:t>
      </w:r>
      <w:r w:rsidR="00F60FEE" w:rsidRPr="00457FD3">
        <w:t>months).</w:t>
      </w:r>
      <w:r w:rsidR="0052636A">
        <w:t xml:space="preserve"> The PBAC also </w:t>
      </w:r>
      <w:r w:rsidR="0052636A">
        <w:rPr>
          <w:rFonts w:ascii="Calibri" w:hAnsi="Calibri"/>
          <w:bCs/>
        </w:rPr>
        <w:t>acknowledged the comparison of AEs was difficult given TPC comprises a range of different agents.</w:t>
      </w:r>
    </w:p>
    <w:p w14:paraId="6DE97E99" w14:textId="77777777" w:rsidR="00A173AE" w:rsidRDefault="00A173AE" w:rsidP="00A173AE">
      <w:pPr>
        <w:pStyle w:val="3-BodyText"/>
      </w:pPr>
      <w:r w:rsidRPr="00457FD3">
        <w:t>AEs leading to dose interruption occurred in a higher percentage of patients in the SG group (63%) compared with the TPC group (39%) (risk difference (RD): 24.0%; 95%</w:t>
      </w:r>
      <w:r w:rsidR="00932447" w:rsidRPr="00457FD3">
        <w:t> </w:t>
      </w:r>
      <w:r w:rsidRPr="00457FD3">
        <w:t>CI:</w:t>
      </w:r>
      <w:r w:rsidR="00932447" w:rsidRPr="00457FD3">
        <w:t> </w:t>
      </w:r>
      <w:r w:rsidRPr="00457FD3">
        <w:t xml:space="preserve">15.3%, 32.6%). The most frequent AEs leading to a treatment interruption were neutropenia (28% vs 12% in the SG and TPC arms, respectively), neutrophil count decreased (19% vs 10%), and diarrhoea (5% vs &lt;1%). </w:t>
      </w:r>
    </w:p>
    <w:p w14:paraId="31AA92F8" w14:textId="77777777" w:rsidR="00C66DA8" w:rsidRPr="00457FD3" w:rsidRDefault="00C66DA8" w:rsidP="000F2CC9">
      <w:pPr>
        <w:pStyle w:val="3-BodyText"/>
      </w:pPr>
      <w:r w:rsidRPr="00457FD3">
        <w:t xml:space="preserve">The TGA Delegate’s Overview stated (page 3): “The incidence of treatment discontinuation due to adverse events was low (5%) in both the SG and TPC groups, but time on treatment was short (medians: SG 4 months, TPC 2 months). The main reason for treatment discontinuation was progressive disease. Dose reductions due to adverse events occurred with similar frequency in the two groups (22% of the patients who received SG and 26% of those who received TPC).” </w:t>
      </w:r>
    </w:p>
    <w:p w14:paraId="77D4F068" w14:textId="77777777" w:rsidR="00A173AE" w:rsidRPr="00457FD3" w:rsidRDefault="00A173AE" w:rsidP="00A173AE">
      <w:pPr>
        <w:pStyle w:val="3-BodyText"/>
      </w:pPr>
      <w:r w:rsidRPr="00457FD3">
        <w:t>SN-38, the small molecule moiety of SG, is metabolised via uridine diphosphate-glucuronosyl transferase 1A1 (UGT1A1). Genetic variants of the UGT1A1 gene</w:t>
      </w:r>
      <w:r w:rsidR="00855F92" w:rsidRPr="00457FD3">
        <w:t xml:space="preserve"> </w:t>
      </w:r>
      <w:r w:rsidRPr="00457FD3">
        <w:t xml:space="preserve">such as the UGT1A1*28 allele lead to reduced UGT1A1 enzyme activity. </w:t>
      </w:r>
      <w:r w:rsidR="00855F92" w:rsidRPr="00457FD3">
        <w:t xml:space="preserve">The ESC noted that genetic variants of the UGT1A1 gene occur in Gilbert syndrome. </w:t>
      </w:r>
      <w:r w:rsidRPr="00457FD3">
        <w:t xml:space="preserve">Approximately 10% of the white population, 20% of the black or African American population, and 2% of the East Asian population are homozygous for the UGT1A1*28 allele. These individuals are at increased risk for neutropenia, febrile neutropenia, and anaemia, and may be at increased risk for other AEs when treated with SG (FDA label for SG, revised 04/2021). The TGA Delegate proposed to mitigate the risk of increased toxicity of SG in patients with known reduced UGT1A1 activity by including the following statements in the PI: Closely monitor patients with known UGT1A1 activity for adverse reactions. SG should be withheld or permanently discontinued based on severity of the observed adverse reactions in patients with evidence of acute early-onset or unusually severe adverse reactions, which may indicate UGT1A1 reduced function. </w:t>
      </w:r>
    </w:p>
    <w:p w14:paraId="3F17CE73" w14:textId="77777777" w:rsidR="00A173AE" w:rsidRPr="00457FD3" w:rsidRDefault="00627A56" w:rsidP="00A173AE">
      <w:pPr>
        <w:pStyle w:val="3-BodyText"/>
      </w:pPr>
      <w:r w:rsidRPr="00457FD3">
        <w:t xml:space="preserve">The TGA Delegate’s Overview (page 3) </w:t>
      </w:r>
      <w:r w:rsidR="00A173AE" w:rsidRPr="00457FD3">
        <w:t xml:space="preserve">stated that </w:t>
      </w:r>
      <w:r w:rsidRPr="00457FD3">
        <w:t>“</w:t>
      </w:r>
      <w:r w:rsidR="00A173AE" w:rsidRPr="00457FD3">
        <w:t>toxicity (notably neutropenia and diarrhoea) was worse with SG than TPC in the ASCENT trial</w:t>
      </w:r>
      <w:r w:rsidRPr="00457FD3">
        <w:t>”</w:t>
      </w:r>
      <w:r w:rsidR="00A173AE" w:rsidRPr="00457FD3">
        <w:t>.</w:t>
      </w:r>
      <w:r w:rsidR="000039A8" w:rsidRPr="00457FD3">
        <w:t xml:space="preserve"> </w:t>
      </w:r>
      <w:r w:rsidR="00A173AE" w:rsidRPr="00457FD3">
        <w:t xml:space="preserve">The FDA label for SG (revised 04/2021) includes a boxed warning for severe or life threatening neutropenia and severe diarrhoea, and lists warnings and precautions for serious hypersensitivity reactions (including cardiac arrest, hypotension, wheezing, angioedema, swelling, pneumonitis, and skin reactions); and Grade 3 and above nausea and vomiting. The TGA Delegate </w:t>
      </w:r>
      <w:r w:rsidR="00C04EA5">
        <w:t>concluded that a boxed warning would</w:t>
      </w:r>
      <w:r w:rsidR="00A173AE" w:rsidRPr="00457FD3">
        <w:t xml:space="preserve"> not</w:t>
      </w:r>
      <w:r w:rsidR="00C04EA5">
        <w:t xml:space="preserve"> be</w:t>
      </w:r>
      <w:r w:rsidR="00A173AE" w:rsidRPr="00457FD3">
        <w:t xml:space="preserve"> necessary for the Australian PI at this time, but post-market review of this issue is planned (p29 TGA Delegate’s Overview). </w:t>
      </w:r>
    </w:p>
    <w:p w14:paraId="0F57F79C" w14:textId="77777777" w:rsidR="00A52184" w:rsidRPr="00457FD3" w:rsidRDefault="00A52184" w:rsidP="00A173AE">
      <w:pPr>
        <w:pStyle w:val="3-BodyText"/>
      </w:pPr>
      <w:r w:rsidRPr="00457FD3">
        <w:t>The PSCR stated "</w:t>
      </w:r>
      <w:r w:rsidRPr="00457FD3">
        <w:rPr>
          <w:lang w:val="en-US"/>
        </w:rPr>
        <w:t xml:space="preserve">The approved PI includes clear guidance for the management of adverse events and clinicians are confident in managing the AEs that relate to SG treatment as they have experience in managing the AEs of other agents with similar </w:t>
      </w:r>
      <w:r w:rsidRPr="00457FD3">
        <w:rPr>
          <w:lang w:val="en-US"/>
        </w:rPr>
        <w:lastRenderedPageBreak/>
        <w:t>profiles. Similar to other chemotherapy agents, the AE profile for SG is predictable and clinically manageable.”</w:t>
      </w:r>
    </w:p>
    <w:p w14:paraId="3CC2C961" w14:textId="77777777" w:rsidR="00EA3945" w:rsidRPr="00457FD3" w:rsidRDefault="002D0549" w:rsidP="00A173AE">
      <w:pPr>
        <w:pStyle w:val="3-BodyText"/>
      </w:pPr>
      <w:r w:rsidRPr="00457FD3">
        <w:rPr>
          <w:lang w:val="en-US"/>
        </w:rPr>
        <w:t>While the ESC agreed that medical oncologists are experienced</w:t>
      </w:r>
      <w:r w:rsidR="00475470" w:rsidRPr="00457FD3">
        <w:rPr>
          <w:lang w:val="en-US"/>
        </w:rPr>
        <w:t xml:space="preserve"> with the </w:t>
      </w:r>
      <w:r w:rsidRPr="00457FD3">
        <w:rPr>
          <w:lang w:val="en-US"/>
        </w:rPr>
        <w:t>manag</w:t>
      </w:r>
      <w:r w:rsidR="00475470" w:rsidRPr="00457FD3">
        <w:rPr>
          <w:lang w:val="en-US"/>
        </w:rPr>
        <w:t>ement of</w:t>
      </w:r>
      <w:r w:rsidRPr="00457FD3">
        <w:rPr>
          <w:lang w:val="en-US"/>
        </w:rPr>
        <w:t xml:space="preserve"> irinotecan toxicity, t</w:t>
      </w:r>
      <w:r w:rsidR="00EA3945" w:rsidRPr="00457FD3">
        <w:rPr>
          <w:lang w:val="en-US"/>
        </w:rPr>
        <w:t xml:space="preserve">he </w:t>
      </w:r>
      <w:r w:rsidRPr="00457FD3">
        <w:rPr>
          <w:lang w:val="en-US"/>
        </w:rPr>
        <w:t xml:space="preserve">Committee </w:t>
      </w:r>
      <w:r w:rsidR="00EA3945" w:rsidRPr="00457FD3">
        <w:rPr>
          <w:lang w:val="en-US"/>
        </w:rPr>
        <w:t xml:space="preserve">noted that the TGA Delegate’s Overview stated: </w:t>
      </w:r>
    </w:p>
    <w:p w14:paraId="17B46070" w14:textId="77777777" w:rsidR="00EA3945" w:rsidRPr="00457FD3" w:rsidRDefault="002D0549" w:rsidP="006355C7">
      <w:pPr>
        <w:pStyle w:val="ListParagraph"/>
        <w:ind w:left="1134"/>
        <w:rPr>
          <w:lang w:val="en-US"/>
        </w:rPr>
      </w:pPr>
      <w:r w:rsidRPr="00457FD3">
        <w:rPr>
          <w:lang w:val="en-US"/>
        </w:rPr>
        <w:t>“</w:t>
      </w:r>
      <w:r w:rsidR="00EA3945" w:rsidRPr="00457FD3">
        <w:rPr>
          <w:lang w:val="en-US"/>
        </w:rPr>
        <w:t>SG has toxic effects that require surveillance and active management. The cytotoxic component is SN-38, which is the active metabolite of irinotecan. Unusually for a targeted agent, SG does not have a favourable safety profile compared to non-targeted monotherapy with the same cytotoxic agent. Myelosuppression, particularly neutropenia, and diarrhoea are the two most frequent and severe events</w:t>
      </w:r>
      <w:r w:rsidRPr="00457FD3">
        <w:rPr>
          <w:lang w:val="en-US"/>
        </w:rPr>
        <w:t>”</w:t>
      </w:r>
      <w:r w:rsidR="00EA3945" w:rsidRPr="00457FD3">
        <w:rPr>
          <w:lang w:val="en-US"/>
        </w:rPr>
        <w:t>. (page 3)</w:t>
      </w:r>
    </w:p>
    <w:p w14:paraId="7DE46620" w14:textId="77777777" w:rsidR="00EA3945" w:rsidRPr="00457FD3" w:rsidRDefault="002D0549" w:rsidP="006355C7">
      <w:pPr>
        <w:pStyle w:val="ListParagraph"/>
        <w:ind w:left="1134"/>
        <w:rPr>
          <w:lang w:val="en-US"/>
        </w:rPr>
      </w:pPr>
      <w:r w:rsidRPr="00457FD3">
        <w:rPr>
          <w:lang w:val="en-US"/>
        </w:rPr>
        <w:t>“</w:t>
      </w:r>
      <w:r w:rsidR="00EA3945" w:rsidRPr="00457FD3">
        <w:rPr>
          <w:lang w:val="en-US"/>
        </w:rPr>
        <w:t>It is not immediately clear from its name that SG contains a cytotoxic agent, and there is a risk (notably, if shorthand such as “sacituzumab” has been used in medical documentation) that a health professional (particularly a non-oncologist) may not realise SG contains a cytotoxic payload, or might assume that because of the presence of a targeting monoclonal antibody, toxicity should be expected to be reduced. Monoclonal antibodies are not usually associated with chemotherapy-like toxicities. Although the usual warning and precautions approach to labelling may eventually be consulted, there is a risk of delay to therapy which in the setting of neutropenic sepsis can easily be fatal</w:t>
      </w:r>
      <w:r w:rsidRPr="00457FD3">
        <w:rPr>
          <w:lang w:val="en-US"/>
        </w:rPr>
        <w:t>”</w:t>
      </w:r>
      <w:r w:rsidR="00EA3945" w:rsidRPr="00457FD3">
        <w:rPr>
          <w:lang w:val="en-US"/>
        </w:rPr>
        <w:t>. (page 27)</w:t>
      </w:r>
    </w:p>
    <w:p w14:paraId="3E2ED7BB" w14:textId="77777777" w:rsidR="00740727" w:rsidRPr="00457FD3" w:rsidRDefault="002D0549" w:rsidP="00A173AE">
      <w:pPr>
        <w:pStyle w:val="3-BodyText"/>
      </w:pPr>
      <w:r w:rsidRPr="00457FD3">
        <w:t>In light of these issues, the ESC considered that risk management strategies and activities to support quality use of medicines w</w:t>
      </w:r>
      <w:r w:rsidR="00350E6B" w:rsidRPr="00457FD3">
        <w:t>ould be</w:t>
      </w:r>
      <w:r w:rsidRPr="00457FD3">
        <w:t xml:space="preserve"> necessary.</w:t>
      </w:r>
      <w:r w:rsidR="00740727" w:rsidRPr="00457FD3">
        <w:t xml:space="preserve"> </w:t>
      </w:r>
    </w:p>
    <w:p w14:paraId="2616EF63" w14:textId="77777777" w:rsidR="00A173AE" w:rsidRPr="00037EC2" w:rsidRDefault="00A173AE" w:rsidP="00A173AE">
      <w:pPr>
        <w:pStyle w:val="4-SubsectionHeading"/>
        <w:rPr>
          <w:iCs/>
        </w:rPr>
      </w:pPr>
      <w:r w:rsidRPr="00037EC2">
        <w:rPr>
          <w:iCs/>
        </w:rPr>
        <w:t>Benefits/harms</w:t>
      </w:r>
    </w:p>
    <w:p w14:paraId="58EA6342" w14:textId="77777777" w:rsidR="00A173AE" w:rsidRPr="00457FD3" w:rsidRDefault="00A173AE" w:rsidP="00A173AE">
      <w:pPr>
        <w:pStyle w:val="3-BodyText"/>
        <w:rPr>
          <w:rStyle w:val="CommentReference"/>
        </w:rPr>
      </w:pPr>
      <w:r w:rsidRPr="00457FD3">
        <w:rPr>
          <w:lang w:val="en-US"/>
        </w:rPr>
        <w:t>A summary of the comparative benefits and harms for SG versus TPC is presented in the table below</w:t>
      </w:r>
      <w:r w:rsidRPr="00457FD3">
        <w:t>.</w:t>
      </w:r>
    </w:p>
    <w:p w14:paraId="32EEC0F5" w14:textId="77777777" w:rsidR="00A173AE" w:rsidRPr="00457FD3" w:rsidRDefault="00A173AE" w:rsidP="00A173AE">
      <w:pPr>
        <w:pStyle w:val="TableFigureHeading"/>
        <w:rPr>
          <w:rStyle w:val="CommentReference"/>
          <w:rFonts w:ascii="Calibri" w:hAnsi="Calibri"/>
          <w:b/>
          <w:sz w:val="18"/>
          <w:szCs w:val="18"/>
        </w:rPr>
      </w:pPr>
      <w:r w:rsidRPr="00457FD3">
        <w:lastRenderedPageBreak/>
        <w:t xml:space="preserve">Table </w:t>
      </w:r>
      <w:r w:rsidR="002367C0">
        <w:t>8</w:t>
      </w:r>
      <w:r w:rsidRPr="00457FD3">
        <w:t xml:space="preserve">: </w:t>
      </w:r>
      <w:r w:rsidRPr="00457FD3">
        <w:rPr>
          <w:rStyle w:val="CommentReference"/>
          <w:b/>
          <w:szCs w:val="24"/>
        </w:rPr>
        <w:t>Summary of comparative benefits and harms for SG and TPC</w:t>
      </w:r>
    </w:p>
    <w:tbl>
      <w:tblPr>
        <w:tblW w:w="5000" w:type="pct"/>
        <w:tblLayout w:type="fixed"/>
        <w:tblCellMar>
          <w:left w:w="28" w:type="dxa"/>
          <w:right w:w="28" w:type="dxa"/>
        </w:tblCellMar>
        <w:tblLook w:val="04A0" w:firstRow="1" w:lastRow="0" w:firstColumn="1" w:lastColumn="0" w:noHBand="0" w:noVBand="1"/>
        <w:tblCaption w:val="Table 8: Summary of comparative benefits and harms for SG and TPC"/>
      </w:tblPr>
      <w:tblGrid>
        <w:gridCol w:w="9017"/>
      </w:tblGrid>
      <w:tr w:rsidR="00A173AE" w:rsidRPr="00457FD3" w14:paraId="543CD442" w14:textId="77777777" w:rsidTr="00207EE8">
        <w:trPr>
          <w:cantSplit/>
        </w:trPr>
        <w:tc>
          <w:tcPr>
            <w:tcW w:w="5000" w:type="pct"/>
            <w:tcBorders>
              <w:top w:val="single" w:sz="4" w:space="0" w:color="auto"/>
              <w:left w:val="single" w:sz="4" w:space="0" w:color="auto"/>
              <w:bottom w:val="double" w:sz="4" w:space="0" w:color="auto"/>
              <w:right w:val="single" w:sz="4" w:space="0" w:color="auto"/>
            </w:tcBorders>
            <w:shd w:val="clear" w:color="auto" w:fill="auto"/>
            <w:vAlign w:val="center"/>
          </w:tcPr>
          <w:p w14:paraId="0C6D32A6" w14:textId="77777777" w:rsidR="00A173AE" w:rsidRPr="00457FD3" w:rsidRDefault="00A173AE" w:rsidP="00207EE8">
            <w:pPr>
              <w:pStyle w:val="In-tableHeading"/>
            </w:pPr>
            <w:r w:rsidRPr="00457FD3">
              <w:t>Benefits</w:t>
            </w:r>
          </w:p>
        </w:tc>
      </w:tr>
    </w:tbl>
    <w:tbl>
      <w:tblPr>
        <w:tblStyle w:val="TableGrid"/>
        <w:tblW w:w="5000" w:type="pct"/>
        <w:tblCellMar>
          <w:left w:w="28" w:type="dxa"/>
          <w:right w:w="28" w:type="dxa"/>
        </w:tblCellMar>
        <w:tblLook w:val="04A0" w:firstRow="1" w:lastRow="0" w:firstColumn="1" w:lastColumn="0" w:noHBand="0" w:noVBand="1"/>
        <w:tblCaption w:val="Table 8: Summary of comparative benefits and harms for SG and TPC"/>
      </w:tblPr>
      <w:tblGrid>
        <w:gridCol w:w="2456"/>
        <w:gridCol w:w="1439"/>
        <w:gridCol w:w="1542"/>
        <w:gridCol w:w="2002"/>
        <w:gridCol w:w="1578"/>
      </w:tblGrid>
      <w:tr w:rsidR="00A173AE" w:rsidRPr="00457FD3" w14:paraId="0C5E4E1C" w14:textId="77777777" w:rsidTr="00FB0337">
        <w:trPr>
          <w:trHeight w:val="20"/>
          <w:tblHeader/>
        </w:trPr>
        <w:tc>
          <w:tcPr>
            <w:tcW w:w="5000" w:type="pct"/>
            <w:gridSpan w:val="5"/>
            <w:shd w:val="clear" w:color="auto" w:fill="auto"/>
          </w:tcPr>
          <w:p w14:paraId="3CA7CC88" w14:textId="77777777" w:rsidR="00A173AE" w:rsidRPr="00457FD3" w:rsidRDefault="00A173AE" w:rsidP="00207EE8">
            <w:pPr>
              <w:pStyle w:val="In-tableHeading"/>
            </w:pPr>
            <w:r w:rsidRPr="00457FD3">
              <w:t>Progression free survival*</w:t>
            </w:r>
          </w:p>
        </w:tc>
      </w:tr>
      <w:tr w:rsidR="00A173AE" w:rsidRPr="00457FD3" w14:paraId="4450FE7C" w14:textId="77777777" w:rsidTr="00207EE8">
        <w:trPr>
          <w:trHeight w:val="20"/>
        </w:trPr>
        <w:tc>
          <w:tcPr>
            <w:tcW w:w="1362" w:type="pct"/>
            <w:tcBorders>
              <w:bottom w:val="single" w:sz="4" w:space="0" w:color="auto"/>
            </w:tcBorders>
            <w:shd w:val="clear" w:color="auto" w:fill="auto"/>
          </w:tcPr>
          <w:p w14:paraId="18E72D57" w14:textId="77777777" w:rsidR="00A173AE" w:rsidRPr="00457FD3" w:rsidRDefault="00A173AE" w:rsidP="00207EE8">
            <w:pPr>
              <w:pStyle w:val="In-tableHeading"/>
            </w:pPr>
            <w:r w:rsidRPr="00457FD3">
              <w:t>Event</w:t>
            </w:r>
          </w:p>
        </w:tc>
        <w:tc>
          <w:tcPr>
            <w:tcW w:w="798" w:type="pct"/>
            <w:tcBorders>
              <w:bottom w:val="single" w:sz="4" w:space="0" w:color="auto"/>
            </w:tcBorders>
            <w:shd w:val="clear" w:color="auto" w:fill="auto"/>
          </w:tcPr>
          <w:p w14:paraId="77C319AD" w14:textId="77777777" w:rsidR="00A173AE" w:rsidRPr="00457FD3" w:rsidRDefault="00A173AE" w:rsidP="00207EE8">
            <w:pPr>
              <w:pStyle w:val="In-tableHeading"/>
              <w:jc w:val="center"/>
            </w:pPr>
            <w:r w:rsidRPr="00457FD3">
              <w:t>SG</w:t>
            </w:r>
          </w:p>
        </w:tc>
        <w:tc>
          <w:tcPr>
            <w:tcW w:w="855" w:type="pct"/>
            <w:tcBorders>
              <w:bottom w:val="single" w:sz="4" w:space="0" w:color="auto"/>
            </w:tcBorders>
            <w:shd w:val="clear" w:color="auto" w:fill="auto"/>
          </w:tcPr>
          <w:p w14:paraId="12BCEF19" w14:textId="77777777" w:rsidR="00A173AE" w:rsidRPr="00457FD3" w:rsidRDefault="00A173AE" w:rsidP="00207EE8">
            <w:pPr>
              <w:pStyle w:val="In-tableHeading"/>
              <w:jc w:val="center"/>
            </w:pPr>
            <w:r w:rsidRPr="00457FD3">
              <w:t>TPC</w:t>
            </w:r>
          </w:p>
        </w:tc>
        <w:tc>
          <w:tcPr>
            <w:tcW w:w="1110" w:type="pct"/>
            <w:tcBorders>
              <w:bottom w:val="single" w:sz="4" w:space="0" w:color="auto"/>
            </w:tcBorders>
            <w:shd w:val="clear" w:color="auto" w:fill="auto"/>
          </w:tcPr>
          <w:p w14:paraId="752D3F43" w14:textId="77777777" w:rsidR="00A173AE" w:rsidRPr="00457FD3" w:rsidRDefault="00A173AE" w:rsidP="00207EE8">
            <w:pPr>
              <w:pStyle w:val="In-tableHeading"/>
              <w:jc w:val="center"/>
              <w:rPr>
                <w:rFonts w:asciiTheme="minorHAnsi" w:hAnsiTheme="minorHAnsi"/>
              </w:rPr>
            </w:pPr>
            <w:r w:rsidRPr="00457FD3">
              <w:t>Absolute Difference</w:t>
            </w:r>
          </w:p>
        </w:tc>
        <w:tc>
          <w:tcPr>
            <w:tcW w:w="875" w:type="pct"/>
            <w:tcBorders>
              <w:bottom w:val="single" w:sz="4" w:space="0" w:color="auto"/>
            </w:tcBorders>
            <w:shd w:val="clear" w:color="auto" w:fill="auto"/>
          </w:tcPr>
          <w:p w14:paraId="63E0DB7C" w14:textId="77777777" w:rsidR="00A173AE" w:rsidRPr="00457FD3" w:rsidRDefault="00A173AE" w:rsidP="00207EE8">
            <w:pPr>
              <w:pStyle w:val="In-tableHeading"/>
              <w:jc w:val="center"/>
            </w:pPr>
            <w:r w:rsidRPr="00457FD3">
              <w:t>HR (95% CI)</w:t>
            </w:r>
          </w:p>
        </w:tc>
      </w:tr>
      <w:tr w:rsidR="00A173AE" w:rsidRPr="00457FD3" w14:paraId="1E8C4CEF" w14:textId="77777777" w:rsidTr="00207EE8">
        <w:trPr>
          <w:trHeight w:val="20"/>
        </w:trPr>
        <w:tc>
          <w:tcPr>
            <w:tcW w:w="1362" w:type="pct"/>
            <w:tcBorders>
              <w:bottom w:val="single" w:sz="4" w:space="0" w:color="auto"/>
              <w:right w:val="single" w:sz="4" w:space="0" w:color="auto"/>
            </w:tcBorders>
            <w:shd w:val="clear" w:color="auto" w:fill="auto"/>
          </w:tcPr>
          <w:p w14:paraId="723FBE19" w14:textId="77777777" w:rsidR="00A173AE" w:rsidRPr="00457FD3" w:rsidRDefault="00A173AE" w:rsidP="00207EE8">
            <w:pPr>
              <w:pStyle w:val="TableText0"/>
              <w:keepLines/>
              <w:widowControl w:val="0"/>
            </w:pPr>
            <w:r w:rsidRPr="00457FD3">
              <w:t>Progressed, n (%)</w:t>
            </w:r>
          </w:p>
        </w:tc>
        <w:tc>
          <w:tcPr>
            <w:tcW w:w="798" w:type="pct"/>
            <w:tcBorders>
              <w:left w:val="single" w:sz="4" w:space="0" w:color="auto"/>
              <w:bottom w:val="single" w:sz="4" w:space="0" w:color="auto"/>
              <w:right w:val="single" w:sz="4" w:space="0" w:color="auto"/>
            </w:tcBorders>
            <w:shd w:val="clear" w:color="auto" w:fill="auto"/>
          </w:tcPr>
          <w:p w14:paraId="126CCA3C" w14:textId="77777777" w:rsidR="00A173AE" w:rsidRPr="00457FD3" w:rsidRDefault="00A173AE" w:rsidP="00207EE8">
            <w:pPr>
              <w:pStyle w:val="TableText0"/>
              <w:keepLines/>
              <w:widowControl w:val="0"/>
              <w:jc w:val="center"/>
              <w:rPr>
                <w:rFonts w:cs="Times New Roman"/>
                <w:szCs w:val="20"/>
              </w:rPr>
            </w:pPr>
            <w:r w:rsidRPr="00457FD3">
              <w:rPr>
                <w:rFonts w:cs="Times New Roman"/>
                <w:szCs w:val="20"/>
              </w:rPr>
              <w:t>190/267 (71.2%)</w:t>
            </w:r>
          </w:p>
        </w:tc>
        <w:tc>
          <w:tcPr>
            <w:tcW w:w="855" w:type="pct"/>
            <w:tcBorders>
              <w:left w:val="single" w:sz="4" w:space="0" w:color="auto"/>
              <w:bottom w:val="single" w:sz="4" w:space="0" w:color="auto"/>
              <w:right w:val="single" w:sz="4" w:space="0" w:color="auto"/>
            </w:tcBorders>
            <w:shd w:val="clear" w:color="auto" w:fill="auto"/>
          </w:tcPr>
          <w:p w14:paraId="72970ABA" w14:textId="77777777" w:rsidR="00A173AE" w:rsidRPr="00457FD3" w:rsidRDefault="00A173AE" w:rsidP="00207EE8">
            <w:pPr>
              <w:pStyle w:val="TableText0"/>
              <w:keepLines/>
              <w:widowControl w:val="0"/>
              <w:jc w:val="center"/>
              <w:rPr>
                <w:rFonts w:cs="Times New Roman"/>
                <w:szCs w:val="20"/>
              </w:rPr>
            </w:pPr>
            <w:r w:rsidRPr="00457FD3">
              <w:rPr>
                <w:rFonts w:cs="Times New Roman"/>
                <w:szCs w:val="20"/>
              </w:rPr>
              <w:t>171/262 (65.3%)</w:t>
            </w:r>
          </w:p>
        </w:tc>
        <w:tc>
          <w:tcPr>
            <w:tcW w:w="1110" w:type="pct"/>
            <w:tcBorders>
              <w:left w:val="single" w:sz="4" w:space="0" w:color="auto"/>
              <w:bottom w:val="single" w:sz="4" w:space="0" w:color="auto"/>
              <w:right w:val="single" w:sz="4" w:space="0" w:color="auto"/>
            </w:tcBorders>
            <w:shd w:val="clear" w:color="auto" w:fill="auto"/>
          </w:tcPr>
          <w:p w14:paraId="278384D9" w14:textId="77777777" w:rsidR="00A173AE" w:rsidRPr="00457FD3" w:rsidRDefault="00A173AE" w:rsidP="00207EE8">
            <w:pPr>
              <w:pStyle w:val="TableText0"/>
              <w:keepLines/>
              <w:widowControl w:val="0"/>
              <w:jc w:val="center"/>
            </w:pPr>
          </w:p>
        </w:tc>
        <w:tc>
          <w:tcPr>
            <w:tcW w:w="875" w:type="pct"/>
            <w:vMerge w:val="restart"/>
            <w:tcBorders>
              <w:top w:val="nil"/>
              <w:left w:val="single" w:sz="4" w:space="0" w:color="auto"/>
            </w:tcBorders>
            <w:shd w:val="clear" w:color="auto" w:fill="auto"/>
            <w:vAlign w:val="center"/>
          </w:tcPr>
          <w:p w14:paraId="7B8C354C" w14:textId="77777777" w:rsidR="00A173AE" w:rsidRPr="00457FD3" w:rsidRDefault="00A173AE" w:rsidP="00207EE8">
            <w:pPr>
              <w:pStyle w:val="TableText0"/>
              <w:jc w:val="center"/>
              <w:rPr>
                <w:b/>
              </w:rPr>
            </w:pPr>
            <w:r w:rsidRPr="00457FD3">
              <w:rPr>
                <w:b/>
              </w:rPr>
              <w:t>0.43 (0.35, 0.54)</w:t>
            </w:r>
          </w:p>
          <w:p w14:paraId="4CE594DA" w14:textId="77777777" w:rsidR="00A173AE" w:rsidRPr="00457FD3" w:rsidRDefault="00A173AE" w:rsidP="00207EE8">
            <w:pPr>
              <w:pStyle w:val="TableText0"/>
              <w:keepLines/>
              <w:widowControl w:val="0"/>
              <w:jc w:val="center"/>
              <w:rPr>
                <w:szCs w:val="20"/>
              </w:rPr>
            </w:pPr>
            <w:r w:rsidRPr="00457FD3">
              <w:rPr>
                <w:b/>
              </w:rPr>
              <w:t>p&lt;0.0001</w:t>
            </w:r>
          </w:p>
        </w:tc>
      </w:tr>
      <w:tr w:rsidR="00A173AE" w:rsidRPr="00457FD3" w14:paraId="40C18228" w14:textId="77777777" w:rsidTr="00207EE8">
        <w:trPr>
          <w:trHeight w:val="20"/>
        </w:trPr>
        <w:tc>
          <w:tcPr>
            <w:tcW w:w="1362" w:type="pct"/>
            <w:tcBorders>
              <w:bottom w:val="single" w:sz="4" w:space="0" w:color="auto"/>
              <w:right w:val="single" w:sz="4" w:space="0" w:color="auto"/>
            </w:tcBorders>
            <w:shd w:val="clear" w:color="auto" w:fill="auto"/>
          </w:tcPr>
          <w:p w14:paraId="07702938" w14:textId="77777777" w:rsidR="00A173AE" w:rsidRPr="00457FD3" w:rsidRDefault="00A173AE" w:rsidP="00207EE8">
            <w:pPr>
              <w:pStyle w:val="TableText0"/>
              <w:keepLines/>
              <w:widowControl w:val="0"/>
            </w:pPr>
            <w:r w:rsidRPr="00457FD3">
              <w:t>Median PFS, months (95% CI)</w:t>
            </w:r>
          </w:p>
        </w:tc>
        <w:tc>
          <w:tcPr>
            <w:tcW w:w="798" w:type="pct"/>
            <w:tcBorders>
              <w:bottom w:val="single" w:sz="4" w:space="0" w:color="auto"/>
            </w:tcBorders>
            <w:vAlign w:val="center"/>
          </w:tcPr>
          <w:p w14:paraId="74EA0C40" w14:textId="77777777" w:rsidR="00A173AE" w:rsidRPr="00457FD3" w:rsidRDefault="00A173AE" w:rsidP="00207EE8">
            <w:pPr>
              <w:pStyle w:val="TableText0"/>
              <w:keepLines/>
              <w:widowControl w:val="0"/>
              <w:jc w:val="center"/>
              <w:rPr>
                <w:rFonts w:cs="Times New Roman"/>
                <w:szCs w:val="20"/>
              </w:rPr>
            </w:pPr>
            <w:r w:rsidRPr="00457FD3">
              <w:t>4.8 (4.1, 5.8)</w:t>
            </w:r>
          </w:p>
        </w:tc>
        <w:tc>
          <w:tcPr>
            <w:tcW w:w="855" w:type="pct"/>
            <w:tcBorders>
              <w:bottom w:val="single" w:sz="4" w:space="0" w:color="auto"/>
            </w:tcBorders>
            <w:vAlign w:val="center"/>
          </w:tcPr>
          <w:p w14:paraId="51E4FB52" w14:textId="77777777" w:rsidR="00A173AE" w:rsidRPr="00457FD3" w:rsidRDefault="00A173AE" w:rsidP="00207EE8">
            <w:pPr>
              <w:pStyle w:val="TableText0"/>
              <w:keepLines/>
              <w:widowControl w:val="0"/>
              <w:jc w:val="center"/>
              <w:rPr>
                <w:rFonts w:cs="Times New Roman"/>
                <w:szCs w:val="20"/>
              </w:rPr>
            </w:pPr>
            <w:r w:rsidRPr="00457FD3">
              <w:t>1.7 (1.5, 2.5)</w:t>
            </w:r>
          </w:p>
        </w:tc>
        <w:tc>
          <w:tcPr>
            <w:tcW w:w="1110" w:type="pct"/>
            <w:tcBorders>
              <w:bottom w:val="single" w:sz="4" w:space="0" w:color="auto"/>
            </w:tcBorders>
            <w:vAlign w:val="center"/>
          </w:tcPr>
          <w:p w14:paraId="588A4D3B" w14:textId="77777777" w:rsidR="00A173AE" w:rsidRPr="00457FD3" w:rsidRDefault="00A173AE" w:rsidP="00207EE8">
            <w:pPr>
              <w:pStyle w:val="TableText0"/>
              <w:keepLines/>
              <w:widowControl w:val="0"/>
              <w:jc w:val="center"/>
            </w:pPr>
            <w:r w:rsidRPr="00457FD3">
              <w:t>3.1</w:t>
            </w:r>
          </w:p>
        </w:tc>
        <w:tc>
          <w:tcPr>
            <w:tcW w:w="875" w:type="pct"/>
            <w:vMerge/>
            <w:tcBorders>
              <w:left w:val="single" w:sz="4" w:space="0" w:color="auto"/>
            </w:tcBorders>
            <w:shd w:val="clear" w:color="auto" w:fill="auto"/>
          </w:tcPr>
          <w:p w14:paraId="4CC1C579" w14:textId="77777777" w:rsidR="00A173AE" w:rsidRPr="00457FD3" w:rsidRDefault="00A173AE" w:rsidP="00207EE8">
            <w:pPr>
              <w:pStyle w:val="TableText0"/>
              <w:keepLines/>
              <w:widowControl w:val="0"/>
              <w:jc w:val="center"/>
              <w:rPr>
                <w:szCs w:val="20"/>
              </w:rPr>
            </w:pPr>
          </w:p>
        </w:tc>
      </w:tr>
      <w:tr w:rsidR="00A173AE" w:rsidRPr="00457FD3" w14:paraId="0E25C605" w14:textId="77777777" w:rsidTr="00207EE8">
        <w:trPr>
          <w:trHeight w:val="20"/>
        </w:trPr>
        <w:tc>
          <w:tcPr>
            <w:tcW w:w="1362" w:type="pct"/>
            <w:tcBorders>
              <w:top w:val="single" w:sz="4" w:space="0" w:color="auto"/>
              <w:bottom w:val="single" w:sz="4" w:space="0" w:color="auto"/>
              <w:right w:val="single" w:sz="4" w:space="0" w:color="auto"/>
            </w:tcBorders>
            <w:shd w:val="clear" w:color="auto" w:fill="auto"/>
            <w:vAlign w:val="center"/>
          </w:tcPr>
          <w:p w14:paraId="5AAB1225" w14:textId="77777777" w:rsidR="00A173AE" w:rsidRPr="00457FD3" w:rsidRDefault="00A173AE" w:rsidP="00207EE8">
            <w:pPr>
              <w:pStyle w:val="TableText0"/>
              <w:keepLines/>
              <w:widowControl w:val="0"/>
            </w:pPr>
            <w:r w:rsidRPr="00457FD3">
              <w:t>% not progressed at 6 months (95% CI)</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6FE3F892" w14:textId="77777777" w:rsidR="00A173AE" w:rsidRPr="00457FD3" w:rsidRDefault="00A173AE" w:rsidP="00207EE8">
            <w:pPr>
              <w:pStyle w:val="TableText0"/>
              <w:keepLines/>
              <w:widowControl w:val="0"/>
              <w:jc w:val="center"/>
            </w:pPr>
            <w:r w:rsidRPr="00457FD3">
              <w:rPr>
                <w:szCs w:val="20"/>
              </w:rPr>
              <w:t xml:space="preserve">40.6% </w:t>
            </w:r>
            <w:r w:rsidRPr="00457FD3">
              <w:rPr>
                <w:szCs w:val="20"/>
              </w:rPr>
              <w:br/>
              <w:t>(34.2%, 46.9%)</w:t>
            </w:r>
          </w:p>
        </w:tc>
        <w:tc>
          <w:tcPr>
            <w:tcW w:w="855" w:type="pct"/>
            <w:tcBorders>
              <w:top w:val="single" w:sz="4" w:space="0" w:color="auto"/>
              <w:left w:val="single" w:sz="4" w:space="0" w:color="auto"/>
              <w:bottom w:val="single" w:sz="4" w:space="0" w:color="auto"/>
              <w:right w:val="single" w:sz="4" w:space="0" w:color="auto"/>
            </w:tcBorders>
            <w:shd w:val="clear" w:color="auto" w:fill="auto"/>
          </w:tcPr>
          <w:p w14:paraId="17C3DECB" w14:textId="77777777" w:rsidR="00A173AE" w:rsidRPr="00457FD3" w:rsidRDefault="00A173AE" w:rsidP="00207EE8">
            <w:pPr>
              <w:pStyle w:val="TableText0"/>
              <w:keepLines/>
              <w:widowControl w:val="0"/>
              <w:jc w:val="center"/>
              <w:rPr>
                <w:szCs w:val="20"/>
              </w:rPr>
            </w:pPr>
            <w:r w:rsidRPr="00457FD3">
              <w:rPr>
                <w:szCs w:val="20"/>
              </w:rPr>
              <w:t xml:space="preserve">10.7% </w:t>
            </w:r>
            <w:r w:rsidRPr="00457FD3">
              <w:rPr>
                <w:szCs w:val="20"/>
              </w:rPr>
              <w:br/>
              <w:t>(6.4%, 16.3%)</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14:paraId="5046DEFF" w14:textId="77777777" w:rsidR="00A173AE" w:rsidRPr="00457FD3" w:rsidRDefault="00A173AE" w:rsidP="00207EE8">
            <w:pPr>
              <w:pStyle w:val="TableText0"/>
              <w:keepLines/>
              <w:widowControl w:val="0"/>
              <w:jc w:val="center"/>
            </w:pPr>
            <w:r w:rsidRPr="00457FD3">
              <w:t>29.9%</w:t>
            </w:r>
          </w:p>
        </w:tc>
        <w:tc>
          <w:tcPr>
            <w:tcW w:w="875" w:type="pct"/>
            <w:vMerge/>
            <w:tcBorders>
              <w:left w:val="single" w:sz="4" w:space="0" w:color="auto"/>
            </w:tcBorders>
            <w:vAlign w:val="center"/>
          </w:tcPr>
          <w:p w14:paraId="49E5C0E4" w14:textId="77777777" w:rsidR="00A173AE" w:rsidRPr="00457FD3" w:rsidRDefault="00A173AE" w:rsidP="00207EE8">
            <w:pPr>
              <w:pStyle w:val="TableText0"/>
              <w:keepLines/>
              <w:widowControl w:val="0"/>
              <w:jc w:val="center"/>
            </w:pPr>
          </w:p>
        </w:tc>
      </w:tr>
      <w:tr w:rsidR="00A173AE" w:rsidRPr="00457FD3" w14:paraId="189AA6F1" w14:textId="77777777" w:rsidTr="00207EE8">
        <w:trPr>
          <w:trHeight w:val="20"/>
        </w:trPr>
        <w:tc>
          <w:tcPr>
            <w:tcW w:w="1362" w:type="pct"/>
            <w:tcBorders>
              <w:top w:val="single" w:sz="4" w:space="0" w:color="auto"/>
              <w:bottom w:val="single" w:sz="4" w:space="0" w:color="auto"/>
              <w:right w:val="single" w:sz="4" w:space="0" w:color="auto"/>
            </w:tcBorders>
            <w:shd w:val="clear" w:color="auto" w:fill="auto"/>
            <w:vAlign w:val="center"/>
          </w:tcPr>
          <w:p w14:paraId="5A2A6377" w14:textId="77777777" w:rsidR="00A173AE" w:rsidRPr="00457FD3" w:rsidRDefault="00A173AE" w:rsidP="00207EE8">
            <w:pPr>
              <w:pStyle w:val="TableText0"/>
              <w:keepLines/>
              <w:widowControl w:val="0"/>
            </w:pPr>
            <w:r w:rsidRPr="00457FD3">
              <w:t>% not progressed at 9 months (95% CI)</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2736A82B" w14:textId="77777777" w:rsidR="00A173AE" w:rsidRPr="00457FD3" w:rsidRDefault="00A173AE" w:rsidP="00207EE8">
            <w:pPr>
              <w:pStyle w:val="TableText0"/>
              <w:keepLines/>
              <w:widowControl w:val="0"/>
              <w:jc w:val="center"/>
              <w:rPr>
                <w:szCs w:val="20"/>
              </w:rPr>
            </w:pPr>
            <w:r w:rsidRPr="00457FD3">
              <w:rPr>
                <w:szCs w:val="20"/>
              </w:rPr>
              <w:t>22.8%</w:t>
            </w:r>
            <w:r w:rsidRPr="00457FD3">
              <w:rPr>
                <w:szCs w:val="20"/>
              </w:rPr>
              <w:br/>
              <w:t xml:space="preserve"> (17.2%, 28.9%)</w:t>
            </w:r>
          </w:p>
        </w:tc>
        <w:tc>
          <w:tcPr>
            <w:tcW w:w="855" w:type="pct"/>
            <w:tcBorders>
              <w:top w:val="single" w:sz="4" w:space="0" w:color="auto"/>
              <w:left w:val="single" w:sz="4" w:space="0" w:color="auto"/>
              <w:bottom w:val="single" w:sz="4" w:space="0" w:color="auto"/>
              <w:right w:val="single" w:sz="4" w:space="0" w:color="auto"/>
            </w:tcBorders>
            <w:shd w:val="clear" w:color="auto" w:fill="auto"/>
          </w:tcPr>
          <w:p w14:paraId="76DE4E96" w14:textId="77777777" w:rsidR="00A173AE" w:rsidRPr="00457FD3" w:rsidRDefault="00A173AE" w:rsidP="00207EE8">
            <w:pPr>
              <w:pStyle w:val="TableText0"/>
              <w:keepLines/>
              <w:widowControl w:val="0"/>
              <w:jc w:val="center"/>
              <w:rPr>
                <w:szCs w:val="20"/>
              </w:rPr>
            </w:pPr>
            <w:r w:rsidRPr="00457FD3">
              <w:rPr>
                <w:szCs w:val="20"/>
              </w:rPr>
              <w:t xml:space="preserve">7.2% </w:t>
            </w:r>
          </w:p>
          <w:p w14:paraId="4979CFF2" w14:textId="77777777" w:rsidR="00A173AE" w:rsidRPr="00457FD3" w:rsidRDefault="00A173AE" w:rsidP="00207EE8">
            <w:pPr>
              <w:pStyle w:val="TableText0"/>
              <w:keepLines/>
              <w:widowControl w:val="0"/>
              <w:jc w:val="center"/>
              <w:rPr>
                <w:szCs w:val="20"/>
              </w:rPr>
            </w:pPr>
            <w:r w:rsidRPr="00457FD3">
              <w:rPr>
                <w:szCs w:val="20"/>
              </w:rPr>
              <w:t>(3.6%, 12.4%)</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14:paraId="612B4FB4" w14:textId="77777777" w:rsidR="00A173AE" w:rsidRPr="00457FD3" w:rsidRDefault="00A173AE" w:rsidP="00207EE8">
            <w:pPr>
              <w:pStyle w:val="TableText0"/>
              <w:keepLines/>
              <w:widowControl w:val="0"/>
              <w:jc w:val="center"/>
              <w:rPr>
                <w:rFonts w:cs="Times New Roman"/>
                <w:szCs w:val="20"/>
              </w:rPr>
            </w:pPr>
            <w:r w:rsidRPr="00457FD3">
              <w:rPr>
                <w:rFonts w:cs="Times New Roman"/>
                <w:szCs w:val="20"/>
              </w:rPr>
              <w:t>15.6%</w:t>
            </w:r>
          </w:p>
        </w:tc>
        <w:tc>
          <w:tcPr>
            <w:tcW w:w="875" w:type="pct"/>
            <w:vMerge/>
            <w:tcBorders>
              <w:left w:val="single" w:sz="4" w:space="0" w:color="auto"/>
              <w:bottom w:val="single" w:sz="4" w:space="0" w:color="auto"/>
            </w:tcBorders>
            <w:shd w:val="clear" w:color="auto" w:fill="auto"/>
          </w:tcPr>
          <w:p w14:paraId="559D8F98" w14:textId="77777777" w:rsidR="00A173AE" w:rsidRPr="00457FD3" w:rsidRDefault="00A173AE" w:rsidP="00207EE8">
            <w:pPr>
              <w:pStyle w:val="TableText0"/>
              <w:keepLines/>
              <w:widowControl w:val="0"/>
              <w:jc w:val="center"/>
            </w:pPr>
          </w:p>
        </w:tc>
      </w:tr>
      <w:tr w:rsidR="00A173AE" w:rsidRPr="00457FD3" w14:paraId="16031C1A" w14:textId="77777777" w:rsidTr="00207EE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33489" w14:textId="77777777" w:rsidR="00A173AE" w:rsidRPr="00457FD3" w:rsidRDefault="00A173AE" w:rsidP="00207EE8">
            <w:pPr>
              <w:pStyle w:val="In-tableHeading"/>
            </w:pPr>
            <w:r w:rsidRPr="00457FD3">
              <w:t>Overall survival*</w:t>
            </w:r>
          </w:p>
        </w:tc>
      </w:tr>
      <w:tr w:rsidR="00A173AE" w:rsidRPr="00457FD3" w14:paraId="741D3024" w14:textId="77777777" w:rsidTr="00207EE8">
        <w:trPr>
          <w:trHeight w:val="20"/>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1059CAFF" w14:textId="77777777" w:rsidR="00A173AE" w:rsidRPr="00457FD3" w:rsidRDefault="00A173AE" w:rsidP="00207EE8">
            <w:pPr>
              <w:pStyle w:val="TableText0"/>
              <w:keepLines/>
              <w:widowControl w:val="0"/>
            </w:pPr>
            <w:r w:rsidRPr="00457FD3">
              <w:t>Deaths, n/N (%)</w:t>
            </w:r>
          </w:p>
        </w:tc>
        <w:tc>
          <w:tcPr>
            <w:tcW w:w="798" w:type="pct"/>
            <w:vAlign w:val="center"/>
          </w:tcPr>
          <w:p w14:paraId="5FCD46C1" w14:textId="77777777" w:rsidR="00A173AE" w:rsidRPr="00457FD3" w:rsidRDefault="00A173AE" w:rsidP="00207EE8">
            <w:pPr>
              <w:pStyle w:val="TableText0"/>
              <w:keepLines/>
              <w:widowControl w:val="0"/>
              <w:jc w:val="center"/>
              <w:rPr>
                <w:rFonts w:cs="Times New Roman"/>
                <w:szCs w:val="20"/>
              </w:rPr>
            </w:pPr>
            <w:r w:rsidRPr="00457FD3">
              <w:t>179/267 (67.0%)</w:t>
            </w:r>
          </w:p>
        </w:tc>
        <w:tc>
          <w:tcPr>
            <w:tcW w:w="855" w:type="pct"/>
            <w:vAlign w:val="center"/>
          </w:tcPr>
          <w:p w14:paraId="61203F74" w14:textId="77777777" w:rsidR="00A173AE" w:rsidRPr="00457FD3" w:rsidRDefault="00A173AE" w:rsidP="00207EE8">
            <w:pPr>
              <w:pStyle w:val="TableText0"/>
              <w:keepLines/>
              <w:widowControl w:val="0"/>
              <w:jc w:val="center"/>
              <w:rPr>
                <w:rFonts w:cs="Times New Roman"/>
                <w:szCs w:val="20"/>
              </w:rPr>
            </w:pPr>
            <w:r w:rsidRPr="00457FD3">
              <w:t>206/262 (78.6%)</w:t>
            </w: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2D2F2580" w14:textId="77777777" w:rsidR="00A173AE" w:rsidRPr="00457FD3" w:rsidRDefault="00A173AE" w:rsidP="00207EE8">
            <w:pPr>
              <w:pStyle w:val="TableText0"/>
              <w:keepLines/>
              <w:widowControl w:val="0"/>
              <w:jc w:val="center"/>
            </w:pPr>
          </w:p>
        </w:tc>
        <w:tc>
          <w:tcPr>
            <w:tcW w:w="875" w:type="pct"/>
            <w:vMerge w:val="restart"/>
            <w:tcBorders>
              <w:top w:val="nil"/>
              <w:left w:val="single" w:sz="4" w:space="0" w:color="auto"/>
              <w:right w:val="single" w:sz="4" w:space="0" w:color="auto"/>
            </w:tcBorders>
            <w:shd w:val="clear" w:color="auto" w:fill="auto"/>
            <w:vAlign w:val="center"/>
          </w:tcPr>
          <w:p w14:paraId="04BE699C" w14:textId="77777777" w:rsidR="00A173AE" w:rsidRPr="00457FD3" w:rsidRDefault="00A173AE" w:rsidP="00207EE8">
            <w:pPr>
              <w:pStyle w:val="TableText0"/>
              <w:keepLines/>
              <w:widowControl w:val="0"/>
              <w:jc w:val="center"/>
              <w:rPr>
                <w:b/>
                <w:szCs w:val="20"/>
              </w:rPr>
            </w:pPr>
            <w:r w:rsidRPr="00457FD3">
              <w:rPr>
                <w:b/>
                <w:szCs w:val="20"/>
              </w:rPr>
              <w:t>0.51 (0.41, 0.62)</w:t>
            </w:r>
          </w:p>
          <w:p w14:paraId="17E62B70" w14:textId="77777777" w:rsidR="00A173AE" w:rsidRPr="00457FD3" w:rsidRDefault="00A173AE" w:rsidP="00207EE8">
            <w:pPr>
              <w:pStyle w:val="TableText0"/>
              <w:keepLines/>
              <w:widowControl w:val="0"/>
              <w:jc w:val="center"/>
              <w:rPr>
                <w:szCs w:val="20"/>
              </w:rPr>
            </w:pPr>
            <w:r w:rsidRPr="00457FD3">
              <w:rPr>
                <w:b/>
                <w:szCs w:val="20"/>
              </w:rPr>
              <w:t>p&lt;0.0001</w:t>
            </w:r>
          </w:p>
        </w:tc>
      </w:tr>
      <w:tr w:rsidR="00A173AE" w:rsidRPr="00457FD3" w14:paraId="6982A955" w14:textId="77777777" w:rsidTr="00207EE8">
        <w:trPr>
          <w:trHeight w:val="20"/>
        </w:trPr>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14:paraId="1ECCC7B9" w14:textId="77777777" w:rsidR="00A173AE" w:rsidRPr="00457FD3" w:rsidRDefault="00A173AE" w:rsidP="00207EE8">
            <w:pPr>
              <w:pStyle w:val="TableText0"/>
              <w:keepLines/>
              <w:widowControl w:val="0"/>
            </w:pPr>
            <w:r w:rsidRPr="00457FD3">
              <w:t>Median OS, months (95% CI)</w:t>
            </w:r>
          </w:p>
        </w:tc>
        <w:tc>
          <w:tcPr>
            <w:tcW w:w="798" w:type="pct"/>
            <w:vAlign w:val="center"/>
          </w:tcPr>
          <w:p w14:paraId="3116B463" w14:textId="77777777" w:rsidR="00A173AE" w:rsidRPr="00457FD3" w:rsidRDefault="00A173AE" w:rsidP="00207EE8">
            <w:pPr>
              <w:pStyle w:val="TableText0"/>
              <w:keepLines/>
              <w:widowControl w:val="0"/>
              <w:jc w:val="center"/>
            </w:pPr>
            <w:r w:rsidRPr="00457FD3">
              <w:t>11.8 (10.5, 13.8)</w:t>
            </w:r>
          </w:p>
        </w:tc>
        <w:tc>
          <w:tcPr>
            <w:tcW w:w="855" w:type="pct"/>
            <w:vAlign w:val="center"/>
          </w:tcPr>
          <w:p w14:paraId="4F130BF0" w14:textId="77777777" w:rsidR="00A173AE" w:rsidRPr="00457FD3" w:rsidRDefault="00A173AE" w:rsidP="00207EE8">
            <w:pPr>
              <w:pStyle w:val="TableText0"/>
              <w:keepLines/>
              <w:widowControl w:val="0"/>
              <w:jc w:val="center"/>
            </w:pPr>
            <w:r w:rsidRPr="00457FD3">
              <w:t>6.9 (5.9, 7.7)</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14:paraId="28BDC517" w14:textId="77777777" w:rsidR="00A173AE" w:rsidRPr="00457FD3" w:rsidRDefault="00A173AE" w:rsidP="00207EE8">
            <w:pPr>
              <w:pStyle w:val="TableText0"/>
              <w:keepLines/>
              <w:widowControl w:val="0"/>
              <w:jc w:val="center"/>
            </w:pPr>
            <w:r w:rsidRPr="00457FD3">
              <w:t>4.9</w:t>
            </w:r>
          </w:p>
        </w:tc>
        <w:tc>
          <w:tcPr>
            <w:tcW w:w="875" w:type="pct"/>
            <w:vMerge/>
            <w:tcBorders>
              <w:left w:val="single" w:sz="4" w:space="0" w:color="auto"/>
              <w:right w:val="single" w:sz="4" w:space="0" w:color="auto"/>
            </w:tcBorders>
            <w:shd w:val="clear" w:color="auto" w:fill="auto"/>
          </w:tcPr>
          <w:p w14:paraId="133EC119" w14:textId="77777777" w:rsidR="00A173AE" w:rsidRPr="00457FD3" w:rsidRDefault="00A173AE" w:rsidP="00207EE8">
            <w:pPr>
              <w:pStyle w:val="TableText0"/>
              <w:keepLines/>
              <w:widowControl w:val="0"/>
              <w:jc w:val="center"/>
              <w:rPr>
                <w:szCs w:val="20"/>
              </w:rPr>
            </w:pPr>
          </w:p>
        </w:tc>
      </w:tr>
      <w:tr w:rsidR="00A173AE" w:rsidRPr="00457FD3" w14:paraId="7B647257" w14:textId="77777777" w:rsidTr="00207EE8">
        <w:trPr>
          <w:trHeight w:val="20"/>
        </w:trPr>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14:paraId="54A70622" w14:textId="77777777" w:rsidR="00A173AE" w:rsidRPr="00457FD3" w:rsidRDefault="00A173AE" w:rsidP="00207EE8">
            <w:pPr>
              <w:pStyle w:val="TableText0"/>
              <w:keepLines/>
              <w:widowControl w:val="0"/>
            </w:pPr>
            <w:r w:rsidRPr="00457FD3">
              <w:t xml:space="preserve">% Alive at 6 months (95% CI) </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26A3218B" w14:textId="77777777" w:rsidR="00A173AE" w:rsidRPr="00457FD3" w:rsidRDefault="00A173AE" w:rsidP="00207EE8">
            <w:pPr>
              <w:pStyle w:val="TableText0"/>
              <w:keepLines/>
              <w:widowControl w:val="0"/>
              <w:jc w:val="center"/>
            </w:pPr>
            <w:r w:rsidRPr="00457FD3">
              <w:rPr>
                <w:szCs w:val="20"/>
              </w:rPr>
              <w:t xml:space="preserve">48.8% </w:t>
            </w:r>
            <w:r w:rsidRPr="00457FD3">
              <w:rPr>
                <w:szCs w:val="20"/>
              </w:rPr>
              <w:br/>
              <w:t>(42.5%, 54.8%)</w:t>
            </w:r>
          </w:p>
        </w:tc>
        <w:tc>
          <w:tcPr>
            <w:tcW w:w="855" w:type="pct"/>
            <w:tcBorders>
              <w:top w:val="single" w:sz="4" w:space="0" w:color="auto"/>
              <w:left w:val="single" w:sz="4" w:space="0" w:color="auto"/>
              <w:bottom w:val="single" w:sz="4" w:space="0" w:color="auto"/>
              <w:right w:val="single" w:sz="4" w:space="0" w:color="auto"/>
            </w:tcBorders>
            <w:shd w:val="clear" w:color="auto" w:fill="auto"/>
          </w:tcPr>
          <w:p w14:paraId="5B4A8725" w14:textId="77777777" w:rsidR="00A173AE" w:rsidRPr="00457FD3" w:rsidRDefault="00A173AE" w:rsidP="00207EE8">
            <w:pPr>
              <w:pStyle w:val="TableText0"/>
              <w:keepLines/>
              <w:widowControl w:val="0"/>
              <w:jc w:val="center"/>
              <w:rPr>
                <w:szCs w:val="20"/>
              </w:rPr>
            </w:pPr>
            <w:r w:rsidRPr="00457FD3">
              <w:rPr>
                <w:szCs w:val="20"/>
              </w:rPr>
              <w:t xml:space="preserve">23.0% </w:t>
            </w:r>
            <w:r w:rsidRPr="00457FD3">
              <w:rPr>
                <w:szCs w:val="20"/>
              </w:rPr>
              <w:br/>
              <w:t>(17.8%, 28.5%)</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14:paraId="552F7261" w14:textId="77777777" w:rsidR="00A173AE" w:rsidRPr="00457FD3" w:rsidRDefault="00A173AE" w:rsidP="00207EE8">
            <w:pPr>
              <w:pStyle w:val="TableText0"/>
              <w:keepLines/>
              <w:widowControl w:val="0"/>
              <w:jc w:val="center"/>
            </w:pPr>
            <w:r w:rsidRPr="00457FD3">
              <w:t>25.8%</w:t>
            </w:r>
          </w:p>
        </w:tc>
        <w:tc>
          <w:tcPr>
            <w:tcW w:w="875" w:type="pct"/>
            <w:vMerge/>
            <w:tcBorders>
              <w:left w:val="single" w:sz="4" w:space="0" w:color="auto"/>
              <w:right w:val="single" w:sz="4" w:space="0" w:color="auto"/>
            </w:tcBorders>
            <w:shd w:val="clear" w:color="auto" w:fill="auto"/>
          </w:tcPr>
          <w:p w14:paraId="1843C836" w14:textId="77777777" w:rsidR="00A173AE" w:rsidRPr="00457FD3" w:rsidRDefault="00A173AE" w:rsidP="00207EE8">
            <w:pPr>
              <w:pStyle w:val="TableText0"/>
              <w:keepLines/>
              <w:widowControl w:val="0"/>
              <w:jc w:val="center"/>
            </w:pPr>
          </w:p>
        </w:tc>
      </w:tr>
      <w:tr w:rsidR="00A173AE" w:rsidRPr="00457FD3" w14:paraId="72CE440B" w14:textId="77777777" w:rsidTr="00207EE8">
        <w:trPr>
          <w:trHeight w:val="20"/>
        </w:trPr>
        <w:tc>
          <w:tcPr>
            <w:tcW w:w="1362" w:type="pct"/>
            <w:tcBorders>
              <w:top w:val="single" w:sz="4" w:space="0" w:color="auto"/>
              <w:left w:val="single" w:sz="4" w:space="0" w:color="auto"/>
              <w:bottom w:val="double" w:sz="4" w:space="0" w:color="auto"/>
              <w:right w:val="single" w:sz="4" w:space="0" w:color="auto"/>
            </w:tcBorders>
            <w:shd w:val="clear" w:color="auto" w:fill="auto"/>
            <w:vAlign w:val="center"/>
          </w:tcPr>
          <w:p w14:paraId="578372AF" w14:textId="77777777" w:rsidR="00A173AE" w:rsidRPr="00457FD3" w:rsidRDefault="00A173AE" w:rsidP="00207EE8">
            <w:pPr>
              <w:pStyle w:val="TableText0"/>
              <w:keepLines/>
              <w:widowControl w:val="0"/>
            </w:pPr>
            <w:r w:rsidRPr="00457FD3">
              <w:t>% Alive at 9 months (95% CI)</w:t>
            </w:r>
          </w:p>
        </w:tc>
        <w:tc>
          <w:tcPr>
            <w:tcW w:w="798" w:type="pct"/>
            <w:tcBorders>
              <w:top w:val="single" w:sz="4" w:space="0" w:color="auto"/>
              <w:left w:val="single" w:sz="4" w:space="0" w:color="auto"/>
              <w:bottom w:val="double" w:sz="4" w:space="0" w:color="auto"/>
              <w:right w:val="single" w:sz="4" w:space="0" w:color="auto"/>
            </w:tcBorders>
            <w:shd w:val="clear" w:color="auto" w:fill="auto"/>
          </w:tcPr>
          <w:p w14:paraId="68D37FCF" w14:textId="77777777" w:rsidR="00A173AE" w:rsidRPr="00457FD3" w:rsidRDefault="00A173AE" w:rsidP="00207EE8">
            <w:pPr>
              <w:pStyle w:val="TableText0"/>
              <w:keepLines/>
              <w:widowControl w:val="0"/>
              <w:jc w:val="center"/>
              <w:rPr>
                <w:szCs w:val="20"/>
              </w:rPr>
            </w:pPr>
            <w:r w:rsidRPr="00457FD3">
              <w:rPr>
                <w:szCs w:val="20"/>
              </w:rPr>
              <w:t xml:space="preserve">28.6% </w:t>
            </w:r>
            <w:r w:rsidRPr="00457FD3">
              <w:rPr>
                <w:szCs w:val="20"/>
              </w:rPr>
              <w:br/>
              <w:t>(22.6%, 34.8%)</w:t>
            </w:r>
          </w:p>
        </w:tc>
        <w:tc>
          <w:tcPr>
            <w:tcW w:w="855" w:type="pct"/>
            <w:tcBorders>
              <w:top w:val="single" w:sz="4" w:space="0" w:color="auto"/>
              <w:left w:val="single" w:sz="4" w:space="0" w:color="auto"/>
              <w:bottom w:val="double" w:sz="4" w:space="0" w:color="auto"/>
              <w:right w:val="single" w:sz="4" w:space="0" w:color="auto"/>
            </w:tcBorders>
            <w:shd w:val="clear" w:color="auto" w:fill="auto"/>
          </w:tcPr>
          <w:p w14:paraId="14DB190B" w14:textId="77777777" w:rsidR="00A173AE" w:rsidRPr="00457FD3" w:rsidRDefault="00A173AE" w:rsidP="00207EE8">
            <w:pPr>
              <w:pStyle w:val="TableText0"/>
              <w:keepLines/>
              <w:widowControl w:val="0"/>
              <w:jc w:val="center"/>
              <w:rPr>
                <w:szCs w:val="20"/>
              </w:rPr>
            </w:pPr>
            <w:r w:rsidRPr="00457FD3">
              <w:rPr>
                <w:szCs w:val="20"/>
              </w:rPr>
              <w:t xml:space="preserve">12.9% </w:t>
            </w:r>
            <w:r w:rsidRPr="00457FD3">
              <w:rPr>
                <w:szCs w:val="20"/>
              </w:rPr>
              <w:br/>
              <w:t>(8.7%, 18.0%)</w:t>
            </w:r>
          </w:p>
        </w:tc>
        <w:tc>
          <w:tcPr>
            <w:tcW w:w="1110" w:type="pct"/>
            <w:tcBorders>
              <w:top w:val="single" w:sz="4" w:space="0" w:color="auto"/>
              <w:left w:val="single" w:sz="4" w:space="0" w:color="auto"/>
              <w:bottom w:val="double" w:sz="4" w:space="0" w:color="auto"/>
              <w:right w:val="single" w:sz="4" w:space="0" w:color="auto"/>
            </w:tcBorders>
            <w:shd w:val="clear" w:color="auto" w:fill="auto"/>
            <w:vAlign w:val="center"/>
          </w:tcPr>
          <w:p w14:paraId="345C839A" w14:textId="77777777" w:rsidR="00A173AE" w:rsidRPr="00457FD3" w:rsidRDefault="00A173AE" w:rsidP="00207EE8">
            <w:pPr>
              <w:pStyle w:val="TableText0"/>
              <w:keepLines/>
              <w:widowControl w:val="0"/>
              <w:jc w:val="center"/>
            </w:pPr>
            <w:r w:rsidRPr="00457FD3">
              <w:t>15.7%</w:t>
            </w:r>
          </w:p>
        </w:tc>
        <w:tc>
          <w:tcPr>
            <w:tcW w:w="875" w:type="pct"/>
            <w:vMerge/>
            <w:tcBorders>
              <w:left w:val="single" w:sz="4" w:space="0" w:color="auto"/>
              <w:bottom w:val="double" w:sz="4" w:space="0" w:color="auto"/>
              <w:right w:val="single" w:sz="4" w:space="0" w:color="auto"/>
            </w:tcBorders>
            <w:shd w:val="clear" w:color="auto" w:fill="auto"/>
          </w:tcPr>
          <w:p w14:paraId="5C318528" w14:textId="77777777" w:rsidR="00A173AE" w:rsidRPr="00457FD3" w:rsidRDefault="00A173AE" w:rsidP="00207EE8">
            <w:pPr>
              <w:pStyle w:val="TableText0"/>
              <w:keepLines/>
              <w:widowControl w:val="0"/>
              <w:jc w:val="center"/>
            </w:pPr>
          </w:p>
        </w:tc>
      </w:tr>
    </w:tbl>
    <w:tbl>
      <w:tblPr>
        <w:tblW w:w="5000" w:type="pct"/>
        <w:tblLayout w:type="fixed"/>
        <w:tblCellMar>
          <w:left w:w="28" w:type="dxa"/>
          <w:right w:w="28" w:type="dxa"/>
        </w:tblCellMar>
        <w:tblLook w:val="04A0" w:firstRow="1" w:lastRow="0" w:firstColumn="1" w:lastColumn="0" w:noHBand="0" w:noVBand="1"/>
        <w:tblCaption w:val="Table 8: Summary of comparative benefits and harms for SG and TPC"/>
      </w:tblPr>
      <w:tblGrid>
        <w:gridCol w:w="1692"/>
        <w:gridCol w:w="851"/>
        <w:gridCol w:w="1021"/>
        <w:gridCol w:w="1555"/>
        <w:gridCol w:w="1133"/>
        <w:gridCol w:w="1113"/>
        <w:gridCol w:w="1652"/>
      </w:tblGrid>
      <w:tr w:rsidR="00A173AE" w:rsidRPr="00457FD3" w14:paraId="410A6CB1" w14:textId="77777777" w:rsidTr="00207EE8">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6E154524" w14:textId="77777777" w:rsidR="00A173AE" w:rsidRPr="00457FD3" w:rsidRDefault="00A173AE" w:rsidP="00207EE8">
            <w:pPr>
              <w:pStyle w:val="In-tableHeading"/>
            </w:pPr>
            <w:r w:rsidRPr="00457FD3">
              <w:t xml:space="preserve">Harms </w:t>
            </w:r>
          </w:p>
        </w:tc>
      </w:tr>
      <w:tr w:rsidR="00A173AE" w:rsidRPr="00457FD3" w14:paraId="2BDB7427" w14:textId="77777777" w:rsidTr="00F52FF5">
        <w:trPr>
          <w:trHeight w:val="70"/>
        </w:trPr>
        <w:tc>
          <w:tcPr>
            <w:tcW w:w="93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F88A75" w14:textId="77777777" w:rsidR="00A173AE" w:rsidRPr="00457FD3" w:rsidRDefault="00A173AE" w:rsidP="00207EE8">
            <w:pPr>
              <w:pStyle w:val="In-tableHeading"/>
            </w:pPr>
          </w:p>
        </w:tc>
        <w:tc>
          <w:tcPr>
            <w:tcW w:w="472" w:type="pct"/>
            <w:vMerge w:val="restart"/>
            <w:tcBorders>
              <w:top w:val="single" w:sz="4" w:space="0" w:color="auto"/>
              <w:left w:val="single" w:sz="4" w:space="0" w:color="auto"/>
              <w:bottom w:val="single" w:sz="4" w:space="0" w:color="auto"/>
              <w:right w:val="single" w:sz="4" w:space="0" w:color="auto"/>
            </w:tcBorders>
            <w:vAlign w:val="center"/>
          </w:tcPr>
          <w:p w14:paraId="24E48146" w14:textId="77777777" w:rsidR="00A173AE" w:rsidRPr="00457FD3" w:rsidRDefault="00A173AE" w:rsidP="00207EE8">
            <w:pPr>
              <w:pStyle w:val="In-tableHeading"/>
              <w:jc w:val="center"/>
            </w:pPr>
            <w:r w:rsidRPr="00457FD3">
              <w:t>SG</w:t>
            </w:r>
          </w:p>
          <w:p w14:paraId="6D401AF1" w14:textId="77777777" w:rsidR="00A173AE" w:rsidRPr="00457FD3" w:rsidRDefault="00A173AE" w:rsidP="00207EE8">
            <w:pPr>
              <w:pStyle w:val="In-tableHeading"/>
              <w:jc w:val="center"/>
            </w:pPr>
            <w:r w:rsidRPr="00457FD3">
              <w:t>n/N</w:t>
            </w:r>
          </w:p>
        </w:tc>
        <w:tc>
          <w:tcPr>
            <w:tcW w:w="566" w:type="pct"/>
            <w:vMerge w:val="restart"/>
            <w:tcBorders>
              <w:top w:val="single" w:sz="4" w:space="0" w:color="auto"/>
              <w:left w:val="single" w:sz="4" w:space="0" w:color="auto"/>
              <w:bottom w:val="single" w:sz="4" w:space="0" w:color="auto"/>
              <w:right w:val="single" w:sz="4" w:space="0" w:color="auto"/>
            </w:tcBorders>
            <w:vAlign w:val="center"/>
          </w:tcPr>
          <w:p w14:paraId="4F567873" w14:textId="77777777" w:rsidR="00A173AE" w:rsidRPr="00457FD3" w:rsidRDefault="00A173AE" w:rsidP="00207EE8">
            <w:pPr>
              <w:pStyle w:val="In-tableHeading"/>
              <w:jc w:val="center"/>
            </w:pPr>
            <w:r w:rsidRPr="00457FD3">
              <w:t>TPC</w:t>
            </w:r>
          </w:p>
          <w:p w14:paraId="4357B901" w14:textId="77777777" w:rsidR="00A173AE" w:rsidRPr="00457FD3" w:rsidRDefault="00A173AE" w:rsidP="00207EE8">
            <w:pPr>
              <w:pStyle w:val="In-tableHeading"/>
              <w:jc w:val="center"/>
            </w:pPr>
            <w:r w:rsidRPr="00457FD3">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1761446A" w14:textId="77777777" w:rsidR="00A173AE" w:rsidRPr="00457FD3" w:rsidRDefault="00A173AE" w:rsidP="00207EE8">
            <w:pPr>
              <w:pStyle w:val="In-tableHeading"/>
              <w:jc w:val="center"/>
            </w:pPr>
            <w:r w:rsidRPr="00457FD3">
              <w:t>RR</w:t>
            </w:r>
          </w:p>
          <w:p w14:paraId="098A6350" w14:textId="77777777" w:rsidR="00A173AE" w:rsidRPr="00457FD3" w:rsidRDefault="00A173AE" w:rsidP="00207EE8">
            <w:pPr>
              <w:pStyle w:val="In-tableHeading"/>
              <w:jc w:val="center"/>
            </w:pPr>
            <w:r w:rsidRPr="00457FD3">
              <w:t>(95% CI)</w:t>
            </w:r>
          </w:p>
        </w:tc>
        <w:tc>
          <w:tcPr>
            <w:tcW w:w="1245" w:type="pct"/>
            <w:gridSpan w:val="2"/>
            <w:tcBorders>
              <w:top w:val="single" w:sz="4" w:space="0" w:color="auto"/>
              <w:left w:val="single" w:sz="4" w:space="0" w:color="auto"/>
              <w:bottom w:val="single" w:sz="4" w:space="0" w:color="auto"/>
              <w:right w:val="single" w:sz="4" w:space="0" w:color="auto"/>
            </w:tcBorders>
            <w:vAlign w:val="center"/>
          </w:tcPr>
          <w:p w14:paraId="1D10AE82" w14:textId="77777777" w:rsidR="00A173AE" w:rsidRPr="00457FD3" w:rsidRDefault="00A173AE" w:rsidP="00207EE8">
            <w:pPr>
              <w:pStyle w:val="In-tableHeading"/>
              <w:jc w:val="center"/>
            </w:pPr>
            <w:r w:rsidRPr="00457FD3">
              <w:t>Event rate/100 patients*</w:t>
            </w:r>
          </w:p>
        </w:tc>
        <w:tc>
          <w:tcPr>
            <w:tcW w:w="915" w:type="pct"/>
            <w:vMerge w:val="restart"/>
            <w:tcBorders>
              <w:top w:val="single" w:sz="4" w:space="0" w:color="auto"/>
              <w:left w:val="single" w:sz="4" w:space="0" w:color="auto"/>
              <w:bottom w:val="single" w:sz="4" w:space="0" w:color="auto"/>
              <w:right w:val="single" w:sz="4" w:space="0" w:color="auto"/>
            </w:tcBorders>
            <w:vAlign w:val="center"/>
          </w:tcPr>
          <w:p w14:paraId="24037EC8" w14:textId="77777777" w:rsidR="00A173AE" w:rsidRPr="00457FD3" w:rsidRDefault="00A173AE" w:rsidP="00207EE8">
            <w:pPr>
              <w:pStyle w:val="In-tableHeading"/>
              <w:jc w:val="center"/>
            </w:pPr>
            <w:r w:rsidRPr="00457FD3">
              <w:t>RD</w:t>
            </w:r>
          </w:p>
          <w:p w14:paraId="3523720F" w14:textId="77777777" w:rsidR="00A173AE" w:rsidRPr="00457FD3" w:rsidRDefault="00A173AE" w:rsidP="00207EE8">
            <w:pPr>
              <w:pStyle w:val="In-tableHeading"/>
              <w:jc w:val="center"/>
            </w:pPr>
            <w:r w:rsidRPr="00457FD3">
              <w:t>(95% CI)</w:t>
            </w:r>
          </w:p>
        </w:tc>
      </w:tr>
      <w:tr w:rsidR="00A173AE" w:rsidRPr="00457FD3" w14:paraId="1B4B72CE" w14:textId="77777777" w:rsidTr="00F52FF5">
        <w:trPr>
          <w:trHeight w:val="390"/>
        </w:trPr>
        <w:tc>
          <w:tcPr>
            <w:tcW w:w="93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D03D9AE" w14:textId="77777777" w:rsidR="00A173AE" w:rsidRPr="00457FD3" w:rsidRDefault="00A173AE" w:rsidP="00207EE8">
            <w:pPr>
              <w:pStyle w:val="In-tableHeading"/>
            </w:pPr>
          </w:p>
        </w:tc>
        <w:tc>
          <w:tcPr>
            <w:tcW w:w="472" w:type="pct"/>
            <w:vMerge/>
            <w:tcBorders>
              <w:top w:val="single" w:sz="4" w:space="0" w:color="auto"/>
              <w:left w:val="single" w:sz="4" w:space="0" w:color="auto"/>
              <w:bottom w:val="single" w:sz="4" w:space="0" w:color="auto"/>
              <w:right w:val="single" w:sz="4" w:space="0" w:color="auto"/>
            </w:tcBorders>
            <w:vAlign w:val="center"/>
          </w:tcPr>
          <w:p w14:paraId="37C2B610" w14:textId="77777777" w:rsidR="00A173AE" w:rsidRPr="00457FD3" w:rsidRDefault="00A173AE" w:rsidP="00207EE8">
            <w:pPr>
              <w:pStyle w:val="In-tableHeading"/>
            </w:pPr>
          </w:p>
        </w:tc>
        <w:tc>
          <w:tcPr>
            <w:tcW w:w="566" w:type="pct"/>
            <w:vMerge/>
            <w:tcBorders>
              <w:top w:val="single" w:sz="4" w:space="0" w:color="auto"/>
              <w:left w:val="single" w:sz="4" w:space="0" w:color="auto"/>
              <w:bottom w:val="single" w:sz="4" w:space="0" w:color="auto"/>
              <w:right w:val="single" w:sz="4" w:space="0" w:color="auto"/>
            </w:tcBorders>
            <w:vAlign w:val="center"/>
          </w:tcPr>
          <w:p w14:paraId="43CF5316" w14:textId="77777777" w:rsidR="00A173AE" w:rsidRPr="00457FD3" w:rsidRDefault="00A173AE" w:rsidP="00207EE8">
            <w:pPr>
              <w:pStyle w:val="In-tableHeading"/>
            </w:pPr>
          </w:p>
        </w:tc>
        <w:tc>
          <w:tcPr>
            <w:tcW w:w="862" w:type="pct"/>
            <w:vMerge/>
            <w:tcBorders>
              <w:top w:val="single" w:sz="4" w:space="0" w:color="auto"/>
              <w:left w:val="single" w:sz="4" w:space="0" w:color="auto"/>
              <w:bottom w:val="single" w:sz="4" w:space="0" w:color="auto"/>
              <w:right w:val="single" w:sz="4" w:space="0" w:color="auto"/>
            </w:tcBorders>
            <w:vAlign w:val="center"/>
          </w:tcPr>
          <w:p w14:paraId="03B35394" w14:textId="77777777" w:rsidR="00A173AE" w:rsidRPr="00457FD3" w:rsidRDefault="00A173AE" w:rsidP="00207EE8">
            <w:pPr>
              <w:pStyle w:val="In-tableHeading"/>
            </w:pPr>
          </w:p>
        </w:tc>
        <w:tc>
          <w:tcPr>
            <w:tcW w:w="628" w:type="pct"/>
            <w:tcBorders>
              <w:top w:val="single" w:sz="4" w:space="0" w:color="auto"/>
              <w:left w:val="single" w:sz="4" w:space="0" w:color="auto"/>
              <w:bottom w:val="single" w:sz="4" w:space="0" w:color="auto"/>
              <w:right w:val="single" w:sz="4" w:space="0" w:color="auto"/>
            </w:tcBorders>
            <w:vAlign w:val="center"/>
          </w:tcPr>
          <w:p w14:paraId="119A0D6A" w14:textId="77777777" w:rsidR="00A173AE" w:rsidRPr="00457FD3" w:rsidRDefault="00A173AE" w:rsidP="00207EE8">
            <w:pPr>
              <w:pStyle w:val="In-tableHeading"/>
              <w:jc w:val="center"/>
            </w:pPr>
            <w:r w:rsidRPr="00457FD3">
              <w:t>SG</w:t>
            </w:r>
          </w:p>
        </w:tc>
        <w:tc>
          <w:tcPr>
            <w:tcW w:w="617" w:type="pct"/>
            <w:tcBorders>
              <w:top w:val="single" w:sz="4" w:space="0" w:color="auto"/>
              <w:left w:val="single" w:sz="4" w:space="0" w:color="auto"/>
              <w:bottom w:val="single" w:sz="4" w:space="0" w:color="auto"/>
              <w:right w:val="single" w:sz="4" w:space="0" w:color="auto"/>
            </w:tcBorders>
            <w:vAlign w:val="center"/>
          </w:tcPr>
          <w:p w14:paraId="5E015B45" w14:textId="77777777" w:rsidR="00A173AE" w:rsidRPr="00457FD3" w:rsidRDefault="00A173AE" w:rsidP="00207EE8">
            <w:pPr>
              <w:pStyle w:val="In-tableHeading"/>
              <w:jc w:val="center"/>
            </w:pPr>
            <w:r w:rsidRPr="00457FD3">
              <w:t>TPC</w:t>
            </w:r>
          </w:p>
        </w:tc>
        <w:tc>
          <w:tcPr>
            <w:tcW w:w="915" w:type="pct"/>
            <w:vMerge/>
            <w:tcBorders>
              <w:top w:val="single" w:sz="4" w:space="0" w:color="auto"/>
              <w:left w:val="single" w:sz="4" w:space="0" w:color="auto"/>
              <w:bottom w:val="single" w:sz="4" w:space="0" w:color="auto"/>
              <w:right w:val="single" w:sz="4" w:space="0" w:color="auto"/>
            </w:tcBorders>
            <w:vAlign w:val="center"/>
          </w:tcPr>
          <w:p w14:paraId="75175602" w14:textId="77777777" w:rsidR="00A173AE" w:rsidRPr="00457FD3" w:rsidRDefault="00A173AE" w:rsidP="00207EE8">
            <w:pPr>
              <w:pStyle w:val="In-tableHeading"/>
            </w:pPr>
          </w:p>
        </w:tc>
      </w:tr>
      <w:tr w:rsidR="00A173AE" w:rsidRPr="00457FD3" w14:paraId="1ABA9621" w14:textId="77777777" w:rsidTr="00F52FF5">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388007DA" w14:textId="77777777" w:rsidR="00A173AE" w:rsidRPr="00457FD3" w:rsidRDefault="00A173AE" w:rsidP="00207EE8">
            <w:pPr>
              <w:pStyle w:val="TableText0"/>
            </w:pPr>
            <w:r w:rsidRPr="00457FD3">
              <w:t>≥ Grade 3 treatment-related AE</w:t>
            </w:r>
          </w:p>
        </w:tc>
        <w:tc>
          <w:tcPr>
            <w:tcW w:w="472" w:type="pct"/>
            <w:tcBorders>
              <w:top w:val="single" w:sz="4" w:space="0" w:color="auto"/>
              <w:left w:val="single" w:sz="4" w:space="0" w:color="auto"/>
              <w:bottom w:val="single" w:sz="4" w:space="0" w:color="auto"/>
              <w:right w:val="single" w:sz="4" w:space="0" w:color="auto"/>
            </w:tcBorders>
            <w:vAlign w:val="center"/>
          </w:tcPr>
          <w:p w14:paraId="22BA06D2" w14:textId="77777777" w:rsidR="00A173AE" w:rsidRPr="00457FD3" w:rsidRDefault="00A173AE" w:rsidP="00207EE8">
            <w:pPr>
              <w:pStyle w:val="TableText0"/>
              <w:jc w:val="center"/>
            </w:pPr>
            <w:r w:rsidRPr="00457FD3">
              <w:t>166/258</w:t>
            </w:r>
          </w:p>
        </w:tc>
        <w:tc>
          <w:tcPr>
            <w:tcW w:w="566" w:type="pct"/>
            <w:tcBorders>
              <w:top w:val="single" w:sz="4" w:space="0" w:color="auto"/>
              <w:left w:val="single" w:sz="4" w:space="0" w:color="auto"/>
              <w:bottom w:val="single" w:sz="4" w:space="0" w:color="auto"/>
              <w:right w:val="single" w:sz="4" w:space="0" w:color="auto"/>
            </w:tcBorders>
            <w:vAlign w:val="center"/>
          </w:tcPr>
          <w:p w14:paraId="55A46AD9" w14:textId="77777777" w:rsidR="00A173AE" w:rsidRPr="00457FD3" w:rsidRDefault="00A173AE" w:rsidP="00207EE8">
            <w:pPr>
              <w:pStyle w:val="TableText0"/>
              <w:jc w:val="center"/>
            </w:pPr>
            <w:r w:rsidRPr="00457FD3">
              <w:t>105/224</w:t>
            </w:r>
          </w:p>
        </w:tc>
        <w:tc>
          <w:tcPr>
            <w:tcW w:w="862" w:type="pct"/>
            <w:tcBorders>
              <w:top w:val="single" w:sz="4" w:space="0" w:color="auto"/>
              <w:left w:val="single" w:sz="4" w:space="0" w:color="auto"/>
              <w:bottom w:val="single" w:sz="4" w:space="0" w:color="auto"/>
              <w:right w:val="single" w:sz="4" w:space="0" w:color="auto"/>
            </w:tcBorders>
            <w:vAlign w:val="center"/>
          </w:tcPr>
          <w:p w14:paraId="1FA3E864" w14:textId="77777777" w:rsidR="00A173AE" w:rsidRPr="00457FD3" w:rsidRDefault="00A173AE" w:rsidP="00207EE8">
            <w:pPr>
              <w:pStyle w:val="TableText0"/>
              <w:jc w:val="center"/>
            </w:pPr>
            <w:r w:rsidRPr="00457FD3">
              <w:t>1.37 (1.16, 1.62)</w:t>
            </w:r>
          </w:p>
        </w:tc>
        <w:tc>
          <w:tcPr>
            <w:tcW w:w="628" w:type="pct"/>
            <w:tcBorders>
              <w:top w:val="single" w:sz="4" w:space="0" w:color="auto"/>
              <w:left w:val="single" w:sz="4" w:space="0" w:color="auto"/>
              <w:bottom w:val="single" w:sz="4" w:space="0" w:color="auto"/>
              <w:right w:val="single" w:sz="4" w:space="0" w:color="auto"/>
            </w:tcBorders>
            <w:vAlign w:val="center"/>
          </w:tcPr>
          <w:p w14:paraId="6E170AD5" w14:textId="77777777" w:rsidR="00A173AE" w:rsidRPr="00457FD3" w:rsidRDefault="00A173AE" w:rsidP="00207EE8">
            <w:pPr>
              <w:pStyle w:val="TableText0"/>
              <w:jc w:val="center"/>
            </w:pPr>
            <w:r w:rsidRPr="00457FD3">
              <w:t>64.3</w:t>
            </w:r>
          </w:p>
        </w:tc>
        <w:tc>
          <w:tcPr>
            <w:tcW w:w="617" w:type="pct"/>
            <w:tcBorders>
              <w:top w:val="single" w:sz="4" w:space="0" w:color="auto"/>
              <w:left w:val="single" w:sz="4" w:space="0" w:color="auto"/>
              <w:bottom w:val="single" w:sz="4" w:space="0" w:color="auto"/>
              <w:right w:val="single" w:sz="4" w:space="0" w:color="auto"/>
            </w:tcBorders>
            <w:vAlign w:val="center"/>
          </w:tcPr>
          <w:p w14:paraId="05078AAA" w14:textId="77777777" w:rsidR="00A173AE" w:rsidRPr="00457FD3" w:rsidRDefault="00A173AE" w:rsidP="00207EE8">
            <w:pPr>
              <w:pStyle w:val="TableText0"/>
              <w:jc w:val="center"/>
            </w:pPr>
            <w:r w:rsidRPr="00457FD3">
              <w:t>46.9</w:t>
            </w:r>
          </w:p>
        </w:tc>
        <w:tc>
          <w:tcPr>
            <w:tcW w:w="915" w:type="pct"/>
            <w:tcBorders>
              <w:top w:val="single" w:sz="4" w:space="0" w:color="auto"/>
              <w:left w:val="single" w:sz="4" w:space="0" w:color="auto"/>
              <w:bottom w:val="single" w:sz="4" w:space="0" w:color="auto"/>
              <w:right w:val="single" w:sz="4" w:space="0" w:color="auto"/>
            </w:tcBorders>
            <w:vAlign w:val="center"/>
          </w:tcPr>
          <w:p w14:paraId="0D5F43D9" w14:textId="77777777" w:rsidR="00A173AE" w:rsidRPr="00457FD3" w:rsidRDefault="00A173AE" w:rsidP="00207EE8">
            <w:pPr>
              <w:pStyle w:val="TableText0"/>
              <w:jc w:val="center"/>
            </w:pPr>
            <w:r w:rsidRPr="00457FD3">
              <w:t>0.17 (0.09, 0.26)</w:t>
            </w:r>
          </w:p>
        </w:tc>
      </w:tr>
      <w:tr w:rsidR="00A173AE" w:rsidRPr="00457FD3" w14:paraId="25A882FE" w14:textId="77777777" w:rsidTr="00F52FF5">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031E2F9B" w14:textId="77777777" w:rsidR="00A173AE" w:rsidRPr="00457FD3" w:rsidRDefault="00A173AE" w:rsidP="00207EE8">
            <w:pPr>
              <w:pStyle w:val="TableText0"/>
            </w:pPr>
            <w:r w:rsidRPr="00457FD3">
              <w:t>Treatment-related serious AE</w:t>
            </w:r>
          </w:p>
        </w:tc>
        <w:tc>
          <w:tcPr>
            <w:tcW w:w="472" w:type="pct"/>
            <w:tcBorders>
              <w:top w:val="single" w:sz="4" w:space="0" w:color="auto"/>
              <w:left w:val="single" w:sz="4" w:space="0" w:color="auto"/>
              <w:bottom w:val="single" w:sz="4" w:space="0" w:color="auto"/>
              <w:right w:val="single" w:sz="4" w:space="0" w:color="auto"/>
            </w:tcBorders>
            <w:vAlign w:val="center"/>
          </w:tcPr>
          <w:p w14:paraId="381508F4" w14:textId="77777777" w:rsidR="00A173AE" w:rsidRPr="00457FD3" w:rsidRDefault="00A173AE" w:rsidP="00207EE8">
            <w:pPr>
              <w:pStyle w:val="TableText0"/>
              <w:jc w:val="center"/>
            </w:pPr>
            <w:r w:rsidRPr="00457FD3">
              <w:t>39/258</w:t>
            </w:r>
          </w:p>
        </w:tc>
        <w:tc>
          <w:tcPr>
            <w:tcW w:w="566" w:type="pct"/>
            <w:tcBorders>
              <w:top w:val="single" w:sz="4" w:space="0" w:color="auto"/>
              <w:left w:val="single" w:sz="4" w:space="0" w:color="auto"/>
              <w:bottom w:val="single" w:sz="4" w:space="0" w:color="auto"/>
              <w:right w:val="single" w:sz="4" w:space="0" w:color="auto"/>
            </w:tcBorders>
            <w:vAlign w:val="center"/>
          </w:tcPr>
          <w:p w14:paraId="1A05429A" w14:textId="77777777" w:rsidR="00A173AE" w:rsidRPr="00457FD3" w:rsidRDefault="00A173AE" w:rsidP="00207EE8">
            <w:pPr>
              <w:pStyle w:val="TableText0"/>
              <w:jc w:val="center"/>
            </w:pPr>
            <w:r w:rsidRPr="00457FD3">
              <w:t>19/224</w:t>
            </w:r>
          </w:p>
        </w:tc>
        <w:tc>
          <w:tcPr>
            <w:tcW w:w="862" w:type="pct"/>
            <w:tcBorders>
              <w:top w:val="single" w:sz="4" w:space="0" w:color="auto"/>
              <w:left w:val="single" w:sz="4" w:space="0" w:color="auto"/>
              <w:bottom w:val="single" w:sz="4" w:space="0" w:color="auto"/>
              <w:right w:val="single" w:sz="4" w:space="0" w:color="auto"/>
            </w:tcBorders>
            <w:vAlign w:val="center"/>
          </w:tcPr>
          <w:p w14:paraId="56D8BCC6" w14:textId="77777777" w:rsidR="00A173AE" w:rsidRPr="00457FD3" w:rsidRDefault="00A173AE" w:rsidP="00207EE8">
            <w:pPr>
              <w:pStyle w:val="TableText0"/>
              <w:jc w:val="center"/>
            </w:pPr>
            <w:r w:rsidRPr="00457FD3">
              <w:t>1.78 (1.06,2.99)</w:t>
            </w:r>
          </w:p>
        </w:tc>
        <w:tc>
          <w:tcPr>
            <w:tcW w:w="628" w:type="pct"/>
            <w:tcBorders>
              <w:top w:val="single" w:sz="4" w:space="0" w:color="auto"/>
              <w:left w:val="single" w:sz="4" w:space="0" w:color="auto"/>
              <w:bottom w:val="single" w:sz="4" w:space="0" w:color="auto"/>
              <w:right w:val="single" w:sz="4" w:space="0" w:color="auto"/>
            </w:tcBorders>
            <w:vAlign w:val="center"/>
          </w:tcPr>
          <w:p w14:paraId="53CEE5EC" w14:textId="77777777" w:rsidR="00A173AE" w:rsidRPr="00457FD3" w:rsidRDefault="00A173AE" w:rsidP="00207EE8">
            <w:pPr>
              <w:pStyle w:val="TableText0"/>
              <w:jc w:val="center"/>
            </w:pPr>
            <w:r w:rsidRPr="00457FD3">
              <w:t>15.1</w:t>
            </w:r>
          </w:p>
        </w:tc>
        <w:tc>
          <w:tcPr>
            <w:tcW w:w="617" w:type="pct"/>
            <w:tcBorders>
              <w:top w:val="single" w:sz="4" w:space="0" w:color="auto"/>
              <w:left w:val="single" w:sz="4" w:space="0" w:color="auto"/>
              <w:bottom w:val="single" w:sz="4" w:space="0" w:color="auto"/>
              <w:right w:val="single" w:sz="4" w:space="0" w:color="auto"/>
            </w:tcBorders>
            <w:vAlign w:val="center"/>
          </w:tcPr>
          <w:p w14:paraId="43578173" w14:textId="77777777" w:rsidR="00A173AE" w:rsidRPr="00457FD3" w:rsidRDefault="00A173AE" w:rsidP="00207EE8">
            <w:pPr>
              <w:pStyle w:val="TableText0"/>
              <w:jc w:val="center"/>
            </w:pPr>
            <w:r w:rsidRPr="00457FD3">
              <w:t>8.5</w:t>
            </w:r>
          </w:p>
        </w:tc>
        <w:tc>
          <w:tcPr>
            <w:tcW w:w="915" w:type="pct"/>
            <w:tcBorders>
              <w:top w:val="single" w:sz="4" w:space="0" w:color="auto"/>
              <w:left w:val="single" w:sz="4" w:space="0" w:color="auto"/>
              <w:bottom w:val="single" w:sz="4" w:space="0" w:color="auto"/>
              <w:right w:val="single" w:sz="4" w:space="0" w:color="auto"/>
            </w:tcBorders>
            <w:vAlign w:val="center"/>
          </w:tcPr>
          <w:p w14:paraId="0F0DF624" w14:textId="77777777" w:rsidR="00A173AE" w:rsidRPr="00457FD3" w:rsidRDefault="00A173AE" w:rsidP="00207EE8">
            <w:pPr>
              <w:pStyle w:val="TableText0"/>
              <w:jc w:val="center"/>
            </w:pPr>
            <w:r w:rsidRPr="00457FD3">
              <w:t>0.07 (0.01, 0.12)</w:t>
            </w:r>
          </w:p>
        </w:tc>
      </w:tr>
      <w:tr w:rsidR="00A52184" w:rsidRPr="00457FD3" w14:paraId="6B24546A" w14:textId="77777777" w:rsidTr="00037EC2">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4CB621CA" w14:textId="77777777" w:rsidR="00A52184" w:rsidRPr="00457FD3" w:rsidRDefault="00C15E7B" w:rsidP="00C15E7B">
            <w:pPr>
              <w:pStyle w:val="TableText0"/>
            </w:pPr>
            <w:r w:rsidRPr="00457FD3">
              <w:t>Serious f</w:t>
            </w:r>
            <w:r w:rsidR="00A52184" w:rsidRPr="00457FD3">
              <w:t>ebrile neutropenia</w:t>
            </w:r>
            <w:r w:rsidR="00A52184" w:rsidRPr="00457FD3">
              <w:rPr>
                <w:b/>
              </w:rPr>
              <w:t xml:space="preserve"> </w:t>
            </w:r>
          </w:p>
        </w:tc>
        <w:tc>
          <w:tcPr>
            <w:tcW w:w="472" w:type="pct"/>
            <w:tcBorders>
              <w:top w:val="single" w:sz="4" w:space="0" w:color="auto"/>
              <w:left w:val="single" w:sz="4" w:space="0" w:color="auto"/>
              <w:bottom w:val="single" w:sz="4" w:space="0" w:color="auto"/>
              <w:right w:val="single" w:sz="4" w:space="0" w:color="auto"/>
            </w:tcBorders>
            <w:vAlign w:val="center"/>
          </w:tcPr>
          <w:p w14:paraId="023B2238" w14:textId="77777777" w:rsidR="00A52184" w:rsidRPr="00457FD3" w:rsidRDefault="00F52FF5" w:rsidP="00037EC2">
            <w:pPr>
              <w:pStyle w:val="TableText0"/>
              <w:jc w:val="center"/>
            </w:pPr>
            <w:r w:rsidRPr="00457FD3">
              <w:t>13/258</w:t>
            </w:r>
          </w:p>
        </w:tc>
        <w:tc>
          <w:tcPr>
            <w:tcW w:w="566" w:type="pct"/>
            <w:tcBorders>
              <w:top w:val="single" w:sz="4" w:space="0" w:color="auto"/>
              <w:left w:val="single" w:sz="4" w:space="0" w:color="auto"/>
              <w:bottom w:val="single" w:sz="4" w:space="0" w:color="auto"/>
              <w:right w:val="single" w:sz="4" w:space="0" w:color="auto"/>
            </w:tcBorders>
            <w:vAlign w:val="center"/>
          </w:tcPr>
          <w:p w14:paraId="319C7E09" w14:textId="77777777" w:rsidR="00A52184" w:rsidRPr="00457FD3" w:rsidRDefault="00A52184" w:rsidP="00037EC2">
            <w:pPr>
              <w:pStyle w:val="TableText0"/>
              <w:jc w:val="center"/>
            </w:pPr>
            <w:r w:rsidRPr="00457FD3">
              <w:t>4</w:t>
            </w:r>
            <w:r w:rsidR="00F52FF5" w:rsidRPr="00457FD3">
              <w:t>/224</w:t>
            </w:r>
          </w:p>
        </w:tc>
        <w:tc>
          <w:tcPr>
            <w:tcW w:w="862" w:type="pct"/>
            <w:tcBorders>
              <w:top w:val="single" w:sz="4" w:space="0" w:color="auto"/>
              <w:left w:val="single" w:sz="4" w:space="0" w:color="auto"/>
              <w:bottom w:val="single" w:sz="4" w:space="0" w:color="auto"/>
              <w:right w:val="single" w:sz="4" w:space="0" w:color="auto"/>
            </w:tcBorders>
            <w:vAlign w:val="center"/>
          </w:tcPr>
          <w:p w14:paraId="5B9BE1E2" w14:textId="77777777" w:rsidR="00A52184" w:rsidRPr="00457FD3" w:rsidRDefault="00F52FF5" w:rsidP="00F52FF5">
            <w:pPr>
              <w:pStyle w:val="TableText0"/>
              <w:jc w:val="center"/>
            </w:pPr>
            <w:r w:rsidRPr="00457FD3">
              <w:t xml:space="preserve">2.82 </w:t>
            </w:r>
            <w:r w:rsidRPr="00457FD3">
              <w:rPr>
                <w:bCs w:val="0"/>
              </w:rPr>
              <w:t>(0.93, 8.53)</w:t>
            </w:r>
          </w:p>
        </w:tc>
        <w:tc>
          <w:tcPr>
            <w:tcW w:w="628" w:type="pct"/>
            <w:tcBorders>
              <w:top w:val="single" w:sz="4" w:space="0" w:color="auto"/>
              <w:left w:val="single" w:sz="4" w:space="0" w:color="auto"/>
              <w:bottom w:val="single" w:sz="4" w:space="0" w:color="auto"/>
              <w:right w:val="single" w:sz="4" w:space="0" w:color="auto"/>
            </w:tcBorders>
            <w:vAlign w:val="center"/>
          </w:tcPr>
          <w:p w14:paraId="063577F1" w14:textId="77777777" w:rsidR="00A52184" w:rsidRPr="00457FD3" w:rsidRDefault="00F52FF5" w:rsidP="00A52184">
            <w:pPr>
              <w:pStyle w:val="TableText0"/>
              <w:jc w:val="center"/>
            </w:pPr>
            <w:r w:rsidRPr="00457FD3">
              <w:t>5.0</w:t>
            </w:r>
          </w:p>
        </w:tc>
        <w:tc>
          <w:tcPr>
            <w:tcW w:w="617" w:type="pct"/>
            <w:tcBorders>
              <w:top w:val="single" w:sz="4" w:space="0" w:color="auto"/>
              <w:left w:val="single" w:sz="4" w:space="0" w:color="auto"/>
              <w:bottom w:val="single" w:sz="4" w:space="0" w:color="auto"/>
              <w:right w:val="single" w:sz="4" w:space="0" w:color="auto"/>
            </w:tcBorders>
            <w:vAlign w:val="center"/>
          </w:tcPr>
          <w:p w14:paraId="4C470E0D" w14:textId="77777777" w:rsidR="00A52184" w:rsidRPr="00457FD3" w:rsidRDefault="00F52FF5" w:rsidP="00A52184">
            <w:pPr>
              <w:pStyle w:val="TableText0"/>
              <w:jc w:val="center"/>
            </w:pPr>
            <w:r w:rsidRPr="00457FD3">
              <w:t>1.8</w:t>
            </w:r>
          </w:p>
        </w:tc>
        <w:tc>
          <w:tcPr>
            <w:tcW w:w="915" w:type="pct"/>
            <w:tcBorders>
              <w:top w:val="single" w:sz="4" w:space="0" w:color="auto"/>
              <w:left w:val="single" w:sz="4" w:space="0" w:color="auto"/>
              <w:bottom w:val="single" w:sz="4" w:space="0" w:color="auto"/>
              <w:right w:val="single" w:sz="4" w:space="0" w:color="auto"/>
            </w:tcBorders>
            <w:vAlign w:val="center"/>
          </w:tcPr>
          <w:p w14:paraId="5CF2D6B9" w14:textId="77777777" w:rsidR="00A52184" w:rsidRPr="00457FD3" w:rsidRDefault="00F52FF5" w:rsidP="00F52FF5">
            <w:pPr>
              <w:pStyle w:val="TableText0"/>
              <w:jc w:val="center"/>
            </w:pPr>
            <w:r w:rsidRPr="00457FD3">
              <w:t xml:space="preserve">0.03 </w:t>
            </w:r>
            <w:r w:rsidRPr="00457FD3">
              <w:rPr>
                <w:bCs w:val="0"/>
              </w:rPr>
              <w:t>(0.01, 0.06)</w:t>
            </w:r>
          </w:p>
        </w:tc>
      </w:tr>
      <w:tr w:rsidR="00A52184" w:rsidRPr="00457FD3" w14:paraId="213F4503" w14:textId="77777777" w:rsidTr="003B00C2">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6BC76536" w14:textId="77777777" w:rsidR="00A52184" w:rsidRPr="00457FD3" w:rsidRDefault="00C15E7B" w:rsidP="00C15E7B">
            <w:pPr>
              <w:pStyle w:val="TableText0"/>
            </w:pPr>
            <w:r w:rsidRPr="00457FD3">
              <w:t>Serious d</w:t>
            </w:r>
            <w:r w:rsidR="00A52184" w:rsidRPr="00457FD3">
              <w:t>iarrhoea</w:t>
            </w:r>
          </w:p>
        </w:tc>
        <w:tc>
          <w:tcPr>
            <w:tcW w:w="472" w:type="pct"/>
            <w:tcBorders>
              <w:top w:val="single" w:sz="4" w:space="0" w:color="auto"/>
              <w:left w:val="single" w:sz="4" w:space="0" w:color="auto"/>
              <w:bottom w:val="single" w:sz="4" w:space="0" w:color="auto"/>
              <w:right w:val="single" w:sz="4" w:space="0" w:color="auto"/>
            </w:tcBorders>
          </w:tcPr>
          <w:p w14:paraId="5B82A873" w14:textId="77777777" w:rsidR="00A52184" w:rsidRPr="00457FD3" w:rsidRDefault="00F52FF5" w:rsidP="00A52184">
            <w:pPr>
              <w:pStyle w:val="TableText0"/>
              <w:jc w:val="center"/>
            </w:pPr>
            <w:r w:rsidRPr="00457FD3">
              <w:t>9/258</w:t>
            </w:r>
          </w:p>
        </w:tc>
        <w:tc>
          <w:tcPr>
            <w:tcW w:w="566" w:type="pct"/>
            <w:tcBorders>
              <w:top w:val="single" w:sz="4" w:space="0" w:color="auto"/>
              <w:left w:val="single" w:sz="4" w:space="0" w:color="auto"/>
              <w:bottom w:val="single" w:sz="4" w:space="0" w:color="auto"/>
              <w:right w:val="single" w:sz="4" w:space="0" w:color="auto"/>
            </w:tcBorders>
          </w:tcPr>
          <w:p w14:paraId="3E8529E8" w14:textId="77777777" w:rsidR="00A52184" w:rsidRPr="00457FD3" w:rsidRDefault="00A52184" w:rsidP="00A52184">
            <w:pPr>
              <w:pStyle w:val="TableText0"/>
              <w:jc w:val="center"/>
            </w:pPr>
            <w:r w:rsidRPr="00457FD3">
              <w:t>0</w:t>
            </w:r>
            <w:r w:rsidR="00F52FF5" w:rsidRPr="00457FD3">
              <w:t>/224</w:t>
            </w:r>
          </w:p>
        </w:tc>
        <w:tc>
          <w:tcPr>
            <w:tcW w:w="862" w:type="pct"/>
            <w:tcBorders>
              <w:top w:val="single" w:sz="4" w:space="0" w:color="auto"/>
              <w:left w:val="single" w:sz="4" w:space="0" w:color="auto"/>
              <w:bottom w:val="single" w:sz="4" w:space="0" w:color="auto"/>
              <w:right w:val="single" w:sz="4" w:space="0" w:color="auto"/>
            </w:tcBorders>
            <w:vAlign w:val="center"/>
          </w:tcPr>
          <w:p w14:paraId="15A572DD" w14:textId="77777777" w:rsidR="00A52184" w:rsidRPr="00457FD3" w:rsidRDefault="00C15E7B" w:rsidP="00A52184">
            <w:pPr>
              <w:pStyle w:val="TableText0"/>
              <w:jc w:val="center"/>
            </w:pPr>
            <w:r w:rsidRPr="00457FD3">
              <w:t>-</w:t>
            </w:r>
          </w:p>
        </w:tc>
        <w:tc>
          <w:tcPr>
            <w:tcW w:w="628" w:type="pct"/>
            <w:tcBorders>
              <w:top w:val="single" w:sz="4" w:space="0" w:color="auto"/>
              <w:left w:val="single" w:sz="4" w:space="0" w:color="auto"/>
              <w:bottom w:val="single" w:sz="4" w:space="0" w:color="auto"/>
              <w:right w:val="single" w:sz="4" w:space="0" w:color="auto"/>
            </w:tcBorders>
            <w:vAlign w:val="center"/>
          </w:tcPr>
          <w:p w14:paraId="07344A00" w14:textId="77777777" w:rsidR="00A52184" w:rsidRPr="00457FD3" w:rsidRDefault="00F52FF5" w:rsidP="00A52184">
            <w:pPr>
              <w:pStyle w:val="TableText0"/>
              <w:jc w:val="center"/>
            </w:pPr>
            <w:r w:rsidRPr="00457FD3">
              <w:t>3.5</w:t>
            </w:r>
          </w:p>
        </w:tc>
        <w:tc>
          <w:tcPr>
            <w:tcW w:w="617" w:type="pct"/>
            <w:tcBorders>
              <w:top w:val="single" w:sz="4" w:space="0" w:color="auto"/>
              <w:left w:val="single" w:sz="4" w:space="0" w:color="auto"/>
              <w:bottom w:val="single" w:sz="4" w:space="0" w:color="auto"/>
              <w:right w:val="single" w:sz="4" w:space="0" w:color="auto"/>
            </w:tcBorders>
            <w:vAlign w:val="center"/>
          </w:tcPr>
          <w:p w14:paraId="7C07A0F0" w14:textId="77777777" w:rsidR="00A52184" w:rsidRPr="00457FD3" w:rsidRDefault="00F52FF5" w:rsidP="00A52184">
            <w:pPr>
              <w:pStyle w:val="TableText0"/>
              <w:jc w:val="center"/>
            </w:pPr>
            <w:r w:rsidRPr="00457FD3">
              <w:t>0</w:t>
            </w:r>
          </w:p>
        </w:tc>
        <w:tc>
          <w:tcPr>
            <w:tcW w:w="915" w:type="pct"/>
            <w:tcBorders>
              <w:top w:val="single" w:sz="4" w:space="0" w:color="auto"/>
              <w:left w:val="single" w:sz="4" w:space="0" w:color="auto"/>
              <w:bottom w:val="single" w:sz="4" w:space="0" w:color="auto"/>
              <w:right w:val="single" w:sz="4" w:space="0" w:color="auto"/>
            </w:tcBorders>
            <w:vAlign w:val="center"/>
          </w:tcPr>
          <w:p w14:paraId="4BB60734" w14:textId="77777777" w:rsidR="00A52184" w:rsidRPr="00457FD3" w:rsidRDefault="00F52FF5" w:rsidP="00A52184">
            <w:pPr>
              <w:pStyle w:val="TableText0"/>
              <w:jc w:val="center"/>
            </w:pPr>
            <w:r w:rsidRPr="00457FD3">
              <w:t>0.03 (0.01, 0.06)</w:t>
            </w:r>
          </w:p>
        </w:tc>
      </w:tr>
      <w:tr w:rsidR="00A52184" w:rsidRPr="00457FD3" w14:paraId="6B1F7F9C" w14:textId="77777777" w:rsidTr="00F52FF5">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134745E1" w14:textId="77777777" w:rsidR="00A52184" w:rsidRPr="00457FD3" w:rsidRDefault="00C15E7B" w:rsidP="00C15E7B">
            <w:pPr>
              <w:pStyle w:val="TableText0"/>
            </w:pPr>
            <w:r w:rsidRPr="00457FD3">
              <w:t>Serious p</w:t>
            </w:r>
            <w:r w:rsidR="00A52184" w:rsidRPr="00457FD3">
              <w:t>neumonia</w:t>
            </w:r>
          </w:p>
        </w:tc>
        <w:tc>
          <w:tcPr>
            <w:tcW w:w="472" w:type="pct"/>
            <w:tcBorders>
              <w:top w:val="single" w:sz="4" w:space="0" w:color="auto"/>
              <w:left w:val="single" w:sz="4" w:space="0" w:color="auto"/>
              <w:bottom w:val="single" w:sz="4" w:space="0" w:color="auto"/>
              <w:right w:val="single" w:sz="4" w:space="0" w:color="auto"/>
            </w:tcBorders>
          </w:tcPr>
          <w:p w14:paraId="30508EA6" w14:textId="77777777" w:rsidR="00A52184" w:rsidRPr="00457FD3" w:rsidRDefault="00F52FF5" w:rsidP="00A52184">
            <w:pPr>
              <w:pStyle w:val="TableText0"/>
              <w:jc w:val="center"/>
            </w:pPr>
            <w:r w:rsidRPr="00457FD3">
              <w:t>7/258</w:t>
            </w:r>
          </w:p>
        </w:tc>
        <w:tc>
          <w:tcPr>
            <w:tcW w:w="566" w:type="pct"/>
            <w:tcBorders>
              <w:top w:val="single" w:sz="4" w:space="0" w:color="auto"/>
              <w:left w:val="single" w:sz="4" w:space="0" w:color="auto"/>
              <w:bottom w:val="single" w:sz="4" w:space="0" w:color="auto"/>
              <w:right w:val="single" w:sz="4" w:space="0" w:color="auto"/>
            </w:tcBorders>
          </w:tcPr>
          <w:p w14:paraId="1D7D3BD7" w14:textId="77777777" w:rsidR="00A52184" w:rsidRPr="00457FD3" w:rsidRDefault="00F52FF5" w:rsidP="00A52184">
            <w:pPr>
              <w:pStyle w:val="TableText0"/>
              <w:jc w:val="center"/>
            </w:pPr>
            <w:r w:rsidRPr="00457FD3">
              <w:t>4/224</w:t>
            </w:r>
          </w:p>
        </w:tc>
        <w:tc>
          <w:tcPr>
            <w:tcW w:w="862" w:type="pct"/>
            <w:tcBorders>
              <w:top w:val="single" w:sz="4" w:space="0" w:color="auto"/>
              <w:left w:val="single" w:sz="4" w:space="0" w:color="auto"/>
              <w:bottom w:val="single" w:sz="4" w:space="0" w:color="auto"/>
              <w:right w:val="single" w:sz="4" w:space="0" w:color="auto"/>
            </w:tcBorders>
            <w:vAlign w:val="center"/>
          </w:tcPr>
          <w:p w14:paraId="686D7029" w14:textId="77777777" w:rsidR="00A52184" w:rsidRPr="00457FD3" w:rsidRDefault="00F52FF5" w:rsidP="00A52184">
            <w:pPr>
              <w:pStyle w:val="TableText0"/>
              <w:jc w:val="center"/>
            </w:pPr>
            <w:r w:rsidRPr="00457FD3">
              <w:t>1.52 (0.45, 5.12)</w:t>
            </w:r>
          </w:p>
        </w:tc>
        <w:tc>
          <w:tcPr>
            <w:tcW w:w="628" w:type="pct"/>
            <w:tcBorders>
              <w:top w:val="single" w:sz="4" w:space="0" w:color="auto"/>
              <w:left w:val="single" w:sz="4" w:space="0" w:color="auto"/>
              <w:bottom w:val="single" w:sz="4" w:space="0" w:color="auto"/>
              <w:right w:val="single" w:sz="4" w:space="0" w:color="auto"/>
            </w:tcBorders>
            <w:vAlign w:val="center"/>
          </w:tcPr>
          <w:p w14:paraId="4974B28E" w14:textId="77777777" w:rsidR="00A52184" w:rsidRPr="00457FD3" w:rsidRDefault="00F52FF5" w:rsidP="00A52184">
            <w:pPr>
              <w:pStyle w:val="TableText0"/>
              <w:jc w:val="center"/>
            </w:pPr>
            <w:r w:rsidRPr="00457FD3">
              <w:t>2.7</w:t>
            </w:r>
          </w:p>
        </w:tc>
        <w:tc>
          <w:tcPr>
            <w:tcW w:w="617" w:type="pct"/>
            <w:tcBorders>
              <w:top w:val="single" w:sz="4" w:space="0" w:color="auto"/>
              <w:left w:val="single" w:sz="4" w:space="0" w:color="auto"/>
              <w:bottom w:val="single" w:sz="4" w:space="0" w:color="auto"/>
              <w:right w:val="single" w:sz="4" w:space="0" w:color="auto"/>
            </w:tcBorders>
            <w:vAlign w:val="center"/>
          </w:tcPr>
          <w:p w14:paraId="1CF2CD60" w14:textId="77777777" w:rsidR="00A52184" w:rsidRPr="00457FD3" w:rsidRDefault="00F52FF5" w:rsidP="00A52184">
            <w:pPr>
              <w:pStyle w:val="TableText0"/>
              <w:jc w:val="center"/>
            </w:pPr>
            <w:r w:rsidRPr="00457FD3">
              <w:t>1.8</w:t>
            </w:r>
          </w:p>
        </w:tc>
        <w:tc>
          <w:tcPr>
            <w:tcW w:w="915" w:type="pct"/>
            <w:tcBorders>
              <w:top w:val="single" w:sz="4" w:space="0" w:color="auto"/>
              <w:left w:val="single" w:sz="4" w:space="0" w:color="auto"/>
              <w:bottom w:val="single" w:sz="4" w:space="0" w:color="auto"/>
              <w:right w:val="single" w:sz="4" w:space="0" w:color="auto"/>
            </w:tcBorders>
            <w:vAlign w:val="center"/>
          </w:tcPr>
          <w:p w14:paraId="29BDA2E9" w14:textId="77777777" w:rsidR="00A52184" w:rsidRPr="00457FD3" w:rsidRDefault="00F52FF5" w:rsidP="00A52184">
            <w:pPr>
              <w:pStyle w:val="TableText0"/>
              <w:jc w:val="center"/>
            </w:pPr>
            <w:r w:rsidRPr="00457FD3">
              <w:t>0.09 (-0.02, 0.04)</w:t>
            </w:r>
          </w:p>
        </w:tc>
      </w:tr>
    </w:tbl>
    <w:p w14:paraId="326F8201" w14:textId="77777777" w:rsidR="00A173AE" w:rsidRPr="00457FD3" w:rsidRDefault="00A173AE" w:rsidP="00A173AE">
      <w:pPr>
        <w:pStyle w:val="TableFigureFooter"/>
      </w:pPr>
      <w:r w:rsidRPr="00457FD3">
        <w:t>Source: Table 2-35 p84, Table 2-39 p 92, and Table 2-54, p113 of the submission; Table 33 p101, Table 24, Table 26, Table 14.3.1.3, Table 14.3.1.5 CSR; Table 3, pp1538 Bardia et al (2021).</w:t>
      </w:r>
    </w:p>
    <w:p w14:paraId="7ADB1D6D" w14:textId="77777777" w:rsidR="00A173AE" w:rsidRPr="00457FD3" w:rsidRDefault="00A173AE" w:rsidP="00A173AE">
      <w:pPr>
        <w:pStyle w:val="TableFigureFooter"/>
      </w:pPr>
      <w:r w:rsidRPr="00457FD3">
        <w:t>AE = adverse event; CI = confidence interval; HR = hazard ratio; OS = overall survival; PFS = progression free survival; RD = risk difference; RR = risk ratio; SG = sacituzumab govitecan; TPC = treatment of physician’s choice.</w:t>
      </w:r>
    </w:p>
    <w:p w14:paraId="4304E039" w14:textId="77777777" w:rsidR="00A173AE" w:rsidRPr="00457FD3" w:rsidRDefault="00A173AE" w:rsidP="00A173AE">
      <w:pPr>
        <w:pStyle w:val="TableFigureFooter"/>
      </w:pPr>
      <w:r w:rsidRPr="00457FD3">
        <w:t>* Median duration of follow-up: 17.7 months</w:t>
      </w:r>
    </w:p>
    <w:p w14:paraId="2D1ACDD7" w14:textId="77777777" w:rsidR="00A173AE" w:rsidRPr="00457FD3" w:rsidRDefault="00A173AE" w:rsidP="00A173AE">
      <w:pPr>
        <w:pStyle w:val="3-BodyText"/>
      </w:pPr>
      <w:r w:rsidRPr="00457FD3">
        <w:t>On the basis of direct evidence presented by the submission, for every 100 patients treated with SG in comparison TPC:</w:t>
      </w:r>
    </w:p>
    <w:p w14:paraId="7857707E" w14:textId="77777777" w:rsidR="00A173AE" w:rsidRPr="00457FD3" w:rsidRDefault="00A173AE" w:rsidP="00A173AE">
      <w:pPr>
        <w:pStyle w:val="ListParagraph"/>
        <w:ind w:left="1134"/>
      </w:pPr>
      <w:r w:rsidRPr="00457FD3">
        <w:t>Approximately 30 additional patients will remain progression-free after 6 months</w:t>
      </w:r>
      <w:r w:rsidR="00475470" w:rsidRPr="00457FD3">
        <w:t>.</w:t>
      </w:r>
    </w:p>
    <w:p w14:paraId="4D83853D" w14:textId="77777777" w:rsidR="00A173AE" w:rsidRPr="00457FD3" w:rsidRDefault="00A173AE" w:rsidP="00A173AE">
      <w:pPr>
        <w:pStyle w:val="ListParagraph"/>
        <w:ind w:left="1134"/>
      </w:pPr>
      <w:r w:rsidRPr="00457FD3">
        <w:t>Approximately 16 additional patients will remain alive after 9 months.</w:t>
      </w:r>
    </w:p>
    <w:p w14:paraId="499B4B8D" w14:textId="77777777" w:rsidR="00A173AE" w:rsidRPr="00457FD3" w:rsidRDefault="00A173AE" w:rsidP="00A173AE">
      <w:pPr>
        <w:pStyle w:val="3-BodyText"/>
        <w:numPr>
          <w:ilvl w:val="0"/>
          <w:numId w:val="0"/>
        </w:numPr>
        <w:ind w:left="720"/>
      </w:pPr>
      <w:r w:rsidRPr="00457FD3">
        <w:t>For every 100 patients treated with SG in comparison with TPC over a median duration of follow-up of 17.7 months:</w:t>
      </w:r>
    </w:p>
    <w:p w14:paraId="65AE4A9E" w14:textId="77777777" w:rsidR="00A173AE" w:rsidRPr="00457FD3" w:rsidRDefault="00A173AE" w:rsidP="00A173AE">
      <w:pPr>
        <w:pStyle w:val="ListParagraph"/>
        <w:ind w:left="1134"/>
      </w:pPr>
      <w:r w:rsidRPr="00457FD3">
        <w:t>Approximately 17 additional patients would have a Grade ≥ 3 treatment related adverse event</w:t>
      </w:r>
      <w:r w:rsidR="00475470" w:rsidRPr="00457FD3">
        <w:t>.</w:t>
      </w:r>
    </w:p>
    <w:p w14:paraId="6A718CE7" w14:textId="77777777" w:rsidR="00F52FF5" w:rsidRPr="00457FD3" w:rsidRDefault="00A173AE" w:rsidP="00A173AE">
      <w:pPr>
        <w:pStyle w:val="ListParagraph"/>
        <w:ind w:left="1134"/>
      </w:pPr>
      <w:r w:rsidRPr="00457FD3">
        <w:t>Approximately 7 additional patients would have a treatment related serious adverse event</w:t>
      </w:r>
      <w:r w:rsidR="00475470" w:rsidRPr="00457FD3">
        <w:t>.</w:t>
      </w:r>
    </w:p>
    <w:p w14:paraId="21375D46" w14:textId="77777777" w:rsidR="00F52FF5" w:rsidRPr="00457FD3" w:rsidRDefault="00F52FF5" w:rsidP="00F52FF5">
      <w:pPr>
        <w:pStyle w:val="ListParagraph"/>
        <w:ind w:left="1134"/>
      </w:pPr>
      <w:r w:rsidRPr="00457FD3">
        <w:lastRenderedPageBreak/>
        <w:t>Approximately 3 additional patients would experience febrile neutropenia</w:t>
      </w:r>
      <w:r w:rsidR="00C15E7B" w:rsidRPr="00457FD3">
        <w:t xml:space="preserve"> (serious grade)</w:t>
      </w:r>
      <w:r w:rsidR="00475470" w:rsidRPr="00457FD3">
        <w:t>.</w:t>
      </w:r>
    </w:p>
    <w:p w14:paraId="64021AB9" w14:textId="77777777" w:rsidR="00A173AE" w:rsidRPr="00457FD3" w:rsidRDefault="00F52FF5" w:rsidP="00F52FF5">
      <w:pPr>
        <w:pStyle w:val="ListParagraph"/>
        <w:ind w:left="1134"/>
      </w:pPr>
      <w:r w:rsidRPr="00457FD3">
        <w:t xml:space="preserve">Approximately </w:t>
      </w:r>
      <w:r w:rsidR="00C15E7B" w:rsidRPr="00457FD3">
        <w:t>3</w:t>
      </w:r>
      <w:r w:rsidRPr="00457FD3">
        <w:t xml:space="preserve"> additional patients would </w:t>
      </w:r>
      <w:r w:rsidR="00C15E7B" w:rsidRPr="00457FD3">
        <w:t>experience serious-grade diarrhoea</w:t>
      </w:r>
      <w:r w:rsidR="00A173AE" w:rsidRPr="00457FD3">
        <w:t>.</w:t>
      </w:r>
    </w:p>
    <w:p w14:paraId="3FC8124F" w14:textId="77777777" w:rsidR="00A173AE" w:rsidRPr="00037EC2" w:rsidRDefault="00A173AE" w:rsidP="00A173AE">
      <w:pPr>
        <w:pStyle w:val="4-SubsectionHeading"/>
        <w:rPr>
          <w:iCs/>
        </w:rPr>
      </w:pPr>
      <w:r w:rsidRPr="00037EC2">
        <w:rPr>
          <w:iCs/>
        </w:rPr>
        <w:t>Clinical claim</w:t>
      </w:r>
    </w:p>
    <w:p w14:paraId="79733823" w14:textId="77777777" w:rsidR="00250E91" w:rsidRPr="00457FD3" w:rsidRDefault="00A173AE" w:rsidP="00A173AE">
      <w:pPr>
        <w:pStyle w:val="3-BodyText"/>
      </w:pPr>
      <w:r w:rsidRPr="00457FD3">
        <w:t>The submission described SG as superior to current standard of chemotherapy care (TPC) in terms of effectiveness</w:t>
      </w:r>
      <w:r w:rsidR="000E111E">
        <w:t xml:space="preserve">, and with a </w:t>
      </w:r>
      <w:r w:rsidRPr="00457FD3">
        <w:t>similar but different tolerability profile.</w:t>
      </w:r>
      <w:r w:rsidR="00D30B09" w:rsidRPr="00457FD3">
        <w:t xml:space="preserve"> </w:t>
      </w:r>
    </w:p>
    <w:p w14:paraId="543D95F1" w14:textId="77777777" w:rsidR="00A173AE" w:rsidRPr="00457FD3" w:rsidRDefault="000E6961" w:rsidP="009614C6">
      <w:pPr>
        <w:pStyle w:val="3-BodyText"/>
      </w:pPr>
      <w:r w:rsidRPr="00457FD3">
        <w:t xml:space="preserve">The ESC considered that </w:t>
      </w:r>
      <w:r w:rsidR="00250E91" w:rsidRPr="00457FD3">
        <w:t>the clinical data support</w:t>
      </w:r>
      <w:r w:rsidR="00C15E7B" w:rsidRPr="00457FD3">
        <w:t>ed</w:t>
      </w:r>
      <w:r w:rsidR="00250E91" w:rsidRPr="00457FD3">
        <w:t xml:space="preserve"> the claim </w:t>
      </w:r>
      <w:r w:rsidR="007C30B0" w:rsidRPr="00457FD3">
        <w:t>of superior</w:t>
      </w:r>
      <w:r w:rsidR="00250E91" w:rsidRPr="00457FD3">
        <w:t xml:space="preserve"> efficacy. </w:t>
      </w:r>
      <w:r w:rsidR="00A173AE" w:rsidRPr="00457FD3">
        <w:t>However, the evidence was subject to the following limitations:</w:t>
      </w:r>
    </w:p>
    <w:p w14:paraId="59AE28DF" w14:textId="77777777" w:rsidR="00A173AE" w:rsidRPr="00457FD3" w:rsidRDefault="00DC0094" w:rsidP="00037EC2">
      <w:pPr>
        <w:pStyle w:val="3-BodyText"/>
        <w:numPr>
          <w:ilvl w:val="0"/>
          <w:numId w:val="9"/>
        </w:numPr>
        <w:ind w:left="1077" w:hanging="357"/>
      </w:pPr>
      <w:r w:rsidRPr="00457FD3">
        <w:t>B</w:t>
      </w:r>
      <w:r w:rsidR="00FF54C5" w:rsidRPr="00457FD3">
        <w:t>oth the primary analysis and a sensitivity analysis investigating the impact of censoring</w:t>
      </w:r>
      <w:r w:rsidR="00475470" w:rsidRPr="00457FD3">
        <w:t xml:space="preserve"> consistently</w:t>
      </w:r>
      <w:r w:rsidR="00FF54C5" w:rsidRPr="00457FD3">
        <w:t xml:space="preserve"> showed that SG was statistically significantly superior to TPC in terms of PFS</w:t>
      </w:r>
      <w:r w:rsidRPr="00457FD3">
        <w:t>. However</w:t>
      </w:r>
      <w:r w:rsidR="00FF54C5" w:rsidRPr="00457FD3">
        <w:t xml:space="preserve">, the ESC considered that the magnitude of improvement in PFS may be overestimated due </w:t>
      </w:r>
      <w:r w:rsidRPr="00457FD3">
        <w:t>the extensive censoring of patients in the TPC arm in the primary analysis, mostly for reasons other than continuing on treatment with no progression event</w:t>
      </w:r>
      <w:r w:rsidR="00FF54C5" w:rsidRPr="00457FD3">
        <w:t>;</w:t>
      </w:r>
      <w:r w:rsidR="00C33354" w:rsidRPr="00457FD3">
        <w:t xml:space="preserve"> </w:t>
      </w:r>
    </w:p>
    <w:p w14:paraId="0962E98D" w14:textId="77777777" w:rsidR="0045267D" w:rsidRPr="00457FD3" w:rsidRDefault="00C33354" w:rsidP="00037EC2">
      <w:pPr>
        <w:pStyle w:val="3-BodyText"/>
        <w:numPr>
          <w:ilvl w:val="0"/>
          <w:numId w:val="9"/>
        </w:numPr>
        <w:ind w:left="1077" w:hanging="357"/>
      </w:pPr>
      <w:r w:rsidRPr="00457FD3">
        <w:t xml:space="preserve">The ESC considered that the QoL data collected in the key trial were not consistent with the comparative safety profiles of SG and TPC. While the ESC agreed with the PSCR that QoL encompasses many factors in addition to AEs, the ESC noted that the </w:t>
      </w:r>
      <w:r w:rsidR="00CC6C41">
        <w:t xml:space="preserve">QoL </w:t>
      </w:r>
      <w:r w:rsidRPr="00457FD3">
        <w:t xml:space="preserve">data were </w:t>
      </w:r>
      <w:r w:rsidR="00CC6C41">
        <w:t xml:space="preserve">assessed at specific points in time </w:t>
      </w:r>
      <w:r w:rsidR="00CC6C41" w:rsidRPr="003D0C29">
        <w:t>and was dependent on the timing of th</w:t>
      </w:r>
      <w:r w:rsidR="00CC6C41">
        <w:t>e AE</w:t>
      </w:r>
      <w:r w:rsidR="00CC6C41" w:rsidRPr="003D0C29">
        <w:t xml:space="preserve"> relative to questionnaire</w:t>
      </w:r>
      <w:r w:rsidRPr="00457FD3">
        <w:t>.</w:t>
      </w:r>
      <w:r w:rsidR="00FF54C5" w:rsidRPr="00457FD3">
        <w:t xml:space="preserve"> Further, the ESC considered that the </w:t>
      </w:r>
      <w:r w:rsidRPr="00457FD3">
        <w:t>QoL data were subject to a risk of performance bias given the open-label trial design</w:t>
      </w:r>
      <w:r w:rsidR="0045267D" w:rsidRPr="00457FD3">
        <w:t>; and</w:t>
      </w:r>
    </w:p>
    <w:p w14:paraId="32A68756" w14:textId="77777777" w:rsidR="0045267D" w:rsidRPr="00457FD3" w:rsidRDefault="0045267D" w:rsidP="00037EC2">
      <w:pPr>
        <w:pStyle w:val="3-BodyText"/>
        <w:numPr>
          <w:ilvl w:val="0"/>
          <w:numId w:val="9"/>
        </w:numPr>
        <w:ind w:left="1077" w:hanging="357"/>
      </w:pPr>
      <w:r w:rsidRPr="00457FD3">
        <w:t>There was no evidence of any incremental benefit in terms of OS in patients with brain metastases (HR 0.95; 95% CI: 0.52, 1.72), although noting that this was an exploratory subgroup analysis with a small sample size (n=61). The ESC noted that data informing efficacy and safety in patients with brain metastases is expected in February 2025</w:t>
      </w:r>
      <w:r w:rsidR="00295DAC" w:rsidRPr="00457FD3">
        <w:t>.</w:t>
      </w:r>
    </w:p>
    <w:p w14:paraId="39A2C22A" w14:textId="77777777" w:rsidR="006730EA" w:rsidRPr="00B8704C" w:rsidRDefault="006730EA" w:rsidP="006730EA">
      <w:pPr>
        <w:widowControl w:val="0"/>
        <w:numPr>
          <w:ilvl w:val="1"/>
          <w:numId w:val="1"/>
        </w:numPr>
        <w:spacing w:after="120"/>
        <w:rPr>
          <w:rFonts w:asciiTheme="minorHAnsi" w:hAnsiTheme="minorHAnsi"/>
          <w:snapToGrid w:val="0"/>
          <w:szCs w:val="20"/>
        </w:rPr>
      </w:pPr>
      <w:bookmarkStart w:id="3" w:name="_Hlk76376200"/>
      <w:r w:rsidRPr="00A62726">
        <w:rPr>
          <w:rFonts w:asciiTheme="minorHAnsi" w:hAnsiTheme="minorHAnsi"/>
          <w:iCs/>
          <w:snapToGrid w:val="0"/>
        </w:rPr>
        <w:t>The</w:t>
      </w:r>
      <w:r w:rsidRPr="00A62726">
        <w:rPr>
          <w:rFonts w:asciiTheme="minorHAnsi" w:hAnsiTheme="minorHAnsi"/>
          <w:snapToGrid w:val="0"/>
          <w:szCs w:val="20"/>
        </w:rPr>
        <w:t xml:space="preserve"> </w:t>
      </w:r>
      <w:r w:rsidRPr="00B8704C">
        <w:rPr>
          <w:rFonts w:asciiTheme="minorHAnsi" w:hAnsiTheme="minorHAnsi"/>
          <w:snapToGrid w:val="0"/>
          <w:szCs w:val="20"/>
        </w:rPr>
        <w:t>PBAC considered that the claim of superior comparative effectiveness was reasonable</w:t>
      </w:r>
      <w:r w:rsidR="00A62726" w:rsidRPr="00B8704C">
        <w:rPr>
          <w:rFonts w:asciiTheme="minorHAnsi" w:hAnsiTheme="minorHAnsi"/>
          <w:snapToGrid w:val="0"/>
          <w:szCs w:val="20"/>
        </w:rPr>
        <w:t xml:space="preserve"> in terms of OS</w:t>
      </w:r>
      <w:r w:rsidRPr="00B8704C">
        <w:rPr>
          <w:rFonts w:asciiTheme="minorHAnsi" w:hAnsiTheme="minorHAnsi"/>
          <w:snapToGrid w:val="0"/>
          <w:szCs w:val="20"/>
        </w:rPr>
        <w:t>.</w:t>
      </w:r>
    </w:p>
    <w:p w14:paraId="33FF8985" w14:textId="77777777" w:rsidR="006730EA" w:rsidRPr="00B8704C" w:rsidRDefault="006730EA" w:rsidP="00B8704C">
      <w:pPr>
        <w:pStyle w:val="3-BodyText"/>
        <w:rPr>
          <w:szCs w:val="20"/>
        </w:rPr>
      </w:pPr>
      <w:r w:rsidRPr="00B8704C">
        <w:rPr>
          <w:szCs w:val="20"/>
        </w:rPr>
        <w:t xml:space="preserve">The PBAC considered that </w:t>
      </w:r>
      <w:r w:rsidR="00B8704C" w:rsidRPr="00B8704C">
        <w:rPr>
          <w:szCs w:val="20"/>
        </w:rPr>
        <w:t xml:space="preserve">the submission’s claim that SG has a similar but different </w:t>
      </w:r>
      <w:r w:rsidR="00B8704C">
        <w:rPr>
          <w:szCs w:val="20"/>
        </w:rPr>
        <w:t>safety</w:t>
      </w:r>
      <w:r w:rsidR="00B8704C" w:rsidRPr="00B8704C">
        <w:rPr>
          <w:szCs w:val="20"/>
        </w:rPr>
        <w:t xml:space="preserve"> profile compared with TPC was not adequately supported by the evidence</w:t>
      </w:r>
      <w:r w:rsidR="00B8704C" w:rsidRPr="00B8704C">
        <w:t xml:space="preserve"> </w:t>
      </w:r>
      <w:r w:rsidR="00B8704C" w:rsidRPr="00457FD3">
        <w:t xml:space="preserve">given SG was </w:t>
      </w:r>
      <w:r w:rsidR="00B8704C" w:rsidRPr="00457FD3">
        <w:rPr>
          <w:rFonts w:eastAsia="Calibri"/>
        </w:rPr>
        <w:t>associated with a higher incidence of Grade 3 or higher treatment-related AEs</w:t>
      </w:r>
      <w:r w:rsidR="00B8704C" w:rsidRPr="00B8704C">
        <w:rPr>
          <w:szCs w:val="20"/>
        </w:rPr>
        <w:t xml:space="preserve">. Overall, the PBAC </w:t>
      </w:r>
      <w:r w:rsidR="00B8704C" w:rsidRPr="00B8704C">
        <w:rPr>
          <w:snapToGrid/>
        </w:rPr>
        <w:t>considere</w:t>
      </w:r>
      <w:r w:rsidR="00AB778B">
        <w:rPr>
          <w:snapToGrid/>
        </w:rPr>
        <w:t>d that SG is inferior compared with</w:t>
      </w:r>
      <w:r w:rsidR="00B8704C" w:rsidRPr="00B8704C">
        <w:rPr>
          <w:snapToGrid/>
        </w:rPr>
        <w:t xml:space="preserve"> TPC in terms of safety.</w:t>
      </w:r>
      <w:r w:rsidR="00B8704C" w:rsidRPr="00B8704C">
        <w:rPr>
          <w:szCs w:val="20"/>
        </w:rPr>
        <w:t xml:space="preserve"> </w:t>
      </w:r>
    </w:p>
    <w:bookmarkEnd w:id="3"/>
    <w:p w14:paraId="6D4B78FF" w14:textId="77777777" w:rsidR="00EF4108" w:rsidRDefault="00EF4108" w:rsidP="00EF4108">
      <w:pPr>
        <w:rPr>
          <w:b/>
        </w:rPr>
      </w:pPr>
    </w:p>
    <w:p w14:paraId="036DCBFF" w14:textId="77777777" w:rsidR="00A173AE" w:rsidRPr="00037EC2" w:rsidRDefault="00A173AE" w:rsidP="00A173AE">
      <w:pPr>
        <w:pStyle w:val="4-SubsectionHeading"/>
        <w:rPr>
          <w:iCs/>
        </w:rPr>
      </w:pPr>
      <w:r w:rsidRPr="00037EC2">
        <w:rPr>
          <w:iCs/>
        </w:rPr>
        <w:lastRenderedPageBreak/>
        <w:t xml:space="preserve">Economic analysis </w:t>
      </w:r>
    </w:p>
    <w:p w14:paraId="2637A4C5" w14:textId="77777777" w:rsidR="00A173AE" w:rsidRPr="00457FD3" w:rsidRDefault="00A173AE" w:rsidP="00A173AE">
      <w:pPr>
        <w:pStyle w:val="3-BodyText"/>
        <w:rPr>
          <w:lang w:val="en-US"/>
        </w:rPr>
      </w:pPr>
      <w:r w:rsidRPr="00457FD3">
        <w:t>The submission presented a stepped economic evaluation based on the direct randomised trial (ASCENT). The type of economic evaluation presented was a cost-utility analysis. The key components of the economic evaluation are presented below.</w:t>
      </w:r>
    </w:p>
    <w:p w14:paraId="3FB8D6B5" w14:textId="77777777" w:rsidR="00A173AE" w:rsidRPr="00457FD3" w:rsidRDefault="00A173AE" w:rsidP="00A173AE">
      <w:pPr>
        <w:pStyle w:val="TableFigureHeading"/>
        <w:rPr>
          <w:rStyle w:val="CommentReference"/>
          <w:b/>
          <w:szCs w:val="24"/>
        </w:rPr>
      </w:pPr>
      <w:r w:rsidRPr="00457FD3">
        <w:t xml:space="preserve">Table </w:t>
      </w:r>
      <w:r w:rsidR="002367C0">
        <w:t>9</w:t>
      </w:r>
      <w:r w:rsidRPr="00457FD3">
        <w:t xml:space="preserve">: </w:t>
      </w:r>
      <w:r w:rsidRPr="00457FD3">
        <w:rPr>
          <w:rStyle w:val="CommentReference"/>
          <w:b/>
          <w:szCs w:val="24"/>
        </w:rPr>
        <w:t>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A173AE" w:rsidRPr="00457FD3" w14:paraId="227F3EF9" w14:textId="77777777" w:rsidTr="00207EE8">
        <w:trPr>
          <w:tblHeader/>
        </w:trPr>
        <w:tc>
          <w:tcPr>
            <w:tcW w:w="1396" w:type="pct"/>
            <w:shd w:val="clear" w:color="auto" w:fill="auto"/>
            <w:vAlign w:val="center"/>
          </w:tcPr>
          <w:p w14:paraId="3111BFFC" w14:textId="77777777" w:rsidR="00A173AE" w:rsidRPr="00457FD3" w:rsidRDefault="00A173AE" w:rsidP="00207EE8">
            <w:pPr>
              <w:pStyle w:val="In-tableHeading"/>
            </w:pPr>
            <w:r w:rsidRPr="00457FD3">
              <w:t>Component</w:t>
            </w:r>
          </w:p>
        </w:tc>
        <w:tc>
          <w:tcPr>
            <w:tcW w:w="3604" w:type="pct"/>
            <w:shd w:val="clear" w:color="auto" w:fill="auto"/>
            <w:vAlign w:val="center"/>
          </w:tcPr>
          <w:p w14:paraId="10FF0569" w14:textId="77777777" w:rsidR="00A173AE" w:rsidRPr="00457FD3" w:rsidRDefault="00A173AE" w:rsidP="00207EE8">
            <w:pPr>
              <w:pStyle w:val="In-tableHeading"/>
            </w:pPr>
            <w:r w:rsidRPr="00457FD3">
              <w:t>Summary</w:t>
            </w:r>
          </w:p>
        </w:tc>
      </w:tr>
      <w:tr w:rsidR="00A173AE" w:rsidRPr="00457FD3" w14:paraId="5BA3D23E" w14:textId="77777777" w:rsidTr="00207EE8">
        <w:tc>
          <w:tcPr>
            <w:tcW w:w="1396" w:type="pct"/>
            <w:shd w:val="clear" w:color="auto" w:fill="auto"/>
            <w:vAlign w:val="center"/>
          </w:tcPr>
          <w:p w14:paraId="069FA848" w14:textId="77777777" w:rsidR="00A173AE" w:rsidRPr="00457FD3" w:rsidRDefault="00A173AE" w:rsidP="00207EE8">
            <w:pPr>
              <w:pStyle w:val="TableText0"/>
            </w:pPr>
            <w:r w:rsidRPr="00457FD3">
              <w:t>Treatments</w:t>
            </w:r>
          </w:p>
        </w:tc>
        <w:tc>
          <w:tcPr>
            <w:tcW w:w="3604" w:type="pct"/>
            <w:shd w:val="clear" w:color="auto" w:fill="auto"/>
            <w:vAlign w:val="center"/>
          </w:tcPr>
          <w:p w14:paraId="3607931F" w14:textId="77777777" w:rsidR="00A173AE" w:rsidRPr="00457FD3" w:rsidRDefault="00A173AE" w:rsidP="00207EE8">
            <w:pPr>
              <w:pStyle w:val="TableText0"/>
            </w:pPr>
            <w:r w:rsidRPr="00457FD3">
              <w:t>SG vs TPC</w:t>
            </w:r>
          </w:p>
        </w:tc>
      </w:tr>
      <w:tr w:rsidR="00A173AE" w:rsidRPr="00457FD3" w14:paraId="21940461" w14:textId="77777777" w:rsidTr="00207EE8">
        <w:tc>
          <w:tcPr>
            <w:tcW w:w="1396" w:type="pct"/>
            <w:shd w:val="clear" w:color="auto" w:fill="auto"/>
            <w:vAlign w:val="center"/>
          </w:tcPr>
          <w:p w14:paraId="36C58764" w14:textId="77777777" w:rsidR="00A173AE" w:rsidRPr="00457FD3" w:rsidRDefault="00A173AE" w:rsidP="00207EE8">
            <w:pPr>
              <w:pStyle w:val="TableText0"/>
            </w:pPr>
            <w:r w:rsidRPr="00457FD3">
              <w:t>Time horizon</w:t>
            </w:r>
          </w:p>
        </w:tc>
        <w:tc>
          <w:tcPr>
            <w:tcW w:w="3604" w:type="pct"/>
            <w:shd w:val="clear" w:color="auto" w:fill="auto"/>
            <w:vAlign w:val="center"/>
          </w:tcPr>
          <w:p w14:paraId="52E7CC43" w14:textId="77777777" w:rsidR="00A173AE" w:rsidRPr="00457FD3" w:rsidRDefault="00A173AE" w:rsidP="00207EE8">
            <w:pPr>
              <w:pStyle w:val="TableText0"/>
            </w:pPr>
            <w:r w:rsidRPr="00457FD3">
              <w:t>10 years in the model base case versus median follow-up of 17.7 months in the trial.</w:t>
            </w:r>
          </w:p>
        </w:tc>
      </w:tr>
      <w:tr w:rsidR="00A173AE" w:rsidRPr="00457FD3" w14:paraId="24D0B7DB" w14:textId="77777777" w:rsidTr="00207EE8">
        <w:tc>
          <w:tcPr>
            <w:tcW w:w="1396" w:type="pct"/>
            <w:shd w:val="clear" w:color="auto" w:fill="auto"/>
            <w:vAlign w:val="center"/>
          </w:tcPr>
          <w:p w14:paraId="4678AF24" w14:textId="77777777" w:rsidR="00A173AE" w:rsidRPr="00457FD3" w:rsidRDefault="00A173AE" w:rsidP="00207EE8">
            <w:pPr>
              <w:pStyle w:val="TableText0"/>
            </w:pPr>
            <w:r w:rsidRPr="00457FD3">
              <w:t>Outcomes</w:t>
            </w:r>
          </w:p>
        </w:tc>
        <w:tc>
          <w:tcPr>
            <w:tcW w:w="3604" w:type="pct"/>
            <w:shd w:val="clear" w:color="auto" w:fill="auto"/>
            <w:vAlign w:val="center"/>
          </w:tcPr>
          <w:p w14:paraId="1EE3D0DF" w14:textId="77777777" w:rsidR="00A173AE" w:rsidRPr="00457FD3" w:rsidRDefault="00A173AE" w:rsidP="00207EE8">
            <w:pPr>
              <w:pStyle w:val="TableText0"/>
            </w:pPr>
            <w:r w:rsidRPr="00457FD3">
              <w:t>Life years gained and quality adjusted life years</w:t>
            </w:r>
          </w:p>
        </w:tc>
      </w:tr>
      <w:tr w:rsidR="00A173AE" w:rsidRPr="00457FD3" w14:paraId="5FDC7589" w14:textId="77777777" w:rsidTr="00207EE8">
        <w:tc>
          <w:tcPr>
            <w:tcW w:w="1396" w:type="pct"/>
            <w:shd w:val="clear" w:color="auto" w:fill="auto"/>
            <w:vAlign w:val="center"/>
          </w:tcPr>
          <w:p w14:paraId="762A12EA" w14:textId="77777777" w:rsidR="00A173AE" w:rsidRPr="00457FD3" w:rsidRDefault="00A173AE" w:rsidP="00207EE8">
            <w:pPr>
              <w:pStyle w:val="TableText0"/>
            </w:pPr>
            <w:r w:rsidRPr="00457FD3">
              <w:t>Methods used to generate results</w:t>
            </w:r>
          </w:p>
        </w:tc>
        <w:tc>
          <w:tcPr>
            <w:tcW w:w="3604" w:type="pct"/>
            <w:shd w:val="clear" w:color="auto" w:fill="auto"/>
            <w:vAlign w:val="center"/>
          </w:tcPr>
          <w:p w14:paraId="47248A5A" w14:textId="77777777" w:rsidR="00A173AE" w:rsidRPr="00457FD3" w:rsidRDefault="00A173AE" w:rsidP="00207EE8">
            <w:pPr>
              <w:pStyle w:val="TableText0"/>
            </w:pPr>
            <w:r w:rsidRPr="00457FD3">
              <w:t>Partitioned survival model (i.e. area under the curve)</w:t>
            </w:r>
          </w:p>
        </w:tc>
      </w:tr>
      <w:tr w:rsidR="00A173AE" w:rsidRPr="00457FD3" w14:paraId="34A5162B" w14:textId="77777777" w:rsidTr="00207EE8">
        <w:tc>
          <w:tcPr>
            <w:tcW w:w="1396" w:type="pct"/>
            <w:shd w:val="clear" w:color="auto" w:fill="auto"/>
            <w:vAlign w:val="center"/>
          </w:tcPr>
          <w:p w14:paraId="2795F69E" w14:textId="77777777" w:rsidR="00A173AE" w:rsidRPr="00457FD3" w:rsidRDefault="00A173AE" w:rsidP="00207EE8">
            <w:pPr>
              <w:pStyle w:val="TableText0"/>
            </w:pPr>
            <w:r w:rsidRPr="00457FD3">
              <w:t>Health states</w:t>
            </w:r>
          </w:p>
        </w:tc>
        <w:tc>
          <w:tcPr>
            <w:tcW w:w="3604" w:type="pct"/>
            <w:shd w:val="clear" w:color="auto" w:fill="auto"/>
            <w:vAlign w:val="center"/>
          </w:tcPr>
          <w:p w14:paraId="3F22C9D0" w14:textId="77777777" w:rsidR="00A173AE" w:rsidRPr="00457FD3" w:rsidRDefault="00A173AE" w:rsidP="00207EE8">
            <w:pPr>
              <w:pStyle w:val="TableText0"/>
            </w:pPr>
            <w:r w:rsidRPr="00457FD3">
              <w:t>Three health states: progression free (PF) disease, progressed disease (PD), and dead</w:t>
            </w:r>
          </w:p>
        </w:tc>
      </w:tr>
      <w:tr w:rsidR="00A173AE" w:rsidRPr="00457FD3" w14:paraId="3A391772" w14:textId="77777777" w:rsidTr="00207EE8">
        <w:tc>
          <w:tcPr>
            <w:tcW w:w="1396" w:type="pct"/>
            <w:shd w:val="clear" w:color="auto" w:fill="auto"/>
            <w:vAlign w:val="center"/>
          </w:tcPr>
          <w:p w14:paraId="3C502EC9" w14:textId="77777777" w:rsidR="00A173AE" w:rsidRPr="00457FD3" w:rsidRDefault="00A173AE" w:rsidP="00207EE8">
            <w:pPr>
              <w:pStyle w:val="TableText0"/>
            </w:pPr>
            <w:r w:rsidRPr="00457FD3">
              <w:t>Cycle length</w:t>
            </w:r>
          </w:p>
        </w:tc>
        <w:tc>
          <w:tcPr>
            <w:tcW w:w="3604" w:type="pct"/>
            <w:shd w:val="clear" w:color="auto" w:fill="auto"/>
            <w:vAlign w:val="center"/>
          </w:tcPr>
          <w:p w14:paraId="6B1FB394" w14:textId="77777777" w:rsidR="00A173AE" w:rsidRPr="00457FD3" w:rsidRDefault="00A173AE" w:rsidP="00207EE8">
            <w:pPr>
              <w:pStyle w:val="TableText0"/>
            </w:pPr>
            <w:r w:rsidRPr="00457FD3">
              <w:t>One week</w:t>
            </w:r>
          </w:p>
        </w:tc>
      </w:tr>
      <w:tr w:rsidR="00A173AE" w:rsidRPr="00457FD3" w14:paraId="15A52C58" w14:textId="77777777" w:rsidTr="00207EE8">
        <w:tc>
          <w:tcPr>
            <w:tcW w:w="1396" w:type="pct"/>
            <w:shd w:val="clear" w:color="auto" w:fill="auto"/>
            <w:vAlign w:val="center"/>
          </w:tcPr>
          <w:p w14:paraId="3B4552CC" w14:textId="77777777" w:rsidR="00A173AE" w:rsidRPr="00457FD3" w:rsidRDefault="00A173AE" w:rsidP="00207EE8">
            <w:pPr>
              <w:pStyle w:val="TableText0"/>
            </w:pPr>
            <w:r w:rsidRPr="00457FD3">
              <w:t xml:space="preserve">Allocation to health states </w:t>
            </w:r>
          </w:p>
        </w:tc>
        <w:tc>
          <w:tcPr>
            <w:tcW w:w="3604" w:type="pct"/>
            <w:shd w:val="clear" w:color="auto" w:fill="auto"/>
            <w:vAlign w:val="center"/>
          </w:tcPr>
          <w:p w14:paraId="6D86228A" w14:textId="77777777" w:rsidR="00A173AE" w:rsidRPr="00457FD3" w:rsidRDefault="00A173AE" w:rsidP="00207EE8">
            <w:pPr>
              <w:pStyle w:val="TableText0"/>
            </w:pPr>
            <w:r w:rsidRPr="00457FD3">
              <w:t xml:space="preserve">Disease progression via PFS data from ASCENT </w:t>
            </w:r>
          </w:p>
          <w:p w14:paraId="4DE7FE72" w14:textId="77777777" w:rsidR="00A173AE" w:rsidRPr="00457FD3" w:rsidRDefault="00A173AE" w:rsidP="00207EE8">
            <w:pPr>
              <w:pStyle w:val="TableText0"/>
            </w:pPr>
            <w:r w:rsidRPr="00457FD3">
              <w:t>Mortality via OS data from ASCENT and all-cause mortality data.</w:t>
            </w:r>
          </w:p>
          <w:p w14:paraId="58192E0F" w14:textId="77777777" w:rsidR="00A173AE" w:rsidRPr="00457FD3" w:rsidRDefault="00A173AE" w:rsidP="00207EE8">
            <w:pPr>
              <w:pStyle w:val="TableText0"/>
            </w:pPr>
            <w:r w:rsidRPr="00457FD3">
              <w:t>Kaplan-Meier data for both PFS and OS from ASCENT were applied for the full duration of follow-up in the trial:</w:t>
            </w:r>
          </w:p>
          <w:p w14:paraId="5908DCB3" w14:textId="77777777" w:rsidR="00A173AE" w:rsidRPr="00457FD3" w:rsidRDefault="00A173AE" w:rsidP="00243D12">
            <w:pPr>
              <w:pStyle w:val="TableText0"/>
              <w:numPr>
                <w:ilvl w:val="0"/>
                <w:numId w:val="8"/>
              </w:numPr>
            </w:pPr>
            <w:r w:rsidRPr="00457FD3">
              <w:t>SG KM data:  PFS to 21.4 months, OS to 23.8 months</w:t>
            </w:r>
          </w:p>
          <w:p w14:paraId="4407A468" w14:textId="77777777" w:rsidR="00A173AE" w:rsidRPr="00457FD3" w:rsidRDefault="00A173AE" w:rsidP="00243D12">
            <w:pPr>
              <w:pStyle w:val="TableText0"/>
              <w:numPr>
                <w:ilvl w:val="0"/>
                <w:numId w:val="8"/>
              </w:numPr>
            </w:pPr>
            <w:r w:rsidRPr="00457FD3">
              <w:t>TPC KM data: PFS to 15.1 months, OS to 24.2 months.</w:t>
            </w:r>
          </w:p>
          <w:p w14:paraId="743AFA67" w14:textId="77777777" w:rsidR="00A173AE" w:rsidRPr="00457FD3" w:rsidRDefault="00A173AE" w:rsidP="00207EE8">
            <w:pPr>
              <w:pStyle w:val="TableText0"/>
            </w:pPr>
            <w:r w:rsidRPr="00457FD3">
              <w:t>Parametric extrapolation of PFS and OS survival curves were subsequently applied to 10 years.</w:t>
            </w:r>
            <w:r w:rsidRPr="00457FD3">
              <w:rPr>
                <w:vertAlign w:val="superscript"/>
              </w:rPr>
              <w:t>a</w:t>
            </w:r>
            <w:r w:rsidRPr="00457FD3">
              <w:t xml:space="preserve"> Due to the extensive</w:t>
            </w:r>
            <w:r w:rsidR="00623FA2" w:rsidRPr="00457FD3">
              <w:t xml:space="preserve"> and differential rates of</w:t>
            </w:r>
            <w:r w:rsidRPr="00457FD3">
              <w:t xml:space="preserve"> </w:t>
            </w:r>
            <w:r w:rsidR="00623FA2" w:rsidRPr="00457FD3">
              <w:t xml:space="preserve">potentially informative </w:t>
            </w:r>
            <w:r w:rsidRPr="00457FD3">
              <w:t>censoring of patients in the primary analysis of PFS in ASCENT, the magnitude of the incremental benefit in terms of PFS may be overestimated.</w:t>
            </w:r>
          </w:p>
        </w:tc>
      </w:tr>
      <w:tr w:rsidR="00A173AE" w:rsidRPr="00457FD3" w14:paraId="1DDC5839" w14:textId="77777777" w:rsidTr="00207EE8">
        <w:tc>
          <w:tcPr>
            <w:tcW w:w="1396" w:type="pct"/>
            <w:shd w:val="clear" w:color="auto" w:fill="auto"/>
            <w:vAlign w:val="center"/>
          </w:tcPr>
          <w:p w14:paraId="7CA2E73C" w14:textId="77777777" w:rsidR="00A173AE" w:rsidRPr="00457FD3" w:rsidRDefault="00A173AE" w:rsidP="00207EE8">
            <w:pPr>
              <w:pStyle w:val="TableText0"/>
            </w:pPr>
            <w:r w:rsidRPr="00457FD3">
              <w:t>Extrapolation method</w:t>
            </w:r>
          </w:p>
        </w:tc>
        <w:tc>
          <w:tcPr>
            <w:tcW w:w="3604" w:type="pct"/>
            <w:shd w:val="clear" w:color="auto" w:fill="auto"/>
            <w:vAlign w:val="center"/>
          </w:tcPr>
          <w:p w14:paraId="108DDCA4" w14:textId="77777777" w:rsidR="00A173AE" w:rsidRPr="00457FD3" w:rsidRDefault="00A173AE" w:rsidP="00207EE8">
            <w:pPr>
              <w:pStyle w:val="TableText0"/>
            </w:pPr>
            <w:r w:rsidRPr="00457FD3">
              <w:t>Parametric model fitted to each treatment arm with log-logistic distribution selected in the base case for OS in both arms, log-normal distribution for PFS in SG arm and log</w:t>
            </w:r>
            <w:r w:rsidRPr="00457FD3">
              <w:noBreakHyphen/>
              <w:t>logistic for PFS in TPC arm, based on goodness of fit statistics and visual inspection.</w:t>
            </w:r>
          </w:p>
          <w:p w14:paraId="2D562C29" w14:textId="77777777" w:rsidR="00A173AE" w:rsidRPr="00457FD3" w:rsidRDefault="00A173AE" w:rsidP="00207EE8">
            <w:pPr>
              <w:pStyle w:val="TableText0"/>
            </w:pPr>
            <w:r w:rsidRPr="00457FD3">
              <w:t>The model was sensitive to the parametric distribution used for OS extrapolation and the submission did not adequately justify the selection of log-logistic distribution.</w:t>
            </w:r>
          </w:p>
          <w:p w14:paraId="5DE8FDA7" w14:textId="77777777" w:rsidR="00A173AE" w:rsidRPr="00457FD3" w:rsidRDefault="00A173AE" w:rsidP="00207EE8">
            <w:pPr>
              <w:pStyle w:val="TableText0"/>
            </w:pPr>
            <w:r w:rsidRPr="00457FD3">
              <w:t>Approximately 40% of the undiscounted incremental life-years (LYs) gained in the base case analysis accrued over the extrapolated period.</w:t>
            </w:r>
          </w:p>
          <w:p w14:paraId="4E57EAED" w14:textId="77777777" w:rsidR="00A173AE" w:rsidRPr="00457FD3" w:rsidRDefault="00A173AE" w:rsidP="00207EE8">
            <w:pPr>
              <w:pStyle w:val="TableText0"/>
            </w:pPr>
            <w:r w:rsidRPr="00457FD3">
              <w:t>The mean undiscounted incremental LYs gained over the duration of follow-up in the trial was approximately 0.36 LYs, compared with an undiscounted incremental gain of 0.59 LYs over the 10 year time horizon of the model.</w:t>
            </w:r>
          </w:p>
        </w:tc>
      </w:tr>
      <w:tr w:rsidR="00A173AE" w:rsidRPr="00457FD3" w14:paraId="36A216DA" w14:textId="77777777" w:rsidTr="00207EE8">
        <w:tc>
          <w:tcPr>
            <w:tcW w:w="1396" w:type="pct"/>
            <w:shd w:val="clear" w:color="auto" w:fill="auto"/>
            <w:vAlign w:val="center"/>
          </w:tcPr>
          <w:p w14:paraId="2931392E" w14:textId="77777777" w:rsidR="00A173AE" w:rsidRPr="00457FD3" w:rsidRDefault="00A173AE" w:rsidP="00207EE8">
            <w:pPr>
              <w:pStyle w:val="TableText0"/>
            </w:pPr>
            <w:r w:rsidRPr="00457FD3">
              <w:t>Health related quality of life</w:t>
            </w:r>
          </w:p>
        </w:tc>
        <w:tc>
          <w:tcPr>
            <w:tcW w:w="3604" w:type="pct"/>
            <w:shd w:val="clear" w:color="auto" w:fill="auto"/>
            <w:vAlign w:val="center"/>
          </w:tcPr>
          <w:p w14:paraId="606B7592" w14:textId="77777777" w:rsidR="00A173AE" w:rsidRPr="00457FD3" w:rsidRDefault="00A173AE" w:rsidP="00207EE8">
            <w:pPr>
              <w:pStyle w:val="TableText0"/>
            </w:pPr>
            <w:r w:rsidRPr="00457FD3">
              <w:t>Trial based</w:t>
            </w:r>
          </w:p>
          <w:p w14:paraId="158A5668" w14:textId="77777777" w:rsidR="00A173AE" w:rsidRPr="00457FD3" w:rsidRDefault="00A173AE" w:rsidP="00207EE8">
            <w:pPr>
              <w:pStyle w:val="TableText0"/>
            </w:pPr>
            <w:r w:rsidRPr="00457FD3">
              <w:t>Progression free: SG 0.710, TPC 0.626</w:t>
            </w:r>
            <w:r w:rsidR="00063771">
              <w:t xml:space="preserve">. Updated in pre-PBAC response: SG </w:t>
            </w:r>
            <w:r w:rsidR="00063771" w:rsidRPr="00FB3C76">
              <w:t>0.746</w:t>
            </w:r>
            <w:r w:rsidR="00063771">
              <w:t>;</w:t>
            </w:r>
            <w:r w:rsidR="00063771" w:rsidRPr="00FB3C76">
              <w:t xml:space="preserve"> </w:t>
            </w:r>
            <w:r w:rsidR="00063771">
              <w:t>TPC 0</w:t>
            </w:r>
            <w:r w:rsidR="00063771" w:rsidRPr="00FB3C76">
              <w:t>.662</w:t>
            </w:r>
            <w:r w:rsidR="00063771">
              <w:t>.</w:t>
            </w:r>
            <w:r w:rsidR="00063771" w:rsidRPr="00FB3C76">
              <w:t xml:space="preserve"> </w:t>
            </w:r>
          </w:p>
          <w:p w14:paraId="77218AA0" w14:textId="77777777" w:rsidR="00A173AE" w:rsidRPr="00457FD3" w:rsidRDefault="00A173AE" w:rsidP="00207EE8">
            <w:pPr>
              <w:pStyle w:val="TableText0"/>
            </w:pPr>
            <w:r w:rsidRPr="00457FD3">
              <w:t>Progressed disease: 0.619</w:t>
            </w:r>
            <w:r w:rsidR="00063771">
              <w:t>. Updated in pre-PBAC response: 0.654</w:t>
            </w:r>
          </w:p>
          <w:p w14:paraId="5CD01AD4" w14:textId="77777777" w:rsidR="00A173AE" w:rsidRPr="00457FD3" w:rsidRDefault="00A173AE" w:rsidP="00207EE8">
            <w:pPr>
              <w:pStyle w:val="TableText0"/>
            </w:pPr>
            <w:r w:rsidRPr="00457FD3">
              <w:t>The validity of the EORTC QLQ-30C data in ASCENT was uncertain.</w:t>
            </w:r>
          </w:p>
        </w:tc>
      </w:tr>
    </w:tbl>
    <w:p w14:paraId="035368E3" w14:textId="77777777" w:rsidR="00A173AE" w:rsidRPr="00457FD3" w:rsidRDefault="00A173AE" w:rsidP="00A173AE">
      <w:pPr>
        <w:pStyle w:val="TableFigureFooter"/>
      </w:pPr>
      <w:r w:rsidRPr="00457FD3">
        <w:t>Source: Table 3-1, p138 and Sections 3.4-3.6 of the submission.</w:t>
      </w:r>
    </w:p>
    <w:p w14:paraId="31EB8F14" w14:textId="77777777" w:rsidR="00A173AE" w:rsidRPr="00457FD3" w:rsidRDefault="00A173AE" w:rsidP="00A173AE">
      <w:pPr>
        <w:pStyle w:val="TableFigureFooter"/>
      </w:pPr>
      <w:r w:rsidRPr="00457FD3">
        <w:t>AE = adverse events; EORTC QLQ-30C = European Organisation for Research and Treatment of Cancer Quality of life Questionnaire-Core 30; KM = Kaplan-Meier; OS = overall survival; PFS = progression free survival; QoL = quality of life; SG = sacituzumab govitecan; TPC = treatment of physician's choice</w:t>
      </w:r>
    </w:p>
    <w:p w14:paraId="34DCB81A" w14:textId="77777777" w:rsidR="00A173AE" w:rsidRPr="00457FD3" w:rsidRDefault="00A173AE" w:rsidP="00A173AE">
      <w:pPr>
        <w:pStyle w:val="TableFigureFooter"/>
        <w:ind w:left="142" w:hanging="142"/>
        <w:rPr>
          <w:sz w:val="20"/>
        </w:rPr>
      </w:pPr>
      <w:r w:rsidRPr="00457FD3">
        <w:rPr>
          <w:vertAlign w:val="superscript"/>
        </w:rPr>
        <w:t>a</w:t>
      </w:r>
      <w:r w:rsidRPr="00457FD3">
        <w:t xml:space="preserve"> The following constraints were applied: i) the risk of death in the modelled population could not be lower than the all-cause mortality for the general population, and ii) PFS was constrained by OS such that the number of patients who were progression free could not exceed the total number of patients alive.</w:t>
      </w:r>
    </w:p>
    <w:p w14:paraId="128F9304" w14:textId="77777777" w:rsidR="00A173AE" w:rsidRPr="00457FD3" w:rsidRDefault="00A173AE" w:rsidP="00A173AE">
      <w:pPr>
        <w:pStyle w:val="3-BodyText"/>
      </w:pPr>
      <w:r w:rsidRPr="00457FD3">
        <w:t xml:space="preserve">The submission stated that, for OS in the ITT population, statistical tests suggested that the proportional hazards (PH) assumption might be violated, but that the accelerated failure time (ATF) assumption held. Therefore, jointly fitted AFT distributions, with treatment arm as predictor, were used. The submission did not </w:t>
      </w:r>
      <w:r w:rsidRPr="00457FD3">
        <w:lastRenderedPageBreak/>
        <w:t>provide details of the statistical tests performed to assess the validity of the PH and AFT assumptions.</w:t>
      </w:r>
      <w:r w:rsidR="00192925" w:rsidRPr="00457FD3">
        <w:t xml:space="preserve"> </w:t>
      </w:r>
    </w:p>
    <w:p w14:paraId="2907C491" w14:textId="77777777" w:rsidR="00A173AE" w:rsidRPr="00457FD3" w:rsidRDefault="00A173AE" w:rsidP="00A173AE">
      <w:pPr>
        <w:pStyle w:val="3-BodyText"/>
      </w:pPr>
      <w:r w:rsidRPr="00457FD3">
        <w:t xml:space="preserve">The submission used the log-logistic distribution </w:t>
      </w:r>
      <w:r w:rsidR="006F3A4A" w:rsidRPr="00457FD3">
        <w:t xml:space="preserve">for OS extrapolation </w:t>
      </w:r>
      <w:r w:rsidRPr="00457FD3">
        <w:t>in the base case of the economic evaluation</w:t>
      </w:r>
      <w:r w:rsidR="00802493" w:rsidRPr="00457FD3">
        <w:t>, in preference to the gamma and generalised gamma distributions</w:t>
      </w:r>
      <w:r w:rsidRPr="00457FD3">
        <w:t xml:space="preserve">. The submission did not present any evidence to support the validity of OS rates predicted using this model. Gamma and generalised gamma distributions had similar goodness-of-fit statistics to log-logistic distribution. </w:t>
      </w:r>
      <w:r w:rsidR="0084661E" w:rsidRPr="00457FD3">
        <w:t>The evaluation and the ESC considered that v</w:t>
      </w:r>
      <w:r w:rsidRPr="00457FD3">
        <w:t xml:space="preserve">isual inspection of the fitted parametric models suggests that </w:t>
      </w:r>
      <w:r w:rsidR="0084661E" w:rsidRPr="00457FD3">
        <w:t xml:space="preserve">the </w:t>
      </w:r>
      <w:r w:rsidRPr="00457FD3">
        <w:t xml:space="preserve">gamma and generalised gamma distributions are a better fit for the latter part of the Kaplan-Meier curve for the SG treatment arm, and that the log-logistic extrapolation may overestimate longer-term OS, especially in the SG arm (see </w:t>
      </w:r>
      <w:r w:rsidR="00A20840" w:rsidRPr="00457FD3">
        <w:t xml:space="preserve">the figure </w:t>
      </w:r>
      <w:r w:rsidRPr="00457FD3">
        <w:t>below).</w:t>
      </w:r>
      <w:r w:rsidR="006F3A4A" w:rsidRPr="00457FD3">
        <w:t xml:space="preserve"> </w:t>
      </w:r>
      <w:r w:rsidR="0084661E" w:rsidRPr="00457FD3">
        <w:t>Further, t</w:t>
      </w:r>
      <w:r w:rsidR="00B45863" w:rsidRPr="00457FD3">
        <w:t xml:space="preserve">he ESC considered that </w:t>
      </w:r>
      <w:r w:rsidR="0084661E" w:rsidRPr="00457FD3">
        <w:t xml:space="preserve">the </w:t>
      </w:r>
      <w:r w:rsidR="00B45863" w:rsidRPr="00457FD3">
        <w:t xml:space="preserve">gamma or generalised gamma </w:t>
      </w:r>
      <w:r w:rsidR="0084661E" w:rsidRPr="00457FD3">
        <w:t xml:space="preserve">distributions </w:t>
      </w:r>
      <w:r w:rsidR="00B45863" w:rsidRPr="00457FD3">
        <w:t>resulted in more clinically plausible extrapolations at 5 to 7 years.</w:t>
      </w:r>
      <w:r w:rsidR="008E6ECD" w:rsidRPr="00457FD3">
        <w:t xml:space="preserve"> </w:t>
      </w:r>
    </w:p>
    <w:p w14:paraId="2A0CA66D" w14:textId="77777777" w:rsidR="00A173AE" w:rsidRPr="00457FD3" w:rsidRDefault="00A173AE" w:rsidP="00A173AE">
      <w:pPr>
        <w:pStyle w:val="TableFigureHeading"/>
      </w:pPr>
      <w:r w:rsidRPr="00457FD3">
        <w:t xml:space="preserve">Figure </w:t>
      </w:r>
      <w:r w:rsidR="00970868" w:rsidRPr="00457FD3">
        <w:rPr>
          <w:noProof/>
        </w:rPr>
        <w:t>3</w:t>
      </w:r>
      <w:r w:rsidRPr="00457FD3">
        <w:t>: Comparison of log-logistic, gamma and generalised gamma parametric models for OS extrapolation</w:t>
      </w:r>
    </w:p>
    <w:p w14:paraId="42595C78" w14:textId="77777777" w:rsidR="00A173AE" w:rsidRPr="00457FD3" w:rsidRDefault="00A173AE" w:rsidP="00A173AE">
      <w:pPr>
        <w:pStyle w:val="TableFigureFooter"/>
        <w:rPr>
          <w:rFonts w:eastAsiaTheme="majorEastAsia"/>
        </w:rPr>
      </w:pPr>
      <w:r w:rsidRPr="00457FD3">
        <w:rPr>
          <w:noProof/>
        </w:rPr>
        <w:drawing>
          <wp:inline distT="0" distB="0" distL="0" distR="0" wp14:anchorId="0CD05F93" wp14:editId="79098A07">
            <wp:extent cx="5732145" cy="3780155"/>
            <wp:effectExtent l="0" t="0" r="1905" b="0"/>
            <wp:docPr id="87" name="Picture 87" title="Figure 3: Comparison of log-logistic, gamma and generalised gamma parametric models for OS extrap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3780155"/>
                    </a:xfrm>
                    <a:prstGeom prst="rect">
                      <a:avLst/>
                    </a:prstGeom>
                    <a:noFill/>
                    <a:ln>
                      <a:noFill/>
                    </a:ln>
                  </pic:spPr>
                </pic:pic>
              </a:graphicData>
            </a:graphic>
          </wp:inline>
        </w:drawing>
      </w:r>
      <w:r w:rsidRPr="00457FD3">
        <w:rPr>
          <w:rFonts w:eastAsiaTheme="majorEastAsia"/>
        </w:rPr>
        <w:t>Source: Constructed during the evaluation based on information in the Excel workbook ‘Trodelvy PBAC Submission July 2021 S3 CEM FINAL’.</w:t>
      </w:r>
    </w:p>
    <w:p w14:paraId="793D3C42" w14:textId="77777777" w:rsidR="00A173AE" w:rsidRPr="00457FD3" w:rsidRDefault="00A173AE" w:rsidP="00A173AE">
      <w:pPr>
        <w:pStyle w:val="TableFigureFooter"/>
      </w:pPr>
      <w:r w:rsidRPr="00457FD3">
        <w:t>OS = overall survival; SG = sacituzumab govitecan; TPC = treatment of physician's choice</w:t>
      </w:r>
    </w:p>
    <w:p w14:paraId="3D3DB9EC" w14:textId="77777777" w:rsidR="009614C6" w:rsidRPr="00457FD3" w:rsidRDefault="00F50FBF" w:rsidP="00A173AE">
      <w:pPr>
        <w:pStyle w:val="3-BodyText"/>
      </w:pPr>
      <w:r w:rsidRPr="00457FD3">
        <w:t>In terms of extrapolation of PFS, t</w:t>
      </w:r>
      <w:r w:rsidR="00A173AE" w:rsidRPr="00457FD3">
        <w:t xml:space="preserve">he submission stated that diagnostic plots indicated violation of both PH and AFT assumptions for PFS, suggesting that the two treatment arms should be fitted independently. Based on the goodness of fit statistics, the </w:t>
      </w:r>
      <w:r w:rsidR="00A173AE" w:rsidRPr="00457FD3">
        <w:lastRenderedPageBreak/>
        <w:t>submission selected the log</w:t>
      </w:r>
      <w:r w:rsidR="00A173AE" w:rsidRPr="00457FD3">
        <w:noBreakHyphen/>
        <w:t xml:space="preserve">normal distribution for the SG arm, and the log-logistic model for the TPC arm in the base case. </w:t>
      </w:r>
    </w:p>
    <w:p w14:paraId="041255A6" w14:textId="77777777" w:rsidR="00245FCF" w:rsidRPr="00457FD3" w:rsidRDefault="00A173AE" w:rsidP="00623FA2">
      <w:pPr>
        <w:pStyle w:val="3-BodyText"/>
      </w:pPr>
      <w:r w:rsidRPr="00457FD3">
        <w:t xml:space="preserve">The </w:t>
      </w:r>
      <w:r w:rsidR="009614C6" w:rsidRPr="00457FD3">
        <w:t xml:space="preserve">ESC </w:t>
      </w:r>
      <w:r w:rsidR="00D3610F" w:rsidRPr="00457FD3">
        <w:t>not</w:t>
      </w:r>
      <w:r w:rsidR="009614C6" w:rsidRPr="00457FD3">
        <w:t xml:space="preserve">ed that </w:t>
      </w:r>
      <w:r w:rsidR="00245FCF" w:rsidRPr="00457FD3">
        <w:t xml:space="preserve">while </w:t>
      </w:r>
      <w:r w:rsidR="009614C6" w:rsidRPr="00457FD3">
        <w:t xml:space="preserve">the </w:t>
      </w:r>
      <w:r w:rsidRPr="00457FD3">
        <w:t>economic model</w:t>
      </w:r>
      <w:r w:rsidR="009614C6" w:rsidRPr="00457FD3">
        <w:t>, with the current parameters and structure,</w:t>
      </w:r>
      <w:r w:rsidRPr="00457FD3">
        <w:t xml:space="preserve"> was not sensitive to the parametric model used to extrapolate PFS</w:t>
      </w:r>
      <w:r w:rsidR="00245FCF" w:rsidRPr="00457FD3">
        <w:t>, most of the health gains occurred in the progression free health state.</w:t>
      </w:r>
    </w:p>
    <w:p w14:paraId="4E6C7CA6" w14:textId="77777777" w:rsidR="00A173AE" w:rsidRPr="00457FD3" w:rsidRDefault="00A173AE" w:rsidP="00A173AE">
      <w:pPr>
        <w:pStyle w:val="3-BodyText"/>
      </w:pPr>
      <w:r w:rsidRPr="00457FD3">
        <w:rPr>
          <w:lang w:val="en-US"/>
        </w:rPr>
        <w:t xml:space="preserve">Time to treatment discontinuation (TTD) data from </w:t>
      </w:r>
      <w:r w:rsidRPr="00B24214">
        <w:rPr>
          <w:lang w:val="en-GB"/>
        </w:rPr>
        <w:t>ASCENT</w:t>
      </w:r>
      <w:r w:rsidRPr="00457FD3">
        <w:rPr>
          <w:lang w:val="en-US"/>
        </w:rPr>
        <w:t xml:space="preserve"> was used to model duration of treatment in the economic model. For the base case analysis, duration of treatment was modelled by applying TTD data from ASCENT up to the end of observed data, with subsequent parametric extrapolation over the remaining time horizon. The exponential distribution was used for both arms in the base case analysis. The mean treatment duration for SG and TPC in the base case of the model was 6.6 months and 2.4 months, respectively. In the safety population in ASCENT, the truncated mean duration of treatment with SG was 5.8 months, with 6.4% of patients remaining on treatment, while the mean duration of treatment in the TPC arm ranged from 1.7</w:t>
      </w:r>
      <w:r w:rsidR="00932447" w:rsidRPr="00457FD3">
        <w:rPr>
          <w:lang w:val="en-US"/>
        </w:rPr>
        <w:t> </w:t>
      </w:r>
      <w:r w:rsidRPr="00457FD3">
        <w:rPr>
          <w:lang w:val="en-US"/>
        </w:rPr>
        <w:t>months with vinorelbine to 2.3 months with eribulin</w:t>
      </w:r>
      <w:r w:rsidRPr="00457FD3">
        <w:rPr>
          <w:vertAlign w:val="superscript"/>
          <w:lang w:val="en-US"/>
        </w:rPr>
        <w:footnoteReference w:id="7"/>
      </w:r>
      <w:r w:rsidRPr="00457FD3">
        <w:rPr>
          <w:lang w:val="en-US"/>
        </w:rPr>
        <w:t>. The economic model was not sensitive to the parametric model used to extrapolate TTD.</w:t>
      </w:r>
    </w:p>
    <w:p w14:paraId="32F6C0C0" w14:textId="77777777" w:rsidR="00FB3C76" w:rsidRDefault="00A173AE" w:rsidP="00FB3C76">
      <w:pPr>
        <w:pStyle w:val="3-BodyText"/>
      </w:pPr>
      <w:r w:rsidRPr="00457FD3">
        <w:t>Utility inputs for the model were derived from the EORTC QLQ-C30 data from ASCENT, as described above.</w:t>
      </w:r>
      <w:r w:rsidRPr="00457FD3">
        <w:rPr>
          <w:rFonts w:ascii="Calibri" w:hAnsi="Calibri"/>
          <w:snapToGrid/>
        </w:rPr>
        <w:t xml:space="preserve"> </w:t>
      </w:r>
      <w:r w:rsidR="00FB3C76">
        <w:rPr>
          <w:rFonts w:ascii="Calibri" w:hAnsi="Calibri"/>
          <w:snapToGrid/>
        </w:rPr>
        <w:t>In the submission, t</w:t>
      </w:r>
      <w:r w:rsidRPr="00457FD3">
        <w:t>he EORTC QLQ-C30 measurements were mapped onto the EQ</w:t>
      </w:r>
      <w:r w:rsidRPr="00457FD3">
        <w:noBreakHyphen/>
        <w:t xml:space="preserve">5D-3L using the Longworth mapping algorithm and the EQ-5D utility values were constructed using UK tariffs. </w:t>
      </w:r>
      <w:r w:rsidR="00FB3C76">
        <w:t>The evaluation and the ESC considered that it</w:t>
      </w:r>
      <w:r w:rsidRPr="00457FD3">
        <w:t xml:space="preserve"> was unclear why Australian-based preference weights were not used to calculate the expected value of the EQ-5D</w:t>
      </w:r>
      <w:r w:rsidR="00981641">
        <w:t xml:space="preserve"> or the QLU-C10D</w:t>
      </w:r>
      <w:r w:rsidRPr="00457FD3">
        <w:t>. Viney et al (2014)</w:t>
      </w:r>
      <w:r w:rsidRPr="00457FD3">
        <w:rPr>
          <w:rStyle w:val="FootnoteReference"/>
        </w:rPr>
        <w:footnoteReference w:id="8"/>
      </w:r>
      <w:r w:rsidRPr="00457FD3">
        <w:t xml:space="preserve"> reported an Australian scoring algorithm</w:t>
      </w:r>
      <w:r w:rsidR="00981641">
        <w:t xml:space="preserve"> for the EQ-5D</w:t>
      </w:r>
      <w:r w:rsidRPr="00457FD3">
        <w:t>, applying preference weights derived through discrete choice experiments. The PBAC Guidelines (version 5.0) state that it is preferred that Australian-based preference weights are used in the scoring algorithm used to calculate utility weights</w:t>
      </w:r>
      <w:r w:rsidR="00894085" w:rsidRPr="00457FD3">
        <w:t>, and that direct, rather than mapped utilities are also preferred</w:t>
      </w:r>
      <w:r w:rsidRPr="00457FD3">
        <w:t>.</w:t>
      </w:r>
      <w:r w:rsidR="005102A5" w:rsidRPr="00457FD3">
        <w:t xml:space="preserve"> The ESC considered that it would have been more appropriate to either: (a)</w:t>
      </w:r>
      <w:r w:rsidR="00932447" w:rsidRPr="00457FD3">
        <w:t> </w:t>
      </w:r>
      <w:r w:rsidR="005102A5" w:rsidRPr="00457FD3">
        <w:t>use the direct Australian utilities from QLU-C10D (a multi-attribute utility instrument derived from the EORTC QLQ-C30, for which there are Australian utility weights)</w:t>
      </w:r>
      <w:r w:rsidR="0043032C">
        <w:rPr>
          <w:rStyle w:val="FootnoteReference"/>
        </w:rPr>
        <w:footnoteReference w:id="9"/>
      </w:r>
      <w:r w:rsidR="005102A5" w:rsidRPr="00457FD3">
        <w:t>; or (b) use Australian-based preference weights to calculate the expected value of the EQ-5D.</w:t>
      </w:r>
      <w:r w:rsidR="00FB3C76">
        <w:t xml:space="preserve"> The pre-PBAC response provided updated utility values </w:t>
      </w:r>
      <w:r w:rsidR="00981641">
        <w:t>from the EQ-5D</w:t>
      </w:r>
      <w:r w:rsidR="00FB3C76">
        <w:t xml:space="preserve"> using </w:t>
      </w:r>
      <w:r w:rsidR="00FB3C76" w:rsidRPr="00457FD3">
        <w:t>Australian-based preference weights</w:t>
      </w:r>
      <w:r w:rsidR="00FB3C76">
        <w:t>, which resulted in</w:t>
      </w:r>
      <w:r w:rsidR="00FB3C76" w:rsidRPr="00FB3C76">
        <w:t xml:space="preserve"> higher utility values</w:t>
      </w:r>
      <w:r w:rsidR="00FB3C76">
        <w:t>. The revised utility values were:</w:t>
      </w:r>
    </w:p>
    <w:p w14:paraId="3F4D546D" w14:textId="77777777" w:rsidR="00FB3C76" w:rsidRDefault="00FB3C76" w:rsidP="00AB778B">
      <w:pPr>
        <w:pStyle w:val="ListParagraph"/>
        <w:ind w:left="1134"/>
      </w:pPr>
      <w:r>
        <w:lastRenderedPageBreak/>
        <w:t>in the progression free health state:</w:t>
      </w:r>
      <w:r w:rsidRPr="00FB3C76">
        <w:t xml:space="preserve"> 0.662 for TPC</w:t>
      </w:r>
      <w:r>
        <w:t>;</w:t>
      </w:r>
      <w:r w:rsidRPr="00FB3C76">
        <w:t xml:space="preserve"> 0.746 for SG</w:t>
      </w:r>
      <w:r>
        <w:t xml:space="preserve">; </w:t>
      </w:r>
      <w:r w:rsidRPr="00FB3C76">
        <w:t>pooled value of 0.712</w:t>
      </w:r>
      <w:r>
        <w:t xml:space="preserve">; </w:t>
      </w:r>
    </w:p>
    <w:p w14:paraId="14ACA8CD" w14:textId="77777777" w:rsidR="00A173AE" w:rsidRPr="00457FD3" w:rsidRDefault="00FB3C76" w:rsidP="00AB778B">
      <w:pPr>
        <w:pStyle w:val="ListParagraph"/>
        <w:ind w:left="1134"/>
      </w:pPr>
      <w:r>
        <w:t xml:space="preserve">in the progressed disease health state: </w:t>
      </w:r>
      <w:r w:rsidRPr="00FB3C76">
        <w:t>0.605 for TPC and 0.689 for SG</w:t>
      </w:r>
      <w:r>
        <w:t>;</w:t>
      </w:r>
      <w:r w:rsidRPr="00FB3C76">
        <w:t xml:space="preserve"> pooled value of 0.654.</w:t>
      </w:r>
    </w:p>
    <w:p w14:paraId="3ED473B9" w14:textId="77777777" w:rsidR="00A173AE" w:rsidRPr="00457FD3" w:rsidRDefault="00A173AE" w:rsidP="00A173AE">
      <w:pPr>
        <w:pStyle w:val="3-BodyText"/>
      </w:pPr>
      <w:r w:rsidRPr="00457FD3">
        <w:t xml:space="preserve">In addition, as </w:t>
      </w:r>
      <w:r w:rsidR="009E523C" w:rsidRPr="00457FD3">
        <w:t>outlined in the ‘Comparative effectiveness’ section</w:t>
      </w:r>
      <w:r w:rsidRPr="00457FD3">
        <w:t xml:space="preserve">, the </w:t>
      </w:r>
      <w:r w:rsidR="00CC6C41">
        <w:t xml:space="preserve">evaluation and the ESC considered that the </w:t>
      </w:r>
      <w:r w:rsidRPr="00457FD3">
        <w:t xml:space="preserve">validity of the EORTC QLQ-C30 results from ASCENT was uncertain, as there was </w:t>
      </w:r>
      <w:r w:rsidR="00CC6C41">
        <w:t xml:space="preserve">a </w:t>
      </w:r>
      <w:r w:rsidRPr="00457FD3">
        <w:t>considerable risk of performance/assessment bias due to the open-label design of the trial and the impact of AEs on patients’ QoL may not have been fully captured.</w:t>
      </w:r>
      <w:r w:rsidR="00A570FA" w:rsidRPr="00457FD3">
        <w:t xml:space="preserve"> </w:t>
      </w:r>
    </w:p>
    <w:p w14:paraId="77686356" w14:textId="77777777" w:rsidR="00C5326D" w:rsidRPr="00457FD3" w:rsidRDefault="00A173AE" w:rsidP="008720BC">
      <w:pPr>
        <w:pStyle w:val="3-BodyText"/>
      </w:pPr>
      <w:r w:rsidRPr="00457FD3">
        <w:t xml:space="preserve">The submission applied treatment specific utility value for the progression free (PF) health state in the base case, with a higher utility value for the patients in the SG arm than the TPC arm. The </w:t>
      </w:r>
      <w:r w:rsidR="00FB3C76">
        <w:t xml:space="preserve">evaluation and the ESC considered that the </w:t>
      </w:r>
      <w:r w:rsidRPr="00457FD3">
        <w:t>application of a higher utility value for patients receiving SG was not reasonable, given that SG was associated with a higher incidence of Grade 3 or higher treatment-related AEs, treatment-related serious AEs, and AEs leading to study drug interruption, compared with TPC</w:t>
      </w:r>
      <w:r w:rsidR="009E523C" w:rsidRPr="00457FD3">
        <w:t xml:space="preserve"> (refer to the ‘Comparative effectiveness’ section)</w:t>
      </w:r>
      <w:r w:rsidRPr="00457FD3">
        <w:t xml:space="preserve">. </w:t>
      </w:r>
      <w:r w:rsidR="008720BC" w:rsidRPr="008720BC">
        <w:t xml:space="preserve">The PBAC noted the uncertainties with the treatment-specific utilities applied in the progression free health state, but considered this approach </w:t>
      </w:r>
      <w:r w:rsidR="00981641">
        <w:t>could</w:t>
      </w:r>
      <w:r w:rsidR="00981641" w:rsidRPr="008720BC">
        <w:t xml:space="preserve"> </w:t>
      </w:r>
      <w:r w:rsidR="008720BC" w:rsidRPr="008720BC">
        <w:t xml:space="preserve">be </w:t>
      </w:r>
      <w:r w:rsidR="00981641">
        <w:t>possible</w:t>
      </w:r>
      <w:r w:rsidR="008720BC" w:rsidRPr="008720BC">
        <w:t xml:space="preserve"> as outlined in Section 7.</w:t>
      </w:r>
    </w:p>
    <w:p w14:paraId="7AB7BFFE" w14:textId="77777777" w:rsidR="00A173AE" w:rsidRPr="00457FD3" w:rsidRDefault="00A173AE" w:rsidP="00A173AE">
      <w:pPr>
        <w:pStyle w:val="3-BodyText"/>
      </w:pPr>
      <w:r w:rsidRPr="00457FD3">
        <w:t>The utility value for the progressive disease (PD) health state (0.62</w:t>
      </w:r>
      <w:r w:rsidR="00FB3C76">
        <w:t xml:space="preserve"> in the submission; 0.654 in the pre-PBAC response</w:t>
      </w:r>
      <w:r w:rsidRPr="00457FD3">
        <w:t>) appears to have been based on the single post-treatment visit (four weeks after the last dose of study drugs), which is insufficient to capture the deterioration in health over time in this health state. Alternative utility values for health states in advanced breast cancer were identified during the evaluation, and the majority</w:t>
      </w:r>
      <w:r w:rsidRPr="00457FD3">
        <w:rPr>
          <w:rFonts w:ascii="Calibri" w:hAnsi="Calibri"/>
          <w:snapToGrid/>
        </w:rPr>
        <w:t xml:space="preserve"> of </w:t>
      </w:r>
      <w:r w:rsidRPr="00457FD3">
        <w:t xml:space="preserve">the utility values for the PD health state were considerably lower than the utility value applied in the submission (ranging from 0.44 to 0.58 in all except one study). In consideration of the fact that many of these alternative utilities were for the first-line setting, and that SG is proposed as a later line treatment, the </w:t>
      </w:r>
      <w:r w:rsidR="00CC6C41">
        <w:t xml:space="preserve">evaluation and the ESC considered that </w:t>
      </w:r>
      <w:r w:rsidR="0057706C">
        <w:t xml:space="preserve">the </w:t>
      </w:r>
      <w:r w:rsidRPr="00457FD3">
        <w:t xml:space="preserve">value </w:t>
      </w:r>
      <w:r w:rsidR="00CC6C41">
        <w:t>applied</w:t>
      </w:r>
      <w:r w:rsidRPr="00457FD3">
        <w:t xml:space="preserve"> </w:t>
      </w:r>
      <w:r w:rsidR="00CC6C41">
        <w:t>wa</w:t>
      </w:r>
      <w:r w:rsidRPr="00457FD3">
        <w:t>s likely to overestimate utility.</w:t>
      </w:r>
      <w:r w:rsidR="00041DE5" w:rsidRPr="00457FD3">
        <w:t xml:space="preserve"> </w:t>
      </w:r>
    </w:p>
    <w:p w14:paraId="764D66E3" w14:textId="77777777" w:rsidR="00B45863" w:rsidRPr="00457FD3" w:rsidRDefault="00B45863" w:rsidP="00A173AE">
      <w:pPr>
        <w:pStyle w:val="3-BodyText"/>
      </w:pPr>
      <w:r w:rsidRPr="00457FD3">
        <w:t>The PSCR argued that the utilit</w:t>
      </w:r>
      <w:r w:rsidR="007B4903" w:rsidRPr="00457FD3">
        <w:t>y value</w:t>
      </w:r>
      <w:r w:rsidRPr="00457FD3">
        <w:t xml:space="preserve"> used in the PD state </w:t>
      </w:r>
      <w:r w:rsidR="007B4903" w:rsidRPr="00457FD3">
        <w:t xml:space="preserve">(0.62) </w:t>
      </w:r>
      <w:r w:rsidR="009E523C" w:rsidRPr="00457FD3">
        <w:t>w</w:t>
      </w:r>
      <w:r w:rsidR="007B4903" w:rsidRPr="00457FD3">
        <w:t>as</w:t>
      </w:r>
      <w:r w:rsidRPr="00457FD3">
        <w:t xml:space="preserve"> consistent with the March 2021 </w:t>
      </w:r>
      <w:r w:rsidR="009E523C" w:rsidRPr="00457FD3">
        <w:t>submission</w:t>
      </w:r>
      <w:r w:rsidRPr="00457FD3">
        <w:t xml:space="preserve"> for atezolizumab + nab-paclitaxel in </w:t>
      </w:r>
      <w:r w:rsidR="009E523C" w:rsidRPr="00457FD3">
        <w:t>first-</w:t>
      </w:r>
      <w:r w:rsidRPr="00457FD3">
        <w:t xml:space="preserve">line metastatic TNBC </w:t>
      </w:r>
      <w:r w:rsidR="007B4903" w:rsidRPr="00457FD3">
        <w:t>of</w:t>
      </w:r>
      <w:r w:rsidRPr="00457FD3">
        <w:t xml:space="preserve"> 0.583. However, the ESC noted that atezolizumab + nab-paclitaxel was </w:t>
      </w:r>
      <w:r w:rsidR="009E523C" w:rsidRPr="00457FD3">
        <w:t xml:space="preserve">proposed </w:t>
      </w:r>
      <w:r w:rsidR="00DC4992" w:rsidRPr="00457FD3">
        <w:t>for use</w:t>
      </w:r>
      <w:r w:rsidR="009E523C" w:rsidRPr="00457FD3">
        <w:t xml:space="preserve"> </w:t>
      </w:r>
      <w:r w:rsidRPr="00457FD3">
        <w:t xml:space="preserve">in </w:t>
      </w:r>
      <w:r w:rsidR="009E523C" w:rsidRPr="00457FD3">
        <w:t xml:space="preserve">an </w:t>
      </w:r>
      <w:r w:rsidRPr="00457FD3">
        <w:t xml:space="preserve">earlier line setting. Given that, in order to be eligible for SG, patients must have previously received at least two prior treatments, including at least one for locally advanced or metastatic disease, </w:t>
      </w:r>
      <w:r w:rsidR="00FB3C76">
        <w:t xml:space="preserve">the ESC considered that </w:t>
      </w:r>
      <w:r w:rsidRPr="00457FD3">
        <w:t>it would be expected that the utility value following progression on SG would be lower than that following progression on first-line atezolizumab plus nab-paclitaxel.</w:t>
      </w:r>
    </w:p>
    <w:p w14:paraId="1270F6CC" w14:textId="77777777" w:rsidR="006D51B2" w:rsidRPr="00457FD3" w:rsidRDefault="006D51B2" w:rsidP="006D51B2">
      <w:pPr>
        <w:pStyle w:val="3-BodyText"/>
      </w:pPr>
      <w:r w:rsidRPr="00457FD3">
        <w:t>The submission appears to only have included a cost for treatment-related Grade</w:t>
      </w:r>
      <w:r w:rsidR="00932447" w:rsidRPr="00457FD3">
        <w:t> </w:t>
      </w:r>
      <w:r w:rsidRPr="00457FD3">
        <w:t xml:space="preserve">3-4 AEs which were reported for ≥ 5% of patients in either treatment group in ASCENT </w:t>
      </w:r>
      <w:r w:rsidRPr="00457FD3">
        <w:lastRenderedPageBreak/>
        <w:t>which may have underestimated the true cost associated with the management of AEs in both treatment arms. Further, the submission did not include a cost for hospitalisation associated with Grade 3-4 febrile neutropenia and Grade 3 serious diarrhoea.</w:t>
      </w:r>
    </w:p>
    <w:p w14:paraId="12B8ABFB" w14:textId="77777777" w:rsidR="00A173AE" w:rsidRPr="00457FD3" w:rsidRDefault="00A173AE" w:rsidP="00A173AE">
      <w:pPr>
        <w:pStyle w:val="3-BodyText"/>
      </w:pPr>
      <w:r w:rsidRPr="00457FD3">
        <w:t>The submission applied a fixed terminal care cost of $35,626 (based on Reeve 2018</w:t>
      </w:r>
      <w:r w:rsidRPr="00457FD3">
        <w:rPr>
          <w:rStyle w:val="FootnoteReference"/>
        </w:rPr>
        <w:footnoteReference w:id="10"/>
      </w:r>
      <w:r w:rsidRPr="00457FD3">
        <w:t>) to the proportion of the cohort in each treatment arm who died in each model cycle.</w:t>
      </w:r>
      <w:r w:rsidRPr="00457FD3">
        <w:rPr>
          <w:rFonts w:ascii="Calibri" w:hAnsi="Calibri"/>
          <w:snapToGrid/>
        </w:rPr>
        <w:t xml:space="preserve"> Reeve 2018 was a retrospective cohort study, comparing end of life care costs between people with and without a cancer history in an elderly Australian cohort, derived from Australian Department of Veteran Affairs clients who died between 2005 and 2009. </w:t>
      </w:r>
      <w:r w:rsidRPr="00457FD3">
        <w:t xml:space="preserve">The Reeve study acknowledged that it did not capture end-of-life patterns for patients under the age of 65 (80% of the ASCENT trial population), and that there have been changes to patterns of care since the study finished in 2009; therefore the applicability and accuracy of this cost estimate to the model population is highly uncertain. Ninety-five percent of cancer patients in the Reeves analysis had comorbidities, and 41% of them died from causes other than cancer. A significant portion of the reported 6 month end-of-life costs could be expected to be associated with management of comorbidities and these should not be included in a disease-specific economic analysis. </w:t>
      </w:r>
    </w:p>
    <w:p w14:paraId="51AA74AE" w14:textId="77777777" w:rsidR="00A173AE" w:rsidRDefault="00A173AE" w:rsidP="0084675B">
      <w:pPr>
        <w:pStyle w:val="3-BodyText"/>
      </w:pPr>
      <w:r w:rsidRPr="00457FD3">
        <w:t>The submission used this fixed terminal care cost rather than applying specific subsequent treatment, disease management and monitoring costs in the PD health state. This was not appropriate</w:t>
      </w:r>
      <w:r w:rsidR="00147929" w:rsidRPr="00457FD3">
        <w:t xml:space="preserve"> as c</w:t>
      </w:r>
      <w:r w:rsidRPr="00457FD3">
        <w:t xml:space="preserve">osts </w:t>
      </w:r>
      <w:r w:rsidR="00DC4992" w:rsidRPr="00457FD3">
        <w:t xml:space="preserve">that more accurately reflect </w:t>
      </w:r>
      <w:r w:rsidR="00274A61" w:rsidRPr="00457FD3">
        <w:t xml:space="preserve">health management costs in the </w:t>
      </w:r>
      <w:r w:rsidR="00DC4992" w:rsidRPr="00457FD3">
        <w:t xml:space="preserve">PD health state </w:t>
      </w:r>
      <w:r w:rsidRPr="00457FD3">
        <w:t xml:space="preserve">should have been modelled and applied over the duration of the PD health state. Furthermore, the estimated cost in Reeve 2018 was for the last 6 months of life. On average, patients in the SG arm of the model spent 8.9 months (undiscounted) in the PD health state, compared with 6.2 months for patients in the TPC arm. The total cost of care for patients with progressed disease in each treatment arm should reflect this difference in survival. </w:t>
      </w:r>
      <w:r w:rsidR="009614C6" w:rsidRPr="00457FD3">
        <w:t>The evaluation included a sensitivity analysis in which terminal care costs were assumed to be evenly distributed over the last 6 months of life</w:t>
      </w:r>
      <w:r w:rsidR="00274A61" w:rsidRPr="00457FD3">
        <w:t>, which</w:t>
      </w:r>
      <w:r w:rsidR="009614C6" w:rsidRPr="00457FD3">
        <w:t xml:space="preserve"> </w:t>
      </w:r>
      <w:r w:rsidR="00274A61" w:rsidRPr="00457FD3">
        <w:t>t</w:t>
      </w:r>
      <w:r w:rsidR="009614C6" w:rsidRPr="00457FD3">
        <w:t xml:space="preserve">he PSCR argued was inappropriate. While the ESC agreed with the PSCR that this methodology was not accurate, the ESC considered that this analysis was informative to </w:t>
      </w:r>
      <w:r w:rsidR="009E523C" w:rsidRPr="00457FD3">
        <w:t>demonstrate</w:t>
      </w:r>
      <w:r w:rsidR="009614C6" w:rsidRPr="00457FD3">
        <w:t xml:space="preserve"> the sensitivity of the model to </w:t>
      </w:r>
      <w:r w:rsidR="009E523C" w:rsidRPr="00457FD3">
        <w:t>this parameter</w:t>
      </w:r>
      <w:r w:rsidR="009614C6" w:rsidRPr="00457FD3">
        <w:t>.</w:t>
      </w:r>
      <w:r w:rsidR="009614C6" w:rsidRPr="00457FD3" w:rsidDel="009614C6">
        <w:rPr>
          <w:rStyle w:val="CommentReference"/>
          <w:rFonts w:cs="Times New Roman"/>
          <w:snapToGrid/>
        </w:rPr>
        <w:t xml:space="preserve"> </w:t>
      </w:r>
      <w:r w:rsidR="00E7037A" w:rsidRPr="00457FD3">
        <w:t xml:space="preserve"> </w:t>
      </w:r>
    </w:p>
    <w:p w14:paraId="134B0F68" w14:textId="77777777" w:rsidR="005C3415" w:rsidRDefault="005C3415" w:rsidP="005C3415">
      <w:pPr>
        <w:pStyle w:val="3-BodyText"/>
      </w:pPr>
      <w:r>
        <w:t xml:space="preserve">The pre-PBAC response proposed alternative PD health state costs and terminal care costs of: </w:t>
      </w:r>
      <w:r w:rsidRPr="005C3415">
        <w:t xml:space="preserve">$62.38/week </w:t>
      </w:r>
      <w:r>
        <w:t xml:space="preserve">PD health state costs; and $6,050 terminal care costs (reduced from </w:t>
      </w:r>
      <w:r w:rsidRPr="005C3415">
        <w:t>$35,626</w:t>
      </w:r>
      <w:r>
        <w:t>). The PBAC considered these were more appropriate tha</w:t>
      </w:r>
      <w:r w:rsidR="002367C0">
        <w:t>n</w:t>
      </w:r>
      <w:r>
        <w:t xml:space="preserve"> the values </w:t>
      </w:r>
      <w:r>
        <w:lastRenderedPageBreak/>
        <w:t xml:space="preserve">applied in the submission, but noted that these costs had only a minor impact on the ICER when a 5 year time horizon is used. </w:t>
      </w:r>
    </w:p>
    <w:p w14:paraId="419AB43D" w14:textId="77777777" w:rsidR="001F4CEE" w:rsidRPr="00457FD3" w:rsidRDefault="001F4CEE" w:rsidP="00361036">
      <w:pPr>
        <w:pStyle w:val="3-BodyText"/>
      </w:pPr>
      <w:r>
        <w:t>A</w:t>
      </w:r>
      <w:r w:rsidRPr="007E2D21">
        <w:t xml:space="preserve"> dose intensity of 94.2% </w:t>
      </w:r>
      <w:r>
        <w:t>was</w:t>
      </w:r>
      <w:r w:rsidRPr="007E2D21">
        <w:t xml:space="preserve"> </w:t>
      </w:r>
      <w:r>
        <w:t>applied</w:t>
      </w:r>
      <w:r w:rsidRPr="007E2D21">
        <w:t xml:space="preserve"> in the </w:t>
      </w:r>
      <w:r>
        <w:t xml:space="preserve">SG arm in the </w:t>
      </w:r>
      <w:r w:rsidRPr="007E2D21">
        <w:t>economic model</w:t>
      </w:r>
      <w:r w:rsidR="00361036">
        <w:t>, based on the relative dose intensity reported in the ASCENT trial</w:t>
      </w:r>
      <w:r>
        <w:t xml:space="preserve">. </w:t>
      </w:r>
      <w:r w:rsidR="00361036">
        <w:t>It was unclear if th</w:t>
      </w:r>
      <w:r w:rsidR="00F94AE0">
        <w:t>is figure captured</w:t>
      </w:r>
      <w:r w:rsidR="00361036" w:rsidRPr="00F94AE0">
        <w:t xml:space="preserve"> all dose </w:t>
      </w:r>
      <w:r w:rsidR="00F94AE0" w:rsidRPr="00F94AE0">
        <w:t>reductions</w:t>
      </w:r>
      <w:r w:rsidR="00361036">
        <w:t xml:space="preserve">, given the relatively high rates of patients who </w:t>
      </w:r>
      <w:r w:rsidR="00361036" w:rsidRPr="00F94AE0">
        <w:t>experienced an AE leading to a treatment interruption</w:t>
      </w:r>
      <w:r w:rsidR="00361036">
        <w:t xml:space="preserve"> (6</w:t>
      </w:r>
      <w:r>
        <w:t xml:space="preserve">2.8% of patients in </w:t>
      </w:r>
      <w:r w:rsidRPr="00F94AE0">
        <w:t>the SG arm</w:t>
      </w:r>
      <w:r w:rsidR="00361036" w:rsidRPr="00F94AE0">
        <w:t xml:space="preserve">) and dose reductions due to adverse events </w:t>
      </w:r>
      <w:r w:rsidR="00F94AE0" w:rsidRPr="00F94AE0">
        <w:t>(</w:t>
      </w:r>
      <w:r w:rsidR="00361036" w:rsidRPr="00F94AE0">
        <w:t>2</w:t>
      </w:r>
      <w:r w:rsidR="00F94AE0" w:rsidRPr="00F94AE0">
        <w:t xml:space="preserve">1.7% of </w:t>
      </w:r>
      <w:r w:rsidR="00361036" w:rsidRPr="00F94AE0">
        <w:t xml:space="preserve">patients </w:t>
      </w:r>
      <w:r w:rsidR="00F94AE0" w:rsidRPr="00F94AE0">
        <w:t>in the</w:t>
      </w:r>
      <w:r w:rsidR="00361036" w:rsidRPr="00F94AE0">
        <w:t xml:space="preserve"> SG</w:t>
      </w:r>
      <w:r w:rsidRPr="00F94AE0">
        <w:t xml:space="preserve"> </w:t>
      </w:r>
      <w:r w:rsidR="00F94AE0" w:rsidRPr="00F94AE0">
        <w:t>arm)</w:t>
      </w:r>
      <w:r w:rsidRPr="00F94AE0">
        <w:t xml:space="preserve">. </w:t>
      </w:r>
      <w:r w:rsidR="00F94AE0" w:rsidRPr="00F94AE0">
        <w:t>Further, t</w:t>
      </w:r>
      <w:r w:rsidRPr="00F94AE0">
        <w:t>he mean time to first dose delay was 1.9 months (median of 1.15 months)</w:t>
      </w:r>
      <w:r w:rsidR="00F94AE0" w:rsidRPr="00F94AE0">
        <w:t xml:space="preserve"> indicating that dose delays occurred relatively early in treatment</w:t>
      </w:r>
      <w:r w:rsidRPr="00B24214">
        <w:rPr>
          <w:lang w:val="en-GB"/>
        </w:rPr>
        <w:t>.</w:t>
      </w:r>
      <w:r w:rsidR="00F94AE0" w:rsidRPr="00F94AE0">
        <w:t xml:space="preserve"> </w:t>
      </w:r>
    </w:p>
    <w:p w14:paraId="67016F7C" w14:textId="77777777" w:rsidR="00A173AE" w:rsidRPr="00457FD3" w:rsidRDefault="00A173AE" w:rsidP="009614C6">
      <w:pPr>
        <w:pStyle w:val="3-BodyText"/>
      </w:pPr>
      <w:r w:rsidRPr="00457FD3">
        <w:t>The key drivers of the model are summarised below.</w:t>
      </w:r>
    </w:p>
    <w:p w14:paraId="3D1ED465" w14:textId="77777777" w:rsidR="00A173AE" w:rsidRPr="00457FD3" w:rsidRDefault="00A173AE" w:rsidP="00A173AE">
      <w:pPr>
        <w:pStyle w:val="TableFigureHeading"/>
        <w:rPr>
          <w:rStyle w:val="CommentReference"/>
          <w:b/>
          <w:szCs w:val="24"/>
        </w:rPr>
      </w:pPr>
      <w:r w:rsidRPr="00457FD3">
        <w:t xml:space="preserve">Table </w:t>
      </w:r>
      <w:r w:rsidR="002367C0">
        <w:t>10</w:t>
      </w:r>
      <w:r w:rsidRPr="00457FD3">
        <w:t xml:space="preserve">: </w:t>
      </w:r>
      <w:r w:rsidRPr="00457FD3">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drivers of the model"/>
      </w:tblPr>
      <w:tblGrid>
        <w:gridCol w:w="1128"/>
        <w:gridCol w:w="3738"/>
        <w:gridCol w:w="4151"/>
      </w:tblGrid>
      <w:tr w:rsidR="002B3C09" w:rsidRPr="00457FD3" w14:paraId="4F2CB60C" w14:textId="77777777" w:rsidTr="00303D2C">
        <w:trPr>
          <w:tblHeader/>
        </w:trPr>
        <w:tc>
          <w:tcPr>
            <w:tcW w:w="625" w:type="pct"/>
            <w:shd w:val="clear" w:color="auto" w:fill="auto"/>
            <w:vAlign w:val="center"/>
          </w:tcPr>
          <w:p w14:paraId="62C6F331" w14:textId="77777777" w:rsidR="002B3C09" w:rsidRPr="00457FD3" w:rsidRDefault="002B3C09" w:rsidP="00303D2C">
            <w:pPr>
              <w:pStyle w:val="In-tableHeading"/>
            </w:pPr>
            <w:bookmarkStart w:id="4" w:name="_Hlk84584239"/>
            <w:r w:rsidRPr="00457FD3">
              <w:t>Description</w:t>
            </w:r>
          </w:p>
        </w:tc>
        <w:tc>
          <w:tcPr>
            <w:tcW w:w="2073" w:type="pct"/>
            <w:shd w:val="clear" w:color="auto" w:fill="auto"/>
            <w:vAlign w:val="center"/>
          </w:tcPr>
          <w:p w14:paraId="056C8A1A" w14:textId="77777777" w:rsidR="002B3C09" w:rsidRPr="00457FD3" w:rsidRDefault="002B3C09" w:rsidP="00303D2C">
            <w:pPr>
              <w:pStyle w:val="In-tableHeading"/>
              <w:jc w:val="center"/>
            </w:pPr>
            <w:r w:rsidRPr="00457FD3">
              <w:t>Method/Value</w:t>
            </w:r>
          </w:p>
        </w:tc>
        <w:tc>
          <w:tcPr>
            <w:tcW w:w="2302" w:type="pct"/>
            <w:shd w:val="clear" w:color="auto" w:fill="auto"/>
            <w:vAlign w:val="center"/>
          </w:tcPr>
          <w:p w14:paraId="2FFABF1E" w14:textId="77777777" w:rsidR="002B3C09" w:rsidRPr="00457FD3" w:rsidRDefault="002B3C09" w:rsidP="00303D2C">
            <w:pPr>
              <w:pStyle w:val="In-tableHeading"/>
              <w:jc w:val="center"/>
            </w:pPr>
            <w:r w:rsidRPr="00457FD3">
              <w:t>Impact</w:t>
            </w:r>
          </w:p>
          <w:p w14:paraId="4182BA2A" w14:textId="77777777" w:rsidR="002B3C09" w:rsidRPr="00457FD3" w:rsidRDefault="002B3C09" w:rsidP="00085CFE">
            <w:pPr>
              <w:pStyle w:val="In-tableHeading"/>
              <w:jc w:val="center"/>
              <w:rPr>
                <w:vertAlign w:val="superscript"/>
              </w:rPr>
            </w:pPr>
            <w:r w:rsidRPr="00457FD3">
              <w:rPr>
                <w:rFonts w:cs="Arial"/>
                <w:szCs w:val="20"/>
              </w:rPr>
              <w:t>Base case: $</w:t>
            </w:r>
            <w:r w:rsidR="00730CE5">
              <w:rPr>
                <w:rFonts w:cs="Arial"/>
                <w:noProof/>
                <w:color w:val="000000"/>
                <w:szCs w:val="20"/>
                <w:highlight w:val="black"/>
              </w:rPr>
              <w:t>''''''''''''''</w:t>
            </w:r>
            <w:r w:rsidR="00DE69EF" w:rsidRPr="00DE69EF">
              <w:rPr>
                <w:rFonts w:cs="Arial"/>
                <w:szCs w:val="20"/>
                <w:vertAlign w:val="superscript"/>
              </w:rPr>
              <w:t>1</w:t>
            </w:r>
            <w:r w:rsidRPr="00457FD3">
              <w:rPr>
                <w:rFonts w:cs="Arial"/>
                <w:szCs w:val="20"/>
              </w:rPr>
              <w:t>/QALY</w:t>
            </w:r>
          </w:p>
        </w:tc>
      </w:tr>
      <w:tr w:rsidR="002B3C09" w:rsidRPr="00457FD3" w14:paraId="585766A5" w14:textId="77777777" w:rsidTr="00303D2C">
        <w:tc>
          <w:tcPr>
            <w:tcW w:w="625" w:type="pct"/>
            <w:shd w:val="clear" w:color="auto" w:fill="auto"/>
            <w:vAlign w:val="center"/>
          </w:tcPr>
          <w:p w14:paraId="0150CD92" w14:textId="77777777" w:rsidR="002B3C09" w:rsidRPr="00457FD3" w:rsidRDefault="002B3C09" w:rsidP="00303D2C">
            <w:pPr>
              <w:pStyle w:val="TableText0"/>
              <w:rPr>
                <w:lang w:val="en-US"/>
              </w:rPr>
            </w:pPr>
            <w:r w:rsidRPr="00457FD3">
              <w:rPr>
                <w:lang w:val="en-US"/>
              </w:rPr>
              <w:t>Extrapolation</w:t>
            </w:r>
          </w:p>
        </w:tc>
        <w:tc>
          <w:tcPr>
            <w:tcW w:w="2073" w:type="pct"/>
            <w:shd w:val="clear" w:color="auto" w:fill="auto"/>
            <w:vAlign w:val="center"/>
          </w:tcPr>
          <w:p w14:paraId="13EAFA09" w14:textId="77777777" w:rsidR="002B3C09" w:rsidRPr="00457FD3" w:rsidRDefault="002B3C09" w:rsidP="00303D2C">
            <w:pPr>
              <w:pStyle w:val="TableText0"/>
              <w:rPr>
                <w:lang w:val="en-US"/>
              </w:rPr>
            </w:pPr>
            <w:r w:rsidRPr="00457FD3">
              <w:rPr>
                <w:lang w:val="en-US"/>
              </w:rPr>
              <w:t>Log-logistic distribution for OS extrapolation in both arms</w:t>
            </w:r>
          </w:p>
        </w:tc>
        <w:tc>
          <w:tcPr>
            <w:tcW w:w="2302" w:type="pct"/>
            <w:shd w:val="clear" w:color="auto" w:fill="auto"/>
            <w:vAlign w:val="center"/>
          </w:tcPr>
          <w:p w14:paraId="3886F440" w14:textId="77777777" w:rsidR="002B3C09" w:rsidRPr="00457FD3" w:rsidRDefault="002B3C09" w:rsidP="00303D2C">
            <w:pPr>
              <w:pStyle w:val="TableText0"/>
              <w:rPr>
                <w:lang w:val="en-US"/>
              </w:rPr>
            </w:pPr>
            <w:r w:rsidRPr="00457FD3">
              <w:rPr>
                <w:lang w:val="en-US"/>
              </w:rPr>
              <w:t>High, favours SG</w:t>
            </w:r>
          </w:p>
          <w:p w14:paraId="2C551D72" w14:textId="77777777" w:rsidR="002B3C09" w:rsidRPr="00457FD3" w:rsidRDefault="002B3C09" w:rsidP="00303D2C">
            <w:pPr>
              <w:pStyle w:val="TableText0"/>
              <w:rPr>
                <w:lang w:val="en-US"/>
              </w:rPr>
            </w:pPr>
            <w:r w:rsidRPr="00457FD3">
              <w:rPr>
                <w:lang w:val="en-US"/>
              </w:rPr>
              <w:t>Use of Gamma distribution for OS extrapolation in both arms increased the ICER to $</w:t>
            </w:r>
            <w:r w:rsidR="00730CE5">
              <w:rPr>
                <w:noProof/>
                <w:color w:val="000000"/>
                <w:highlight w:val="black"/>
                <w:lang w:val="en-US"/>
              </w:rPr>
              <w:t>'''''''''''''''''''</w:t>
            </w:r>
            <w:r w:rsidR="00DE69EF">
              <w:rPr>
                <w:vertAlign w:val="superscript"/>
                <w:lang w:val="en-US"/>
              </w:rPr>
              <w:t>2</w:t>
            </w:r>
            <w:r w:rsidRPr="00457FD3">
              <w:rPr>
                <w:lang w:val="en-US"/>
              </w:rPr>
              <w:t>/QALY.</w:t>
            </w:r>
          </w:p>
        </w:tc>
      </w:tr>
      <w:tr w:rsidR="002B3C09" w:rsidRPr="00457FD3" w14:paraId="29F49A2B" w14:textId="77777777" w:rsidTr="00303D2C">
        <w:tc>
          <w:tcPr>
            <w:tcW w:w="625" w:type="pct"/>
            <w:shd w:val="clear" w:color="auto" w:fill="auto"/>
            <w:vAlign w:val="center"/>
          </w:tcPr>
          <w:p w14:paraId="2C09A5AE" w14:textId="77777777" w:rsidR="002B3C09" w:rsidRPr="00457FD3" w:rsidRDefault="002B3C09" w:rsidP="00303D2C">
            <w:pPr>
              <w:pStyle w:val="TableText0"/>
              <w:rPr>
                <w:lang w:val="en-US"/>
              </w:rPr>
            </w:pPr>
            <w:r w:rsidRPr="00457FD3">
              <w:rPr>
                <w:lang w:val="en-US"/>
              </w:rPr>
              <w:t>Utilities</w:t>
            </w:r>
          </w:p>
        </w:tc>
        <w:tc>
          <w:tcPr>
            <w:tcW w:w="2073" w:type="pct"/>
            <w:shd w:val="clear" w:color="auto" w:fill="auto"/>
            <w:vAlign w:val="center"/>
          </w:tcPr>
          <w:p w14:paraId="0925C09B" w14:textId="77777777" w:rsidR="002B3C09" w:rsidRPr="00457FD3" w:rsidRDefault="002B3C09" w:rsidP="00303D2C">
            <w:pPr>
              <w:pStyle w:val="TableText0"/>
              <w:rPr>
                <w:lang w:val="en-US"/>
              </w:rPr>
            </w:pPr>
            <w:r w:rsidRPr="00457FD3">
              <w:rPr>
                <w:lang w:val="en-US"/>
              </w:rPr>
              <w:t>Treatment specific utilities for PF health state and a high value for PD state taken from ASCENT</w:t>
            </w:r>
          </w:p>
        </w:tc>
        <w:tc>
          <w:tcPr>
            <w:tcW w:w="2302" w:type="pct"/>
            <w:shd w:val="clear" w:color="auto" w:fill="auto"/>
            <w:vAlign w:val="center"/>
          </w:tcPr>
          <w:p w14:paraId="085ABD39" w14:textId="77777777" w:rsidR="002B3C09" w:rsidRPr="00457FD3" w:rsidRDefault="002B3C09" w:rsidP="00303D2C">
            <w:pPr>
              <w:pStyle w:val="TableText0"/>
            </w:pPr>
            <w:r w:rsidRPr="00457FD3">
              <w:rPr>
                <w:lang w:val="en-US"/>
              </w:rPr>
              <w:t>High, favours SG</w:t>
            </w:r>
            <w:r w:rsidRPr="00457FD3">
              <w:t xml:space="preserve"> </w:t>
            </w:r>
          </w:p>
          <w:p w14:paraId="1C19EF0E" w14:textId="77777777" w:rsidR="002B3C09" w:rsidRPr="00457FD3" w:rsidRDefault="002B3C09" w:rsidP="00303D2C">
            <w:pPr>
              <w:pStyle w:val="TableText0"/>
            </w:pPr>
            <w:r w:rsidRPr="00457FD3">
              <w:rPr>
                <w:lang w:val="en-US"/>
              </w:rPr>
              <w:t>Use of PF utility of 0.676 (pooled SG and TPC in ASCENT) and a decrement of 0.272 for progression (i.e. PD 0.404) increased the ICER to $</w:t>
            </w:r>
            <w:r w:rsidR="00730CE5">
              <w:rPr>
                <w:noProof/>
                <w:color w:val="000000"/>
                <w:highlight w:val="black"/>
                <w:lang w:val="en-US"/>
              </w:rPr>
              <w:t>'''''''''''''''''</w:t>
            </w:r>
            <w:r w:rsidR="00DE69EF">
              <w:rPr>
                <w:vertAlign w:val="superscript"/>
                <w:lang w:val="en-US"/>
              </w:rPr>
              <w:t>2</w:t>
            </w:r>
            <w:r w:rsidRPr="00457FD3">
              <w:rPr>
                <w:lang w:val="en-US"/>
              </w:rPr>
              <w:t>/QALY.</w:t>
            </w:r>
            <w:r w:rsidRPr="00457FD3">
              <w:rPr>
                <w:rFonts w:cs="Arial"/>
                <w:szCs w:val="20"/>
              </w:rPr>
              <w:t xml:space="preserve"> </w:t>
            </w:r>
          </w:p>
        </w:tc>
      </w:tr>
      <w:tr w:rsidR="002B3C09" w:rsidRPr="00457FD3" w14:paraId="011E9C0F" w14:textId="77777777" w:rsidTr="00147929">
        <w:trPr>
          <w:trHeight w:val="804"/>
        </w:trPr>
        <w:tc>
          <w:tcPr>
            <w:tcW w:w="625" w:type="pct"/>
            <w:shd w:val="clear" w:color="auto" w:fill="auto"/>
            <w:vAlign w:val="center"/>
          </w:tcPr>
          <w:p w14:paraId="27CB324C" w14:textId="77777777" w:rsidR="002B3C09" w:rsidRPr="00457FD3" w:rsidRDefault="00274A61" w:rsidP="00274A61">
            <w:pPr>
              <w:pStyle w:val="TableText0"/>
              <w:rPr>
                <w:lang w:val="en-US"/>
              </w:rPr>
            </w:pPr>
            <w:r w:rsidRPr="00457FD3">
              <w:rPr>
                <w:lang w:val="en-US"/>
              </w:rPr>
              <w:t>Cost of care in the PD health state (t</w:t>
            </w:r>
            <w:r w:rsidR="002B3C09" w:rsidRPr="00457FD3">
              <w:rPr>
                <w:lang w:val="en-US"/>
              </w:rPr>
              <w:t>erminal care cost)</w:t>
            </w:r>
          </w:p>
        </w:tc>
        <w:tc>
          <w:tcPr>
            <w:tcW w:w="2073" w:type="pct"/>
            <w:shd w:val="clear" w:color="auto" w:fill="auto"/>
            <w:vAlign w:val="center"/>
          </w:tcPr>
          <w:p w14:paraId="39555CCF" w14:textId="77777777" w:rsidR="002B3C09" w:rsidRPr="00457FD3" w:rsidRDefault="00274A61" w:rsidP="00147929">
            <w:pPr>
              <w:pStyle w:val="TableText0"/>
              <w:rPr>
                <w:lang w:val="en-US"/>
              </w:rPr>
            </w:pPr>
            <w:r w:rsidRPr="00457FD3">
              <w:rPr>
                <w:lang w:val="en-US"/>
              </w:rPr>
              <w:t xml:space="preserve">Based on Reeve 2018 which reported the cost of terminal care in cancer patients in the last 6 months of life. This </w:t>
            </w:r>
            <w:r w:rsidR="00147929" w:rsidRPr="00457FD3">
              <w:rPr>
                <w:lang w:val="en-US"/>
              </w:rPr>
              <w:t xml:space="preserve">terminal care cost </w:t>
            </w:r>
            <w:r w:rsidRPr="00457FD3">
              <w:rPr>
                <w:lang w:val="en-US"/>
              </w:rPr>
              <w:t xml:space="preserve">was applied </w:t>
            </w:r>
            <w:r w:rsidR="00147929" w:rsidRPr="00457FD3">
              <w:rPr>
                <w:lang w:val="en-US"/>
              </w:rPr>
              <w:t>(</w:t>
            </w:r>
            <w:r w:rsidRPr="00457FD3">
              <w:rPr>
                <w:lang w:val="en-US"/>
              </w:rPr>
              <w:t xml:space="preserve">as a fixed cost </w:t>
            </w:r>
            <w:r w:rsidR="002B3C09" w:rsidRPr="00457FD3">
              <w:rPr>
                <w:lang w:val="en-US"/>
              </w:rPr>
              <w:t xml:space="preserve">regardless of </w:t>
            </w:r>
            <w:r w:rsidR="00147929" w:rsidRPr="00457FD3">
              <w:rPr>
                <w:lang w:val="en-US"/>
              </w:rPr>
              <w:t xml:space="preserve">the </w:t>
            </w:r>
            <w:r w:rsidR="002B3C09" w:rsidRPr="00457FD3">
              <w:rPr>
                <w:lang w:val="en-US"/>
              </w:rPr>
              <w:t>duration of time spent in the PD health state</w:t>
            </w:r>
            <w:r w:rsidR="00147929" w:rsidRPr="00457FD3">
              <w:rPr>
                <w:lang w:val="en-US"/>
              </w:rPr>
              <w:t>) instead of specific PD health state management costs.</w:t>
            </w:r>
          </w:p>
        </w:tc>
        <w:tc>
          <w:tcPr>
            <w:tcW w:w="2302" w:type="pct"/>
            <w:shd w:val="clear" w:color="auto" w:fill="auto"/>
            <w:vAlign w:val="center"/>
          </w:tcPr>
          <w:p w14:paraId="1AD64AD1" w14:textId="77777777" w:rsidR="002B3C09" w:rsidRPr="00457FD3" w:rsidRDefault="002B3C09" w:rsidP="00303D2C">
            <w:pPr>
              <w:pStyle w:val="TableText0"/>
              <w:rPr>
                <w:lang w:val="en-US"/>
              </w:rPr>
            </w:pPr>
            <w:r w:rsidRPr="00457FD3">
              <w:rPr>
                <w:lang w:val="en-US"/>
              </w:rPr>
              <w:t>High, favours SG</w:t>
            </w:r>
          </w:p>
          <w:p w14:paraId="2A00F0B2" w14:textId="77777777" w:rsidR="002B3C09" w:rsidRPr="00457FD3" w:rsidRDefault="002B3C09" w:rsidP="00303D2C">
            <w:pPr>
              <w:pStyle w:val="TableText0"/>
              <w:rPr>
                <w:lang w:val="en-US"/>
              </w:rPr>
            </w:pPr>
            <w:r w:rsidRPr="00457FD3">
              <w:rPr>
                <w:lang w:val="en-US"/>
              </w:rPr>
              <w:t>Adjusting the terminal care cost in each arm to account for duration of time in PD health state (($52,595 in the SG arm and $37,000 in the TPC arm) increased the ICER to $</w:t>
            </w:r>
            <w:r w:rsidR="00730CE5">
              <w:rPr>
                <w:noProof/>
                <w:color w:val="000000"/>
                <w:highlight w:val="black"/>
                <w:lang w:val="en-US"/>
              </w:rPr>
              <w:t>'''''''''''''''''</w:t>
            </w:r>
            <w:r w:rsidR="00DE69EF">
              <w:rPr>
                <w:vertAlign w:val="superscript"/>
                <w:lang w:val="en-US"/>
              </w:rPr>
              <w:t>2</w:t>
            </w:r>
            <w:r w:rsidRPr="00457FD3">
              <w:rPr>
                <w:lang w:val="en-US"/>
              </w:rPr>
              <w:t>/QALY.</w:t>
            </w:r>
          </w:p>
        </w:tc>
      </w:tr>
    </w:tbl>
    <w:bookmarkEnd w:id="4"/>
    <w:p w14:paraId="0E559231" w14:textId="77777777" w:rsidR="002B3C09" w:rsidRPr="00457FD3" w:rsidRDefault="002B3C09" w:rsidP="002B3C09">
      <w:pPr>
        <w:pStyle w:val="TableFigureFooter"/>
      </w:pPr>
      <w:r w:rsidRPr="00457FD3">
        <w:t>Source: Compiled during the evaluation based on Section 3.9 of the submission and Excel workbook ‘Trodelvy PBAC Submission July 2021 S3 CEM FINAL’.</w:t>
      </w:r>
    </w:p>
    <w:p w14:paraId="03D611C3" w14:textId="77777777" w:rsidR="002B3C09" w:rsidRDefault="002B3C09" w:rsidP="002B3C09">
      <w:pPr>
        <w:pStyle w:val="TableFigureFooter"/>
      </w:pPr>
      <w:r w:rsidRPr="00457FD3">
        <w:t>ICER = incremental cost effectiveness ratio; OS = overall survival; PD = progressive disease; PF = progression free; QALY = quality adjusted life year; SG = sacituzumab govitecan; TPC = treatment of physician’s choice.</w:t>
      </w:r>
    </w:p>
    <w:p w14:paraId="4674080B" w14:textId="77777777" w:rsidR="00CC4F15" w:rsidRPr="00DE69EF" w:rsidRDefault="00CC4F15" w:rsidP="002B3C09">
      <w:pPr>
        <w:pStyle w:val="TableFigureFooter"/>
        <w:rPr>
          <w:i/>
        </w:rPr>
      </w:pPr>
      <w:r w:rsidRPr="00DE69EF">
        <w:rPr>
          <w:i/>
        </w:rPr>
        <w:t>The redacted values correspond to the following ranges:</w:t>
      </w:r>
    </w:p>
    <w:p w14:paraId="6C6577E8" w14:textId="77777777" w:rsidR="00CC4F15" w:rsidRPr="00DE69EF" w:rsidRDefault="00CC4F15" w:rsidP="002B3C09">
      <w:pPr>
        <w:pStyle w:val="TableFigureFooter"/>
        <w:rPr>
          <w:i/>
        </w:rPr>
      </w:pPr>
      <w:r w:rsidRPr="00DE69EF">
        <w:rPr>
          <w:i/>
          <w:vertAlign w:val="superscript"/>
        </w:rPr>
        <w:t>1</w:t>
      </w:r>
      <w:r w:rsidRPr="00DE69EF">
        <w:rPr>
          <w:i/>
        </w:rPr>
        <w:t xml:space="preserve"> $135,000 to &lt; $155,000</w:t>
      </w:r>
    </w:p>
    <w:p w14:paraId="0BB5E2A4" w14:textId="77777777" w:rsidR="00CC4F15" w:rsidRPr="00DE69EF" w:rsidRDefault="00CC4F15" w:rsidP="002B3C09">
      <w:pPr>
        <w:pStyle w:val="TableFigureFooter"/>
        <w:rPr>
          <w:i/>
        </w:rPr>
      </w:pPr>
      <w:r w:rsidRPr="00DE69EF">
        <w:rPr>
          <w:i/>
          <w:vertAlign w:val="superscript"/>
        </w:rPr>
        <w:t>2</w:t>
      </w:r>
      <w:r w:rsidRPr="00DE69EF">
        <w:rPr>
          <w:i/>
        </w:rPr>
        <w:t xml:space="preserve"> $155,000 to &lt; $255,000</w:t>
      </w:r>
    </w:p>
    <w:p w14:paraId="5BC45BA8" w14:textId="77777777" w:rsidR="002B3C09" w:rsidRPr="00457FD3" w:rsidRDefault="002B3C09" w:rsidP="002B3C09">
      <w:pPr>
        <w:pStyle w:val="In-tableHeading"/>
        <w:rPr>
          <w:lang w:val="en-AU"/>
        </w:rPr>
      </w:pPr>
    </w:p>
    <w:p w14:paraId="16FD3112" w14:textId="77777777" w:rsidR="00A173AE" w:rsidRPr="00457FD3" w:rsidRDefault="00A173AE" w:rsidP="00A173AE">
      <w:pPr>
        <w:pStyle w:val="3-BodyText"/>
      </w:pPr>
      <w:r w:rsidRPr="00457FD3">
        <w:t>The results of the stepped economic evaluation</w:t>
      </w:r>
      <w:r w:rsidR="00D10C2A" w:rsidRPr="00457FD3">
        <w:t xml:space="preserve">, </w:t>
      </w:r>
      <w:r w:rsidR="008D7D23" w:rsidRPr="00457FD3">
        <w:t>updated based on</w:t>
      </w:r>
      <w:r w:rsidR="00D10C2A" w:rsidRPr="00457FD3">
        <w:t xml:space="preserve"> the proposed effective price of $</w:t>
      </w:r>
      <w:r w:rsidR="00730CE5">
        <w:rPr>
          <w:noProof/>
          <w:color w:val="000000"/>
          <w:highlight w:val="black"/>
        </w:rPr>
        <w:t>''''''''</w:t>
      </w:r>
      <w:r w:rsidR="00D10C2A" w:rsidRPr="00457FD3">
        <w:t xml:space="preserve"> per vial,</w:t>
      </w:r>
      <w:r w:rsidRPr="00457FD3">
        <w:t xml:space="preserve"> are presented below.</w:t>
      </w:r>
    </w:p>
    <w:p w14:paraId="0A504EBE" w14:textId="77777777" w:rsidR="00A173AE" w:rsidRPr="00457FD3" w:rsidRDefault="00A173AE" w:rsidP="00A173AE">
      <w:pPr>
        <w:pStyle w:val="TableFigureHeading"/>
      </w:pPr>
      <w:r w:rsidRPr="00457FD3">
        <w:lastRenderedPageBreak/>
        <w:t xml:space="preserve">Table </w:t>
      </w:r>
      <w:r w:rsidR="00970868" w:rsidRPr="00457FD3">
        <w:rPr>
          <w:noProof/>
        </w:rPr>
        <w:t>1</w:t>
      </w:r>
      <w:r w:rsidR="002367C0">
        <w:rPr>
          <w:noProof/>
        </w:rPr>
        <w:t>1</w:t>
      </w:r>
      <w:r w:rsidRPr="00457FD3">
        <w:t>: Results of the stepped economic evaluation</w:t>
      </w:r>
      <w:r w:rsidR="00586B2D" w:rsidRPr="00457FD3">
        <w:t xml:space="preserve"> (effective price SG)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38"/>
        <w:gridCol w:w="1845"/>
        <w:gridCol w:w="1986"/>
        <w:gridCol w:w="1648"/>
      </w:tblGrid>
      <w:tr w:rsidR="00586B2D" w:rsidRPr="00457FD3" w14:paraId="2396D318" w14:textId="77777777" w:rsidTr="00037EC2">
        <w:trPr>
          <w:tblHeader/>
        </w:trPr>
        <w:tc>
          <w:tcPr>
            <w:tcW w:w="1962" w:type="pct"/>
            <w:vAlign w:val="center"/>
          </w:tcPr>
          <w:p w14:paraId="45E98246" w14:textId="77777777" w:rsidR="00586B2D" w:rsidRPr="00457FD3" w:rsidRDefault="00586B2D" w:rsidP="00303D2C">
            <w:pPr>
              <w:pStyle w:val="In-tableHeading"/>
            </w:pPr>
            <w:r w:rsidRPr="00457FD3">
              <w:t>Step and component</w:t>
            </w:r>
          </w:p>
        </w:tc>
        <w:tc>
          <w:tcPr>
            <w:tcW w:w="1023" w:type="pct"/>
            <w:vAlign w:val="center"/>
          </w:tcPr>
          <w:p w14:paraId="2A379A90" w14:textId="77777777" w:rsidR="00586B2D" w:rsidRPr="00457FD3" w:rsidRDefault="00586B2D" w:rsidP="00303D2C">
            <w:pPr>
              <w:pStyle w:val="In-tableHeading"/>
              <w:jc w:val="center"/>
            </w:pPr>
            <w:r w:rsidRPr="00457FD3">
              <w:t>SG</w:t>
            </w:r>
          </w:p>
        </w:tc>
        <w:tc>
          <w:tcPr>
            <w:tcW w:w="1101" w:type="pct"/>
            <w:vAlign w:val="center"/>
          </w:tcPr>
          <w:p w14:paraId="323145B4" w14:textId="77777777" w:rsidR="00586B2D" w:rsidRPr="00457FD3" w:rsidRDefault="00586B2D" w:rsidP="00303D2C">
            <w:pPr>
              <w:pStyle w:val="In-tableHeading"/>
              <w:jc w:val="center"/>
            </w:pPr>
            <w:r w:rsidRPr="00457FD3">
              <w:t>TPC</w:t>
            </w:r>
          </w:p>
        </w:tc>
        <w:tc>
          <w:tcPr>
            <w:tcW w:w="914" w:type="pct"/>
            <w:vAlign w:val="center"/>
          </w:tcPr>
          <w:p w14:paraId="274BD77E" w14:textId="77777777" w:rsidR="00586B2D" w:rsidRPr="00457FD3" w:rsidRDefault="00586B2D" w:rsidP="00303D2C">
            <w:pPr>
              <w:pStyle w:val="In-tableHeading"/>
              <w:jc w:val="center"/>
            </w:pPr>
            <w:r w:rsidRPr="00457FD3">
              <w:t>Increment</w:t>
            </w:r>
          </w:p>
        </w:tc>
      </w:tr>
      <w:tr w:rsidR="00586B2D" w:rsidRPr="00457FD3" w14:paraId="14EA8649" w14:textId="77777777" w:rsidTr="00303D2C">
        <w:tc>
          <w:tcPr>
            <w:tcW w:w="5000" w:type="pct"/>
            <w:gridSpan w:val="4"/>
            <w:vAlign w:val="center"/>
          </w:tcPr>
          <w:p w14:paraId="6C2CFCC8" w14:textId="77777777" w:rsidR="00586B2D" w:rsidRPr="00457FD3" w:rsidRDefault="00586B2D" w:rsidP="00303D2C">
            <w:pPr>
              <w:pStyle w:val="TableText0"/>
              <w:rPr>
                <w:b/>
              </w:rPr>
            </w:pPr>
            <w:r w:rsidRPr="00457FD3">
              <w:rPr>
                <w:b/>
              </w:rPr>
              <w:t>Step 1: trial-based costs and outcomes (progression free period only)</w:t>
            </w:r>
          </w:p>
        </w:tc>
      </w:tr>
      <w:tr w:rsidR="00586B2D" w:rsidRPr="00457FD3" w14:paraId="0A6B361B" w14:textId="77777777" w:rsidTr="00037EC2">
        <w:tc>
          <w:tcPr>
            <w:tcW w:w="1962" w:type="pct"/>
            <w:vAlign w:val="center"/>
          </w:tcPr>
          <w:p w14:paraId="042E5B4A" w14:textId="77777777" w:rsidR="00586B2D" w:rsidRPr="008E26CF" w:rsidRDefault="00586B2D" w:rsidP="00303D2C">
            <w:pPr>
              <w:pStyle w:val="TableText0"/>
              <w:rPr>
                <w:rFonts w:ascii="Times" w:hAnsi="Times"/>
              </w:rPr>
            </w:pPr>
            <w:r w:rsidRPr="00457FD3">
              <w:t>Costs</w:t>
            </w:r>
            <w:r w:rsidRPr="00457FD3">
              <w:rPr>
                <w:vertAlign w:val="superscript"/>
              </w:rPr>
              <w:t>a</w:t>
            </w:r>
            <w:r w:rsidR="008E26CF">
              <w:rPr>
                <w:vertAlign w:val="superscript"/>
              </w:rPr>
              <w:t xml:space="preserve"> </w:t>
            </w:r>
            <w:r w:rsidR="008E26CF">
              <w:t>($)</w:t>
            </w:r>
          </w:p>
        </w:tc>
        <w:tc>
          <w:tcPr>
            <w:tcW w:w="1023" w:type="pct"/>
            <w:vAlign w:val="center"/>
          </w:tcPr>
          <w:p w14:paraId="0170E547" w14:textId="77777777" w:rsidR="00586B2D" w:rsidRPr="00730CE5" w:rsidRDefault="00730CE5" w:rsidP="00303D2C">
            <w:pPr>
              <w:pStyle w:val="TableText0"/>
              <w:jc w:val="center"/>
              <w:rPr>
                <w:rFonts w:ascii="Times" w:hAnsi="Times"/>
                <w:highlight w:val="black"/>
              </w:rPr>
            </w:pPr>
            <w:r>
              <w:rPr>
                <w:noProof/>
                <w:color w:val="000000"/>
                <w:highlight w:val="black"/>
              </w:rPr>
              <w:t>''''''''''''''''''</w:t>
            </w:r>
          </w:p>
        </w:tc>
        <w:tc>
          <w:tcPr>
            <w:tcW w:w="1101" w:type="pct"/>
            <w:vAlign w:val="center"/>
          </w:tcPr>
          <w:p w14:paraId="63187B87" w14:textId="77777777" w:rsidR="00586B2D" w:rsidRPr="00457FD3" w:rsidRDefault="00586B2D" w:rsidP="00303D2C">
            <w:pPr>
              <w:pStyle w:val="TableText0"/>
              <w:jc w:val="center"/>
              <w:rPr>
                <w:rFonts w:ascii="Times" w:hAnsi="Times"/>
              </w:rPr>
            </w:pPr>
            <w:r w:rsidRPr="00457FD3">
              <w:t>$4,951</w:t>
            </w:r>
          </w:p>
        </w:tc>
        <w:tc>
          <w:tcPr>
            <w:tcW w:w="914" w:type="pct"/>
            <w:vAlign w:val="center"/>
          </w:tcPr>
          <w:p w14:paraId="3D47E6BA" w14:textId="77777777" w:rsidR="00586B2D" w:rsidRPr="00730CE5" w:rsidRDefault="00730CE5" w:rsidP="00303D2C">
            <w:pPr>
              <w:pStyle w:val="TableText0"/>
              <w:jc w:val="center"/>
              <w:rPr>
                <w:rFonts w:ascii="Times" w:hAnsi="Times"/>
                <w:highlight w:val="black"/>
              </w:rPr>
            </w:pPr>
            <w:r>
              <w:rPr>
                <w:noProof/>
                <w:color w:val="000000"/>
                <w:highlight w:val="black"/>
              </w:rPr>
              <w:t>''''''''''''''''''''</w:t>
            </w:r>
          </w:p>
        </w:tc>
      </w:tr>
      <w:tr w:rsidR="00586B2D" w:rsidRPr="00457FD3" w14:paraId="2935CDD3" w14:textId="77777777" w:rsidTr="00037EC2">
        <w:tc>
          <w:tcPr>
            <w:tcW w:w="1962" w:type="pct"/>
            <w:vAlign w:val="center"/>
          </w:tcPr>
          <w:p w14:paraId="4E0756B1" w14:textId="77777777" w:rsidR="00586B2D" w:rsidRPr="00457FD3" w:rsidRDefault="00586B2D" w:rsidP="00303D2C">
            <w:pPr>
              <w:pStyle w:val="TableText0"/>
              <w:rPr>
                <w:rFonts w:ascii="Times" w:hAnsi="Times"/>
              </w:rPr>
            </w:pPr>
            <w:r w:rsidRPr="00457FD3">
              <w:t>Progression free LYs</w:t>
            </w:r>
          </w:p>
        </w:tc>
        <w:tc>
          <w:tcPr>
            <w:tcW w:w="1023" w:type="pct"/>
            <w:vAlign w:val="center"/>
          </w:tcPr>
          <w:p w14:paraId="0A959693" w14:textId="77777777" w:rsidR="00586B2D" w:rsidRPr="00457FD3" w:rsidRDefault="00586B2D" w:rsidP="00303D2C">
            <w:pPr>
              <w:pStyle w:val="TableText0"/>
              <w:jc w:val="center"/>
              <w:rPr>
                <w:rFonts w:ascii="Times" w:hAnsi="Times"/>
                <w:vertAlign w:val="superscript"/>
              </w:rPr>
            </w:pPr>
            <w:r w:rsidRPr="00457FD3">
              <w:t>0.400</w:t>
            </w:r>
            <w:r w:rsidRPr="00457FD3">
              <w:rPr>
                <w:vertAlign w:val="superscript"/>
              </w:rPr>
              <w:t>b</w:t>
            </w:r>
          </w:p>
        </w:tc>
        <w:tc>
          <w:tcPr>
            <w:tcW w:w="1101" w:type="pct"/>
            <w:vAlign w:val="center"/>
          </w:tcPr>
          <w:p w14:paraId="27BE49D0" w14:textId="77777777" w:rsidR="00586B2D" w:rsidRPr="00457FD3" w:rsidRDefault="00586B2D" w:rsidP="00303D2C">
            <w:pPr>
              <w:pStyle w:val="TableText0"/>
              <w:jc w:val="center"/>
              <w:rPr>
                <w:rFonts w:ascii="Times" w:hAnsi="Times"/>
                <w:vertAlign w:val="superscript"/>
              </w:rPr>
            </w:pPr>
            <w:r w:rsidRPr="00457FD3">
              <w:t>0.142</w:t>
            </w:r>
            <w:r w:rsidRPr="00457FD3">
              <w:rPr>
                <w:vertAlign w:val="superscript"/>
              </w:rPr>
              <w:t>b</w:t>
            </w:r>
          </w:p>
        </w:tc>
        <w:tc>
          <w:tcPr>
            <w:tcW w:w="914" w:type="pct"/>
            <w:vAlign w:val="center"/>
          </w:tcPr>
          <w:p w14:paraId="4A22842F" w14:textId="77777777" w:rsidR="00586B2D" w:rsidRPr="00457FD3" w:rsidRDefault="00586B2D" w:rsidP="00303D2C">
            <w:pPr>
              <w:pStyle w:val="TableText0"/>
              <w:jc w:val="center"/>
            </w:pPr>
            <w:r w:rsidRPr="00457FD3">
              <w:t>0.258</w:t>
            </w:r>
          </w:p>
        </w:tc>
      </w:tr>
      <w:tr w:rsidR="00586B2D" w:rsidRPr="00457FD3" w14:paraId="0E70EA2A" w14:textId="77777777" w:rsidTr="00037EC2">
        <w:tc>
          <w:tcPr>
            <w:tcW w:w="4086" w:type="pct"/>
            <w:gridSpan w:val="3"/>
            <w:vAlign w:val="center"/>
          </w:tcPr>
          <w:p w14:paraId="1025EDD3" w14:textId="77777777" w:rsidR="00586B2D" w:rsidRPr="00457FD3" w:rsidRDefault="00586B2D" w:rsidP="00303D2C">
            <w:pPr>
              <w:pStyle w:val="TableText0"/>
              <w:rPr>
                <w:rFonts w:ascii="Times" w:hAnsi="Times"/>
              </w:rPr>
            </w:pPr>
            <w:r w:rsidRPr="00457FD3">
              <w:t xml:space="preserve">Incremental cost/extra progression free LY gained </w:t>
            </w:r>
          </w:p>
        </w:tc>
        <w:tc>
          <w:tcPr>
            <w:tcW w:w="914" w:type="pct"/>
            <w:vAlign w:val="center"/>
          </w:tcPr>
          <w:p w14:paraId="1A2166C9" w14:textId="77777777" w:rsidR="00586B2D" w:rsidRPr="00A74D90" w:rsidRDefault="00730CE5" w:rsidP="00303D2C">
            <w:pPr>
              <w:pStyle w:val="TableText0"/>
              <w:jc w:val="center"/>
              <w:rPr>
                <w:rFonts w:ascii="Times" w:hAnsi="Times"/>
              </w:rPr>
            </w:pPr>
            <w:r>
              <w:rPr>
                <w:noProof/>
                <w:color w:val="000000"/>
                <w:highlight w:val="black"/>
              </w:rPr>
              <w:t>''''''''''''''''''''''</w:t>
            </w:r>
            <w:r w:rsidR="00A74D90" w:rsidRPr="00A74D90">
              <w:rPr>
                <w:vertAlign w:val="superscript"/>
              </w:rPr>
              <w:t>1</w:t>
            </w:r>
          </w:p>
        </w:tc>
      </w:tr>
      <w:tr w:rsidR="00586B2D" w:rsidRPr="00457FD3" w14:paraId="0D6EEF7D" w14:textId="77777777" w:rsidTr="00303D2C">
        <w:tc>
          <w:tcPr>
            <w:tcW w:w="5000" w:type="pct"/>
            <w:gridSpan w:val="4"/>
            <w:vAlign w:val="center"/>
          </w:tcPr>
          <w:p w14:paraId="1CD40921" w14:textId="77777777" w:rsidR="00586B2D" w:rsidRPr="00457FD3" w:rsidRDefault="00586B2D" w:rsidP="00303D2C">
            <w:pPr>
              <w:pStyle w:val="In-tableHeading"/>
            </w:pPr>
            <w:r w:rsidRPr="00457FD3">
              <w:t>Step 2: time horizon extended to 10 years and applying terminal care costs</w:t>
            </w:r>
          </w:p>
        </w:tc>
      </w:tr>
      <w:tr w:rsidR="00586B2D" w:rsidRPr="00457FD3" w14:paraId="47DFEC0E" w14:textId="77777777" w:rsidTr="00037EC2">
        <w:tc>
          <w:tcPr>
            <w:tcW w:w="1962" w:type="pct"/>
            <w:vAlign w:val="center"/>
          </w:tcPr>
          <w:p w14:paraId="73E6403C" w14:textId="77777777" w:rsidR="00586B2D" w:rsidRPr="008E26CF" w:rsidRDefault="00586B2D" w:rsidP="00303D2C">
            <w:pPr>
              <w:pStyle w:val="TableText0"/>
              <w:rPr>
                <w:rFonts w:ascii="Times" w:hAnsi="Times"/>
              </w:rPr>
            </w:pPr>
            <w:r w:rsidRPr="00457FD3">
              <w:t>Costs</w:t>
            </w:r>
            <w:r w:rsidRPr="00457FD3">
              <w:rPr>
                <w:vertAlign w:val="superscript"/>
              </w:rPr>
              <w:t>c</w:t>
            </w:r>
            <w:r w:rsidR="008E26CF">
              <w:t xml:space="preserve"> ($)</w:t>
            </w:r>
          </w:p>
        </w:tc>
        <w:tc>
          <w:tcPr>
            <w:tcW w:w="1023" w:type="pct"/>
            <w:vAlign w:val="center"/>
          </w:tcPr>
          <w:p w14:paraId="633B35FB" w14:textId="77777777" w:rsidR="00586B2D" w:rsidRPr="00730CE5" w:rsidRDefault="00730CE5" w:rsidP="00303D2C">
            <w:pPr>
              <w:pStyle w:val="TableText0"/>
              <w:jc w:val="center"/>
              <w:rPr>
                <w:rFonts w:ascii="Times" w:hAnsi="Times"/>
                <w:highlight w:val="black"/>
              </w:rPr>
            </w:pPr>
            <w:r>
              <w:rPr>
                <w:noProof/>
                <w:color w:val="000000"/>
                <w:highlight w:val="black"/>
              </w:rPr>
              <w:t>'''''''''''''''''''''</w:t>
            </w:r>
          </w:p>
        </w:tc>
        <w:tc>
          <w:tcPr>
            <w:tcW w:w="1101" w:type="pct"/>
            <w:vAlign w:val="center"/>
          </w:tcPr>
          <w:p w14:paraId="7192C582" w14:textId="77777777" w:rsidR="00586B2D" w:rsidRPr="00457FD3" w:rsidRDefault="00586B2D" w:rsidP="00303D2C">
            <w:pPr>
              <w:pStyle w:val="TableText0"/>
              <w:jc w:val="center"/>
              <w:rPr>
                <w:rFonts w:ascii="Times" w:hAnsi="Times"/>
              </w:rPr>
            </w:pPr>
            <w:r w:rsidRPr="00457FD3">
              <w:t>$39,918</w:t>
            </w:r>
          </w:p>
        </w:tc>
        <w:tc>
          <w:tcPr>
            <w:tcW w:w="914" w:type="pct"/>
            <w:vAlign w:val="center"/>
          </w:tcPr>
          <w:p w14:paraId="26AFF893" w14:textId="77777777" w:rsidR="00586B2D" w:rsidRPr="00730CE5" w:rsidRDefault="00730CE5" w:rsidP="00303D2C">
            <w:pPr>
              <w:pStyle w:val="TableText0"/>
              <w:jc w:val="center"/>
              <w:rPr>
                <w:rFonts w:ascii="Times" w:hAnsi="Times"/>
                <w:highlight w:val="black"/>
              </w:rPr>
            </w:pPr>
            <w:r>
              <w:rPr>
                <w:noProof/>
                <w:color w:val="000000"/>
                <w:highlight w:val="black"/>
              </w:rPr>
              <w:t>''''''''''''''''''</w:t>
            </w:r>
          </w:p>
        </w:tc>
      </w:tr>
      <w:tr w:rsidR="00586B2D" w:rsidRPr="00457FD3" w14:paraId="30DE85A2" w14:textId="77777777" w:rsidTr="00037EC2">
        <w:tc>
          <w:tcPr>
            <w:tcW w:w="1962" w:type="pct"/>
            <w:vAlign w:val="center"/>
          </w:tcPr>
          <w:p w14:paraId="746FA7F4" w14:textId="77777777" w:rsidR="00586B2D" w:rsidRPr="00457FD3" w:rsidRDefault="00586B2D" w:rsidP="00303D2C">
            <w:pPr>
              <w:pStyle w:val="TableText0"/>
              <w:rPr>
                <w:rFonts w:ascii="Times" w:hAnsi="Times"/>
              </w:rPr>
            </w:pPr>
            <w:r w:rsidRPr="00457FD3">
              <w:t>LYs</w:t>
            </w:r>
          </w:p>
        </w:tc>
        <w:tc>
          <w:tcPr>
            <w:tcW w:w="1023" w:type="pct"/>
            <w:vAlign w:val="center"/>
          </w:tcPr>
          <w:p w14:paraId="7A8B37CB" w14:textId="77777777" w:rsidR="00586B2D" w:rsidRPr="00457FD3" w:rsidRDefault="00586B2D" w:rsidP="00303D2C">
            <w:pPr>
              <w:pStyle w:val="TableText0"/>
              <w:jc w:val="center"/>
              <w:rPr>
                <w:rFonts w:ascii="Times" w:hAnsi="Times"/>
              </w:rPr>
            </w:pPr>
            <w:r w:rsidRPr="00457FD3">
              <w:t>1.358</w:t>
            </w:r>
          </w:p>
        </w:tc>
        <w:tc>
          <w:tcPr>
            <w:tcW w:w="1101" w:type="pct"/>
            <w:vAlign w:val="center"/>
          </w:tcPr>
          <w:p w14:paraId="49E86633" w14:textId="77777777" w:rsidR="00586B2D" w:rsidRPr="00457FD3" w:rsidRDefault="00586B2D" w:rsidP="00303D2C">
            <w:pPr>
              <w:pStyle w:val="TableText0"/>
              <w:jc w:val="center"/>
            </w:pPr>
            <w:r w:rsidRPr="00457FD3">
              <w:t>0.811</w:t>
            </w:r>
          </w:p>
        </w:tc>
        <w:tc>
          <w:tcPr>
            <w:tcW w:w="914" w:type="pct"/>
            <w:vAlign w:val="center"/>
          </w:tcPr>
          <w:p w14:paraId="73A58B51" w14:textId="77777777" w:rsidR="00586B2D" w:rsidRPr="00457FD3" w:rsidRDefault="00586B2D" w:rsidP="00303D2C">
            <w:pPr>
              <w:pStyle w:val="TableText0"/>
              <w:jc w:val="center"/>
            </w:pPr>
            <w:r w:rsidRPr="00457FD3">
              <w:t>0.547</w:t>
            </w:r>
          </w:p>
        </w:tc>
      </w:tr>
      <w:tr w:rsidR="00586B2D" w:rsidRPr="00457FD3" w14:paraId="53E9F246" w14:textId="77777777" w:rsidTr="00037EC2">
        <w:tc>
          <w:tcPr>
            <w:tcW w:w="4086" w:type="pct"/>
            <w:gridSpan w:val="3"/>
            <w:vAlign w:val="center"/>
          </w:tcPr>
          <w:p w14:paraId="63B95E35" w14:textId="77777777" w:rsidR="00586B2D" w:rsidRPr="00457FD3" w:rsidRDefault="00586B2D" w:rsidP="00303D2C">
            <w:pPr>
              <w:pStyle w:val="TableText0"/>
              <w:rPr>
                <w:rFonts w:ascii="Times" w:hAnsi="Times"/>
              </w:rPr>
            </w:pPr>
            <w:r w:rsidRPr="00457FD3">
              <w:t>Incremental cost/extra LY gained</w:t>
            </w:r>
          </w:p>
        </w:tc>
        <w:tc>
          <w:tcPr>
            <w:tcW w:w="914" w:type="pct"/>
            <w:vAlign w:val="center"/>
          </w:tcPr>
          <w:p w14:paraId="59600699" w14:textId="77777777" w:rsidR="00586B2D" w:rsidRPr="00735B22" w:rsidRDefault="00730CE5" w:rsidP="00303D2C">
            <w:pPr>
              <w:pStyle w:val="TableText0"/>
              <w:jc w:val="center"/>
              <w:rPr>
                <w:rFonts w:ascii="Times" w:hAnsi="Times"/>
                <w:vertAlign w:val="superscript"/>
              </w:rPr>
            </w:pPr>
            <w:r>
              <w:rPr>
                <w:noProof/>
                <w:color w:val="000000"/>
                <w:highlight w:val="black"/>
              </w:rPr>
              <w:t>''''''''''''''''''''''''</w:t>
            </w:r>
            <w:r w:rsidR="00735B22" w:rsidRPr="00735B22">
              <w:rPr>
                <w:vertAlign w:val="superscript"/>
              </w:rPr>
              <w:t>2</w:t>
            </w:r>
          </w:p>
        </w:tc>
      </w:tr>
      <w:tr w:rsidR="00586B2D" w:rsidRPr="00457FD3" w14:paraId="12BD9B44" w14:textId="77777777" w:rsidTr="00303D2C">
        <w:tc>
          <w:tcPr>
            <w:tcW w:w="5000" w:type="pct"/>
            <w:gridSpan w:val="4"/>
            <w:vAlign w:val="center"/>
          </w:tcPr>
          <w:p w14:paraId="51004756" w14:textId="77777777" w:rsidR="00586B2D" w:rsidRPr="00457FD3" w:rsidRDefault="00586B2D" w:rsidP="00303D2C">
            <w:pPr>
              <w:pStyle w:val="In-tableHeading"/>
            </w:pPr>
            <w:r w:rsidRPr="00457FD3">
              <w:t>Step 3: utility weights applied</w:t>
            </w:r>
          </w:p>
        </w:tc>
      </w:tr>
      <w:tr w:rsidR="00586B2D" w:rsidRPr="00457FD3" w14:paraId="204B447F" w14:textId="77777777" w:rsidTr="00037EC2">
        <w:tc>
          <w:tcPr>
            <w:tcW w:w="1962" w:type="pct"/>
            <w:vAlign w:val="center"/>
          </w:tcPr>
          <w:p w14:paraId="0EFA3E32" w14:textId="77777777" w:rsidR="00586B2D" w:rsidRPr="008E26CF" w:rsidRDefault="00586B2D" w:rsidP="00303D2C">
            <w:pPr>
              <w:pStyle w:val="TableText0"/>
              <w:rPr>
                <w:rFonts w:ascii="Times" w:hAnsi="Times"/>
              </w:rPr>
            </w:pPr>
            <w:r w:rsidRPr="00457FD3">
              <w:t>Costs</w:t>
            </w:r>
            <w:r w:rsidRPr="00457FD3">
              <w:rPr>
                <w:vertAlign w:val="superscript"/>
              </w:rPr>
              <w:t>c</w:t>
            </w:r>
            <w:r w:rsidR="008E26CF">
              <w:rPr>
                <w:vertAlign w:val="superscript"/>
              </w:rPr>
              <w:t xml:space="preserve"> </w:t>
            </w:r>
            <w:r w:rsidR="008E26CF">
              <w:t>($)</w:t>
            </w:r>
          </w:p>
        </w:tc>
        <w:tc>
          <w:tcPr>
            <w:tcW w:w="1023" w:type="pct"/>
            <w:vAlign w:val="center"/>
          </w:tcPr>
          <w:p w14:paraId="3130CA60" w14:textId="77777777" w:rsidR="00586B2D" w:rsidRPr="00730CE5" w:rsidRDefault="00730CE5" w:rsidP="00303D2C">
            <w:pPr>
              <w:pStyle w:val="TableText0"/>
              <w:jc w:val="center"/>
              <w:rPr>
                <w:rFonts w:ascii="Times" w:hAnsi="Times"/>
                <w:highlight w:val="black"/>
              </w:rPr>
            </w:pPr>
            <w:r>
              <w:rPr>
                <w:noProof/>
                <w:color w:val="000000"/>
                <w:highlight w:val="black"/>
              </w:rPr>
              <w:t>'''''''''''''''''''''</w:t>
            </w:r>
          </w:p>
        </w:tc>
        <w:tc>
          <w:tcPr>
            <w:tcW w:w="1101" w:type="pct"/>
            <w:vAlign w:val="center"/>
          </w:tcPr>
          <w:p w14:paraId="37D07FEB" w14:textId="77777777" w:rsidR="00586B2D" w:rsidRPr="00457FD3" w:rsidRDefault="00586B2D" w:rsidP="00303D2C">
            <w:pPr>
              <w:pStyle w:val="TableText0"/>
              <w:jc w:val="center"/>
              <w:rPr>
                <w:rFonts w:ascii="Times" w:hAnsi="Times"/>
              </w:rPr>
            </w:pPr>
            <w:r w:rsidRPr="00457FD3">
              <w:t>$39,918</w:t>
            </w:r>
          </w:p>
        </w:tc>
        <w:tc>
          <w:tcPr>
            <w:tcW w:w="914" w:type="pct"/>
            <w:vAlign w:val="center"/>
          </w:tcPr>
          <w:p w14:paraId="54C8394E" w14:textId="77777777" w:rsidR="00586B2D" w:rsidRPr="00730CE5" w:rsidRDefault="00730CE5" w:rsidP="00303D2C">
            <w:pPr>
              <w:pStyle w:val="TableText0"/>
              <w:jc w:val="center"/>
              <w:rPr>
                <w:rFonts w:ascii="Times" w:hAnsi="Times"/>
                <w:highlight w:val="black"/>
              </w:rPr>
            </w:pPr>
            <w:r>
              <w:rPr>
                <w:noProof/>
                <w:color w:val="000000"/>
                <w:highlight w:val="black"/>
              </w:rPr>
              <w:t>'''''''''''''''''''''</w:t>
            </w:r>
          </w:p>
        </w:tc>
      </w:tr>
      <w:tr w:rsidR="00586B2D" w:rsidRPr="00457FD3" w14:paraId="7ACF8451" w14:textId="77777777" w:rsidTr="00037EC2">
        <w:tc>
          <w:tcPr>
            <w:tcW w:w="1962" w:type="pct"/>
            <w:vAlign w:val="center"/>
          </w:tcPr>
          <w:p w14:paraId="028F89D7" w14:textId="77777777" w:rsidR="00586B2D" w:rsidRPr="00457FD3" w:rsidRDefault="00586B2D" w:rsidP="00303D2C">
            <w:pPr>
              <w:pStyle w:val="TableText0"/>
              <w:rPr>
                <w:rFonts w:ascii="Times" w:hAnsi="Times"/>
              </w:rPr>
            </w:pPr>
            <w:r w:rsidRPr="00457FD3">
              <w:t>QALYs</w:t>
            </w:r>
          </w:p>
        </w:tc>
        <w:tc>
          <w:tcPr>
            <w:tcW w:w="1023" w:type="pct"/>
            <w:vAlign w:val="center"/>
          </w:tcPr>
          <w:p w14:paraId="57A7BE71" w14:textId="77777777" w:rsidR="00586B2D" w:rsidRPr="00457FD3" w:rsidRDefault="00586B2D" w:rsidP="00303D2C">
            <w:pPr>
              <w:pStyle w:val="TableText0"/>
              <w:jc w:val="center"/>
              <w:rPr>
                <w:rFonts w:ascii="Times" w:hAnsi="Times"/>
              </w:rPr>
            </w:pPr>
            <w:r w:rsidRPr="00457FD3">
              <w:t>0.901</w:t>
            </w:r>
          </w:p>
        </w:tc>
        <w:tc>
          <w:tcPr>
            <w:tcW w:w="1101" w:type="pct"/>
            <w:vAlign w:val="center"/>
          </w:tcPr>
          <w:p w14:paraId="5941DDE0" w14:textId="77777777" w:rsidR="00586B2D" w:rsidRPr="00457FD3" w:rsidRDefault="00586B2D" w:rsidP="00303D2C">
            <w:pPr>
              <w:pStyle w:val="TableText0"/>
              <w:jc w:val="center"/>
              <w:rPr>
                <w:rFonts w:ascii="Times" w:hAnsi="Times"/>
              </w:rPr>
            </w:pPr>
            <w:r w:rsidRPr="00457FD3">
              <w:t>0.504</w:t>
            </w:r>
          </w:p>
        </w:tc>
        <w:tc>
          <w:tcPr>
            <w:tcW w:w="914" w:type="pct"/>
            <w:vAlign w:val="center"/>
          </w:tcPr>
          <w:p w14:paraId="4EE9CFA3" w14:textId="77777777" w:rsidR="00586B2D" w:rsidRPr="00457FD3" w:rsidRDefault="00586B2D" w:rsidP="00303D2C">
            <w:pPr>
              <w:pStyle w:val="TableText0"/>
              <w:jc w:val="center"/>
            </w:pPr>
            <w:r w:rsidRPr="00457FD3">
              <w:t>0.397</w:t>
            </w:r>
          </w:p>
        </w:tc>
      </w:tr>
      <w:tr w:rsidR="00586B2D" w:rsidRPr="00457FD3" w14:paraId="58F95986" w14:textId="77777777" w:rsidTr="00037EC2">
        <w:tc>
          <w:tcPr>
            <w:tcW w:w="4086" w:type="pct"/>
            <w:gridSpan w:val="3"/>
            <w:vAlign w:val="center"/>
          </w:tcPr>
          <w:p w14:paraId="06140B0B" w14:textId="77777777" w:rsidR="00586B2D" w:rsidRPr="00457FD3" w:rsidRDefault="00586B2D" w:rsidP="00303D2C">
            <w:pPr>
              <w:pStyle w:val="TableText0"/>
              <w:rPr>
                <w:rFonts w:ascii="Times" w:hAnsi="Times"/>
              </w:rPr>
            </w:pPr>
            <w:r w:rsidRPr="00457FD3">
              <w:t>Incremental cost/extra QALY gained</w:t>
            </w:r>
          </w:p>
        </w:tc>
        <w:tc>
          <w:tcPr>
            <w:tcW w:w="914" w:type="pct"/>
            <w:vAlign w:val="center"/>
          </w:tcPr>
          <w:p w14:paraId="49F862F6" w14:textId="77777777" w:rsidR="00586B2D" w:rsidRPr="00735B22" w:rsidRDefault="00730CE5" w:rsidP="00303D2C">
            <w:pPr>
              <w:pStyle w:val="TableText0"/>
              <w:jc w:val="center"/>
              <w:rPr>
                <w:rFonts w:ascii="Times" w:hAnsi="Times"/>
                <w:vertAlign w:val="superscript"/>
              </w:rPr>
            </w:pPr>
            <w:r>
              <w:rPr>
                <w:noProof/>
                <w:color w:val="000000"/>
                <w:highlight w:val="black"/>
              </w:rPr>
              <w:t>''''''''''''''''''''''''</w:t>
            </w:r>
            <w:r w:rsidR="00735B22" w:rsidRPr="00735B22">
              <w:rPr>
                <w:vertAlign w:val="superscript"/>
              </w:rPr>
              <w:t>3</w:t>
            </w:r>
          </w:p>
        </w:tc>
      </w:tr>
    </w:tbl>
    <w:p w14:paraId="70EC4191" w14:textId="77777777" w:rsidR="00586B2D" w:rsidRPr="00457FD3" w:rsidRDefault="00586B2D" w:rsidP="00586B2D">
      <w:pPr>
        <w:pStyle w:val="TableFigureFooter"/>
      </w:pPr>
      <w:r w:rsidRPr="00457FD3">
        <w:t>Source: Table 3-26, p170 of the submission; Excel workbook ‘Trodelvy PBAC Submission July 2021 S3 CEM FINAL’.</w:t>
      </w:r>
    </w:p>
    <w:p w14:paraId="329C5A5A" w14:textId="77777777" w:rsidR="00586B2D" w:rsidRPr="00457FD3" w:rsidRDefault="00586B2D" w:rsidP="00586B2D">
      <w:pPr>
        <w:pStyle w:val="TableFigureFooter"/>
      </w:pPr>
      <w:r w:rsidRPr="00457FD3">
        <w:t>LY = life-year; QALY = quality-adjusted life-year; SG = sacituzumab govitecan; TPC = treatment of physician's choice.</w:t>
      </w:r>
    </w:p>
    <w:p w14:paraId="33430025" w14:textId="77777777" w:rsidR="00586B2D" w:rsidRPr="00457FD3" w:rsidRDefault="00586B2D" w:rsidP="00586B2D">
      <w:pPr>
        <w:pStyle w:val="TableFigureFooter"/>
        <w:ind w:left="142" w:hanging="142"/>
      </w:pPr>
      <w:r w:rsidRPr="00457FD3">
        <w:rPr>
          <w:vertAlign w:val="superscript"/>
        </w:rPr>
        <w:t>a</w:t>
      </w:r>
      <w:r w:rsidRPr="00457FD3">
        <w:t xml:space="preserve"> Includes drug and administration costs, routine management and monitoring costs, and costs of managing AEs.</w:t>
      </w:r>
    </w:p>
    <w:p w14:paraId="2C694FED" w14:textId="77777777" w:rsidR="00586B2D" w:rsidRPr="00457FD3" w:rsidRDefault="00586B2D" w:rsidP="00586B2D">
      <w:pPr>
        <w:pStyle w:val="TableFigureFooter"/>
        <w:ind w:left="142" w:hanging="142"/>
      </w:pPr>
      <w:r w:rsidRPr="00457FD3">
        <w:rPr>
          <w:vertAlign w:val="superscript"/>
        </w:rPr>
        <w:t xml:space="preserve">b </w:t>
      </w:r>
      <w:r w:rsidRPr="00457FD3">
        <w:t>This was the median PFS from the trial (4.8 moths for SG and 1.7 months for TPC)</w:t>
      </w:r>
    </w:p>
    <w:p w14:paraId="5F2C11AF" w14:textId="77777777" w:rsidR="00586B2D" w:rsidRPr="00457FD3" w:rsidRDefault="00586B2D" w:rsidP="00586B2D">
      <w:pPr>
        <w:pStyle w:val="TableFigureFooter"/>
        <w:ind w:left="142" w:hanging="142"/>
      </w:pPr>
      <w:r w:rsidRPr="00457FD3">
        <w:rPr>
          <w:vertAlign w:val="superscript"/>
        </w:rPr>
        <w:t xml:space="preserve">c </w:t>
      </w:r>
      <w:r w:rsidRPr="00457FD3">
        <w:t>Includes drug and administration costs, routine management and monitoring costs, costs of managing AEs, and terminal care costs accrued over the time spent in the PF health state of the model (mean of 0.67 years for SG and 0.31 years for TPC).</w:t>
      </w:r>
    </w:p>
    <w:p w14:paraId="38AF5791" w14:textId="77777777" w:rsidR="00586B2D" w:rsidRPr="00457FD3" w:rsidRDefault="00586B2D" w:rsidP="00586B2D">
      <w:pPr>
        <w:pStyle w:val="TableFigureFooter"/>
      </w:pPr>
      <w:r w:rsidRPr="00457FD3">
        <w:t>Note: Costs were discounted at 5% per annum in all three steps, health outcomes were discounted at 5% per annum in steps 2 and 3.</w:t>
      </w:r>
    </w:p>
    <w:p w14:paraId="39BF2C38" w14:textId="77777777" w:rsidR="00586B2D" w:rsidRDefault="00586B2D" w:rsidP="00586B2D">
      <w:pPr>
        <w:pStyle w:val="TableFigureFooter"/>
        <w:ind w:left="142" w:hanging="142"/>
      </w:pPr>
      <w:r w:rsidRPr="00457FD3">
        <w:t>Note: fees and mark-ups for PBS drugs were updated during the evaluation.</w:t>
      </w:r>
    </w:p>
    <w:p w14:paraId="76103250" w14:textId="77777777" w:rsidR="008E26CF" w:rsidRPr="008E26CF" w:rsidRDefault="008E26CF" w:rsidP="00586B2D">
      <w:pPr>
        <w:pStyle w:val="TableFigureFooter"/>
        <w:ind w:left="142" w:hanging="142"/>
        <w:rPr>
          <w:i/>
        </w:rPr>
      </w:pPr>
      <w:r w:rsidRPr="008E26CF">
        <w:rPr>
          <w:i/>
        </w:rPr>
        <w:t>The redacted values correspond to the following ranges:</w:t>
      </w:r>
    </w:p>
    <w:p w14:paraId="66671C53" w14:textId="77777777" w:rsidR="008E26CF" w:rsidRPr="008E26CF" w:rsidRDefault="008E26CF" w:rsidP="00586B2D">
      <w:pPr>
        <w:pStyle w:val="TableFigureFooter"/>
        <w:ind w:left="142" w:hanging="142"/>
        <w:rPr>
          <w:i/>
        </w:rPr>
      </w:pPr>
      <w:r w:rsidRPr="008E26CF">
        <w:rPr>
          <w:i/>
          <w:vertAlign w:val="superscript"/>
        </w:rPr>
        <w:t>1</w:t>
      </w:r>
      <w:r w:rsidRPr="008E26CF">
        <w:rPr>
          <w:i/>
        </w:rPr>
        <w:t xml:space="preserve"> $155,000 to &lt; $255,000</w:t>
      </w:r>
    </w:p>
    <w:p w14:paraId="1CB68055" w14:textId="77777777" w:rsidR="008E26CF" w:rsidRPr="008E26CF" w:rsidRDefault="008E26CF" w:rsidP="00586B2D">
      <w:pPr>
        <w:pStyle w:val="TableFigureFooter"/>
        <w:ind w:left="142" w:hanging="142"/>
        <w:rPr>
          <w:i/>
        </w:rPr>
      </w:pPr>
      <w:r w:rsidRPr="008E26CF">
        <w:rPr>
          <w:i/>
          <w:vertAlign w:val="superscript"/>
        </w:rPr>
        <w:t>2</w:t>
      </w:r>
      <w:r w:rsidRPr="008E26CF">
        <w:rPr>
          <w:i/>
        </w:rPr>
        <w:t xml:space="preserve"> $95,000 to &lt; $115,000</w:t>
      </w:r>
    </w:p>
    <w:p w14:paraId="2066111A" w14:textId="77777777" w:rsidR="008E26CF" w:rsidRPr="008E26CF" w:rsidRDefault="008E26CF" w:rsidP="00586B2D">
      <w:pPr>
        <w:pStyle w:val="TableFigureFooter"/>
        <w:ind w:left="142" w:hanging="142"/>
        <w:rPr>
          <w:i/>
        </w:rPr>
      </w:pPr>
      <w:r w:rsidRPr="008E26CF">
        <w:rPr>
          <w:i/>
          <w:vertAlign w:val="superscript"/>
        </w:rPr>
        <w:t>3</w:t>
      </w:r>
      <w:r w:rsidRPr="008E26CF">
        <w:rPr>
          <w:i/>
        </w:rPr>
        <w:t xml:space="preserve"> $135,000 to &lt; $155,000</w:t>
      </w:r>
    </w:p>
    <w:p w14:paraId="06AACC38" w14:textId="77777777" w:rsidR="00586B2D" w:rsidRPr="00457FD3" w:rsidRDefault="00586B2D" w:rsidP="00586B2D">
      <w:pPr>
        <w:pStyle w:val="In-tableHeading"/>
        <w:rPr>
          <w:lang w:val="en-AU"/>
        </w:rPr>
      </w:pPr>
    </w:p>
    <w:p w14:paraId="6169358B" w14:textId="77777777" w:rsidR="00A173AE" w:rsidRPr="00457FD3" w:rsidRDefault="00A173AE" w:rsidP="00A173AE">
      <w:pPr>
        <w:pStyle w:val="3-BodyText"/>
      </w:pPr>
      <w:r w:rsidRPr="00457FD3">
        <w:t>The mean undiscounted incremental life-years (LYs) gained over the duration of follow-up in the trial was approximately 0.36 L</w:t>
      </w:r>
      <w:r w:rsidR="009614C6" w:rsidRPr="00457FD3">
        <w:t>Y</w:t>
      </w:r>
      <w:r w:rsidRPr="00457FD3">
        <w:t>s</w:t>
      </w:r>
      <w:r w:rsidR="009614C6" w:rsidRPr="00457FD3">
        <w:t xml:space="preserve"> (derived from ASCENT with an approximate median follow-up for OS of 17 months)</w:t>
      </w:r>
      <w:r w:rsidRPr="00457FD3">
        <w:t>, compared with an undiscounted incremental gain of 0.59 LYs over the 10 year time horizon of the model. Therefore, approximately 40% of the undiscounted incremental LYs gained were accrued over the extrapolated period.</w:t>
      </w:r>
    </w:p>
    <w:p w14:paraId="1C37EDFD" w14:textId="77777777" w:rsidR="009614C6" w:rsidRPr="00457FD3" w:rsidRDefault="009614C6" w:rsidP="00A173AE">
      <w:pPr>
        <w:pStyle w:val="3-BodyText"/>
      </w:pPr>
      <w:r w:rsidRPr="00457FD3">
        <w:t>The ESC considered that the extrapolation led to uncertainty and considered that a time horizon of 5</w:t>
      </w:r>
      <w:r w:rsidR="00295DAC" w:rsidRPr="00457FD3">
        <w:t xml:space="preserve"> to </w:t>
      </w:r>
      <w:r w:rsidRPr="00457FD3">
        <w:t>7 years would be</w:t>
      </w:r>
      <w:r w:rsidR="007D1AEE" w:rsidRPr="00457FD3">
        <w:t xml:space="preserve"> plausible in this disease setting, noting this represents a lifetime time horizon when the gamma function is used to extrapolate OS</w:t>
      </w:r>
      <w:r w:rsidRPr="00457FD3">
        <w:t>.</w:t>
      </w:r>
    </w:p>
    <w:p w14:paraId="28B1CA3E" w14:textId="77777777" w:rsidR="00A173AE" w:rsidRPr="00457FD3" w:rsidRDefault="00A173AE" w:rsidP="00A173AE">
      <w:pPr>
        <w:pStyle w:val="3-BodyText"/>
      </w:pPr>
      <w:r w:rsidRPr="00457FD3">
        <w:t>Disaggregated cost and health outcomes data indicated that the majority of the incremental costs and benefit</w:t>
      </w:r>
      <w:r w:rsidR="00E91B32" w:rsidRPr="00457FD3">
        <w:t>s</w:t>
      </w:r>
      <w:r w:rsidRPr="00457FD3">
        <w:t xml:space="preserve"> associated with SG, compared with TPC, were accrued in the PF health state. As discussed above, </w:t>
      </w:r>
      <w:r w:rsidR="00DC0094" w:rsidRPr="00457FD3">
        <w:t>due to</w:t>
      </w:r>
      <w:r w:rsidRPr="00457FD3">
        <w:t xml:space="preserve"> the </w:t>
      </w:r>
      <w:r w:rsidR="00623FA2" w:rsidRPr="00457FD3">
        <w:t xml:space="preserve">extensive censoring </w:t>
      </w:r>
      <w:r w:rsidR="00DC0094" w:rsidRPr="00457FD3">
        <w:t>in the TPC arm</w:t>
      </w:r>
      <w:r w:rsidR="00E91B32" w:rsidRPr="00457FD3">
        <w:t xml:space="preserve"> </w:t>
      </w:r>
      <w:r w:rsidRPr="00457FD3">
        <w:t>in the primary analysis for PFS, the magnitude of the incremental benefit in terms of PFS may be overestimated. Therefore, both the incremental cost and the incremental LYs gained in the PF health state may be overestimated. This potential overestimation of the incremental LYs gained would subsequently be amplified by the application of treatment-specific utilities when translating the LYs gained to quality-adjusted life-years (QALYs) gained.</w:t>
      </w:r>
      <w:r w:rsidR="008E6AE6" w:rsidRPr="00457FD3">
        <w:t xml:space="preserve"> </w:t>
      </w:r>
    </w:p>
    <w:p w14:paraId="47A8835D" w14:textId="53452745" w:rsidR="005F4832" w:rsidRDefault="00A173AE" w:rsidP="00A173AE">
      <w:pPr>
        <w:pStyle w:val="3-BodyText"/>
      </w:pPr>
      <w:r w:rsidRPr="00457FD3">
        <w:lastRenderedPageBreak/>
        <w:t xml:space="preserve">The results of key sensitivity analyses are summarised below. </w:t>
      </w:r>
    </w:p>
    <w:p w14:paraId="1F005C0F" w14:textId="77777777" w:rsidR="005F4832" w:rsidRDefault="005F4832">
      <w:pPr>
        <w:jc w:val="left"/>
        <w:rPr>
          <w:rFonts w:asciiTheme="minorHAnsi" w:hAnsiTheme="minorHAnsi"/>
          <w:snapToGrid w:val="0"/>
        </w:rPr>
      </w:pPr>
      <w:r>
        <w:br w:type="page"/>
      </w:r>
    </w:p>
    <w:p w14:paraId="26C474A2" w14:textId="77777777" w:rsidR="00A173AE" w:rsidRPr="00457FD3" w:rsidRDefault="00A173AE" w:rsidP="00B31645">
      <w:pPr>
        <w:pStyle w:val="TableFigureHeading"/>
        <w:keepLines/>
      </w:pPr>
      <w:r w:rsidRPr="00457FD3">
        <w:lastRenderedPageBreak/>
        <w:t xml:space="preserve">Table </w:t>
      </w:r>
      <w:r w:rsidR="002367C0">
        <w:t>12</w:t>
      </w:r>
      <w:r w:rsidRPr="00457FD3">
        <w:t>: Results of key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1401"/>
        <w:gridCol w:w="1259"/>
        <w:gridCol w:w="1585"/>
        <w:gridCol w:w="1338"/>
      </w:tblGrid>
      <w:tr w:rsidR="00E24642" w:rsidRPr="00457FD3" w14:paraId="038D4B01" w14:textId="77777777" w:rsidTr="0057706C">
        <w:trPr>
          <w:cantSplit/>
          <w:tblHeader/>
        </w:trPr>
        <w:tc>
          <w:tcPr>
            <w:tcW w:w="1904" w:type="pct"/>
          </w:tcPr>
          <w:p w14:paraId="59BB2944" w14:textId="77777777" w:rsidR="00E24642" w:rsidRPr="00457FD3" w:rsidRDefault="00E24642" w:rsidP="00B31645">
            <w:pPr>
              <w:pStyle w:val="In-tableHeading"/>
              <w:keepLines/>
            </w:pPr>
            <w:r w:rsidRPr="00457FD3">
              <w:t>Analyses</w:t>
            </w:r>
          </w:p>
        </w:tc>
        <w:tc>
          <w:tcPr>
            <w:tcW w:w="777" w:type="pct"/>
          </w:tcPr>
          <w:p w14:paraId="7C2AFB4D" w14:textId="77777777" w:rsidR="00E24642" w:rsidRPr="00457FD3" w:rsidRDefault="00A55D6A" w:rsidP="00A55D6A">
            <w:pPr>
              <w:pStyle w:val="In-tableHeading"/>
              <w:keepLines/>
              <w:jc w:val="center"/>
            </w:pPr>
            <w:r>
              <w:t>∆ c</w:t>
            </w:r>
            <w:r w:rsidR="00E24642" w:rsidRPr="00457FD3">
              <w:t>ost</w:t>
            </w:r>
            <w:r w:rsidR="00873176">
              <w:t xml:space="preserve"> ($)</w:t>
            </w:r>
          </w:p>
        </w:tc>
        <w:tc>
          <w:tcPr>
            <w:tcW w:w="698" w:type="pct"/>
          </w:tcPr>
          <w:p w14:paraId="17F7C4DE" w14:textId="77777777" w:rsidR="00E24642" w:rsidRPr="00457FD3" w:rsidRDefault="00A55D6A" w:rsidP="00B31645">
            <w:pPr>
              <w:pStyle w:val="In-tableHeading"/>
              <w:keepLines/>
              <w:jc w:val="center"/>
            </w:pPr>
            <w:r>
              <w:t xml:space="preserve">∆ </w:t>
            </w:r>
            <w:r w:rsidR="00E24642" w:rsidRPr="00457FD3">
              <w:t>QALY</w:t>
            </w:r>
          </w:p>
        </w:tc>
        <w:tc>
          <w:tcPr>
            <w:tcW w:w="879" w:type="pct"/>
          </w:tcPr>
          <w:p w14:paraId="174830EC" w14:textId="77777777" w:rsidR="00E24642" w:rsidRPr="00457FD3" w:rsidRDefault="00E24642" w:rsidP="00A55D6A">
            <w:pPr>
              <w:pStyle w:val="In-tableHeading"/>
              <w:keepLines/>
              <w:jc w:val="center"/>
            </w:pPr>
            <w:r w:rsidRPr="00457FD3">
              <w:t>ICER</w:t>
            </w:r>
            <w:r w:rsidR="00A55D6A">
              <w:t xml:space="preserve"> </w:t>
            </w:r>
            <w:r w:rsidRPr="00457FD3">
              <w:t>$/QALY</w:t>
            </w:r>
          </w:p>
        </w:tc>
        <w:tc>
          <w:tcPr>
            <w:tcW w:w="742" w:type="pct"/>
          </w:tcPr>
          <w:p w14:paraId="47899105" w14:textId="77777777" w:rsidR="00E24642" w:rsidRPr="00457FD3" w:rsidRDefault="00E24642" w:rsidP="00B31645">
            <w:pPr>
              <w:pStyle w:val="In-tableHeading"/>
              <w:keepLines/>
              <w:jc w:val="center"/>
            </w:pPr>
            <w:r w:rsidRPr="00457FD3">
              <w:t>% difference</w:t>
            </w:r>
          </w:p>
        </w:tc>
      </w:tr>
      <w:tr w:rsidR="00E24642" w:rsidRPr="00457FD3" w14:paraId="4602F79C" w14:textId="77777777" w:rsidTr="0057706C">
        <w:trPr>
          <w:cantSplit/>
        </w:trPr>
        <w:tc>
          <w:tcPr>
            <w:tcW w:w="1904" w:type="pct"/>
            <w:tcBorders>
              <w:bottom w:val="single" w:sz="4" w:space="0" w:color="auto"/>
            </w:tcBorders>
          </w:tcPr>
          <w:p w14:paraId="5E832533" w14:textId="77777777" w:rsidR="00E24642" w:rsidRPr="00457FD3" w:rsidRDefault="00E24642" w:rsidP="00B31645">
            <w:pPr>
              <w:pStyle w:val="TableText0"/>
              <w:keepLines/>
              <w:rPr>
                <w:b/>
              </w:rPr>
            </w:pPr>
            <w:r w:rsidRPr="00457FD3">
              <w:rPr>
                <w:b/>
              </w:rPr>
              <w:t>Base case</w:t>
            </w:r>
          </w:p>
        </w:tc>
        <w:tc>
          <w:tcPr>
            <w:tcW w:w="777" w:type="pct"/>
            <w:tcBorders>
              <w:bottom w:val="single" w:sz="4" w:space="0" w:color="auto"/>
            </w:tcBorders>
          </w:tcPr>
          <w:p w14:paraId="68370C70" w14:textId="77777777" w:rsidR="00E24642" w:rsidRPr="00730CE5" w:rsidRDefault="00730CE5" w:rsidP="00B31645">
            <w:pPr>
              <w:pStyle w:val="TableText0"/>
              <w:keepLines/>
              <w:jc w:val="center"/>
              <w:rPr>
                <w:b/>
                <w:highlight w:val="black"/>
              </w:rPr>
            </w:pPr>
            <w:r>
              <w:rPr>
                <w:b/>
                <w:noProof/>
                <w:color w:val="000000"/>
                <w:highlight w:val="black"/>
              </w:rPr>
              <w:t>'''''''''''''''</w:t>
            </w:r>
          </w:p>
        </w:tc>
        <w:tc>
          <w:tcPr>
            <w:tcW w:w="698" w:type="pct"/>
            <w:tcBorders>
              <w:bottom w:val="single" w:sz="4" w:space="0" w:color="auto"/>
            </w:tcBorders>
          </w:tcPr>
          <w:p w14:paraId="22E508A5" w14:textId="77777777" w:rsidR="00E24642" w:rsidRPr="00457FD3" w:rsidRDefault="00E24642" w:rsidP="00B31645">
            <w:pPr>
              <w:pStyle w:val="TableText0"/>
              <w:keepLines/>
              <w:jc w:val="center"/>
              <w:rPr>
                <w:b/>
              </w:rPr>
            </w:pPr>
            <w:r w:rsidRPr="00457FD3">
              <w:rPr>
                <w:b/>
              </w:rPr>
              <w:t>0.397</w:t>
            </w:r>
          </w:p>
        </w:tc>
        <w:tc>
          <w:tcPr>
            <w:tcW w:w="879" w:type="pct"/>
            <w:tcBorders>
              <w:bottom w:val="single" w:sz="4" w:space="0" w:color="auto"/>
            </w:tcBorders>
          </w:tcPr>
          <w:p w14:paraId="47896141" w14:textId="77777777" w:rsidR="00E24642" w:rsidRPr="00457FD3" w:rsidRDefault="00730CE5" w:rsidP="00B31645">
            <w:pPr>
              <w:pStyle w:val="TableText0"/>
              <w:keepLines/>
              <w:jc w:val="center"/>
              <w:rPr>
                <w:b/>
              </w:rPr>
            </w:pPr>
            <w:r>
              <w:rPr>
                <w:b/>
                <w:noProof/>
                <w:color w:val="000000"/>
                <w:highlight w:val="black"/>
              </w:rPr>
              <w:t>'''''''''''''''''</w:t>
            </w:r>
            <w:r w:rsidR="00873176">
              <w:rPr>
                <w:vertAlign w:val="superscript"/>
              </w:rPr>
              <w:t>1</w:t>
            </w:r>
          </w:p>
        </w:tc>
        <w:tc>
          <w:tcPr>
            <w:tcW w:w="742" w:type="pct"/>
            <w:tcBorders>
              <w:bottom w:val="single" w:sz="4" w:space="0" w:color="auto"/>
            </w:tcBorders>
          </w:tcPr>
          <w:p w14:paraId="7C64E71B" w14:textId="77777777" w:rsidR="00E24642" w:rsidRPr="00457FD3" w:rsidRDefault="00E24642" w:rsidP="00B31645">
            <w:pPr>
              <w:pStyle w:val="TableText0"/>
              <w:keepLines/>
              <w:jc w:val="center"/>
              <w:rPr>
                <w:b/>
              </w:rPr>
            </w:pPr>
          </w:p>
        </w:tc>
      </w:tr>
      <w:tr w:rsidR="00E24642" w:rsidRPr="00457FD3" w14:paraId="4B037C16" w14:textId="77777777" w:rsidTr="0057706C">
        <w:trPr>
          <w:cantSplit/>
        </w:trPr>
        <w:tc>
          <w:tcPr>
            <w:tcW w:w="1904" w:type="pct"/>
            <w:tcBorders>
              <w:right w:val="nil"/>
            </w:tcBorders>
          </w:tcPr>
          <w:p w14:paraId="7AE1FECC" w14:textId="77777777" w:rsidR="00E24642" w:rsidRPr="00457FD3" w:rsidRDefault="00E24642" w:rsidP="00B31645">
            <w:pPr>
              <w:pStyle w:val="TableText0"/>
              <w:keepLines/>
              <w:rPr>
                <w:b/>
              </w:rPr>
            </w:pPr>
            <w:r w:rsidRPr="00457FD3">
              <w:rPr>
                <w:b/>
              </w:rPr>
              <w:t>Univariate sensitivity analyses</w:t>
            </w:r>
          </w:p>
        </w:tc>
        <w:tc>
          <w:tcPr>
            <w:tcW w:w="777" w:type="pct"/>
            <w:tcBorders>
              <w:left w:val="nil"/>
              <w:right w:val="nil"/>
            </w:tcBorders>
          </w:tcPr>
          <w:p w14:paraId="4AF8E43A" w14:textId="77777777" w:rsidR="00E24642" w:rsidRPr="00457FD3" w:rsidRDefault="00E24642" w:rsidP="00B31645">
            <w:pPr>
              <w:pStyle w:val="TableText0"/>
              <w:keepLines/>
              <w:jc w:val="center"/>
            </w:pPr>
          </w:p>
        </w:tc>
        <w:tc>
          <w:tcPr>
            <w:tcW w:w="698" w:type="pct"/>
            <w:tcBorders>
              <w:left w:val="nil"/>
              <w:right w:val="nil"/>
            </w:tcBorders>
          </w:tcPr>
          <w:p w14:paraId="49585252" w14:textId="77777777" w:rsidR="00E24642" w:rsidRPr="00457FD3" w:rsidRDefault="00E24642" w:rsidP="00B31645">
            <w:pPr>
              <w:pStyle w:val="TableText0"/>
              <w:keepLines/>
              <w:jc w:val="center"/>
            </w:pPr>
          </w:p>
        </w:tc>
        <w:tc>
          <w:tcPr>
            <w:tcW w:w="879" w:type="pct"/>
            <w:tcBorders>
              <w:left w:val="nil"/>
              <w:right w:val="nil"/>
            </w:tcBorders>
          </w:tcPr>
          <w:p w14:paraId="5C5AF80B" w14:textId="77777777" w:rsidR="00E24642" w:rsidRPr="00457FD3" w:rsidRDefault="00E24642" w:rsidP="00B31645">
            <w:pPr>
              <w:pStyle w:val="TableText0"/>
              <w:keepLines/>
              <w:jc w:val="center"/>
            </w:pPr>
          </w:p>
        </w:tc>
        <w:tc>
          <w:tcPr>
            <w:tcW w:w="742" w:type="pct"/>
            <w:tcBorders>
              <w:left w:val="nil"/>
            </w:tcBorders>
          </w:tcPr>
          <w:p w14:paraId="28EA9930" w14:textId="77777777" w:rsidR="00E24642" w:rsidRPr="00457FD3" w:rsidRDefault="00E24642" w:rsidP="00B31645">
            <w:pPr>
              <w:pStyle w:val="TableText0"/>
              <w:keepLines/>
              <w:jc w:val="center"/>
            </w:pPr>
          </w:p>
        </w:tc>
      </w:tr>
      <w:tr w:rsidR="00E24642" w:rsidRPr="00457FD3" w14:paraId="1223D494" w14:textId="77777777" w:rsidTr="0057706C">
        <w:trPr>
          <w:cantSplit/>
        </w:trPr>
        <w:tc>
          <w:tcPr>
            <w:tcW w:w="1904" w:type="pct"/>
            <w:tcBorders>
              <w:right w:val="nil"/>
            </w:tcBorders>
          </w:tcPr>
          <w:p w14:paraId="5FBC33ED" w14:textId="77777777" w:rsidR="00E24642" w:rsidRPr="00457FD3" w:rsidRDefault="00E24642" w:rsidP="00B31645">
            <w:pPr>
              <w:pStyle w:val="TableText0"/>
              <w:keepLines/>
            </w:pPr>
            <w:r w:rsidRPr="00457FD3">
              <w:t>Time horizon (base case 10 years)</w:t>
            </w:r>
          </w:p>
        </w:tc>
        <w:tc>
          <w:tcPr>
            <w:tcW w:w="777" w:type="pct"/>
            <w:tcBorders>
              <w:left w:val="nil"/>
              <w:right w:val="nil"/>
            </w:tcBorders>
            <w:vAlign w:val="center"/>
          </w:tcPr>
          <w:p w14:paraId="5221066E" w14:textId="77777777" w:rsidR="00E24642" w:rsidRPr="00457FD3" w:rsidRDefault="00E24642" w:rsidP="00B31645">
            <w:pPr>
              <w:pStyle w:val="TableText0"/>
              <w:keepLines/>
              <w:jc w:val="center"/>
            </w:pPr>
          </w:p>
        </w:tc>
        <w:tc>
          <w:tcPr>
            <w:tcW w:w="698" w:type="pct"/>
            <w:tcBorders>
              <w:left w:val="nil"/>
              <w:right w:val="nil"/>
            </w:tcBorders>
            <w:vAlign w:val="center"/>
          </w:tcPr>
          <w:p w14:paraId="5800830D" w14:textId="77777777" w:rsidR="00E24642" w:rsidRPr="00457FD3" w:rsidRDefault="00E24642" w:rsidP="00B31645">
            <w:pPr>
              <w:pStyle w:val="TableText0"/>
              <w:keepLines/>
              <w:jc w:val="center"/>
            </w:pPr>
          </w:p>
        </w:tc>
        <w:tc>
          <w:tcPr>
            <w:tcW w:w="879" w:type="pct"/>
            <w:tcBorders>
              <w:left w:val="nil"/>
              <w:right w:val="nil"/>
            </w:tcBorders>
            <w:vAlign w:val="center"/>
          </w:tcPr>
          <w:p w14:paraId="26B06271" w14:textId="77777777" w:rsidR="00E24642" w:rsidRPr="00457FD3" w:rsidRDefault="00E24642" w:rsidP="00B31645">
            <w:pPr>
              <w:pStyle w:val="TableText0"/>
              <w:keepLines/>
              <w:jc w:val="center"/>
            </w:pPr>
          </w:p>
        </w:tc>
        <w:tc>
          <w:tcPr>
            <w:tcW w:w="742" w:type="pct"/>
            <w:tcBorders>
              <w:left w:val="nil"/>
            </w:tcBorders>
            <w:vAlign w:val="center"/>
          </w:tcPr>
          <w:p w14:paraId="57BD3EEC" w14:textId="77777777" w:rsidR="00E24642" w:rsidRPr="00457FD3" w:rsidRDefault="00E24642" w:rsidP="00B31645">
            <w:pPr>
              <w:pStyle w:val="TableText0"/>
              <w:keepLines/>
              <w:jc w:val="center"/>
            </w:pPr>
          </w:p>
        </w:tc>
      </w:tr>
      <w:tr w:rsidR="00E24642" w:rsidRPr="00457FD3" w14:paraId="36996B05" w14:textId="77777777" w:rsidTr="0057706C">
        <w:trPr>
          <w:cantSplit/>
        </w:trPr>
        <w:tc>
          <w:tcPr>
            <w:tcW w:w="1904" w:type="pct"/>
          </w:tcPr>
          <w:p w14:paraId="039EFA60" w14:textId="77777777" w:rsidR="00E24642" w:rsidRPr="00457FD3" w:rsidRDefault="00E24642" w:rsidP="00CC64F1">
            <w:pPr>
              <w:pStyle w:val="TableText0"/>
              <w:keepLines/>
              <w:numPr>
                <w:ilvl w:val="0"/>
                <w:numId w:val="4"/>
              </w:numPr>
              <w:tabs>
                <w:tab w:val="left" w:pos="169"/>
                <w:tab w:val="left" w:pos="360"/>
              </w:tabs>
              <w:ind w:hanging="720"/>
            </w:pPr>
            <w:r w:rsidRPr="00457FD3">
              <w:t>5 years</w:t>
            </w:r>
          </w:p>
        </w:tc>
        <w:tc>
          <w:tcPr>
            <w:tcW w:w="777" w:type="pct"/>
          </w:tcPr>
          <w:p w14:paraId="04F7E8BB" w14:textId="77777777" w:rsidR="00E24642" w:rsidRPr="00730CE5" w:rsidRDefault="00730CE5" w:rsidP="00B31645">
            <w:pPr>
              <w:pStyle w:val="TableText0"/>
              <w:keepLines/>
              <w:jc w:val="center"/>
              <w:rPr>
                <w:highlight w:val="black"/>
              </w:rPr>
            </w:pPr>
            <w:r>
              <w:rPr>
                <w:noProof/>
                <w:color w:val="000000"/>
                <w:highlight w:val="black"/>
              </w:rPr>
              <w:t>'''''''''''''''''''''</w:t>
            </w:r>
          </w:p>
        </w:tc>
        <w:tc>
          <w:tcPr>
            <w:tcW w:w="698" w:type="pct"/>
          </w:tcPr>
          <w:p w14:paraId="35A7F5B9" w14:textId="77777777" w:rsidR="00E24642" w:rsidRPr="00457FD3" w:rsidRDefault="00E24642" w:rsidP="00B31645">
            <w:pPr>
              <w:pStyle w:val="TableText0"/>
              <w:keepLines/>
              <w:jc w:val="center"/>
            </w:pPr>
            <w:r w:rsidRPr="00457FD3">
              <w:t>0.365</w:t>
            </w:r>
          </w:p>
        </w:tc>
        <w:tc>
          <w:tcPr>
            <w:tcW w:w="879" w:type="pct"/>
          </w:tcPr>
          <w:p w14:paraId="078A7EFF" w14:textId="77777777" w:rsidR="00E24642" w:rsidRPr="00730CE5" w:rsidRDefault="00730CE5" w:rsidP="00B31645">
            <w:pPr>
              <w:pStyle w:val="TableText0"/>
              <w:keepLines/>
              <w:jc w:val="center"/>
            </w:pPr>
            <w:r>
              <w:rPr>
                <w:noProof/>
                <w:color w:val="000000"/>
                <w:highlight w:val="black"/>
              </w:rPr>
              <w:t>''''''''''''''''''''''''</w:t>
            </w:r>
            <w:r w:rsidR="00873176">
              <w:rPr>
                <w:vertAlign w:val="superscript"/>
              </w:rPr>
              <w:t>2</w:t>
            </w:r>
          </w:p>
        </w:tc>
        <w:tc>
          <w:tcPr>
            <w:tcW w:w="742" w:type="pct"/>
          </w:tcPr>
          <w:p w14:paraId="6736A65F" w14:textId="77777777" w:rsidR="00E24642" w:rsidRPr="00457FD3" w:rsidRDefault="00E24642" w:rsidP="00B31645">
            <w:pPr>
              <w:pStyle w:val="TableText0"/>
              <w:keepLines/>
              <w:jc w:val="center"/>
            </w:pPr>
            <w:r w:rsidRPr="00457FD3">
              <w:t>+7.8%</w:t>
            </w:r>
          </w:p>
        </w:tc>
      </w:tr>
      <w:tr w:rsidR="00E24642" w:rsidRPr="00457FD3" w14:paraId="35962CAC" w14:textId="77777777" w:rsidTr="0057706C">
        <w:trPr>
          <w:cantSplit/>
        </w:trPr>
        <w:tc>
          <w:tcPr>
            <w:tcW w:w="1904" w:type="pct"/>
          </w:tcPr>
          <w:p w14:paraId="36AB76DC" w14:textId="77777777" w:rsidR="00E24642" w:rsidRPr="00457FD3" w:rsidRDefault="00E24642" w:rsidP="00CC64F1">
            <w:pPr>
              <w:pStyle w:val="TableText0"/>
              <w:keepLines/>
              <w:numPr>
                <w:ilvl w:val="0"/>
                <w:numId w:val="4"/>
              </w:numPr>
              <w:tabs>
                <w:tab w:val="left" w:pos="169"/>
                <w:tab w:val="left" w:pos="360"/>
              </w:tabs>
              <w:ind w:hanging="720"/>
            </w:pPr>
            <w:r w:rsidRPr="00457FD3">
              <w:t>7 years</w:t>
            </w:r>
          </w:p>
        </w:tc>
        <w:tc>
          <w:tcPr>
            <w:tcW w:w="777" w:type="pct"/>
          </w:tcPr>
          <w:p w14:paraId="6AFB99CE" w14:textId="77777777" w:rsidR="00E24642" w:rsidRPr="00730CE5" w:rsidRDefault="00730CE5" w:rsidP="00B31645">
            <w:pPr>
              <w:pStyle w:val="TableText0"/>
              <w:keepLines/>
              <w:jc w:val="center"/>
              <w:rPr>
                <w:highlight w:val="black"/>
              </w:rPr>
            </w:pPr>
            <w:r>
              <w:rPr>
                <w:noProof/>
                <w:color w:val="000000"/>
                <w:highlight w:val="black"/>
              </w:rPr>
              <w:t>'''''''''''''''''''''</w:t>
            </w:r>
          </w:p>
        </w:tc>
        <w:tc>
          <w:tcPr>
            <w:tcW w:w="698" w:type="pct"/>
          </w:tcPr>
          <w:p w14:paraId="51486367" w14:textId="77777777" w:rsidR="00E24642" w:rsidRPr="00457FD3" w:rsidRDefault="00E24642" w:rsidP="00B31645">
            <w:pPr>
              <w:pStyle w:val="TableText0"/>
              <w:keepLines/>
              <w:jc w:val="center"/>
            </w:pPr>
            <w:r w:rsidRPr="00457FD3">
              <w:t>0.385</w:t>
            </w:r>
          </w:p>
        </w:tc>
        <w:tc>
          <w:tcPr>
            <w:tcW w:w="879" w:type="pct"/>
          </w:tcPr>
          <w:p w14:paraId="611A5217" w14:textId="77777777" w:rsidR="00E24642" w:rsidRPr="00730CE5" w:rsidRDefault="00730CE5" w:rsidP="00B31645">
            <w:pPr>
              <w:pStyle w:val="TableText0"/>
              <w:keepLines/>
              <w:jc w:val="center"/>
            </w:pPr>
            <w:r>
              <w:rPr>
                <w:noProof/>
                <w:color w:val="000000"/>
                <w:highlight w:val="black"/>
              </w:rPr>
              <w:t>''''''''''''''''''''''</w:t>
            </w:r>
            <w:r w:rsidR="00873176">
              <w:rPr>
                <w:vertAlign w:val="superscript"/>
              </w:rPr>
              <w:t>1</w:t>
            </w:r>
          </w:p>
        </w:tc>
        <w:tc>
          <w:tcPr>
            <w:tcW w:w="742" w:type="pct"/>
          </w:tcPr>
          <w:p w14:paraId="49CC16DE" w14:textId="77777777" w:rsidR="00E24642" w:rsidRPr="00457FD3" w:rsidRDefault="00E24642" w:rsidP="00B31645">
            <w:pPr>
              <w:pStyle w:val="TableText0"/>
              <w:keepLines/>
              <w:jc w:val="center"/>
            </w:pPr>
            <w:r w:rsidRPr="00457FD3">
              <w:t>+3.0%</w:t>
            </w:r>
          </w:p>
        </w:tc>
      </w:tr>
      <w:tr w:rsidR="00CC64F1" w:rsidRPr="00457FD3" w14:paraId="667E9484" w14:textId="77777777" w:rsidTr="0057706C">
        <w:trPr>
          <w:cantSplit/>
        </w:trPr>
        <w:tc>
          <w:tcPr>
            <w:tcW w:w="2681" w:type="pct"/>
            <w:gridSpan w:val="2"/>
            <w:tcBorders>
              <w:right w:val="nil"/>
            </w:tcBorders>
          </w:tcPr>
          <w:p w14:paraId="5D3C9D25" w14:textId="77777777" w:rsidR="00CC64F1" w:rsidRPr="00457FD3" w:rsidRDefault="00CC64F1" w:rsidP="00CC64F1">
            <w:pPr>
              <w:pStyle w:val="TableText0"/>
              <w:keepNext w:val="0"/>
            </w:pPr>
            <w:r w:rsidRPr="00457FD3">
              <w:t>Extrapolation OS (base case log-logistic both arms)</w:t>
            </w:r>
          </w:p>
        </w:tc>
        <w:tc>
          <w:tcPr>
            <w:tcW w:w="698" w:type="pct"/>
            <w:tcBorders>
              <w:left w:val="nil"/>
              <w:right w:val="nil"/>
            </w:tcBorders>
          </w:tcPr>
          <w:p w14:paraId="79658C66" w14:textId="77777777" w:rsidR="00CC64F1" w:rsidRPr="00457FD3" w:rsidRDefault="00CC64F1" w:rsidP="00303D2C">
            <w:pPr>
              <w:pStyle w:val="TableText0"/>
              <w:keepNext w:val="0"/>
              <w:jc w:val="center"/>
            </w:pPr>
          </w:p>
        </w:tc>
        <w:tc>
          <w:tcPr>
            <w:tcW w:w="879" w:type="pct"/>
            <w:tcBorders>
              <w:left w:val="nil"/>
              <w:right w:val="nil"/>
            </w:tcBorders>
          </w:tcPr>
          <w:p w14:paraId="47C81DD7" w14:textId="77777777" w:rsidR="00CC64F1" w:rsidRPr="00457FD3" w:rsidRDefault="00CC64F1" w:rsidP="00303D2C">
            <w:pPr>
              <w:pStyle w:val="TableText0"/>
              <w:keepNext w:val="0"/>
              <w:jc w:val="center"/>
            </w:pPr>
          </w:p>
        </w:tc>
        <w:tc>
          <w:tcPr>
            <w:tcW w:w="742" w:type="pct"/>
            <w:tcBorders>
              <w:left w:val="nil"/>
            </w:tcBorders>
          </w:tcPr>
          <w:p w14:paraId="632D9373" w14:textId="77777777" w:rsidR="00CC64F1" w:rsidRPr="00457FD3" w:rsidRDefault="00CC64F1" w:rsidP="00303D2C">
            <w:pPr>
              <w:pStyle w:val="TableText0"/>
              <w:keepNext w:val="0"/>
              <w:jc w:val="center"/>
            </w:pPr>
          </w:p>
        </w:tc>
      </w:tr>
      <w:tr w:rsidR="00E24642" w:rsidRPr="00457FD3" w14:paraId="785F04F2" w14:textId="77777777" w:rsidTr="0057706C">
        <w:trPr>
          <w:cantSplit/>
        </w:trPr>
        <w:tc>
          <w:tcPr>
            <w:tcW w:w="1904" w:type="pct"/>
          </w:tcPr>
          <w:p w14:paraId="211481D1" w14:textId="77777777" w:rsidR="00E24642" w:rsidRPr="00457FD3" w:rsidRDefault="00E24642" w:rsidP="00CC64F1">
            <w:pPr>
              <w:pStyle w:val="TableText0"/>
              <w:keepLines/>
              <w:numPr>
                <w:ilvl w:val="0"/>
                <w:numId w:val="4"/>
              </w:numPr>
              <w:tabs>
                <w:tab w:val="left" w:pos="169"/>
                <w:tab w:val="left" w:pos="360"/>
              </w:tabs>
              <w:ind w:hanging="720"/>
            </w:pPr>
            <w:r w:rsidRPr="00457FD3">
              <w:t>Gamma both arms</w:t>
            </w:r>
          </w:p>
        </w:tc>
        <w:tc>
          <w:tcPr>
            <w:tcW w:w="777" w:type="pct"/>
          </w:tcPr>
          <w:p w14:paraId="2AC4FE0D" w14:textId="77777777" w:rsidR="00E24642" w:rsidRPr="00730CE5" w:rsidRDefault="00730CE5" w:rsidP="00303D2C">
            <w:pPr>
              <w:pStyle w:val="TableText0"/>
              <w:keepNext w:val="0"/>
              <w:jc w:val="center"/>
              <w:rPr>
                <w:highlight w:val="black"/>
              </w:rPr>
            </w:pPr>
            <w:r>
              <w:rPr>
                <w:noProof/>
                <w:color w:val="000000"/>
                <w:highlight w:val="black"/>
              </w:rPr>
              <w:t>'''''''''''''''''''</w:t>
            </w:r>
          </w:p>
        </w:tc>
        <w:tc>
          <w:tcPr>
            <w:tcW w:w="698" w:type="pct"/>
          </w:tcPr>
          <w:p w14:paraId="62530B5E" w14:textId="77777777" w:rsidR="00E24642" w:rsidRPr="00457FD3" w:rsidRDefault="00E24642" w:rsidP="00303D2C">
            <w:pPr>
              <w:pStyle w:val="TableText0"/>
              <w:keepNext w:val="0"/>
              <w:jc w:val="center"/>
            </w:pPr>
            <w:r w:rsidRPr="00457FD3">
              <w:t>0.339</w:t>
            </w:r>
          </w:p>
        </w:tc>
        <w:tc>
          <w:tcPr>
            <w:tcW w:w="879" w:type="pct"/>
          </w:tcPr>
          <w:p w14:paraId="26E7FC67" w14:textId="77777777" w:rsidR="00E24642" w:rsidRPr="00730CE5" w:rsidRDefault="00730CE5" w:rsidP="00303D2C">
            <w:pPr>
              <w:pStyle w:val="TableText0"/>
              <w:keepNext w:val="0"/>
              <w:jc w:val="center"/>
            </w:pPr>
            <w:r>
              <w:rPr>
                <w:noProof/>
                <w:color w:val="000000"/>
                <w:highlight w:val="black"/>
              </w:rPr>
              <w:t>''''''''''''''''''''''</w:t>
            </w:r>
            <w:r w:rsidR="00873176">
              <w:rPr>
                <w:vertAlign w:val="superscript"/>
              </w:rPr>
              <w:t>2</w:t>
            </w:r>
          </w:p>
        </w:tc>
        <w:tc>
          <w:tcPr>
            <w:tcW w:w="742" w:type="pct"/>
          </w:tcPr>
          <w:p w14:paraId="2CCABA6F" w14:textId="77777777" w:rsidR="00E24642" w:rsidRPr="00457FD3" w:rsidRDefault="00E24642" w:rsidP="00303D2C">
            <w:pPr>
              <w:pStyle w:val="TableText0"/>
              <w:keepNext w:val="0"/>
              <w:jc w:val="center"/>
            </w:pPr>
            <w:r w:rsidRPr="00457FD3">
              <w:t>+17.7%</w:t>
            </w:r>
          </w:p>
        </w:tc>
      </w:tr>
      <w:tr w:rsidR="00E24642" w:rsidRPr="00457FD3" w14:paraId="51AADFD0" w14:textId="77777777" w:rsidTr="0057706C">
        <w:trPr>
          <w:cantSplit/>
        </w:trPr>
        <w:tc>
          <w:tcPr>
            <w:tcW w:w="1904" w:type="pct"/>
          </w:tcPr>
          <w:p w14:paraId="704DA2D6" w14:textId="77777777" w:rsidR="00E24642" w:rsidRPr="00457FD3" w:rsidRDefault="00E24642" w:rsidP="00CC64F1">
            <w:pPr>
              <w:pStyle w:val="TableText0"/>
              <w:keepLines/>
              <w:numPr>
                <w:ilvl w:val="0"/>
                <w:numId w:val="4"/>
              </w:numPr>
              <w:tabs>
                <w:tab w:val="left" w:pos="169"/>
                <w:tab w:val="left" w:pos="360"/>
              </w:tabs>
              <w:ind w:hanging="720"/>
            </w:pPr>
            <w:r w:rsidRPr="00457FD3">
              <w:t>Generalised gamma both arms</w:t>
            </w:r>
          </w:p>
        </w:tc>
        <w:tc>
          <w:tcPr>
            <w:tcW w:w="777" w:type="pct"/>
          </w:tcPr>
          <w:p w14:paraId="6D6CCD5F" w14:textId="77777777" w:rsidR="00E24642" w:rsidRPr="00730CE5" w:rsidRDefault="00730CE5" w:rsidP="00303D2C">
            <w:pPr>
              <w:pStyle w:val="TableText0"/>
              <w:keepNext w:val="0"/>
              <w:jc w:val="center"/>
              <w:rPr>
                <w:highlight w:val="black"/>
              </w:rPr>
            </w:pPr>
            <w:r>
              <w:rPr>
                <w:noProof/>
                <w:color w:val="000000"/>
                <w:highlight w:val="black"/>
              </w:rPr>
              <w:t>'''''''''''''''''''</w:t>
            </w:r>
          </w:p>
        </w:tc>
        <w:tc>
          <w:tcPr>
            <w:tcW w:w="698" w:type="pct"/>
          </w:tcPr>
          <w:p w14:paraId="020FA96E" w14:textId="77777777" w:rsidR="00E24642" w:rsidRPr="00457FD3" w:rsidRDefault="00E24642" w:rsidP="00303D2C">
            <w:pPr>
              <w:pStyle w:val="TableText0"/>
              <w:keepNext w:val="0"/>
              <w:jc w:val="center"/>
            </w:pPr>
            <w:r w:rsidRPr="00457FD3">
              <w:t>0.350</w:t>
            </w:r>
          </w:p>
        </w:tc>
        <w:tc>
          <w:tcPr>
            <w:tcW w:w="879" w:type="pct"/>
          </w:tcPr>
          <w:p w14:paraId="2DE39470" w14:textId="77777777" w:rsidR="00E24642" w:rsidRPr="00730CE5" w:rsidRDefault="00730CE5" w:rsidP="00303D2C">
            <w:pPr>
              <w:pStyle w:val="TableText0"/>
              <w:keepNext w:val="0"/>
              <w:jc w:val="center"/>
            </w:pPr>
            <w:r>
              <w:rPr>
                <w:noProof/>
                <w:color w:val="000000"/>
                <w:highlight w:val="black"/>
              </w:rPr>
              <w:t>''''''''''''''''''''''</w:t>
            </w:r>
            <w:r w:rsidR="00873176">
              <w:rPr>
                <w:vertAlign w:val="superscript"/>
              </w:rPr>
              <w:t>2</w:t>
            </w:r>
          </w:p>
        </w:tc>
        <w:tc>
          <w:tcPr>
            <w:tcW w:w="742" w:type="pct"/>
          </w:tcPr>
          <w:p w14:paraId="0EC25E5D" w14:textId="77777777" w:rsidR="00E24642" w:rsidRPr="00457FD3" w:rsidRDefault="00E24642" w:rsidP="00303D2C">
            <w:pPr>
              <w:pStyle w:val="TableText0"/>
              <w:keepNext w:val="0"/>
              <w:jc w:val="center"/>
            </w:pPr>
            <w:r w:rsidRPr="00457FD3">
              <w:t>+14.2%</w:t>
            </w:r>
          </w:p>
        </w:tc>
      </w:tr>
      <w:tr w:rsidR="00E24642" w:rsidRPr="00457FD3" w14:paraId="2C4A8A92" w14:textId="77777777" w:rsidTr="0057706C">
        <w:trPr>
          <w:cantSplit/>
        </w:trPr>
        <w:tc>
          <w:tcPr>
            <w:tcW w:w="5000" w:type="pct"/>
            <w:gridSpan w:val="5"/>
            <w:vAlign w:val="center"/>
          </w:tcPr>
          <w:p w14:paraId="23591A16" w14:textId="77777777" w:rsidR="00E24642" w:rsidRPr="00457FD3" w:rsidRDefault="00E24642" w:rsidP="00303D2C">
            <w:pPr>
              <w:pStyle w:val="TableText0"/>
              <w:keepNext w:val="0"/>
            </w:pPr>
            <w:r w:rsidRPr="00457FD3">
              <w:t>Utilities (Base case PF: SG 0.710, TPC 0.626, PD: 0.619)</w:t>
            </w:r>
          </w:p>
        </w:tc>
      </w:tr>
      <w:tr w:rsidR="00E24642" w:rsidRPr="00457FD3" w14:paraId="1EC910B6" w14:textId="77777777" w:rsidTr="0057706C">
        <w:trPr>
          <w:cantSplit/>
        </w:trPr>
        <w:tc>
          <w:tcPr>
            <w:tcW w:w="1904" w:type="pct"/>
          </w:tcPr>
          <w:p w14:paraId="42B2CEF1" w14:textId="77777777" w:rsidR="00E24642" w:rsidRPr="00457FD3" w:rsidRDefault="00E24642" w:rsidP="00A55D6A">
            <w:pPr>
              <w:pStyle w:val="TableText0"/>
              <w:keepLines/>
              <w:numPr>
                <w:ilvl w:val="0"/>
                <w:numId w:val="4"/>
              </w:numPr>
              <w:tabs>
                <w:tab w:val="left" w:pos="169"/>
                <w:tab w:val="left" w:pos="360"/>
              </w:tabs>
              <w:ind w:hanging="720"/>
            </w:pPr>
            <w:r w:rsidRPr="00457FD3">
              <w:t xml:space="preserve">PF: both arms 0.676 (pooled SG </w:t>
            </w:r>
            <w:r w:rsidR="00A55D6A">
              <w:t>&amp;</w:t>
            </w:r>
            <w:r w:rsidR="00A55D6A" w:rsidRPr="00457FD3">
              <w:t xml:space="preserve"> </w:t>
            </w:r>
            <w:r w:rsidRPr="00457FD3">
              <w:t>TPC)</w:t>
            </w:r>
          </w:p>
        </w:tc>
        <w:tc>
          <w:tcPr>
            <w:tcW w:w="777" w:type="pct"/>
          </w:tcPr>
          <w:p w14:paraId="60B9CD77" w14:textId="77777777" w:rsidR="00E24642" w:rsidRPr="00730CE5" w:rsidRDefault="00730CE5" w:rsidP="00303D2C">
            <w:pPr>
              <w:pStyle w:val="TableText0"/>
              <w:keepNext w:val="0"/>
              <w:jc w:val="center"/>
              <w:rPr>
                <w:highlight w:val="black"/>
              </w:rPr>
            </w:pPr>
            <w:r>
              <w:rPr>
                <w:noProof/>
                <w:color w:val="000000"/>
                <w:highlight w:val="black"/>
              </w:rPr>
              <w:t>'''''''''''''''''''''</w:t>
            </w:r>
          </w:p>
        </w:tc>
        <w:tc>
          <w:tcPr>
            <w:tcW w:w="698" w:type="pct"/>
          </w:tcPr>
          <w:p w14:paraId="530C26DF" w14:textId="77777777" w:rsidR="00E24642" w:rsidRPr="00457FD3" w:rsidRDefault="00E24642" w:rsidP="00303D2C">
            <w:pPr>
              <w:pStyle w:val="TableText0"/>
              <w:keepNext w:val="0"/>
              <w:jc w:val="center"/>
            </w:pPr>
            <w:r w:rsidRPr="00457FD3">
              <w:t>0.359</w:t>
            </w:r>
          </w:p>
        </w:tc>
        <w:tc>
          <w:tcPr>
            <w:tcW w:w="879" w:type="pct"/>
          </w:tcPr>
          <w:p w14:paraId="143C0E48" w14:textId="77777777" w:rsidR="00E24642" w:rsidRPr="00730CE5" w:rsidRDefault="00730CE5" w:rsidP="00303D2C">
            <w:pPr>
              <w:pStyle w:val="TableText0"/>
              <w:keepNext w:val="0"/>
              <w:jc w:val="center"/>
            </w:pPr>
            <w:r>
              <w:rPr>
                <w:noProof/>
                <w:color w:val="000000"/>
                <w:highlight w:val="black"/>
              </w:rPr>
              <w:t>''''''''''''''''''''''''</w:t>
            </w:r>
            <w:r w:rsidR="00873176">
              <w:rPr>
                <w:vertAlign w:val="superscript"/>
              </w:rPr>
              <w:t>2</w:t>
            </w:r>
          </w:p>
        </w:tc>
        <w:tc>
          <w:tcPr>
            <w:tcW w:w="742" w:type="pct"/>
          </w:tcPr>
          <w:p w14:paraId="5EFCAEC1" w14:textId="77777777" w:rsidR="00E24642" w:rsidRPr="00457FD3" w:rsidRDefault="00E24642" w:rsidP="00303D2C">
            <w:pPr>
              <w:pStyle w:val="TableText0"/>
              <w:keepNext w:val="0"/>
              <w:jc w:val="center"/>
            </w:pPr>
            <w:r w:rsidRPr="00457FD3">
              <w:t>+10.6%</w:t>
            </w:r>
          </w:p>
        </w:tc>
      </w:tr>
      <w:tr w:rsidR="00E24642" w:rsidRPr="00457FD3" w14:paraId="6BA837BF" w14:textId="77777777" w:rsidTr="0057706C">
        <w:trPr>
          <w:cantSplit/>
        </w:trPr>
        <w:tc>
          <w:tcPr>
            <w:tcW w:w="1904" w:type="pct"/>
          </w:tcPr>
          <w:p w14:paraId="2292CD7E" w14:textId="77777777" w:rsidR="00E24642" w:rsidRPr="00457FD3" w:rsidRDefault="00E24642" w:rsidP="00CC64F1">
            <w:pPr>
              <w:pStyle w:val="TableText0"/>
              <w:keepLines/>
              <w:numPr>
                <w:ilvl w:val="0"/>
                <w:numId w:val="4"/>
              </w:numPr>
              <w:tabs>
                <w:tab w:val="left" w:pos="169"/>
                <w:tab w:val="left" w:pos="360"/>
              </w:tabs>
              <w:ind w:hanging="720"/>
            </w:pPr>
            <w:r w:rsidRPr="00457FD3">
              <w:t>PD utility 0.569 (SA from submission)</w:t>
            </w:r>
          </w:p>
        </w:tc>
        <w:tc>
          <w:tcPr>
            <w:tcW w:w="777" w:type="pct"/>
          </w:tcPr>
          <w:p w14:paraId="74E2172A" w14:textId="77777777" w:rsidR="00E24642" w:rsidRPr="00730CE5" w:rsidRDefault="00730CE5" w:rsidP="00303D2C">
            <w:pPr>
              <w:pStyle w:val="TableText0"/>
              <w:keepNext w:val="0"/>
              <w:jc w:val="center"/>
              <w:rPr>
                <w:highlight w:val="black"/>
              </w:rPr>
            </w:pPr>
            <w:r>
              <w:rPr>
                <w:noProof/>
                <w:color w:val="000000"/>
                <w:highlight w:val="black"/>
              </w:rPr>
              <w:t>'''''''''''''''''</w:t>
            </w:r>
          </w:p>
        </w:tc>
        <w:tc>
          <w:tcPr>
            <w:tcW w:w="698" w:type="pct"/>
            <w:vAlign w:val="center"/>
          </w:tcPr>
          <w:p w14:paraId="209F8F89" w14:textId="77777777" w:rsidR="00E24642" w:rsidRPr="00457FD3" w:rsidRDefault="00E24642" w:rsidP="00303D2C">
            <w:pPr>
              <w:pStyle w:val="TableText0"/>
              <w:keepNext w:val="0"/>
              <w:jc w:val="center"/>
            </w:pPr>
            <w:r w:rsidRPr="00457FD3">
              <w:t>0.388</w:t>
            </w:r>
          </w:p>
        </w:tc>
        <w:tc>
          <w:tcPr>
            <w:tcW w:w="879" w:type="pct"/>
            <w:vAlign w:val="center"/>
          </w:tcPr>
          <w:p w14:paraId="24523631" w14:textId="77777777" w:rsidR="00E24642" w:rsidRPr="00730CE5" w:rsidRDefault="00730CE5" w:rsidP="00303D2C">
            <w:pPr>
              <w:pStyle w:val="TableText0"/>
              <w:keepNext w:val="0"/>
              <w:jc w:val="center"/>
            </w:pPr>
            <w:r>
              <w:rPr>
                <w:noProof/>
                <w:color w:val="000000"/>
                <w:highlight w:val="black"/>
              </w:rPr>
              <w:t>'''''''''''''''''''''</w:t>
            </w:r>
            <w:r w:rsidR="00873176">
              <w:rPr>
                <w:vertAlign w:val="superscript"/>
              </w:rPr>
              <w:t>1</w:t>
            </w:r>
          </w:p>
        </w:tc>
        <w:tc>
          <w:tcPr>
            <w:tcW w:w="742" w:type="pct"/>
            <w:vAlign w:val="center"/>
          </w:tcPr>
          <w:p w14:paraId="00F5AADB" w14:textId="77777777" w:rsidR="00E24642" w:rsidRPr="00457FD3" w:rsidRDefault="00E24642" w:rsidP="00303D2C">
            <w:pPr>
              <w:pStyle w:val="TableText0"/>
              <w:keepNext w:val="0"/>
              <w:jc w:val="center"/>
            </w:pPr>
            <w:r w:rsidRPr="00457FD3">
              <w:t>+2.4%</w:t>
            </w:r>
          </w:p>
        </w:tc>
      </w:tr>
      <w:tr w:rsidR="00E24642" w:rsidRPr="00457FD3" w14:paraId="64DEB770" w14:textId="77777777" w:rsidTr="00037EC2">
        <w:trPr>
          <w:cantSplit/>
        </w:trPr>
        <w:tc>
          <w:tcPr>
            <w:tcW w:w="1904" w:type="pct"/>
          </w:tcPr>
          <w:p w14:paraId="2F6F9054" w14:textId="77777777" w:rsidR="00E24642" w:rsidRPr="00457FD3" w:rsidRDefault="00E24642" w:rsidP="00CC64F1">
            <w:pPr>
              <w:pStyle w:val="TableText0"/>
              <w:keepLines/>
              <w:numPr>
                <w:ilvl w:val="0"/>
                <w:numId w:val="4"/>
              </w:numPr>
              <w:tabs>
                <w:tab w:val="left" w:pos="169"/>
                <w:tab w:val="left" w:pos="360"/>
              </w:tabs>
              <w:ind w:hanging="720"/>
            </w:pPr>
            <w:r w:rsidRPr="00457FD3">
              <w:t xml:space="preserve">PF: both arms 0.676, PD: both arms 0.569 </w:t>
            </w:r>
          </w:p>
        </w:tc>
        <w:tc>
          <w:tcPr>
            <w:tcW w:w="777" w:type="pct"/>
            <w:vAlign w:val="center"/>
          </w:tcPr>
          <w:p w14:paraId="6600A1C8" w14:textId="77777777" w:rsidR="00E24642" w:rsidRPr="00730CE5" w:rsidRDefault="00730CE5" w:rsidP="00037EC2">
            <w:pPr>
              <w:pStyle w:val="TableText0"/>
              <w:keepNext w:val="0"/>
              <w:jc w:val="center"/>
              <w:rPr>
                <w:highlight w:val="black"/>
              </w:rPr>
            </w:pPr>
            <w:r>
              <w:rPr>
                <w:noProof/>
                <w:color w:val="000000"/>
                <w:highlight w:val="black"/>
              </w:rPr>
              <w:t>'''''''''''''''''''</w:t>
            </w:r>
          </w:p>
        </w:tc>
        <w:tc>
          <w:tcPr>
            <w:tcW w:w="698" w:type="pct"/>
            <w:vAlign w:val="center"/>
          </w:tcPr>
          <w:p w14:paraId="414B697F" w14:textId="77777777" w:rsidR="00E24642" w:rsidRPr="00457FD3" w:rsidRDefault="00E24642" w:rsidP="00303D2C">
            <w:pPr>
              <w:pStyle w:val="TableText0"/>
              <w:keepNext w:val="0"/>
              <w:jc w:val="center"/>
            </w:pPr>
            <w:r w:rsidRPr="00457FD3">
              <w:t>0.350</w:t>
            </w:r>
          </w:p>
        </w:tc>
        <w:tc>
          <w:tcPr>
            <w:tcW w:w="879" w:type="pct"/>
            <w:vAlign w:val="center"/>
          </w:tcPr>
          <w:p w14:paraId="051AFFF0" w14:textId="77777777" w:rsidR="00E24642" w:rsidRPr="00730CE5" w:rsidRDefault="00730CE5" w:rsidP="00303D2C">
            <w:pPr>
              <w:pStyle w:val="TableText0"/>
              <w:keepNext w:val="0"/>
              <w:jc w:val="center"/>
            </w:pPr>
            <w:r>
              <w:rPr>
                <w:noProof/>
                <w:color w:val="000000"/>
                <w:highlight w:val="black"/>
              </w:rPr>
              <w:t>'''''''''''''''''''''</w:t>
            </w:r>
            <w:r w:rsidR="00873176">
              <w:rPr>
                <w:vertAlign w:val="superscript"/>
              </w:rPr>
              <w:t>2</w:t>
            </w:r>
          </w:p>
        </w:tc>
        <w:tc>
          <w:tcPr>
            <w:tcW w:w="742" w:type="pct"/>
            <w:vAlign w:val="center"/>
          </w:tcPr>
          <w:p w14:paraId="77D942A5" w14:textId="77777777" w:rsidR="00E24642" w:rsidRPr="00457FD3" w:rsidRDefault="00E24642" w:rsidP="00303D2C">
            <w:pPr>
              <w:pStyle w:val="TableText0"/>
              <w:keepNext w:val="0"/>
              <w:jc w:val="center"/>
            </w:pPr>
            <w:r w:rsidRPr="00457FD3">
              <w:t>+13.6%</w:t>
            </w:r>
          </w:p>
        </w:tc>
      </w:tr>
      <w:tr w:rsidR="00E24642" w:rsidRPr="00457FD3" w14:paraId="7B210506" w14:textId="77777777" w:rsidTr="0057706C">
        <w:trPr>
          <w:cantSplit/>
        </w:trPr>
        <w:tc>
          <w:tcPr>
            <w:tcW w:w="1904" w:type="pct"/>
          </w:tcPr>
          <w:p w14:paraId="4F303B7F" w14:textId="77777777" w:rsidR="00E24642" w:rsidRPr="00457FD3" w:rsidRDefault="00E24642" w:rsidP="00CC64F1">
            <w:pPr>
              <w:pStyle w:val="TableText0"/>
              <w:keepLines/>
              <w:numPr>
                <w:ilvl w:val="0"/>
                <w:numId w:val="4"/>
              </w:numPr>
              <w:tabs>
                <w:tab w:val="left" w:pos="169"/>
                <w:tab w:val="left" w:pos="360"/>
              </w:tabs>
              <w:ind w:left="169" w:hanging="169"/>
            </w:pPr>
            <w:r w:rsidRPr="00457FD3">
              <w:t>Both arms: PF 0.676, PD: decrement of 0.272 for progression (0.404)</w:t>
            </w:r>
            <w:r w:rsidRPr="00E14FCD">
              <w:rPr>
                <w:vertAlign w:val="superscript"/>
              </w:rPr>
              <w:t>a</w:t>
            </w:r>
          </w:p>
        </w:tc>
        <w:tc>
          <w:tcPr>
            <w:tcW w:w="777" w:type="pct"/>
            <w:vAlign w:val="center"/>
          </w:tcPr>
          <w:p w14:paraId="086761FD" w14:textId="77777777" w:rsidR="00E24642" w:rsidRPr="00730CE5" w:rsidRDefault="00730CE5" w:rsidP="00303D2C">
            <w:pPr>
              <w:pStyle w:val="TableText0"/>
              <w:keepNext w:val="0"/>
              <w:jc w:val="center"/>
              <w:rPr>
                <w:highlight w:val="black"/>
              </w:rPr>
            </w:pPr>
            <w:r>
              <w:rPr>
                <w:noProof/>
                <w:color w:val="000000"/>
                <w:highlight w:val="black"/>
              </w:rPr>
              <w:t>'''''''''''''''''''</w:t>
            </w:r>
          </w:p>
        </w:tc>
        <w:tc>
          <w:tcPr>
            <w:tcW w:w="698" w:type="pct"/>
            <w:vAlign w:val="center"/>
          </w:tcPr>
          <w:p w14:paraId="0126DB24" w14:textId="77777777" w:rsidR="00E24642" w:rsidRPr="00457FD3" w:rsidRDefault="00E24642" w:rsidP="00303D2C">
            <w:pPr>
              <w:pStyle w:val="TableText0"/>
              <w:keepNext w:val="0"/>
              <w:jc w:val="center"/>
            </w:pPr>
            <w:r w:rsidRPr="00457FD3">
              <w:t>0.319</w:t>
            </w:r>
          </w:p>
        </w:tc>
        <w:tc>
          <w:tcPr>
            <w:tcW w:w="879" w:type="pct"/>
            <w:vAlign w:val="center"/>
          </w:tcPr>
          <w:p w14:paraId="4AB19858" w14:textId="77777777" w:rsidR="00E24642" w:rsidRPr="00730CE5" w:rsidRDefault="00730CE5" w:rsidP="00303D2C">
            <w:pPr>
              <w:pStyle w:val="TableText0"/>
              <w:keepNext w:val="0"/>
              <w:jc w:val="center"/>
            </w:pPr>
            <w:r>
              <w:rPr>
                <w:noProof/>
                <w:color w:val="000000"/>
                <w:highlight w:val="black"/>
              </w:rPr>
              <w:t>''''''''''''''''''''''</w:t>
            </w:r>
            <w:r w:rsidR="00873176">
              <w:rPr>
                <w:vertAlign w:val="superscript"/>
              </w:rPr>
              <w:t>2</w:t>
            </w:r>
          </w:p>
        </w:tc>
        <w:tc>
          <w:tcPr>
            <w:tcW w:w="742" w:type="pct"/>
            <w:vAlign w:val="center"/>
          </w:tcPr>
          <w:p w14:paraId="1A2E3E84" w14:textId="77777777" w:rsidR="00E24642" w:rsidRPr="00457FD3" w:rsidRDefault="00E24642" w:rsidP="00303D2C">
            <w:pPr>
              <w:pStyle w:val="TableText0"/>
              <w:keepNext w:val="0"/>
              <w:jc w:val="center"/>
            </w:pPr>
            <w:r w:rsidRPr="00457FD3">
              <w:t>+24.4%</w:t>
            </w:r>
          </w:p>
        </w:tc>
      </w:tr>
      <w:tr w:rsidR="009B115E" w:rsidRPr="00457FD3" w14:paraId="1320616A" w14:textId="77777777" w:rsidTr="0057706C">
        <w:trPr>
          <w:cantSplit/>
        </w:trPr>
        <w:tc>
          <w:tcPr>
            <w:tcW w:w="1904" w:type="pct"/>
          </w:tcPr>
          <w:p w14:paraId="3CCAA46D" w14:textId="77777777" w:rsidR="009B115E" w:rsidRDefault="009B115E" w:rsidP="00CC64F1">
            <w:pPr>
              <w:pStyle w:val="TableText0"/>
              <w:keepLines/>
              <w:numPr>
                <w:ilvl w:val="0"/>
                <w:numId w:val="4"/>
              </w:numPr>
              <w:tabs>
                <w:tab w:val="left" w:pos="169"/>
                <w:tab w:val="left" w:pos="360"/>
              </w:tabs>
              <w:ind w:hanging="720"/>
            </w:pPr>
            <w:r>
              <w:t>Pre-PBAC response revised values</w:t>
            </w:r>
            <w:r w:rsidR="00CC64F1">
              <w:t>:</w:t>
            </w:r>
          </w:p>
          <w:p w14:paraId="4512BD25" w14:textId="77777777" w:rsidR="00632CFA" w:rsidRDefault="00632CFA" w:rsidP="00632CFA">
            <w:pPr>
              <w:pStyle w:val="TableText0"/>
              <w:keepNext w:val="0"/>
              <w:ind w:left="720"/>
            </w:pPr>
            <w:r>
              <w:t>PF: SG: 0.746 TPC: 0.662</w:t>
            </w:r>
          </w:p>
          <w:p w14:paraId="7AEEFC38" w14:textId="77777777" w:rsidR="00632CFA" w:rsidRPr="00457FD3" w:rsidRDefault="00632CFA" w:rsidP="00632CFA">
            <w:pPr>
              <w:pStyle w:val="TableText0"/>
              <w:keepNext w:val="0"/>
              <w:ind w:left="720"/>
            </w:pPr>
            <w:r>
              <w:t>PD: 0.605 (based on TPC arm)</w:t>
            </w:r>
          </w:p>
        </w:tc>
        <w:tc>
          <w:tcPr>
            <w:tcW w:w="777" w:type="pct"/>
            <w:vAlign w:val="center"/>
          </w:tcPr>
          <w:p w14:paraId="3D4EF0FF" w14:textId="77777777" w:rsidR="009B115E" w:rsidRPr="00730CE5" w:rsidRDefault="00730CE5" w:rsidP="00632CFA">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698" w:type="pct"/>
            <w:vAlign w:val="center"/>
          </w:tcPr>
          <w:p w14:paraId="18803BD5" w14:textId="77777777" w:rsidR="009B115E" w:rsidRPr="00457FD3" w:rsidRDefault="00632CFA" w:rsidP="00303D2C">
            <w:pPr>
              <w:pStyle w:val="TableText0"/>
              <w:keepNext w:val="0"/>
              <w:jc w:val="center"/>
            </w:pPr>
            <w:r>
              <w:t>0.408</w:t>
            </w:r>
          </w:p>
        </w:tc>
        <w:tc>
          <w:tcPr>
            <w:tcW w:w="879" w:type="pct"/>
            <w:vAlign w:val="center"/>
          </w:tcPr>
          <w:p w14:paraId="0A842204" w14:textId="77777777" w:rsidR="009B115E" w:rsidRPr="00730CE5" w:rsidRDefault="00730CE5" w:rsidP="00632CFA">
            <w:pPr>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873176" w:rsidRPr="00CB0273">
              <w:rPr>
                <w:rFonts w:ascii="Arial Narrow" w:hAnsi="Arial Narrow"/>
                <w:sz w:val="20"/>
                <w:vertAlign w:val="superscript"/>
              </w:rPr>
              <w:t>1</w:t>
            </w:r>
          </w:p>
        </w:tc>
        <w:tc>
          <w:tcPr>
            <w:tcW w:w="742" w:type="pct"/>
            <w:vAlign w:val="center"/>
          </w:tcPr>
          <w:p w14:paraId="0A199972" w14:textId="77777777" w:rsidR="009B115E" w:rsidRPr="00457FD3" w:rsidRDefault="00632CFA" w:rsidP="00303D2C">
            <w:pPr>
              <w:pStyle w:val="TableText0"/>
              <w:keepNext w:val="0"/>
              <w:jc w:val="center"/>
            </w:pPr>
            <w:r>
              <w:t>-2.6%</w:t>
            </w:r>
          </w:p>
        </w:tc>
      </w:tr>
      <w:tr w:rsidR="009B115E" w:rsidRPr="00457FD3" w14:paraId="29BE4CB3" w14:textId="77777777" w:rsidTr="0057706C">
        <w:trPr>
          <w:cantSplit/>
        </w:trPr>
        <w:tc>
          <w:tcPr>
            <w:tcW w:w="1904" w:type="pct"/>
          </w:tcPr>
          <w:p w14:paraId="5C45DF6C" w14:textId="77777777" w:rsidR="00632CFA" w:rsidRDefault="00632CFA" w:rsidP="00CC64F1">
            <w:pPr>
              <w:pStyle w:val="TableText0"/>
              <w:keepLines/>
              <w:numPr>
                <w:ilvl w:val="0"/>
                <w:numId w:val="4"/>
              </w:numPr>
              <w:tabs>
                <w:tab w:val="left" w:pos="169"/>
                <w:tab w:val="left" w:pos="360"/>
              </w:tabs>
              <w:ind w:hanging="720"/>
            </w:pPr>
            <w:r>
              <w:t>Pre-PBAC response revised values</w:t>
            </w:r>
          </w:p>
          <w:p w14:paraId="7F9909BF" w14:textId="77777777" w:rsidR="009B115E" w:rsidRPr="00457FD3" w:rsidRDefault="00632CFA" w:rsidP="00632CFA">
            <w:pPr>
              <w:pStyle w:val="TableText0"/>
              <w:keepNext w:val="0"/>
              <w:ind w:left="720"/>
            </w:pPr>
            <w:r>
              <w:t>PF: pooled 0.712; PD: 0.605</w:t>
            </w:r>
          </w:p>
        </w:tc>
        <w:tc>
          <w:tcPr>
            <w:tcW w:w="777" w:type="pct"/>
            <w:vAlign w:val="center"/>
          </w:tcPr>
          <w:p w14:paraId="2D17EA96" w14:textId="77777777" w:rsidR="009B115E" w:rsidRPr="00730CE5" w:rsidRDefault="00730CE5" w:rsidP="00632CFA">
            <w:pPr>
              <w:jc w:val="center"/>
              <w:rPr>
                <w:highlight w:val="black"/>
              </w:rPr>
            </w:pPr>
            <w:r>
              <w:rPr>
                <w:rFonts w:ascii="Arial Narrow" w:eastAsiaTheme="majorEastAsia" w:hAnsi="Arial Narrow" w:cstheme="majorBidi"/>
                <w:bCs/>
                <w:noProof/>
                <w:color w:val="000000"/>
                <w:sz w:val="20"/>
                <w:highlight w:val="black"/>
              </w:rPr>
              <w:t>''''''''''''''''''''</w:t>
            </w:r>
          </w:p>
        </w:tc>
        <w:tc>
          <w:tcPr>
            <w:tcW w:w="698" w:type="pct"/>
            <w:vAlign w:val="center"/>
          </w:tcPr>
          <w:p w14:paraId="098F3C43" w14:textId="77777777" w:rsidR="009B115E" w:rsidRPr="00457FD3" w:rsidRDefault="00632CFA" w:rsidP="00632CFA">
            <w:pPr>
              <w:jc w:val="center"/>
            </w:pPr>
            <w:r w:rsidRPr="00632CFA">
              <w:rPr>
                <w:rFonts w:ascii="Arial Narrow" w:eastAsiaTheme="majorEastAsia" w:hAnsi="Arial Narrow" w:cstheme="majorBidi"/>
                <w:bCs/>
                <w:sz w:val="20"/>
              </w:rPr>
              <w:t>0.370</w:t>
            </w:r>
          </w:p>
        </w:tc>
        <w:tc>
          <w:tcPr>
            <w:tcW w:w="879" w:type="pct"/>
            <w:vAlign w:val="center"/>
          </w:tcPr>
          <w:p w14:paraId="5707798E" w14:textId="77777777" w:rsidR="009B115E" w:rsidRPr="00457FD3" w:rsidRDefault="00730CE5" w:rsidP="00632CFA">
            <w:pPr>
              <w:jc w:val="center"/>
            </w:pPr>
            <w:r>
              <w:rPr>
                <w:rFonts w:ascii="Arial Narrow" w:eastAsiaTheme="majorEastAsia" w:hAnsi="Arial Narrow" w:cstheme="majorBidi"/>
                <w:bCs/>
                <w:noProof/>
                <w:color w:val="000000"/>
                <w:sz w:val="20"/>
                <w:highlight w:val="black"/>
              </w:rPr>
              <w:t>'''''''''''''''''''''</w:t>
            </w:r>
            <w:r w:rsidR="00873176" w:rsidRPr="00873176">
              <w:rPr>
                <w:rFonts w:ascii="Arial Narrow" w:hAnsi="Arial Narrow"/>
                <w:sz w:val="20"/>
                <w:vertAlign w:val="superscript"/>
              </w:rPr>
              <w:t>2</w:t>
            </w:r>
          </w:p>
        </w:tc>
        <w:tc>
          <w:tcPr>
            <w:tcW w:w="742" w:type="pct"/>
            <w:vAlign w:val="center"/>
          </w:tcPr>
          <w:p w14:paraId="54CF24A9" w14:textId="77777777" w:rsidR="009B115E" w:rsidRPr="00457FD3" w:rsidRDefault="00632CFA" w:rsidP="00303D2C">
            <w:pPr>
              <w:pStyle w:val="TableText0"/>
              <w:keepNext w:val="0"/>
              <w:jc w:val="center"/>
            </w:pPr>
            <w:r>
              <w:t>+7.5%</w:t>
            </w:r>
          </w:p>
        </w:tc>
      </w:tr>
      <w:tr w:rsidR="00E24642" w:rsidRPr="00457FD3" w14:paraId="52385A41" w14:textId="77777777" w:rsidTr="0057706C">
        <w:trPr>
          <w:cantSplit/>
        </w:trPr>
        <w:tc>
          <w:tcPr>
            <w:tcW w:w="5000" w:type="pct"/>
            <w:gridSpan w:val="5"/>
            <w:vAlign w:val="center"/>
          </w:tcPr>
          <w:p w14:paraId="049138B0" w14:textId="77777777" w:rsidR="00E24642" w:rsidRPr="00457FD3" w:rsidRDefault="00E24642" w:rsidP="00303D2C">
            <w:pPr>
              <w:pStyle w:val="TableText0"/>
              <w:keepNext w:val="0"/>
            </w:pPr>
            <w:r w:rsidRPr="00457FD3">
              <w:t>Costs in PD health state (all costs in the PD health state were included as components of ‘terminal care’: $35,626)</w:t>
            </w:r>
          </w:p>
        </w:tc>
      </w:tr>
      <w:tr w:rsidR="00E24642" w:rsidRPr="00457FD3" w14:paraId="371DC23A" w14:textId="77777777" w:rsidTr="0057706C">
        <w:trPr>
          <w:cantSplit/>
        </w:trPr>
        <w:tc>
          <w:tcPr>
            <w:tcW w:w="1904" w:type="pct"/>
          </w:tcPr>
          <w:p w14:paraId="56EB50CB" w14:textId="77777777" w:rsidR="00E24642" w:rsidRPr="00457FD3" w:rsidRDefault="00E24642" w:rsidP="00CC64F1">
            <w:pPr>
              <w:pStyle w:val="TableText0"/>
              <w:keepLines/>
              <w:numPr>
                <w:ilvl w:val="0"/>
                <w:numId w:val="4"/>
              </w:numPr>
              <w:tabs>
                <w:tab w:val="left" w:pos="169"/>
                <w:tab w:val="left" w:pos="360"/>
              </w:tabs>
              <w:ind w:hanging="720"/>
            </w:pPr>
            <w:r w:rsidRPr="00457FD3">
              <w:t>Terminal care cost decreased to $17,813</w:t>
            </w:r>
          </w:p>
        </w:tc>
        <w:tc>
          <w:tcPr>
            <w:tcW w:w="777" w:type="pct"/>
          </w:tcPr>
          <w:p w14:paraId="1C876C24" w14:textId="77777777" w:rsidR="00E24642" w:rsidRPr="00730CE5" w:rsidRDefault="00730CE5" w:rsidP="00303D2C">
            <w:pPr>
              <w:pStyle w:val="TableText0"/>
              <w:keepNext w:val="0"/>
              <w:jc w:val="center"/>
              <w:rPr>
                <w:highlight w:val="black"/>
              </w:rPr>
            </w:pPr>
            <w:r>
              <w:rPr>
                <w:noProof/>
                <w:color w:val="000000"/>
                <w:highlight w:val="black"/>
              </w:rPr>
              <w:t>'''''''''''''''''''</w:t>
            </w:r>
          </w:p>
        </w:tc>
        <w:tc>
          <w:tcPr>
            <w:tcW w:w="698" w:type="pct"/>
          </w:tcPr>
          <w:p w14:paraId="124C663D" w14:textId="77777777" w:rsidR="00E24642" w:rsidRPr="00457FD3" w:rsidRDefault="00E24642" w:rsidP="00303D2C">
            <w:pPr>
              <w:pStyle w:val="TableText0"/>
              <w:keepNext w:val="0"/>
              <w:jc w:val="center"/>
            </w:pPr>
            <w:r w:rsidRPr="00457FD3">
              <w:t>0.397</w:t>
            </w:r>
          </w:p>
        </w:tc>
        <w:tc>
          <w:tcPr>
            <w:tcW w:w="879" w:type="pct"/>
          </w:tcPr>
          <w:p w14:paraId="17FAFEBD" w14:textId="77777777" w:rsidR="00E24642" w:rsidRPr="00730CE5" w:rsidRDefault="00730CE5" w:rsidP="00303D2C">
            <w:pPr>
              <w:pStyle w:val="TableText0"/>
              <w:keepNext w:val="0"/>
              <w:jc w:val="center"/>
            </w:pPr>
            <w:r>
              <w:rPr>
                <w:noProof/>
                <w:color w:val="000000"/>
                <w:highlight w:val="black"/>
              </w:rPr>
              <w:t>'''''''''''''''''''''</w:t>
            </w:r>
            <w:r w:rsidR="00873176">
              <w:rPr>
                <w:vertAlign w:val="superscript"/>
              </w:rPr>
              <w:t>1</w:t>
            </w:r>
          </w:p>
        </w:tc>
        <w:tc>
          <w:tcPr>
            <w:tcW w:w="742" w:type="pct"/>
          </w:tcPr>
          <w:p w14:paraId="130B6491" w14:textId="77777777" w:rsidR="00E24642" w:rsidRPr="00457FD3" w:rsidRDefault="00E24642" w:rsidP="00303D2C">
            <w:pPr>
              <w:pStyle w:val="TableText0"/>
              <w:keepNext w:val="0"/>
              <w:jc w:val="center"/>
            </w:pPr>
            <w:r w:rsidRPr="00457FD3">
              <w:t>+0.9%</w:t>
            </w:r>
          </w:p>
        </w:tc>
      </w:tr>
      <w:tr w:rsidR="00E24642" w:rsidRPr="00457FD3" w14:paraId="28D26E36" w14:textId="77777777" w:rsidTr="0057706C">
        <w:trPr>
          <w:cantSplit/>
        </w:trPr>
        <w:tc>
          <w:tcPr>
            <w:tcW w:w="1904" w:type="pct"/>
            <w:tcBorders>
              <w:bottom w:val="single" w:sz="4" w:space="0" w:color="auto"/>
            </w:tcBorders>
          </w:tcPr>
          <w:p w14:paraId="0BB103B7" w14:textId="77777777" w:rsidR="00E24642" w:rsidRPr="00457FD3" w:rsidRDefault="00E24642" w:rsidP="00CC64F1">
            <w:pPr>
              <w:pStyle w:val="TableText0"/>
              <w:keepLines/>
              <w:numPr>
                <w:ilvl w:val="0"/>
                <w:numId w:val="4"/>
              </w:numPr>
              <w:tabs>
                <w:tab w:val="left" w:pos="169"/>
                <w:tab w:val="left" w:pos="360"/>
              </w:tabs>
              <w:ind w:left="169" w:hanging="169"/>
            </w:pPr>
            <w:r w:rsidRPr="00457FD3">
              <w:t>Adjusting terminal care cost in each arm to account for duration of time in PD state</w:t>
            </w:r>
            <w:r w:rsidRPr="00457FD3">
              <w:rPr>
                <w:vertAlign w:val="superscript"/>
              </w:rPr>
              <w:t>c</w:t>
            </w:r>
          </w:p>
        </w:tc>
        <w:tc>
          <w:tcPr>
            <w:tcW w:w="777" w:type="pct"/>
            <w:tcBorders>
              <w:bottom w:val="single" w:sz="4" w:space="0" w:color="auto"/>
            </w:tcBorders>
            <w:vAlign w:val="center"/>
          </w:tcPr>
          <w:p w14:paraId="20E83263" w14:textId="77777777" w:rsidR="00E24642" w:rsidRPr="00730CE5" w:rsidRDefault="00730CE5" w:rsidP="00303D2C">
            <w:pPr>
              <w:pStyle w:val="TableText0"/>
              <w:keepNext w:val="0"/>
              <w:jc w:val="center"/>
              <w:rPr>
                <w:highlight w:val="black"/>
              </w:rPr>
            </w:pPr>
            <w:r>
              <w:rPr>
                <w:noProof/>
                <w:color w:val="000000"/>
                <w:highlight w:val="black"/>
              </w:rPr>
              <w:t>''''''''''''''''''</w:t>
            </w:r>
          </w:p>
        </w:tc>
        <w:tc>
          <w:tcPr>
            <w:tcW w:w="698" w:type="pct"/>
            <w:tcBorders>
              <w:bottom w:val="single" w:sz="4" w:space="0" w:color="auto"/>
            </w:tcBorders>
            <w:vAlign w:val="center"/>
          </w:tcPr>
          <w:p w14:paraId="06E1CE92" w14:textId="77777777" w:rsidR="00E24642" w:rsidRPr="00457FD3" w:rsidRDefault="00E24642" w:rsidP="00303D2C">
            <w:pPr>
              <w:pStyle w:val="TableText0"/>
              <w:keepNext w:val="0"/>
              <w:jc w:val="center"/>
            </w:pPr>
            <w:r w:rsidRPr="00457FD3">
              <w:t>0.397</w:t>
            </w:r>
          </w:p>
        </w:tc>
        <w:tc>
          <w:tcPr>
            <w:tcW w:w="879" w:type="pct"/>
            <w:tcBorders>
              <w:bottom w:val="single" w:sz="4" w:space="0" w:color="auto"/>
            </w:tcBorders>
            <w:vAlign w:val="center"/>
          </w:tcPr>
          <w:p w14:paraId="1FBE58E9" w14:textId="77777777" w:rsidR="00E24642" w:rsidRPr="00730CE5" w:rsidRDefault="00730CE5" w:rsidP="00303D2C">
            <w:pPr>
              <w:pStyle w:val="TableText0"/>
              <w:keepNext w:val="0"/>
              <w:jc w:val="center"/>
            </w:pPr>
            <w:r>
              <w:rPr>
                <w:noProof/>
                <w:color w:val="000000"/>
                <w:highlight w:val="black"/>
              </w:rPr>
              <w:t>'''''''''''''''''''''''</w:t>
            </w:r>
            <w:r w:rsidR="00873176">
              <w:rPr>
                <w:vertAlign w:val="superscript"/>
              </w:rPr>
              <w:t>2</w:t>
            </w:r>
          </w:p>
        </w:tc>
        <w:tc>
          <w:tcPr>
            <w:tcW w:w="742" w:type="pct"/>
            <w:tcBorders>
              <w:bottom w:val="single" w:sz="4" w:space="0" w:color="auto"/>
            </w:tcBorders>
            <w:vAlign w:val="center"/>
          </w:tcPr>
          <w:p w14:paraId="64659A04" w14:textId="77777777" w:rsidR="00E24642" w:rsidRPr="00457FD3" w:rsidRDefault="00E24642" w:rsidP="00303D2C">
            <w:pPr>
              <w:pStyle w:val="TableText0"/>
              <w:keepNext w:val="0"/>
              <w:jc w:val="center"/>
            </w:pPr>
            <w:r w:rsidRPr="00457FD3">
              <w:t>+25.8%</w:t>
            </w:r>
          </w:p>
        </w:tc>
      </w:tr>
      <w:tr w:rsidR="00632CFA" w:rsidRPr="00457FD3" w14:paraId="35482EF3" w14:textId="77777777" w:rsidTr="0057706C">
        <w:trPr>
          <w:cantSplit/>
        </w:trPr>
        <w:tc>
          <w:tcPr>
            <w:tcW w:w="1904" w:type="pct"/>
            <w:tcBorders>
              <w:bottom w:val="single" w:sz="4" w:space="0" w:color="auto"/>
            </w:tcBorders>
          </w:tcPr>
          <w:p w14:paraId="2BDAD088" w14:textId="77777777" w:rsidR="00632CFA" w:rsidRPr="00457FD3" w:rsidRDefault="00632CFA" w:rsidP="00CC64F1">
            <w:pPr>
              <w:pStyle w:val="TableText0"/>
              <w:keepLines/>
              <w:numPr>
                <w:ilvl w:val="0"/>
                <w:numId w:val="4"/>
              </w:numPr>
              <w:tabs>
                <w:tab w:val="left" w:pos="169"/>
                <w:tab w:val="left" w:pos="360"/>
              </w:tabs>
              <w:ind w:hanging="720"/>
            </w:pPr>
            <w:r>
              <w:t>Pre-PBAC response revised values</w:t>
            </w:r>
          </w:p>
        </w:tc>
        <w:tc>
          <w:tcPr>
            <w:tcW w:w="777" w:type="pct"/>
            <w:tcBorders>
              <w:bottom w:val="single" w:sz="4" w:space="0" w:color="auto"/>
            </w:tcBorders>
          </w:tcPr>
          <w:p w14:paraId="047EACC1" w14:textId="77777777" w:rsidR="00632CFA" w:rsidRPr="00730CE5" w:rsidRDefault="00730CE5" w:rsidP="00632CFA">
            <w:pPr>
              <w:pStyle w:val="TableText0"/>
              <w:keepNext w:val="0"/>
              <w:jc w:val="center"/>
              <w:rPr>
                <w:highlight w:val="black"/>
              </w:rPr>
            </w:pPr>
            <w:r>
              <w:rPr>
                <w:noProof/>
                <w:color w:val="000000"/>
                <w:highlight w:val="black"/>
              </w:rPr>
              <w:t>'''''''''''''''''''</w:t>
            </w:r>
          </w:p>
        </w:tc>
        <w:tc>
          <w:tcPr>
            <w:tcW w:w="698" w:type="pct"/>
            <w:tcBorders>
              <w:bottom w:val="single" w:sz="4" w:space="0" w:color="auto"/>
            </w:tcBorders>
          </w:tcPr>
          <w:p w14:paraId="0AB61633" w14:textId="77777777" w:rsidR="00632CFA" w:rsidRPr="00457FD3" w:rsidRDefault="00632CFA" w:rsidP="00632CFA">
            <w:pPr>
              <w:pStyle w:val="TableText0"/>
              <w:keepNext w:val="0"/>
              <w:jc w:val="center"/>
            </w:pPr>
            <w:r w:rsidRPr="000120A3">
              <w:t>0.397</w:t>
            </w:r>
          </w:p>
        </w:tc>
        <w:tc>
          <w:tcPr>
            <w:tcW w:w="879" w:type="pct"/>
            <w:tcBorders>
              <w:bottom w:val="single" w:sz="4" w:space="0" w:color="auto"/>
            </w:tcBorders>
          </w:tcPr>
          <w:p w14:paraId="067E4AD8" w14:textId="77777777" w:rsidR="00632CFA" w:rsidRPr="00730CE5" w:rsidRDefault="00730CE5" w:rsidP="00632CFA">
            <w:pPr>
              <w:pStyle w:val="TableText0"/>
              <w:keepNext w:val="0"/>
              <w:jc w:val="center"/>
            </w:pPr>
            <w:r>
              <w:rPr>
                <w:noProof/>
                <w:color w:val="000000"/>
                <w:highlight w:val="black"/>
              </w:rPr>
              <w:t>''''''''''''''''''''''</w:t>
            </w:r>
            <w:r w:rsidR="00873176">
              <w:rPr>
                <w:vertAlign w:val="superscript"/>
              </w:rPr>
              <w:t>1</w:t>
            </w:r>
          </w:p>
        </w:tc>
        <w:tc>
          <w:tcPr>
            <w:tcW w:w="742" w:type="pct"/>
            <w:tcBorders>
              <w:bottom w:val="single" w:sz="4" w:space="0" w:color="auto"/>
            </w:tcBorders>
          </w:tcPr>
          <w:p w14:paraId="3609E94E" w14:textId="77777777" w:rsidR="00632CFA" w:rsidRPr="00457FD3" w:rsidRDefault="00632CFA" w:rsidP="00632CFA">
            <w:pPr>
              <w:pStyle w:val="TableText0"/>
              <w:keepNext w:val="0"/>
              <w:jc w:val="center"/>
            </w:pPr>
            <w:r>
              <w:t>+</w:t>
            </w:r>
            <w:r w:rsidRPr="000120A3">
              <w:t>3%</w:t>
            </w:r>
          </w:p>
        </w:tc>
      </w:tr>
      <w:tr w:rsidR="009B115E" w:rsidRPr="00457FD3" w14:paraId="3F159289" w14:textId="77777777" w:rsidTr="0057706C">
        <w:trPr>
          <w:cantSplit/>
        </w:trPr>
        <w:tc>
          <w:tcPr>
            <w:tcW w:w="5000" w:type="pct"/>
            <w:gridSpan w:val="5"/>
            <w:tcBorders>
              <w:bottom w:val="single" w:sz="4" w:space="0" w:color="auto"/>
            </w:tcBorders>
          </w:tcPr>
          <w:p w14:paraId="2D3E0369" w14:textId="77777777" w:rsidR="009B115E" w:rsidRPr="00457FD3" w:rsidRDefault="009B115E" w:rsidP="009B115E">
            <w:pPr>
              <w:pStyle w:val="TableText0"/>
              <w:keepNext w:val="0"/>
            </w:pPr>
            <w:r>
              <w:t xml:space="preserve">Dose intensity </w:t>
            </w:r>
            <w:r w:rsidR="00337B61">
              <w:t xml:space="preserve">for SG </w:t>
            </w:r>
            <w:r>
              <w:t>(Base case: 94.2%)</w:t>
            </w:r>
          </w:p>
        </w:tc>
      </w:tr>
      <w:tr w:rsidR="009B115E" w:rsidRPr="00457FD3" w14:paraId="68CCB668" w14:textId="77777777" w:rsidTr="0057706C">
        <w:trPr>
          <w:cantSplit/>
        </w:trPr>
        <w:tc>
          <w:tcPr>
            <w:tcW w:w="1904" w:type="pct"/>
            <w:tcBorders>
              <w:bottom w:val="single" w:sz="4" w:space="0" w:color="auto"/>
            </w:tcBorders>
          </w:tcPr>
          <w:p w14:paraId="39A35EDF" w14:textId="77777777" w:rsidR="009B115E" w:rsidRPr="00457FD3" w:rsidRDefault="009B115E" w:rsidP="00CC64F1">
            <w:pPr>
              <w:pStyle w:val="TableText0"/>
              <w:keepLines/>
              <w:numPr>
                <w:ilvl w:val="0"/>
                <w:numId w:val="4"/>
              </w:numPr>
              <w:tabs>
                <w:tab w:val="left" w:pos="169"/>
                <w:tab w:val="left" w:pos="360"/>
              </w:tabs>
              <w:ind w:hanging="720"/>
            </w:pPr>
            <w:r>
              <w:t>70%</w:t>
            </w:r>
          </w:p>
        </w:tc>
        <w:tc>
          <w:tcPr>
            <w:tcW w:w="777" w:type="pct"/>
            <w:tcBorders>
              <w:bottom w:val="single" w:sz="4" w:space="0" w:color="auto"/>
            </w:tcBorders>
            <w:vAlign w:val="center"/>
          </w:tcPr>
          <w:p w14:paraId="4B7B6754" w14:textId="77777777" w:rsidR="009B115E" w:rsidRPr="00730CE5" w:rsidRDefault="00730CE5" w:rsidP="009B115E">
            <w:pPr>
              <w:jc w:val="center"/>
              <w:rPr>
                <w:highlight w:val="black"/>
              </w:rPr>
            </w:pPr>
            <w:r>
              <w:rPr>
                <w:rFonts w:ascii="Arial Narrow" w:eastAsiaTheme="majorEastAsia" w:hAnsi="Arial Narrow" w:cstheme="majorBidi"/>
                <w:bCs/>
                <w:noProof/>
                <w:color w:val="000000"/>
                <w:sz w:val="20"/>
                <w:highlight w:val="black"/>
              </w:rPr>
              <w:t>''''''''''''''''''</w:t>
            </w:r>
          </w:p>
        </w:tc>
        <w:tc>
          <w:tcPr>
            <w:tcW w:w="698" w:type="pct"/>
            <w:tcBorders>
              <w:bottom w:val="single" w:sz="4" w:space="0" w:color="auto"/>
            </w:tcBorders>
            <w:vAlign w:val="center"/>
          </w:tcPr>
          <w:p w14:paraId="5837E4F2" w14:textId="77777777" w:rsidR="009B115E" w:rsidRPr="00457FD3" w:rsidRDefault="009B115E" w:rsidP="00303D2C">
            <w:pPr>
              <w:pStyle w:val="TableText0"/>
              <w:keepNext w:val="0"/>
              <w:jc w:val="center"/>
            </w:pPr>
            <w:r w:rsidRPr="00B71FFC">
              <w:t>0.397</w:t>
            </w:r>
          </w:p>
        </w:tc>
        <w:tc>
          <w:tcPr>
            <w:tcW w:w="879" w:type="pct"/>
            <w:tcBorders>
              <w:bottom w:val="single" w:sz="4" w:space="0" w:color="auto"/>
            </w:tcBorders>
            <w:vAlign w:val="center"/>
          </w:tcPr>
          <w:p w14:paraId="7356F32D" w14:textId="77777777" w:rsidR="009B115E" w:rsidRPr="00730CE5" w:rsidRDefault="00730CE5" w:rsidP="00303D2C">
            <w:pPr>
              <w:pStyle w:val="TableText0"/>
              <w:keepNext w:val="0"/>
              <w:jc w:val="center"/>
            </w:pPr>
            <w:r>
              <w:rPr>
                <w:noProof/>
                <w:color w:val="000000"/>
                <w:highlight w:val="black"/>
              </w:rPr>
              <w:t>'''''''''''''''''''''''</w:t>
            </w:r>
            <w:r w:rsidR="00896B9F">
              <w:rPr>
                <w:vertAlign w:val="superscript"/>
              </w:rPr>
              <w:t>4</w:t>
            </w:r>
          </w:p>
        </w:tc>
        <w:tc>
          <w:tcPr>
            <w:tcW w:w="742" w:type="pct"/>
            <w:tcBorders>
              <w:bottom w:val="single" w:sz="4" w:space="0" w:color="auto"/>
            </w:tcBorders>
            <w:vAlign w:val="center"/>
          </w:tcPr>
          <w:p w14:paraId="69BBE853" w14:textId="77777777" w:rsidR="009B115E" w:rsidRPr="00457FD3" w:rsidRDefault="009B115E" w:rsidP="00303D2C">
            <w:pPr>
              <w:pStyle w:val="TableText0"/>
              <w:keepNext w:val="0"/>
              <w:jc w:val="center"/>
            </w:pPr>
            <w:r>
              <w:t>-26.5%</w:t>
            </w:r>
          </w:p>
        </w:tc>
      </w:tr>
      <w:tr w:rsidR="009B115E" w:rsidRPr="00457FD3" w14:paraId="08C6751F" w14:textId="77777777" w:rsidTr="0057706C">
        <w:trPr>
          <w:cantSplit/>
        </w:trPr>
        <w:tc>
          <w:tcPr>
            <w:tcW w:w="1904" w:type="pct"/>
            <w:tcBorders>
              <w:bottom w:val="single" w:sz="4" w:space="0" w:color="auto"/>
            </w:tcBorders>
          </w:tcPr>
          <w:p w14:paraId="107E9019" w14:textId="77777777" w:rsidR="009B115E" w:rsidRPr="00457FD3" w:rsidRDefault="009B115E" w:rsidP="00CC64F1">
            <w:pPr>
              <w:pStyle w:val="TableText0"/>
              <w:keepLines/>
              <w:numPr>
                <w:ilvl w:val="0"/>
                <w:numId w:val="4"/>
              </w:numPr>
              <w:tabs>
                <w:tab w:val="left" w:pos="169"/>
                <w:tab w:val="left" w:pos="360"/>
              </w:tabs>
              <w:ind w:hanging="720"/>
            </w:pPr>
            <w:r>
              <w:t>80%</w:t>
            </w:r>
          </w:p>
        </w:tc>
        <w:tc>
          <w:tcPr>
            <w:tcW w:w="777" w:type="pct"/>
            <w:tcBorders>
              <w:bottom w:val="single" w:sz="4" w:space="0" w:color="auto"/>
            </w:tcBorders>
          </w:tcPr>
          <w:p w14:paraId="626ABA2A" w14:textId="77777777" w:rsidR="009B115E" w:rsidRPr="00730CE5" w:rsidRDefault="00730CE5" w:rsidP="009B115E">
            <w:pPr>
              <w:pStyle w:val="TableText0"/>
              <w:keepNext w:val="0"/>
              <w:jc w:val="center"/>
              <w:rPr>
                <w:highlight w:val="black"/>
              </w:rPr>
            </w:pPr>
            <w:r>
              <w:rPr>
                <w:noProof/>
                <w:color w:val="000000"/>
                <w:highlight w:val="black"/>
              </w:rPr>
              <w:t>''''''''''''''''''''</w:t>
            </w:r>
          </w:p>
        </w:tc>
        <w:tc>
          <w:tcPr>
            <w:tcW w:w="698" w:type="pct"/>
            <w:tcBorders>
              <w:bottom w:val="single" w:sz="4" w:space="0" w:color="auto"/>
            </w:tcBorders>
          </w:tcPr>
          <w:p w14:paraId="3374C81B" w14:textId="77777777" w:rsidR="009B115E" w:rsidRPr="00457FD3" w:rsidRDefault="009B115E" w:rsidP="009B115E">
            <w:pPr>
              <w:pStyle w:val="TableText0"/>
              <w:keepNext w:val="0"/>
              <w:jc w:val="center"/>
            </w:pPr>
            <w:r w:rsidRPr="00B71FFC">
              <w:t>0.397</w:t>
            </w:r>
          </w:p>
        </w:tc>
        <w:tc>
          <w:tcPr>
            <w:tcW w:w="879" w:type="pct"/>
            <w:tcBorders>
              <w:bottom w:val="single" w:sz="4" w:space="0" w:color="auto"/>
            </w:tcBorders>
          </w:tcPr>
          <w:p w14:paraId="222D8E66" w14:textId="77777777" w:rsidR="009B115E" w:rsidRPr="00730CE5" w:rsidRDefault="00730CE5" w:rsidP="009B115E">
            <w:pPr>
              <w:pStyle w:val="TableText0"/>
              <w:keepNext w:val="0"/>
              <w:jc w:val="center"/>
            </w:pPr>
            <w:r>
              <w:rPr>
                <w:noProof/>
                <w:color w:val="000000"/>
                <w:highlight w:val="black"/>
              </w:rPr>
              <w:t>'''''''''''''''''''''''</w:t>
            </w:r>
            <w:r w:rsidR="00896B9F">
              <w:rPr>
                <w:vertAlign w:val="superscript"/>
              </w:rPr>
              <w:t>3</w:t>
            </w:r>
          </w:p>
        </w:tc>
        <w:tc>
          <w:tcPr>
            <w:tcW w:w="742" w:type="pct"/>
            <w:tcBorders>
              <w:bottom w:val="single" w:sz="4" w:space="0" w:color="auto"/>
            </w:tcBorders>
          </w:tcPr>
          <w:p w14:paraId="48BCA9AF" w14:textId="77777777" w:rsidR="009B115E" w:rsidRPr="00457FD3" w:rsidRDefault="009B115E" w:rsidP="009B115E">
            <w:pPr>
              <w:pStyle w:val="TableText0"/>
              <w:keepNext w:val="0"/>
              <w:jc w:val="center"/>
            </w:pPr>
            <w:r w:rsidRPr="00B71FFC">
              <w:t>-15.5%</w:t>
            </w:r>
          </w:p>
        </w:tc>
      </w:tr>
      <w:tr w:rsidR="00E24642" w:rsidRPr="00457FD3" w14:paraId="288BE3CE" w14:textId="77777777" w:rsidTr="0057706C">
        <w:trPr>
          <w:cantSplit/>
        </w:trPr>
        <w:tc>
          <w:tcPr>
            <w:tcW w:w="1904" w:type="pct"/>
            <w:tcBorders>
              <w:right w:val="nil"/>
            </w:tcBorders>
          </w:tcPr>
          <w:p w14:paraId="4087D1DF" w14:textId="77777777" w:rsidR="00E24642" w:rsidRPr="00457FD3" w:rsidRDefault="00E24642" w:rsidP="00303D2C">
            <w:pPr>
              <w:pStyle w:val="TableText0"/>
              <w:keepNext w:val="0"/>
              <w:rPr>
                <w:b/>
              </w:rPr>
            </w:pPr>
            <w:r w:rsidRPr="00457FD3">
              <w:rPr>
                <w:b/>
              </w:rPr>
              <w:t>Multivariate analyses</w:t>
            </w:r>
          </w:p>
        </w:tc>
        <w:tc>
          <w:tcPr>
            <w:tcW w:w="777" w:type="pct"/>
            <w:tcBorders>
              <w:left w:val="nil"/>
              <w:right w:val="nil"/>
            </w:tcBorders>
          </w:tcPr>
          <w:p w14:paraId="358B26EA" w14:textId="77777777" w:rsidR="00E24642" w:rsidRPr="00457FD3" w:rsidRDefault="00E24642" w:rsidP="00303D2C">
            <w:pPr>
              <w:pStyle w:val="TableText0"/>
              <w:keepNext w:val="0"/>
              <w:jc w:val="center"/>
            </w:pPr>
          </w:p>
        </w:tc>
        <w:tc>
          <w:tcPr>
            <w:tcW w:w="698" w:type="pct"/>
            <w:tcBorders>
              <w:left w:val="nil"/>
              <w:right w:val="nil"/>
            </w:tcBorders>
          </w:tcPr>
          <w:p w14:paraId="36609CC0" w14:textId="77777777" w:rsidR="00E24642" w:rsidRPr="00457FD3" w:rsidRDefault="00E24642" w:rsidP="00303D2C">
            <w:pPr>
              <w:pStyle w:val="TableText0"/>
              <w:keepNext w:val="0"/>
              <w:jc w:val="center"/>
            </w:pPr>
          </w:p>
        </w:tc>
        <w:tc>
          <w:tcPr>
            <w:tcW w:w="879" w:type="pct"/>
            <w:tcBorders>
              <w:left w:val="nil"/>
              <w:right w:val="nil"/>
            </w:tcBorders>
          </w:tcPr>
          <w:p w14:paraId="336A3F01" w14:textId="77777777" w:rsidR="00E24642" w:rsidRPr="00457FD3" w:rsidRDefault="00E24642" w:rsidP="00303D2C">
            <w:pPr>
              <w:pStyle w:val="TableText0"/>
              <w:keepNext w:val="0"/>
              <w:jc w:val="center"/>
            </w:pPr>
          </w:p>
        </w:tc>
        <w:tc>
          <w:tcPr>
            <w:tcW w:w="742" w:type="pct"/>
            <w:tcBorders>
              <w:left w:val="nil"/>
            </w:tcBorders>
          </w:tcPr>
          <w:p w14:paraId="0DFFC742" w14:textId="77777777" w:rsidR="00E24642" w:rsidRPr="00457FD3" w:rsidRDefault="00E24642" w:rsidP="00303D2C">
            <w:pPr>
              <w:pStyle w:val="TableText0"/>
              <w:keepNext w:val="0"/>
              <w:jc w:val="center"/>
            </w:pPr>
          </w:p>
        </w:tc>
      </w:tr>
      <w:tr w:rsidR="00A55D6A" w:rsidRPr="00457FD3" w14:paraId="6B586FFB" w14:textId="77777777" w:rsidTr="0057706C">
        <w:trPr>
          <w:cantSplit/>
        </w:trPr>
        <w:tc>
          <w:tcPr>
            <w:tcW w:w="5000" w:type="pct"/>
            <w:gridSpan w:val="5"/>
            <w:vAlign w:val="center"/>
          </w:tcPr>
          <w:p w14:paraId="19AF0B7D" w14:textId="77777777" w:rsidR="00A55D6A" w:rsidRPr="00A55D6A" w:rsidRDefault="00A55D6A" w:rsidP="00A55D6A">
            <w:pPr>
              <w:pStyle w:val="TableText0"/>
              <w:keepNext w:val="0"/>
              <w:rPr>
                <w:rFonts w:eastAsia="MS Gothic" w:cs="Times New Roman"/>
                <w:b/>
              </w:rPr>
            </w:pPr>
            <w:r>
              <w:rPr>
                <w:rFonts w:eastAsia="MS Gothic" w:cs="Times New Roman"/>
                <w:b/>
              </w:rPr>
              <w:t xml:space="preserve">#1: </w:t>
            </w:r>
            <w:r w:rsidRPr="00A55D6A">
              <w:rPr>
                <w:rFonts w:eastAsia="MS Gothic" w:cs="Times New Roman"/>
                <w:b/>
              </w:rPr>
              <w:t xml:space="preserve">Gamma distribution for OS and 7 year time horizon </w:t>
            </w:r>
          </w:p>
        </w:tc>
      </w:tr>
      <w:tr w:rsidR="00CC64F1" w:rsidRPr="00457FD3" w14:paraId="5E9FEAC7" w14:textId="77777777" w:rsidTr="0057706C">
        <w:trPr>
          <w:cantSplit/>
        </w:trPr>
        <w:tc>
          <w:tcPr>
            <w:tcW w:w="1904" w:type="pct"/>
            <w:vAlign w:val="center"/>
          </w:tcPr>
          <w:p w14:paraId="3ACCEB84" w14:textId="77777777" w:rsidR="00CC64F1" w:rsidRDefault="00A55D6A" w:rsidP="00337B61">
            <w:pPr>
              <w:pStyle w:val="TableText0"/>
              <w:keepNext w:val="0"/>
              <w:rPr>
                <w:rFonts w:eastAsia="MS Gothic" w:cs="Times New Roman"/>
              </w:rPr>
            </w:pPr>
            <w:r>
              <w:rPr>
                <w:rFonts w:eastAsia="MS Gothic" w:cs="Times New Roman"/>
              </w:rPr>
              <w:t xml:space="preserve">#1 and </w:t>
            </w:r>
            <w:r w:rsidR="00CC64F1">
              <w:rPr>
                <w:rFonts w:eastAsia="MS Gothic" w:cs="Times New Roman"/>
              </w:rPr>
              <w:t>Utilities:</w:t>
            </w:r>
          </w:p>
          <w:p w14:paraId="62740031" w14:textId="77777777" w:rsidR="00CC64F1" w:rsidRDefault="00CC64F1" w:rsidP="00337B61">
            <w:pPr>
              <w:pStyle w:val="TableText0"/>
              <w:keepNext w:val="0"/>
              <w:rPr>
                <w:rFonts w:eastAsia="MS Gothic" w:cs="Times New Roman"/>
              </w:rPr>
            </w:pPr>
            <w:r>
              <w:rPr>
                <w:rFonts w:eastAsia="MS Gothic" w:cs="Times New Roman"/>
              </w:rPr>
              <w:t>-</w:t>
            </w:r>
            <w:r w:rsidRPr="00457FD3">
              <w:rPr>
                <w:rFonts w:eastAsia="MS Gothic" w:cs="Times New Roman"/>
              </w:rPr>
              <w:t xml:space="preserve"> PF health state 0.676 in both arms</w:t>
            </w:r>
          </w:p>
          <w:p w14:paraId="17383E75" w14:textId="77777777" w:rsidR="00CC64F1" w:rsidRPr="00457FD3" w:rsidRDefault="00CC64F1" w:rsidP="00337B61">
            <w:pPr>
              <w:pStyle w:val="TableText0"/>
              <w:keepNext w:val="0"/>
              <w:rPr>
                <w:rFonts w:ascii="Calibri" w:eastAsia="Times New Roman" w:hAnsi="Calibri" w:cs="Arial"/>
                <w:bCs w:val="0"/>
                <w:sz w:val="24"/>
              </w:rPr>
            </w:pPr>
            <w:r>
              <w:rPr>
                <w:rFonts w:eastAsia="MS Gothic" w:cs="Times New Roman"/>
              </w:rPr>
              <w:t xml:space="preserve">- </w:t>
            </w:r>
            <w:r w:rsidRPr="00457FD3">
              <w:rPr>
                <w:rFonts w:eastAsia="MS Gothic" w:cs="Times New Roman"/>
              </w:rPr>
              <w:t>PD health state 0.569 in both arms</w:t>
            </w:r>
          </w:p>
        </w:tc>
        <w:tc>
          <w:tcPr>
            <w:tcW w:w="777" w:type="pct"/>
            <w:vAlign w:val="center"/>
          </w:tcPr>
          <w:p w14:paraId="63C0BC22" w14:textId="77777777" w:rsidR="00CC64F1" w:rsidRPr="00730CE5" w:rsidRDefault="00730CE5" w:rsidP="00337B61">
            <w:pPr>
              <w:pStyle w:val="TableText0"/>
              <w:keepNext w:val="0"/>
              <w:jc w:val="center"/>
              <w:rPr>
                <w:rFonts w:ascii="Calibri" w:eastAsia="Times New Roman" w:hAnsi="Calibri" w:cs="Arial"/>
                <w:bCs w:val="0"/>
                <w:sz w:val="24"/>
                <w:highlight w:val="black"/>
              </w:rPr>
            </w:pPr>
            <w:r>
              <w:rPr>
                <w:rFonts w:eastAsia="MS Gothic" w:cs="Times New Roman"/>
                <w:noProof/>
                <w:color w:val="000000"/>
                <w:highlight w:val="black"/>
              </w:rPr>
              <w:t>'''''''''''''''''''</w:t>
            </w:r>
          </w:p>
        </w:tc>
        <w:tc>
          <w:tcPr>
            <w:tcW w:w="698" w:type="pct"/>
            <w:vAlign w:val="center"/>
          </w:tcPr>
          <w:p w14:paraId="73FE55F1" w14:textId="77777777" w:rsidR="00CC64F1" w:rsidRPr="00457FD3" w:rsidRDefault="00CC64F1" w:rsidP="00337B61">
            <w:pPr>
              <w:pStyle w:val="TableText0"/>
              <w:keepNext w:val="0"/>
              <w:jc w:val="center"/>
              <w:rPr>
                <w:rFonts w:ascii="Calibri" w:eastAsia="Times New Roman" w:hAnsi="Calibri" w:cs="Arial"/>
                <w:bCs w:val="0"/>
                <w:sz w:val="24"/>
              </w:rPr>
            </w:pPr>
            <w:r w:rsidRPr="00457FD3">
              <w:rPr>
                <w:rFonts w:eastAsia="MS Gothic" w:cs="Times New Roman"/>
              </w:rPr>
              <w:t>0.296</w:t>
            </w:r>
          </w:p>
        </w:tc>
        <w:tc>
          <w:tcPr>
            <w:tcW w:w="879" w:type="pct"/>
            <w:vAlign w:val="center"/>
          </w:tcPr>
          <w:p w14:paraId="7F33E679" w14:textId="77777777" w:rsidR="00CC64F1" w:rsidRPr="00730CE5" w:rsidRDefault="00730CE5" w:rsidP="00337B61">
            <w:pPr>
              <w:pStyle w:val="TableText0"/>
              <w:keepNext w:val="0"/>
              <w:jc w:val="center"/>
              <w:rPr>
                <w:rFonts w:ascii="Calibri" w:eastAsia="Times New Roman" w:hAnsi="Calibri" w:cs="Arial"/>
                <w:bCs w:val="0"/>
                <w:sz w:val="24"/>
              </w:rPr>
            </w:pPr>
            <w:r>
              <w:rPr>
                <w:rFonts w:eastAsia="MS Gothic" w:cs="Times New Roman"/>
                <w:noProof/>
                <w:color w:val="000000"/>
                <w:highlight w:val="black"/>
              </w:rPr>
              <w:t>''''''''''''''''''''''</w:t>
            </w:r>
            <w:r w:rsidR="00873176">
              <w:rPr>
                <w:vertAlign w:val="superscript"/>
              </w:rPr>
              <w:t>2</w:t>
            </w:r>
          </w:p>
        </w:tc>
        <w:tc>
          <w:tcPr>
            <w:tcW w:w="742" w:type="pct"/>
            <w:vAlign w:val="center"/>
          </w:tcPr>
          <w:p w14:paraId="051DADC4" w14:textId="77777777" w:rsidR="00CC64F1" w:rsidRPr="00457FD3" w:rsidRDefault="00CC64F1" w:rsidP="00337B61">
            <w:pPr>
              <w:pStyle w:val="TableText0"/>
              <w:keepNext w:val="0"/>
              <w:jc w:val="center"/>
              <w:rPr>
                <w:rFonts w:ascii="Calibri" w:eastAsia="Times New Roman" w:hAnsi="Calibri" w:cs="Arial"/>
                <w:bCs w:val="0"/>
                <w:sz w:val="24"/>
              </w:rPr>
            </w:pPr>
            <w:r w:rsidRPr="00457FD3">
              <w:rPr>
                <w:rFonts w:eastAsia="MS Gothic" w:cs="Times New Roman"/>
              </w:rPr>
              <w:t>+34.7%</w:t>
            </w:r>
          </w:p>
        </w:tc>
      </w:tr>
      <w:tr w:rsidR="00CC64F1" w:rsidRPr="00457FD3" w14:paraId="3C9C0748" w14:textId="77777777" w:rsidTr="0057706C">
        <w:trPr>
          <w:cantSplit/>
        </w:trPr>
        <w:tc>
          <w:tcPr>
            <w:tcW w:w="1904" w:type="pct"/>
            <w:vAlign w:val="center"/>
          </w:tcPr>
          <w:p w14:paraId="37FEC56F" w14:textId="77777777" w:rsidR="00CC64F1" w:rsidRDefault="00A55D6A" w:rsidP="00337B61">
            <w:pPr>
              <w:pStyle w:val="TableText0"/>
              <w:keepNext w:val="0"/>
              <w:rPr>
                <w:rFonts w:eastAsia="MS Gothic" w:cs="Times New Roman"/>
              </w:rPr>
            </w:pPr>
            <w:r>
              <w:rPr>
                <w:rFonts w:eastAsia="MS Gothic" w:cs="Times New Roman"/>
              </w:rPr>
              <w:t xml:space="preserve">#1 and </w:t>
            </w:r>
            <w:r w:rsidR="00CC64F1">
              <w:rPr>
                <w:rFonts w:eastAsia="MS Gothic" w:cs="Times New Roman"/>
              </w:rPr>
              <w:t>Utilities:</w:t>
            </w:r>
          </w:p>
          <w:p w14:paraId="43E917CE" w14:textId="77777777" w:rsidR="00CC64F1" w:rsidRDefault="00CC64F1" w:rsidP="00337B61">
            <w:pPr>
              <w:pStyle w:val="TableText0"/>
              <w:keepNext w:val="0"/>
              <w:rPr>
                <w:rFonts w:eastAsia="MS Gothic" w:cs="Times New Roman"/>
              </w:rPr>
            </w:pPr>
            <w:r>
              <w:rPr>
                <w:rFonts w:eastAsia="MS Gothic" w:cs="Times New Roman"/>
              </w:rPr>
              <w:t xml:space="preserve">- </w:t>
            </w:r>
            <w:r w:rsidRPr="00457FD3">
              <w:rPr>
                <w:rFonts w:eastAsia="MS Gothic" w:cs="Times New Roman"/>
              </w:rPr>
              <w:t>PF health state 0.676 in both arms</w:t>
            </w:r>
          </w:p>
          <w:p w14:paraId="60430390" w14:textId="77777777" w:rsidR="00CC64F1" w:rsidRPr="00457FD3" w:rsidRDefault="00CC64F1" w:rsidP="00337B61">
            <w:pPr>
              <w:pStyle w:val="TableText0"/>
              <w:keepNext w:val="0"/>
              <w:rPr>
                <w:rFonts w:ascii="Calibri" w:eastAsia="Times New Roman" w:hAnsi="Calibri" w:cs="Arial"/>
                <w:bCs w:val="0"/>
                <w:sz w:val="24"/>
              </w:rPr>
            </w:pPr>
            <w:r>
              <w:rPr>
                <w:rFonts w:eastAsia="MS Gothic" w:cs="Times New Roman"/>
              </w:rPr>
              <w:t xml:space="preserve">- </w:t>
            </w:r>
            <w:r w:rsidRPr="00457FD3">
              <w:rPr>
                <w:rFonts w:eastAsia="MS Gothic" w:cs="Times New Roman"/>
              </w:rPr>
              <w:t>PD health state 0.</w:t>
            </w:r>
            <w:r>
              <w:rPr>
                <w:rFonts w:eastAsia="MS Gothic" w:cs="Times New Roman"/>
              </w:rPr>
              <w:t>404</w:t>
            </w:r>
            <w:r w:rsidRPr="00457FD3">
              <w:rPr>
                <w:rFonts w:eastAsia="MS Gothic" w:cs="Times New Roman"/>
              </w:rPr>
              <w:t xml:space="preserve"> in both arms</w:t>
            </w:r>
            <w:r w:rsidRPr="00457FD3" w:rsidDel="00337B61">
              <w:rPr>
                <w:rFonts w:eastAsia="MS Gothic" w:cs="Times New Roman"/>
              </w:rPr>
              <w:t xml:space="preserve"> </w:t>
            </w:r>
          </w:p>
        </w:tc>
        <w:tc>
          <w:tcPr>
            <w:tcW w:w="777" w:type="pct"/>
            <w:vAlign w:val="center"/>
          </w:tcPr>
          <w:p w14:paraId="05ECA154" w14:textId="77777777" w:rsidR="00CC64F1" w:rsidRPr="00730CE5" w:rsidRDefault="00730CE5" w:rsidP="00337B61">
            <w:pPr>
              <w:pStyle w:val="TableText0"/>
              <w:keepNext w:val="0"/>
              <w:jc w:val="center"/>
              <w:rPr>
                <w:rFonts w:ascii="Calibri" w:eastAsia="Times New Roman" w:hAnsi="Calibri" w:cs="Arial"/>
                <w:bCs w:val="0"/>
                <w:sz w:val="24"/>
                <w:highlight w:val="black"/>
              </w:rPr>
            </w:pPr>
            <w:r>
              <w:rPr>
                <w:rFonts w:eastAsia="MS Gothic" w:cs="Times New Roman"/>
                <w:noProof/>
                <w:color w:val="000000"/>
                <w:highlight w:val="black"/>
              </w:rPr>
              <w:t>''''''''''''''''''</w:t>
            </w:r>
          </w:p>
        </w:tc>
        <w:tc>
          <w:tcPr>
            <w:tcW w:w="698" w:type="pct"/>
            <w:vAlign w:val="center"/>
          </w:tcPr>
          <w:p w14:paraId="61F5CA36" w14:textId="77777777" w:rsidR="00CC64F1" w:rsidRPr="00457FD3" w:rsidRDefault="00CC64F1" w:rsidP="00337B61">
            <w:pPr>
              <w:pStyle w:val="TableText0"/>
              <w:keepNext w:val="0"/>
              <w:jc w:val="center"/>
              <w:rPr>
                <w:rFonts w:ascii="Calibri" w:eastAsia="Times New Roman" w:hAnsi="Calibri" w:cs="Arial"/>
                <w:bCs w:val="0"/>
                <w:sz w:val="24"/>
              </w:rPr>
            </w:pPr>
            <w:r w:rsidRPr="00457FD3">
              <w:rPr>
                <w:rFonts w:eastAsia="MS Gothic" w:cs="Times New Roman"/>
              </w:rPr>
              <w:t>0.280</w:t>
            </w:r>
          </w:p>
        </w:tc>
        <w:tc>
          <w:tcPr>
            <w:tcW w:w="879" w:type="pct"/>
            <w:vAlign w:val="center"/>
          </w:tcPr>
          <w:p w14:paraId="2D5B6A63" w14:textId="77777777" w:rsidR="00CC64F1" w:rsidRPr="00730CE5" w:rsidRDefault="00730CE5" w:rsidP="00337B61">
            <w:pPr>
              <w:pStyle w:val="TableText0"/>
              <w:keepNext w:val="0"/>
              <w:jc w:val="center"/>
              <w:rPr>
                <w:rFonts w:ascii="Calibri" w:eastAsia="Times New Roman" w:hAnsi="Calibri" w:cs="Arial"/>
                <w:bCs w:val="0"/>
                <w:sz w:val="24"/>
              </w:rPr>
            </w:pPr>
            <w:r>
              <w:rPr>
                <w:rFonts w:eastAsia="MS Gothic" w:cs="Times New Roman"/>
                <w:noProof/>
                <w:color w:val="000000"/>
                <w:highlight w:val="black"/>
              </w:rPr>
              <w:t>''''''''''''''''''''''</w:t>
            </w:r>
            <w:r w:rsidR="00873176">
              <w:rPr>
                <w:vertAlign w:val="superscript"/>
              </w:rPr>
              <w:t>2</w:t>
            </w:r>
          </w:p>
        </w:tc>
        <w:tc>
          <w:tcPr>
            <w:tcW w:w="742" w:type="pct"/>
            <w:vAlign w:val="center"/>
          </w:tcPr>
          <w:p w14:paraId="270D199B" w14:textId="77777777" w:rsidR="00CC64F1" w:rsidRPr="00457FD3" w:rsidRDefault="00CC64F1" w:rsidP="00337B61">
            <w:pPr>
              <w:pStyle w:val="TableText0"/>
              <w:keepNext w:val="0"/>
              <w:jc w:val="center"/>
              <w:rPr>
                <w:rFonts w:ascii="Calibri" w:eastAsia="Times New Roman" w:hAnsi="Calibri" w:cs="Arial"/>
                <w:bCs w:val="0"/>
                <w:sz w:val="24"/>
              </w:rPr>
            </w:pPr>
            <w:r w:rsidRPr="00457FD3">
              <w:rPr>
                <w:rFonts w:eastAsia="MS Gothic" w:cs="Times New Roman"/>
              </w:rPr>
              <w:t>+42.5%</w:t>
            </w:r>
          </w:p>
        </w:tc>
      </w:tr>
      <w:tr w:rsidR="00A55D6A" w:rsidRPr="00457FD3" w14:paraId="73D8F321" w14:textId="77777777" w:rsidTr="0057706C">
        <w:trPr>
          <w:cantSplit/>
        </w:trPr>
        <w:tc>
          <w:tcPr>
            <w:tcW w:w="5000" w:type="pct"/>
            <w:gridSpan w:val="5"/>
            <w:vAlign w:val="center"/>
          </w:tcPr>
          <w:p w14:paraId="48D022EE" w14:textId="77777777" w:rsidR="00A55D6A" w:rsidRPr="00A55D6A" w:rsidRDefault="00A55D6A" w:rsidP="00A55D6A">
            <w:pPr>
              <w:pStyle w:val="TableText0"/>
              <w:keepNext w:val="0"/>
              <w:rPr>
                <w:rFonts w:eastAsia="MS Gothic" w:cs="Times New Roman"/>
                <w:b/>
              </w:rPr>
            </w:pPr>
            <w:r>
              <w:rPr>
                <w:rFonts w:eastAsia="MS Gothic" w:cs="Times New Roman"/>
                <w:b/>
              </w:rPr>
              <w:t xml:space="preserve">#2: </w:t>
            </w:r>
            <w:r w:rsidRPr="00A55D6A">
              <w:rPr>
                <w:rFonts w:eastAsia="MS Gothic" w:cs="Times New Roman"/>
                <w:b/>
              </w:rPr>
              <w:t>Gamma distribution for OS and 5 year time horizon</w:t>
            </w:r>
            <w:r w:rsidRPr="00A55D6A">
              <w:rPr>
                <w:b/>
              </w:rPr>
              <w:t xml:space="preserve"> </w:t>
            </w:r>
          </w:p>
        </w:tc>
      </w:tr>
      <w:tr w:rsidR="00CC64F1" w:rsidRPr="00457FD3" w14:paraId="66607BCE" w14:textId="77777777" w:rsidTr="0057706C">
        <w:trPr>
          <w:cantSplit/>
        </w:trPr>
        <w:tc>
          <w:tcPr>
            <w:tcW w:w="1904" w:type="pct"/>
            <w:vAlign w:val="center"/>
          </w:tcPr>
          <w:p w14:paraId="64F41DB1" w14:textId="77777777" w:rsidR="00B20DFF" w:rsidRDefault="00B20DFF" w:rsidP="00CC64F1">
            <w:pPr>
              <w:rPr>
                <w:rFonts w:ascii="Arial Narrow" w:eastAsia="MS Gothic" w:hAnsi="Arial Narrow" w:cs="Times New Roman"/>
                <w:bCs/>
                <w:sz w:val="20"/>
              </w:rPr>
            </w:pPr>
            <w:r>
              <w:rPr>
                <w:rFonts w:ascii="Arial Narrow" w:eastAsia="MS Gothic" w:hAnsi="Arial Narrow" w:cs="Times New Roman"/>
                <w:bCs/>
                <w:sz w:val="20"/>
              </w:rPr>
              <w:t xml:space="preserve">#2 and </w:t>
            </w:r>
            <w:r w:rsidR="00CC64F1" w:rsidRPr="00337B61">
              <w:rPr>
                <w:rFonts w:ascii="Arial Narrow" w:eastAsia="MS Gothic" w:hAnsi="Arial Narrow" w:cs="Times New Roman"/>
                <w:bCs/>
                <w:sz w:val="20"/>
              </w:rPr>
              <w:t>Utilities</w:t>
            </w:r>
            <w:r>
              <w:rPr>
                <w:rFonts w:ascii="Arial Narrow" w:eastAsia="MS Gothic" w:hAnsi="Arial Narrow" w:cs="Times New Roman"/>
                <w:bCs/>
                <w:sz w:val="20"/>
              </w:rPr>
              <w:t xml:space="preserve"> </w:t>
            </w:r>
            <w:r w:rsidRPr="00A55D6A">
              <w:rPr>
                <w:rFonts w:ascii="Arial Narrow" w:eastAsia="MS Gothic" w:hAnsi="Arial Narrow" w:cs="Times New Roman"/>
                <w:bCs/>
                <w:sz w:val="20"/>
              </w:rPr>
              <w:t>with Australian tariff</w:t>
            </w:r>
            <w:r w:rsidR="00CC64F1" w:rsidRPr="00337B61">
              <w:rPr>
                <w:rFonts w:ascii="Arial Narrow" w:eastAsia="MS Gothic" w:hAnsi="Arial Narrow" w:cs="Times New Roman"/>
                <w:bCs/>
                <w:sz w:val="20"/>
              </w:rPr>
              <w:t xml:space="preserve">: </w:t>
            </w:r>
          </w:p>
          <w:p w14:paraId="0423EDF0" w14:textId="77777777" w:rsidR="00CC64F1" w:rsidRPr="00337B61" w:rsidRDefault="00B20DFF" w:rsidP="00CC64F1">
            <w:pPr>
              <w:rPr>
                <w:rFonts w:ascii="Arial Narrow" w:eastAsia="MS Gothic" w:hAnsi="Arial Narrow" w:cs="Times New Roman"/>
                <w:bCs/>
                <w:sz w:val="20"/>
              </w:rPr>
            </w:pPr>
            <w:r>
              <w:rPr>
                <w:rFonts w:ascii="Arial Narrow" w:eastAsia="MS Gothic" w:hAnsi="Arial Narrow" w:cs="Times New Roman"/>
                <w:bCs/>
                <w:sz w:val="20"/>
              </w:rPr>
              <w:t xml:space="preserve">   </w:t>
            </w:r>
            <w:r w:rsidR="00CC64F1" w:rsidRPr="00337B61">
              <w:rPr>
                <w:rFonts w:ascii="Arial Narrow" w:eastAsia="MS Gothic" w:hAnsi="Arial Narrow" w:cs="Times New Roman"/>
                <w:bCs/>
                <w:sz w:val="20"/>
              </w:rPr>
              <w:t>PF 0.746 for SG</w:t>
            </w:r>
            <w:r w:rsidR="00CC64F1">
              <w:rPr>
                <w:rFonts w:ascii="Arial Narrow" w:eastAsia="MS Gothic" w:hAnsi="Arial Narrow" w:cs="Times New Roman"/>
                <w:bCs/>
                <w:sz w:val="20"/>
              </w:rPr>
              <w:t xml:space="preserve">; </w:t>
            </w:r>
            <w:r w:rsidR="00CC64F1" w:rsidRPr="00337B61">
              <w:rPr>
                <w:rFonts w:ascii="Arial Narrow" w:eastAsia="MS Gothic" w:hAnsi="Arial Narrow" w:cs="Times New Roman"/>
                <w:bCs/>
                <w:sz w:val="20"/>
              </w:rPr>
              <w:t>0.662 for TPC</w:t>
            </w:r>
          </w:p>
          <w:p w14:paraId="716BD378" w14:textId="77777777" w:rsidR="00CC64F1" w:rsidRPr="00337B61" w:rsidRDefault="00B20DFF" w:rsidP="00CC64F1">
            <w:pPr>
              <w:pStyle w:val="TableText0"/>
              <w:rPr>
                <w:rFonts w:eastAsia="MS Gothic" w:cs="Times New Roman"/>
              </w:rPr>
            </w:pPr>
            <w:r>
              <w:rPr>
                <w:rFonts w:eastAsia="MS Gothic" w:cs="Times New Roman"/>
              </w:rPr>
              <w:t xml:space="preserve">  </w:t>
            </w:r>
            <w:r w:rsidR="00CC64F1">
              <w:rPr>
                <w:rFonts w:eastAsia="MS Gothic" w:cs="Times New Roman"/>
              </w:rPr>
              <w:t xml:space="preserve"> </w:t>
            </w:r>
            <w:r w:rsidR="00CC64F1" w:rsidRPr="00337B61">
              <w:rPr>
                <w:rFonts w:eastAsia="MS Gothic" w:cs="Times New Roman"/>
              </w:rPr>
              <w:t>PD 0.605 both arms</w:t>
            </w:r>
            <w:r>
              <w:rPr>
                <w:rFonts w:eastAsia="MS Gothic" w:cs="Times New Roman"/>
              </w:rPr>
              <w:t xml:space="preserve"> </w:t>
            </w:r>
            <w:r w:rsidRPr="00A55D6A">
              <w:rPr>
                <w:rFonts w:eastAsia="MS Gothic" w:cs="Times New Roman"/>
              </w:rPr>
              <w:t>(based on TPC</w:t>
            </w:r>
            <w:r>
              <w:rPr>
                <w:rFonts w:eastAsia="MS Gothic" w:cs="Times New Roman"/>
              </w:rPr>
              <w:t>)</w:t>
            </w:r>
          </w:p>
          <w:p w14:paraId="509CA724" w14:textId="77777777" w:rsidR="00CC64F1" w:rsidRPr="00457FD3" w:rsidDel="00337B61" w:rsidRDefault="00CC64F1" w:rsidP="00337B61">
            <w:pPr>
              <w:pStyle w:val="TableText0"/>
              <w:rPr>
                <w:rFonts w:eastAsia="MS Gothic" w:cs="Times New Roman"/>
              </w:rPr>
            </w:pPr>
            <w:r w:rsidRPr="00337B61">
              <w:rPr>
                <w:rFonts w:eastAsia="MS Gothic" w:cs="Times New Roman"/>
              </w:rPr>
              <w:t>80% dose intensity for SG</w:t>
            </w:r>
          </w:p>
        </w:tc>
        <w:tc>
          <w:tcPr>
            <w:tcW w:w="777" w:type="pct"/>
            <w:vAlign w:val="center"/>
          </w:tcPr>
          <w:p w14:paraId="24C4F65B" w14:textId="77777777" w:rsidR="00CC64F1" w:rsidRPr="00730CE5" w:rsidDel="00337B61" w:rsidRDefault="00730CE5" w:rsidP="00CC64F1">
            <w:pPr>
              <w:pStyle w:val="TableText0"/>
              <w:keepNext w:val="0"/>
              <w:jc w:val="center"/>
              <w:rPr>
                <w:rFonts w:eastAsia="MS Gothic" w:cs="Times New Roman"/>
                <w:highlight w:val="black"/>
              </w:rPr>
            </w:pPr>
            <w:r>
              <w:rPr>
                <w:noProof/>
                <w:color w:val="000000"/>
                <w:highlight w:val="black"/>
              </w:rPr>
              <w:t>'''''''''''''''''''</w:t>
            </w:r>
          </w:p>
        </w:tc>
        <w:tc>
          <w:tcPr>
            <w:tcW w:w="698" w:type="pct"/>
            <w:vAlign w:val="center"/>
          </w:tcPr>
          <w:p w14:paraId="332BD893" w14:textId="77777777" w:rsidR="00CC64F1" w:rsidRPr="00457FD3" w:rsidDel="00337B61" w:rsidRDefault="00CC64F1" w:rsidP="00CC64F1">
            <w:pPr>
              <w:pStyle w:val="TableText0"/>
              <w:keepNext w:val="0"/>
              <w:jc w:val="center"/>
              <w:rPr>
                <w:rFonts w:eastAsia="MS Gothic" w:cs="Times New Roman"/>
              </w:rPr>
            </w:pPr>
            <w:r w:rsidRPr="004E0FF8">
              <w:t>0.349</w:t>
            </w:r>
          </w:p>
        </w:tc>
        <w:tc>
          <w:tcPr>
            <w:tcW w:w="879" w:type="pct"/>
            <w:vAlign w:val="center"/>
          </w:tcPr>
          <w:p w14:paraId="34205F3D" w14:textId="77777777" w:rsidR="00CC64F1" w:rsidRPr="00730CE5" w:rsidDel="00337B61" w:rsidRDefault="00730CE5" w:rsidP="00CC64F1">
            <w:pPr>
              <w:pStyle w:val="TableText0"/>
              <w:keepNext w:val="0"/>
              <w:jc w:val="center"/>
              <w:rPr>
                <w:rFonts w:eastAsia="MS Gothic" w:cs="Times New Roman"/>
              </w:rPr>
            </w:pPr>
            <w:r>
              <w:rPr>
                <w:noProof/>
                <w:color w:val="000000"/>
                <w:highlight w:val="black"/>
              </w:rPr>
              <w:t>'''''''''''''''''''''</w:t>
            </w:r>
            <w:r w:rsidR="00873176">
              <w:rPr>
                <w:vertAlign w:val="superscript"/>
              </w:rPr>
              <w:t>1</w:t>
            </w:r>
          </w:p>
        </w:tc>
        <w:tc>
          <w:tcPr>
            <w:tcW w:w="742" w:type="pct"/>
            <w:vAlign w:val="center"/>
          </w:tcPr>
          <w:p w14:paraId="58F266D9" w14:textId="77777777" w:rsidR="00CC64F1" w:rsidRPr="00457FD3" w:rsidDel="00337B61" w:rsidRDefault="00CC64F1" w:rsidP="00CC64F1">
            <w:pPr>
              <w:pStyle w:val="TableText0"/>
              <w:keepNext w:val="0"/>
              <w:jc w:val="center"/>
              <w:rPr>
                <w:rFonts w:eastAsia="MS Gothic" w:cs="Times New Roman"/>
              </w:rPr>
            </w:pPr>
            <w:r w:rsidRPr="004E0FF8">
              <w:t>-3</w:t>
            </w:r>
            <w:r w:rsidR="00A55D6A">
              <w:t>.5</w:t>
            </w:r>
            <w:r w:rsidRPr="004E0FF8">
              <w:t>%</w:t>
            </w:r>
          </w:p>
        </w:tc>
      </w:tr>
      <w:tr w:rsidR="00CC64F1" w:rsidRPr="00457FD3" w14:paraId="2F8CDCB2" w14:textId="77777777" w:rsidTr="0057706C">
        <w:trPr>
          <w:cantSplit/>
        </w:trPr>
        <w:tc>
          <w:tcPr>
            <w:tcW w:w="1904" w:type="pct"/>
            <w:vAlign w:val="center"/>
          </w:tcPr>
          <w:p w14:paraId="1E7A7A09" w14:textId="77777777" w:rsidR="00B20DFF" w:rsidRDefault="00B20DFF" w:rsidP="00337B61">
            <w:pPr>
              <w:rPr>
                <w:rFonts w:ascii="Arial Narrow" w:eastAsia="MS Gothic" w:hAnsi="Arial Narrow" w:cs="Times New Roman"/>
                <w:bCs/>
                <w:sz w:val="20"/>
              </w:rPr>
            </w:pPr>
            <w:r>
              <w:rPr>
                <w:rFonts w:ascii="Arial Narrow" w:eastAsia="MS Gothic" w:hAnsi="Arial Narrow" w:cs="Times New Roman"/>
                <w:bCs/>
                <w:sz w:val="20"/>
              </w:rPr>
              <w:t xml:space="preserve">#2 and </w:t>
            </w:r>
            <w:r w:rsidR="00CC64F1" w:rsidRPr="00337B61">
              <w:rPr>
                <w:rFonts w:ascii="Arial Narrow" w:eastAsia="MS Gothic" w:hAnsi="Arial Narrow" w:cs="Times New Roman"/>
                <w:bCs/>
                <w:sz w:val="20"/>
              </w:rPr>
              <w:t>Utilities</w:t>
            </w:r>
            <w:r w:rsidRPr="00A55D6A">
              <w:rPr>
                <w:rFonts w:ascii="Arial Narrow" w:eastAsia="MS Gothic" w:hAnsi="Arial Narrow" w:cs="Times New Roman"/>
                <w:bCs/>
                <w:sz w:val="20"/>
              </w:rPr>
              <w:t xml:space="preserve"> with Australian tariff</w:t>
            </w:r>
            <w:r w:rsidR="00CC64F1" w:rsidRPr="00337B61">
              <w:rPr>
                <w:rFonts w:ascii="Arial Narrow" w:eastAsia="MS Gothic" w:hAnsi="Arial Narrow" w:cs="Times New Roman"/>
                <w:bCs/>
                <w:sz w:val="20"/>
              </w:rPr>
              <w:t xml:space="preserve">: </w:t>
            </w:r>
          </w:p>
          <w:p w14:paraId="5BA869D5" w14:textId="77777777" w:rsidR="00CC64F1" w:rsidRPr="00337B61" w:rsidRDefault="00B20DFF" w:rsidP="00337B61">
            <w:pPr>
              <w:rPr>
                <w:rFonts w:ascii="Arial Narrow" w:eastAsia="MS Gothic" w:hAnsi="Arial Narrow" w:cs="Times New Roman"/>
                <w:bCs/>
                <w:sz w:val="20"/>
              </w:rPr>
            </w:pPr>
            <w:r>
              <w:rPr>
                <w:rFonts w:ascii="Arial Narrow" w:eastAsia="MS Gothic" w:hAnsi="Arial Narrow" w:cs="Times New Roman"/>
                <w:bCs/>
                <w:sz w:val="20"/>
              </w:rPr>
              <w:t xml:space="preserve">   </w:t>
            </w:r>
            <w:r w:rsidR="00CC64F1" w:rsidRPr="00337B61">
              <w:rPr>
                <w:rFonts w:ascii="Arial Narrow" w:eastAsia="MS Gothic" w:hAnsi="Arial Narrow" w:cs="Times New Roman"/>
                <w:bCs/>
                <w:sz w:val="20"/>
              </w:rPr>
              <w:t>PF 0.746 for SG</w:t>
            </w:r>
            <w:r w:rsidR="00CC64F1">
              <w:rPr>
                <w:rFonts w:ascii="Arial Narrow" w:eastAsia="MS Gothic" w:hAnsi="Arial Narrow" w:cs="Times New Roman"/>
                <w:bCs/>
                <w:sz w:val="20"/>
              </w:rPr>
              <w:t xml:space="preserve">; </w:t>
            </w:r>
            <w:r w:rsidR="00CC64F1" w:rsidRPr="00337B61">
              <w:rPr>
                <w:rFonts w:ascii="Arial Narrow" w:eastAsia="MS Gothic" w:hAnsi="Arial Narrow" w:cs="Times New Roman"/>
                <w:bCs/>
                <w:sz w:val="20"/>
              </w:rPr>
              <w:t>0.662 for TPC</w:t>
            </w:r>
          </w:p>
          <w:p w14:paraId="66F103EB" w14:textId="77777777" w:rsidR="00CC64F1" w:rsidRPr="00337B61" w:rsidRDefault="00B20DFF" w:rsidP="00337B61">
            <w:pPr>
              <w:pStyle w:val="TableText0"/>
              <w:rPr>
                <w:rFonts w:eastAsia="MS Gothic" w:cs="Times New Roman"/>
              </w:rPr>
            </w:pPr>
            <w:r>
              <w:rPr>
                <w:rFonts w:eastAsia="MS Gothic" w:cs="Times New Roman"/>
              </w:rPr>
              <w:t xml:space="preserve">   </w:t>
            </w:r>
            <w:r w:rsidR="00CC64F1" w:rsidRPr="00337B61">
              <w:rPr>
                <w:rFonts w:eastAsia="MS Gothic" w:cs="Times New Roman"/>
              </w:rPr>
              <w:t>PD 0.605 for both arms</w:t>
            </w:r>
            <w:r w:rsidR="0057706C">
              <w:rPr>
                <w:rFonts w:eastAsia="MS Gothic" w:cs="Times New Roman"/>
              </w:rPr>
              <w:t xml:space="preserve"> </w:t>
            </w:r>
            <w:r w:rsidR="0057706C" w:rsidRPr="00A55D6A">
              <w:rPr>
                <w:rFonts w:eastAsia="MS Gothic" w:cs="Times New Roman"/>
              </w:rPr>
              <w:t>(based on TPC</w:t>
            </w:r>
            <w:r w:rsidR="0057706C">
              <w:rPr>
                <w:rFonts w:eastAsia="MS Gothic" w:cs="Times New Roman"/>
              </w:rPr>
              <w:t>)</w:t>
            </w:r>
          </w:p>
          <w:p w14:paraId="47302BA8" w14:textId="77777777" w:rsidR="00CC64F1" w:rsidRPr="00457FD3" w:rsidDel="00337B61" w:rsidRDefault="00CC64F1" w:rsidP="00337B61">
            <w:pPr>
              <w:pStyle w:val="TableText0"/>
              <w:rPr>
                <w:rFonts w:eastAsia="MS Gothic" w:cs="Times New Roman"/>
              </w:rPr>
            </w:pPr>
            <w:r w:rsidRPr="00337B61">
              <w:rPr>
                <w:rFonts w:eastAsia="MS Gothic" w:cs="Times New Roman"/>
              </w:rPr>
              <w:t>70% dose intensity for SG</w:t>
            </w:r>
          </w:p>
        </w:tc>
        <w:tc>
          <w:tcPr>
            <w:tcW w:w="777" w:type="pct"/>
            <w:vAlign w:val="center"/>
          </w:tcPr>
          <w:p w14:paraId="1E07AB58" w14:textId="77777777" w:rsidR="00CC64F1" w:rsidRPr="00730CE5" w:rsidDel="00337B61" w:rsidRDefault="00730CE5" w:rsidP="00CC64F1">
            <w:pPr>
              <w:pStyle w:val="TableText0"/>
              <w:keepNext w:val="0"/>
              <w:jc w:val="center"/>
              <w:rPr>
                <w:rFonts w:eastAsia="MS Gothic" w:cs="Times New Roman"/>
                <w:highlight w:val="black"/>
              </w:rPr>
            </w:pPr>
            <w:r>
              <w:rPr>
                <w:noProof/>
                <w:color w:val="000000"/>
                <w:highlight w:val="black"/>
              </w:rPr>
              <w:t>'''''''''''''''''''</w:t>
            </w:r>
          </w:p>
        </w:tc>
        <w:tc>
          <w:tcPr>
            <w:tcW w:w="698" w:type="pct"/>
            <w:vAlign w:val="center"/>
          </w:tcPr>
          <w:p w14:paraId="2745043F" w14:textId="77777777" w:rsidR="00CC64F1" w:rsidRPr="00457FD3" w:rsidDel="00337B61" w:rsidRDefault="00CC64F1" w:rsidP="00CC64F1">
            <w:pPr>
              <w:pStyle w:val="TableText0"/>
              <w:keepNext w:val="0"/>
              <w:jc w:val="center"/>
              <w:rPr>
                <w:rFonts w:eastAsia="MS Gothic" w:cs="Times New Roman"/>
              </w:rPr>
            </w:pPr>
            <w:r w:rsidRPr="004E0FF8">
              <w:t>0.349</w:t>
            </w:r>
          </w:p>
        </w:tc>
        <w:tc>
          <w:tcPr>
            <w:tcW w:w="879" w:type="pct"/>
            <w:vAlign w:val="center"/>
          </w:tcPr>
          <w:p w14:paraId="1DC09DFC" w14:textId="77777777" w:rsidR="00CC64F1" w:rsidRPr="00730CE5" w:rsidDel="00337B61" w:rsidRDefault="00730CE5" w:rsidP="00CC64F1">
            <w:pPr>
              <w:pStyle w:val="TableText0"/>
              <w:keepNext w:val="0"/>
              <w:jc w:val="center"/>
              <w:rPr>
                <w:rFonts w:eastAsia="MS Gothic" w:cs="Times New Roman"/>
              </w:rPr>
            </w:pPr>
            <w:r>
              <w:rPr>
                <w:noProof/>
                <w:color w:val="000000"/>
                <w:highlight w:val="black"/>
              </w:rPr>
              <w:t>''''''''''''''''''''''</w:t>
            </w:r>
            <w:r w:rsidR="00896B9F">
              <w:rPr>
                <w:vertAlign w:val="superscript"/>
              </w:rPr>
              <w:t>3</w:t>
            </w:r>
          </w:p>
        </w:tc>
        <w:tc>
          <w:tcPr>
            <w:tcW w:w="742" w:type="pct"/>
            <w:vAlign w:val="center"/>
          </w:tcPr>
          <w:p w14:paraId="01798FC3" w14:textId="77777777" w:rsidR="00CC64F1" w:rsidRPr="00457FD3" w:rsidDel="00337B61" w:rsidRDefault="00CC64F1" w:rsidP="00CC64F1">
            <w:pPr>
              <w:pStyle w:val="TableText0"/>
              <w:keepNext w:val="0"/>
              <w:jc w:val="center"/>
              <w:rPr>
                <w:rFonts w:eastAsia="MS Gothic" w:cs="Times New Roman"/>
              </w:rPr>
            </w:pPr>
            <w:r w:rsidRPr="004E0FF8">
              <w:t>-16%</w:t>
            </w:r>
          </w:p>
        </w:tc>
      </w:tr>
      <w:tr w:rsidR="00A55D6A" w:rsidRPr="00457FD3" w14:paraId="047A4ECB" w14:textId="77777777" w:rsidTr="00037EC2">
        <w:trPr>
          <w:cantSplit/>
        </w:trPr>
        <w:tc>
          <w:tcPr>
            <w:tcW w:w="1904" w:type="pct"/>
            <w:vAlign w:val="center"/>
          </w:tcPr>
          <w:p w14:paraId="49FB5CA0" w14:textId="77777777" w:rsidR="00A55D6A" w:rsidRPr="00A55D6A" w:rsidRDefault="00B20DFF" w:rsidP="00A55D6A">
            <w:pPr>
              <w:rPr>
                <w:rFonts w:ascii="Arial Narrow" w:eastAsia="MS Gothic" w:hAnsi="Arial Narrow" w:cs="Times New Roman"/>
                <w:bCs/>
                <w:sz w:val="20"/>
              </w:rPr>
            </w:pPr>
            <w:r>
              <w:rPr>
                <w:rFonts w:ascii="Arial Narrow" w:eastAsia="MS Gothic" w:hAnsi="Arial Narrow" w:cs="Times New Roman"/>
                <w:bCs/>
                <w:sz w:val="20"/>
              </w:rPr>
              <w:lastRenderedPageBreak/>
              <w:t xml:space="preserve">#2 and </w:t>
            </w:r>
            <w:r w:rsidR="00A55D6A" w:rsidRPr="00A55D6A">
              <w:rPr>
                <w:rFonts w:ascii="Arial Narrow" w:eastAsia="MS Gothic" w:hAnsi="Arial Narrow" w:cs="Times New Roman"/>
                <w:bCs/>
                <w:sz w:val="20"/>
              </w:rPr>
              <w:t>Utilities with Australian tariff</w:t>
            </w:r>
          </w:p>
          <w:p w14:paraId="4B1D41CD" w14:textId="77777777" w:rsidR="00A55D6A" w:rsidRPr="00A55D6A" w:rsidRDefault="00B20DFF" w:rsidP="00A55D6A">
            <w:pPr>
              <w:rPr>
                <w:rFonts w:ascii="Arial Narrow" w:eastAsia="MS Gothic" w:hAnsi="Arial Narrow" w:cs="Times New Roman"/>
                <w:bCs/>
                <w:sz w:val="20"/>
              </w:rPr>
            </w:pPr>
            <w:r>
              <w:rPr>
                <w:rFonts w:ascii="Arial Narrow" w:eastAsia="MS Gothic" w:hAnsi="Arial Narrow" w:cs="Times New Roman"/>
                <w:bCs/>
                <w:sz w:val="20"/>
              </w:rPr>
              <w:t xml:space="preserve">     </w:t>
            </w:r>
            <w:r w:rsidR="00A55D6A" w:rsidRPr="00A55D6A">
              <w:rPr>
                <w:rFonts w:ascii="Arial Narrow" w:eastAsia="MS Gothic" w:hAnsi="Arial Narrow" w:cs="Times New Roman"/>
                <w:bCs/>
                <w:sz w:val="20"/>
              </w:rPr>
              <w:t>Pooled PFS = 0.712</w:t>
            </w:r>
          </w:p>
          <w:p w14:paraId="3C722532" w14:textId="77777777" w:rsidR="00A55D6A" w:rsidRPr="00A55D6A" w:rsidRDefault="00B20DFF" w:rsidP="00A55D6A">
            <w:pPr>
              <w:rPr>
                <w:rFonts w:ascii="Arial Narrow" w:eastAsia="MS Gothic" w:hAnsi="Arial Narrow" w:cs="Times New Roman"/>
                <w:bCs/>
                <w:sz w:val="20"/>
              </w:rPr>
            </w:pPr>
            <w:r>
              <w:rPr>
                <w:rFonts w:ascii="Arial Narrow" w:eastAsia="MS Gothic" w:hAnsi="Arial Narrow" w:cs="Times New Roman"/>
                <w:bCs/>
                <w:sz w:val="20"/>
              </w:rPr>
              <w:t xml:space="preserve">     </w:t>
            </w:r>
            <w:r w:rsidR="00A55D6A" w:rsidRPr="00A55D6A">
              <w:rPr>
                <w:rFonts w:ascii="Arial Narrow" w:eastAsia="MS Gothic" w:hAnsi="Arial Narrow" w:cs="Times New Roman"/>
                <w:bCs/>
                <w:sz w:val="20"/>
              </w:rPr>
              <w:t xml:space="preserve">PD = 0.605 </w:t>
            </w:r>
          </w:p>
          <w:p w14:paraId="0209D333" w14:textId="77777777" w:rsidR="00A55D6A" w:rsidRPr="00337B61" w:rsidRDefault="00A55D6A" w:rsidP="00A55D6A">
            <w:pPr>
              <w:rPr>
                <w:rFonts w:ascii="Arial Narrow" w:eastAsia="MS Gothic" w:hAnsi="Arial Narrow" w:cs="Times New Roman"/>
                <w:bCs/>
                <w:sz w:val="20"/>
              </w:rPr>
            </w:pPr>
            <w:r w:rsidRPr="00A55D6A">
              <w:rPr>
                <w:rFonts w:ascii="Arial Narrow" w:eastAsia="MS Gothic" w:hAnsi="Arial Narrow" w:cs="Times New Roman"/>
                <w:bCs/>
                <w:sz w:val="20"/>
              </w:rPr>
              <w:t>80% dose intensity</w:t>
            </w:r>
          </w:p>
        </w:tc>
        <w:tc>
          <w:tcPr>
            <w:tcW w:w="777" w:type="pct"/>
            <w:vAlign w:val="center"/>
          </w:tcPr>
          <w:p w14:paraId="4DF7EB72" w14:textId="77777777" w:rsidR="00A55D6A" w:rsidRPr="00730CE5" w:rsidRDefault="00730CE5" w:rsidP="00037EC2">
            <w:pPr>
              <w:pStyle w:val="TableText0"/>
              <w:keepNext w:val="0"/>
              <w:jc w:val="center"/>
              <w:rPr>
                <w:highlight w:val="black"/>
              </w:rPr>
            </w:pPr>
            <w:r>
              <w:rPr>
                <w:noProof/>
                <w:color w:val="000000"/>
                <w:highlight w:val="black"/>
              </w:rPr>
              <w:t>''''''''''''''''''''</w:t>
            </w:r>
          </w:p>
        </w:tc>
        <w:tc>
          <w:tcPr>
            <w:tcW w:w="698" w:type="pct"/>
            <w:vAlign w:val="center"/>
          </w:tcPr>
          <w:p w14:paraId="3B105CCB" w14:textId="77777777" w:rsidR="00A55D6A" w:rsidRPr="004E0FF8" w:rsidRDefault="00A55D6A" w:rsidP="00037EC2">
            <w:pPr>
              <w:pStyle w:val="TableText0"/>
              <w:keepNext w:val="0"/>
              <w:jc w:val="center"/>
            </w:pPr>
            <w:r w:rsidRPr="00A32794">
              <w:t>0.311</w:t>
            </w:r>
          </w:p>
        </w:tc>
        <w:tc>
          <w:tcPr>
            <w:tcW w:w="879" w:type="pct"/>
            <w:vAlign w:val="center"/>
          </w:tcPr>
          <w:p w14:paraId="7DC4A332" w14:textId="77777777" w:rsidR="00A55D6A" w:rsidRPr="00730CE5" w:rsidRDefault="00730CE5" w:rsidP="00037EC2">
            <w:pPr>
              <w:pStyle w:val="TableText0"/>
              <w:keepNext w:val="0"/>
              <w:jc w:val="center"/>
            </w:pPr>
            <w:r>
              <w:rPr>
                <w:noProof/>
                <w:color w:val="000000"/>
                <w:highlight w:val="black"/>
              </w:rPr>
              <w:t>''''''''''''''''''''''</w:t>
            </w:r>
            <w:r w:rsidR="00873176">
              <w:rPr>
                <w:vertAlign w:val="superscript"/>
              </w:rPr>
              <w:t>2</w:t>
            </w:r>
          </w:p>
        </w:tc>
        <w:tc>
          <w:tcPr>
            <w:tcW w:w="742" w:type="pct"/>
            <w:vAlign w:val="center"/>
          </w:tcPr>
          <w:p w14:paraId="7BB5B1FE" w14:textId="77777777" w:rsidR="00A55D6A" w:rsidRPr="004E0FF8" w:rsidRDefault="00A55D6A" w:rsidP="00037EC2">
            <w:pPr>
              <w:pStyle w:val="TableText0"/>
              <w:keepNext w:val="0"/>
              <w:jc w:val="center"/>
            </w:pPr>
            <w:r w:rsidRPr="00A32794">
              <w:t>8.3%</w:t>
            </w:r>
          </w:p>
        </w:tc>
      </w:tr>
      <w:tr w:rsidR="00A55D6A" w:rsidRPr="00457FD3" w14:paraId="4FBD95A5" w14:textId="77777777" w:rsidTr="00037EC2">
        <w:trPr>
          <w:cantSplit/>
        </w:trPr>
        <w:tc>
          <w:tcPr>
            <w:tcW w:w="1904" w:type="pct"/>
            <w:vAlign w:val="center"/>
          </w:tcPr>
          <w:p w14:paraId="632D7C6A" w14:textId="77777777" w:rsidR="00A55D6A" w:rsidRPr="00B20DFF" w:rsidRDefault="00B20DFF" w:rsidP="00A55D6A">
            <w:pPr>
              <w:keepNext/>
              <w:keepLines/>
              <w:rPr>
                <w:rFonts w:ascii="Arial Narrow" w:hAnsi="Arial Narrow"/>
                <w:sz w:val="20"/>
                <w:szCs w:val="20"/>
              </w:rPr>
            </w:pPr>
            <w:r w:rsidRPr="00B20DFF">
              <w:rPr>
                <w:rFonts w:ascii="Arial Narrow" w:hAnsi="Arial Narrow"/>
                <w:sz w:val="20"/>
                <w:szCs w:val="20"/>
              </w:rPr>
              <w:t xml:space="preserve">#2 and </w:t>
            </w:r>
            <w:r w:rsidR="00A55D6A" w:rsidRPr="00B20DFF">
              <w:rPr>
                <w:rFonts w:ascii="Arial Narrow" w:hAnsi="Arial Narrow"/>
                <w:sz w:val="20"/>
                <w:szCs w:val="20"/>
              </w:rPr>
              <w:t>Utilities with Australian tariff</w:t>
            </w:r>
          </w:p>
          <w:p w14:paraId="630AD0F6" w14:textId="77777777" w:rsidR="00A55D6A" w:rsidRPr="00B20DFF" w:rsidRDefault="00A55D6A" w:rsidP="00B20DFF">
            <w:pPr>
              <w:keepNext/>
              <w:keepLines/>
              <w:ind w:left="720" w:hanging="360"/>
              <w:contextualSpacing/>
              <w:rPr>
                <w:rFonts w:ascii="Arial Narrow" w:hAnsi="Arial Narrow"/>
                <w:sz w:val="20"/>
                <w:szCs w:val="20"/>
              </w:rPr>
            </w:pPr>
            <w:r w:rsidRPr="00B20DFF">
              <w:rPr>
                <w:rFonts w:ascii="Arial Narrow" w:hAnsi="Arial Narrow"/>
                <w:sz w:val="20"/>
                <w:szCs w:val="20"/>
              </w:rPr>
              <w:t>Pooled PFS = 0.712</w:t>
            </w:r>
          </w:p>
          <w:p w14:paraId="30FF6122" w14:textId="77777777" w:rsidR="00A55D6A" w:rsidRPr="00B20DFF" w:rsidRDefault="00A55D6A" w:rsidP="00B20DFF">
            <w:pPr>
              <w:keepNext/>
              <w:keepLines/>
              <w:ind w:left="720" w:hanging="360"/>
              <w:contextualSpacing/>
              <w:rPr>
                <w:rFonts w:ascii="Arial Narrow" w:hAnsi="Arial Narrow"/>
                <w:sz w:val="20"/>
                <w:szCs w:val="20"/>
              </w:rPr>
            </w:pPr>
            <w:r w:rsidRPr="00B20DFF">
              <w:rPr>
                <w:rFonts w:ascii="Arial Narrow" w:hAnsi="Arial Narrow"/>
                <w:sz w:val="20"/>
                <w:szCs w:val="20"/>
              </w:rPr>
              <w:t>PD = 0.605 (based on TPC arm)</w:t>
            </w:r>
          </w:p>
          <w:p w14:paraId="503E212E" w14:textId="77777777" w:rsidR="00A55D6A" w:rsidRPr="00337B61" w:rsidRDefault="00A55D6A" w:rsidP="00A55D6A">
            <w:pPr>
              <w:rPr>
                <w:rFonts w:ascii="Arial Narrow" w:eastAsia="MS Gothic" w:hAnsi="Arial Narrow" w:cs="Times New Roman"/>
                <w:bCs/>
                <w:sz w:val="20"/>
              </w:rPr>
            </w:pPr>
            <w:r w:rsidRPr="00B20DFF">
              <w:rPr>
                <w:rFonts w:ascii="Arial Narrow" w:hAnsi="Arial Narrow"/>
                <w:sz w:val="20"/>
                <w:szCs w:val="20"/>
              </w:rPr>
              <w:t>70% dose intensity</w:t>
            </w:r>
          </w:p>
        </w:tc>
        <w:tc>
          <w:tcPr>
            <w:tcW w:w="777" w:type="pct"/>
            <w:vAlign w:val="center"/>
          </w:tcPr>
          <w:p w14:paraId="7A8BB4A7" w14:textId="77777777" w:rsidR="00A55D6A" w:rsidRPr="00730CE5" w:rsidRDefault="00730CE5" w:rsidP="00037EC2">
            <w:pPr>
              <w:pStyle w:val="TableText0"/>
              <w:keepNext w:val="0"/>
              <w:jc w:val="center"/>
              <w:rPr>
                <w:highlight w:val="black"/>
              </w:rPr>
            </w:pPr>
            <w:r>
              <w:rPr>
                <w:noProof/>
                <w:color w:val="000000"/>
                <w:highlight w:val="black"/>
              </w:rPr>
              <w:t>''''''''''''''''''''</w:t>
            </w:r>
          </w:p>
        </w:tc>
        <w:tc>
          <w:tcPr>
            <w:tcW w:w="698" w:type="pct"/>
            <w:vAlign w:val="center"/>
          </w:tcPr>
          <w:p w14:paraId="5C9E6DCB" w14:textId="77777777" w:rsidR="00A55D6A" w:rsidRPr="004E0FF8" w:rsidRDefault="00A55D6A" w:rsidP="00037EC2">
            <w:pPr>
              <w:pStyle w:val="TableText0"/>
              <w:keepNext w:val="0"/>
              <w:jc w:val="center"/>
            </w:pPr>
            <w:r w:rsidRPr="00A32794">
              <w:t>0.311</w:t>
            </w:r>
          </w:p>
        </w:tc>
        <w:tc>
          <w:tcPr>
            <w:tcW w:w="879" w:type="pct"/>
            <w:vAlign w:val="center"/>
          </w:tcPr>
          <w:p w14:paraId="44E6D9CA" w14:textId="77777777" w:rsidR="00A55D6A" w:rsidRPr="00730CE5" w:rsidRDefault="00730CE5" w:rsidP="00037EC2">
            <w:pPr>
              <w:pStyle w:val="TableText0"/>
              <w:keepNext w:val="0"/>
              <w:jc w:val="center"/>
            </w:pPr>
            <w:r>
              <w:rPr>
                <w:noProof/>
                <w:color w:val="000000"/>
                <w:highlight w:val="black"/>
              </w:rPr>
              <w:t>''''''''''''''''''''''</w:t>
            </w:r>
            <w:r w:rsidR="00873176">
              <w:rPr>
                <w:vertAlign w:val="superscript"/>
              </w:rPr>
              <w:t>1</w:t>
            </w:r>
          </w:p>
        </w:tc>
        <w:tc>
          <w:tcPr>
            <w:tcW w:w="742" w:type="pct"/>
            <w:vAlign w:val="center"/>
          </w:tcPr>
          <w:p w14:paraId="673DFA70" w14:textId="77777777" w:rsidR="00A55D6A" w:rsidRPr="004E0FF8" w:rsidRDefault="00A55D6A" w:rsidP="00037EC2">
            <w:pPr>
              <w:pStyle w:val="TableText0"/>
              <w:keepNext w:val="0"/>
              <w:jc w:val="center"/>
            </w:pPr>
            <w:r w:rsidRPr="00A32794">
              <w:t>-5.7%</w:t>
            </w:r>
          </w:p>
        </w:tc>
      </w:tr>
    </w:tbl>
    <w:p w14:paraId="3722B78E" w14:textId="77777777" w:rsidR="00E24642" w:rsidRPr="00457FD3" w:rsidRDefault="00E24642" w:rsidP="00E24642">
      <w:pPr>
        <w:pStyle w:val="TableFigureFooter"/>
      </w:pPr>
      <w:r w:rsidRPr="00457FD3">
        <w:t>Source: Table 3-30, p 173 of the submission; Excel workbook ‘Trodelvy PBAC Submission July 2021 S3 CEM FINAL’.</w:t>
      </w:r>
    </w:p>
    <w:p w14:paraId="49E8898B" w14:textId="77777777" w:rsidR="00E24642" w:rsidRPr="00457FD3" w:rsidRDefault="00E24642" w:rsidP="00E24642">
      <w:pPr>
        <w:pStyle w:val="TableFigureFooter"/>
      </w:pPr>
      <w:r w:rsidRPr="00457FD3">
        <w:t>ICER = incremental cost-effectiveness ratio; OS = overall survival; PD = progressed disease; PF = progression free; PFS = progression free survival; QALY = quality-adjusted life-year; RDI = relative dose intensity; SA = sensitivity analysis; SG = sacituzumab govitecan; TPC = treatment of physician's choice; TTD = time to treatment discontinuation</w:t>
      </w:r>
    </w:p>
    <w:p w14:paraId="78F173DB" w14:textId="77777777" w:rsidR="00E24642" w:rsidRPr="00457FD3" w:rsidRDefault="00E24642" w:rsidP="00E24642">
      <w:pPr>
        <w:pStyle w:val="TableFigureFooter"/>
        <w:ind w:left="142" w:hanging="142"/>
      </w:pPr>
      <w:r w:rsidRPr="00457FD3">
        <w:rPr>
          <w:vertAlign w:val="superscript"/>
        </w:rPr>
        <w:t>a</w:t>
      </w:r>
      <w:r w:rsidRPr="00457FD3">
        <w:t xml:space="preserve"> PF utility pooled SG and TPC arms, PD utility decrement from Lloyd 2006</w:t>
      </w:r>
      <w:r w:rsidRPr="00457FD3">
        <w:rPr>
          <w:rStyle w:val="FootnoteReference"/>
        </w:rPr>
        <w:footnoteReference w:id="11"/>
      </w:r>
    </w:p>
    <w:p w14:paraId="61F69B02" w14:textId="77777777" w:rsidR="00E24642" w:rsidRPr="00457FD3" w:rsidRDefault="00E24642" w:rsidP="00E24642">
      <w:pPr>
        <w:pStyle w:val="TableFigureFooter"/>
        <w:ind w:left="142" w:hanging="142"/>
      </w:pPr>
      <w:r w:rsidRPr="00457FD3">
        <w:rPr>
          <w:vertAlign w:val="superscript"/>
        </w:rPr>
        <w:t xml:space="preserve">c </w:t>
      </w:r>
      <w:r w:rsidRPr="00457FD3">
        <w:t>The base case cost of $35,626 per patient was for 6 months (0.5 years) of care. The mean time in the PD health state was 0.738 years in the SG arm and 0.519 years in the TPC arm. The cost of terminal care was increased by a factor of 0.738/0.5 in the SG arm ($52,595) and by 0.519/0.5 in the TPC arm ($37,000).</w:t>
      </w:r>
    </w:p>
    <w:p w14:paraId="4CA57EB5" w14:textId="77777777" w:rsidR="00E24642" w:rsidRDefault="00A722B9" w:rsidP="00A722B9">
      <w:pPr>
        <w:pStyle w:val="TableFigureFooter"/>
        <w:ind w:left="142" w:hanging="142"/>
      </w:pPr>
      <w:r w:rsidRPr="00457FD3">
        <w:t>Note: fees and mark-ups for PBS drugs were updated during the evaluation (distribution fee $27.75, diluent fee $5.50</w:t>
      </w:r>
    </w:p>
    <w:p w14:paraId="03FABD93" w14:textId="77777777" w:rsidR="00873176" w:rsidRPr="00896B9F" w:rsidRDefault="00873176" w:rsidP="00A722B9">
      <w:pPr>
        <w:pStyle w:val="TableFigureFooter"/>
        <w:ind w:left="142" w:hanging="142"/>
        <w:rPr>
          <w:i/>
        </w:rPr>
      </w:pPr>
      <w:r w:rsidRPr="00896B9F">
        <w:rPr>
          <w:i/>
        </w:rPr>
        <w:t>The redacted values correspond to the following ranges:</w:t>
      </w:r>
    </w:p>
    <w:p w14:paraId="45475F62" w14:textId="77777777" w:rsidR="00873176" w:rsidRPr="00896B9F" w:rsidRDefault="00873176" w:rsidP="00A722B9">
      <w:pPr>
        <w:pStyle w:val="TableFigureFooter"/>
        <w:ind w:left="142" w:hanging="142"/>
        <w:rPr>
          <w:i/>
        </w:rPr>
      </w:pPr>
      <w:r w:rsidRPr="00896B9F">
        <w:rPr>
          <w:i/>
          <w:vertAlign w:val="superscript"/>
        </w:rPr>
        <w:t>1</w:t>
      </w:r>
      <w:r w:rsidRPr="00896B9F">
        <w:rPr>
          <w:i/>
        </w:rPr>
        <w:t xml:space="preserve"> $135,000 to &lt; $155,000</w:t>
      </w:r>
    </w:p>
    <w:p w14:paraId="5E23082B" w14:textId="77777777" w:rsidR="00873176" w:rsidRPr="00896B9F" w:rsidRDefault="00873176" w:rsidP="00A722B9">
      <w:pPr>
        <w:pStyle w:val="TableFigureFooter"/>
        <w:ind w:left="142" w:hanging="142"/>
        <w:rPr>
          <w:i/>
        </w:rPr>
      </w:pPr>
      <w:r w:rsidRPr="00896B9F">
        <w:rPr>
          <w:i/>
          <w:vertAlign w:val="superscript"/>
        </w:rPr>
        <w:t>2</w:t>
      </w:r>
      <w:r w:rsidRPr="00896B9F">
        <w:rPr>
          <w:i/>
        </w:rPr>
        <w:t xml:space="preserve"> $155,000 to &lt; $255,000</w:t>
      </w:r>
    </w:p>
    <w:p w14:paraId="00FD4419" w14:textId="77777777" w:rsidR="00896B9F" w:rsidRPr="00896B9F" w:rsidRDefault="00896B9F" w:rsidP="00A722B9">
      <w:pPr>
        <w:pStyle w:val="TableFigureFooter"/>
        <w:ind w:left="142" w:hanging="142"/>
        <w:rPr>
          <w:i/>
        </w:rPr>
      </w:pPr>
      <w:r w:rsidRPr="00896B9F">
        <w:rPr>
          <w:i/>
          <w:vertAlign w:val="superscript"/>
        </w:rPr>
        <w:t>3</w:t>
      </w:r>
      <w:r w:rsidRPr="00896B9F">
        <w:rPr>
          <w:i/>
        </w:rPr>
        <w:t xml:space="preserve"> $115,000 to &lt; $135,000</w:t>
      </w:r>
    </w:p>
    <w:p w14:paraId="0F2A2AD5" w14:textId="77777777" w:rsidR="00896B9F" w:rsidRPr="00896B9F" w:rsidRDefault="00896B9F" w:rsidP="00A722B9">
      <w:pPr>
        <w:pStyle w:val="TableFigureFooter"/>
        <w:ind w:left="142" w:hanging="142"/>
        <w:rPr>
          <w:i/>
        </w:rPr>
      </w:pPr>
      <w:r w:rsidRPr="00896B9F">
        <w:rPr>
          <w:i/>
          <w:vertAlign w:val="superscript"/>
        </w:rPr>
        <w:t>4</w:t>
      </w:r>
      <w:r w:rsidRPr="00896B9F">
        <w:rPr>
          <w:i/>
        </w:rPr>
        <w:t xml:space="preserve"> $95,000 to &lt; $115,000</w:t>
      </w:r>
    </w:p>
    <w:p w14:paraId="5FB9E640" w14:textId="77777777" w:rsidR="00E24642" w:rsidRPr="00457FD3" w:rsidRDefault="00E24642" w:rsidP="00E24642">
      <w:pPr>
        <w:pStyle w:val="TableFigureFooter"/>
        <w:ind w:left="142" w:hanging="142"/>
      </w:pPr>
    </w:p>
    <w:p w14:paraId="79C3056B" w14:textId="77777777" w:rsidR="00A173AE" w:rsidRPr="00457FD3" w:rsidRDefault="00A173AE" w:rsidP="00A173AE">
      <w:pPr>
        <w:pStyle w:val="3-BodyText"/>
      </w:pPr>
      <w:r w:rsidRPr="00457FD3">
        <w:t>The model was most sensitive to the following inputs:</w:t>
      </w:r>
    </w:p>
    <w:p w14:paraId="49B3CC10" w14:textId="77777777" w:rsidR="00A173AE" w:rsidRPr="00457FD3" w:rsidRDefault="00A173AE" w:rsidP="00A173AE">
      <w:pPr>
        <w:pStyle w:val="ListParagraph"/>
        <w:ind w:left="1134"/>
      </w:pPr>
      <w:r w:rsidRPr="00457FD3">
        <w:t>The parametric function used to extrapolate OS</w:t>
      </w:r>
      <w:r w:rsidR="00B44B7B">
        <w:t>;</w:t>
      </w:r>
    </w:p>
    <w:p w14:paraId="11A854C3" w14:textId="77777777" w:rsidR="00A173AE" w:rsidRPr="00457FD3" w:rsidRDefault="00A173AE" w:rsidP="00A173AE">
      <w:pPr>
        <w:pStyle w:val="ListParagraph"/>
        <w:ind w:left="1134"/>
      </w:pPr>
      <w:r w:rsidRPr="00457FD3">
        <w:t>The health state utility values for both the PF and PD health state, and the use of treatment-specific versus non-treatment specific utility values in the PF health state</w:t>
      </w:r>
      <w:r w:rsidR="00B44B7B">
        <w:t>; and</w:t>
      </w:r>
    </w:p>
    <w:p w14:paraId="01C8733E" w14:textId="77777777" w:rsidR="00A173AE" w:rsidRPr="00457FD3" w:rsidRDefault="009B115E" w:rsidP="00A173AE">
      <w:pPr>
        <w:pStyle w:val="ListParagraph"/>
        <w:ind w:left="1134"/>
      </w:pPr>
      <w:r>
        <w:t>Dose intensity</w:t>
      </w:r>
      <w:r w:rsidR="00A173AE" w:rsidRPr="00457FD3">
        <w:t>.</w:t>
      </w:r>
    </w:p>
    <w:p w14:paraId="01F9C00F" w14:textId="77777777" w:rsidR="00F55693" w:rsidRPr="00457FD3" w:rsidRDefault="00F55693" w:rsidP="00F55693">
      <w:pPr>
        <w:pStyle w:val="3-BodyText"/>
      </w:pPr>
      <w:r w:rsidRPr="00457FD3">
        <w:t xml:space="preserve">The ESC </w:t>
      </w:r>
      <w:r w:rsidR="00147929" w:rsidRPr="00457FD3">
        <w:t xml:space="preserve">considered that </w:t>
      </w:r>
      <w:r w:rsidR="00A068E3" w:rsidRPr="00457FD3">
        <w:t xml:space="preserve">a </w:t>
      </w:r>
      <w:r w:rsidR="00147929" w:rsidRPr="00457FD3">
        <w:t xml:space="preserve">more appropriate </w:t>
      </w:r>
      <w:r w:rsidR="00A068E3" w:rsidRPr="00457FD3">
        <w:t>base case would incorporate</w:t>
      </w:r>
      <w:r w:rsidR="00147929" w:rsidRPr="00457FD3">
        <w:t xml:space="preserve">: </w:t>
      </w:r>
    </w:p>
    <w:p w14:paraId="6549AB35" w14:textId="77777777" w:rsidR="00F55693" w:rsidRPr="00457FD3" w:rsidRDefault="0057699D" w:rsidP="00F55693">
      <w:pPr>
        <w:pStyle w:val="ListParagraph"/>
        <w:ind w:left="1134"/>
      </w:pPr>
      <w:r w:rsidRPr="00457FD3">
        <w:t xml:space="preserve">extrapolation of OS </w:t>
      </w:r>
      <w:r w:rsidR="00F66260" w:rsidRPr="00457FD3">
        <w:t xml:space="preserve">using the gamma function </w:t>
      </w:r>
      <w:r w:rsidRPr="00457FD3">
        <w:t>in both treatment arms</w:t>
      </w:r>
      <w:r w:rsidR="00B44B7B">
        <w:t>;</w:t>
      </w:r>
    </w:p>
    <w:p w14:paraId="563A0416" w14:textId="77777777" w:rsidR="00295DAC" w:rsidRPr="00457FD3" w:rsidRDefault="00295DAC" w:rsidP="00295DAC">
      <w:pPr>
        <w:pStyle w:val="ListParagraph"/>
        <w:ind w:left="1134"/>
      </w:pPr>
      <w:r w:rsidRPr="00457FD3">
        <w:t>a 7 year time horizon</w:t>
      </w:r>
      <w:r w:rsidR="00B44B7B">
        <w:t>;</w:t>
      </w:r>
    </w:p>
    <w:p w14:paraId="0ABBB183" w14:textId="77777777" w:rsidR="00F55693" w:rsidRPr="00457FD3" w:rsidRDefault="0057699D" w:rsidP="00F55693">
      <w:pPr>
        <w:pStyle w:val="ListParagraph"/>
        <w:ind w:left="1134"/>
      </w:pPr>
      <w:r w:rsidRPr="00457FD3">
        <w:t>pooled SG/TPC utilities for the progression free health state (0.676)</w:t>
      </w:r>
      <w:r w:rsidR="00B44B7B">
        <w:t>; and</w:t>
      </w:r>
    </w:p>
    <w:p w14:paraId="5D95A92F" w14:textId="77777777" w:rsidR="00F55693" w:rsidRPr="00457FD3" w:rsidRDefault="0057699D" w:rsidP="00F55693">
      <w:pPr>
        <w:pStyle w:val="ListParagraph"/>
        <w:ind w:left="1134"/>
      </w:pPr>
      <w:r w:rsidRPr="00457FD3">
        <w:t xml:space="preserve">a </w:t>
      </w:r>
      <w:r w:rsidR="00F55693" w:rsidRPr="00457FD3">
        <w:t xml:space="preserve">utility </w:t>
      </w:r>
      <w:r w:rsidRPr="00457FD3">
        <w:t xml:space="preserve">value </w:t>
      </w:r>
      <w:r w:rsidR="00F55693" w:rsidRPr="00457FD3">
        <w:t xml:space="preserve">of 0.569 </w:t>
      </w:r>
      <w:r w:rsidRPr="00457FD3">
        <w:t>in the progressed disease health state</w:t>
      </w:r>
      <w:r w:rsidR="008720BC">
        <w:t xml:space="preserve"> (based on the utility value reported for the TPC arm only)</w:t>
      </w:r>
      <w:r w:rsidRPr="00457FD3">
        <w:t>.</w:t>
      </w:r>
    </w:p>
    <w:p w14:paraId="51884B90" w14:textId="77777777" w:rsidR="00B566CA" w:rsidRDefault="00147929" w:rsidP="008720BC">
      <w:pPr>
        <w:pStyle w:val="3-BodyText"/>
      </w:pPr>
      <w:r w:rsidRPr="00457FD3">
        <w:t>The ESC noted that a multivariate sensitivity analysis with these parameters result</w:t>
      </w:r>
      <w:r w:rsidR="00A068E3" w:rsidRPr="00457FD3">
        <w:t>ed</w:t>
      </w:r>
      <w:r w:rsidRPr="00457FD3">
        <w:t xml:space="preserve"> in an ICER of $</w:t>
      </w:r>
      <w:r w:rsidR="0064399F">
        <w:t>155,000 to &lt; $255,000</w:t>
      </w:r>
      <w:r w:rsidRPr="00457FD3">
        <w:t xml:space="preserve">/QALY. </w:t>
      </w:r>
      <w:r w:rsidR="0057699D" w:rsidRPr="00457FD3">
        <w:t>The ESC considered that</w:t>
      </w:r>
      <w:r w:rsidR="00A068E3" w:rsidRPr="00457FD3">
        <w:t xml:space="preserve"> </w:t>
      </w:r>
      <w:r w:rsidR="00B566CA" w:rsidRPr="00457FD3">
        <w:t xml:space="preserve">a respecified base case would also need to correct the </w:t>
      </w:r>
      <w:r w:rsidR="005557C5" w:rsidRPr="00457FD3">
        <w:t>progressed disease health state</w:t>
      </w:r>
      <w:r w:rsidR="0057699D" w:rsidRPr="00457FD3">
        <w:t xml:space="preserve"> costs</w:t>
      </w:r>
      <w:r w:rsidR="00A068E3" w:rsidRPr="00457FD3">
        <w:t xml:space="preserve">, but noted </w:t>
      </w:r>
      <w:r w:rsidR="00B566CA" w:rsidRPr="00457FD3">
        <w:t>the</w:t>
      </w:r>
      <w:r w:rsidR="00A722B9" w:rsidRPr="00457FD3">
        <w:t xml:space="preserve"> submission had</w:t>
      </w:r>
      <w:r w:rsidR="00F66260" w:rsidRPr="00457FD3">
        <w:t xml:space="preserve"> not</w:t>
      </w:r>
      <w:r w:rsidR="00A722B9" w:rsidRPr="00457FD3">
        <w:t xml:space="preserve"> provided </w:t>
      </w:r>
      <w:r w:rsidR="00B566CA" w:rsidRPr="00457FD3">
        <w:t xml:space="preserve">sufficient information to </w:t>
      </w:r>
      <w:r w:rsidR="00D73D31" w:rsidRPr="00457FD3">
        <w:t xml:space="preserve">plausibly </w:t>
      </w:r>
      <w:r w:rsidRPr="00457FD3">
        <w:t>respecify</w:t>
      </w:r>
      <w:r w:rsidR="00B566CA" w:rsidRPr="00457FD3">
        <w:t xml:space="preserve"> this </w:t>
      </w:r>
      <w:r w:rsidR="00B566CA" w:rsidRPr="00457FD3">
        <w:lastRenderedPageBreak/>
        <w:t>parameter.</w:t>
      </w:r>
      <w:r w:rsidR="0057699D" w:rsidRPr="00457FD3">
        <w:t xml:space="preserve"> </w:t>
      </w:r>
      <w:r w:rsidR="00B566CA" w:rsidRPr="00457FD3">
        <w:t xml:space="preserve">The ESC also considered that, </w:t>
      </w:r>
      <w:r w:rsidR="0057699D" w:rsidRPr="00457FD3">
        <w:t>in the progression free health state it would be preferable to use direct utility values from QLU-C10D,</w:t>
      </w:r>
      <w:r w:rsidR="00894085" w:rsidRPr="00457FD3">
        <w:t xml:space="preserve"> or to use</w:t>
      </w:r>
      <w:r w:rsidR="0057699D" w:rsidRPr="00457FD3">
        <w:t xml:space="preserve"> Australian EQ-5D tariffs </w:t>
      </w:r>
      <w:r w:rsidR="00894085" w:rsidRPr="00457FD3">
        <w:t>for the mapped EQ-5D-3L utilities</w:t>
      </w:r>
      <w:r w:rsidR="00B566CA" w:rsidRPr="00457FD3">
        <w:t>, pooled for both the SG and TPC treatment groups,</w:t>
      </w:r>
      <w:r w:rsidR="00487BFC" w:rsidRPr="00457FD3">
        <w:t xml:space="preserve"> </w:t>
      </w:r>
      <w:r w:rsidR="00894085" w:rsidRPr="00457FD3">
        <w:t>if these data were available</w:t>
      </w:r>
      <w:r w:rsidR="00B566CA" w:rsidRPr="00457FD3">
        <w:t>.</w:t>
      </w:r>
      <w:r w:rsidR="00D73D31" w:rsidRPr="00457FD3">
        <w:t xml:space="preserve"> </w:t>
      </w:r>
      <w:r w:rsidR="00A722B9" w:rsidRPr="00457FD3">
        <w:t xml:space="preserve">Further, the ESC considered that the utility value of 0.569 in the </w:t>
      </w:r>
      <w:r w:rsidR="00F66260" w:rsidRPr="00457FD3">
        <w:t>PD</w:t>
      </w:r>
      <w:r w:rsidR="00A722B9" w:rsidRPr="00457FD3">
        <w:t xml:space="preserve"> health state may still be optimistic, and a utility value of </w:t>
      </w:r>
      <w:r w:rsidR="00D73D31" w:rsidRPr="00457FD3">
        <w:t xml:space="preserve">0.404 </w:t>
      </w:r>
      <w:r w:rsidR="00A722B9" w:rsidRPr="00457FD3">
        <w:t xml:space="preserve">(using the PD utility decrement from Lloyd 2006) </w:t>
      </w:r>
      <w:r w:rsidR="00D73D31" w:rsidRPr="00457FD3">
        <w:t xml:space="preserve">may be </w:t>
      </w:r>
      <w:r w:rsidR="00A722B9" w:rsidRPr="00457FD3">
        <w:t>more plausible (noting this would increase the aforementioned ICER to $</w:t>
      </w:r>
      <w:r w:rsidR="0064399F">
        <w:t>155,000 to &lt; $255,000</w:t>
      </w:r>
      <w:r w:rsidR="00A722B9" w:rsidRPr="00457FD3">
        <w:t>/QALY)</w:t>
      </w:r>
      <w:r w:rsidR="00D73D31" w:rsidRPr="00457FD3">
        <w:t>.</w:t>
      </w:r>
    </w:p>
    <w:p w14:paraId="74C7A4D5" w14:textId="77777777" w:rsidR="009B115E" w:rsidRPr="00457FD3" w:rsidRDefault="008720BC" w:rsidP="008720BC">
      <w:pPr>
        <w:pStyle w:val="3-BodyText"/>
      </w:pPr>
      <w:r>
        <w:t xml:space="preserve">The PBAC agreed with the ESC that the </w:t>
      </w:r>
      <w:r w:rsidRPr="00457FD3">
        <w:t xml:space="preserve">gamma function </w:t>
      </w:r>
      <w:r>
        <w:t xml:space="preserve">should be used to extrapolate </w:t>
      </w:r>
      <w:r w:rsidRPr="00457FD3">
        <w:t xml:space="preserve">OS </w:t>
      </w:r>
      <w:r>
        <w:t>and that the submission’s use of a 10 year time horizon was optimistic.</w:t>
      </w:r>
      <w:r w:rsidR="007E20C0">
        <w:t xml:space="preserve"> </w:t>
      </w:r>
      <w:r w:rsidR="003700A5">
        <w:t>T</w:t>
      </w:r>
      <w:r>
        <w:t>he PBAC considered that a 5 year time horizon would be more appropriate given the target population</w:t>
      </w:r>
      <w:r w:rsidR="00AB778B">
        <w:t>,</w:t>
      </w:r>
      <w:r w:rsidR="000648FD">
        <w:t xml:space="preserve"> and also noted that using a 7 year time horizon had limited impact on the ICER when the gamma function was used</w:t>
      </w:r>
      <w:r>
        <w:t xml:space="preserve">. The PBAC noted the uncertainties with the treatment-specific utilities applied in the progression free health state, but </w:t>
      </w:r>
      <w:r w:rsidRPr="008720BC">
        <w:t>considered this approach may be justifiable in this case</w:t>
      </w:r>
      <w:r>
        <w:t xml:space="preserve"> as outlined in Section 7</w:t>
      </w:r>
      <w:r w:rsidRPr="008720BC">
        <w:t>.</w:t>
      </w:r>
    </w:p>
    <w:p w14:paraId="2A0B7132" w14:textId="77777777" w:rsidR="00A173AE" w:rsidRPr="00037EC2" w:rsidRDefault="00A173AE" w:rsidP="00A173AE">
      <w:pPr>
        <w:pStyle w:val="4-SubsectionHeading"/>
        <w:rPr>
          <w:iCs/>
        </w:rPr>
      </w:pPr>
      <w:r w:rsidRPr="00037EC2">
        <w:rPr>
          <w:iCs/>
        </w:rPr>
        <w:t>Drug cost/patient/course</w:t>
      </w:r>
    </w:p>
    <w:p w14:paraId="140261B6" w14:textId="77777777" w:rsidR="00C63959" w:rsidRPr="00457FD3" w:rsidRDefault="00C63959" w:rsidP="00C63959">
      <w:pPr>
        <w:pStyle w:val="3-BodyText"/>
      </w:pPr>
      <w:r w:rsidRPr="00457FD3">
        <w:t>The mean cost/patient/course for SG in the model was inconsistent with the cost of SG in the financial section. In the model it was $</w:t>
      </w:r>
      <w:r w:rsidR="00730CE5">
        <w:rPr>
          <w:noProof/>
          <w:color w:val="000000"/>
          <w:highlight w:val="black"/>
        </w:rPr>
        <w:t>'''''''''''''</w:t>
      </w:r>
      <w:r w:rsidRPr="00457FD3">
        <w:t xml:space="preserve"> (undiscounted). This was based on an average dose of 669.8 mg (10 mg/kg, assuming an average body weight of 71.09</w:t>
      </w:r>
      <w:r w:rsidR="00085CFE" w:rsidRPr="00457FD3">
        <w:t> </w:t>
      </w:r>
      <w:r w:rsidRPr="00457FD3">
        <w:t>kg and a relative dose intensity of 94.2%), at an effective cost of $</w:t>
      </w:r>
      <w:r w:rsidR="00730CE5">
        <w:rPr>
          <w:noProof/>
          <w:color w:val="000000"/>
          <w:highlight w:val="black"/>
        </w:rPr>
        <w:t>''''''''''''''''</w:t>
      </w:r>
      <w:r w:rsidRPr="00457FD3">
        <w:t xml:space="preserve"> per dose, with two doses every 21-day cycle, and a mean treatment duration of 28.6</w:t>
      </w:r>
      <w:r w:rsidR="00085CFE" w:rsidRPr="00457FD3">
        <w:t> </w:t>
      </w:r>
      <w:r w:rsidRPr="00457FD3">
        <w:t>weeks (6.58 months). This did not include any allowance for wastage. In contrast, the mean cost/patient/course for SG in the financial section was $</w:t>
      </w:r>
      <w:r w:rsidR="00730CE5">
        <w:rPr>
          <w:noProof/>
          <w:color w:val="000000"/>
          <w:highlight w:val="black"/>
        </w:rPr>
        <w:t>'''''''''''''</w:t>
      </w:r>
      <w:r w:rsidRPr="00457FD3">
        <w:t xml:space="preserve">. This assumed that patients required 4 x 180 mg vials (720 mg) per dose for a mean duration of 5.77 months (the truncated mean duration of treatment for SG in ASCENT). </w:t>
      </w:r>
    </w:p>
    <w:p w14:paraId="3A6B2EBA" w14:textId="77777777" w:rsidR="00A173AE" w:rsidRPr="00457FD3" w:rsidRDefault="00A173AE" w:rsidP="00A173AE">
      <w:pPr>
        <w:pStyle w:val="3-BodyText"/>
      </w:pPr>
      <w:r w:rsidRPr="00457FD3">
        <w:t xml:space="preserve">The derivation of the estimated cost/patient/month for SG and each of the TPC single-agent chemotherapies, as derived in the economic model, is summarised in </w:t>
      </w:r>
      <w:r w:rsidR="00A20840" w:rsidRPr="00457FD3">
        <w:t>Table 1</w:t>
      </w:r>
      <w:r w:rsidR="002367C0">
        <w:t>3</w:t>
      </w:r>
      <w:r w:rsidRPr="00457FD3">
        <w:t xml:space="preserve">, while </w:t>
      </w:r>
      <w:r w:rsidR="00A20840" w:rsidRPr="00457FD3">
        <w:t>Table 1</w:t>
      </w:r>
      <w:r w:rsidR="002367C0">
        <w:t>4</w:t>
      </w:r>
      <w:r w:rsidRPr="00457FD3">
        <w:t xml:space="preserve"> summarises the estimated cost/patient/course for both SG and TPC across the sections of the submission.</w:t>
      </w:r>
    </w:p>
    <w:p w14:paraId="6994EA34" w14:textId="77777777" w:rsidR="005F4832" w:rsidRDefault="005F4832">
      <w:pPr>
        <w:jc w:val="left"/>
        <w:rPr>
          <w:rFonts w:ascii="Arial Narrow" w:eastAsiaTheme="majorEastAsia" w:hAnsi="Arial Narrow" w:cstheme="majorBidi"/>
          <w:b/>
          <w:bCs/>
          <w:sz w:val="20"/>
        </w:rPr>
      </w:pPr>
      <w:r>
        <w:br w:type="page"/>
      </w:r>
    </w:p>
    <w:p w14:paraId="3CEC6478" w14:textId="214B875E" w:rsidR="00A173AE" w:rsidRPr="00457FD3" w:rsidRDefault="00A173AE" w:rsidP="00A173AE">
      <w:pPr>
        <w:pStyle w:val="TableFigureHeading"/>
      </w:pPr>
      <w:r w:rsidRPr="00457FD3">
        <w:lastRenderedPageBreak/>
        <w:t xml:space="preserve">Table </w:t>
      </w:r>
      <w:r w:rsidR="002367C0">
        <w:t>13</w:t>
      </w:r>
      <w:r w:rsidRPr="00457FD3">
        <w:t>: Drug cost per month for SG and TPC (as derived in the economic model)</w:t>
      </w:r>
    </w:p>
    <w:tbl>
      <w:tblPr>
        <w:tblStyle w:val="TableGrid"/>
        <w:tblW w:w="5000" w:type="pct"/>
        <w:tblLook w:val="04A0" w:firstRow="1" w:lastRow="0" w:firstColumn="1" w:lastColumn="0" w:noHBand="0" w:noVBand="1"/>
        <w:tblCaption w:val="Table 13: Drug cost per month for SG and TPC (as derived in the economic model)"/>
      </w:tblPr>
      <w:tblGrid>
        <w:gridCol w:w="1345"/>
        <w:gridCol w:w="1195"/>
        <w:gridCol w:w="1237"/>
        <w:gridCol w:w="1388"/>
        <w:gridCol w:w="1003"/>
        <w:gridCol w:w="1009"/>
        <w:gridCol w:w="754"/>
        <w:gridCol w:w="1086"/>
      </w:tblGrid>
      <w:tr w:rsidR="007F264B" w:rsidRPr="00457FD3" w14:paraId="650E8F99" w14:textId="77777777" w:rsidTr="00FB0337">
        <w:trPr>
          <w:tblHeader/>
        </w:trPr>
        <w:tc>
          <w:tcPr>
            <w:tcW w:w="746" w:type="pct"/>
            <w:vAlign w:val="center"/>
          </w:tcPr>
          <w:p w14:paraId="53D733B2" w14:textId="77777777" w:rsidR="007F264B" w:rsidRPr="00457FD3" w:rsidRDefault="007F264B" w:rsidP="00303D2C">
            <w:pPr>
              <w:pStyle w:val="In-tableHeading"/>
            </w:pPr>
            <w:r w:rsidRPr="00457FD3">
              <w:t>Treatment</w:t>
            </w:r>
          </w:p>
        </w:tc>
        <w:tc>
          <w:tcPr>
            <w:tcW w:w="673" w:type="pct"/>
            <w:vAlign w:val="center"/>
          </w:tcPr>
          <w:p w14:paraId="01E72748" w14:textId="77777777" w:rsidR="007F264B" w:rsidRPr="00457FD3" w:rsidRDefault="007F264B" w:rsidP="00303D2C">
            <w:pPr>
              <w:pStyle w:val="In-tableHeading"/>
              <w:jc w:val="center"/>
            </w:pPr>
            <w:r w:rsidRPr="00457FD3">
              <w:t>Maximum amount/</w:t>
            </w:r>
            <w:r w:rsidRPr="00457FD3">
              <w:br/>
              <w:t>quantity</w:t>
            </w:r>
          </w:p>
        </w:tc>
        <w:tc>
          <w:tcPr>
            <w:tcW w:w="686" w:type="pct"/>
            <w:vAlign w:val="center"/>
          </w:tcPr>
          <w:p w14:paraId="1BDAB30D" w14:textId="77777777" w:rsidR="007F264B" w:rsidRPr="00457FD3" w:rsidRDefault="007F264B" w:rsidP="00303D2C">
            <w:pPr>
              <w:pStyle w:val="In-tableHeading"/>
              <w:jc w:val="center"/>
              <w:rPr>
                <w:vertAlign w:val="superscript"/>
              </w:rPr>
            </w:pPr>
            <w:r w:rsidRPr="00457FD3">
              <w:t>DPMA/DPMQ (weighted)</w:t>
            </w:r>
            <w:r w:rsidR="0064399F">
              <w:t xml:space="preserve"> ($)</w:t>
            </w:r>
          </w:p>
        </w:tc>
        <w:tc>
          <w:tcPr>
            <w:tcW w:w="780" w:type="pct"/>
            <w:vAlign w:val="center"/>
          </w:tcPr>
          <w:p w14:paraId="3013AE8D" w14:textId="77777777" w:rsidR="007F264B" w:rsidRPr="00457FD3" w:rsidRDefault="007F264B" w:rsidP="00303D2C">
            <w:pPr>
              <w:pStyle w:val="In-tableHeading"/>
              <w:jc w:val="center"/>
            </w:pPr>
            <w:r w:rsidRPr="00457FD3">
              <w:t>Mean dose</w:t>
            </w:r>
            <w:r w:rsidRPr="00457FD3">
              <w:br/>
              <w:t>(mg)</w:t>
            </w:r>
          </w:p>
        </w:tc>
        <w:tc>
          <w:tcPr>
            <w:tcW w:w="525" w:type="pct"/>
            <w:vAlign w:val="center"/>
          </w:tcPr>
          <w:p w14:paraId="7E1C23DF" w14:textId="77777777" w:rsidR="007F264B" w:rsidRPr="00457FD3" w:rsidRDefault="007F264B" w:rsidP="00303D2C">
            <w:pPr>
              <w:pStyle w:val="In-tableHeading"/>
              <w:jc w:val="center"/>
            </w:pPr>
            <w:r w:rsidRPr="00457FD3">
              <w:t>Cost per dose</w:t>
            </w:r>
            <w:r w:rsidR="0064399F">
              <w:t xml:space="preserve"> ($)</w:t>
            </w:r>
          </w:p>
        </w:tc>
        <w:tc>
          <w:tcPr>
            <w:tcW w:w="559" w:type="pct"/>
            <w:vAlign w:val="center"/>
          </w:tcPr>
          <w:p w14:paraId="18991B40" w14:textId="77777777" w:rsidR="007F264B" w:rsidRPr="00457FD3" w:rsidRDefault="007F264B" w:rsidP="00303D2C">
            <w:pPr>
              <w:pStyle w:val="In-tableHeading"/>
              <w:jc w:val="center"/>
            </w:pPr>
            <w:r w:rsidRPr="00457FD3">
              <w:t>Treatment cycle</w:t>
            </w:r>
          </w:p>
        </w:tc>
        <w:tc>
          <w:tcPr>
            <w:tcW w:w="418" w:type="pct"/>
            <w:vAlign w:val="center"/>
          </w:tcPr>
          <w:p w14:paraId="44B715D4" w14:textId="77777777" w:rsidR="007F264B" w:rsidRPr="00457FD3" w:rsidRDefault="007F264B" w:rsidP="00303D2C">
            <w:pPr>
              <w:pStyle w:val="In-tableHeading"/>
              <w:jc w:val="center"/>
            </w:pPr>
            <w:r w:rsidRPr="00457FD3">
              <w:t>Doses/</w:t>
            </w:r>
            <w:r w:rsidRPr="00457FD3">
              <w:br/>
              <w:t>cycle</w:t>
            </w:r>
          </w:p>
        </w:tc>
        <w:tc>
          <w:tcPr>
            <w:tcW w:w="614" w:type="pct"/>
            <w:vAlign w:val="center"/>
          </w:tcPr>
          <w:p w14:paraId="3ECD4CF8" w14:textId="0A42982E" w:rsidR="007F264B" w:rsidRPr="00457FD3" w:rsidRDefault="007F264B" w:rsidP="00303D2C">
            <w:pPr>
              <w:pStyle w:val="In-tableHeading"/>
              <w:jc w:val="center"/>
            </w:pPr>
            <w:r w:rsidRPr="00457FD3">
              <w:t>Cost per month</w:t>
            </w:r>
            <w:r w:rsidR="0042194D">
              <w:t xml:space="preserve"> ($)</w:t>
            </w:r>
          </w:p>
        </w:tc>
      </w:tr>
      <w:tr w:rsidR="007F264B" w:rsidRPr="00457FD3" w14:paraId="3DE7A3A1" w14:textId="77777777" w:rsidTr="00303D2C">
        <w:tc>
          <w:tcPr>
            <w:tcW w:w="746" w:type="pct"/>
            <w:tcBorders>
              <w:bottom w:val="single" w:sz="4" w:space="0" w:color="auto"/>
            </w:tcBorders>
            <w:vAlign w:val="center"/>
          </w:tcPr>
          <w:p w14:paraId="7AA7C1B0" w14:textId="77777777" w:rsidR="007F264B" w:rsidRPr="00457FD3" w:rsidRDefault="007F264B" w:rsidP="00303D2C">
            <w:pPr>
              <w:pStyle w:val="TableText0"/>
            </w:pPr>
            <w:r w:rsidRPr="00457FD3">
              <w:t>SG (effective price)</w:t>
            </w:r>
          </w:p>
        </w:tc>
        <w:tc>
          <w:tcPr>
            <w:tcW w:w="673" w:type="pct"/>
            <w:tcBorders>
              <w:bottom w:val="single" w:sz="4" w:space="0" w:color="auto"/>
            </w:tcBorders>
            <w:vAlign w:val="center"/>
          </w:tcPr>
          <w:p w14:paraId="10BE665D" w14:textId="77777777" w:rsidR="007F264B" w:rsidRPr="00457FD3" w:rsidRDefault="007F264B" w:rsidP="00303D2C">
            <w:pPr>
              <w:pStyle w:val="TableText0"/>
              <w:jc w:val="center"/>
            </w:pPr>
            <w:r w:rsidRPr="00457FD3">
              <w:t>720 mg</w:t>
            </w:r>
          </w:p>
        </w:tc>
        <w:tc>
          <w:tcPr>
            <w:tcW w:w="686" w:type="pct"/>
            <w:tcBorders>
              <w:bottom w:val="single" w:sz="4" w:space="0" w:color="auto"/>
            </w:tcBorders>
            <w:vAlign w:val="center"/>
          </w:tcPr>
          <w:p w14:paraId="7369C723" w14:textId="77777777" w:rsidR="007F264B" w:rsidRPr="00457FD3" w:rsidRDefault="00730CE5" w:rsidP="00303D2C">
            <w:pPr>
              <w:pStyle w:val="TableText0"/>
              <w:jc w:val="center"/>
              <w:rPr>
                <w:vertAlign w:val="superscript"/>
              </w:rPr>
            </w:pPr>
            <w:r>
              <w:rPr>
                <w:noProof/>
                <w:color w:val="000000"/>
                <w:highlight w:val="black"/>
              </w:rPr>
              <w:t>''''''''''''''''''''''</w:t>
            </w:r>
            <w:r w:rsidR="007F264B" w:rsidRPr="00457FD3">
              <w:rPr>
                <w:vertAlign w:val="superscript"/>
              </w:rPr>
              <w:t>a</w:t>
            </w:r>
          </w:p>
        </w:tc>
        <w:tc>
          <w:tcPr>
            <w:tcW w:w="780" w:type="pct"/>
            <w:tcBorders>
              <w:bottom w:val="single" w:sz="4" w:space="0" w:color="auto"/>
            </w:tcBorders>
            <w:vAlign w:val="center"/>
          </w:tcPr>
          <w:p w14:paraId="3C098340" w14:textId="77777777" w:rsidR="007F264B" w:rsidRPr="00457FD3" w:rsidRDefault="007F264B" w:rsidP="00303D2C">
            <w:pPr>
              <w:pStyle w:val="TableText0"/>
              <w:jc w:val="center"/>
              <w:rPr>
                <w:vertAlign w:val="superscript"/>
              </w:rPr>
            </w:pPr>
            <w:r w:rsidRPr="00457FD3">
              <w:t>669.8 mg</w:t>
            </w:r>
            <w:r w:rsidRPr="00457FD3">
              <w:rPr>
                <w:vertAlign w:val="superscript"/>
              </w:rPr>
              <w:t>b</w:t>
            </w:r>
          </w:p>
        </w:tc>
        <w:tc>
          <w:tcPr>
            <w:tcW w:w="525" w:type="pct"/>
            <w:tcBorders>
              <w:bottom w:val="single" w:sz="4" w:space="0" w:color="auto"/>
            </w:tcBorders>
            <w:vAlign w:val="center"/>
          </w:tcPr>
          <w:p w14:paraId="53FCF9B4" w14:textId="77777777" w:rsidR="007F264B" w:rsidRPr="00730CE5" w:rsidRDefault="00730CE5" w:rsidP="00303D2C">
            <w:pPr>
              <w:pStyle w:val="TableText0"/>
              <w:jc w:val="center"/>
              <w:rPr>
                <w:highlight w:val="black"/>
              </w:rPr>
            </w:pPr>
            <w:r>
              <w:rPr>
                <w:noProof/>
                <w:color w:val="000000"/>
                <w:highlight w:val="black"/>
              </w:rPr>
              <w:t>'''''''''''''''''''''''''</w:t>
            </w:r>
          </w:p>
        </w:tc>
        <w:tc>
          <w:tcPr>
            <w:tcW w:w="559" w:type="pct"/>
            <w:tcBorders>
              <w:bottom w:val="single" w:sz="4" w:space="0" w:color="auto"/>
            </w:tcBorders>
            <w:vAlign w:val="center"/>
          </w:tcPr>
          <w:p w14:paraId="2B0444DC" w14:textId="77777777" w:rsidR="007F264B" w:rsidRPr="00457FD3" w:rsidRDefault="007F264B" w:rsidP="00303D2C">
            <w:pPr>
              <w:pStyle w:val="TableText0"/>
              <w:jc w:val="center"/>
            </w:pPr>
            <w:r w:rsidRPr="00457FD3">
              <w:t>3 weeks</w:t>
            </w:r>
          </w:p>
        </w:tc>
        <w:tc>
          <w:tcPr>
            <w:tcW w:w="418" w:type="pct"/>
            <w:tcBorders>
              <w:bottom w:val="single" w:sz="4" w:space="0" w:color="auto"/>
            </w:tcBorders>
            <w:vAlign w:val="center"/>
          </w:tcPr>
          <w:p w14:paraId="5DD276EC" w14:textId="77777777" w:rsidR="007F264B" w:rsidRPr="00457FD3" w:rsidRDefault="007F264B" w:rsidP="00303D2C">
            <w:pPr>
              <w:pStyle w:val="TableText0"/>
              <w:jc w:val="center"/>
            </w:pPr>
            <w:r w:rsidRPr="00457FD3">
              <w:t>2</w:t>
            </w:r>
          </w:p>
        </w:tc>
        <w:tc>
          <w:tcPr>
            <w:tcW w:w="614" w:type="pct"/>
            <w:tcBorders>
              <w:bottom w:val="single" w:sz="4" w:space="0" w:color="auto"/>
            </w:tcBorders>
            <w:vAlign w:val="center"/>
          </w:tcPr>
          <w:p w14:paraId="6E29351E" w14:textId="77777777" w:rsidR="007F264B" w:rsidRPr="00730CE5" w:rsidRDefault="00730CE5" w:rsidP="00303D2C">
            <w:pPr>
              <w:pStyle w:val="TableText0"/>
              <w:jc w:val="center"/>
              <w:rPr>
                <w:highlight w:val="black"/>
              </w:rPr>
            </w:pPr>
            <w:r>
              <w:rPr>
                <w:noProof/>
                <w:color w:val="000000"/>
                <w:highlight w:val="black"/>
              </w:rPr>
              <w:t>'''''''''''''''''</w:t>
            </w:r>
          </w:p>
        </w:tc>
      </w:tr>
      <w:tr w:rsidR="007F264B" w:rsidRPr="00457FD3" w14:paraId="753772D2" w14:textId="77777777" w:rsidTr="00303D2C">
        <w:tc>
          <w:tcPr>
            <w:tcW w:w="746" w:type="pct"/>
            <w:tcBorders>
              <w:right w:val="nil"/>
            </w:tcBorders>
            <w:vAlign w:val="center"/>
          </w:tcPr>
          <w:p w14:paraId="7A7D2855" w14:textId="77777777" w:rsidR="007F264B" w:rsidRPr="00457FD3" w:rsidRDefault="007F264B" w:rsidP="00303D2C">
            <w:pPr>
              <w:pStyle w:val="TableText0"/>
            </w:pPr>
            <w:r w:rsidRPr="00457FD3">
              <w:t>TPC</w:t>
            </w:r>
          </w:p>
        </w:tc>
        <w:tc>
          <w:tcPr>
            <w:tcW w:w="673" w:type="pct"/>
            <w:tcBorders>
              <w:left w:val="nil"/>
              <w:right w:val="nil"/>
            </w:tcBorders>
            <w:vAlign w:val="center"/>
          </w:tcPr>
          <w:p w14:paraId="2E8144B5" w14:textId="77777777" w:rsidR="007F264B" w:rsidRPr="00457FD3" w:rsidRDefault="007F264B" w:rsidP="00303D2C">
            <w:pPr>
              <w:pStyle w:val="TableText0"/>
              <w:jc w:val="center"/>
            </w:pPr>
          </w:p>
        </w:tc>
        <w:tc>
          <w:tcPr>
            <w:tcW w:w="686" w:type="pct"/>
            <w:tcBorders>
              <w:left w:val="nil"/>
              <w:right w:val="nil"/>
            </w:tcBorders>
            <w:vAlign w:val="center"/>
          </w:tcPr>
          <w:p w14:paraId="3035A919" w14:textId="77777777" w:rsidR="007F264B" w:rsidRPr="00457FD3" w:rsidRDefault="007F264B" w:rsidP="00303D2C">
            <w:pPr>
              <w:pStyle w:val="TableText0"/>
              <w:jc w:val="center"/>
            </w:pPr>
          </w:p>
        </w:tc>
        <w:tc>
          <w:tcPr>
            <w:tcW w:w="780" w:type="pct"/>
            <w:tcBorders>
              <w:left w:val="nil"/>
              <w:right w:val="nil"/>
            </w:tcBorders>
            <w:vAlign w:val="center"/>
          </w:tcPr>
          <w:p w14:paraId="15A4F9A7" w14:textId="77777777" w:rsidR="007F264B" w:rsidRPr="00457FD3" w:rsidRDefault="007F264B" w:rsidP="00303D2C">
            <w:pPr>
              <w:pStyle w:val="TableText0"/>
              <w:jc w:val="center"/>
            </w:pPr>
          </w:p>
        </w:tc>
        <w:tc>
          <w:tcPr>
            <w:tcW w:w="525" w:type="pct"/>
            <w:tcBorders>
              <w:left w:val="nil"/>
              <w:right w:val="nil"/>
            </w:tcBorders>
            <w:vAlign w:val="center"/>
          </w:tcPr>
          <w:p w14:paraId="750A3FC6" w14:textId="77777777" w:rsidR="007F264B" w:rsidRPr="00457FD3" w:rsidRDefault="007F264B" w:rsidP="00303D2C">
            <w:pPr>
              <w:pStyle w:val="TableText0"/>
              <w:jc w:val="center"/>
            </w:pPr>
          </w:p>
        </w:tc>
        <w:tc>
          <w:tcPr>
            <w:tcW w:w="559" w:type="pct"/>
            <w:tcBorders>
              <w:left w:val="nil"/>
              <w:right w:val="nil"/>
            </w:tcBorders>
            <w:vAlign w:val="center"/>
          </w:tcPr>
          <w:p w14:paraId="253D9368" w14:textId="77777777" w:rsidR="007F264B" w:rsidRPr="00457FD3" w:rsidRDefault="007F264B" w:rsidP="00303D2C">
            <w:pPr>
              <w:pStyle w:val="TableText0"/>
              <w:jc w:val="center"/>
            </w:pPr>
          </w:p>
        </w:tc>
        <w:tc>
          <w:tcPr>
            <w:tcW w:w="418" w:type="pct"/>
            <w:tcBorders>
              <w:left w:val="nil"/>
              <w:right w:val="nil"/>
            </w:tcBorders>
            <w:vAlign w:val="center"/>
          </w:tcPr>
          <w:p w14:paraId="464CB5A7" w14:textId="77777777" w:rsidR="007F264B" w:rsidRPr="00457FD3" w:rsidRDefault="007F264B" w:rsidP="00303D2C">
            <w:pPr>
              <w:pStyle w:val="TableText0"/>
              <w:jc w:val="center"/>
            </w:pPr>
          </w:p>
        </w:tc>
        <w:tc>
          <w:tcPr>
            <w:tcW w:w="614" w:type="pct"/>
            <w:tcBorders>
              <w:left w:val="nil"/>
            </w:tcBorders>
            <w:vAlign w:val="center"/>
          </w:tcPr>
          <w:p w14:paraId="07E19C57" w14:textId="77777777" w:rsidR="007F264B" w:rsidRPr="00457FD3" w:rsidRDefault="007F264B" w:rsidP="00303D2C">
            <w:pPr>
              <w:pStyle w:val="TableText0"/>
              <w:jc w:val="center"/>
            </w:pPr>
          </w:p>
        </w:tc>
      </w:tr>
      <w:tr w:rsidR="007F264B" w:rsidRPr="00457FD3" w14:paraId="01ED91C3" w14:textId="77777777" w:rsidTr="00303D2C">
        <w:tc>
          <w:tcPr>
            <w:tcW w:w="746" w:type="pct"/>
            <w:vAlign w:val="center"/>
          </w:tcPr>
          <w:p w14:paraId="6B3CCB7C" w14:textId="77777777" w:rsidR="007F264B" w:rsidRPr="00457FD3" w:rsidRDefault="007F264B" w:rsidP="00303D2C">
            <w:pPr>
              <w:pStyle w:val="TableText0"/>
              <w:ind w:left="171"/>
            </w:pPr>
            <w:r w:rsidRPr="00457FD3">
              <w:t>Eribulin</w:t>
            </w:r>
          </w:p>
        </w:tc>
        <w:tc>
          <w:tcPr>
            <w:tcW w:w="673" w:type="pct"/>
            <w:vAlign w:val="center"/>
          </w:tcPr>
          <w:p w14:paraId="16575527" w14:textId="77777777" w:rsidR="007F264B" w:rsidRPr="00457FD3" w:rsidRDefault="007F264B" w:rsidP="00303D2C">
            <w:pPr>
              <w:pStyle w:val="TableText0"/>
              <w:jc w:val="center"/>
            </w:pPr>
            <w:r w:rsidRPr="00457FD3">
              <w:t>3 mg</w:t>
            </w:r>
          </w:p>
        </w:tc>
        <w:tc>
          <w:tcPr>
            <w:tcW w:w="686" w:type="pct"/>
            <w:vAlign w:val="center"/>
          </w:tcPr>
          <w:p w14:paraId="2F6A6B72" w14:textId="77777777" w:rsidR="007F264B" w:rsidRPr="00457FD3" w:rsidRDefault="007F264B" w:rsidP="00303D2C">
            <w:pPr>
              <w:pStyle w:val="TableText0"/>
              <w:jc w:val="center"/>
              <w:rPr>
                <w:vertAlign w:val="superscript"/>
              </w:rPr>
            </w:pPr>
            <w:r w:rsidRPr="00AE4163">
              <w:t>$805.62</w:t>
            </w:r>
            <w:r w:rsidRPr="00457FD3">
              <w:rPr>
                <w:vertAlign w:val="superscript"/>
              </w:rPr>
              <w:t>a</w:t>
            </w:r>
          </w:p>
        </w:tc>
        <w:tc>
          <w:tcPr>
            <w:tcW w:w="780" w:type="pct"/>
            <w:vAlign w:val="center"/>
          </w:tcPr>
          <w:p w14:paraId="20A8C9AF" w14:textId="77777777" w:rsidR="007F264B" w:rsidRPr="00457FD3" w:rsidRDefault="007F264B" w:rsidP="00303D2C">
            <w:pPr>
              <w:pStyle w:val="TableText0"/>
              <w:jc w:val="center"/>
              <w:rPr>
                <w:vertAlign w:val="superscript"/>
              </w:rPr>
            </w:pPr>
            <w:r w:rsidRPr="00457FD3">
              <w:t>2.49 mg</w:t>
            </w:r>
            <w:r w:rsidRPr="00457FD3">
              <w:rPr>
                <w:vertAlign w:val="superscript"/>
              </w:rPr>
              <w:t>c</w:t>
            </w:r>
          </w:p>
        </w:tc>
        <w:tc>
          <w:tcPr>
            <w:tcW w:w="525" w:type="pct"/>
            <w:vAlign w:val="center"/>
          </w:tcPr>
          <w:p w14:paraId="064E0D2E" w14:textId="77777777" w:rsidR="007F264B" w:rsidRPr="00457FD3" w:rsidRDefault="007F264B" w:rsidP="00303D2C">
            <w:pPr>
              <w:pStyle w:val="TableText0"/>
              <w:jc w:val="center"/>
            </w:pPr>
            <w:r w:rsidRPr="00457FD3">
              <w:t>$669.20</w:t>
            </w:r>
          </w:p>
        </w:tc>
        <w:tc>
          <w:tcPr>
            <w:tcW w:w="559" w:type="pct"/>
            <w:vAlign w:val="center"/>
          </w:tcPr>
          <w:p w14:paraId="7B5C3F93" w14:textId="77777777" w:rsidR="007F264B" w:rsidRPr="00457FD3" w:rsidRDefault="007F264B" w:rsidP="00303D2C">
            <w:pPr>
              <w:pStyle w:val="TableText0"/>
              <w:jc w:val="center"/>
            </w:pPr>
            <w:r w:rsidRPr="00457FD3">
              <w:t>3 weeks</w:t>
            </w:r>
          </w:p>
        </w:tc>
        <w:tc>
          <w:tcPr>
            <w:tcW w:w="418" w:type="pct"/>
            <w:vAlign w:val="center"/>
          </w:tcPr>
          <w:p w14:paraId="1CFFEE81" w14:textId="77777777" w:rsidR="007F264B" w:rsidRPr="00457FD3" w:rsidRDefault="007F264B" w:rsidP="00303D2C">
            <w:pPr>
              <w:pStyle w:val="TableText0"/>
              <w:jc w:val="center"/>
            </w:pPr>
            <w:r w:rsidRPr="00457FD3">
              <w:t>2</w:t>
            </w:r>
          </w:p>
        </w:tc>
        <w:tc>
          <w:tcPr>
            <w:tcW w:w="614" w:type="pct"/>
            <w:vAlign w:val="center"/>
          </w:tcPr>
          <w:p w14:paraId="216D8755" w14:textId="77777777" w:rsidR="007F264B" w:rsidRPr="00457FD3" w:rsidRDefault="007F264B" w:rsidP="00303D2C">
            <w:pPr>
              <w:pStyle w:val="TableText0"/>
              <w:jc w:val="center"/>
            </w:pPr>
            <w:r w:rsidRPr="00457FD3">
              <w:t>$1,940</w:t>
            </w:r>
          </w:p>
        </w:tc>
      </w:tr>
      <w:tr w:rsidR="007F264B" w:rsidRPr="00457FD3" w14:paraId="3014D9AD" w14:textId="77777777" w:rsidTr="00303D2C">
        <w:tc>
          <w:tcPr>
            <w:tcW w:w="746" w:type="pct"/>
            <w:vAlign w:val="center"/>
          </w:tcPr>
          <w:p w14:paraId="11FD9D11" w14:textId="77777777" w:rsidR="007F264B" w:rsidRPr="00457FD3" w:rsidRDefault="007F264B" w:rsidP="00303D2C">
            <w:pPr>
              <w:pStyle w:val="TableText0"/>
              <w:ind w:left="171"/>
            </w:pPr>
            <w:r w:rsidRPr="00457FD3">
              <w:t>Vinorelbine</w:t>
            </w:r>
          </w:p>
        </w:tc>
        <w:tc>
          <w:tcPr>
            <w:tcW w:w="673" w:type="pct"/>
            <w:vAlign w:val="center"/>
          </w:tcPr>
          <w:p w14:paraId="497F43A2" w14:textId="77777777" w:rsidR="007F264B" w:rsidRPr="00457FD3" w:rsidRDefault="007F264B" w:rsidP="00303D2C">
            <w:pPr>
              <w:pStyle w:val="TableText0"/>
              <w:jc w:val="center"/>
            </w:pPr>
            <w:r w:rsidRPr="00457FD3">
              <w:t>70 mg</w:t>
            </w:r>
          </w:p>
        </w:tc>
        <w:tc>
          <w:tcPr>
            <w:tcW w:w="686" w:type="pct"/>
            <w:vAlign w:val="center"/>
          </w:tcPr>
          <w:p w14:paraId="32528002" w14:textId="77777777" w:rsidR="007F264B" w:rsidRPr="00457FD3" w:rsidRDefault="007F264B" w:rsidP="00303D2C">
            <w:pPr>
              <w:pStyle w:val="TableText0"/>
              <w:jc w:val="center"/>
              <w:rPr>
                <w:vertAlign w:val="superscript"/>
              </w:rPr>
            </w:pPr>
            <w:r w:rsidRPr="00AE4163">
              <w:t>$186.52</w:t>
            </w:r>
            <w:r w:rsidRPr="00457FD3">
              <w:rPr>
                <w:vertAlign w:val="superscript"/>
              </w:rPr>
              <w:t>a</w:t>
            </w:r>
          </w:p>
        </w:tc>
        <w:tc>
          <w:tcPr>
            <w:tcW w:w="780" w:type="pct"/>
            <w:vAlign w:val="center"/>
          </w:tcPr>
          <w:p w14:paraId="2205A49F" w14:textId="77777777" w:rsidR="007F264B" w:rsidRPr="00457FD3" w:rsidRDefault="007F264B" w:rsidP="00303D2C">
            <w:pPr>
              <w:pStyle w:val="TableText0"/>
              <w:jc w:val="center"/>
              <w:rPr>
                <w:vertAlign w:val="superscript"/>
              </w:rPr>
            </w:pPr>
            <w:r w:rsidRPr="00457FD3">
              <w:t>44.5 mg</w:t>
            </w:r>
            <w:r w:rsidRPr="00457FD3">
              <w:rPr>
                <w:vertAlign w:val="superscript"/>
              </w:rPr>
              <w:t>d</w:t>
            </w:r>
          </w:p>
        </w:tc>
        <w:tc>
          <w:tcPr>
            <w:tcW w:w="525" w:type="pct"/>
            <w:vAlign w:val="center"/>
          </w:tcPr>
          <w:p w14:paraId="4D891DB6" w14:textId="77777777" w:rsidR="007F264B" w:rsidRPr="00457FD3" w:rsidRDefault="007F264B" w:rsidP="00303D2C">
            <w:pPr>
              <w:pStyle w:val="TableText0"/>
              <w:jc w:val="center"/>
            </w:pPr>
            <w:r w:rsidRPr="00457FD3">
              <w:t>$118.58</w:t>
            </w:r>
          </w:p>
        </w:tc>
        <w:tc>
          <w:tcPr>
            <w:tcW w:w="559" w:type="pct"/>
            <w:vAlign w:val="center"/>
          </w:tcPr>
          <w:p w14:paraId="2045A091" w14:textId="77777777" w:rsidR="007F264B" w:rsidRPr="00457FD3" w:rsidRDefault="007F264B" w:rsidP="00303D2C">
            <w:pPr>
              <w:pStyle w:val="TableText0"/>
              <w:jc w:val="center"/>
            </w:pPr>
            <w:r w:rsidRPr="00457FD3">
              <w:t>1 week</w:t>
            </w:r>
          </w:p>
        </w:tc>
        <w:tc>
          <w:tcPr>
            <w:tcW w:w="418" w:type="pct"/>
            <w:vAlign w:val="center"/>
          </w:tcPr>
          <w:p w14:paraId="2A2D9F29" w14:textId="77777777" w:rsidR="007F264B" w:rsidRPr="00457FD3" w:rsidRDefault="007F264B" w:rsidP="00303D2C">
            <w:pPr>
              <w:pStyle w:val="TableText0"/>
              <w:jc w:val="center"/>
            </w:pPr>
            <w:r w:rsidRPr="00457FD3">
              <w:t>1</w:t>
            </w:r>
          </w:p>
        </w:tc>
        <w:tc>
          <w:tcPr>
            <w:tcW w:w="614" w:type="pct"/>
            <w:vAlign w:val="center"/>
          </w:tcPr>
          <w:p w14:paraId="333FC27C" w14:textId="77777777" w:rsidR="007F264B" w:rsidRPr="00457FD3" w:rsidRDefault="007F264B" w:rsidP="00303D2C">
            <w:pPr>
              <w:pStyle w:val="TableText0"/>
              <w:jc w:val="center"/>
            </w:pPr>
            <w:r w:rsidRPr="00457FD3">
              <w:t>$516</w:t>
            </w:r>
          </w:p>
        </w:tc>
      </w:tr>
      <w:tr w:rsidR="007F264B" w:rsidRPr="00457FD3" w14:paraId="5A50AF02" w14:textId="77777777" w:rsidTr="00303D2C">
        <w:tc>
          <w:tcPr>
            <w:tcW w:w="746" w:type="pct"/>
            <w:vAlign w:val="center"/>
          </w:tcPr>
          <w:p w14:paraId="2AEF9864" w14:textId="77777777" w:rsidR="007F264B" w:rsidRPr="00457FD3" w:rsidRDefault="007F264B" w:rsidP="00303D2C">
            <w:pPr>
              <w:pStyle w:val="TableText0"/>
              <w:ind w:left="171"/>
            </w:pPr>
            <w:r w:rsidRPr="00457FD3">
              <w:t>Gemcitabine</w:t>
            </w:r>
          </w:p>
        </w:tc>
        <w:tc>
          <w:tcPr>
            <w:tcW w:w="673" w:type="pct"/>
            <w:vAlign w:val="center"/>
          </w:tcPr>
          <w:p w14:paraId="44B6064D" w14:textId="77777777" w:rsidR="007F264B" w:rsidRPr="00457FD3" w:rsidRDefault="007F264B" w:rsidP="00303D2C">
            <w:pPr>
              <w:pStyle w:val="TableText0"/>
              <w:jc w:val="center"/>
            </w:pPr>
            <w:r w:rsidRPr="00457FD3">
              <w:t>3,000mg</w:t>
            </w:r>
          </w:p>
        </w:tc>
        <w:tc>
          <w:tcPr>
            <w:tcW w:w="686" w:type="pct"/>
            <w:vAlign w:val="center"/>
          </w:tcPr>
          <w:p w14:paraId="161C86E0" w14:textId="77777777" w:rsidR="007F264B" w:rsidRPr="00457FD3" w:rsidRDefault="007F264B" w:rsidP="00303D2C">
            <w:pPr>
              <w:pStyle w:val="TableText0"/>
              <w:jc w:val="center"/>
              <w:rPr>
                <w:vertAlign w:val="superscript"/>
              </w:rPr>
            </w:pPr>
            <w:r w:rsidRPr="00AE4163">
              <w:t>$178.60</w:t>
            </w:r>
            <w:r w:rsidRPr="00457FD3">
              <w:rPr>
                <w:vertAlign w:val="superscript"/>
              </w:rPr>
              <w:t>a</w:t>
            </w:r>
          </w:p>
        </w:tc>
        <w:tc>
          <w:tcPr>
            <w:tcW w:w="780" w:type="pct"/>
            <w:vAlign w:val="center"/>
          </w:tcPr>
          <w:p w14:paraId="5F6EFD1D" w14:textId="77777777" w:rsidR="007F264B" w:rsidRPr="00457FD3" w:rsidRDefault="007F264B" w:rsidP="00303D2C">
            <w:pPr>
              <w:pStyle w:val="TableText0"/>
              <w:jc w:val="center"/>
              <w:rPr>
                <w:vertAlign w:val="superscript"/>
              </w:rPr>
            </w:pPr>
            <w:r w:rsidRPr="00457FD3">
              <w:t>2,225 mg</w:t>
            </w:r>
            <w:r w:rsidRPr="00457FD3">
              <w:rPr>
                <w:vertAlign w:val="superscript"/>
              </w:rPr>
              <w:t>e</w:t>
            </w:r>
          </w:p>
        </w:tc>
        <w:tc>
          <w:tcPr>
            <w:tcW w:w="525" w:type="pct"/>
            <w:vAlign w:val="center"/>
          </w:tcPr>
          <w:p w14:paraId="3FF13526" w14:textId="77777777" w:rsidR="007F264B" w:rsidRPr="00457FD3" w:rsidRDefault="007F264B" w:rsidP="00303D2C">
            <w:pPr>
              <w:pStyle w:val="TableText0"/>
              <w:jc w:val="center"/>
            </w:pPr>
            <w:r w:rsidRPr="00457FD3">
              <w:t>$131.46</w:t>
            </w:r>
          </w:p>
        </w:tc>
        <w:tc>
          <w:tcPr>
            <w:tcW w:w="559" w:type="pct"/>
            <w:vAlign w:val="center"/>
          </w:tcPr>
          <w:p w14:paraId="2390D710" w14:textId="77777777" w:rsidR="007F264B" w:rsidRPr="00457FD3" w:rsidRDefault="007F264B" w:rsidP="00303D2C">
            <w:pPr>
              <w:pStyle w:val="TableText0"/>
              <w:jc w:val="center"/>
            </w:pPr>
            <w:r w:rsidRPr="00457FD3">
              <w:t>4 weeks</w:t>
            </w:r>
          </w:p>
        </w:tc>
        <w:tc>
          <w:tcPr>
            <w:tcW w:w="418" w:type="pct"/>
            <w:vAlign w:val="center"/>
          </w:tcPr>
          <w:p w14:paraId="069735A4" w14:textId="77777777" w:rsidR="007F264B" w:rsidRPr="00457FD3" w:rsidRDefault="007F264B" w:rsidP="00303D2C">
            <w:pPr>
              <w:pStyle w:val="TableText0"/>
              <w:jc w:val="center"/>
            </w:pPr>
            <w:r w:rsidRPr="00457FD3">
              <w:t>3</w:t>
            </w:r>
          </w:p>
        </w:tc>
        <w:tc>
          <w:tcPr>
            <w:tcW w:w="614" w:type="pct"/>
            <w:vAlign w:val="center"/>
          </w:tcPr>
          <w:p w14:paraId="71F18A39" w14:textId="77777777" w:rsidR="007F264B" w:rsidRPr="00457FD3" w:rsidRDefault="007F264B" w:rsidP="00303D2C">
            <w:pPr>
              <w:pStyle w:val="TableText0"/>
              <w:jc w:val="center"/>
            </w:pPr>
            <w:r w:rsidRPr="00457FD3">
              <w:t>$432</w:t>
            </w:r>
          </w:p>
        </w:tc>
      </w:tr>
      <w:tr w:rsidR="007F264B" w:rsidRPr="00457FD3" w14:paraId="78BDA075" w14:textId="77777777" w:rsidTr="00303D2C">
        <w:tc>
          <w:tcPr>
            <w:tcW w:w="746" w:type="pct"/>
            <w:tcBorders>
              <w:bottom w:val="single" w:sz="4" w:space="0" w:color="auto"/>
            </w:tcBorders>
            <w:vAlign w:val="center"/>
          </w:tcPr>
          <w:p w14:paraId="6456B4C5" w14:textId="77777777" w:rsidR="007F264B" w:rsidRPr="00457FD3" w:rsidRDefault="007F264B" w:rsidP="00303D2C">
            <w:pPr>
              <w:pStyle w:val="TableText0"/>
              <w:ind w:left="171"/>
            </w:pPr>
            <w:r w:rsidRPr="00457FD3">
              <w:t>Capecitabine</w:t>
            </w:r>
          </w:p>
        </w:tc>
        <w:tc>
          <w:tcPr>
            <w:tcW w:w="673" w:type="pct"/>
            <w:tcBorders>
              <w:bottom w:val="single" w:sz="4" w:space="0" w:color="auto"/>
            </w:tcBorders>
            <w:vAlign w:val="center"/>
          </w:tcPr>
          <w:p w14:paraId="6D61C99F" w14:textId="77777777" w:rsidR="007F264B" w:rsidRPr="00457FD3" w:rsidRDefault="007F264B" w:rsidP="00303D2C">
            <w:pPr>
              <w:pStyle w:val="TableText0"/>
              <w:jc w:val="center"/>
            </w:pPr>
            <w:r w:rsidRPr="00457FD3">
              <w:t>60 g</w:t>
            </w:r>
          </w:p>
        </w:tc>
        <w:tc>
          <w:tcPr>
            <w:tcW w:w="686" w:type="pct"/>
            <w:tcBorders>
              <w:bottom w:val="single" w:sz="4" w:space="0" w:color="auto"/>
            </w:tcBorders>
            <w:vAlign w:val="center"/>
          </w:tcPr>
          <w:p w14:paraId="5B80D3B8" w14:textId="77777777" w:rsidR="007F264B" w:rsidRPr="00457FD3" w:rsidRDefault="007F264B" w:rsidP="00303D2C">
            <w:pPr>
              <w:pStyle w:val="TableText0"/>
              <w:jc w:val="center"/>
            </w:pPr>
            <w:r w:rsidRPr="00AE4163">
              <w:t>$79.27</w:t>
            </w:r>
          </w:p>
        </w:tc>
        <w:tc>
          <w:tcPr>
            <w:tcW w:w="780" w:type="pct"/>
            <w:tcBorders>
              <w:bottom w:val="single" w:sz="4" w:space="0" w:color="auto"/>
            </w:tcBorders>
            <w:vAlign w:val="center"/>
          </w:tcPr>
          <w:p w14:paraId="78471687" w14:textId="77777777" w:rsidR="007F264B" w:rsidRPr="00457FD3" w:rsidRDefault="007F264B" w:rsidP="00303D2C">
            <w:pPr>
              <w:pStyle w:val="TableText0"/>
              <w:jc w:val="center"/>
              <w:rPr>
                <w:vertAlign w:val="superscript"/>
              </w:rPr>
            </w:pPr>
            <w:r w:rsidRPr="00457FD3">
              <w:t>2,225 mg</w:t>
            </w:r>
            <w:r w:rsidRPr="00457FD3">
              <w:rPr>
                <w:vertAlign w:val="superscript"/>
              </w:rPr>
              <w:t>e</w:t>
            </w:r>
          </w:p>
        </w:tc>
        <w:tc>
          <w:tcPr>
            <w:tcW w:w="525" w:type="pct"/>
            <w:tcBorders>
              <w:bottom w:val="single" w:sz="4" w:space="0" w:color="auto"/>
            </w:tcBorders>
            <w:vAlign w:val="center"/>
          </w:tcPr>
          <w:p w14:paraId="5A382D55" w14:textId="77777777" w:rsidR="007F264B" w:rsidRPr="00457FD3" w:rsidRDefault="007F264B" w:rsidP="00303D2C">
            <w:pPr>
              <w:pStyle w:val="TableText0"/>
              <w:jc w:val="center"/>
            </w:pPr>
            <w:r w:rsidRPr="00457FD3">
              <w:t>$2.94</w:t>
            </w:r>
          </w:p>
        </w:tc>
        <w:tc>
          <w:tcPr>
            <w:tcW w:w="559" w:type="pct"/>
            <w:tcBorders>
              <w:bottom w:val="single" w:sz="4" w:space="0" w:color="auto"/>
            </w:tcBorders>
            <w:vAlign w:val="center"/>
          </w:tcPr>
          <w:p w14:paraId="382FEC1F" w14:textId="77777777" w:rsidR="007F264B" w:rsidRPr="00457FD3" w:rsidRDefault="007F264B" w:rsidP="00303D2C">
            <w:pPr>
              <w:pStyle w:val="TableText0"/>
              <w:jc w:val="center"/>
            </w:pPr>
            <w:r w:rsidRPr="00457FD3">
              <w:t>3 weeks</w:t>
            </w:r>
          </w:p>
        </w:tc>
        <w:tc>
          <w:tcPr>
            <w:tcW w:w="418" w:type="pct"/>
            <w:tcBorders>
              <w:bottom w:val="single" w:sz="4" w:space="0" w:color="auto"/>
            </w:tcBorders>
            <w:vAlign w:val="center"/>
          </w:tcPr>
          <w:p w14:paraId="21823DBA" w14:textId="77777777" w:rsidR="007F264B" w:rsidRPr="00457FD3" w:rsidRDefault="007F264B" w:rsidP="00303D2C">
            <w:pPr>
              <w:pStyle w:val="TableText0"/>
              <w:jc w:val="center"/>
            </w:pPr>
            <w:r w:rsidRPr="00457FD3">
              <w:t>28</w:t>
            </w:r>
          </w:p>
        </w:tc>
        <w:tc>
          <w:tcPr>
            <w:tcW w:w="614" w:type="pct"/>
            <w:vAlign w:val="center"/>
          </w:tcPr>
          <w:p w14:paraId="1C86C198" w14:textId="77777777" w:rsidR="007F264B" w:rsidRPr="00457FD3" w:rsidRDefault="007F264B" w:rsidP="00303D2C">
            <w:pPr>
              <w:pStyle w:val="TableText0"/>
              <w:jc w:val="center"/>
            </w:pPr>
            <w:r w:rsidRPr="00457FD3">
              <w:t>$119</w:t>
            </w:r>
          </w:p>
        </w:tc>
      </w:tr>
      <w:tr w:rsidR="007F264B" w:rsidRPr="00457FD3" w14:paraId="4F72F6E0" w14:textId="77777777" w:rsidTr="00303D2C">
        <w:tc>
          <w:tcPr>
            <w:tcW w:w="746" w:type="pct"/>
            <w:tcBorders>
              <w:right w:val="nil"/>
            </w:tcBorders>
            <w:vAlign w:val="center"/>
          </w:tcPr>
          <w:p w14:paraId="1DC1AA35" w14:textId="77777777" w:rsidR="007F264B" w:rsidRPr="00457FD3" w:rsidRDefault="007F264B" w:rsidP="00303D2C">
            <w:pPr>
              <w:pStyle w:val="TableText0"/>
            </w:pPr>
            <w:r w:rsidRPr="00457FD3">
              <w:t>Weighted TPC</w:t>
            </w:r>
          </w:p>
        </w:tc>
        <w:tc>
          <w:tcPr>
            <w:tcW w:w="673" w:type="pct"/>
            <w:tcBorders>
              <w:left w:val="nil"/>
              <w:right w:val="nil"/>
            </w:tcBorders>
            <w:vAlign w:val="center"/>
          </w:tcPr>
          <w:p w14:paraId="29AB76EA" w14:textId="77777777" w:rsidR="007F264B" w:rsidRPr="00457FD3" w:rsidRDefault="007F264B" w:rsidP="00303D2C">
            <w:pPr>
              <w:pStyle w:val="TableText0"/>
              <w:jc w:val="center"/>
            </w:pPr>
          </w:p>
        </w:tc>
        <w:tc>
          <w:tcPr>
            <w:tcW w:w="686" w:type="pct"/>
            <w:tcBorders>
              <w:left w:val="nil"/>
              <w:right w:val="nil"/>
            </w:tcBorders>
            <w:vAlign w:val="center"/>
          </w:tcPr>
          <w:p w14:paraId="31FDC9AC" w14:textId="77777777" w:rsidR="007F264B" w:rsidRPr="00457FD3" w:rsidRDefault="007F264B" w:rsidP="00303D2C">
            <w:pPr>
              <w:pStyle w:val="TableText0"/>
              <w:jc w:val="center"/>
            </w:pPr>
          </w:p>
        </w:tc>
        <w:tc>
          <w:tcPr>
            <w:tcW w:w="780" w:type="pct"/>
            <w:tcBorders>
              <w:left w:val="nil"/>
              <w:right w:val="nil"/>
            </w:tcBorders>
            <w:vAlign w:val="center"/>
          </w:tcPr>
          <w:p w14:paraId="702E9D14" w14:textId="77777777" w:rsidR="007F264B" w:rsidRPr="00457FD3" w:rsidRDefault="007F264B" w:rsidP="00303D2C">
            <w:pPr>
              <w:pStyle w:val="TableText0"/>
              <w:jc w:val="center"/>
            </w:pPr>
          </w:p>
        </w:tc>
        <w:tc>
          <w:tcPr>
            <w:tcW w:w="525" w:type="pct"/>
            <w:tcBorders>
              <w:left w:val="nil"/>
              <w:right w:val="nil"/>
            </w:tcBorders>
            <w:vAlign w:val="center"/>
          </w:tcPr>
          <w:p w14:paraId="474D010D" w14:textId="77777777" w:rsidR="007F264B" w:rsidRPr="00457FD3" w:rsidRDefault="007F264B" w:rsidP="00303D2C">
            <w:pPr>
              <w:pStyle w:val="TableText0"/>
              <w:jc w:val="center"/>
            </w:pPr>
          </w:p>
        </w:tc>
        <w:tc>
          <w:tcPr>
            <w:tcW w:w="559" w:type="pct"/>
            <w:tcBorders>
              <w:left w:val="nil"/>
              <w:right w:val="nil"/>
            </w:tcBorders>
            <w:vAlign w:val="center"/>
          </w:tcPr>
          <w:p w14:paraId="702E2211" w14:textId="77777777" w:rsidR="007F264B" w:rsidRPr="00457FD3" w:rsidRDefault="007F264B" w:rsidP="00303D2C">
            <w:pPr>
              <w:pStyle w:val="TableText0"/>
              <w:jc w:val="center"/>
            </w:pPr>
          </w:p>
        </w:tc>
        <w:tc>
          <w:tcPr>
            <w:tcW w:w="418" w:type="pct"/>
            <w:tcBorders>
              <w:left w:val="nil"/>
            </w:tcBorders>
            <w:vAlign w:val="center"/>
          </w:tcPr>
          <w:p w14:paraId="34DDD7EB" w14:textId="77777777" w:rsidR="007F264B" w:rsidRPr="00457FD3" w:rsidRDefault="007F264B" w:rsidP="00303D2C">
            <w:pPr>
              <w:pStyle w:val="TableText0"/>
              <w:jc w:val="center"/>
            </w:pPr>
          </w:p>
        </w:tc>
        <w:tc>
          <w:tcPr>
            <w:tcW w:w="614" w:type="pct"/>
            <w:vAlign w:val="center"/>
          </w:tcPr>
          <w:p w14:paraId="3DB12205" w14:textId="77777777" w:rsidR="007F264B" w:rsidRPr="00457FD3" w:rsidRDefault="007F264B" w:rsidP="00303D2C">
            <w:pPr>
              <w:pStyle w:val="TableText0"/>
              <w:jc w:val="center"/>
              <w:rPr>
                <w:vertAlign w:val="superscript"/>
              </w:rPr>
            </w:pPr>
            <w:r w:rsidRPr="00457FD3">
              <w:t>$1,210</w:t>
            </w:r>
            <w:r w:rsidRPr="00457FD3">
              <w:rPr>
                <w:vertAlign w:val="superscript"/>
              </w:rPr>
              <w:t>f</w:t>
            </w:r>
          </w:p>
        </w:tc>
      </w:tr>
    </w:tbl>
    <w:p w14:paraId="0875E025" w14:textId="77777777" w:rsidR="007F264B" w:rsidRPr="00457FD3" w:rsidRDefault="007F264B" w:rsidP="007F264B">
      <w:pPr>
        <w:pStyle w:val="TableFigureFooter"/>
      </w:pPr>
      <w:r w:rsidRPr="00457FD3">
        <w:t>Source: Table 3-18, Table 3-19 and Table 3-20, pp 163-164 of the submission; Excel workbook ‘Trodelvy PBAC Submission July 2021 S3 CEM FINAL’</w:t>
      </w:r>
    </w:p>
    <w:p w14:paraId="2D24AD14" w14:textId="77777777" w:rsidR="007F264B" w:rsidRPr="00457FD3" w:rsidRDefault="007F264B" w:rsidP="007F264B">
      <w:pPr>
        <w:pStyle w:val="TableFigureFooter"/>
      </w:pPr>
      <w:r w:rsidRPr="00457FD3">
        <w:t>DPMA = dispensed price for maximum amount; DPMQ = dispensed price for maximum quantity; SG = sacituzumab govitecan; TPC = treatment of physician's choice</w:t>
      </w:r>
    </w:p>
    <w:p w14:paraId="7310B699" w14:textId="77777777" w:rsidR="007F264B" w:rsidRPr="00457FD3" w:rsidRDefault="007F264B" w:rsidP="007F264B">
      <w:pPr>
        <w:pStyle w:val="TableFigureFooter"/>
        <w:ind w:left="142" w:hanging="142"/>
      </w:pPr>
      <w:r w:rsidRPr="00457FD3">
        <w:rPr>
          <w:vertAlign w:val="superscript"/>
        </w:rPr>
        <w:t xml:space="preserve">a </w:t>
      </w:r>
      <w:r w:rsidRPr="00457FD3">
        <w:t>Assuming public/private weighting 30.2%/69.8%, based on the weighted average PBS statistics for items for eribulin (10140Q and 10144X), vinorelbine (4620E, 7263G) and gemcitabine (4439P, 7246J).</w:t>
      </w:r>
    </w:p>
    <w:p w14:paraId="6339FFB8" w14:textId="77777777" w:rsidR="007F264B" w:rsidRPr="00457FD3" w:rsidRDefault="007F264B" w:rsidP="007F264B">
      <w:pPr>
        <w:pStyle w:val="TableFigureFooter"/>
      </w:pPr>
      <w:r w:rsidRPr="00457FD3">
        <w:rPr>
          <w:vertAlign w:val="superscript"/>
        </w:rPr>
        <w:t xml:space="preserve">b </w:t>
      </w:r>
      <w:r w:rsidRPr="00457FD3">
        <w:t>Dose of 10 mg/kg, mean body weight 71.09 kg, relative dose intensity (RDI) of 94.2%</w:t>
      </w:r>
    </w:p>
    <w:p w14:paraId="431424AA" w14:textId="77777777" w:rsidR="007F264B" w:rsidRPr="00457FD3" w:rsidRDefault="007F264B" w:rsidP="007F264B">
      <w:pPr>
        <w:pStyle w:val="TableFigureFooter"/>
      </w:pPr>
      <w:r w:rsidRPr="00457FD3">
        <w:rPr>
          <w:vertAlign w:val="superscript"/>
        </w:rPr>
        <w:t xml:space="preserve">c </w:t>
      </w:r>
      <w:r w:rsidRPr="00457FD3">
        <w:t>Dose of 1.4 mg/m</w:t>
      </w:r>
      <w:r w:rsidRPr="00457FD3">
        <w:rPr>
          <w:vertAlign w:val="superscript"/>
        </w:rPr>
        <w:t>2</w:t>
      </w:r>
      <w:r w:rsidRPr="00457FD3">
        <w:t>, mean body surface area (BSA) 1.78 m</w:t>
      </w:r>
      <w:r w:rsidRPr="00457FD3">
        <w:rPr>
          <w:vertAlign w:val="superscript"/>
        </w:rPr>
        <w:t>2</w:t>
      </w:r>
      <w:r w:rsidRPr="00457FD3">
        <w:t>, RDI 100%</w:t>
      </w:r>
    </w:p>
    <w:p w14:paraId="76CF5A08" w14:textId="77777777" w:rsidR="007F264B" w:rsidRPr="00457FD3" w:rsidRDefault="007F264B" w:rsidP="007F264B">
      <w:pPr>
        <w:pStyle w:val="TableFigureFooter"/>
        <w:rPr>
          <w:vertAlign w:val="superscript"/>
        </w:rPr>
      </w:pPr>
      <w:r w:rsidRPr="00457FD3">
        <w:rPr>
          <w:vertAlign w:val="superscript"/>
        </w:rPr>
        <w:t>d</w:t>
      </w:r>
      <w:r w:rsidRPr="00457FD3">
        <w:t xml:space="preserve"> Dose of 25 mg/m</w:t>
      </w:r>
      <w:r w:rsidRPr="00457FD3">
        <w:rPr>
          <w:vertAlign w:val="superscript"/>
        </w:rPr>
        <w:t>2</w:t>
      </w:r>
      <w:r w:rsidRPr="00457FD3">
        <w:t>, mean BSA 1.78 m</w:t>
      </w:r>
      <w:r w:rsidRPr="00457FD3">
        <w:rPr>
          <w:vertAlign w:val="superscript"/>
        </w:rPr>
        <w:t>2</w:t>
      </w:r>
      <w:r w:rsidRPr="00457FD3">
        <w:t>, RDI 100%</w:t>
      </w:r>
      <w:r w:rsidRPr="00457FD3">
        <w:rPr>
          <w:vertAlign w:val="superscript"/>
        </w:rPr>
        <w:t xml:space="preserve"> </w:t>
      </w:r>
    </w:p>
    <w:p w14:paraId="0BBDE1AA" w14:textId="77777777" w:rsidR="007F264B" w:rsidRPr="00457FD3" w:rsidRDefault="007F264B" w:rsidP="007F264B">
      <w:pPr>
        <w:pStyle w:val="TableFigureFooter"/>
      </w:pPr>
      <w:r w:rsidRPr="00457FD3">
        <w:rPr>
          <w:vertAlign w:val="superscript"/>
        </w:rPr>
        <w:t>e</w:t>
      </w:r>
      <w:r w:rsidRPr="00457FD3">
        <w:t xml:space="preserve"> Dose of 1,250 mg/m</w:t>
      </w:r>
      <w:r w:rsidRPr="00457FD3">
        <w:rPr>
          <w:vertAlign w:val="superscript"/>
        </w:rPr>
        <w:t>2</w:t>
      </w:r>
      <w:r w:rsidRPr="00457FD3">
        <w:t>, mean BSA 1.78 m</w:t>
      </w:r>
      <w:r w:rsidRPr="00457FD3">
        <w:rPr>
          <w:vertAlign w:val="superscript"/>
        </w:rPr>
        <w:t>2</w:t>
      </w:r>
      <w:r w:rsidRPr="00457FD3">
        <w:t>, RDI 100%</w:t>
      </w:r>
    </w:p>
    <w:p w14:paraId="0E86FADF" w14:textId="77777777" w:rsidR="007F264B" w:rsidRPr="00457FD3" w:rsidRDefault="007F264B" w:rsidP="007F264B">
      <w:pPr>
        <w:pStyle w:val="TableFigureFooter"/>
      </w:pPr>
      <w:r w:rsidRPr="00457FD3">
        <w:rPr>
          <w:vertAlign w:val="superscript"/>
        </w:rPr>
        <w:t>f</w:t>
      </w:r>
      <w:r w:rsidRPr="00457FD3">
        <w:t xml:space="preserve"> Assuming 53.1% eribulin, 19.8% vinorelbine, 14.5% gemcitabine and 12.6% capecitabine, from ASCENT.</w:t>
      </w:r>
      <w:r w:rsidRPr="00457FD3">
        <w:rPr>
          <w:rStyle w:val="FootnoteReference"/>
        </w:rPr>
        <w:footnoteReference w:id="12"/>
      </w:r>
    </w:p>
    <w:p w14:paraId="6B52F4C2" w14:textId="77777777" w:rsidR="007F264B" w:rsidRPr="00457FD3" w:rsidRDefault="007F264B" w:rsidP="007F264B">
      <w:pPr>
        <w:pStyle w:val="TableFigureFooter"/>
      </w:pPr>
      <w:r w:rsidRPr="00457FD3">
        <w:t>Note: the costs did not include wastage.</w:t>
      </w:r>
    </w:p>
    <w:p w14:paraId="688495B5" w14:textId="77777777" w:rsidR="007F264B" w:rsidRPr="00457FD3" w:rsidRDefault="007F264B" w:rsidP="007F264B">
      <w:pPr>
        <w:pStyle w:val="TableFigureFooter"/>
        <w:ind w:left="142" w:hanging="142"/>
      </w:pPr>
      <w:r w:rsidRPr="00457FD3">
        <w:t>Note: fees and mark-ups for PBS drugs were updated during the evaluation.</w:t>
      </w:r>
    </w:p>
    <w:p w14:paraId="41703BDC" w14:textId="77777777" w:rsidR="007F264B" w:rsidRPr="00457FD3" w:rsidRDefault="007F264B" w:rsidP="007F264B">
      <w:pPr>
        <w:pStyle w:val="In-tableHeading"/>
        <w:rPr>
          <w:lang w:val="en-AU"/>
        </w:rPr>
      </w:pPr>
    </w:p>
    <w:p w14:paraId="09B55179" w14:textId="77777777" w:rsidR="00A173AE" w:rsidRPr="00457FD3" w:rsidRDefault="00A173AE" w:rsidP="00A173AE">
      <w:pPr>
        <w:pStyle w:val="TableFigureHeading"/>
      </w:pPr>
      <w:r w:rsidRPr="00457FD3">
        <w:t xml:space="preserve">Table </w:t>
      </w:r>
      <w:r w:rsidR="00970868" w:rsidRPr="00457FD3">
        <w:rPr>
          <w:noProof/>
        </w:rPr>
        <w:t>1</w:t>
      </w:r>
      <w:r w:rsidR="002367C0">
        <w:rPr>
          <w:noProof/>
        </w:rPr>
        <w:t>4</w:t>
      </w:r>
      <w:r w:rsidRPr="00457FD3">
        <w:t xml:space="preserve">: Drug cost per patient for SG and TPC </w:t>
      </w:r>
      <w:r w:rsidR="00C43056" w:rsidRPr="00457FD3">
        <w:t>(effective price SG)</w:t>
      </w:r>
      <w:r w:rsidR="00C43056" w:rsidRPr="00457FD3" w:rsidDel="00C4305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39"/>
        <w:gridCol w:w="1244"/>
        <w:gridCol w:w="1243"/>
        <w:gridCol w:w="1248"/>
        <w:gridCol w:w="1243"/>
        <w:gridCol w:w="1250"/>
        <w:gridCol w:w="1250"/>
      </w:tblGrid>
      <w:tr w:rsidR="007F264B" w:rsidRPr="00457FD3" w14:paraId="3C3F480E" w14:textId="77777777" w:rsidTr="00303D2C">
        <w:trPr>
          <w:cantSplit/>
          <w:tblHeader/>
          <w:jc w:val="center"/>
        </w:trPr>
        <w:tc>
          <w:tcPr>
            <w:tcW w:w="853" w:type="pct"/>
            <w:shd w:val="clear" w:color="auto" w:fill="auto"/>
            <w:vAlign w:val="center"/>
          </w:tcPr>
          <w:p w14:paraId="0C034DAD" w14:textId="77777777" w:rsidR="007F264B" w:rsidRPr="00457FD3" w:rsidRDefault="007F264B" w:rsidP="00303D2C">
            <w:pPr>
              <w:pStyle w:val="In-tableHeading"/>
              <w:jc w:val="center"/>
            </w:pPr>
          </w:p>
        </w:tc>
        <w:tc>
          <w:tcPr>
            <w:tcW w:w="690" w:type="pct"/>
            <w:shd w:val="clear" w:color="auto" w:fill="auto"/>
            <w:vAlign w:val="center"/>
          </w:tcPr>
          <w:p w14:paraId="75C79A98" w14:textId="77777777" w:rsidR="007F264B" w:rsidRPr="00457FD3" w:rsidRDefault="007F264B" w:rsidP="00303D2C">
            <w:pPr>
              <w:pStyle w:val="In-tableHeading"/>
              <w:jc w:val="center"/>
            </w:pPr>
            <w:r w:rsidRPr="00457FD3">
              <w:t>SG</w:t>
            </w:r>
          </w:p>
          <w:p w14:paraId="0582B4A1" w14:textId="77777777" w:rsidR="007F264B" w:rsidRPr="00457FD3" w:rsidRDefault="007F264B" w:rsidP="00303D2C">
            <w:pPr>
              <w:pStyle w:val="In-tableHeading"/>
              <w:jc w:val="center"/>
            </w:pPr>
            <w:r w:rsidRPr="00457FD3">
              <w:t>Trial dose and duration</w:t>
            </w:r>
          </w:p>
        </w:tc>
        <w:tc>
          <w:tcPr>
            <w:tcW w:w="689" w:type="pct"/>
            <w:shd w:val="clear" w:color="auto" w:fill="auto"/>
            <w:vAlign w:val="center"/>
          </w:tcPr>
          <w:p w14:paraId="02583E43" w14:textId="77777777" w:rsidR="007F264B" w:rsidRPr="00457FD3" w:rsidRDefault="007F264B" w:rsidP="00303D2C">
            <w:pPr>
              <w:pStyle w:val="In-tableHeading"/>
              <w:jc w:val="center"/>
            </w:pPr>
            <w:r w:rsidRPr="00457FD3">
              <w:t>SG</w:t>
            </w:r>
          </w:p>
          <w:p w14:paraId="0E59458B" w14:textId="77777777" w:rsidR="007F264B" w:rsidRPr="00457FD3" w:rsidRDefault="007F264B" w:rsidP="00303D2C">
            <w:pPr>
              <w:pStyle w:val="In-tableHeading"/>
              <w:jc w:val="center"/>
            </w:pPr>
            <w:r w:rsidRPr="00457FD3">
              <w:t>Model</w:t>
            </w:r>
          </w:p>
        </w:tc>
        <w:tc>
          <w:tcPr>
            <w:tcW w:w="692" w:type="pct"/>
            <w:shd w:val="clear" w:color="auto" w:fill="auto"/>
            <w:vAlign w:val="center"/>
          </w:tcPr>
          <w:p w14:paraId="11CD97A1" w14:textId="77777777" w:rsidR="007F264B" w:rsidRPr="00457FD3" w:rsidRDefault="007F264B" w:rsidP="00303D2C">
            <w:pPr>
              <w:pStyle w:val="In-tableHeading"/>
              <w:jc w:val="center"/>
            </w:pPr>
            <w:r w:rsidRPr="00457FD3">
              <w:t>SG</w:t>
            </w:r>
          </w:p>
          <w:p w14:paraId="173EB376" w14:textId="77777777" w:rsidR="007F264B" w:rsidRPr="00457FD3" w:rsidRDefault="007F264B" w:rsidP="00303D2C">
            <w:pPr>
              <w:pStyle w:val="In-tableHeading"/>
              <w:jc w:val="center"/>
            </w:pPr>
            <w:r w:rsidRPr="00457FD3">
              <w:t>Financial estimates</w:t>
            </w:r>
          </w:p>
        </w:tc>
        <w:tc>
          <w:tcPr>
            <w:tcW w:w="689" w:type="pct"/>
            <w:shd w:val="clear" w:color="auto" w:fill="auto"/>
            <w:vAlign w:val="center"/>
          </w:tcPr>
          <w:p w14:paraId="5B7783A4" w14:textId="77777777" w:rsidR="007F264B" w:rsidRPr="00457FD3" w:rsidRDefault="007F264B" w:rsidP="00303D2C">
            <w:pPr>
              <w:pStyle w:val="In-tableHeading"/>
              <w:jc w:val="center"/>
            </w:pPr>
            <w:r w:rsidRPr="00457FD3">
              <w:t>TPC</w:t>
            </w:r>
          </w:p>
          <w:p w14:paraId="13021940" w14:textId="77777777" w:rsidR="007F264B" w:rsidRPr="00457FD3" w:rsidRDefault="007F264B" w:rsidP="00303D2C">
            <w:pPr>
              <w:pStyle w:val="In-tableHeading"/>
              <w:jc w:val="center"/>
            </w:pPr>
            <w:r w:rsidRPr="00457FD3">
              <w:t>Trial dose and duration</w:t>
            </w:r>
          </w:p>
        </w:tc>
        <w:tc>
          <w:tcPr>
            <w:tcW w:w="693" w:type="pct"/>
            <w:shd w:val="clear" w:color="auto" w:fill="auto"/>
            <w:vAlign w:val="center"/>
          </w:tcPr>
          <w:p w14:paraId="528F6A97" w14:textId="77777777" w:rsidR="007F264B" w:rsidRPr="00457FD3" w:rsidRDefault="007F264B" w:rsidP="00303D2C">
            <w:pPr>
              <w:pStyle w:val="In-tableHeading"/>
              <w:jc w:val="center"/>
            </w:pPr>
            <w:r w:rsidRPr="00457FD3">
              <w:t>TPC</w:t>
            </w:r>
          </w:p>
          <w:p w14:paraId="62F9017D" w14:textId="77777777" w:rsidR="007F264B" w:rsidRPr="00457FD3" w:rsidRDefault="007F264B" w:rsidP="00303D2C">
            <w:pPr>
              <w:pStyle w:val="In-tableHeading"/>
              <w:jc w:val="center"/>
            </w:pPr>
            <w:r w:rsidRPr="00457FD3">
              <w:t>Model</w:t>
            </w:r>
          </w:p>
        </w:tc>
        <w:tc>
          <w:tcPr>
            <w:tcW w:w="693" w:type="pct"/>
          </w:tcPr>
          <w:p w14:paraId="05BB0210" w14:textId="77777777" w:rsidR="007F264B" w:rsidRPr="00457FD3" w:rsidRDefault="007F264B" w:rsidP="00303D2C">
            <w:pPr>
              <w:pStyle w:val="In-tableHeading"/>
              <w:jc w:val="center"/>
            </w:pPr>
            <w:r w:rsidRPr="00457FD3">
              <w:t>TPC</w:t>
            </w:r>
          </w:p>
          <w:p w14:paraId="724AD7A2" w14:textId="77777777" w:rsidR="007F264B" w:rsidRPr="00457FD3" w:rsidRDefault="007F264B" w:rsidP="00303D2C">
            <w:pPr>
              <w:pStyle w:val="In-tableHeading"/>
              <w:jc w:val="center"/>
            </w:pPr>
            <w:r w:rsidRPr="00457FD3">
              <w:t>Financial estimates</w:t>
            </w:r>
          </w:p>
        </w:tc>
      </w:tr>
      <w:tr w:rsidR="007F264B" w:rsidRPr="00457FD3" w14:paraId="7DDC2D45" w14:textId="77777777" w:rsidTr="00303D2C">
        <w:trPr>
          <w:cantSplit/>
          <w:jc w:val="center"/>
        </w:trPr>
        <w:tc>
          <w:tcPr>
            <w:tcW w:w="853" w:type="pct"/>
            <w:shd w:val="clear" w:color="auto" w:fill="auto"/>
            <w:vAlign w:val="center"/>
          </w:tcPr>
          <w:p w14:paraId="62BC11A2" w14:textId="77777777" w:rsidR="007F264B" w:rsidRPr="00457FD3" w:rsidRDefault="007F264B" w:rsidP="00303D2C">
            <w:pPr>
              <w:pStyle w:val="TableText0"/>
              <w:rPr>
                <w:lang w:val="en-US"/>
              </w:rPr>
            </w:pPr>
            <w:r w:rsidRPr="00457FD3">
              <w:rPr>
                <w:lang w:val="en-US"/>
              </w:rPr>
              <w:t>Mean dose</w:t>
            </w:r>
          </w:p>
        </w:tc>
        <w:tc>
          <w:tcPr>
            <w:tcW w:w="690" w:type="pct"/>
            <w:shd w:val="clear" w:color="auto" w:fill="auto"/>
          </w:tcPr>
          <w:p w14:paraId="63FD57CE" w14:textId="77777777" w:rsidR="007F264B" w:rsidRPr="00457FD3" w:rsidRDefault="007F264B" w:rsidP="00303D2C">
            <w:pPr>
              <w:pStyle w:val="TableText0"/>
              <w:jc w:val="center"/>
            </w:pPr>
            <w:r w:rsidRPr="00457FD3">
              <w:t>670 mg</w:t>
            </w:r>
          </w:p>
        </w:tc>
        <w:tc>
          <w:tcPr>
            <w:tcW w:w="689" w:type="pct"/>
            <w:shd w:val="clear" w:color="auto" w:fill="auto"/>
          </w:tcPr>
          <w:p w14:paraId="091E5F84" w14:textId="77777777" w:rsidR="007F264B" w:rsidRPr="00457FD3" w:rsidRDefault="007F264B" w:rsidP="00303D2C">
            <w:pPr>
              <w:pStyle w:val="TableText0"/>
              <w:jc w:val="center"/>
              <w:rPr>
                <w:vertAlign w:val="superscript"/>
              </w:rPr>
            </w:pPr>
            <w:r w:rsidRPr="00457FD3">
              <w:t>670 mg</w:t>
            </w:r>
          </w:p>
        </w:tc>
        <w:tc>
          <w:tcPr>
            <w:tcW w:w="692" w:type="pct"/>
            <w:shd w:val="clear" w:color="auto" w:fill="auto"/>
          </w:tcPr>
          <w:p w14:paraId="6D431115" w14:textId="77777777" w:rsidR="007F264B" w:rsidRPr="00457FD3" w:rsidRDefault="007F264B" w:rsidP="00303D2C">
            <w:pPr>
              <w:pStyle w:val="TableText0"/>
              <w:jc w:val="center"/>
              <w:rPr>
                <w:vertAlign w:val="superscript"/>
              </w:rPr>
            </w:pPr>
            <w:r w:rsidRPr="00457FD3">
              <w:t>711 mg</w:t>
            </w:r>
          </w:p>
        </w:tc>
        <w:tc>
          <w:tcPr>
            <w:tcW w:w="689" w:type="pct"/>
            <w:shd w:val="clear" w:color="auto" w:fill="auto"/>
          </w:tcPr>
          <w:p w14:paraId="40F3536E" w14:textId="77777777" w:rsidR="007F264B" w:rsidRPr="00457FD3" w:rsidRDefault="007F264B" w:rsidP="00303D2C">
            <w:pPr>
              <w:pStyle w:val="TableText0"/>
              <w:jc w:val="center"/>
              <w:rPr>
                <w:vertAlign w:val="superscript"/>
              </w:rPr>
            </w:pPr>
            <w:r w:rsidRPr="00457FD3">
              <w:t>NR</w:t>
            </w:r>
          </w:p>
        </w:tc>
        <w:tc>
          <w:tcPr>
            <w:tcW w:w="693" w:type="pct"/>
            <w:shd w:val="clear" w:color="auto" w:fill="auto"/>
          </w:tcPr>
          <w:p w14:paraId="51D48617" w14:textId="77777777" w:rsidR="007F264B" w:rsidRPr="00457FD3" w:rsidRDefault="007F264B" w:rsidP="00A20840">
            <w:pPr>
              <w:pStyle w:val="TableText0"/>
              <w:jc w:val="center"/>
            </w:pPr>
            <w:r w:rsidRPr="00457FD3">
              <w:t xml:space="preserve">See </w:t>
            </w:r>
            <w:r w:rsidR="00A20840" w:rsidRPr="00457FD3">
              <w:t>Table 12</w:t>
            </w:r>
          </w:p>
        </w:tc>
        <w:tc>
          <w:tcPr>
            <w:tcW w:w="693" w:type="pct"/>
          </w:tcPr>
          <w:p w14:paraId="6129061B" w14:textId="77777777" w:rsidR="007F264B" w:rsidRPr="00457FD3" w:rsidRDefault="007F264B" w:rsidP="00303D2C">
            <w:pPr>
              <w:pStyle w:val="TableText0"/>
              <w:jc w:val="center"/>
            </w:pPr>
            <w:r w:rsidRPr="00457FD3">
              <w:t>As for model</w:t>
            </w:r>
          </w:p>
        </w:tc>
      </w:tr>
      <w:tr w:rsidR="007F264B" w:rsidRPr="00457FD3" w14:paraId="33BA750A" w14:textId="77777777" w:rsidTr="00303D2C">
        <w:trPr>
          <w:cantSplit/>
          <w:jc w:val="center"/>
        </w:trPr>
        <w:tc>
          <w:tcPr>
            <w:tcW w:w="853" w:type="pct"/>
            <w:shd w:val="clear" w:color="auto" w:fill="auto"/>
            <w:vAlign w:val="center"/>
          </w:tcPr>
          <w:p w14:paraId="02C1ACC0" w14:textId="77777777" w:rsidR="007F264B" w:rsidRPr="00457FD3" w:rsidRDefault="007F264B" w:rsidP="00303D2C">
            <w:pPr>
              <w:pStyle w:val="TableText0"/>
              <w:rPr>
                <w:lang w:val="en-US"/>
              </w:rPr>
            </w:pPr>
            <w:r w:rsidRPr="00457FD3">
              <w:rPr>
                <w:lang w:val="en-US"/>
              </w:rPr>
              <w:t>Mean duration</w:t>
            </w:r>
          </w:p>
        </w:tc>
        <w:tc>
          <w:tcPr>
            <w:tcW w:w="690" w:type="pct"/>
            <w:shd w:val="clear" w:color="auto" w:fill="auto"/>
          </w:tcPr>
          <w:p w14:paraId="5B0CFED1" w14:textId="77777777" w:rsidR="007F264B" w:rsidRPr="00457FD3" w:rsidRDefault="007F264B" w:rsidP="00303D2C">
            <w:pPr>
              <w:pStyle w:val="TableText0"/>
              <w:jc w:val="center"/>
              <w:rPr>
                <w:vertAlign w:val="superscript"/>
              </w:rPr>
            </w:pPr>
            <w:r w:rsidRPr="00457FD3">
              <w:t>5.77 months</w:t>
            </w:r>
            <w:r w:rsidRPr="00457FD3">
              <w:rPr>
                <w:vertAlign w:val="superscript"/>
              </w:rPr>
              <w:t>a</w:t>
            </w:r>
          </w:p>
        </w:tc>
        <w:tc>
          <w:tcPr>
            <w:tcW w:w="689" w:type="pct"/>
            <w:shd w:val="clear" w:color="auto" w:fill="auto"/>
          </w:tcPr>
          <w:p w14:paraId="1C987331" w14:textId="77777777" w:rsidR="007F264B" w:rsidRPr="00457FD3" w:rsidRDefault="007F264B" w:rsidP="00303D2C">
            <w:pPr>
              <w:pStyle w:val="TableText0"/>
              <w:jc w:val="center"/>
              <w:rPr>
                <w:vertAlign w:val="superscript"/>
              </w:rPr>
            </w:pPr>
            <w:r w:rsidRPr="00457FD3">
              <w:t>6.58 months</w:t>
            </w:r>
            <w:r w:rsidRPr="00457FD3">
              <w:rPr>
                <w:vertAlign w:val="superscript"/>
              </w:rPr>
              <w:t>c</w:t>
            </w:r>
          </w:p>
        </w:tc>
        <w:tc>
          <w:tcPr>
            <w:tcW w:w="692" w:type="pct"/>
            <w:shd w:val="clear" w:color="auto" w:fill="auto"/>
          </w:tcPr>
          <w:p w14:paraId="1F87F26C" w14:textId="77777777" w:rsidR="007F264B" w:rsidRPr="00457FD3" w:rsidRDefault="007F264B" w:rsidP="00303D2C">
            <w:pPr>
              <w:pStyle w:val="TableText0"/>
              <w:jc w:val="center"/>
              <w:rPr>
                <w:vertAlign w:val="superscript"/>
              </w:rPr>
            </w:pPr>
            <w:r w:rsidRPr="00457FD3">
              <w:t>5.77 months</w:t>
            </w:r>
            <w:r w:rsidRPr="00457FD3">
              <w:rPr>
                <w:vertAlign w:val="superscript"/>
              </w:rPr>
              <w:t>a</w:t>
            </w:r>
          </w:p>
        </w:tc>
        <w:tc>
          <w:tcPr>
            <w:tcW w:w="689" w:type="pct"/>
            <w:shd w:val="clear" w:color="auto" w:fill="auto"/>
          </w:tcPr>
          <w:p w14:paraId="3D6BE7FC" w14:textId="77777777" w:rsidR="007F264B" w:rsidRPr="00457FD3" w:rsidRDefault="007F264B" w:rsidP="00303D2C">
            <w:pPr>
              <w:pStyle w:val="TableText0"/>
              <w:jc w:val="center"/>
              <w:rPr>
                <w:vertAlign w:val="superscript"/>
              </w:rPr>
            </w:pPr>
            <w:r w:rsidRPr="00457FD3">
              <w:t>2.15 months</w:t>
            </w:r>
            <w:r w:rsidRPr="00457FD3">
              <w:rPr>
                <w:vertAlign w:val="superscript"/>
              </w:rPr>
              <w:t>e</w:t>
            </w:r>
          </w:p>
        </w:tc>
        <w:tc>
          <w:tcPr>
            <w:tcW w:w="693" w:type="pct"/>
            <w:shd w:val="clear" w:color="auto" w:fill="auto"/>
          </w:tcPr>
          <w:p w14:paraId="6FAF84B6" w14:textId="77777777" w:rsidR="007F264B" w:rsidRPr="00457FD3" w:rsidRDefault="007F264B" w:rsidP="00303D2C">
            <w:pPr>
              <w:pStyle w:val="TableText0"/>
              <w:jc w:val="center"/>
              <w:rPr>
                <w:vertAlign w:val="superscript"/>
              </w:rPr>
            </w:pPr>
            <w:r w:rsidRPr="00457FD3">
              <w:t>2.41 months</w:t>
            </w:r>
            <w:r w:rsidRPr="00457FD3">
              <w:rPr>
                <w:vertAlign w:val="superscript"/>
              </w:rPr>
              <w:t>c</w:t>
            </w:r>
          </w:p>
        </w:tc>
        <w:tc>
          <w:tcPr>
            <w:tcW w:w="693" w:type="pct"/>
          </w:tcPr>
          <w:p w14:paraId="3B8335F9" w14:textId="77777777" w:rsidR="007F264B" w:rsidRPr="00457FD3" w:rsidRDefault="007F264B" w:rsidP="00303D2C">
            <w:pPr>
              <w:pStyle w:val="TableText0"/>
              <w:jc w:val="center"/>
              <w:rPr>
                <w:vertAlign w:val="superscript"/>
              </w:rPr>
            </w:pPr>
            <w:r w:rsidRPr="00457FD3">
              <w:t>2.15 months</w:t>
            </w:r>
            <w:r w:rsidRPr="00457FD3">
              <w:rPr>
                <w:vertAlign w:val="superscript"/>
              </w:rPr>
              <w:t>e</w:t>
            </w:r>
          </w:p>
        </w:tc>
      </w:tr>
      <w:tr w:rsidR="007F264B" w:rsidRPr="00457FD3" w14:paraId="21691117" w14:textId="77777777" w:rsidTr="00AE4163">
        <w:trPr>
          <w:cantSplit/>
          <w:jc w:val="center"/>
        </w:trPr>
        <w:tc>
          <w:tcPr>
            <w:tcW w:w="853" w:type="pct"/>
            <w:shd w:val="clear" w:color="auto" w:fill="auto"/>
            <w:vAlign w:val="center"/>
          </w:tcPr>
          <w:p w14:paraId="1328C379" w14:textId="77777777" w:rsidR="007F264B" w:rsidRPr="00457FD3" w:rsidRDefault="007F264B" w:rsidP="00303D2C">
            <w:pPr>
              <w:pStyle w:val="TableText0"/>
              <w:rPr>
                <w:lang w:val="en-US"/>
              </w:rPr>
            </w:pPr>
            <w:r w:rsidRPr="00457FD3">
              <w:rPr>
                <w:lang w:val="en-US"/>
              </w:rPr>
              <w:t>Cost/patient/month</w:t>
            </w:r>
            <w:r w:rsidR="00735B22">
              <w:rPr>
                <w:lang w:val="en-US"/>
              </w:rPr>
              <w:t xml:space="preserve"> ($)</w:t>
            </w:r>
          </w:p>
        </w:tc>
        <w:tc>
          <w:tcPr>
            <w:tcW w:w="690" w:type="pct"/>
            <w:shd w:val="clear" w:color="auto" w:fill="auto"/>
            <w:vAlign w:val="center"/>
          </w:tcPr>
          <w:p w14:paraId="1DDFAD56" w14:textId="77777777" w:rsidR="007F264B" w:rsidRPr="00457FD3" w:rsidRDefault="00730CE5" w:rsidP="00303D2C">
            <w:pPr>
              <w:pStyle w:val="TableText0"/>
              <w:jc w:val="center"/>
              <w:rPr>
                <w:vertAlign w:val="superscript"/>
                <w:lang w:val="en-US"/>
              </w:rPr>
            </w:pPr>
            <w:r>
              <w:rPr>
                <w:noProof/>
                <w:color w:val="000000"/>
                <w:highlight w:val="black"/>
                <w:lang w:val="en-US"/>
              </w:rPr>
              <w:t>'''''''''''''''''</w:t>
            </w:r>
            <w:r w:rsidR="007F264B" w:rsidRPr="00457FD3">
              <w:rPr>
                <w:vertAlign w:val="superscript"/>
                <w:lang w:val="en-US"/>
              </w:rPr>
              <w:t>b</w:t>
            </w:r>
          </w:p>
        </w:tc>
        <w:tc>
          <w:tcPr>
            <w:tcW w:w="689" w:type="pct"/>
            <w:shd w:val="clear" w:color="auto" w:fill="auto"/>
            <w:vAlign w:val="center"/>
          </w:tcPr>
          <w:p w14:paraId="29096E72" w14:textId="77777777" w:rsidR="007F264B" w:rsidRPr="00457FD3" w:rsidRDefault="00730CE5" w:rsidP="00303D2C">
            <w:pPr>
              <w:pStyle w:val="TableText0"/>
              <w:jc w:val="center"/>
              <w:rPr>
                <w:vertAlign w:val="superscript"/>
                <w:lang w:val="en-US"/>
              </w:rPr>
            </w:pPr>
            <w:r>
              <w:rPr>
                <w:noProof/>
                <w:color w:val="000000"/>
                <w:highlight w:val="black"/>
                <w:lang w:val="en-US"/>
              </w:rPr>
              <w:t>'''''''''''''''''</w:t>
            </w:r>
            <w:r w:rsidR="007F264B" w:rsidRPr="00457FD3">
              <w:rPr>
                <w:vertAlign w:val="superscript"/>
                <w:lang w:val="en-US"/>
              </w:rPr>
              <w:t>b</w:t>
            </w:r>
          </w:p>
        </w:tc>
        <w:tc>
          <w:tcPr>
            <w:tcW w:w="692" w:type="pct"/>
            <w:shd w:val="clear" w:color="auto" w:fill="auto"/>
            <w:vAlign w:val="center"/>
          </w:tcPr>
          <w:p w14:paraId="69DED9B6" w14:textId="77777777" w:rsidR="007F264B" w:rsidRPr="00457FD3" w:rsidRDefault="00730CE5" w:rsidP="00303D2C">
            <w:pPr>
              <w:pStyle w:val="TableText0"/>
              <w:jc w:val="center"/>
              <w:rPr>
                <w:vertAlign w:val="superscript"/>
                <w:lang w:val="en-US"/>
              </w:rPr>
            </w:pPr>
            <w:r>
              <w:rPr>
                <w:noProof/>
                <w:color w:val="000000"/>
                <w:highlight w:val="black"/>
                <w:lang w:val="en-US"/>
              </w:rPr>
              <w:t>'''''''''''''''''</w:t>
            </w:r>
            <w:r w:rsidR="007F264B" w:rsidRPr="00457FD3">
              <w:rPr>
                <w:vertAlign w:val="superscript"/>
                <w:lang w:val="en-US"/>
              </w:rPr>
              <w:t>d</w:t>
            </w:r>
          </w:p>
        </w:tc>
        <w:tc>
          <w:tcPr>
            <w:tcW w:w="689" w:type="pct"/>
            <w:shd w:val="clear" w:color="auto" w:fill="auto"/>
            <w:vAlign w:val="center"/>
          </w:tcPr>
          <w:p w14:paraId="25531434" w14:textId="77777777" w:rsidR="007F264B" w:rsidRPr="00457FD3" w:rsidRDefault="007F264B" w:rsidP="00303D2C">
            <w:pPr>
              <w:pStyle w:val="TableText0"/>
              <w:jc w:val="center"/>
              <w:rPr>
                <w:lang w:val="en-US"/>
              </w:rPr>
            </w:pPr>
            <w:r w:rsidRPr="00457FD3">
              <w:rPr>
                <w:lang w:val="en-US"/>
              </w:rPr>
              <w:t>-</w:t>
            </w:r>
          </w:p>
        </w:tc>
        <w:tc>
          <w:tcPr>
            <w:tcW w:w="693" w:type="pct"/>
            <w:shd w:val="clear" w:color="auto" w:fill="auto"/>
            <w:vAlign w:val="center"/>
          </w:tcPr>
          <w:p w14:paraId="7F3AD6BE" w14:textId="77777777" w:rsidR="007F264B" w:rsidRPr="00457FD3" w:rsidRDefault="007F264B" w:rsidP="00303D2C">
            <w:pPr>
              <w:pStyle w:val="TableText0"/>
              <w:jc w:val="center"/>
              <w:rPr>
                <w:vertAlign w:val="superscript"/>
                <w:lang w:val="en-US"/>
              </w:rPr>
            </w:pPr>
            <w:r w:rsidRPr="00457FD3">
              <w:rPr>
                <w:lang w:val="en-US"/>
              </w:rPr>
              <w:t>$1,210</w:t>
            </w:r>
            <w:r w:rsidRPr="00457FD3">
              <w:rPr>
                <w:vertAlign w:val="superscript"/>
                <w:lang w:val="en-US"/>
              </w:rPr>
              <w:t>b</w:t>
            </w:r>
          </w:p>
        </w:tc>
        <w:tc>
          <w:tcPr>
            <w:tcW w:w="693" w:type="pct"/>
            <w:vAlign w:val="center"/>
          </w:tcPr>
          <w:p w14:paraId="0F4D3EA6" w14:textId="77777777" w:rsidR="007F264B" w:rsidRPr="00457FD3" w:rsidRDefault="007F264B" w:rsidP="00AE4163">
            <w:pPr>
              <w:pStyle w:val="TableText0"/>
              <w:jc w:val="center"/>
              <w:rPr>
                <w:vertAlign w:val="superscript"/>
                <w:lang w:val="en-US"/>
              </w:rPr>
            </w:pPr>
            <w:r w:rsidRPr="00457FD3">
              <w:rPr>
                <w:lang w:val="en-US"/>
              </w:rPr>
              <w:t>$1,532</w:t>
            </w:r>
            <w:r w:rsidRPr="00457FD3">
              <w:rPr>
                <w:vertAlign w:val="superscript"/>
                <w:lang w:val="en-US"/>
              </w:rPr>
              <w:t>f</w:t>
            </w:r>
          </w:p>
        </w:tc>
      </w:tr>
      <w:tr w:rsidR="007F264B" w:rsidRPr="00457FD3" w14:paraId="43577A87" w14:textId="77777777" w:rsidTr="00303D2C">
        <w:trPr>
          <w:cantSplit/>
          <w:jc w:val="center"/>
        </w:trPr>
        <w:tc>
          <w:tcPr>
            <w:tcW w:w="853" w:type="pct"/>
            <w:shd w:val="clear" w:color="auto" w:fill="auto"/>
            <w:vAlign w:val="center"/>
          </w:tcPr>
          <w:p w14:paraId="56C16E54" w14:textId="77777777" w:rsidR="007F264B" w:rsidRPr="00457FD3" w:rsidRDefault="007F264B" w:rsidP="00303D2C">
            <w:pPr>
              <w:pStyle w:val="TableText0"/>
              <w:rPr>
                <w:lang w:val="en-US"/>
              </w:rPr>
            </w:pPr>
            <w:r w:rsidRPr="00457FD3">
              <w:rPr>
                <w:lang w:val="en-US"/>
              </w:rPr>
              <w:t>Cost/patient/course</w:t>
            </w:r>
            <w:r w:rsidR="00735B22">
              <w:rPr>
                <w:lang w:val="en-US"/>
              </w:rPr>
              <w:t xml:space="preserve"> ($)</w:t>
            </w:r>
          </w:p>
        </w:tc>
        <w:tc>
          <w:tcPr>
            <w:tcW w:w="690" w:type="pct"/>
            <w:shd w:val="clear" w:color="auto" w:fill="auto"/>
            <w:vAlign w:val="center"/>
          </w:tcPr>
          <w:p w14:paraId="55B27796" w14:textId="77777777" w:rsidR="007F264B" w:rsidRPr="00457FD3" w:rsidRDefault="00730CE5" w:rsidP="00303D2C">
            <w:pPr>
              <w:pStyle w:val="TableText0"/>
              <w:jc w:val="center"/>
              <w:rPr>
                <w:vertAlign w:val="superscript"/>
                <w:lang w:val="en-US"/>
              </w:rPr>
            </w:pPr>
            <w:r>
              <w:rPr>
                <w:noProof/>
                <w:color w:val="000000"/>
                <w:highlight w:val="black"/>
                <w:lang w:val="en-US"/>
              </w:rPr>
              <w:t>''''''''''''''''''</w:t>
            </w:r>
            <w:r w:rsidR="007F264B" w:rsidRPr="00457FD3">
              <w:rPr>
                <w:vertAlign w:val="superscript"/>
                <w:lang w:val="en-US"/>
              </w:rPr>
              <w:t>b</w:t>
            </w:r>
          </w:p>
        </w:tc>
        <w:tc>
          <w:tcPr>
            <w:tcW w:w="689" w:type="pct"/>
            <w:shd w:val="clear" w:color="auto" w:fill="auto"/>
            <w:vAlign w:val="center"/>
          </w:tcPr>
          <w:p w14:paraId="3AA2A4FC" w14:textId="77777777" w:rsidR="007F264B" w:rsidRPr="00457FD3" w:rsidRDefault="00730CE5" w:rsidP="00303D2C">
            <w:pPr>
              <w:pStyle w:val="TableText0"/>
              <w:jc w:val="center"/>
              <w:rPr>
                <w:vertAlign w:val="superscript"/>
                <w:lang w:val="en-US"/>
              </w:rPr>
            </w:pPr>
            <w:r>
              <w:rPr>
                <w:noProof/>
                <w:color w:val="000000"/>
                <w:highlight w:val="black"/>
                <w:lang w:val="en-US"/>
              </w:rPr>
              <w:t>''''''''''''''''''</w:t>
            </w:r>
            <w:r w:rsidR="007F264B" w:rsidRPr="00457FD3">
              <w:rPr>
                <w:vertAlign w:val="superscript"/>
                <w:lang w:val="en-US"/>
              </w:rPr>
              <w:t>b</w:t>
            </w:r>
          </w:p>
        </w:tc>
        <w:tc>
          <w:tcPr>
            <w:tcW w:w="692" w:type="pct"/>
            <w:shd w:val="clear" w:color="auto" w:fill="auto"/>
            <w:vAlign w:val="center"/>
          </w:tcPr>
          <w:p w14:paraId="0CA03C2E" w14:textId="77777777" w:rsidR="007F264B" w:rsidRPr="00730CE5" w:rsidRDefault="00730CE5" w:rsidP="00303D2C">
            <w:pPr>
              <w:pStyle w:val="TableText0"/>
              <w:jc w:val="center"/>
              <w:rPr>
                <w:highlight w:val="black"/>
                <w:vertAlign w:val="superscript"/>
                <w:lang w:val="en-US"/>
              </w:rPr>
            </w:pPr>
            <w:r>
              <w:rPr>
                <w:noProof/>
                <w:color w:val="000000"/>
                <w:highlight w:val="black"/>
                <w:lang w:val="en-US"/>
              </w:rPr>
              <w:t>'''''''''''''''''''''</w:t>
            </w:r>
          </w:p>
        </w:tc>
        <w:tc>
          <w:tcPr>
            <w:tcW w:w="689" w:type="pct"/>
            <w:shd w:val="clear" w:color="auto" w:fill="auto"/>
            <w:vAlign w:val="center"/>
          </w:tcPr>
          <w:p w14:paraId="7A316203" w14:textId="77777777" w:rsidR="007F264B" w:rsidRPr="00457FD3" w:rsidRDefault="007F264B" w:rsidP="00303D2C">
            <w:pPr>
              <w:pStyle w:val="TableText0"/>
              <w:jc w:val="center"/>
              <w:rPr>
                <w:lang w:val="en-US"/>
              </w:rPr>
            </w:pPr>
            <w:r w:rsidRPr="00457FD3">
              <w:rPr>
                <w:lang w:val="en-US"/>
              </w:rPr>
              <w:t>-</w:t>
            </w:r>
          </w:p>
        </w:tc>
        <w:tc>
          <w:tcPr>
            <w:tcW w:w="693" w:type="pct"/>
            <w:shd w:val="clear" w:color="auto" w:fill="auto"/>
            <w:vAlign w:val="center"/>
          </w:tcPr>
          <w:p w14:paraId="5389FADC" w14:textId="77777777" w:rsidR="007F264B" w:rsidRPr="00457FD3" w:rsidRDefault="007F264B" w:rsidP="00303D2C">
            <w:pPr>
              <w:pStyle w:val="TableText0"/>
              <w:jc w:val="center"/>
              <w:rPr>
                <w:vertAlign w:val="superscript"/>
                <w:lang w:val="en-US"/>
              </w:rPr>
            </w:pPr>
            <w:r w:rsidRPr="00457FD3">
              <w:rPr>
                <w:lang w:val="en-US"/>
              </w:rPr>
              <w:t>$2,914</w:t>
            </w:r>
            <w:r w:rsidRPr="00457FD3">
              <w:rPr>
                <w:vertAlign w:val="superscript"/>
                <w:lang w:val="en-US"/>
              </w:rPr>
              <w:t>b</w:t>
            </w:r>
          </w:p>
        </w:tc>
        <w:tc>
          <w:tcPr>
            <w:tcW w:w="693" w:type="pct"/>
          </w:tcPr>
          <w:p w14:paraId="6F69A7CE" w14:textId="77777777" w:rsidR="007F264B" w:rsidRPr="00457FD3" w:rsidRDefault="007F264B" w:rsidP="00303D2C">
            <w:pPr>
              <w:pStyle w:val="TableText0"/>
              <w:jc w:val="center"/>
              <w:rPr>
                <w:vertAlign w:val="superscript"/>
                <w:lang w:val="en-US"/>
              </w:rPr>
            </w:pPr>
            <w:r w:rsidRPr="00457FD3">
              <w:rPr>
                <w:lang w:val="en-US"/>
              </w:rPr>
              <w:t>$3,289</w:t>
            </w:r>
            <w:r w:rsidRPr="00457FD3">
              <w:rPr>
                <w:vertAlign w:val="superscript"/>
                <w:lang w:val="en-US"/>
              </w:rPr>
              <w:t>f</w:t>
            </w:r>
          </w:p>
        </w:tc>
      </w:tr>
    </w:tbl>
    <w:p w14:paraId="0E046E14" w14:textId="77777777" w:rsidR="007F264B" w:rsidRPr="00457FD3" w:rsidRDefault="007F264B" w:rsidP="007F264B">
      <w:pPr>
        <w:pStyle w:val="TableFigureFooter"/>
      </w:pPr>
      <w:r w:rsidRPr="00457FD3">
        <w:t>Source: Table 2-30 p 77, Table 2-52 p112, Table 3-18, Table 3-19 and Table 3-20, pp 163-164 of the submission; Excel workbook ‘Trodelvy PBAC Submission July 2021 S3 CEM FINAL’</w:t>
      </w:r>
    </w:p>
    <w:p w14:paraId="5AFFB15B" w14:textId="77777777" w:rsidR="007F264B" w:rsidRPr="00457FD3" w:rsidRDefault="007F264B" w:rsidP="007F264B">
      <w:pPr>
        <w:pStyle w:val="TableFigureFooter"/>
      </w:pPr>
      <w:r w:rsidRPr="00457FD3">
        <w:t xml:space="preserve">NR = not reported; SG = sacituzumab govitecan; TPC = treatment of physician's choice </w:t>
      </w:r>
    </w:p>
    <w:p w14:paraId="1E43E3D3" w14:textId="77777777" w:rsidR="007F264B" w:rsidRPr="00457FD3" w:rsidRDefault="007F264B" w:rsidP="007F264B">
      <w:pPr>
        <w:pStyle w:val="TableFigureFooter"/>
      </w:pPr>
      <w:r w:rsidRPr="00457FD3">
        <w:rPr>
          <w:vertAlign w:val="superscript"/>
        </w:rPr>
        <w:t>a</w:t>
      </w:r>
      <w:r w:rsidRPr="00457FD3">
        <w:t xml:space="preserve"> Truncated mean duration of treatment from ASCENT. 17/267 (6.4%) patients in the ITT population were still receiving SG.</w:t>
      </w:r>
    </w:p>
    <w:p w14:paraId="2D87E17B" w14:textId="77777777" w:rsidR="007F264B" w:rsidRPr="00457FD3" w:rsidRDefault="007F264B" w:rsidP="007F264B">
      <w:pPr>
        <w:pStyle w:val="TableFigureFooter"/>
      </w:pPr>
      <w:r w:rsidRPr="00457FD3">
        <w:rPr>
          <w:vertAlign w:val="superscript"/>
        </w:rPr>
        <w:t>b</w:t>
      </w:r>
      <w:r w:rsidRPr="00457FD3">
        <w:t xml:space="preserve"> No allowance for wastage. Assumes a RDI of 94.2%</w:t>
      </w:r>
    </w:p>
    <w:p w14:paraId="50E1FEA1" w14:textId="77777777" w:rsidR="007F264B" w:rsidRPr="00457FD3" w:rsidRDefault="007F264B" w:rsidP="007F264B">
      <w:pPr>
        <w:pStyle w:val="TableFigureFooter"/>
      </w:pPr>
      <w:r w:rsidRPr="00457FD3">
        <w:rPr>
          <w:vertAlign w:val="superscript"/>
        </w:rPr>
        <w:t>c</w:t>
      </w:r>
      <w:r w:rsidRPr="00457FD3">
        <w:t xml:space="preserve"> Modelled duration of treatment based on time to treatment discontinuation from ASCENT, with parametric extrapolation.</w:t>
      </w:r>
    </w:p>
    <w:p w14:paraId="08F24341" w14:textId="77777777" w:rsidR="007F264B" w:rsidRPr="00457FD3" w:rsidRDefault="007F264B" w:rsidP="007F264B">
      <w:pPr>
        <w:pStyle w:val="TableFigureFooter"/>
        <w:ind w:left="142" w:hanging="142"/>
      </w:pPr>
      <w:r w:rsidRPr="00457FD3">
        <w:rPr>
          <w:vertAlign w:val="superscript"/>
        </w:rPr>
        <w:t>d</w:t>
      </w:r>
      <w:r w:rsidRPr="00457FD3">
        <w:t xml:space="preserve"> Assumed 4 x 180 mg vials (720 mg) required per dose. No adjustment for relative dose intensity.</w:t>
      </w:r>
    </w:p>
    <w:p w14:paraId="510AC325" w14:textId="77777777" w:rsidR="007F264B" w:rsidRPr="00457FD3" w:rsidRDefault="007F264B" w:rsidP="007F264B">
      <w:pPr>
        <w:pStyle w:val="TableFigureFooter"/>
        <w:ind w:left="142" w:hanging="142"/>
      </w:pPr>
      <w:r w:rsidRPr="00457FD3">
        <w:rPr>
          <w:vertAlign w:val="superscript"/>
        </w:rPr>
        <w:t>e</w:t>
      </w:r>
      <w:r w:rsidRPr="00457FD3">
        <w:t xml:space="preserve"> The mean duration of treatment was 2.27 months for eribulin, 1.73 months for vinorelbine, 2.25 months for gemcitabine, and 2.16 months for capecitabine. Weighted mean duration calculated as 2.27*53.1% + 1.73*19.8% + 2.25*14.5% + 2.16*12.6%. No patients remained on randomised study treatment.</w:t>
      </w:r>
    </w:p>
    <w:p w14:paraId="24ED3491" w14:textId="77777777" w:rsidR="007F264B" w:rsidRPr="00457FD3" w:rsidRDefault="007F264B" w:rsidP="007F264B">
      <w:pPr>
        <w:pStyle w:val="TableFigureFooter"/>
        <w:ind w:left="142" w:hanging="142"/>
      </w:pPr>
      <w:r w:rsidRPr="00457FD3">
        <w:rPr>
          <w:vertAlign w:val="superscript"/>
        </w:rPr>
        <w:t xml:space="preserve">f </w:t>
      </w:r>
      <w:r w:rsidRPr="00457FD3">
        <w:t>Includes wastage. No adjustment for relative dose intensity.</w:t>
      </w:r>
    </w:p>
    <w:p w14:paraId="3B065526" w14:textId="77777777" w:rsidR="007F264B" w:rsidRPr="00457FD3" w:rsidRDefault="007F264B" w:rsidP="007F264B">
      <w:pPr>
        <w:pStyle w:val="TableFigureFooter"/>
        <w:ind w:left="142" w:hanging="142"/>
      </w:pPr>
      <w:r w:rsidRPr="00457FD3">
        <w:t>Note: the trial-based cost for TPC could not be calculated as the mean dose for each component drug was not reported.</w:t>
      </w:r>
    </w:p>
    <w:p w14:paraId="7CFD6EAA" w14:textId="77777777" w:rsidR="007F264B" w:rsidRDefault="007F264B" w:rsidP="00037EC2">
      <w:pPr>
        <w:pStyle w:val="TableFigureFooter"/>
        <w:ind w:left="142" w:hanging="142"/>
      </w:pPr>
      <w:r w:rsidRPr="00457FD3">
        <w:t>Note: fees and mark-ups for PBS drugs were updated during the evaluation</w:t>
      </w:r>
      <w:r w:rsidR="00085CFE" w:rsidRPr="00457FD3">
        <w:t>.</w:t>
      </w:r>
      <w:r w:rsidRPr="00457FD3">
        <w:t xml:space="preserve"> </w:t>
      </w:r>
    </w:p>
    <w:p w14:paraId="218B6420" w14:textId="77777777" w:rsidR="00037EC2" w:rsidRPr="00457FD3" w:rsidRDefault="00037EC2" w:rsidP="00037EC2">
      <w:pPr>
        <w:pStyle w:val="TableFigureFooter"/>
        <w:ind w:left="142" w:hanging="142"/>
      </w:pPr>
    </w:p>
    <w:p w14:paraId="7B8CD68B" w14:textId="77777777" w:rsidR="00A173AE" w:rsidRPr="00037EC2" w:rsidRDefault="00A173AE" w:rsidP="00037EC2">
      <w:pPr>
        <w:pStyle w:val="4-SubsectionHeading"/>
        <w:rPr>
          <w:iCs/>
        </w:rPr>
      </w:pPr>
      <w:r w:rsidRPr="00037EC2">
        <w:rPr>
          <w:iCs/>
        </w:rPr>
        <w:t>Estimated PBS usage &amp; financial implications</w:t>
      </w:r>
    </w:p>
    <w:p w14:paraId="650F982B" w14:textId="77777777" w:rsidR="00A173AE" w:rsidRDefault="00972315" w:rsidP="00A173AE">
      <w:pPr>
        <w:pStyle w:val="3-BodyText"/>
      </w:pPr>
      <w:r>
        <w:t xml:space="preserve">DUSC considered this submission. </w:t>
      </w:r>
      <w:r w:rsidRPr="00972315">
        <w:t xml:space="preserve">The submission </w:t>
      </w:r>
      <w:r>
        <w:t>applied</w:t>
      </w:r>
      <w:r w:rsidRPr="00972315">
        <w:t xml:space="preserve"> an epidemiological approach.</w:t>
      </w:r>
    </w:p>
    <w:p w14:paraId="224D8543" w14:textId="77777777" w:rsidR="004958C1" w:rsidRPr="000D5E49" w:rsidRDefault="004958C1" w:rsidP="004958C1">
      <w:pPr>
        <w:pStyle w:val="TableFigureHeading"/>
        <w:keepLines/>
      </w:pPr>
      <w:bookmarkStart w:id="5" w:name="_Ref80595446"/>
      <w:r>
        <w:t>Table</w:t>
      </w:r>
      <w:bookmarkEnd w:id="5"/>
      <w:r>
        <w:t xml:space="preserve"> </w:t>
      </w:r>
      <w:r w:rsidR="002367C0">
        <w:t>15</w:t>
      </w:r>
      <w:r>
        <w:t>: Key inputs for financial estimates</w:t>
      </w: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189"/>
        <w:gridCol w:w="2098"/>
        <w:gridCol w:w="2891"/>
      </w:tblGrid>
      <w:tr w:rsidR="004958C1" w:rsidRPr="00914C77" w14:paraId="25739701" w14:textId="77777777" w:rsidTr="007E2C08">
        <w:trPr>
          <w:tblHeader/>
        </w:trPr>
        <w:tc>
          <w:tcPr>
            <w:tcW w:w="1917" w:type="dxa"/>
            <w:tcBorders>
              <w:bottom w:val="single" w:sz="4" w:space="0" w:color="auto"/>
            </w:tcBorders>
            <w:vAlign w:val="center"/>
          </w:tcPr>
          <w:p w14:paraId="12FE1470" w14:textId="77777777" w:rsidR="004958C1" w:rsidRPr="00914C77" w:rsidRDefault="004958C1" w:rsidP="004958C1">
            <w:pPr>
              <w:pStyle w:val="In-tableHeading"/>
              <w:keepLines/>
              <w:jc w:val="center"/>
            </w:pPr>
            <w:r w:rsidRPr="00914C77">
              <w:t>Data</w:t>
            </w:r>
          </w:p>
        </w:tc>
        <w:tc>
          <w:tcPr>
            <w:tcW w:w="2189" w:type="dxa"/>
            <w:tcBorders>
              <w:bottom w:val="single" w:sz="4" w:space="0" w:color="auto"/>
            </w:tcBorders>
            <w:vAlign w:val="center"/>
          </w:tcPr>
          <w:p w14:paraId="3862CFE6" w14:textId="77777777" w:rsidR="004958C1" w:rsidRPr="00914C77" w:rsidRDefault="004958C1" w:rsidP="004958C1">
            <w:pPr>
              <w:pStyle w:val="In-tableHeading"/>
              <w:keepLines/>
              <w:jc w:val="center"/>
            </w:pPr>
            <w:r w:rsidRPr="00914C77">
              <w:t>Value</w:t>
            </w:r>
          </w:p>
        </w:tc>
        <w:tc>
          <w:tcPr>
            <w:tcW w:w="2098" w:type="dxa"/>
            <w:tcBorders>
              <w:bottom w:val="single" w:sz="4" w:space="0" w:color="auto"/>
            </w:tcBorders>
            <w:vAlign w:val="center"/>
          </w:tcPr>
          <w:p w14:paraId="41CE81C5" w14:textId="77777777" w:rsidR="004958C1" w:rsidRPr="00914C77" w:rsidRDefault="004958C1" w:rsidP="004958C1">
            <w:pPr>
              <w:pStyle w:val="In-tableHeading"/>
              <w:keepLines/>
              <w:jc w:val="center"/>
            </w:pPr>
            <w:r w:rsidRPr="00914C77">
              <w:t>Source</w:t>
            </w:r>
          </w:p>
        </w:tc>
        <w:tc>
          <w:tcPr>
            <w:tcW w:w="2891" w:type="dxa"/>
            <w:tcBorders>
              <w:bottom w:val="single" w:sz="4" w:space="0" w:color="auto"/>
            </w:tcBorders>
            <w:vAlign w:val="center"/>
          </w:tcPr>
          <w:p w14:paraId="2A554CE4" w14:textId="77777777" w:rsidR="004958C1" w:rsidRPr="00914C77" w:rsidRDefault="004958C1" w:rsidP="004958C1">
            <w:pPr>
              <w:pStyle w:val="In-tableHeading"/>
              <w:keepLines/>
              <w:jc w:val="center"/>
            </w:pPr>
            <w:r w:rsidRPr="00914C77">
              <w:t>Comment</w:t>
            </w:r>
          </w:p>
        </w:tc>
      </w:tr>
      <w:tr w:rsidR="004958C1" w14:paraId="7E0AD504" w14:textId="77777777" w:rsidTr="007E2C08">
        <w:trPr>
          <w:cantSplit/>
        </w:trPr>
        <w:tc>
          <w:tcPr>
            <w:tcW w:w="1917" w:type="dxa"/>
            <w:vAlign w:val="center"/>
          </w:tcPr>
          <w:p w14:paraId="5E74C279" w14:textId="77777777" w:rsidR="004958C1" w:rsidRPr="007E2C08" w:rsidRDefault="004958C1" w:rsidP="004958C1">
            <w:pPr>
              <w:pStyle w:val="TableText0"/>
              <w:keepLines/>
            </w:pPr>
            <w:r w:rsidRPr="007E2C08">
              <w:t xml:space="preserve">Estimated incident breast cancer patients </w:t>
            </w:r>
          </w:p>
        </w:tc>
        <w:tc>
          <w:tcPr>
            <w:tcW w:w="2189" w:type="dxa"/>
            <w:vAlign w:val="center"/>
          </w:tcPr>
          <w:p w14:paraId="4055963E" w14:textId="77777777" w:rsidR="004958C1" w:rsidRPr="007E2C08" w:rsidRDefault="004958C1" w:rsidP="004958C1">
            <w:pPr>
              <w:pStyle w:val="TableText0"/>
              <w:keepLines/>
            </w:pPr>
            <w:r w:rsidRPr="007E2C08">
              <w:t>Incidence of 0.0988%</w:t>
            </w:r>
          </w:p>
        </w:tc>
        <w:tc>
          <w:tcPr>
            <w:tcW w:w="2098" w:type="dxa"/>
            <w:vAlign w:val="center"/>
          </w:tcPr>
          <w:p w14:paraId="2E718CC9" w14:textId="77777777" w:rsidR="004958C1" w:rsidRPr="007E2C08" w:rsidRDefault="004958C1" w:rsidP="004958C1">
            <w:pPr>
              <w:pStyle w:val="TableText0"/>
              <w:keepLines/>
            </w:pPr>
            <w:r w:rsidRPr="007E2C08">
              <w:t xml:space="preserve">Cancer in Australia 2019, AIHW </w:t>
            </w:r>
          </w:p>
          <w:p w14:paraId="5532C0B4" w14:textId="77777777" w:rsidR="004958C1" w:rsidRPr="007E2C08" w:rsidRDefault="004958C1" w:rsidP="004958C1">
            <w:pPr>
              <w:pStyle w:val="TableText0"/>
              <w:keepLines/>
            </w:pPr>
            <w:r w:rsidRPr="007E2C08">
              <w:t>ABS population data</w:t>
            </w:r>
          </w:p>
        </w:tc>
        <w:tc>
          <w:tcPr>
            <w:tcW w:w="2891" w:type="dxa"/>
            <w:vAlign w:val="center"/>
          </w:tcPr>
          <w:p w14:paraId="17179063" w14:textId="77777777" w:rsidR="004958C1" w:rsidRPr="007E2C08" w:rsidRDefault="007E2C08" w:rsidP="007E2C08">
            <w:pPr>
              <w:pStyle w:val="TableText0"/>
              <w:keepLines/>
            </w:pPr>
            <w:r>
              <w:t>DUSC considered t</w:t>
            </w:r>
            <w:r w:rsidR="004958C1" w:rsidRPr="007E2C08">
              <w:t>his was reasonable.</w:t>
            </w:r>
          </w:p>
        </w:tc>
      </w:tr>
      <w:tr w:rsidR="004958C1" w14:paraId="5656EF8E" w14:textId="77777777" w:rsidTr="007E2C08">
        <w:trPr>
          <w:cantSplit/>
        </w:trPr>
        <w:tc>
          <w:tcPr>
            <w:tcW w:w="1917" w:type="dxa"/>
            <w:vAlign w:val="center"/>
          </w:tcPr>
          <w:p w14:paraId="009AFD5B" w14:textId="77777777" w:rsidR="004958C1" w:rsidRPr="007E2C08" w:rsidRDefault="004958C1" w:rsidP="004958C1">
            <w:pPr>
              <w:pStyle w:val="TableText0"/>
              <w:keepLines/>
            </w:pPr>
            <w:r w:rsidRPr="007E2C08">
              <w:t xml:space="preserve">Proportion of patients with TNBC </w:t>
            </w:r>
          </w:p>
        </w:tc>
        <w:tc>
          <w:tcPr>
            <w:tcW w:w="2189" w:type="dxa"/>
            <w:vAlign w:val="center"/>
          </w:tcPr>
          <w:p w14:paraId="54F64C1F" w14:textId="77777777" w:rsidR="004958C1" w:rsidRPr="007E2C08" w:rsidRDefault="004958C1" w:rsidP="004958C1">
            <w:pPr>
              <w:pStyle w:val="TableText0"/>
              <w:keepLines/>
            </w:pPr>
            <w:r w:rsidRPr="007E2C08">
              <w:t>17.0%</w:t>
            </w:r>
          </w:p>
        </w:tc>
        <w:tc>
          <w:tcPr>
            <w:tcW w:w="2098" w:type="dxa"/>
            <w:vAlign w:val="center"/>
          </w:tcPr>
          <w:p w14:paraId="07D326B8" w14:textId="77777777" w:rsidR="004958C1" w:rsidRPr="007E2C08" w:rsidRDefault="004958C1" w:rsidP="00E76685">
            <w:pPr>
              <w:pStyle w:val="TableText0"/>
              <w:keepLines/>
              <w:rPr>
                <w:vertAlign w:val="superscript"/>
              </w:rPr>
            </w:pPr>
            <w:r w:rsidRPr="007E2C08">
              <w:t>PICO for atezolizumab March 2020 co-dependent submission to PBAC/MSAC</w:t>
            </w:r>
          </w:p>
        </w:tc>
        <w:tc>
          <w:tcPr>
            <w:tcW w:w="2891" w:type="dxa"/>
            <w:vAlign w:val="center"/>
          </w:tcPr>
          <w:p w14:paraId="4A811D89" w14:textId="77777777" w:rsidR="004958C1" w:rsidRPr="007E2C08" w:rsidRDefault="004958C1" w:rsidP="00E76685">
            <w:pPr>
              <w:pStyle w:val="TableText0"/>
              <w:keepLines/>
            </w:pPr>
            <w:r w:rsidRPr="007E2C08">
              <w:t xml:space="preserve">Both the March 2020 atezolizumab submission for locally advanced or metastatic TNBC and the March 2021 resubmission assumed 15% sourced from the Cancer Council Australia. </w:t>
            </w:r>
          </w:p>
        </w:tc>
      </w:tr>
      <w:tr w:rsidR="004958C1" w14:paraId="7CDB1197" w14:textId="77777777" w:rsidTr="007E2C08">
        <w:trPr>
          <w:cantSplit/>
        </w:trPr>
        <w:tc>
          <w:tcPr>
            <w:tcW w:w="1917" w:type="dxa"/>
            <w:vAlign w:val="center"/>
          </w:tcPr>
          <w:p w14:paraId="6030EBCE" w14:textId="77777777" w:rsidR="004958C1" w:rsidRPr="007E2C08" w:rsidRDefault="004958C1" w:rsidP="004958C1">
            <w:pPr>
              <w:pStyle w:val="TableText0"/>
              <w:keepLines/>
            </w:pPr>
            <w:r w:rsidRPr="007E2C08">
              <w:t>Proportion progressed to unresectable locally advanced or metastatic</w:t>
            </w:r>
          </w:p>
          <w:p w14:paraId="4FD33A24" w14:textId="77777777" w:rsidR="004958C1" w:rsidRPr="007E2C08" w:rsidRDefault="004958C1" w:rsidP="004958C1">
            <w:pPr>
              <w:pStyle w:val="TableText0"/>
              <w:keepLines/>
            </w:pPr>
            <w:r w:rsidRPr="007E2C08">
              <w:t>plus de novo metastatic</w:t>
            </w:r>
          </w:p>
        </w:tc>
        <w:tc>
          <w:tcPr>
            <w:tcW w:w="2189" w:type="dxa"/>
            <w:vAlign w:val="center"/>
          </w:tcPr>
          <w:p w14:paraId="756A5E07" w14:textId="77777777" w:rsidR="004958C1" w:rsidRPr="007E2C08" w:rsidRDefault="004958C1" w:rsidP="004958C1">
            <w:pPr>
              <w:pStyle w:val="TableText0"/>
              <w:keepLines/>
            </w:pPr>
            <w:r w:rsidRPr="007E2C08">
              <w:t>42.8%</w:t>
            </w:r>
          </w:p>
          <w:p w14:paraId="0CA6226A" w14:textId="77777777" w:rsidR="004958C1" w:rsidRPr="007E2C08" w:rsidRDefault="004958C1" w:rsidP="004958C1">
            <w:pPr>
              <w:pStyle w:val="TableText0"/>
              <w:keepLines/>
            </w:pPr>
            <w:r w:rsidRPr="007E2C08">
              <w:t>This included:</w:t>
            </w:r>
          </w:p>
          <w:p w14:paraId="5C82F753" w14:textId="77777777" w:rsidR="004958C1" w:rsidRPr="007E2C08" w:rsidRDefault="004958C1" w:rsidP="004958C1">
            <w:pPr>
              <w:pStyle w:val="TableText0"/>
              <w:keepLines/>
              <w:numPr>
                <w:ilvl w:val="0"/>
                <w:numId w:val="4"/>
              </w:numPr>
              <w:ind w:left="93" w:hanging="142"/>
            </w:pPr>
            <w:r w:rsidRPr="007E2C08">
              <w:t>34.8% diagnosed with unresectable locally advanced or de novo metastatic TNBC.</w:t>
            </w:r>
          </w:p>
          <w:p w14:paraId="27571B8C" w14:textId="77777777" w:rsidR="004958C1" w:rsidRPr="007E2C08" w:rsidRDefault="004958C1" w:rsidP="004958C1">
            <w:pPr>
              <w:pStyle w:val="TableText0"/>
              <w:keepLines/>
              <w:numPr>
                <w:ilvl w:val="0"/>
                <w:numId w:val="4"/>
              </w:numPr>
              <w:ind w:left="93" w:hanging="142"/>
            </w:pPr>
            <w:r w:rsidRPr="007E2C08">
              <w:t>8% diagnosed with early TNBC who progress to metastatic TNBC.</w:t>
            </w:r>
          </w:p>
        </w:tc>
        <w:tc>
          <w:tcPr>
            <w:tcW w:w="2098" w:type="dxa"/>
            <w:vAlign w:val="center"/>
          </w:tcPr>
          <w:p w14:paraId="53C88F04" w14:textId="77777777" w:rsidR="004958C1" w:rsidRPr="007E2C08" w:rsidRDefault="004958C1" w:rsidP="004958C1">
            <w:pPr>
              <w:pStyle w:val="TableText0"/>
              <w:keepLines/>
            </w:pPr>
            <w:r w:rsidRPr="007E2C08">
              <w:t>Table 18, Atezolizumab PSD March 2020 PBAC meeting.</w:t>
            </w:r>
          </w:p>
        </w:tc>
        <w:tc>
          <w:tcPr>
            <w:tcW w:w="2891" w:type="dxa"/>
            <w:vAlign w:val="center"/>
          </w:tcPr>
          <w:p w14:paraId="50237F64" w14:textId="77777777" w:rsidR="004958C1" w:rsidRPr="007E2C08" w:rsidRDefault="00E76685" w:rsidP="00E76685">
            <w:pPr>
              <w:pStyle w:val="TableText0"/>
              <w:keepLines/>
            </w:pPr>
            <w:r>
              <w:t>DUSC considered that t</w:t>
            </w:r>
            <w:r w:rsidRPr="00E76685">
              <w:t>he estimate of the proportion of patients with TNBC who progress to unresectable locally advanced or metastatic disease was underestimated and that the recurrence rate should be applied to incident patients from the previous 10 years, assuming a constant survival rate.</w:t>
            </w:r>
          </w:p>
        </w:tc>
      </w:tr>
      <w:tr w:rsidR="004958C1" w14:paraId="29C9D35B" w14:textId="77777777" w:rsidTr="007E2C08">
        <w:trPr>
          <w:cantSplit/>
        </w:trPr>
        <w:tc>
          <w:tcPr>
            <w:tcW w:w="1917" w:type="dxa"/>
            <w:vAlign w:val="center"/>
          </w:tcPr>
          <w:p w14:paraId="7B3ECE21" w14:textId="77777777" w:rsidR="004958C1" w:rsidRPr="007E2C08" w:rsidRDefault="0043032C" w:rsidP="004958C1">
            <w:pPr>
              <w:pStyle w:val="TableText0"/>
              <w:keepLines/>
            </w:pPr>
            <w:r>
              <w:t>Received</w:t>
            </w:r>
            <w:r w:rsidR="004958C1" w:rsidRPr="007E2C08">
              <w:t xml:space="preserve"> at least 2 treatments (one in locally advanced or metastatic)</w:t>
            </w:r>
          </w:p>
        </w:tc>
        <w:tc>
          <w:tcPr>
            <w:tcW w:w="2189" w:type="dxa"/>
            <w:vAlign w:val="center"/>
          </w:tcPr>
          <w:p w14:paraId="3376C6FE" w14:textId="77777777" w:rsidR="004958C1" w:rsidRPr="007E2C08" w:rsidRDefault="004958C1" w:rsidP="004958C1">
            <w:pPr>
              <w:pStyle w:val="TableText0"/>
              <w:keepLines/>
            </w:pPr>
            <w:r w:rsidRPr="007E2C08">
              <w:t>75.0%</w:t>
            </w:r>
          </w:p>
        </w:tc>
        <w:tc>
          <w:tcPr>
            <w:tcW w:w="2098" w:type="dxa"/>
            <w:vAlign w:val="center"/>
          </w:tcPr>
          <w:p w14:paraId="6EBCD39D" w14:textId="77777777" w:rsidR="004958C1" w:rsidRPr="007E2C08" w:rsidRDefault="004958C1" w:rsidP="004958C1">
            <w:pPr>
              <w:pStyle w:val="TableText0"/>
              <w:keepLines/>
            </w:pPr>
            <w:r w:rsidRPr="007E2C08">
              <w:t>Local expert opinion</w:t>
            </w:r>
            <w:r w:rsidR="0063242C">
              <w:t xml:space="preserve"> from </w:t>
            </w:r>
            <w:r w:rsidR="0063242C" w:rsidRPr="007E2C08">
              <w:t>sponsor’s Advisory Board</w:t>
            </w:r>
          </w:p>
        </w:tc>
        <w:tc>
          <w:tcPr>
            <w:tcW w:w="2891" w:type="dxa"/>
            <w:vAlign w:val="center"/>
          </w:tcPr>
          <w:p w14:paraId="5D0F29F7" w14:textId="77777777" w:rsidR="004958C1" w:rsidRPr="007E2C08" w:rsidRDefault="00EE21D6" w:rsidP="004958C1">
            <w:pPr>
              <w:pStyle w:val="TableText0"/>
              <w:keepLines/>
            </w:pPr>
            <w:r>
              <w:t>-</w:t>
            </w:r>
          </w:p>
        </w:tc>
      </w:tr>
      <w:tr w:rsidR="004958C1" w14:paraId="62BED936" w14:textId="77777777" w:rsidTr="007E2C08">
        <w:trPr>
          <w:cantSplit/>
        </w:trPr>
        <w:tc>
          <w:tcPr>
            <w:tcW w:w="1917" w:type="dxa"/>
            <w:tcBorders>
              <w:bottom w:val="single" w:sz="4" w:space="0" w:color="auto"/>
            </w:tcBorders>
            <w:vAlign w:val="center"/>
          </w:tcPr>
          <w:p w14:paraId="3EBE0FBE" w14:textId="77777777" w:rsidR="004958C1" w:rsidRPr="007E2C08" w:rsidRDefault="004958C1" w:rsidP="004958C1">
            <w:pPr>
              <w:pStyle w:val="TableText0"/>
              <w:keepLines/>
            </w:pPr>
            <w:r w:rsidRPr="007E2C08">
              <w:t>Clinically appropriate for SG</w:t>
            </w:r>
          </w:p>
        </w:tc>
        <w:tc>
          <w:tcPr>
            <w:tcW w:w="2189" w:type="dxa"/>
            <w:tcBorders>
              <w:bottom w:val="single" w:sz="4" w:space="0" w:color="auto"/>
            </w:tcBorders>
            <w:vAlign w:val="center"/>
          </w:tcPr>
          <w:p w14:paraId="1C6EC305" w14:textId="77777777" w:rsidR="004958C1" w:rsidRPr="007E2C08" w:rsidRDefault="004958C1" w:rsidP="004958C1">
            <w:pPr>
              <w:pStyle w:val="TableText0"/>
              <w:keepLines/>
            </w:pPr>
            <w:r w:rsidRPr="007E2C08">
              <w:t>60.0%</w:t>
            </w:r>
          </w:p>
        </w:tc>
        <w:tc>
          <w:tcPr>
            <w:tcW w:w="2098" w:type="dxa"/>
            <w:tcBorders>
              <w:bottom w:val="single" w:sz="4" w:space="0" w:color="auto"/>
            </w:tcBorders>
            <w:vAlign w:val="center"/>
          </w:tcPr>
          <w:p w14:paraId="603C45DF" w14:textId="77777777" w:rsidR="004958C1" w:rsidRPr="007E2C08" w:rsidRDefault="004958C1" w:rsidP="004958C1">
            <w:pPr>
              <w:pStyle w:val="TableText0"/>
              <w:keepLines/>
            </w:pPr>
            <w:r w:rsidRPr="007E2C08">
              <w:t>Local expert opinion</w:t>
            </w:r>
            <w:r w:rsidR="0063242C">
              <w:t xml:space="preserve"> </w:t>
            </w:r>
            <w:r w:rsidR="0063242C" w:rsidRPr="007E2C08">
              <w:t>sponsor’s Advisory Board</w:t>
            </w:r>
          </w:p>
        </w:tc>
        <w:tc>
          <w:tcPr>
            <w:tcW w:w="2891" w:type="dxa"/>
            <w:tcBorders>
              <w:bottom w:val="single" w:sz="4" w:space="0" w:color="auto"/>
            </w:tcBorders>
            <w:vAlign w:val="center"/>
          </w:tcPr>
          <w:p w14:paraId="0351588D" w14:textId="77777777" w:rsidR="004958C1" w:rsidRPr="007E2C08" w:rsidRDefault="0063242C" w:rsidP="004958C1">
            <w:pPr>
              <w:pStyle w:val="TableText0"/>
              <w:keepLines/>
            </w:pPr>
            <w:r>
              <w:t>PBAC considered this was overestimated</w:t>
            </w:r>
            <w:r w:rsidR="00640D56">
              <w:t xml:space="preserve"> and 50% would be more reasonable</w:t>
            </w:r>
            <w:r>
              <w:t>.</w:t>
            </w:r>
          </w:p>
        </w:tc>
      </w:tr>
      <w:tr w:rsidR="004958C1" w14:paraId="2A36BE59" w14:textId="77777777" w:rsidTr="007E2C08">
        <w:trPr>
          <w:cantSplit/>
        </w:trPr>
        <w:tc>
          <w:tcPr>
            <w:tcW w:w="1917" w:type="dxa"/>
            <w:tcBorders>
              <w:right w:val="nil"/>
            </w:tcBorders>
            <w:vAlign w:val="center"/>
          </w:tcPr>
          <w:p w14:paraId="4E9FCB1B" w14:textId="77777777" w:rsidR="004958C1" w:rsidRPr="007E2C08" w:rsidRDefault="004958C1" w:rsidP="004958C1">
            <w:pPr>
              <w:pStyle w:val="TableText0"/>
              <w:keepLines/>
              <w:rPr>
                <w:b/>
              </w:rPr>
            </w:pPr>
            <w:r w:rsidRPr="007E2C08">
              <w:rPr>
                <w:b/>
              </w:rPr>
              <w:t>Treatment utilisation</w:t>
            </w:r>
          </w:p>
        </w:tc>
        <w:tc>
          <w:tcPr>
            <w:tcW w:w="2189" w:type="dxa"/>
            <w:tcBorders>
              <w:left w:val="nil"/>
              <w:right w:val="nil"/>
            </w:tcBorders>
            <w:vAlign w:val="center"/>
          </w:tcPr>
          <w:p w14:paraId="633F9729" w14:textId="77777777" w:rsidR="004958C1" w:rsidRPr="007E2C08" w:rsidRDefault="004958C1" w:rsidP="004958C1">
            <w:pPr>
              <w:pStyle w:val="TableText0"/>
              <w:keepLines/>
            </w:pPr>
          </w:p>
        </w:tc>
        <w:tc>
          <w:tcPr>
            <w:tcW w:w="2098" w:type="dxa"/>
            <w:tcBorders>
              <w:left w:val="nil"/>
              <w:right w:val="nil"/>
            </w:tcBorders>
            <w:vAlign w:val="center"/>
          </w:tcPr>
          <w:p w14:paraId="1996DD42" w14:textId="77777777" w:rsidR="004958C1" w:rsidRPr="007E2C08" w:rsidRDefault="004958C1" w:rsidP="004958C1">
            <w:pPr>
              <w:pStyle w:val="TableText0"/>
              <w:keepLines/>
            </w:pPr>
          </w:p>
        </w:tc>
        <w:tc>
          <w:tcPr>
            <w:tcW w:w="2891" w:type="dxa"/>
            <w:tcBorders>
              <w:left w:val="nil"/>
            </w:tcBorders>
            <w:vAlign w:val="center"/>
          </w:tcPr>
          <w:p w14:paraId="4BB2ECE4" w14:textId="77777777" w:rsidR="004958C1" w:rsidRPr="007E2C08" w:rsidRDefault="004958C1" w:rsidP="004958C1">
            <w:pPr>
              <w:pStyle w:val="TableText0"/>
              <w:keepLines/>
            </w:pPr>
          </w:p>
        </w:tc>
      </w:tr>
      <w:tr w:rsidR="004958C1" w14:paraId="4261CD37" w14:textId="77777777" w:rsidTr="007E2C08">
        <w:trPr>
          <w:cantSplit/>
        </w:trPr>
        <w:tc>
          <w:tcPr>
            <w:tcW w:w="1917" w:type="dxa"/>
            <w:vAlign w:val="center"/>
          </w:tcPr>
          <w:p w14:paraId="113115CE" w14:textId="77777777" w:rsidR="004958C1" w:rsidRPr="007E2C08" w:rsidRDefault="004958C1" w:rsidP="004958C1">
            <w:pPr>
              <w:pStyle w:val="TableText0"/>
              <w:keepLines/>
            </w:pPr>
            <w:r w:rsidRPr="007E2C08">
              <w:t>Uptake rate</w:t>
            </w:r>
          </w:p>
        </w:tc>
        <w:tc>
          <w:tcPr>
            <w:tcW w:w="2189" w:type="dxa"/>
            <w:vAlign w:val="center"/>
          </w:tcPr>
          <w:p w14:paraId="231E3F87" w14:textId="77777777" w:rsidR="004958C1" w:rsidRPr="007E2C08" w:rsidRDefault="004958C1" w:rsidP="00EE21D6">
            <w:pPr>
              <w:pStyle w:val="TableText0"/>
              <w:keepLines/>
            </w:pPr>
            <w:r w:rsidRPr="007E2C08">
              <w:t>80.0%</w:t>
            </w:r>
            <w:r w:rsidR="00EE21D6">
              <w:t xml:space="preserve"> in Year 1 increasing to 95% in Year 6. </w:t>
            </w:r>
          </w:p>
        </w:tc>
        <w:tc>
          <w:tcPr>
            <w:tcW w:w="2098" w:type="dxa"/>
            <w:vAlign w:val="center"/>
          </w:tcPr>
          <w:p w14:paraId="5A77E0A7" w14:textId="77777777" w:rsidR="004958C1" w:rsidRPr="007E2C08" w:rsidRDefault="004958C1" w:rsidP="004958C1">
            <w:pPr>
              <w:pStyle w:val="TableText0"/>
              <w:keepLines/>
            </w:pPr>
            <w:r w:rsidRPr="007E2C08">
              <w:t>Assumption</w:t>
            </w:r>
          </w:p>
        </w:tc>
        <w:tc>
          <w:tcPr>
            <w:tcW w:w="2891" w:type="dxa"/>
            <w:vAlign w:val="center"/>
          </w:tcPr>
          <w:p w14:paraId="43F252DD" w14:textId="77777777" w:rsidR="004958C1" w:rsidRPr="007E2C08" w:rsidRDefault="00EE21D6" w:rsidP="004958C1">
            <w:pPr>
              <w:pStyle w:val="TableText0"/>
              <w:keepLines/>
            </w:pPr>
            <w:r>
              <w:t>-</w:t>
            </w:r>
          </w:p>
        </w:tc>
      </w:tr>
      <w:tr w:rsidR="004958C1" w14:paraId="094ADAC9" w14:textId="77777777" w:rsidTr="007E2C08">
        <w:trPr>
          <w:cantSplit/>
        </w:trPr>
        <w:tc>
          <w:tcPr>
            <w:tcW w:w="1917" w:type="dxa"/>
            <w:vAlign w:val="center"/>
          </w:tcPr>
          <w:p w14:paraId="3D0A8428" w14:textId="77777777" w:rsidR="004958C1" w:rsidRDefault="004958C1" w:rsidP="004958C1">
            <w:pPr>
              <w:pStyle w:val="TableText0"/>
              <w:keepLines/>
            </w:pPr>
            <w:r>
              <w:t xml:space="preserve">Grandfathered patients </w:t>
            </w:r>
          </w:p>
        </w:tc>
        <w:tc>
          <w:tcPr>
            <w:tcW w:w="2189" w:type="dxa"/>
            <w:vAlign w:val="center"/>
          </w:tcPr>
          <w:p w14:paraId="577CCFD1" w14:textId="77777777" w:rsidR="004958C1" w:rsidRPr="0053443C" w:rsidRDefault="00730CE5" w:rsidP="004958C1">
            <w:pPr>
              <w:pStyle w:val="TableText0"/>
              <w:keepLines/>
            </w:pPr>
            <w:r>
              <w:rPr>
                <w:noProof/>
                <w:color w:val="000000"/>
                <w:highlight w:val="black"/>
              </w:rPr>
              <w:t>'''''''</w:t>
            </w:r>
            <w:r w:rsidR="0053443C" w:rsidRPr="0053443C">
              <w:rPr>
                <w:vertAlign w:val="superscript"/>
              </w:rPr>
              <w:t>1</w:t>
            </w:r>
          </w:p>
        </w:tc>
        <w:tc>
          <w:tcPr>
            <w:tcW w:w="2098" w:type="dxa"/>
            <w:vAlign w:val="center"/>
          </w:tcPr>
          <w:p w14:paraId="6A3D643B" w14:textId="77777777" w:rsidR="004958C1" w:rsidRPr="0063242C" w:rsidRDefault="004958C1" w:rsidP="004958C1">
            <w:pPr>
              <w:pStyle w:val="TableText0"/>
              <w:keepLines/>
            </w:pPr>
            <w:r w:rsidRPr="0063242C">
              <w:t>-</w:t>
            </w:r>
          </w:p>
        </w:tc>
        <w:tc>
          <w:tcPr>
            <w:tcW w:w="2891" w:type="dxa"/>
            <w:vAlign w:val="center"/>
          </w:tcPr>
          <w:p w14:paraId="503B2D6F" w14:textId="77777777" w:rsidR="004958C1" w:rsidRPr="0063242C" w:rsidRDefault="0063242C" w:rsidP="004958C1">
            <w:pPr>
              <w:pStyle w:val="TableText0"/>
              <w:keepLines/>
            </w:pPr>
            <w:r w:rsidRPr="0063242C">
              <w:rPr>
                <w:iCs/>
              </w:rPr>
              <w:t>DUSC considered these patients should already be counted in the epidemiological approach.</w:t>
            </w:r>
          </w:p>
        </w:tc>
      </w:tr>
    </w:tbl>
    <w:p w14:paraId="17B8143C" w14:textId="77777777" w:rsidR="007E2C08" w:rsidRDefault="007E2C08" w:rsidP="007E2C08">
      <w:pPr>
        <w:pStyle w:val="TableFooter"/>
      </w:pPr>
      <w:r>
        <w:t>Source: Compiled during the evaluation from information provided in Section 4 of the submission and the Excel workbook ‘Trodelvy PBAC Submission July 2021 UCM-Release-3-Workbook-v106 FINAL’.</w:t>
      </w:r>
    </w:p>
    <w:p w14:paraId="0BECF2A7" w14:textId="77777777" w:rsidR="007E2C08" w:rsidRDefault="007E2C08" w:rsidP="007E2C08">
      <w:pPr>
        <w:pStyle w:val="TableFooter"/>
      </w:pPr>
      <w:r>
        <w:t>ABS = Australian Bureau of Statistics; AIHW = Australian Institute of Health and Welfare; DUSC = Drug Utilisation Sub-Committee; PSD = Public Summary Document; SG = sacituzumab govitecan; TNBC = triple-negative breast cancer; TPC = treatment of physician's choice</w:t>
      </w:r>
    </w:p>
    <w:p w14:paraId="1C25B4A1" w14:textId="77777777" w:rsidR="000D4607" w:rsidRPr="000D4607" w:rsidRDefault="000D4607" w:rsidP="007E2C08">
      <w:pPr>
        <w:pStyle w:val="TableFooter"/>
        <w:rPr>
          <w:i/>
        </w:rPr>
      </w:pPr>
      <w:r w:rsidRPr="000D4607">
        <w:rPr>
          <w:i/>
        </w:rPr>
        <w:t>The redacted value</w:t>
      </w:r>
      <w:r w:rsidR="00730CE5">
        <w:rPr>
          <w:i/>
        </w:rPr>
        <w:t>s</w:t>
      </w:r>
      <w:r w:rsidRPr="000D4607">
        <w:rPr>
          <w:i/>
        </w:rPr>
        <w:t xml:space="preserve"> correspond to the following range:</w:t>
      </w:r>
    </w:p>
    <w:p w14:paraId="6D8F54A9" w14:textId="77777777" w:rsidR="000D4607" w:rsidRPr="000D4607" w:rsidRDefault="000D4607" w:rsidP="007E2C08">
      <w:pPr>
        <w:pStyle w:val="TableFooter"/>
        <w:rPr>
          <w:i/>
        </w:rPr>
      </w:pPr>
      <w:r w:rsidRPr="000D4607">
        <w:rPr>
          <w:i/>
          <w:vertAlign w:val="superscript"/>
        </w:rPr>
        <w:t>1</w:t>
      </w:r>
      <w:r w:rsidRPr="000D4607">
        <w:rPr>
          <w:i/>
        </w:rPr>
        <w:t xml:space="preserve"> &lt; 500</w:t>
      </w:r>
    </w:p>
    <w:p w14:paraId="2EAFBEDF" w14:textId="77777777" w:rsidR="007E2C08" w:rsidRPr="00457FD3" w:rsidRDefault="007E2C08" w:rsidP="007E2C08">
      <w:pPr>
        <w:pStyle w:val="TableFooter"/>
      </w:pPr>
    </w:p>
    <w:p w14:paraId="273A4502" w14:textId="77777777" w:rsidR="00B814D5" w:rsidRDefault="00B814D5" w:rsidP="00B814D5">
      <w:pPr>
        <w:pStyle w:val="3-BodyText"/>
      </w:pPr>
      <w:r>
        <w:t>DUSC consider</w:t>
      </w:r>
      <w:r w:rsidR="00972315">
        <w:t>ed that</w:t>
      </w:r>
      <w:r>
        <w:t xml:space="preserve"> the estimates </w:t>
      </w:r>
      <w:r w:rsidRPr="00AA5973">
        <w:t xml:space="preserve">presented in the submission </w:t>
      </w:r>
      <w:r w:rsidR="00B31645" w:rsidRPr="00AA5973">
        <w:t>were</w:t>
      </w:r>
      <w:r w:rsidRPr="00AA5973">
        <w:t xml:space="preserve"> underestimated. </w:t>
      </w:r>
      <w:r w:rsidR="00972315" w:rsidRPr="00AA5973">
        <w:t xml:space="preserve">DUSC </w:t>
      </w:r>
      <w:r w:rsidR="00B31645" w:rsidRPr="00AA5973">
        <w:t xml:space="preserve">considered </w:t>
      </w:r>
      <w:r w:rsidR="00972315" w:rsidRPr="00AA5973">
        <w:t xml:space="preserve">that </w:t>
      </w:r>
      <w:r w:rsidRPr="00AA5973">
        <w:t>issue</w:t>
      </w:r>
      <w:r>
        <w:t xml:space="preserve">s </w:t>
      </w:r>
      <w:r w:rsidR="00EE21D6">
        <w:t xml:space="preserve">with the financial estimates </w:t>
      </w:r>
      <w:r w:rsidR="007E2C08">
        <w:t>included</w:t>
      </w:r>
      <w:r>
        <w:t>:</w:t>
      </w:r>
    </w:p>
    <w:p w14:paraId="017628F5" w14:textId="77777777" w:rsidR="007E2C08" w:rsidRDefault="007E2C08" w:rsidP="007E2C08">
      <w:pPr>
        <w:pStyle w:val="3-BodyText"/>
        <w:numPr>
          <w:ilvl w:val="0"/>
          <w:numId w:val="4"/>
        </w:numPr>
      </w:pPr>
      <w:r w:rsidRPr="007E2C08">
        <w:t>The submission assumed that 17% of breast c</w:t>
      </w:r>
      <w:r>
        <w:t xml:space="preserve">ancer patients would have TNBC. </w:t>
      </w:r>
      <w:r w:rsidRPr="007E2C08">
        <w:t>DUSC considered 15% should be applied in line with the atezolizumab submissions</w:t>
      </w:r>
      <w:r>
        <w:t xml:space="preserve">.  </w:t>
      </w:r>
    </w:p>
    <w:p w14:paraId="2D0E0091" w14:textId="77777777" w:rsidR="00B814D5" w:rsidRDefault="00E76685" w:rsidP="00E76685">
      <w:pPr>
        <w:pStyle w:val="3-BodyText"/>
        <w:numPr>
          <w:ilvl w:val="0"/>
          <w:numId w:val="4"/>
        </w:numPr>
      </w:pPr>
      <w:r w:rsidRPr="00E76685">
        <w:lastRenderedPageBreak/>
        <w:t xml:space="preserve">The proportion of patients with TNBC who progress to unresectable locally advanced or metastatic disease, or have de-novo metastatic disease (42.8%) was sourced from the </w:t>
      </w:r>
      <w:r w:rsidR="008135D8">
        <w:t>Public Summary Document (</w:t>
      </w:r>
      <w:r w:rsidRPr="00E76685">
        <w:t>PSD</w:t>
      </w:r>
      <w:r w:rsidR="008135D8">
        <w:t>)</w:t>
      </w:r>
      <w:r w:rsidRPr="00E76685">
        <w:t xml:space="preserve"> for the March 2020 atezolizumab submission. Th</w:t>
      </w:r>
      <w:r>
        <w:t>is figure was based on the assumptions that</w:t>
      </w:r>
      <w:r w:rsidRPr="00E76685">
        <w:t>, of patients with TNBC, 34.8% would have been diagnosed with unresectable locally advanced or de novo metastatic TNBC, and 8% of prevalent patients diagnosed with early TNBC would progress to metastatic TNBC (paragraph 6.69, atezolizumab PSD, March 2020).</w:t>
      </w:r>
      <w:r>
        <w:t xml:space="preserve"> DUSC previously considered the assumption of 8% recurrence was underestimated (para 6.69, atezolizumab PSD, March 2020 PBAC meeting) and suggested that 20% was a more reasonable estimate of 10 year distant recurrence for TNBC, based on published literature (para 6.55, atezolizumab PSD, March 2021 PBAC meeting).</w:t>
      </w:r>
      <w:r w:rsidRPr="00E76685">
        <w:t xml:space="preserve"> DUSC considered that the SG </w:t>
      </w:r>
      <w:r w:rsidR="00B814D5">
        <w:t>estimate of the proportion of patients with TNBC who progress to unresectable locally advanced or metastatic disease was underestimated and that the recurrence rate should be applied to incident patients from the previous 10 years, assuming a constant survival rate.</w:t>
      </w:r>
      <w:r w:rsidR="00424229">
        <w:t xml:space="preserve"> It is noted that a 10-year survival rate of 44% for TNBC patients was used in the atezolizumab March 2021 submission, based on Lin 2012 (para 6.55, atezolizumab PSD, March 2021 PBAC meeting).</w:t>
      </w:r>
    </w:p>
    <w:p w14:paraId="0D38920C" w14:textId="77777777" w:rsidR="00B814D5" w:rsidRDefault="00B814D5" w:rsidP="00175444">
      <w:pPr>
        <w:pStyle w:val="3-BodyText"/>
        <w:numPr>
          <w:ilvl w:val="0"/>
          <w:numId w:val="4"/>
        </w:numPr>
      </w:pPr>
      <w:r>
        <w:t xml:space="preserve">The duration of </w:t>
      </w:r>
      <w:r w:rsidR="00640D56">
        <w:t xml:space="preserve">SG </w:t>
      </w:r>
      <w:r>
        <w:t>treatment used in the financial estimates was inconsistent with the economic model. The</w:t>
      </w:r>
      <w:r w:rsidR="00640D56">
        <w:t xml:space="preserve"> financial estimates</w:t>
      </w:r>
      <w:r>
        <w:t xml:space="preserve"> use</w:t>
      </w:r>
      <w:r w:rsidR="00640D56">
        <w:t>d</w:t>
      </w:r>
      <w:r>
        <w:t xml:space="preserve"> the truncated mean duration of treatment from the SG arm of the ASCENT trial</w:t>
      </w:r>
      <w:r w:rsidR="00640D56">
        <w:t>, which</w:t>
      </w:r>
      <w:r>
        <w:t xml:space="preserve"> underestimated the mean treatment duration and, consequently, the average cost per patient per course for SG.</w:t>
      </w:r>
      <w:r w:rsidR="00175444">
        <w:t xml:space="preserve"> </w:t>
      </w:r>
      <w:r w:rsidR="00175444" w:rsidRPr="00175444">
        <w:t xml:space="preserve">DUSC considered this estimate should be consistent with </w:t>
      </w:r>
      <w:r w:rsidR="00640D56">
        <w:t>the economic model</w:t>
      </w:r>
      <w:r w:rsidR="00175444">
        <w:t xml:space="preserve"> (i.e. that the mean duration of treatment should be 6.58 months rather than 5.77 months).</w:t>
      </w:r>
    </w:p>
    <w:p w14:paraId="4E478D65" w14:textId="77777777" w:rsidR="00EE21D6" w:rsidRPr="00EE21D6" w:rsidRDefault="00EE21D6" w:rsidP="00EE21D6">
      <w:pPr>
        <w:pStyle w:val="ListParagraph"/>
        <w:numPr>
          <w:ilvl w:val="0"/>
          <w:numId w:val="4"/>
        </w:numPr>
      </w:pPr>
      <w:r w:rsidRPr="00EE21D6">
        <w:t>Increases in medicines for adverse drug reactions should be included in the cost estimate.</w:t>
      </w:r>
    </w:p>
    <w:p w14:paraId="2A083246" w14:textId="77777777" w:rsidR="00EE21D6" w:rsidRDefault="00EE21D6" w:rsidP="001C6A61">
      <w:pPr>
        <w:pStyle w:val="3-BodyText"/>
        <w:numPr>
          <w:ilvl w:val="0"/>
          <w:numId w:val="4"/>
        </w:numPr>
      </w:pPr>
      <w:r w:rsidRPr="00EE21D6">
        <w:t xml:space="preserve">The submission assumed that SG would be used in place of the four treatments of physician’s choice used in ASCENT. DUSC commented that it is likely that SG will displace rather than replace current therapies, and considered it likely that the cost offsets </w:t>
      </w:r>
      <w:r>
        <w:t>we</w:t>
      </w:r>
      <w:r w:rsidRPr="00EE21D6">
        <w:t>re overestimated.</w:t>
      </w:r>
    </w:p>
    <w:p w14:paraId="177D69AB" w14:textId="77777777" w:rsidR="00D8392D" w:rsidRDefault="00D8392D" w:rsidP="00D8392D">
      <w:pPr>
        <w:pStyle w:val="3-BodyText"/>
        <w:numPr>
          <w:ilvl w:val="0"/>
          <w:numId w:val="4"/>
        </w:numPr>
      </w:pPr>
      <w:r w:rsidRPr="00D8392D">
        <w:t xml:space="preserve">The submission </w:t>
      </w:r>
      <w:r>
        <w:t>include</w:t>
      </w:r>
      <w:r w:rsidRPr="00D8392D">
        <w:t xml:space="preserve">d an additional </w:t>
      </w:r>
      <w:r w:rsidR="00A356C2">
        <w:t>&lt; 500</w:t>
      </w:r>
      <w:r w:rsidR="0053443C">
        <w:t xml:space="preserve"> </w:t>
      </w:r>
      <w:r w:rsidRPr="00D8392D">
        <w:t>grandfathered patients. DUSC considered these patients should already be counted in the epidemiological approach, but noted the number is relatively small.</w:t>
      </w:r>
    </w:p>
    <w:p w14:paraId="414B8E7A" w14:textId="77777777" w:rsidR="00175444" w:rsidRDefault="00175444" w:rsidP="00175444">
      <w:pPr>
        <w:pStyle w:val="3-BodyText"/>
      </w:pPr>
      <w:r>
        <w:t>The submission assumed a treatment compli</w:t>
      </w:r>
      <w:r w:rsidR="0063242C">
        <w:t xml:space="preserve">ance/dose intensity </w:t>
      </w:r>
      <w:r>
        <w:t>of 100% in the financial estimates, while 94.2% was used for the SG arm in the economic model. The PBAC</w:t>
      </w:r>
      <w:r w:rsidR="00D8392D">
        <w:t xml:space="preserve"> con</w:t>
      </w:r>
      <w:r w:rsidR="00640D56">
        <w:t>si</w:t>
      </w:r>
      <w:r w:rsidR="00D8392D">
        <w:t>dered that this parameter should be consistent between the economic and financial estimates. As noted in Section 7, the PBAC considered that a dose intensity of 70% to 80% may be reasonable.</w:t>
      </w:r>
    </w:p>
    <w:p w14:paraId="0AA5B17F" w14:textId="77777777" w:rsidR="00B720BE" w:rsidRPr="00457FD3" w:rsidRDefault="000A7693" w:rsidP="00A173AE">
      <w:pPr>
        <w:pStyle w:val="3-BodyText"/>
      </w:pPr>
      <w:r w:rsidRPr="00457FD3">
        <w:t xml:space="preserve">The financial </w:t>
      </w:r>
      <w:r w:rsidR="0063242C">
        <w:t xml:space="preserve">impact, as </w:t>
      </w:r>
      <w:r w:rsidRPr="00457FD3">
        <w:t>estimate</w:t>
      </w:r>
      <w:r w:rsidR="0063242C">
        <w:t>d in the submission,</w:t>
      </w:r>
      <w:r w:rsidRPr="00457FD3">
        <w:t xml:space="preserve"> are outlined in </w:t>
      </w:r>
      <w:r w:rsidR="00371C49" w:rsidRPr="00457FD3">
        <w:t>Table 1</w:t>
      </w:r>
      <w:r w:rsidR="002367C0">
        <w:t>6</w:t>
      </w:r>
      <w:r w:rsidRPr="00457FD3">
        <w:t>.</w:t>
      </w:r>
    </w:p>
    <w:p w14:paraId="1196FA14" w14:textId="77777777" w:rsidR="00371C49" w:rsidRPr="00457FD3" w:rsidRDefault="00371C49" w:rsidP="00371C49">
      <w:pPr>
        <w:pStyle w:val="TableFigureHeading"/>
      </w:pPr>
      <w:bookmarkStart w:id="6" w:name="_Ref80880073"/>
      <w:r w:rsidRPr="00457FD3">
        <w:lastRenderedPageBreak/>
        <w:t xml:space="preserve">Table </w:t>
      </w:r>
      <w:bookmarkEnd w:id="6"/>
      <w:r w:rsidR="002367C0">
        <w:t>16</w:t>
      </w:r>
      <w:r w:rsidRPr="00457FD3">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371C49" w:rsidRPr="00457FD3" w14:paraId="787A8261" w14:textId="77777777" w:rsidTr="0035347F">
        <w:trPr>
          <w:tblHeader/>
        </w:trPr>
        <w:tc>
          <w:tcPr>
            <w:tcW w:w="1116" w:type="pct"/>
            <w:shd w:val="clear" w:color="auto" w:fill="auto"/>
            <w:vAlign w:val="center"/>
          </w:tcPr>
          <w:p w14:paraId="680499CB" w14:textId="77777777" w:rsidR="00371C49" w:rsidRPr="00457FD3" w:rsidRDefault="00371C49" w:rsidP="0035347F">
            <w:pPr>
              <w:pStyle w:val="In-tableHeading"/>
              <w:jc w:val="center"/>
            </w:pPr>
          </w:p>
        </w:tc>
        <w:tc>
          <w:tcPr>
            <w:tcW w:w="647" w:type="pct"/>
            <w:shd w:val="clear" w:color="auto" w:fill="auto"/>
            <w:vAlign w:val="center"/>
          </w:tcPr>
          <w:p w14:paraId="138CFA5C" w14:textId="77777777" w:rsidR="00371C49" w:rsidRPr="00457FD3" w:rsidRDefault="00371C49" w:rsidP="0035347F">
            <w:pPr>
              <w:pStyle w:val="In-tableHeading"/>
              <w:jc w:val="center"/>
            </w:pPr>
            <w:r w:rsidRPr="00457FD3">
              <w:t>Year 1</w:t>
            </w:r>
          </w:p>
        </w:tc>
        <w:tc>
          <w:tcPr>
            <w:tcW w:w="647" w:type="pct"/>
            <w:shd w:val="clear" w:color="auto" w:fill="auto"/>
            <w:vAlign w:val="center"/>
          </w:tcPr>
          <w:p w14:paraId="226D4755" w14:textId="77777777" w:rsidR="00371C49" w:rsidRPr="00457FD3" w:rsidRDefault="00371C49" w:rsidP="0035347F">
            <w:pPr>
              <w:pStyle w:val="In-tableHeading"/>
              <w:jc w:val="center"/>
            </w:pPr>
            <w:r w:rsidRPr="00457FD3">
              <w:t>Year 2</w:t>
            </w:r>
          </w:p>
        </w:tc>
        <w:tc>
          <w:tcPr>
            <w:tcW w:w="647" w:type="pct"/>
            <w:shd w:val="clear" w:color="auto" w:fill="auto"/>
            <w:vAlign w:val="center"/>
          </w:tcPr>
          <w:p w14:paraId="55564C4A" w14:textId="77777777" w:rsidR="00371C49" w:rsidRPr="00457FD3" w:rsidRDefault="00371C49" w:rsidP="0035347F">
            <w:pPr>
              <w:pStyle w:val="In-tableHeading"/>
              <w:jc w:val="center"/>
            </w:pPr>
            <w:r w:rsidRPr="00457FD3">
              <w:t>Year 3</w:t>
            </w:r>
          </w:p>
        </w:tc>
        <w:tc>
          <w:tcPr>
            <w:tcW w:w="647" w:type="pct"/>
            <w:shd w:val="clear" w:color="auto" w:fill="auto"/>
            <w:vAlign w:val="center"/>
          </w:tcPr>
          <w:p w14:paraId="6AB98680" w14:textId="77777777" w:rsidR="00371C49" w:rsidRPr="00457FD3" w:rsidRDefault="00371C49" w:rsidP="0035347F">
            <w:pPr>
              <w:pStyle w:val="In-tableHeading"/>
              <w:jc w:val="center"/>
            </w:pPr>
            <w:r w:rsidRPr="00457FD3">
              <w:t>Year 4</w:t>
            </w:r>
          </w:p>
        </w:tc>
        <w:tc>
          <w:tcPr>
            <w:tcW w:w="647" w:type="pct"/>
            <w:shd w:val="clear" w:color="auto" w:fill="auto"/>
            <w:vAlign w:val="center"/>
          </w:tcPr>
          <w:p w14:paraId="6A69D19C" w14:textId="77777777" w:rsidR="00371C49" w:rsidRPr="00457FD3" w:rsidRDefault="00371C49" w:rsidP="0035347F">
            <w:pPr>
              <w:pStyle w:val="In-tableHeading"/>
              <w:jc w:val="center"/>
            </w:pPr>
            <w:r w:rsidRPr="00457FD3">
              <w:t>Year 5</w:t>
            </w:r>
          </w:p>
        </w:tc>
        <w:tc>
          <w:tcPr>
            <w:tcW w:w="649" w:type="pct"/>
          </w:tcPr>
          <w:p w14:paraId="789B4A33" w14:textId="77777777" w:rsidR="00371C49" w:rsidRPr="00457FD3" w:rsidRDefault="00371C49" w:rsidP="0035347F">
            <w:pPr>
              <w:pStyle w:val="In-tableHeading"/>
              <w:jc w:val="center"/>
            </w:pPr>
            <w:r w:rsidRPr="00457FD3">
              <w:t>Year 6</w:t>
            </w:r>
          </w:p>
        </w:tc>
      </w:tr>
      <w:tr w:rsidR="00371C49" w:rsidRPr="00457FD3" w14:paraId="141446FD" w14:textId="77777777" w:rsidTr="0035347F">
        <w:tc>
          <w:tcPr>
            <w:tcW w:w="5000" w:type="pct"/>
            <w:gridSpan w:val="7"/>
            <w:shd w:val="clear" w:color="auto" w:fill="auto"/>
            <w:vAlign w:val="center"/>
          </w:tcPr>
          <w:p w14:paraId="0EE8CD2F" w14:textId="77777777" w:rsidR="00371C49" w:rsidRPr="00457FD3" w:rsidRDefault="00371C49" w:rsidP="0035347F">
            <w:pPr>
              <w:pStyle w:val="In-tableHeading"/>
              <w:rPr>
                <w:bCs/>
              </w:rPr>
            </w:pPr>
            <w:r w:rsidRPr="00457FD3">
              <w:rPr>
                <w:bCs/>
              </w:rPr>
              <w:t>Estimated extent of use</w:t>
            </w:r>
          </w:p>
        </w:tc>
      </w:tr>
      <w:tr w:rsidR="00371C49" w:rsidRPr="00457FD3" w14:paraId="053518FA" w14:textId="77777777" w:rsidTr="0035347F">
        <w:tc>
          <w:tcPr>
            <w:tcW w:w="1116" w:type="pct"/>
            <w:shd w:val="clear" w:color="auto" w:fill="auto"/>
            <w:vAlign w:val="center"/>
          </w:tcPr>
          <w:p w14:paraId="68F41340" w14:textId="77777777" w:rsidR="00371C49" w:rsidRPr="00457FD3" w:rsidRDefault="00371C49" w:rsidP="0035347F">
            <w:pPr>
              <w:pStyle w:val="TableText0"/>
              <w:rPr>
                <w:rFonts w:ascii="Times" w:hAnsi="Times"/>
              </w:rPr>
            </w:pPr>
            <w:r w:rsidRPr="00457FD3">
              <w:t>Number of patients treated</w:t>
            </w:r>
          </w:p>
        </w:tc>
        <w:tc>
          <w:tcPr>
            <w:tcW w:w="647" w:type="pct"/>
            <w:shd w:val="clear" w:color="auto" w:fill="auto"/>
            <w:vAlign w:val="center"/>
          </w:tcPr>
          <w:p w14:paraId="7693790E" w14:textId="77777777" w:rsidR="00371C49" w:rsidRPr="00457FD3" w:rsidRDefault="00730CE5" w:rsidP="0035347F">
            <w:pPr>
              <w:pStyle w:val="TableText0"/>
              <w:jc w:val="center"/>
            </w:pPr>
            <w:r>
              <w:rPr>
                <w:noProof/>
                <w:color w:val="000000"/>
                <w:highlight w:val="black"/>
              </w:rPr>
              <w:t>''''''''</w:t>
            </w:r>
            <w:r w:rsidR="00371C49" w:rsidRPr="00457FD3">
              <w:rPr>
                <w:vertAlign w:val="superscript"/>
              </w:rPr>
              <w:t>f</w:t>
            </w:r>
            <w:r w:rsidR="00AD5A25">
              <w:rPr>
                <w:vertAlign w:val="superscript"/>
              </w:rPr>
              <w:t>, 1</w:t>
            </w:r>
          </w:p>
        </w:tc>
        <w:tc>
          <w:tcPr>
            <w:tcW w:w="647" w:type="pct"/>
            <w:shd w:val="clear" w:color="auto" w:fill="auto"/>
            <w:vAlign w:val="center"/>
          </w:tcPr>
          <w:p w14:paraId="12980321" w14:textId="77777777" w:rsidR="00371C49" w:rsidRPr="00730CE5" w:rsidRDefault="00730CE5" w:rsidP="0035347F">
            <w:pPr>
              <w:pStyle w:val="TableText0"/>
              <w:jc w:val="center"/>
            </w:pPr>
            <w:r>
              <w:rPr>
                <w:noProof/>
                <w:color w:val="000000"/>
                <w:highlight w:val="black"/>
              </w:rPr>
              <w:t>'''''''''</w:t>
            </w:r>
            <w:r w:rsidR="00AD5A25">
              <w:rPr>
                <w:vertAlign w:val="superscript"/>
              </w:rPr>
              <w:t>1</w:t>
            </w:r>
          </w:p>
        </w:tc>
        <w:tc>
          <w:tcPr>
            <w:tcW w:w="647" w:type="pct"/>
            <w:shd w:val="clear" w:color="auto" w:fill="auto"/>
            <w:vAlign w:val="center"/>
          </w:tcPr>
          <w:p w14:paraId="6CBCB1F9" w14:textId="77777777" w:rsidR="00371C49" w:rsidRPr="00730CE5" w:rsidRDefault="00730CE5" w:rsidP="0035347F">
            <w:pPr>
              <w:pStyle w:val="TableText0"/>
              <w:jc w:val="center"/>
            </w:pPr>
            <w:r>
              <w:rPr>
                <w:noProof/>
                <w:color w:val="000000"/>
                <w:highlight w:val="black"/>
              </w:rPr>
              <w:t>'''''''''</w:t>
            </w:r>
            <w:r w:rsidR="00AD5A25">
              <w:rPr>
                <w:vertAlign w:val="superscript"/>
              </w:rPr>
              <w:t>1</w:t>
            </w:r>
          </w:p>
        </w:tc>
        <w:tc>
          <w:tcPr>
            <w:tcW w:w="647" w:type="pct"/>
            <w:shd w:val="clear" w:color="auto" w:fill="auto"/>
            <w:vAlign w:val="center"/>
          </w:tcPr>
          <w:p w14:paraId="1E048503" w14:textId="77777777" w:rsidR="00371C49" w:rsidRPr="00730CE5" w:rsidRDefault="00730CE5" w:rsidP="0035347F">
            <w:pPr>
              <w:pStyle w:val="TableText0"/>
              <w:jc w:val="center"/>
            </w:pPr>
            <w:r>
              <w:rPr>
                <w:noProof/>
                <w:color w:val="000000"/>
                <w:highlight w:val="black"/>
              </w:rPr>
              <w:t>'''''''''</w:t>
            </w:r>
            <w:r w:rsidR="00AD5A25">
              <w:rPr>
                <w:vertAlign w:val="superscript"/>
              </w:rPr>
              <w:t>1</w:t>
            </w:r>
          </w:p>
        </w:tc>
        <w:tc>
          <w:tcPr>
            <w:tcW w:w="647" w:type="pct"/>
            <w:shd w:val="clear" w:color="auto" w:fill="auto"/>
            <w:vAlign w:val="center"/>
          </w:tcPr>
          <w:p w14:paraId="2E6F78C4" w14:textId="77777777" w:rsidR="00371C49" w:rsidRPr="00730CE5" w:rsidRDefault="00730CE5" w:rsidP="0035347F">
            <w:pPr>
              <w:pStyle w:val="TableText0"/>
              <w:jc w:val="center"/>
            </w:pPr>
            <w:r>
              <w:rPr>
                <w:noProof/>
                <w:color w:val="000000"/>
                <w:highlight w:val="black"/>
              </w:rPr>
              <w:t>'''''''''</w:t>
            </w:r>
            <w:r w:rsidR="00AD5A25">
              <w:rPr>
                <w:vertAlign w:val="superscript"/>
              </w:rPr>
              <w:t>1</w:t>
            </w:r>
          </w:p>
        </w:tc>
        <w:tc>
          <w:tcPr>
            <w:tcW w:w="649" w:type="pct"/>
            <w:vAlign w:val="center"/>
          </w:tcPr>
          <w:p w14:paraId="0578C548" w14:textId="77777777" w:rsidR="00371C49" w:rsidRPr="00730CE5" w:rsidRDefault="00730CE5" w:rsidP="0035347F">
            <w:pPr>
              <w:pStyle w:val="TableText0"/>
              <w:jc w:val="center"/>
            </w:pPr>
            <w:r>
              <w:rPr>
                <w:noProof/>
                <w:color w:val="000000"/>
                <w:highlight w:val="black"/>
              </w:rPr>
              <w:t>''''''''</w:t>
            </w:r>
            <w:r w:rsidR="00AD5A25">
              <w:rPr>
                <w:vertAlign w:val="superscript"/>
              </w:rPr>
              <w:t>1</w:t>
            </w:r>
          </w:p>
        </w:tc>
      </w:tr>
      <w:tr w:rsidR="00371C49" w:rsidRPr="00457FD3" w14:paraId="4F278868" w14:textId="77777777" w:rsidTr="0035347F">
        <w:tc>
          <w:tcPr>
            <w:tcW w:w="1116" w:type="pct"/>
            <w:shd w:val="clear" w:color="auto" w:fill="auto"/>
            <w:vAlign w:val="center"/>
          </w:tcPr>
          <w:p w14:paraId="610BDCAD" w14:textId="77777777" w:rsidR="00371C49" w:rsidRPr="00457FD3" w:rsidRDefault="00371C49" w:rsidP="0035347F">
            <w:pPr>
              <w:pStyle w:val="TableText0"/>
              <w:rPr>
                <w:rFonts w:ascii="Times" w:hAnsi="Times"/>
              </w:rPr>
            </w:pPr>
            <w:r w:rsidRPr="00457FD3">
              <w:t>Number of scripts dispensed - SG</w:t>
            </w:r>
            <w:r w:rsidRPr="00457FD3">
              <w:rPr>
                <w:vertAlign w:val="superscript"/>
              </w:rPr>
              <w:t>a</w:t>
            </w:r>
          </w:p>
        </w:tc>
        <w:tc>
          <w:tcPr>
            <w:tcW w:w="647" w:type="pct"/>
            <w:shd w:val="clear" w:color="auto" w:fill="auto"/>
            <w:vAlign w:val="center"/>
          </w:tcPr>
          <w:p w14:paraId="1F1DB8FC" w14:textId="77777777" w:rsidR="00371C49" w:rsidRPr="00457FD3" w:rsidRDefault="00730CE5" w:rsidP="0035347F">
            <w:pPr>
              <w:pStyle w:val="TableText0"/>
              <w:jc w:val="center"/>
            </w:pPr>
            <w:r>
              <w:rPr>
                <w:noProof/>
                <w:color w:val="000000"/>
                <w:highlight w:val="black"/>
              </w:rPr>
              <w:t>'''''''''''''</w:t>
            </w:r>
            <w:r w:rsidR="00AD5A25">
              <w:rPr>
                <w:vertAlign w:val="superscript"/>
              </w:rPr>
              <w:t>2</w:t>
            </w:r>
          </w:p>
        </w:tc>
        <w:tc>
          <w:tcPr>
            <w:tcW w:w="647" w:type="pct"/>
            <w:shd w:val="clear" w:color="auto" w:fill="auto"/>
            <w:vAlign w:val="center"/>
          </w:tcPr>
          <w:p w14:paraId="524E50BF" w14:textId="77777777" w:rsidR="00371C49" w:rsidRPr="00730CE5" w:rsidRDefault="00730CE5" w:rsidP="0035347F">
            <w:pPr>
              <w:pStyle w:val="TableText0"/>
              <w:jc w:val="center"/>
            </w:pPr>
            <w:r>
              <w:rPr>
                <w:noProof/>
                <w:color w:val="000000"/>
                <w:highlight w:val="black"/>
              </w:rPr>
              <w:t>'''''''''''''</w:t>
            </w:r>
            <w:r w:rsidR="00AD5A25">
              <w:rPr>
                <w:vertAlign w:val="superscript"/>
              </w:rPr>
              <w:t>2</w:t>
            </w:r>
          </w:p>
        </w:tc>
        <w:tc>
          <w:tcPr>
            <w:tcW w:w="647" w:type="pct"/>
            <w:shd w:val="clear" w:color="auto" w:fill="auto"/>
            <w:vAlign w:val="center"/>
          </w:tcPr>
          <w:p w14:paraId="217C87E1" w14:textId="77777777" w:rsidR="00371C49" w:rsidRPr="00730CE5" w:rsidRDefault="00730CE5" w:rsidP="0035347F">
            <w:pPr>
              <w:pStyle w:val="TableText0"/>
              <w:jc w:val="center"/>
            </w:pPr>
            <w:r>
              <w:rPr>
                <w:noProof/>
                <w:color w:val="000000"/>
                <w:highlight w:val="black"/>
              </w:rPr>
              <w:t>'''''''''''''''</w:t>
            </w:r>
            <w:r w:rsidR="00AD5A25">
              <w:rPr>
                <w:vertAlign w:val="superscript"/>
              </w:rPr>
              <w:t>3</w:t>
            </w:r>
          </w:p>
        </w:tc>
        <w:tc>
          <w:tcPr>
            <w:tcW w:w="647" w:type="pct"/>
            <w:shd w:val="clear" w:color="auto" w:fill="auto"/>
            <w:vAlign w:val="center"/>
          </w:tcPr>
          <w:p w14:paraId="41758A12" w14:textId="77777777" w:rsidR="00371C49" w:rsidRPr="00730CE5" w:rsidRDefault="00730CE5" w:rsidP="0035347F">
            <w:pPr>
              <w:pStyle w:val="TableText0"/>
              <w:jc w:val="center"/>
            </w:pPr>
            <w:r>
              <w:rPr>
                <w:noProof/>
                <w:color w:val="000000"/>
                <w:highlight w:val="black"/>
              </w:rPr>
              <w:t>'''''''''''''''''</w:t>
            </w:r>
            <w:r w:rsidR="00AD5A25">
              <w:rPr>
                <w:vertAlign w:val="superscript"/>
              </w:rPr>
              <w:t>3</w:t>
            </w:r>
          </w:p>
        </w:tc>
        <w:tc>
          <w:tcPr>
            <w:tcW w:w="647" w:type="pct"/>
            <w:shd w:val="clear" w:color="auto" w:fill="auto"/>
            <w:vAlign w:val="center"/>
          </w:tcPr>
          <w:p w14:paraId="553EAB61" w14:textId="77777777" w:rsidR="00371C49" w:rsidRPr="00730CE5" w:rsidRDefault="00730CE5" w:rsidP="0035347F">
            <w:pPr>
              <w:pStyle w:val="TableText0"/>
              <w:jc w:val="center"/>
            </w:pPr>
            <w:r>
              <w:rPr>
                <w:noProof/>
                <w:color w:val="000000"/>
                <w:highlight w:val="black"/>
              </w:rPr>
              <w:t>''''''''''''''''</w:t>
            </w:r>
            <w:r w:rsidR="00AD5A25">
              <w:rPr>
                <w:vertAlign w:val="superscript"/>
              </w:rPr>
              <w:t>3</w:t>
            </w:r>
          </w:p>
        </w:tc>
        <w:tc>
          <w:tcPr>
            <w:tcW w:w="649" w:type="pct"/>
            <w:vAlign w:val="center"/>
          </w:tcPr>
          <w:p w14:paraId="60419615" w14:textId="77777777" w:rsidR="00371C49" w:rsidRPr="00730CE5" w:rsidRDefault="00730CE5" w:rsidP="0035347F">
            <w:pPr>
              <w:pStyle w:val="TableText0"/>
              <w:jc w:val="center"/>
            </w:pPr>
            <w:r>
              <w:rPr>
                <w:noProof/>
                <w:color w:val="000000"/>
                <w:highlight w:val="black"/>
              </w:rPr>
              <w:t>'''''''''''''''</w:t>
            </w:r>
            <w:r w:rsidR="00AD5A25">
              <w:rPr>
                <w:vertAlign w:val="superscript"/>
              </w:rPr>
              <w:t>3</w:t>
            </w:r>
          </w:p>
        </w:tc>
      </w:tr>
      <w:tr w:rsidR="00371C49" w:rsidRPr="00457FD3" w14:paraId="7C280C20" w14:textId="77777777" w:rsidTr="0035347F">
        <w:tc>
          <w:tcPr>
            <w:tcW w:w="5000" w:type="pct"/>
            <w:gridSpan w:val="7"/>
            <w:shd w:val="clear" w:color="auto" w:fill="auto"/>
            <w:vAlign w:val="center"/>
          </w:tcPr>
          <w:p w14:paraId="3AA8E362" w14:textId="77777777" w:rsidR="00371C49" w:rsidRPr="00457FD3" w:rsidRDefault="00371C49" w:rsidP="0035347F">
            <w:pPr>
              <w:pStyle w:val="In-tableHeading"/>
            </w:pPr>
            <w:r w:rsidRPr="00457FD3">
              <w:t>Estimated financial implications of SG</w:t>
            </w:r>
          </w:p>
        </w:tc>
      </w:tr>
      <w:tr w:rsidR="00371C49" w:rsidRPr="00457FD3" w14:paraId="68A0EC42" w14:textId="77777777" w:rsidTr="0035347F">
        <w:tc>
          <w:tcPr>
            <w:tcW w:w="1116" w:type="pct"/>
            <w:shd w:val="clear" w:color="auto" w:fill="auto"/>
            <w:vAlign w:val="center"/>
          </w:tcPr>
          <w:p w14:paraId="27662C8D" w14:textId="77777777" w:rsidR="00371C49" w:rsidRPr="00457FD3" w:rsidRDefault="00371C49" w:rsidP="0035347F">
            <w:pPr>
              <w:pStyle w:val="TableText0"/>
              <w:rPr>
                <w:sz w:val="19"/>
                <w:szCs w:val="19"/>
              </w:rPr>
            </w:pPr>
            <w:r w:rsidRPr="00457FD3">
              <w:rPr>
                <w:sz w:val="19"/>
                <w:szCs w:val="19"/>
              </w:rPr>
              <w:t>Cost to PBS/RPBS less copayments</w:t>
            </w:r>
          </w:p>
        </w:tc>
        <w:tc>
          <w:tcPr>
            <w:tcW w:w="647" w:type="pct"/>
            <w:shd w:val="clear" w:color="auto" w:fill="auto"/>
            <w:vAlign w:val="center"/>
          </w:tcPr>
          <w:p w14:paraId="15C7D9B1"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shd w:val="clear" w:color="auto" w:fill="auto"/>
            <w:vAlign w:val="center"/>
          </w:tcPr>
          <w:p w14:paraId="2EF7252E"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shd w:val="clear" w:color="auto" w:fill="auto"/>
            <w:vAlign w:val="center"/>
          </w:tcPr>
          <w:p w14:paraId="5A5A334C"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shd w:val="clear" w:color="auto" w:fill="auto"/>
            <w:vAlign w:val="center"/>
          </w:tcPr>
          <w:p w14:paraId="516EBF6D"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shd w:val="clear" w:color="auto" w:fill="auto"/>
            <w:vAlign w:val="center"/>
          </w:tcPr>
          <w:p w14:paraId="20B2AA1E"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9" w:type="pct"/>
            <w:vAlign w:val="center"/>
          </w:tcPr>
          <w:p w14:paraId="0134FB7F" w14:textId="77777777" w:rsidR="00371C49" w:rsidRPr="00730CE5" w:rsidRDefault="00730CE5" w:rsidP="0035347F">
            <w:pPr>
              <w:pStyle w:val="TableText0"/>
              <w:jc w:val="center"/>
            </w:pPr>
            <w:r>
              <w:rPr>
                <w:noProof/>
                <w:color w:val="000000"/>
                <w:highlight w:val="black"/>
              </w:rPr>
              <w:t>''''''''''''''''''''''''''''''</w:t>
            </w:r>
            <w:r w:rsidR="00AD5A25">
              <w:rPr>
                <w:vertAlign w:val="superscript"/>
              </w:rPr>
              <w:t>4</w:t>
            </w:r>
          </w:p>
        </w:tc>
      </w:tr>
      <w:tr w:rsidR="00371C49" w:rsidRPr="00457FD3" w14:paraId="5F92D033" w14:textId="77777777" w:rsidTr="0035347F">
        <w:tc>
          <w:tcPr>
            <w:tcW w:w="5000" w:type="pct"/>
            <w:gridSpan w:val="7"/>
            <w:tcBorders>
              <w:bottom w:val="single" w:sz="4" w:space="0" w:color="auto"/>
            </w:tcBorders>
            <w:shd w:val="clear" w:color="auto" w:fill="auto"/>
            <w:vAlign w:val="center"/>
          </w:tcPr>
          <w:p w14:paraId="009497DE" w14:textId="77777777" w:rsidR="00371C49" w:rsidRPr="00457FD3" w:rsidRDefault="00371C49" w:rsidP="0035347F">
            <w:pPr>
              <w:pStyle w:val="TableText0"/>
              <w:rPr>
                <w:b/>
              </w:rPr>
            </w:pPr>
            <w:r w:rsidRPr="00457FD3">
              <w:rPr>
                <w:b/>
              </w:rPr>
              <w:t>Estimated financial implications for TPC</w:t>
            </w:r>
          </w:p>
        </w:tc>
      </w:tr>
      <w:tr w:rsidR="00371C49" w:rsidRPr="00457FD3" w14:paraId="0E30B146" w14:textId="77777777" w:rsidTr="00EE21D6">
        <w:tc>
          <w:tcPr>
            <w:tcW w:w="1116" w:type="pct"/>
            <w:tcBorders>
              <w:top w:val="single" w:sz="4" w:space="0" w:color="auto"/>
            </w:tcBorders>
            <w:shd w:val="clear" w:color="auto" w:fill="auto"/>
            <w:vAlign w:val="center"/>
          </w:tcPr>
          <w:p w14:paraId="1E4A2958" w14:textId="77777777" w:rsidR="00371C49" w:rsidRPr="00457FD3" w:rsidRDefault="00EE21D6" w:rsidP="00EE21D6">
            <w:pPr>
              <w:pStyle w:val="TableText0"/>
              <w:rPr>
                <w:sz w:val="19"/>
                <w:szCs w:val="19"/>
                <w:vertAlign w:val="superscript"/>
              </w:rPr>
            </w:pPr>
            <w:r w:rsidRPr="00457FD3">
              <w:rPr>
                <w:sz w:val="19"/>
                <w:szCs w:val="19"/>
              </w:rPr>
              <w:t>Cost to PBS/RPBS less copayments</w:t>
            </w:r>
            <w:r w:rsidRPr="00457FD3">
              <w:rPr>
                <w:sz w:val="19"/>
                <w:szCs w:val="19"/>
                <w:vertAlign w:val="superscript"/>
              </w:rPr>
              <w:t>b</w:t>
            </w:r>
            <w:r w:rsidRPr="00457FD3" w:rsidDel="00EE21D6">
              <w:rPr>
                <w:sz w:val="19"/>
                <w:szCs w:val="19"/>
              </w:rPr>
              <w:t xml:space="preserve"> </w:t>
            </w:r>
          </w:p>
        </w:tc>
        <w:tc>
          <w:tcPr>
            <w:tcW w:w="647" w:type="pct"/>
            <w:tcBorders>
              <w:top w:val="single" w:sz="4" w:space="0" w:color="auto"/>
            </w:tcBorders>
            <w:shd w:val="clear" w:color="auto" w:fill="auto"/>
            <w:vAlign w:val="center"/>
          </w:tcPr>
          <w:p w14:paraId="1E20DABB" w14:textId="77777777" w:rsidR="00371C49" w:rsidRPr="00457FD3" w:rsidRDefault="00371C49" w:rsidP="0035347F">
            <w:pPr>
              <w:pStyle w:val="TableText0"/>
              <w:jc w:val="center"/>
            </w:pPr>
            <w:r w:rsidRPr="00457FD3">
              <w:t>-</w:t>
            </w:r>
            <w:r w:rsidR="00730CE5">
              <w:rPr>
                <w:noProof/>
                <w:color w:val="000000"/>
                <w:highlight w:val="black"/>
              </w:rPr>
              <w:t>'''''''''''''''''''''''''''''</w:t>
            </w:r>
            <w:r w:rsidR="00AD5A25">
              <w:rPr>
                <w:vertAlign w:val="superscript"/>
              </w:rPr>
              <w:t>5</w:t>
            </w:r>
          </w:p>
        </w:tc>
        <w:tc>
          <w:tcPr>
            <w:tcW w:w="647" w:type="pct"/>
            <w:tcBorders>
              <w:top w:val="single" w:sz="4" w:space="0" w:color="auto"/>
            </w:tcBorders>
            <w:shd w:val="clear" w:color="auto" w:fill="auto"/>
            <w:vAlign w:val="center"/>
          </w:tcPr>
          <w:p w14:paraId="6D73EF87" w14:textId="77777777" w:rsidR="00371C49" w:rsidRPr="00457FD3" w:rsidRDefault="00371C49" w:rsidP="0035347F">
            <w:pPr>
              <w:pStyle w:val="TableText0"/>
              <w:jc w:val="center"/>
            </w:pPr>
            <w:r w:rsidRPr="00457FD3">
              <w:t>-</w:t>
            </w:r>
            <w:r w:rsidR="00730CE5">
              <w:rPr>
                <w:noProof/>
                <w:color w:val="000000"/>
                <w:highlight w:val="black"/>
              </w:rPr>
              <w:t>'''''''''''''''''''''''''''</w:t>
            </w:r>
            <w:r w:rsidR="00AD5A25">
              <w:rPr>
                <w:vertAlign w:val="superscript"/>
              </w:rPr>
              <w:t>5</w:t>
            </w:r>
          </w:p>
        </w:tc>
        <w:tc>
          <w:tcPr>
            <w:tcW w:w="647" w:type="pct"/>
            <w:tcBorders>
              <w:top w:val="single" w:sz="4" w:space="0" w:color="auto"/>
            </w:tcBorders>
            <w:shd w:val="clear" w:color="auto" w:fill="auto"/>
            <w:vAlign w:val="center"/>
          </w:tcPr>
          <w:p w14:paraId="13B905B5" w14:textId="77777777" w:rsidR="00371C49" w:rsidRPr="00457FD3" w:rsidRDefault="00371C49" w:rsidP="0035347F">
            <w:pPr>
              <w:pStyle w:val="TableText0"/>
              <w:jc w:val="center"/>
            </w:pPr>
            <w:r w:rsidRPr="00457FD3">
              <w:t>-</w:t>
            </w:r>
            <w:r w:rsidR="00730CE5">
              <w:rPr>
                <w:noProof/>
                <w:color w:val="000000"/>
                <w:highlight w:val="black"/>
              </w:rPr>
              <w:t>''''''''''''''''''''''''''</w:t>
            </w:r>
            <w:r w:rsidR="00AD5A25">
              <w:rPr>
                <w:vertAlign w:val="superscript"/>
              </w:rPr>
              <w:t>5</w:t>
            </w:r>
          </w:p>
        </w:tc>
        <w:tc>
          <w:tcPr>
            <w:tcW w:w="647" w:type="pct"/>
            <w:tcBorders>
              <w:top w:val="single" w:sz="4" w:space="0" w:color="auto"/>
            </w:tcBorders>
            <w:shd w:val="clear" w:color="auto" w:fill="auto"/>
            <w:vAlign w:val="center"/>
          </w:tcPr>
          <w:p w14:paraId="3C1CA761" w14:textId="77777777" w:rsidR="00371C49" w:rsidRPr="00457FD3" w:rsidRDefault="00371C49" w:rsidP="0035347F">
            <w:pPr>
              <w:pStyle w:val="TableText0"/>
              <w:jc w:val="center"/>
            </w:pPr>
            <w:r w:rsidRPr="00457FD3">
              <w:t>-</w:t>
            </w:r>
            <w:r w:rsidR="00730CE5">
              <w:rPr>
                <w:noProof/>
                <w:color w:val="000000"/>
                <w:highlight w:val="black"/>
              </w:rPr>
              <w:t>''''''''''''''''''''''''</w:t>
            </w:r>
            <w:r w:rsidR="00AD5A25">
              <w:rPr>
                <w:vertAlign w:val="superscript"/>
              </w:rPr>
              <w:t>5</w:t>
            </w:r>
          </w:p>
        </w:tc>
        <w:tc>
          <w:tcPr>
            <w:tcW w:w="647" w:type="pct"/>
            <w:tcBorders>
              <w:top w:val="single" w:sz="4" w:space="0" w:color="auto"/>
            </w:tcBorders>
            <w:shd w:val="clear" w:color="auto" w:fill="auto"/>
            <w:vAlign w:val="center"/>
          </w:tcPr>
          <w:p w14:paraId="324DF7AD" w14:textId="77777777" w:rsidR="00371C49" w:rsidRPr="00457FD3" w:rsidRDefault="00371C49" w:rsidP="0035347F">
            <w:pPr>
              <w:pStyle w:val="TableText0"/>
              <w:jc w:val="center"/>
            </w:pPr>
            <w:r w:rsidRPr="00457FD3">
              <w:t>-</w:t>
            </w:r>
            <w:r w:rsidR="00730CE5">
              <w:rPr>
                <w:noProof/>
                <w:color w:val="000000"/>
                <w:highlight w:val="black"/>
              </w:rPr>
              <w:t>'''''''''''''''''''''''''''''</w:t>
            </w:r>
            <w:r w:rsidR="00AD5A25">
              <w:rPr>
                <w:vertAlign w:val="superscript"/>
              </w:rPr>
              <w:t>5</w:t>
            </w:r>
          </w:p>
        </w:tc>
        <w:tc>
          <w:tcPr>
            <w:tcW w:w="649" w:type="pct"/>
            <w:tcBorders>
              <w:top w:val="single" w:sz="4" w:space="0" w:color="auto"/>
            </w:tcBorders>
            <w:vAlign w:val="center"/>
          </w:tcPr>
          <w:p w14:paraId="74236D9A" w14:textId="77777777" w:rsidR="00371C49" w:rsidRPr="00457FD3" w:rsidRDefault="00371C49" w:rsidP="0035347F">
            <w:pPr>
              <w:pStyle w:val="TableText0"/>
              <w:jc w:val="center"/>
            </w:pPr>
            <w:r w:rsidRPr="00457FD3">
              <w:t>-</w:t>
            </w:r>
            <w:r w:rsidR="00730CE5">
              <w:rPr>
                <w:noProof/>
                <w:color w:val="000000"/>
                <w:highlight w:val="black"/>
              </w:rPr>
              <w:t>'''''''''''''''''''''''''''</w:t>
            </w:r>
            <w:r w:rsidR="00AD5A25">
              <w:rPr>
                <w:vertAlign w:val="superscript"/>
              </w:rPr>
              <w:t>5</w:t>
            </w:r>
          </w:p>
        </w:tc>
      </w:tr>
      <w:tr w:rsidR="00371C49" w:rsidRPr="00457FD3" w14:paraId="08620D71" w14:textId="77777777" w:rsidTr="0035347F">
        <w:tc>
          <w:tcPr>
            <w:tcW w:w="5000" w:type="pct"/>
            <w:gridSpan w:val="7"/>
            <w:tcBorders>
              <w:bottom w:val="single" w:sz="4" w:space="0" w:color="auto"/>
            </w:tcBorders>
            <w:shd w:val="clear" w:color="auto" w:fill="auto"/>
            <w:vAlign w:val="center"/>
          </w:tcPr>
          <w:p w14:paraId="7D0D7583" w14:textId="77777777" w:rsidR="00371C49" w:rsidRPr="00457FD3" w:rsidRDefault="00371C49" w:rsidP="0035347F">
            <w:pPr>
              <w:pStyle w:val="In-tableHeading"/>
            </w:pPr>
            <w:r w:rsidRPr="00457FD3">
              <w:t xml:space="preserve">Net financial implications </w:t>
            </w:r>
          </w:p>
        </w:tc>
      </w:tr>
      <w:tr w:rsidR="00371C49" w:rsidRPr="00457FD3" w14:paraId="2564738F" w14:textId="77777777" w:rsidTr="00EE21D6">
        <w:tc>
          <w:tcPr>
            <w:tcW w:w="1116" w:type="pct"/>
            <w:tcBorders>
              <w:top w:val="single" w:sz="4" w:space="0" w:color="auto"/>
              <w:bottom w:val="single" w:sz="4" w:space="0" w:color="auto"/>
            </w:tcBorders>
            <w:shd w:val="clear" w:color="auto" w:fill="auto"/>
            <w:vAlign w:val="center"/>
          </w:tcPr>
          <w:p w14:paraId="34AA5C6D" w14:textId="77777777" w:rsidR="00371C49" w:rsidRPr="00457FD3" w:rsidRDefault="00EE21D6" w:rsidP="00EE21D6">
            <w:pPr>
              <w:pStyle w:val="TableText0"/>
              <w:ind w:left="111" w:hanging="111"/>
              <w:rPr>
                <w:sz w:val="19"/>
                <w:szCs w:val="19"/>
              </w:rPr>
            </w:pPr>
            <w:r w:rsidRPr="00457FD3">
              <w:rPr>
                <w:sz w:val="19"/>
                <w:szCs w:val="19"/>
              </w:rPr>
              <w:t>Net cost to PBS/RPBS</w:t>
            </w:r>
            <w:r w:rsidRPr="00457FD3" w:rsidDel="00EE21D6">
              <w:rPr>
                <w:sz w:val="19"/>
                <w:szCs w:val="19"/>
              </w:rPr>
              <w:t xml:space="preserve"> </w:t>
            </w:r>
          </w:p>
        </w:tc>
        <w:tc>
          <w:tcPr>
            <w:tcW w:w="647" w:type="pct"/>
            <w:tcBorders>
              <w:top w:val="single" w:sz="4" w:space="0" w:color="auto"/>
              <w:bottom w:val="single" w:sz="4" w:space="0" w:color="auto"/>
            </w:tcBorders>
            <w:shd w:val="clear" w:color="auto" w:fill="auto"/>
            <w:vAlign w:val="center"/>
          </w:tcPr>
          <w:p w14:paraId="06A89A2B"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bottom w:val="single" w:sz="4" w:space="0" w:color="auto"/>
            </w:tcBorders>
            <w:shd w:val="clear" w:color="auto" w:fill="auto"/>
            <w:vAlign w:val="center"/>
          </w:tcPr>
          <w:p w14:paraId="0D2F0B90"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bottom w:val="single" w:sz="4" w:space="0" w:color="auto"/>
            </w:tcBorders>
            <w:shd w:val="clear" w:color="auto" w:fill="auto"/>
            <w:vAlign w:val="center"/>
          </w:tcPr>
          <w:p w14:paraId="60DB3FAB"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bottom w:val="single" w:sz="4" w:space="0" w:color="auto"/>
            </w:tcBorders>
            <w:shd w:val="clear" w:color="auto" w:fill="auto"/>
            <w:vAlign w:val="center"/>
          </w:tcPr>
          <w:p w14:paraId="56267157"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bottom w:val="single" w:sz="4" w:space="0" w:color="auto"/>
            </w:tcBorders>
            <w:shd w:val="clear" w:color="auto" w:fill="auto"/>
            <w:vAlign w:val="center"/>
          </w:tcPr>
          <w:p w14:paraId="1BD6F7DD"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9" w:type="pct"/>
            <w:tcBorders>
              <w:top w:val="single" w:sz="4" w:space="0" w:color="auto"/>
              <w:bottom w:val="single" w:sz="4" w:space="0" w:color="auto"/>
            </w:tcBorders>
            <w:vAlign w:val="center"/>
          </w:tcPr>
          <w:p w14:paraId="20EFAA49" w14:textId="77777777" w:rsidR="00371C49" w:rsidRPr="00730CE5" w:rsidRDefault="00730CE5" w:rsidP="0035347F">
            <w:pPr>
              <w:pStyle w:val="TableText0"/>
              <w:jc w:val="center"/>
            </w:pPr>
            <w:r>
              <w:rPr>
                <w:noProof/>
                <w:color w:val="000000"/>
                <w:highlight w:val="black"/>
              </w:rPr>
              <w:t>'''''''''''''''''''''''''''</w:t>
            </w:r>
            <w:r w:rsidR="00AD5A25">
              <w:rPr>
                <w:vertAlign w:val="superscript"/>
              </w:rPr>
              <w:t>4</w:t>
            </w:r>
          </w:p>
        </w:tc>
      </w:tr>
      <w:tr w:rsidR="00371C49" w:rsidRPr="00457FD3" w14:paraId="38994AF2" w14:textId="77777777" w:rsidTr="00EE21D6">
        <w:tc>
          <w:tcPr>
            <w:tcW w:w="1116" w:type="pct"/>
            <w:tcBorders>
              <w:top w:val="single" w:sz="4" w:space="0" w:color="auto"/>
              <w:bottom w:val="single" w:sz="4" w:space="0" w:color="auto"/>
            </w:tcBorders>
            <w:shd w:val="clear" w:color="auto" w:fill="auto"/>
            <w:vAlign w:val="center"/>
          </w:tcPr>
          <w:p w14:paraId="19B201E7" w14:textId="77777777" w:rsidR="00371C49" w:rsidRPr="00457FD3" w:rsidRDefault="00EE21D6" w:rsidP="00EE21D6">
            <w:pPr>
              <w:pStyle w:val="TableText0"/>
              <w:rPr>
                <w:sz w:val="19"/>
                <w:szCs w:val="19"/>
              </w:rPr>
            </w:pPr>
            <w:r w:rsidRPr="00457FD3">
              <w:rPr>
                <w:sz w:val="19"/>
                <w:szCs w:val="19"/>
              </w:rPr>
              <w:t>Net cost to MBS</w:t>
            </w:r>
            <w:r w:rsidRPr="00457FD3">
              <w:rPr>
                <w:sz w:val="19"/>
                <w:szCs w:val="19"/>
                <w:vertAlign w:val="superscript"/>
              </w:rPr>
              <w:t>d,e</w:t>
            </w:r>
            <w:r w:rsidRPr="00457FD3" w:rsidDel="00EE21D6">
              <w:rPr>
                <w:sz w:val="19"/>
                <w:szCs w:val="19"/>
              </w:rPr>
              <w:t xml:space="preserve"> </w:t>
            </w:r>
          </w:p>
        </w:tc>
        <w:tc>
          <w:tcPr>
            <w:tcW w:w="647" w:type="pct"/>
            <w:tcBorders>
              <w:top w:val="single" w:sz="4" w:space="0" w:color="auto"/>
              <w:bottom w:val="single" w:sz="4" w:space="0" w:color="auto"/>
            </w:tcBorders>
            <w:shd w:val="clear" w:color="auto" w:fill="auto"/>
            <w:vAlign w:val="center"/>
          </w:tcPr>
          <w:p w14:paraId="5CFFC34C" w14:textId="77777777" w:rsidR="00371C49" w:rsidRPr="00730CE5" w:rsidRDefault="00730CE5" w:rsidP="0035347F">
            <w:pPr>
              <w:pStyle w:val="TableText0"/>
              <w:jc w:val="center"/>
            </w:pPr>
            <w:r>
              <w:rPr>
                <w:noProof/>
                <w:color w:val="000000"/>
                <w:highlight w:val="black"/>
              </w:rPr>
              <w:t>'''''''''''''''''''''''</w:t>
            </w:r>
            <w:r w:rsidR="00AD5A25">
              <w:rPr>
                <w:vertAlign w:val="superscript"/>
              </w:rPr>
              <w:t>5</w:t>
            </w:r>
          </w:p>
        </w:tc>
        <w:tc>
          <w:tcPr>
            <w:tcW w:w="647" w:type="pct"/>
            <w:tcBorders>
              <w:top w:val="single" w:sz="4" w:space="0" w:color="auto"/>
              <w:bottom w:val="single" w:sz="4" w:space="0" w:color="auto"/>
            </w:tcBorders>
            <w:shd w:val="clear" w:color="auto" w:fill="auto"/>
            <w:vAlign w:val="center"/>
          </w:tcPr>
          <w:p w14:paraId="5AF42648" w14:textId="77777777" w:rsidR="00371C49" w:rsidRPr="00730CE5" w:rsidRDefault="00730CE5" w:rsidP="0035347F">
            <w:pPr>
              <w:pStyle w:val="TableText0"/>
              <w:jc w:val="center"/>
            </w:pPr>
            <w:r>
              <w:rPr>
                <w:noProof/>
                <w:color w:val="000000"/>
                <w:highlight w:val="black"/>
              </w:rPr>
              <w:t>''''''''''''''''''''''''</w:t>
            </w:r>
            <w:r w:rsidR="00AD5A25">
              <w:rPr>
                <w:vertAlign w:val="superscript"/>
              </w:rPr>
              <w:t>5</w:t>
            </w:r>
          </w:p>
        </w:tc>
        <w:tc>
          <w:tcPr>
            <w:tcW w:w="647" w:type="pct"/>
            <w:tcBorders>
              <w:top w:val="single" w:sz="4" w:space="0" w:color="auto"/>
              <w:bottom w:val="single" w:sz="4" w:space="0" w:color="auto"/>
            </w:tcBorders>
            <w:shd w:val="clear" w:color="auto" w:fill="auto"/>
            <w:vAlign w:val="center"/>
          </w:tcPr>
          <w:p w14:paraId="636D72AB" w14:textId="77777777" w:rsidR="00371C49" w:rsidRPr="00730CE5" w:rsidRDefault="00730CE5" w:rsidP="0035347F">
            <w:pPr>
              <w:pStyle w:val="TableText0"/>
              <w:jc w:val="center"/>
            </w:pPr>
            <w:r>
              <w:rPr>
                <w:noProof/>
                <w:color w:val="000000"/>
                <w:highlight w:val="black"/>
              </w:rPr>
              <w:t>''''''''''''''''''''''</w:t>
            </w:r>
            <w:r w:rsidR="00AD5A25">
              <w:rPr>
                <w:vertAlign w:val="superscript"/>
              </w:rPr>
              <w:t>5</w:t>
            </w:r>
          </w:p>
        </w:tc>
        <w:tc>
          <w:tcPr>
            <w:tcW w:w="647" w:type="pct"/>
            <w:tcBorders>
              <w:top w:val="single" w:sz="4" w:space="0" w:color="auto"/>
              <w:bottom w:val="single" w:sz="4" w:space="0" w:color="auto"/>
            </w:tcBorders>
            <w:shd w:val="clear" w:color="auto" w:fill="auto"/>
            <w:vAlign w:val="center"/>
          </w:tcPr>
          <w:p w14:paraId="78D4F424" w14:textId="77777777" w:rsidR="00371C49" w:rsidRPr="00730CE5" w:rsidRDefault="00730CE5" w:rsidP="0035347F">
            <w:pPr>
              <w:pStyle w:val="TableText0"/>
              <w:jc w:val="center"/>
            </w:pPr>
            <w:r>
              <w:rPr>
                <w:noProof/>
                <w:color w:val="000000"/>
                <w:highlight w:val="black"/>
              </w:rPr>
              <w:t>'''''''''''''''''''''''''''</w:t>
            </w:r>
            <w:r w:rsidR="00AD5A25">
              <w:rPr>
                <w:vertAlign w:val="superscript"/>
              </w:rPr>
              <w:t>5</w:t>
            </w:r>
          </w:p>
        </w:tc>
        <w:tc>
          <w:tcPr>
            <w:tcW w:w="647" w:type="pct"/>
            <w:tcBorders>
              <w:top w:val="single" w:sz="4" w:space="0" w:color="auto"/>
              <w:bottom w:val="single" w:sz="4" w:space="0" w:color="auto"/>
            </w:tcBorders>
            <w:shd w:val="clear" w:color="auto" w:fill="auto"/>
            <w:vAlign w:val="center"/>
          </w:tcPr>
          <w:p w14:paraId="1CA70A1B" w14:textId="77777777" w:rsidR="00371C49" w:rsidRPr="00730CE5" w:rsidRDefault="00730CE5" w:rsidP="0035347F">
            <w:pPr>
              <w:pStyle w:val="TableText0"/>
              <w:jc w:val="center"/>
            </w:pPr>
            <w:r>
              <w:rPr>
                <w:noProof/>
                <w:color w:val="000000"/>
                <w:highlight w:val="black"/>
              </w:rPr>
              <w:t>'''''''''''''''''''''''''</w:t>
            </w:r>
            <w:r w:rsidR="00AD5A25">
              <w:rPr>
                <w:vertAlign w:val="superscript"/>
              </w:rPr>
              <w:t>5</w:t>
            </w:r>
          </w:p>
        </w:tc>
        <w:tc>
          <w:tcPr>
            <w:tcW w:w="649" w:type="pct"/>
            <w:tcBorders>
              <w:top w:val="single" w:sz="4" w:space="0" w:color="auto"/>
              <w:bottom w:val="single" w:sz="4" w:space="0" w:color="auto"/>
            </w:tcBorders>
            <w:vAlign w:val="center"/>
          </w:tcPr>
          <w:p w14:paraId="4F3B7F8E" w14:textId="77777777" w:rsidR="00371C49" w:rsidRPr="00730CE5" w:rsidRDefault="00730CE5" w:rsidP="0035347F">
            <w:pPr>
              <w:pStyle w:val="TableText0"/>
              <w:jc w:val="center"/>
            </w:pPr>
            <w:r>
              <w:rPr>
                <w:noProof/>
                <w:color w:val="000000"/>
                <w:highlight w:val="black"/>
              </w:rPr>
              <w:t>''''''''''''''''''''''''''''</w:t>
            </w:r>
            <w:r w:rsidR="00AD5A25">
              <w:rPr>
                <w:vertAlign w:val="superscript"/>
              </w:rPr>
              <w:t>5</w:t>
            </w:r>
          </w:p>
        </w:tc>
      </w:tr>
      <w:tr w:rsidR="00371C49" w:rsidRPr="00457FD3" w14:paraId="1CA1DD77" w14:textId="77777777" w:rsidTr="00EE21D6">
        <w:tc>
          <w:tcPr>
            <w:tcW w:w="1116" w:type="pct"/>
            <w:tcBorders>
              <w:top w:val="single" w:sz="4" w:space="0" w:color="auto"/>
            </w:tcBorders>
            <w:shd w:val="clear" w:color="auto" w:fill="auto"/>
            <w:vAlign w:val="center"/>
          </w:tcPr>
          <w:p w14:paraId="6BDCF004" w14:textId="77777777" w:rsidR="00371C49" w:rsidRPr="00457FD3" w:rsidRDefault="00EE21D6" w:rsidP="00EE21D6">
            <w:pPr>
              <w:pStyle w:val="TableText0"/>
              <w:ind w:left="111" w:hanging="111"/>
              <w:rPr>
                <w:sz w:val="19"/>
                <w:szCs w:val="19"/>
              </w:rPr>
            </w:pPr>
            <w:r w:rsidRPr="00457FD3">
              <w:rPr>
                <w:sz w:val="19"/>
                <w:szCs w:val="19"/>
              </w:rPr>
              <w:t>Net cost to PBS/RPBS/MBS</w:t>
            </w:r>
            <w:r w:rsidRPr="00457FD3">
              <w:rPr>
                <w:sz w:val="19"/>
                <w:szCs w:val="19"/>
                <w:vertAlign w:val="superscript"/>
              </w:rPr>
              <w:t>c,d,e</w:t>
            </w:r>
            <w:r w:rsidRPr="00457FD3" w:rsidDel="00EE21D6">
              <w:rPr>
                <w:sz w:val="19"/>
                <w:szCs w:val="19"/>
              </w:rPr>
              <w:t xml:space="preserve"> </w:t>
            </w:r>
          </w:p>
        </w:tc>
        <w:tc>
          <w:tcPr>
            <w:tcW w:w="647" w:type="pct"/>
            <w:tcBorders>
              <w:top w:val="single" w:sz="4" w:space="0" w:color="auto"/>
            </w:tcBorders>
            <w:shd w:val="clear" w:color="auto" w:fill="auto"/>
            <w:vAlign w:val="center"/>
          </w:tcPr>
          <w:p w14:paraId="15F0BBF2"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tcBorders>
            <w:shd w:val="clear" w:color="auto" w:fill="auto"/>
            <w:vAlign w:val="center"/>
          </w:tcPr>
          <w:p w14:paraId="4F66FB5E"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tcBorders>
            <w:shd w:val="clear" w:color="auto" w:fill="auto"/>
            <w:vAlign w:val="center"/>
          </w:tcPr>
          <w:p w14:paraId="3CC637CA"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tcBorders>
            <w:shd w:val="clear" w:color="auto" w:fill="auto"/>
            <w:vAlign w:val="center"/>
          </w:tcPr>
          <w:p w14:paraId="1B5716C7"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tcBorders>
            <w:shd w:val="clear" w:color="auto" w:fill="auto"/>
            <w:vAlign w:val="center"/>
          </w:tcPr>
          <w:p w14:paraId="77119453"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9" w:type="pct"/>
            <w:tcBorders>
              <w:top w:val="single" w:sz="4" w:space="0" w:color="auto"/>
            </w:tcBorders>
            <w:vAlign w:val="center"/>
          </w:tcPr>
          <w:p w14:paraId="787431A7" w14:textId="77777777" w:rsidR="00371C49" w:rsidRPr="00730CE5" w:rsidRDefault="00730CE5" w:rsidP="0035347F">
            <w:pPr>
              <w:pStyle w:val="TableText0"/>
              <w:jc w:val="center"/>
            </w:pPr>
            <w:r>
              <w:rPr>
                <w:noProof/>
                <w:color w:val="000000"/>
                <w:highlight w:val="black"/>
              </w:rPr>
              <w:t>'''''''''''''''''''''''''''</w:t>
            </w:r>
            <w:r w:rsidR="00AD5A25">
              <w:rPr>
                <w:vertAlign w:val="superscript"/>
              </w:rPr>
              <w:t>4</w:t>
            </w:r>
          </w:p>
        </w:tc>
      </w:tr>
    </w:tbl>
    <w:p w14:paraId="08B9D335" w14:textId="77777777" w:rsidR="00371C49" w:rsidRPr="00457FD3" w:rsidRDefault="00371C49" w:rsidP="00371C49">
      <w:pPr>
        <w:pStyle w:val="TableFigureFooter"/>
      </w:pPr>
      <w:r w:rsidRPr="00457FD3">
        <w:t>Source: Table 4-5 p179, Table 4-6 p180, Table 4-10 p181, Table 4-17 p185, Table 4-21 p187 and Table 4-22 p188 of the submission; Excel workbook ‘Trodelvy PBAC Submission July 2021 UCM-Release-3-Workbook-v106 FINAL’.</w:t>
      </w:r>
    </w:p>
    <w:p w14:paraId="5BE85BD6" w14:textId="77777777" w:rsidR="00371C49" w:rsidRPr="00457FD3" w:rsidRDefault="00371C49" w:rsidP="00371C49">
      <w:pPr>
        <w:pStyle w:val="TableFigureFooter"/>
        <w:rPr>
          <w:rStyle w:val="CommentReference"/>
        </w:rPr>
      </w:pPr>
      <w:r w:rsidRPr="00457FD3">
        <w:t>SG = sacituzumab govitecan</w:t>
      </w:r>
    </w:p>
    <w:p w14:paraId="7C181ACC" w14:textId="77777777" w:rsidR="00371C49" w:rsidRPr="00457FD3" w:rsidRDefault="00371C49" w:rsidP="00371C49">
      <w:pPr>
        <w:pStyle w:val="TableFigureFooter"/>
      </w:pPr>
      <w:r w:rsidRPr="00457FD3">
        <w:rPr>
          <w:vertAlign w:val="superscript"/>
        </w:rPr>
        <w:t>a</w:t>
      </w:r>
      <w:r w:rsidRPr="00457FD3">
        <w:t xml:space="preserve"> Assuming 16.72 scripts per patient per course, as estimated by the submission.</w:t>
      </w:r>
    </w:p>
    <w:p w14:paraId="43C90031" w14:textId="77777777" w:rsidR="00371C49" w:rsidRPr="00457FD3" w:rsidRDefault="00371C49" w:rsidP="00371C49">
      <w:pPr>
        <w:pStyle w:val="TableFigureFooter"/>
        <w:ind w:left="142" w:hanging="142"/>
      </w:pPr>
      <w:r w:rsidRPr="00457FD3">
        <w:rPr>
          <w:vertAlign w:val="superscript"/>
        </w:rPr>
        <w:t>c</w:t>
      </w:r>
      <w:r w:rsidRPr="00457FD3">
        <w:t xml:space="preserve"> The calculations in the Excel workbook for Section 4 assumed that patients would receive 2.5 x 500 mg tablets of capecitabine per day, requiring 0.91 scripts/patient/course. Assuming a capecitabine dose of 2,225 mg twice daily, as in Section 3, patients would require an average of 9 tablets per day for the 14 days of treatment in each 21 day cycle; scripts per course = (65.62 x 9 x 14/21))/120 = 3.28</w:t>
      </w:r>
    </w:p>
    <w:p w14:paraId="111929DA" w14:textId="77777777" w:rsidR="00371C49" w:rsidRPr="00457FD3" w:rsidRDefault="00371C49" w:rsidP="00371C49">
      <w:pPr>
        <w:pStyle w:val="TableFigureFooter"/>
        <w:ind w:left="142" w:hanging="142"/>
      </w:pPr>
      <w:r w:rsidRPr="00457FD3">
        <w:rPr>
          <w:vertAlign w:val="superscript"/>
        </w:rPr>
        <w:t>d</w:t>
      </w:r>
      <w:r w:rsidRPr="00457FD3">
        <w:t xml:space="preserve"> The number of service in cells F322:K322 and F330:K330 of spreadsheet 7. Net changes – MBS’ did not correspond with the number of scripts affected for the intravenously administered TPC drugs (eribulin, vinorelbine and gemcitabine) in spreadsheet 4a. Scripts-affected’. This appears to have resulted from the submission assuming 12.6% of scripts were for capecitabine, when this was the proportion of patients receiving capecitabine. This was re-calculated during the evaluation.</w:t>
      </w:r>
    </w:p>
    <w:p w14:paraId="0D673FB4" w14:textId="77777777" w:rsidR="00371C49" w:rsidRPr="00457FD3" w:rsidRDefault="00371C49" w:rsidP="00371C49">
      <w:pPr>
        <w:pStyle w:val="TableFigureFooter"/>
        <w:ind w:left="142" w:hanging="142"/>
      </w:pPr>
      <w:r w:rsidRPr="00457FD3">
        <w:rPr>
          <w:vertAlign w:val="superscript"/>
        </w:rPr>
        <w:t>e</w:t>
      </w:r>
      <w:r w:rsidRPr="00457FD3">
        <w:t xml:space="preserve"> The submission indicated that patients receiving SG and TPC were assumed to have one initial specialist visit. In cells F340:K340 and F348:K348 of spreadsheet ‘7. Net changes - MBS’, the submission had multiplied the number of patients receiving TPC by the duration of treatment (2.15). This was re-calculated during the evaluation. </w:t>
      </w:r>
    </w:p>
    <w:p w14:paraId="4D039603" w14:textId="77777777" w:rsidR="00371C49" w:rsidRPr="00457FD3" w:rsidRDefault="00371C49" w:rsidP="00371C49">
      <w:pPr>
        <w:pStyle w:val="TableFigureFooter"/>
        <w:ind w:left="142" w:hanging="142"/>
      </w:pPr>
      <w:r w:rsidRPr="00457FD3">
        <w:rPr>
          <w:vertAlign w:val="superscript"/>
        </w:rPr>
        <w:t>f</w:t>
      </w:r>
      <w:r w:rsidR="0053443C">
        <w:t xml:space="preserve"> Includes &lt; 500</w:t>
      </w:r>
      <w:r w:rsidRPr="00457FD3">
        <w:t xml:space="preserve"> grandfathered patients.</w:t>
      </w:r>
    </w:p>
    <w:p w14:paraId="1D9EBEB8" w14:textId="77777777" w:rsidR="00371C49" w:rsidRDefault="00371C49" w:rsidP="00371C49">
      <w:pPr>
        <w:pStyle w:val="TableFigureFooter"/>
        <w:ind w:left="142" w:hanging="142"/>
      </w:pPr>
      <w:r w:rsidRPr="00457FD3">
        <w:t>Note: fees and mark-ups for PBS drugs were updated during the evaluation.</w:t>
      </w:r>
    </w:p>
    <w:p w14:paraId="6E075336" w14:textId="77777777" w:rsidR="00AD5A25" w:rsidRPr="00973089" w:rsidRDefault="00AD5A25" w:rsidP="00371C49">
      <w:pPr>
        <w:pStyle w:val="TableFigureFooter"/>
        <w:ind w:left="142" w:hanging="142"/>
        <w:rPr>
          <w:i/>
        </w:rPr>
      </w:pPr>
      <w:r w:rsidRPr="00973089">
        <w:rPr>
          <w:i/>
        </w:rPr>
        <w:t>The redacted values correspond to the following ranges:</w:t>
      </w:r>
    </w:p>
    <w:p w14:paraId="2A102B91" w14:textId="77777777" w:rsidR="00AD5A25" w:rsidRPr="00973089" w:rsidRDefault="00AD5A25" w:rsidP="00371C49">
      <w:pPr>
        <w:pStyle w:val="TableFigureFooter"/>
        <w:ind w:left="142" w:hanging="142"/>
        <w:rPr>
          <w:i/>
        </w:rPr>
      </w:pPr>
      <w:r w:rsidRPr="00973089">
        <w:rPr>
          <w:i/>
          <w:vertAlign w:val="superscript"/>
        </w:rPr>
        <w:t>1</w:t>
      </w:r>
      <w:r w:rsidRPr="00973089">
        <w:rPr>
          <w:i/>
        </w:rPr>
        <w:t xml:space="preserve"> 500 to &lt; 5,000</w:t>
      </w:r>
    </w:p>
    <w:p w14:paraId="49641159" w14:textId="77777777" w:rsidR="00AD5A25" w:rsidRPr="00973089" w:rsidRDefault="00AD5A25" w:rsidP="00371C49">
      <w:pPr>
        <w:pStyle w:val="TableFigureFooter"/>
        <w:ind w:left="142" w:hanging="142"/>
        <w:rPr>
          <w:i/>
        </w:rPr>
      </w:pPr>
      <w:r w:rsidRPr="00973089">
        <w:rPr>
          <w:i/>
          <w:vertAlign w:val="superscript"/>
        </w:rPr>
        <w:t>2</w:t>
      </w:r>
      <w:r w:rsidRPr="00973089">
        <w:rPr>
          <w:i/>
        </w:rPr>
        <w:t xml:space="preserve"> 5,000 to &lt; 10,000</w:t>
      </w:r>
    </w:p>
    <w:p w14:paraId="1EFA5B9A" w14:textId="77777777" w:rsidR="00AD5A25" w:rsidRPr="00973089" w:rsidRDefault="00AD5A25" w:rsidP="00371C49">
      <w:pPr>
        <w:pStyle w:val="TableFigureFooter"/>
        <w:ind w:left="142" w:hanging="142"/>
        <w:rPr>
          <w:i/>
        </w:rPr>
      </w:pPr>
      <w:r w:rsidRPr="00973089">
        <w:rPr>
          <w:i/>
          <w:vertAlign w:val="superscript"/>
        </w:rPr>
        <w:t>3</w:t>
      </w:r>
      <w:r w:rsidRPr="00973089">
        <w:rPr>
          <w:i/>
        </w:rPr>
        <w:t xml:space="preserve"> 10,000 to &lt; 20,000</w:t>
      </w:r>
    </w:p>
    <w:p w14:paraId="0598D560" w14:textId="77777777" w:rsidR="00AD5A25" w:rsidRPr="00973089" w:rsidRDefault="00AD5A25" w:rsidP="00371C49">
      <w:pPr>
        <w:pStyle w:val="TableFigureFooter"/>
        <w:ind w:left="142" w:hanging="142"/>
        <w:rPr>
          <w:i/>
        </w:rPr>
      </w:pPr>
      <w:r w:rsidRPr="00973089">
        <w:rPr>
          <w:i/>
          <w:vertAlign w:val="superscript"/>
        </w:rPr>
        <w:t>4</w:t>
      </w:r>
      <w:r w:rsidRPr="00973089">
        <w:rPr>
          <w:i/>
        </w:rPr>
        <w:t xml:space="preserve"> $30 million to &lt; $40 million</w:t>
      </w:r>
    </w:p>
    <w:p w14:paraId="533E80B7" w14:textId="77777777" w:rsidR="00AD5A25" w:rsidRPr="00973089" w:rsidRDefault="00AD5A25" w:rsidP="00371C49">
      <w:pPr>
        <w:pStyle w:val="TableFigureFooter"/>
        <w:ind w:left="142" w:hanging="142"/>
        <w:rPr>
          <w:i/>
        </w:rPr>
      </w:pPr>
      <w:r w:rsidRPr="00973089">
        <w:rPr>
          <w:i/>
          <w:vertAlign w:val="superscript"/>
        </w:rPr>
        <w:t>5</w:t>
      </w:r>
      <w:r w:rsidRPr="00973089">
        <w:rPr>
          <w:i/>
        </w:rPr>
        <w:t xml:space="preserve"> $0 to &lt; $10 million</w:t>
      </w:r>
    </w:p>
    <w:p w14:paraId="1FDCD934" w14:textId="77777777" w:rsidR="00085CFE" w:rsidRPr="00457FD3" w:rsidRDefault="00085CFE" w:rsidP="00085CFE">
      <w:pPr>
        <w:pStyle w:val="3-BodyText"/>
      </w:pPr>
      <w:r w:rsidRPr="00457FD3">
        <w:t xml:space="preserve">The total cost to the </w:t>
      </w:r>
      <w:r w:rsidRPr="007E2C08">
        <w:t>PBS/RPBS of listing SG was estimated to be $</w:t>
      </w:r>
      <w:r w:rsidR="006E565A">
        <w:t xml:space="preserve">30 million to &lt; $40 million </w:t>
      </w:r>
      <w:r w:rsidRPr="007E2C08">
        <w:t>in Year 6, and a total of $</w:t>
      </w:r>
      <w:r w:rsidR="006E565A">
        <w:t>100 million to &lt; $200</w:t>
      </w:r>
      <w:r w:rsidRPr="007E2C08">
        <w:t xml:space="preserve"> million in the first 6 years</w:t>
      </w:r>
      <w:r w:rsidRPr="00457FD3">
        <w:t xml:space="preserve"> of listing.</w:t>
      </w:r>
    </w:p>
    <w:p w14:paraId="768568DE" w14:textId="77777777" w:rsidR="00A173AE" w:rsidRPr="00037EC2" w:rsidRDefault="00A173AE" w:rsidP="00A173AE">
      <w:pPr>
        <w:pStyle w:val="4-SubsectionHeading"/>
        <w:rPr>
          <w:iCs/>
        </w:rPr>
      </w:pPr>
      <w:r w:rsidRPr="00037EC2">
        <w:rPr>
          <w:iCs/>
        </w:rPr>
        <w:t>Quality Use of Medicines</w:t>
      </w:r>
    </w:p>
    <w:p w14:paraId="771509B3" w14:textId="77777777" w:rsidR="00EF4108" w:rsidRPr="00225ACB" w:rsidRDefault="00225ACB" w:rsidP="00EF4108">
      <w:pPr>
        <w:pStyle w:val="3-BodyText"/>
        <w:rPr>
          <w:b/>
        </w:rPr>
      </w:pPr>
      <w:r w:rsidRPr="00225ACB">
        <w:t xml:space="preserve">The submission did not </w:t>
      </w:r>
      <w:r w:rsidR="00381054">
        <w:t>identify any</w:t>
      </w:r>
      <w:r w:rsidRPr="00225ACB">
        <w:t xml:space="preserve"> quality use of medicines</w:t>
      </w:r>
      <w:r w:rsidR="00381054">
        <w:t xml:space="preserve"> issues</w:t>
      </w:r>
      <w:r w:rsidRPr="00225ACB">
        <w:t xml:space="preserve">. </w:t>
      </w:r>
      <w:r w:rsidR="001571C2" w:rsidRPr="00457FD3">
        <w:t>The ESC</w:t>
      </w:r>
      <w:r w:rsidR="0080100C">
        <w:t xml:space="preserve"> and DUSC advised</w:t>
      </w:r>
      <w:r w:rsidR="001571C2" w:rsidRPr="00457FD3">
        <w:t xml:space="preserve"> that, g</w:t>
      </w:r>
      <w:r w:rsidR="00A173AE" w:rsidRPr="00457FD3">
        <w:t xml:space="preserve">iven the safety concerns raised by the TGA Delegate, </w:t>
      </w:r>
      <w:r w:rsidR="0080100C">
        <w:t xml:space="preserve">additional </w:t>
      </w:r>
      <w:r w:rsidR="00A173AE" w:rsidRPr="00457FD3">
        <w:t>risk minimisation measures and activities to support the quality use of medicines would be appropriate.</w:t>
      </w:r>
      <w:r w:rsidR="00EF4108" w:rsidRPr="00EF4108">
        <w:t xml:space="preserve"> </w:t>
      </w:r>
    </w:p>
    <w:p w14:paraId="7D221E5F" w14:textId="77777777" w:rsidR="00225ACB" w:rsidRPr="00225ACB" w:rsidRDefault="00225ACB" w:rsidP="00EF4108">
      <w:pPr>
        <w:pStyle w:val="3-BodyText"/>
        <w:rPr>
          <w:b/>
        </w:rPr>
      </w:pPr>
      <w:r>
        <w:t>The pre-PBAC response indicated that:</w:t>
      </w:r>
    </w:p>
    <w:p w14:paraId="20F41694" w14:textId="77777777" w:rsidR="00225ACB" w:rsidRPr="00225ACB" w:rsidRDefault="00225ACB" w:rsidP="008720BC">
      <w:pPr>
        <w:pStyle w:val="3-BodyText"/>
        <w:numPr>
          <w:ilvl w:val="0"/>
          <w:numId w:val="11"/>
        </w:numPr>
        <w:rPr>
          <w:b/>
        </w:rPr>
      </w:pPr>
      <w:r w:rsidRPr="00225ACB">
        <w:lastRenderedPageBreak/>
        <w:t>A TGA-approved Australian Specific Annex to the EU-RMP is in place that encompasses routine and additional pharmacovigilance activities and risk minimisation plans (</w:t>
      </w:r>
      <w:r w:rsidRPr="00730CE5">
        <w:t>https://www.tga.gov.au/apm-summary/trodelvy</w:t>
      </w:r>
      <w:r w:rsidRPr="00225ACB">
        <w:t>)</w:t>
      </w:r>
      <w:r w:rsidR="00B44B7B">
        <w:t>.</w:t>
      </w:r>
    </w:p>
    <w:p w14:paraId="4F12ED2D" w14:textId="77777777" w:rsidR="00225ACB" w:rsidRPr="00225ACB" w:rsidRDefault="003700A5" w:rsidP="008720BC">
      <w:pPr>
        <w:pStyle w:val="3-BodyText"/>
        <w:numPr>
          <w:ilvl w:val="0"/>
          <w:numId w:val="11"/>
        </w:numPr>
        <w:rPr>
          <w:b/>
        </w:rPr>
      </w:pPr>
      <w:r>
        <w:t>T</w:t>
      </w:r>
      <w:r w:rsidR="00381054">
        <w:t>he sponsor</w:t>
      </w:r>
      <w:r w:rsidR="00225ACB" w:rsidRPr="00225ACB">
        <w:t xml:space="preserve"> is providing educational materials (e.g. checklist for nurses and patient management card) to enhance the quality use of SG</w:t>
      </w:r>
      <w:r w:rsidR="00381054">
        <w:t>.</w:t>
      </w:r>
    </w:p>
    <w:p w14:paraId="2421C725" w14:textId="77777777" w:rsidR="00A173AE" w:rsidRPr="00037EC2" w:rsidRDefault="00A173AE" w:rsidP="00A173AE">
      <w:pPr>
        <w:pStyle w:val="4-SubsectionHeading"/>
        <w:rPr>
          <w:iCs/>
        </w:rPr>
      </w:pPr>
      <w:r w:rsidRPr="00037EC2">
        <w:rPr>
          <w:iCs/>
        </w:rPr>
        <w:t>Risk Sharing Arrangements</w:t>
      </w:r>
    </w:p>
    <w:p w14:paraId="3EE18A38" w14:textId="77777777" w:rsidR="004F3ABD" w:rsidRDefault="00A173AE" w:rsidP="00A173AE">
      <w:pPr>
        <w:pStyle w:val="ListParagraph"/>
        <w:numPr>
          <w:ilvl w:val="1"/>
          <w:numId w:val="1"/>
        </w:numPr>
      </w:pPr>
      <w:r w:rsidRPr="00457FD3">
        <w:t>The submission did not propose a risk-sharing arrangement</w:t>
      </w:r>
      <w:r w:rsidR="00E977BB" w:rsidRPr="00457FD3">
        <w:t xml:space="preserve"> (RSA)</w:t>
      </w:r>
      <w:r w:rsidRPr="00457FD3">
        <w:t xml:space="preserve">. </w:t>
      </w:r>
      <w:r w:rsidR="007B2540" w:rsidRPr="00457FD3">
        <w:t>The ESC considered an RSA would be required</w:t>
      </w:r>
      <w:r w:rsidR="00623FA2" w:rsidRPr="00457FD3">
        <w:t>.</w:t>
      </w:r>
    </w:p>
    <w:p w14:paraId="6D804D86" w14:textId="77777777" w:rsidR="00457FD3" w:rsidRDefault="00457FD3" w:rsidP="00225ACB">
      <w:pPr>
        <w:pStyle w:val="ListBullet"/>
        <w:numPr>
          <w:ilvl w:val="0"/>
          <w:numId w:val="0"/>
        </w:numPr>
        <w:ind w:left="1080" w:hanging="360"/>
        <w:rPr>
          <w:i/>
          <w:iCs/>
        </w:rPr>
      </w:pPr>
      <w:r w:rsidRPr="00457FD3">
        <w:rPr>
          <w:i/>
          <w:iCs/>
        </w:rPr>
        <w:t>For more detail on PBAC’s view, see section 7 PBAC outcome.</w:t>
      </w:r>
    </w:p>
    <w:p w14:paraId="6E2AFCF2" w14:textId="77777777" w:rsidR="00277BFB" w:rsidRPr="0090150D" w:rsidRDefault="00277BFB" w:rsidP="00A8233C">
      <w:pPr>
        <w:pStyle w:val="2-SectionHeading"/>
        <w:numPr>
          <w:ilvl w:val="0"/>
          <w:numId w:val="1"/>
        </w:numPr>
      </w:pPr>
      <w:bookmarkStart w:id="7" w:name="_Hlk76381249"/>
      <w:bookmarkStart w:id="8" w:name="_Hlk76377955"/>
      <w:r w:rsidRPr="0090150D">
        <w:t>PBAC Outcome</w:t>
      </w:r>
    </w:p>
    <w:p w14:paraId="0236C615" w14:textId="77777777" w:rsidR="00772E6E" w:rsidRPr="006952F9" w:rsidRDefault="00277BFB" w:rsidP="00890E79">
      <w:pPr>
        <w:widowControl w:val="0"/>
        <w:numPr>
          <w:ilvl w:val="1"/>
          <w:numId w:val="1"/>
        </w:numPr>
        <w:spacing w:after="120"/>
      </w:pPr>
      <w:r w:rsidRPr="006952F9">
        <w:t>The PBAC did not recommend</w:t>
      </w:r>
      <w:r w:rsidR="00B94A28" w:rsidRPr="006952F9">
        <w:t xml:space="preserve"> sacituzumab govitecan (SG)</w:t>
      </w:r>
      <w:r w:rsidR="00180647" w:rsidRPr="006952F9">
        <w:t xml:space="preserve"> </w:t>
      </w:r>
      <w:r w:rsidR="00047068" w:rsidRPr="006952F9">
        <w:t>for</w:t>
      </w:r>
      <w:r w:rsidR="00221726" w:rsidRPr="006952F9">
        <w:t xml:space="preserve"> the treatment of</w:t>
      </w:r>
      <w:r w:rsidR="00047068" w:rsidRPr="006952F9">
        <w:t xml:space="preserve"> unresectable, locally advanced or metastatic triple negative breast cancer</w:t>
      </w:r>
      <w:r w:rsidR="004D3129" w:rsidRPr="006952F9">
        <w:t xml:space="preserve"> </w:t>
      </w:r>
      <w:r w:rsidR="00F50450" w:rsidRPr="006952F9">
        <w:t xml:space="preserve">(TNBC). </w:t>
      </w:r>
      <w:r w:rsidR="00772E6E" w:rsidRPr="006952F9">
        <w:t xml:space="preserve">The PBAC acknowledged the high clinical need for effective therapies for this condition. The PBAC considered </w:t>
      </w:r>
      <w:r w:rsidR="00772E6E" w:rsidRPr="00C66B43">
        <w:t>that SG provides superior efficacy compared with the current standard of care, notably an improvement in overall survival. However, the PBAC considered that specific inputs to the economic model should be revised and that the incremental cost-effectiveness ratio (ICER) was unacceptably high at the proposed price. The PBAC considered</w:t>
      </w:r>
      <w:r w:rsidR="0015192A">
        <w:t>,</w:t>
      </w:r>
      <w:r w:rsidR="00772E6E" w:rsidRPr="00C66B43">
        <w:t xml:space="preserve"> </w:t>
      </w:r>
      <w:r w:rsidR="000648FD">
        <w:t>therefore</w:t>
      </w:r>
      <w:r w:rsidR="0015192A">
        <w:t>,</w:t>
      </w:r>
      <w:r w:rsidR="000648FD">
        <w:t xml:space="preserve"> </w:t>
      </w:r>
      <w:r w:rsidR="00772E6E" w:rsidRPr="00C66B43">
        <w:t xml:space="preserve">that a price reduction would </w:t>
      </w:r>
      <w:r w:rsidR="000648FD">
        <w:t xml:space="preserve">likely </w:t>
      </w:r>
      <w:r w:rsidR="00772E6E" w:rsidRPr="00C66B43">
        <w:t xml:space="preserve">be required to achieve a cost-effective listing. </w:t>
      </w:r>
    </w:p>
    <w:p w14:paraId="0A59B1FA" w14:textId="77777777" w:rsidR="00074A63" w:rsidRPr="00074A63" w:rsidRDefault="00074A63" w:rsidP="00534EB7">
      <w:pPr>
        <w:widowControl w:val="0"/>
        <w:numPr>
          <w:ilvl w:val="1"/>
          <w:numId w:val="1"/>
        </w:numPr>
        <w:spacing w:after="120"/>
        <w:rPr>
          <w:rFonts w:asciiTheme="minorHAnsi" w:hAnsiTheme="minorHAnsi"/>
          <w:snapToGrid w:val="0"/>
          <w:lang w:val="en-GB"/>
        </w:rPr>
      </w:pPr>
      <w:r w:rsidRPr="003A00FE">
        <w:t xml:space="preserve">The PBAC </w:t>
      </w:r>
      <w:r w:rsidRPr="003A00FE">
        <w:rPr>
          <w:bCs/>
          <w:snapToGrid w:val="0"/>
          <w:lang w:val="en-GB"/>
        </w:rPr>
        <w:t xml:space="preserve">considered there is a </w:t>
      </w:r>
      <w:r w:rsidRPr="003A00FE">
        <w:t xml:space="preserve">high clinical need for effective therapies for patients with this condition, who have poorer survival outcomes than patients with other breast cancer subtypes. </w:t>
      </w:r>
      <w:r>
        <w:rPr>
          <w:bCs/>
          <w:snapToGrid w:val="0"/>
          <w:lang w:val="en-GB"/>
        </w:rPr>
        <w:t xml:space="preserve">The PBAC </w:t>
      </w:r>
      <w:r w:rsidRPr="00221726">
        <w:rPr>
          <w:bCs/>
          <w:snapToGrid w:val="0"/>
          <w:lang w:val="en-GB"/>
        </w:rPr>
        <w:t xml:space="preserve">acknowledged </w:t>
      </w:r>
      <w:r w:rsidRPr="00221726">
        <w:rPr>
          <w:rFonts w:asciiTheme="minorHAnsi" w:hAnsiTheme="minorHAnsi"/>
          <w:bCs/>
          <w:snapToGrid w:val="0"/>
        </w:rPr>
        <w:t>the consumer comments describing</w:t>
      </w:r>
      <w:r>
        <w:rPr>
          <w:rFonts w:asciiTheme="minorHAnsi" w:hAnsiTheme="minorHAnsi"/>
          <w:bCs/>
          <w:snapToGrid w:val="0"/>
        </w:rPr>
        <w:t xml:space="preserve"> the value that patients </w:t>
      </w:r>
      <w:r w:rsidR="006B6261">
        <w:rPr>
          <w:rFonts w:asciiTheme="minorHAnsi" w:hAnsiTheme="minorHAnsi"/>
          <w:bCs/>
          <w:snapToGrid w:val="0"/>
        </w:rPr>
        <w:t xml:space="preserve">with this condition </w:t>
      </w:r>
      <w:r>
        <w:rPr>
          <w:rFonts w:asciiTheme="minorHAnsi" w:hAnsiTheme="minorHAnsi"/>
          <w:bCs/>
          <w:snapToGrid w:val="0"/>
        </w:rPr>
        <w:t xml:space="preserve">place on additional months of overall survival including, in some cases, the </w:t>
      </w:r>
      <w:r>
        <w:rPr>
          <w:bCs/>
        </w:rPr>
        <w:t xml:space="preserve">opportunity to spend more time </w:t>
      </w:r>
      <w:r w:rsidR="00DB3E87">
        <w:rPr>
          <w:bCs/>
        </w:rPr>
        <w:t xml:space="preserve">particularly </w:t>
      </w:r>
      <w:r>
        <w:rPr>
          <w:bCs/>
        </w:rPr>
        <w:t xml:space="preserve">with their </w:t>
      </w:r>
      <w:r>
        <w:rPr>
          <w:snapToGrid w:val="0"/>
        </w:rPr>
        <w:t>young children</w:t>
      </w:r>
      <w:r w:rsidRPr="00221726">
        <w:rPr>
          <w:bCs/>
          <w:snapToGrid w:val="0"/>
          <w:lang w:val="en-GB"/>
        </w:rPr>
        <w:t>.</w:t>
      </w:r>
      <w:r>
        <w:rPr>
          <w:bCs/>
          <w:snapToGrid w:val="0"/>
          <w:lang w:val="en-GB"/>
        </w:rPr>
        <w:t xml:space="preserve"> </w:t>
      </w:r>
      <w:r w:rsidR="000D7248">
        <w:rPr>
          <w:bCs/>
          <w:snapToGrid w:val="0"/>
          <w:lang w:val="en-GB"/>
        </w:rPr>
        <w:t>The PBAC also noted t</w:t>
      </w:r>
      <w:r w:rsidR="000D7248" w:rsidRPr="003C7833">
        <w:rPr>
          <w:rFonts w:asciiTheme="minorHAnsi" w:hAnsiTheme="minorHAnsi"/>
          <w:bCs/>
          <w:snapToGrid w:val="0"/>
        </w:rPr>
        <w:t xml:space="preserve">he </w:t>
      </w:r>
      <w:r w:rsidR="000D7248">
        <w:rPr>
          <w:rFonts w:asciiTheme="minorHAnsi" w:hAnsiTheme="minorHAnsi"/>
          <w:bCs/>
          <w:snapToGrid w:val="0"/>
        </w:rPr>
        <w:t xml:space="preserve">comments that </w:t>
      </w:r>
      <w:r w:rsidR="000D7248" w:rsidRPr="0082753F">
        <w:rPr>
          <w:rFonts w:asciiTheme="minorHAnsi" w:hAnsiTheme="minorHAnsi"/>
          <w:bCs/>
          <w:lang w:val="en-GB"/>
        </w:rPr>
        <w:t>supported</w:t>
      </w:r>
      <w:r w:rsidR="000D7248" w:rsidRPr="003C7833">
        <w:rPr>
          <w:rFonts w:asciiTheme="minorHAnsi" w:hAnsiTheme="minorHAnsi"/>
          <w:bCs/>
          <w:lang w:val="en-GB"/>
        </w:rPr>
        <w:t xml:space="preserve"> patients’ ability to weigh up survival, adverse events and quality of life. </w:t>
      </w:r>
    </w:p>
    <w:p w14:paraId="2E0D8CF4" w14:textId="77777777" w:rsidR="00534EB7" w:rsidRPr="00CF6FF6" w:rsidRDefault="00534EB7" w:rsidP="00890E79">
      <w:pPr>
        <w:widowControl w:val="0"/>
        <w:numPr>
          <w:ilvl w:val="1"/>
          <w:numId w:val="1"/>
        </w:numPr>
        <w:spacing w:after="120"/>
      </w:pPr>
      <w:r w:rsidRPr="00CF6FF6">
        <w:t>The PBAC noted that the Product Information for SG state</w:t>
      </w:r>
      <w:r w:rsidR="00473F98">
        <w:t>s</w:t>
      </w:r>
      <w:r w:rsidRPr="00CF6FF6">
        <w:t xml:space="preserve"> that</w:t>
      </w:r>
      <w:r w:rsidR="000C3F9A">
        <w:t>, if</w:t>
      </w:r>
      <w:r w:rsidRPr="00CF6FF6">
        <w:t xml:space="preserve"> the diluted solution </w:t>
      </w:r>
      <w:r w:rsidR="000C3F9A">
        <w:t>is not</w:t>
      </w:r>
      <w:r w:rsidRPr="00CF6FF6">
        <w:t xml:space="preserve"> used immediately </w:t>
      </w:r>
      <w:r w:rsidR="000C3F9A">
        <w:t>“</w:t>
      </w:r>
      <w:r w:rsidRPr="00CF6FF6">
        <w:t>the infusion bag containing SG solution can be stored refrigerated 2°C to 8°C for up to 4 hours. After refrigeration, administer diluted solution within 4 hours (including infusion time)”. The Product Information also state</w:t>
      </w:r>
      <w:r w:rsidR="00FA6F66">
        <w:t>s</w:t>
      </w:r>
      <w:r w:rsidRPr="00CF6FF6">
        <w:t xml:space="preserve"> that the first infusion </w:t>
      </w:r>
      <w:r w:rsidR="00CF6FF6">
        <w:t>should be</w:t>
      </w:r>
      <w:r w:rsidRPr="00CF6FF6">
        <w:t xml:space="preserve"> administered over three hours. The PBAC noted that, consequently, proximity to a facility with reconstitution capabilities may be </w:t>
      </w:r>
      <w:r w:rsidR="000C3F9A">
        <w:t>required</w:t>
      </w:r>
      <w:r w:rsidRPr="00CF6FF6">
        <w:t xml:space="preserve">, and result in limited access outside metropolitan areas. </w:t>
      </w:r>
    </w:p>
    <w:p w14:paraId="58E541E6" w14:textId="77777777" w:rsidR="003C035F" w:rsidRPr="003C035F" w:rsidRDefault="003C035F" w:rsidP="003C035F">
      <w:pPr>
        <w:widowControl w:val="0"/>
        <w:numPr>
          <w:ilvl w:val="1"/>
          <w:numId w:val="1"/>
        </w:numPr>
        <w:spacing w:after="120"/>
        <w:rPr>
          <w:rFonts w:asciiTheme="minorHAnsi" w:hAnsiTheme="minorHAnsi"/>
          <w:bCs/>
          <w:snapToGrid w:val="0"/>
        </w:rPr>
      </w:pPr>
      <w:r w:rsidRPr="00802117">
        <w:rPr>
          <w:rFonts w:asciiTheme="minorHAnsi" w:hAnsiTheme="minorHAnsi"/>
          <w:bCs/>
          <w:snapToGrid w:val="0"/>
        </w:rPr>
        <w:t>The comparator nominated by the submission</w:t>
      </w:r>
      <w:r w:rsidR="00CF6FF6">
        <w:rPr>
          <w:rFonts w:asciiTheme="minorHAnsi" w:hAnsiTheme="minorHAnsi"/>
          <w:bCs/>
          <w:snapToGrid w:val="0"/>
        </w:rPr>
        <w:t xml:space="preserve"> was</w:t>
      </w:r>
      <w:r>
        <w:rPr>
          <w:rFonts w:asciiTheme="minorHAnsi" w:hAnsiTheme="minorHAnsi"/>
          <w:bCs/>
          <w:snapToGrid w:val="0"/>
        </w:rPr>
        <w:t xml:space="preserve"> </w:t>
      </w:r>
      <w:r w:rsidRPr="00457FD3">
        <w:t>physician’s choice of a single-agent treatment (TPC),</w:t>
      </w:r>
      <w:r>
        <w:t xml:space="preserve"> </w:t>
      </w:r>
      <w:r w:rsidRPr="00457FD3">
        <w:t>consisting of capecitabine, gemcitabine, eribulin or vinorelbine</w:t>
      </w:r>
      <w:r w:rsidR="00CF6FF6">
        <w:t>. The</w:t>
      </w:r>
      <w:r>
        <w:t xml:space="preserve"> </w:t>
      </w:r>
      <w:r w:rsidR="006952F9">
        <w:t xml:space="preserve">PBAC </w:t>
      </w:r>
      <w:r w:rsidR="00CF6FF6" w:rsidRPr="00802117">
        <w:rPr>
          <w:rFonts w:asciiTheme="minorHAnsi" w:hAnsiTheme="minorHAnsi"/>
          <w:bCs/>
          <w:snapToGrid w:val="0"/>
        </w:rPr>
        <w:t>considered th</w:t>
      </w:r>
      <w:r w:rsidR="00CF6FF6">
        <w:rPr>
          <w:rFonts w:asciiTheme="minorHAnsi" w:hAnsiTheme="minorHAnsi"/>
          <w:bCs/>
          <w:snapToGrid w:val="0"/>
        </w:rPr>
        <w:t>is</w:t>
      </w:r>
      <w:r w:rsidR="00CF6FF6" w:rsidRPr="00802117">
        <w:rPr>
          <w:rFonts w:asciiTheme="minorHAnsi" w:hAnsiTheme="minorHAnsi"/>
          <w:bCs/>
          <w:snapToGrid w:val="0"/>
        </w:rPr>
        <w:t xml:space="preserve"> </w:t>
      </w:r>
      <w:r>
        <w:t xml:space="preserve">was appropriate. </w:t>
      </w:r>
    </w:p>
    <w:p w14:paraId="6E1DFA44" w14:textId="77777777" w:rsidR="004D4A9D" w:rsidRPr="004D4A9D" w:rsidRDefault="003C035F" w:rsidP="004D4A9D">
      <w:pPr>
        <w:pStyle w:val="3-BodyText"/>
        <w:rPr>
          <w:rFonts w:ascii="Calibri" w:hAnsi="Calibri"/>
          <w:snapToGrid/>
        </w:rPr>
      </w:pPr>
      <w:r w:rsidRPr="004E4374">
        <w:lastRenderedPageBreak/>
        <w:t xml:space="preserve">The submission was based on one head-to-head open-label, randomised </w:t>
      </w:r>
      <w:r w:rsidRPr="00457FD3">
        <w:t xml:space="preserve">trial (ASCENT) </w:t>
      </w:r>
      <w:r w:rsidRPr="004E4374">
        <w:t>comparing SG with TPC (eribulin, vinorelbine, capecitabine, or gemcitabine) (n</w:t>
      </w:r>
      <w:r>
        <w:t xml:space="preserve"> </w:t>
      </w:r>
      <w:r w:rsidRPr="004E4374">
        <w:t>=</w:t>
      </w:r>
      <w:r>
        <w:t xml:space="preserve"> </w:t>
      </w:r>
      <w:r w:rsidRPr="004E4374">
        <w:t>529)</w:t>
      </w:r>
      <w:r>
        <w:t xml:space="preserve">, which had a </w:t>
      </w:r>
      <w:r w:rsidRPr="004E4374">
        <w:t>median duration of follow-up of 17</w:t>
      </w:r>
      <w:r>
        <w:t>.7</w:t>
      </w:r>
      <w:r w:rsidRPr="004E4374">
        <w:t xml:space="preserve"> months. </w:t>
      </w:r>
      <w:r w:rsidRPr="001E4F44">
        <w:t xml:space="preserve">The </w:t>
      </w:r>
      <w:r>
        <w:t>PBA</w:t>
      </w:r>
      <w:r w:rsidRPr="001E4F44">
        <w:t>C considered that the OS data from the ASCENT trial were reasonably robust, and that the 4.9 month increase in median OS, with a hazard ratio of 0.51 (95% CI: 0.41, 0.62) was clinically relevant in this setting</w:t>
      </w:r>
      <w:r>
        <w:t xml:space="preserve">. </w:t>
      </w:r>
      <w:r w:rsidR="004D4A9D" w:rsidRPr="004D4A9D">
        <w:rPr>
          <w:rFonts w:ascii="Calibri" w:hAnsi="Calibri"/>
          <w:snapToGrid/>
        </w:rPr>
        <w:t>The PBAC considered that the claim of superior comparative effectiveness was reasonable in terms of OS.</w:t>
      </w:r>
    </w:p>
    <w:p w14:paraId="0F1705D5" w14:textId="77777777" w:rsidR="003C035F" w:rsidRPr="00861E9F" w:rsidRDefault="003C035F" w:rsidP="00473F98">
      <w:pPr>
        <w:pStyle w:val="3-BodyText"/>
      </w:pPr>
      <w:r w:rsidRPr="00372F87">
        <w:rPr>
          <w:bCs/>
        </w:rPr>
        <w:t xml:space="preserve">The PBAC </w:t>
      </w:r>
      <w:r w:rsidR="004D4A9D">
        <w:rPr>
          <w:bCs/>
        </w:rPr>
        <w:t xml:space="preserve">also </w:t>
      </w:r>
      <w:r w:rsidRPr="00372F87">
        <w:rPr>
          <w:bCs/>
        </w:rPr>
        <w:t xml:space="preserve">considered that </w:t>
      </w:r>
      <w:r w:rsidR="00151CD0" w:rsidRPr="00372F87">
        <w:rPr>
          <w:bCs/>
        </w:rPr>
        <w:t xml:space="preserve">SG was superior to TPC in terms of PFS, but that </w:t>
      </w:r>
      <w:r>
        <w:t xml:space="preserve">the </w:t>
      </w:r>
      <w:r w:rsidRPr="00372F87">
        <w:rPr>
          <w:rFonts w:ascii="Calibri" w:hAnsi="Calibri"/>
          <w:bCs/>
          <w:snapToGrid/>
        </w:rPr>
        <w:t xml:space="preserve">magnitude of improvement in PFS may </w:t>
      </w:r>
      <w:r w:rsidR="00CF6FF6" w:rsidRPr="00372F87">
        <w:rPr>
          <w:rFonts w:ascii="Calibri" w:hAnsi="Calibri"/>
          <w:bCs/>
          <w:snapToGrid/>
        </w:rPr>
        <w:t xml:space="preserve">have </w:t>
      </w:r>
      <w:r w:rsidRPr="00372F87">
        <w:rPr>
          <w:rFonts w:ascii="Calibri" w:hAnsi="Calibri"/>
          <w:bCs/>
          <w:snapToGrid/>
        </w:rPr>
        <w:t>be</w:t>
      </w:r>
      <w:r w:rsidR="00CF6FF6" w:rsidRPr="00372F87">
        <w:rPr>
          <w:rFonts w:ascii="Calibri" w:hAnsi="Calibri"/>
          <w:bCs/>
          <w:snapToGrid/>
        </w:rPr>
        <w:t>en</w:t>
      </w:r>
      <w:r w:rsidRPr="00372F87">
        <w:rPr>
          <w:rFonts w:ascii="Calibri" w:hAnsi="Calibri"/>
          <w:bCs/>
          <w:snapToGrid/>
        </w:rPr>
        <w:t xml:space="preserve"> overestimated</w:t>
      </w:r>
      <w:r w:rsidR="00CF6FF6" w:rsidRPr="00372F87">
        <w:rPr>
          <w:rFonts w:ascii="Calibri" w:hAnsi="Calibri"/>
          <w:bCs/>
          <w:snapToGrid/>
        </w:rPr>
        <w:t xml:space="preserve"> in the trial</w:t>
      </w:r>
      <w:r w:rsidRPr="00372F87">
        <w:rPr>
          <w:rFonts w:ascii="Calibri" w:hAnsi="Calibri"/>
          <w:bCs/>
          <w:snapToGrid/>
        </w:rPr>
        <w:t xml:space="preserve"> due to the extensive censoring of patients in the TPC arm in the primary analysis, mostly for reasons other than continuing on treatment with no progression event. </w:t>
      </w:r>
    </w:p>
    <w:p w14:paraId="01476B10" w14:textId="77777777" w:rsidR="00372F87" w:rsidRDefault="00372F87" w:rsidP="00372F87">
      <w:pPr>
        <w:pStyle w:val="3-BodyText"/>
        <w:widowControl w:val="0"/>
      </w:pPr>
      <w:r w:rsidRPr="00623E78">
        <w:t xml:space="preserve">The </w:t>
      </w:r>
      <w:r>
        <w:t>PBA</w:t>
      </w:r>
      <w:r w:rsidRPr="00623E78">
        <w:t xml:space="preserve">C considered that </w:t>
      </w:r>
      <w:r>
        <w:t>the</w:t>
      </w:r>
      <w:r w:rsidR="00C60FD0">
        <w:t>re were some uncertainties with the</w:t>
      </w:r>
      <w:r w:rsidRPr="00623E78">
        <w:t xml:space="preserve"> quality of life (QoL) data collected in </w:t>
      </w:r>
      <w:r w:rsidRPr="00457FD3">
        <w:t>ASCENT</w:t>
      </w:r>
      <w:r w:rsidRPr="00623E78">
        <w:t xml:space="preserve"> </w:t>
      </w:r>
      <w:r>
        <w:t xml:space="preserve">(using the </w:t>
      </w:r>
      <w:r w:rsidRPr="00FA58A8">
        <w:t xml:space="preserve">EORTC </w:t>
      </w:r>
      <w:r>
        <w:t xml:space="preserve">QLQ-C30 instrument) </w:t>
      </w:r>
      <w:r w:rsidR="003E2650">
        <w:t>as</w:t>
      </w:r>
      <w:r>
        <w:t>:</w:t>
      </w:r>
    </w:p>
    <w:p w14:paraId="2BE2FE82" w14:textId="77777777" w:rsidR="00372F87" w:rsidRDefault="000C3F9A" w:rsidP="008720BC">
      <w:pPr>
        <w:pStyle w:val="3-BodyText"/>
        <w:numPr>
          <w:ilvl w:val="0"/>
          <w:numId w:val="11"/>
        </w:numPr>
        <w:ind w:left="1077" w:hanging="357"/>
        <w:contextualSpacing/>
      </w:pPr>
      <w:r>
        <w:t>t</w:t>
      </w:r>
      <w:r w:rsidR="00372F87">
        <w:t xml:space="preserve">here was </w:t>
      </w:r>
      <w:r w:rsidR="00372F87" w:rsidRPr="00623E78">
        <w:t>a risk of performance bias given</w:t>
      </w:r>
      <w:r w:rsidR="00372F87">
        <w:t xml:space="preserve"> </w:t>
      </w:r>
      <w:r w:rsidR="00372F87" w:rsidRPr="00623E78">
        <w:t>the open-label trial design</w:t>
      </w:r>
      <w:r>
        <w:t>;</w:t>
      </w:r>
      <w:r w:rsidR="00372F87">
        <w:t xml:space="preserve"> </w:t>
      </w:r>
    </w:p>
    <w:p w14:paraId="3E4A95D2" w14:textId="77777777" w:rsidR="00372F87" w:rsidRDefault="00372F87" w:rsidP="008720BC">
      <w:pPr>
        <w:pStyle w:val="3-BodyText"/>
        <w:numPr>
          <w:ilvl w:val="0"/>
          <w:numId w:val="11"/>
        </w:numPr>
      </w:pPr>
      <w:r>
        <w:t xml:space="preserve">the full impact of adverse events on QoL </w:t>
      </w:r>
      <w:r w:rsidR="00C60FD0">
        <w:t>may not have been captured as QoL</w:t>
      </w:r>
      <w:r w:rsidR="00074A63">
        <w:t xml:space="preserve"> was assessed at specific points in time </w:t>
      </w:r>
      <w:r w:rsidR="00074A63" w:rsidRPr="003D0C29">
        <w:t>and was dependent on the timing of th</w:t>
      </w:r>
      <w:r w:rsidR="00074A63">
        <w:t>e AE</w:t>
      </w:r>
      <w:r w:rsidR="00074A63" w:rsidRPr="003D0C29">
        <w:t xml:space="preserve"> relative to questionnaire</w:t>
      </w:r>
      <w:r w:rsidR="004D4A9D">
        <w:t>. In particular, the</w:t>
      </w:r>
      <w:r w:rsidR="004D4A9D" w:rsidRPr="004D4A9D">
        <w:t xml:space="preserve"> </w:t>
      </w:r>
      <w:r w:rsidR="004D4A9D">
        <w:t xml:space="preserve">impact of adverse events on QoL may not have been fully captured </w:t>
      </w:r>
      <w:r w:rsidR="00074A63" w:rsidRPr="00623E78">
        <w:t>for those drugs administered on Days 1 and 8 (SG and eribulin), or that require a week’s rest from treatment between cycles (capecitabine</w:t>
      </w:r>
      <w:r w:rsidR="00074A63">
        <w:t>), given t</w:t>
      </w:r>
      <w:r w:rsidR="00074A63" w:rsidRPr="00623E78">
        <w:t>he data were collected on Day 1 of each 21-day cycle</w:t>
      </w:r>
      <w:r>
        <w:t xml:space="preserve">. </w:t>
      </w:r>
    </w:p>
    <w:p w14:paraId="4E628167" w14:textId="77777777" w:rsidR="00C60FD0" w:rsidRDefault="00C60FD0" w:rsidP="001C6A61">
      <w:pPr>
        <w:pStyle w:val="3-BodyText"/>
      </w:pPr>
      <w:r>
        <w:t>While noting these uncertainties with the QoL data, the PBAC also noted:</w:t>
      </w:r>
    </w:p>
    <w:p w14:paraId="340B21FD" w14:textId="77777777" w:rsidR="00C60FD0" w:rsidRDefault="00C60FD0" w:rsidP="008720BC">
      <w:pPr>
        <w:pStyle w:val="3-BodyText"/>
        <w:numPr>
          <w:ilvl w:val="0"/>
          <w:numId w:val="11"/>
        </w:numPr>
        <w:ind w:left="1077" w:hanging="357"/>
        <w:contextualSpacing/>
      </w:pPr>
      <w:r>
        <w:t>t</w:t>
      </w:r>
      <w:r w:rsidR="00372F87" w:rsidRPr="00FA58A8">
        <w:t>he</w:t>
      </w:r>
      <w:r w:rsidR="00372F87">
        <w:t xml:space="preserve"> </w:t>
      </w:r>
      <w:r w:rsidR="00372F87" w:rsidRPr="00FA58A8">
        <w:t>EORTC QLQ-C30 results</w:t>
      </w:r>
      <w:r w:rsidR="00372F87" w:rsidRPr="003D0C29">
        <w:t xml:space="preserve"> </w:t>
      </w:r>
      <w:r w:rsidR="00372F87">
        <w:t>indicated</w:t>
      </w:r>
      <w:r w:rsidR="00372F87" w:rsidRPr="00FA58A8">
        <w:t xml:space="preserve"> that the functional scales favoured SG, while </w:t>
      </w:r>
      <w:r w:rsidR="00406137">
        <w:t>only a few</w:t>
      </w:r>
      <w:r w:rsidR="00113BCA">
        <w:t xml:space="preserve"> </w:t>
      </w:r>
      <w:r w:rsidR="00372F87" w:rsidRPr="00FA58A8">
        <w:t>of the symptom scales (</w:t>
      </w:r>
      <w:r w:rsidR="00113BCA">
        <w:t>nausea/vomiting,</w:t>
      </w:r>
      <w:r w:rsidR="00113BCA" w:rsidRPr="00FA58A8">
        <w:t xml:space="preserve"> </w:t>
      </w:r>
      <w:r w:rsidR="00372F87" w:rsidRPr="00FA58A8">
        <w:t>diarrhoea</w:t>
      </w:r>
      <w:r w:rsidR="00406137">
        <w:t>, constipation</w:t>
      </w:r>
      <w:r w:rsidR="00372F87" w:rsidRPr="00FA58A8">
        <w:t>) favoured TPC, with the QLQ summary score and Global health status/QoL favouring SG</w:t>
      </w:r>
      <w:r>
        <w:t>;</w:t>
      </w:r>
      <w:r w:rsidR="00372F87" w:rsidRPr="00FA58A8">
        <w:t xml:space="preserve"> </w:t>
      </w:r>
    </w:p>
    <w:p w14:paraId="2A23AB06" w14:textId="77777777" w:rsidR="00C60FD0" w:rsidRDefault="004D4A9D" w:rsidP="008720BC">
      <w:pPr>
        <w:pStyle w:val="3-BodyText"/>
        <w:numPr>
          <w:ilvl w:val="0"/>
          <w:numId w:val="11"/>
        </w:numPr>
        <w:ind w:left="1077" w:hanging="357"/>
        <w:contextualSpacing/>
      </w:pPr>
      <w:r w:rsidRPr="004D4A9D">
        <w:t xml:space="preserve">a conference abstract </w:t>
      </w:r>
      <w:r w:rsidR="003E2650">
        <w:t xml:space="preserve">was </w:t>
      </w:r>
      <w:r w:rsidRPr="004D4A9D">
        <w:t>presented in the PSCR titled ‘Assessment of health-related quality of life by clinical response from the phase 3 ASCENT study in metastatic triple-negative breast cancer (mTNBC)’ (Loibl 2021)</w:t>
      </w:r>
      <w:r w:rsidR="003E2650">
        <w:t>. The authors</w:t>
      </w:r>
      <w:r w:rsidRPr="004D4A9D">
        <w:t xml:space="preserve"> found ‘regardless of response status, SG responders and non-responders showed a better </w:t>
      </w:r>
      <w:r>
        <w:t>trend in HRQoL changes than TPC</w:t>
      </w:r>
      <w:r w:rsidRPr="004D4A9D">
        <w:t>’</w:t>
      </w:r>
      <w:r w:rsidR="00C60FD0">
        <w:t>;</w:t>
      </w:r>
      <w:r w:rsidR="00372F87">
        <w:t xml:space="preserve"> </w:t>
      </w:r>
      <w:r w:rsidR="00C60FD0">
        <w:t>and</w:t>
      </w:r>
    </w:p>
    <w:p w14:paraId="3564BCED" w14:textId="77777777" w:rsidR="00C60FD0" w:rsidRPr="00C60FD0" w:rsidRDefault="00372F87" w:rsidP="008720BC">
      <w:pPr>
        <w:pStyle w:val="3-BodyText"/>
        <w:numPr>
          <w:ilvl w:val="0"/>
          <w:numId w:val="11"/>
        </w:numPr>
      </w:pPr>
      <w:r w:rsidRPr="004D4A9D">
        <w:rPr>
          <w:bCs/>
          <w:snapToGrid/>
        </w:rPr>
        <w:t>consumer inputs</w:t>
      </w:r>
      <w:r w:rsidR="004D4A9D" w:rsidRPr="004D4A9D">
        <w:rPr>
          <w:bCs/>
          <w:snapToGrid/>
        </w:rPr>
        <w:t xml:space="preserve"> </w:t>
      </w:r>
      <w:r w:rsidR="00027E7D">
        <w:t xml:space="preserve">regarding the value that this relatively young population place on additional months of survival versus the trade-off </w:t>
      </w:r>
      <w:r w:rsidR="00771148">
        <w:t>with</w:t>
      </w:r>
      <w:r w:rsidR="00027E7D">
        <w:t xml:space="preserve"> adverse events</w:t>
      </w:r>
      <w:r w:rsidR="00C60FD0">
        <w:rPr>
          <w:bCs/>
          <w:snapToGrid/>
        </w:rPr>
        <w:t>.</w:t>
      </w:r>
    </w:p>
    <w:p w14:paraId="74B0AF54" w14:textId="77777777" w:rsidR="00372F87" w:rsidRPr="00861E9F" w:rsidRDefault="00C60FD0" w:rsidP="00C60FD0">
      <w:pPr>
        <w:pStyle w:val="3-BodyText"/>
        <w:numPr>
          <w:ilvl w:val="0"/>
          <w:numId w:val="0"/>
        </w:numPr>
        <w:ind w:left="720"/>
      </w:pPr>
      <w:r>
        <w:rPr>
          <w:bCs/>
          <w:snapToGrid/>
        </w:rPr>
        <w:t>O</w:t>
      </w:r>
      <w:r>
        <w:t>verall the PBAC considered that</w:t>
      </w:r>
      <w:r w:rsidRPr="004D4A9D">
        <w:rPr>
          <w:bCs/>
          <w:snapToGrid/>
        </w:rPr>
        <w:t xml:space="preserve"> </w:t>
      </w:r>
      <w:r w:rsidR="00372F87" w:rsidRPr="004D4A9D">
        <w:rPr>
          <w:bCs/>
          <w:snapToGrid/>
        </w:rPr>
        <w:t xml:space="preserve">it is </w:t>
      </w:r>
      <w:r w:rsidR="004D4A9D" w:rsidRPr="004D4A9D">
        <w:rPr>
          <w:bCs/>
          <w:snapToGrid/>
        </w:rPr>
        <w:t>possible</w:t>
      </w:r>
      <w:r w:rsidR="004A2E64">
        <w:rPr>
          <w:bCs/>
          <w:snapToGrid/>
        </w:rPr>
        <w:t>,</w:t>
      </w:r>
      <w:r w:rsidR="00372F87" w:rsidRPr="004D4A9D">
        <w:rPr>
          <w:bCs/>
          <w:snapToGrid/>
        </w:rPr>
        <w:t xml:space="preserve"> </w:t>
      </w:r>
      <w:r w:rsidR="002474A0">
        <w:rPr>
          <w:bCs/>
          <w:snapToGrid/>
        </w:rPr>
        <w:t>although uncertain</w:t>
      </w:r>
      <w:r w:rsidR="004A2E64">
        <w:rPr>
          <w:bCs/>
          <w:snapToGrid/>
        </w:rPr>
        <w:t>,</w:t>
      </w:r>
      <w:r w:rsidR="002474A0">
        <w:rPr>
          <w:bCs/>
          <w:snapToGrid/>
        </w:rPr>
        <w:t xml:space="preserve"> </w:t>
      </w:r>
      <w:r w:rsidR="00372F87" w:rsidRPr="004D4A9D">
        <w:rPr>
          <w:bCs/>
          <w:snapToGrid/>
        </w:rPr>
        <w:t xml:space="preserve">that </w:t>
      </w:r>
      <w:r>
        <w:rPr>
          <w:bCs/>
          <w:snapToGrid/>
        </w:rPr>
        <w:t xml:space="preserve">SG may be associated with higher scores on the functional scales of </w:t>
      </w:r>
      <w:r w:rsidRPr="00FA58A8">
        <w:t xml:space="preserve">EORTC QLQ-C30 </w:t>
      </w:r>
      <w:r>
        <w:t>and a higher overall QoL than TPC</w:t>
      </w:r>
      <w:r w:rsidR="00372F87" w:rsidRPr="004D4A9D">
        <w:rPr>
          <w:bCs/>
          <w:snapToGrid/>
        </w:rPr>
        <w:t>.</w:t>
      </w:r>
    </w:p>
    <w:p w14:paraId="3943248C" w14:textId="77777777" w:rsidR="00861E9F" w:rsidRPr="00C106BF" w:rsidRDefault="00861E9F" w:rsidP="00861E9F">
      <w:pPr>
        <w:pStyle w:val="3-BodyText"/>
        <w:rPr>
          <w:snapToGrid/>
          <w:lang w:val="en-GB"/>
        </w:rPr>
      </w:pPr>
      <w:r>
        <w:rPr>
          <w:rFonts w:ascii="Calibri" w:hAnsi="Calibri"/>
          <w:bCs/>
          <w:snapToGrid/>
        </w:rPr>
        <w:t xml:space="preserve">In terms of safety, the PBAC noted that compared to TPC, </w:t>
      </w:r>
      <w:r w:rsidRPr="00555F01">
        <w:rPr>
          <w:rFonts w:ascii="Calibri" w:hAnsi="Calibri"/>
          <w:bCs/>
          <w:snapToGrid/>
        </w:rPr>
        <w:t>SG was associated with a higher incidence of Grade 3 or higher treatment-related adverse events (AEs)</w:t>
      </w:r>
      <w:r>
        <w:rPr>
          <w:rFonts w:ascii="Calibri" w:hAnsi="Calibri"/>
          <w:bCs/>
          <w:snapToGrid/>
        </w:rPr>
        <w:t xml:space="preserve">, serious </w:t>
      </w:r>
      <w:r w:rsidRPr="00555F01">
        <w:rPr>
          <w:rFonts w:ascii="Calibri" w:hAnsi="Calibri"/>
          <w:bCs/>
          <w:snapToGrid/>
        </w:rPr>
        <w:t>treatment-related</w:t>
      </w:r>
      <w:r>
        <w:rPr>
          <w:rFonts w:ascii="Calibri" w:hAnsi="Calibri"/>
          <w:bCs/>
          <w:snapToGrid/>
        </w:rPr>
        <w:t xml:space="preserve"> AEs, and AEs leading to drug interruption. </w:t>
      </w:r>
      <w:r w:rsidR="00B97E42">
        <w:rPr>
          <w:rFonts w:ascii="Calibri" w:hAnsi="Calibri"/>
          <w:bCs/>
          <w:snapToGrid/>
        </w:rPr>
        <w:t xml:space="preserve">SG was also associated </w:t>
      </w:r>
      <w:r w:rsidR="00B97E42">
        <w:rPr>
          <w:rFonts w:ascii="Calibri" w:hAnsi="Calibri"/>
          <w:bCs/>
          <w:snapToGrid/>
        </w:rPr>
        <w:lastRenderedPageBreak/>
        <w:t xml:space="preserve">with a </w:t>
      </w:r>
      <w:r w:rsidRPr="00372F87">
        <w:rPr>
          <w:bCs/>
        </w:rPr>
        <w:t>high</w:t>
      </w:r>
      <w:r w:rsidR="00B97E42">
        <w:rPr>
          <w:bCs/>
        </w:rPr>
        <w:t>er</w:t>
      </w:r>
      <w:r w:rsidRPr="00372F87">
        <w:rPr>
          <w:bCs/>
        </w:rPr>
        <w:t xml:space="preserve"> incidence of</w:t>
      </w:r>
      <w:r w:rsidRPr="00372F87">
        <w:rPr>
          <w:rFonts w:ascii="Calibri" w:hAnsi="Calibri"/>
          <w:bCs/>
          <w:snapToGrid/>
        </w:rPr>
        <w:t xml:space="preserve"> </w:t>
      </w:r>
      <w:r w:rsidR="00C04EA5">
        <w:rPr>
          <w:rFonts w:ascii="Calibri" w:hAnsi="Calibri"/>
          <w:bCs/>
          <w:snapToGrid/>
        </w:rPr>
        <w:t xml:space="preserve">serious </w:t>
      </w:r>
      <w:r w:rsidRPr="00372F87">
        <w:rPr>
          <w:rFonts w:ascii="Calibri" w:hAnsi="Calibri"/>
          <w:bCs/>
          <w:snapToGrid/>
        </w:rPr>
        <w:t xml:space="preserve">febrile neutropenia </w:t>
      </w:r>
      <w:r w:rsidR="00C04EA5">
        <w:rPr>
          <w:rFonts w:ascii="Calibri" w:hAnsi="Calibri"/>
          <w:bCs/>
          <w:snapToGrid/>
        </w:rPr>
        <w:t xml:space="preserve">(5% versus 1.8%) </w:t>
      </w:r>
      <w:r w:rsidRPr="00372F87">
        <w:rPr>
          <w:rFonts w:ascii="Calibri" w:hAnsi="Calibri"/>
          <w:bCs/>
          <w:snapToGrid/>
        </w:rPr>
        <w:t>and diarrhoea</w:t>
      </w:r>
      <w:r w:rsidR="00C04EA5">
        <w:rPr>
          <w:rFonts w:ascii="Calibri" w:hAnsi="Calibri"/>
          <w:bCs/>
          <w:snapToGrid/>
        </w:rPr>
        <w:t xml:space="preserve"> (3.5% versus 0%) than TPC</w:t>
      </w:r>
      <w:r w:rsidRPr="00372F87">
        <w:rPr>
          <w:rFonts w:ascii="Calibri" w:hAnsi="Calibri"/>
          <w:bCs/>
          <w:snapToGrid/>
        </w:rPr>
        <w:t>.</w:t>
      </w:r>
      <w:r>
        <w:rPr>
          <w:rFonts w:ascii="Calibri" w:hAnsi="Calibri"/>
          <w:bCs/>
          <w:snapToGrid/>
        </w:rPr>
        <w:t xml:space="preserve"> </w:t>
      </w:r>
      <w:r w:rsidR="006952F9">
        <w:rPr>
          <w:rFonts w:ascii="Calibri" w:hAnsi="Calibri"/>
          <w:bCs/>
          <w:snapToGrid/>
        </w:rPr>
        <w:t>T</w:t>
      </w:r>
      <w:r>
        <w:rPr>
          <w:rFonts w:ascii="Calibri" w:hAnsi="Calibri"/>
          <w:bCs/>
          <w:snapToGrid/>
        </w:rPr>
        <w:t xml:space="preserve">he PBAC </w:t>
      </w:r>
      <w:r>
        <w:rPr>
          <w:snapToGrid/>
        </w:rPr>
        <w:t xml:space="preserve">considered that </w:t>
      </w:r>
      <w:r w:rsidRPr="00C106BF">
        <w:rPr>
          <w:snapToGrid/>
        </w:rPr>
        <w:t>SG was inferior compared to TPC in terms of safety</w:t>
      </w:r>
      <w:r w:rsidR="006952F9">
        <w:rPr>
          <w:snapToGrid/>
        </w:rPr>
        <w:t xml:space="preserve">, but </w:t>
      </w:r>
      <w:r w:rsidR="006952F9">
        <w:rPr>
          <w:rFonts w:ascii="Calibri" w:hAnsi="Calibri"/>
          <w:bCs/>
          <w:snapToGrid/>
        </w:rPr>
        <w:t xml:space="preserve">acknowledged the comparison of AEs was difficult given TPC comprises </w:t>
      </w:r>
      <w:r w:rsidR="00D37637">
        <w:rPr>
          <w:rFonts w:ascii="Calibri" w:hAnsi="Calibri"/>
          <w:bCs/>
          <w:snapToGrid/>
        </w:rPr>
        <w:t xml:space="preserve">a range of </w:t>
      </w:r>
      <w:r w:rsidR="006952F9">
        <w:rPr>
          <w:rFonts w:ascii="Calibri" w:hAnsi="Calibri"/>
          <w:bCs/>
          <w:snapToGrid/>
        </w:rPr>
        <w:t>different agents</w:t>
      </w:r>
      <w:r w:rsidR="00113BCA">
        <w:rPr>
          <w:rFonts w:ascii="Calibri" w:hAnsi="Calibri"/>
          <w:bCs/>
          <w:snapToGrid/>
        </w:rPr>
        <w:t xml:space="preserve"> and </w:t>
      </w:r>
      <w:r w:rsidR="004A2E64">
        <w:rPr>
          <w:rFonts w:ascii="Calibri" w:hAnsi="Calibri"/>
          <w:bCs/>
          <w:snapToGrid/>
        </w:rPr>
        <w:t xml:space="preserve">that these </w:t>
      </w:r>
      <w:r w:rsidR="00113BCA">
        <w:rPr>
          <w:rFonts w:ascii="Calibri" w:hAnsi="Calibri"/>
          <w:bCs/>
          <w:snapToGrid/>
        </w:rPr>
        <w:t>were given for a shorter time than SG</w:t>
      </w:r>
      <w:r w:rsidRPr="00C106BF">
        <w:rPr>
          <w:snapToGrid/>
        </w:rPr>
        <w:t>.</w:t>
      </w:r>
      <w:r w:rsidR="009B296C">
        <w:rPr>
          <w:snapToGrid/>
        </w:rPr>
        <w:t xml:space="preserve">  </w:t>
      </w:r>
    </w:p>
    <w:p w14:paraId="5FDDF296" w14:textId="77777777" w:rsidR="00D37637" w:rsidRPr="00674CC5" w:rsidRDefault="00674CC5" w:rsidP="00674CC5">
      <w:pPr>
        <w:pStyle w:val="3-BodyText"/>
        <w:rPr>
          <w:snapToGrid/>
          <w:lang w:val="en-GB"/>
        </w:rPr>
      </w:pPr>
      <w:r>
        <w:rPr>
          <w:bCs/>
          <w:snapToGrid/>
          <w:lang w:val="en-GB"/>
        </w:rPr>
        <w:t>While t</w:t>
      </w:r>
      <w:r w:rsidR="00534EB7" w:rsidRPr="00534EB7">
        <w:rPr>
          <w:bCs/>
          <w:snapToGrid/>
          <w:lang w:val="en-GB"/>
        </w:rPr>
        <w:t xml:space="preserve">he submission </w:t>
      </w:r>
      <w:r w:rsidR="006952F9">
        <w:rPr>
          <w:bCs/>
          <w:snapToGrid/>
          <w:lang w:val="en-GB"/>
        </w:rPr>
        <w:t>stat</w:t>
      </w:r>
      <w:r w:rsidR="00534EB7" w:rsidRPr="00534EB7">
        <w:rPr>
          <w:bCs/>
          <w:snapToGrid/>
          <w:lang w:val="en-GB"/>
        </w:rPr>
        <w:t>ed that the AE profile of SG is predictable and manageable</w:t>
      </w:r>
      <w:r>
        <w:rPr>
          <w:bCs/>
          <w:snapToGrid/>
          <w:lang w:val="en-GB"/>
        </w:rPr>
        <w:t>, t</w:t>
      </w:r>
      <w:r w:rsidR="00D37637">
        <w:rPr>
          <w:bCs/>
          <w:snapToGrid/>
          <w:lang w:val="en-GB"/>
        </w:rPr>
        <w:t>he PBAC re-iterated the comments from t</w:t>
      </w:r>
      <w:r w:rsidR="00D37637" w:rsidRPr="00D37637">
        <w:rPr>
          <w:bCs/>
          <w:snapToGrid/>
          <w:lang w:val="en-GB"/>
        </w:rPr>
        <w:t xml:space="preserve">he TGA Delegate’s Overview </w:t>
      </w:r>
      <w:r w:rsidR="00D37637">
        <w:rPr>
          <w:bCs/>
          <w:snapToGrid/>
          <w:lang w:val="en-GB"/>
        </w:rPr>
        <w:t>t</w:t>
      </w:r>
      <w:r w:rsidR="00D37637" w:rsidRPr="00D37637">
        <w:rPr>
          <w:bCs/>
          <w:snapToGrid/>
          <w:lang w:val="en-GB"/>
        </w:rPr>
        <w:t>hat</w:t>
      </w:r>
      <w:r>
        <w:rPr>
          <w:bCs/>
          <w:snapToGrid/>
          <w:lang w:val="en-GB"/>
        </w:rPr>
        <w:t xml:space="preserve"> the toxicities of SG may not be immediately clear </w:t>
      </w:r>
      <w:r w:rsidR="00113BCA">
        <w:rPr>
          <w:bCs/>
          <w:snapToGrid/>
          <w:lang w:val="en-GB"/>
        </w:rPr>
        <w:t xml:space="preserve">to prescribers </w:t>
      </w:r>
      <w:r>
        <w:rPr>
          <w:bCs/>
          <w:snapToGrid/>
          <w:lang w:val="en-GB"/>
        </w:rPr>
        <w:t>given it is a</w:t>
      </w:r>
      <w:r w:rsidR="00CC0A58">
        <w:rPr>
          <w:bCs/>
          <w:snapToGrid/>
          <w:lang w:val="en-GB"/>
        </w:rPr>
        <w:t>n</w:t>
      </w:r>
      <w:r>
        <w:rPr>
          <w:bCs/>
          <w:snapToGrid/>
          <w:lang w:val="en-GB"/>
        </w:rPr>
        <w:t xml:space="preserve"> </w:t>
      </w:r>
      <w:r w:rsidR="00113BCA">
        <w:rPr>
          <w:bCs/>
          <w:snapToGrid/>
          <w:lang w:val="en-GB"/>
        </w:rPr>
        <w:t>antibody-drug conjugate</w:t>
      </w:r>
      <w:r>
        <w:rPr>
          <w:bCs/>
          <w:snapToGrid/>
          <w:lang w:val="en-GB"/>
        </w:rPr>
        <w:t xml:space="preserve"> </w:t>
      </w:r>
      <w:r w:rsidRPr="00D37637">
        <w:rPr>
          <w:bCs/>
          <w:snapToGrid/>
          <w:lang w:val="en-GB"/>
        </w:rPr>
        <w:t>(page</w:t>
      </w:r>
      <w:r>
        <w:rPr>
          <w:bCs/>
          <w:snapToGrid/>
          <w:lang w:val="en-GB"/>
        </w:rPr>
        <w:t>s</w:t>
      </w:r>
      <w:r w:rsidRPr="00D37637">
        <w:rPr>
          <w:bCs/>
          <w:snapToGrid/>
          <w:lang w:val="en-GB"/>
        </w:rPr>
        <w:t xml:space="preserve"> 3</w:t>
      </w:r>
      <w:r>
        <w:rPr>
          <w:bCs/>
          <w:snapToGrid/>
          <w:lang w:val="en-GB"/>
        </w:rPr>
        <w:t xml:space="preserve"> and 27</w:t>
      </w:r>
      <w:r w:rsidRPr="00D37637">
        <w:rPr>
          <w:bCs/>
          <w:snapToGrid/>
          <w:lang w:val="en-GB"/>
        </w:rPr>
        <w:t>)</w:t>
      </w:r>
      <w:r>
        <w:rPr>
          <w:bCs/>
          <w:snapToGrid/>
          <w:lang w:val="en-GB"/>
        </w:rPr>
        <w:t>. T</w:t>
      </w:r>
      <w:r w:rsidR="00D37637" w:rsidRPr="00674CC5">
        <w:rPr>
          <w:snapToGrid/>
          <w:lang w:val="en-GB"/>
        </w:rPr>
        <w:t xml:space="preserve">he PBAC considered that </w:t>
      </w:r>
      <w:r w:rsidR="00113BCA">
        <w:rPr>
          <w:snapToGrid/>
          <w:lang w:val="en-GB"/>
        </w:rPr>
        <w:t>SG ha</w:t>
      </w:r>
      <w:r w:rsidR="00D16D2E">
        <w:rPr>
          <w:snapToGrid/>
          <w:lang w:val="en-GB"/>
        </w:rPr>
        <w:t>s</w:t>
      </w:r>
      <w:r w:rsidR="00113BCA">
        <w:rPr>
          <w:snapToGrid/>
          <w:lang w:val="en-GB"/>
        </w:rPr>
        <w:t xml:space="preserve"> chemotherapy-like toxicity and </w:t>
      </w:r>
      <w:r w:rsidR="00D37637" w:rsidRPr="00674CC5">
        <w:rPr>
          <w:snapToGrid/>
          <w:lang w:val="en-GB"/>
        </w:rPr>
        <w:t xml:space="preserve">prescribers </w:t>
      </w:r>
      <w:r>
        <w:rPr>
          <w:snapToGrid/>
          <w:lang w:val="en-GB"/>
        </w:rPr>
        <w:t>should be</w:t>
      </w:r>
      <w:r w:rsidRPr="00674CC5">
        <w:rPr>
          <w:snapToGrid/>
          <w:lang w:val="en-GB"/>
        </w:rPr>
        <w:t xml:space="preserve"> </w:t>
      </w:r>
      <w:r w:rsidR="00D37637" w:rsidRPr="00674CC5">
        <w:rPr>
          <w:snapToGrid/>
          <w:lang w:val="en-GB"/>
        </w:rPr>
        <w:t xml:space="preserve">adequately informed about the expected </w:t>
      </w:r>
      <w:r w:rsidR="00113BCA">
        <w:rPr>
          <w:snapToGrid/>
          <w:lang w:val="en-GB"/>
        </w:rPr>
        <w:t xml:space="preserve">frequency of </w:t>
      </w:r>
      <w:r w:rsidR="00D37637" w:rsidRPr="00674CC5">
        <w:rPr>
          <w:snapToGrid/>
          <w:lang w:val="en-GB"/>
        </w:rPr>
        <w:t>AEs</w:t>
      </w:r>
      <w:r w:rsidR="000E111E">
        <w:rPr>
          <w:snapToGrid/>
          <w:lang w:val="en-GB"/>
        </w:rPr>
        <w:t>,</w:t>
      </w:r>
      <w:r w:rsidR="00D37637" w:rsidRPr="00674CC5">
        <w:rPr>
          <w:snapToGrid/>
          <w:lang w:val="en-GB"/>
        </w:rPr>
        <w:t xml:space="preserve"> </w:t>
      </w:r>
      <w:r w:rsidR="003E2650">
        <w:rPr>
          <w:snapToGrid/>
          <w:lang w:val="en-GB"/>
        </w:rPr>
        <w:t xml:space="preserve">such as by </w:t>
      </w:r>
      <w:r w:rsidR="000E111E">
        <w:rPr>
          <w:snapToGrid/>
          <w:lang w:val="en-GB"/>
        </w:rPr>
        <w:t xml:space="preserve">including </w:t>
      </w:r>
      <w:r w:rsidR="00D37637" w:rsidRPr="00674CC5">
        <w:rPr>
          <w:snapToGrid/>
          <w:lang w:val="en-GB"/>
        </w:rPr>
        <w:t>a caution in</w:t>
      </w:r>
      <w:r w:rsidR="003E2650">
        <w:rPr>
          <w:snapToGrid/>
          <w:lang w:val="en-GB"/>
        </w:rPr>
        <w:t xml:space="preserve"> </w:t>
      </w:r>
      <w:r w:rsidR="00D37637" w:rsidRPr="00674CC5">
        <w:rPr>
          <w:snapToGrid/>
          <w:lang w:val="en-GB"/>
        </w:rPr>
        <w:t xml:space="preserve">the </w:t>
      </w:r>
      <w:r w:rsidR="003E2650">
        <w:rPr>
          <w:snapToGrid/>
          <w:lang w:val="en-GB"/>
        </w:rPr>
        <w:t xml:space="preserve">PBS </w:t>
      </w:r>
      <w:r w:rsidR="00D37637" w:rsidRPr="00674CC5">
        <w:rPr>
          <w:snapToGrid/>
          <w:lang w:val="en-GB"/>
        </w:rPr>
        <w:t xml:space="preserve">restriction. </w:t>
      </w:r>
      <w:r w:rsidR="006A6E1D">
        <w:rPr>
          <w:snapToGrid/>
          <w:lang w:val="en-GB"/>
        </w:rPr>
        <w:t>The PBAC also considered that r</w:t>
      </w:r>
      <w:r w:rsidR="00D37637" w:rsidRPr="00674CC5">
        <w:rPr>
          <w:bCs/>
          <w:snapToGrid/>
          <w:lang w:val="en-GB"/>
        </w:rPr>
        <w:t xml:space="preserve">isk management strategies and activities to support quality use of medicines </w:t>
      </w:r>
      <w:r w:rsidR="00D16D2E">
        <w:rPr>
          <w:snapToGrid/>
          <w:lang w:val="en-GB"/>
        </w:rPr>
        <w:t xml:space="preserve">would </w:t>
      </w:r>
      <w:r w:rsidR="00B50802" w:rsidRPr="00674CC5">
        <w:rPr>
          <w:snapToGrid/>
          <w:lang w:val="en-GB"/>
        </w:rPr>
        <w:t>be required</w:t>
      </w:r>
      <w:r>
        <w:rPr>
          <w:snapToGrid/>
          <w:lang w:val="en-GB"/>
        </w:rPr>
        <w:t>.</w:t>
      </w:r>
    </w:p>
    <w:p w14:paraId="60B05BA0" w14:textId="77777777" w:rsidR="00861E9F" w:rsidRPr="00534EB7" w:rsidRDefault="00861E9F" w:rsidP="006952F9">
      <w:pPr>
        <w:pStyle w:val="3-BodyText"/>
        <w:rPr>
          <w:snapToGrid/>
        </w:rPr>
      </w:pPr>
      <w:r w:rsidRPr="00534EB7">
        <w:t xml:space="preserve">The PBAC noted that </w:t>
      </w:r>
      <w:r w:rsidR="006952F9">
        <w:t>g</w:t>
      </w:r>
      <w:r w:rsidR="006952F9" w:rsidRPr="006952F9">
        <w:rPr>
          <w:bCs/>
        </w:rPr>
        <w:t xml:space="preserve">ranulocyte-colony stimulating factor (G-CSF) was used in 44% of patients who received </w:t>
      </w:r>
      <w:r w:rsidR="006952F9">
        <w:rPr>
          <w:bCs/>
        </w:rPr>
        <w:t>SG</w:t>
      </w:r>
      <w:r w:rsidRPr="00534EB7">
        <w:t xml:space="preserve"> in the ASCENT trial</w:t>
      </w:r>
      <w:r w:rsidR="00B50802">
        <w:t xml:space="preserve"> (TGA Delegate’s Overview, page 21)</w:t>
      </w:r>
      <w:r w:rsidRPr="00534EB7">
        <w:t xml:space="preserve">. </w:t>
      </w:r>
      <w:r w:rsidRPr="00534EB7">
        <w:rPr>
          <w:snapToGrid/>
        </w:rPr>
        <w:t xml:space="preserve">The PBAC </w:t>
      </w:r>
      <w:r w:rsidR="006952F9">
        <w:rPr>
          <w:snapToGrid/>
        </w:rPr>
        <w:t xml:space="preserve">considered that </w:t>
      </w:r>
      <w:r w:rsidR="000E111E">
        <w:rPr>
          <w:snapToGrid/>
        </w:rPr>
        <w:t xml:space="preserve">the rates of </w:t>
      </w:r>
      <w:r w:rsidR="006952F9">
        <w:rPr>
          <w:snapToGrid/>
        </w:rPr>
        <w:t>G-CSF</w:t>
      </w:r>
      <w:r w:rsidR="00771148">
        <w:rPr>
          <w:snapToGrid/>
        </w:rPr>
        <w:t xml:space="preserve"> </w:t>
      </w:r>
      <w:r w:rsidR="004D0620">
        <w:rPr>
          <w:snapToGrid/>
        </w:rPr>
        <w:t xml:space="preserve">use </w:t>
      </w:r>
      <w:r w:rsidR="00771148">
        <w:rPr>
          <w:snapToGrid/>
        </w:rPr>
        <w:t>will</w:t>
      </w:r>
      <w:r w:rsidR="006952F9">
        <w:rPr>
          <w:snapToGrid/>
        </w:rPr>
        <w:t xml:space="preserve"> </w:t>
      </w:r>
      <w:r w:rsidR="00B50802">
        <w:rPr>
          <w:snapToGrid/>
        </w:rPr>
        <w:t>be lower</w:t>
      </w:r>
      <w:r w:rsidR="006952F9">
        <w:rPr>
          <w:snapToGrid/>
        </w:rPr>
        <w:t xml:space="preserve"> in Australian clinical practice, and thus </w:t>
      </w:r>
      <w:r w:rsidR="002869D1">
        <w:rPr>
          <w:snapToGrid/>
        </w:rPr>
        <w:t>the incidence</w:t>
      </w:r>
      <w:r w:rsidR="006952F9">
        <w:rPr>
          <w:snapToGrid/>
        </w:rPr>
        <w:t xml:space="preserve"> of </w:t>
      </w:r>
      <w:r w:rsidR="00113BCA">
        <w:rPr>
          <w:snapToGrid/>
        </w:rPr>
        <w:t xml:space="preserve">febrile </w:t>
      </w:r>
      <w:r w:rsidR="006952F9">
        <w:rPr>
          <w:snapToGrid/>
        </w:rPr>
        <w:t xml:space="preserve">neutropenia </w:t>
      </w:r>
      <w:r w:rsidR="00771148">
        <w:rPr>
          <w:snapToGrid/>
        </w:rPr>
        <w:t>will</w:t>
      </w:r>
      <w:r w:rsidR="006952F9">
        <w:rPr>
          <w:snapToGrid/>
        </w:rPr>
        <w:t xml:space="preserve"> be higher than reported in the trial.  </w:t>
      </w:r>
    </w:p>
    <w:p w14:paraId="68B801FB" w14:textId="77777777" w:rsidR="003077C4" w:rsidRPr="003077C4" w:rsidRDefault="00674CC5" w:rsidP="008703DD">
      <w:pPr>
        <w:widowControl w:val="0"/>
        <w:numPr>
          <w:ilvl w:val="1"/>
          <w:numId w:val="1"/>
        </w:numPr>
        <w:spacing w:after="120"/>
        <w:rPr>
          <w:rFonts w:asciiTheme="minorHAnsi" w:hAnsiTheme="minorHAnsi"/>
          <w:snapToGrid w:val="0"/>
          <w:lang w:val="en-GB"/>
        </w:rPr>
      </w:pPr>
      <w:r>
        <w:rPr>
          <w:lang w:val="en-GB"/>
        </w:rPr>
        <w:t>I</w:t>
      </w:r>
      <w:r w:rsidRPr="009910D2">
        <w:rPr>
          <w:lang w:val="en-GB"/>
        </w:rPr>
        <w:t xml:space="preserve">n </w:t>
      </w:r>
      <w:r>
        <w:rPr>
          <w:lang w:val="en-GB"/>
        </w:rPr>
        <w:t xml:space="preserve">terms of </w:t>
      </w:r>
      <w:r w:rsidRPr="009910D2">
        <w:rPr>
          <w:lang w:val="en-GB"/>
        </w:rPr>
        <w:t xml:space="preserve">the economic </w:t>
      </w:r>
      <w:r>
        <w:rPr>
          <w:lang w:val="en-GB"/>
        </w:rPr>
        <w:t xml:space="preserve">model, </w:t>
      </w:r>
      <w:r>
        <w:rPr>
          <w:rFonts w:asciiTheme="minorHAnsi" w:hAnsiTheme="minorHAnsi"/>
          <w:snapToGrid w:val="0"/>
          <w:lang w:val="en-GB"/>
        </w:rPr>
        <w:t>t</w:t>
      </w:r>
      <w:r w:rsidR="00F21B8A">
        <w:rPr>
          <w:rFonts w:asciiTheme="minorHAnsi" w:hAnsiTheme="minorHAnsi"/>
          <w:snapToGrid w:val="0"/>
          <w:lang w:val="en-GB"/>
        </w:rPr>
        <w:t xml:space="preserve">he PBAC </w:t>
      </w:r>
      <w:r w:rsidR="00C04EA5">
        <w:rPr>
          <w:rFonts w:asciiTheme="minorHAnsi" w:hAnsiTheme="minorHAnsi"/>
          <w:snapToGrid w:val="0"/>
          <w:lang w:val="en-GB"/>
        </w:rPr>
        <w:t>considered</w:t>
      </w:r>
      <w:r w:rsidR="00F21B8A">
        <w:rPr>
          <w:rFonts w:asciiTheme="minorHAnsi" w:hAnsiTheme="minorHAnsi"/>
          <w:snapToGrid w:val="0"/>
          <w:lang w:val="en-GB"/>
        </w:rPr>
        <w:t xml:space="preserve"> that </w:t>
      </w:r>
      <w:r w:rsidR="00F21B8A" w:rsidRPr="00AA1E24">
        <w:rPr>
          <w:iCs/>
        </w:rPr>
        <w:t>the gamma distribution was more appropriate</w:t>
      </w:r>
      <w:r w:rsidR="004B258A">
        <w:rPr>
          <w:iCs/>
        </w:rPr>
        <w:t xml:space="preserve"> than the</w:t>
      </w:r>
      <w:r w:rsidR="00280EAE">
        <w:rPr>
          <w:iCs/>
        </w:rPr>
        <w:t xml:space="preserve"> </w:t>
      </w:r>
      <w:r w:rsidR="004B258A" w:rsidRPr="009910D2">
        <w:rPr>
          <w:rFonts w:asciiTheme="minorHAnsi" w:hAnsiTheme="minorHAnsi"/>
          <w:snapToGrid w:val="0"/>
          <w:lang w:val="en-GB"/>
        </w:rPr>
        <w:t>log-logistic distribution</w:t>
      </w:r>
      <w:r w:rsidR="004B258A">
        <w:rPr>
          <w:rFonts w:asciiTheme="minorHAnsi" w:hAnsiTheme="minorHAnsi"/>
          <w:snapToGrid w:val="0"/>
          <w:lang w:val="en-GB"/>
        </w:rPr>
        <w:t xml:space="preserve"> </w:t>
      </w:r>
      <w:r w:rsidR="004B258A" w:rsidRPr="009910D2">
        <w:rPr>
          <w:rFonts w:asciiTheme="minorHAnsi" w:hAnsiTheme="minorHAnsi"/>
          <w:snapToGrid w:val="0"/>
          <w:lang w:val="en-GB"/>
        </w:rPr>
        <w:t>for OS extrapolation</w:t>
      </w:r>
      <w:r w:rsidR="004B258A">
        <w:rPr>
          <w:rFonts w:asciiTheme="minorHAnsi" w:hAnsiTheme="minorHAnsi"/>
          <w:snapToGrid w:val="0"/>
          <w:lang w:val="en-GB"/>
        </w:rPr>
        <w:t>. O</w:t>
      </w:r>
      <w:r w:rsidR="00280EAE" w:rsidRPr="00280EAE">
        <w:t>n visual inspection,</w:t>
      </w:r>
      <w:r w:rsidR="004B258A">
        <w:t xml:space="preserve"> the gamma distribution</w:t>
      </w:r>
      <w:r w:rsidR="00280EAE" w:rsidRPr="00280EAE">
        <w:t xml:space="preserve"> appeared to be a better fit for the latter part of the Kaplan Meier curve for the SG arm, while the log</w:t>
      </w:r>
      <w:r w:rsidR="00280EAE" w:rsidRPr="00280EAE">
        <w:noBreakHyphen/>
        <w:t xml:space="preserve">logistic extrapolation may </w:t>
      </w:r>
      <w:r w:rsidR="00280EAE" w:rsidRPr="003077C4">
        <w:t>have overestimated longer-term OS, especially in the SG arm</w:t>
      </w:r>
      <w:r w:rsidR="00F21B8A" w:rsidRPr="003077C4">
        <w:rPr>
          <w:iCs/>
        </w:rPr>
        <w:t xml:space="preserve">. </w:t>
      </w:r>
    </w:p>
    <w:p w14:paraId="7630F9DC" w14:textId="77777777" w:rsidR="008703DD" w:rsidRPr="003077C4" w:rsidRDefault="00C02D78" w:rsidP="008703DD">
      <w:pPr>
        <w:widowControl w:val="0"/>
        <w:numPr>
          <w:ilvl w:val="1"/>
          <w:numId w:val="1"/>
        </w:numPr>
        <w:spacing w:after="120"/>
        <w:rPr>
          <w:rFonts w:asciiTheme="minorHAnsi" w:hAnsiTheme="minorHAnsi"/>
          <w:snapToGrid w:val="0"/>
          <w:lang w:val="en-GB"/>
        </w:rPr>
      </w:pPr>
      <w:r w:rsidRPr="003077C4">
        <w:rPr>
          <w:rFonts w:asciiTheme="minorHAnsi" w:hAnsiTheme="minorHAnsi"/>
          <w:bCs/>
          <w:snapToGrid w:val="0"/>
        </w:rPr>
        <w:t xml:space="preserve">The PBAC </w:t>
      </w:r>
      <w:r w:rsidR="005D5096">
        <w:rPr>
          <w:rFonts w:asciiTheme="minorHAnsi" w:hAnsiTheme="minorHAnsi"/>
          <w:bCs/>
          <w:snapToGrid w:val="0"/>
        </w:rPr>
        <w:t xml:space="preserve">noted </w:t>
      </w:r>
      <w:r w:rsidRPr="003077C4">
        <w:rPr>
          <w:rFonts w:asciiTheme="minorHAnsi" w:hAnsiTheme="minorHAnsi"/>
          <w:bCs/>
          <w:snapToGrid w:val="0"/>
        </w:rPr>
        <w:t>that</w:t>
      </w:r>
      <w:r w:rsidR="003077C4">
        <w:rPr>
          <w:rFonts w:asciiTheme="minorHAnsi" w:hAnsiTheme="minorHAnsi"/>
          <w:bCs/>
          <w:snapToGrid w:val="0"/>
        </w:rPr>
        <w:t xml:space="preserve"> a 10 year time horizon</w:t>
      </w:r>
      <w:r w:rsidR="005D5096">
        <w:rPr>
          <w:rFonts w:asciiTheme="minorHAnsi" w:hAnsiTheme="minorHAnsi"/>
          <w:bCs/>
          <w:snapToGrid w:val="0"/>
        </w:rPr>
        <w:t xml:space="preserve"> was used in the submission</w:t>
      </w:r>
      <w:r w:rsidR="003077C4">
        <w:rPr>
          <w:rFonts w:asciiTheme="minorHAnsi" w:hAnsiTheme="minorHAnsi"/>
          <w:bCs/>
          <w:snapToGrid w:val="0"/>
        </w:rPr>
        <w:t>, but considered that</w:t>
      </w:r>
      <w:r w:rsidRPr="003077C4">
        <w:rPr>
          <w:rFonts w:asciiTheme="minorHAnsi" w:hAnsiTheme="minorHAnsi"/>
          <w:bCs/>
          <w:snapToGrid w:val="0"/>
        </w:rPr>
        <w:t xml:space="preserve"> 5 year</w:t>
      </w:r>
      <w:r w:rsidR="003077C4">
        <w:rPr>
          <w:rFonts w:asciiTheme="minorHAnsi" w:hAnsiTheme="minorHAnsi"/>
          <w:bCs/>
          <w:snapToGrid w:val="0"/>
        </w:rPr>
        <w:t>s</w:t>
      </w:r>
      <w:r w:rsidRPr="003077C4">
        <w:rPr>
          <w:rFonts w:asciiTheme="minorHAnsi" w:hAnsiTheme="minorHAnsi"/>
          <w:bCs/>
          <w:snapToGrid w:val="0"/>
        </w:rPr>
        <w:t xml:space="preserve"> would be</w:t>
      </w:r>
      <w:r w:rsidR="002E1C0D" w:rsidRPr="003077C4">
        <w:rPr>
          <w:rFonts w:asciiTheme="minorHAnsi" w:hAnsiTheme="minorHAnsi"/>
          <w:bCs/>
          <w:snapToGrid w:val="0"/>
        </w:rPr>
        <w:t xml:space="preserve"> </w:t>
      </w:r>
      <w:r w:rsidR="003077C4">
        <w:rPr>
          <w:rFonts w:asciiTheme="minorHAnsi" w:hAnsiTheme="minorHAnsi"/>
          <w:bCs/>
          <w:snapToGrid w:val="0"/>
        </w:rPr>
        <w:t xml:space="preserve">more </w:t>
      </w:r>
      <w:r w:rsidR="002E1C0D" w:rsidRPr="003077C4">
        <w:rPr>
          <w:rFonts w:asciiTheme="minorHAnsi" w:hAnsiTheme="minorHAnsi"/>
          <w:bCs/>
          <w:snapToGrid w:val="0"/>
        </w:rPr>
        <w:t xml:space="preserve">appropriate </w:t>
      </w:r>
      <w:r w:rsidR="00164113">
        <w:rPr>
          <w:rFonts w:asciiTheme="minorHAnsi" w:hAnsiTheme="minorHAnsi"/>
          <w:bCs/>
          <w:snapToGrid w:val="0"/>
        </w:rPr>
        <w:t>given the target population</w:t>
      </w:r>
      <w:r w:rsidR="005D14F6">
        <w:rPr>
          <w:rFonts w:asciiTheme="minorHAnsi" w:hAnsiTheme="minorHAnsi"/>
          <w:bCs/>
          <w:snapToGrid w:val="0"/>
        </w:rPr>
        <w:t>. The PBAC</w:t>
      </w:r>
      <w:r w:rsidRPr="003077C4">
        <w:rPr>
          <w:rFonts w:asciiTheme="minorHAnsi" w:hAnsiTheme="minorHAnsi"/>
          <w:bCs/>
          <w:snapToGrid w:val="0"/>
        </w:rPr>
        <w:t xml:space="preserve"> not</w:t>
      </w:r>
      <w:r w:rsidR="005D14F6">
        <w:rPr>
          <w:rFonts w:asciiTheme="minorHAnsi" w:hAnsiTheme="minorHAnsi"/>
          <w:bCs/>
          <w:snapToGrid w:val="0"/>
        </w:rPr>
        <w:t>ed</w:t>
      </w:r>
      <w:r w:rsidRPr="003077C4">
        <w:rPr>
          <w:rFonts w:asciiTheme="minorHAnsi" w:hAnsiTheme="minorHAnsi"/>
          <w:bCs/>
          <w:snapToGrid w:val="0"/>
        </w:rPr>
        <w:t xml:space="preserve"> this represents a lifetime time horizon when the gamma function is used to extrapolate OS.</w:t>
      </w:r>
      <w:r w:rsidR="008703DD" w:rsidRPr="003077C4">
        <w:rPr>
          <w:rFonts w:asciiTheme="minorHAnsi" w:hAnsiTheme="minorHAnsi"/>
          <w:bCs/>
          <w:snapToGrid w:val="0"/>
        </w:rPr>
        <w:t xml:space="preserve"> </w:t>
      </w:r>
    </w:p>
    <w:p w14:paraId="4FEE5A8B" w14:textId="77777777" w:rsidR="006A0E8C" w:rsidRDefault="00CE01A4" w:rsidP="00234085">
      <w:pPr>
        <w:pStyle w:val="3-BodyText"/>
        <w:rPr>
          <w:bCs/>
        </w:rPr>
      </w:pPr>
      <w:r>
        <w:rPr>
          <w:lang w:val="en-GB"/>
        </w:rPr>
        <w:t>I</w:t>
      </w:r>
      <w:r w:rsidR="00A04691" w:rsidRPr="00A04691">
        <w:rPr>
          <w:lang w:val="en-GB"/>
        </w:rPr>
        <w:t>n the progression free (PF) health state</w:t>
      </w:r>
      <w:r w:rsidR="00A04691">
        <w:rPr>
          <w:lang w:val="en-GB"/>
        </w:rPr>
        <w:t>,</w:t>
      </w:r>
      <w:r w:rsidR="00A04691" w:rsidRPr="006A0E8C">
        <w:rPr>
          <w:lang w:val="en-GB"/>
        </w:rPr>
        <w:t xml:space="preserve"> </w:t>
      </w:r>
      <w:r w:rsidR="006A0E8C" w:rsidRPr="006A0E8C">
        <w:rPr>
          <w:lang w:val="en-GB"/>
        </w:rPr>
        <w:t>the</w:t>
      </w:r>
      <w:r w:rsidR="00A04691">
        <w:rPr>
          <w:lang w:val="en-GB"/>
        </w:rPr>
        <w:t xml:space="preserve"> economic model applied </w:t>
      </w:r>
      <w:r w:rsidR="002E1C0D">
        <w:rPr>
          <w:lang w:val="en-GB"/>
        </w:rPr>
        <w:t xml:space="preserve">a </w:t>
      </w:r>
      <w:r w:rsidR="00A04691" w:rsidRPr="00A04691">
        <w:rPr>
          <w:lang w:val="en-GB"/>
        </w:rPr>
        <w:t>higher utility value for patients receiving SG compared with those receiving TPC</w:t>
      </w:r>
      <w:r w:rsidR="005D14F6">
        <w:rPr>
          <w:lang w:val="en-GB"/>
        </w:rPr>
        <w:t>,</w:t>
      </w:r>
      <w:r w:rsidR="00A04691" w:rsidRPr="00A04691">
        <w:t xml:space="preserve"> </w:t>
      </w:r>
      <w:r w:rsidR="00A04691">
        <w:t xml:space="preserve">based on the </w:t>
      </w:r>
      <w:r w:rsidR="00C04EA5" w:rsidRPr="00FA58A8">
        <w:t xml:space="preserve">EORTC </w:t>
      </w:r>
      <w:r w:rsidR="00C04EA5">
        <w:t xml:space="preserve">QLQ-C30 </w:t>
      </w:r>
      <w:r w:rsidR="00A04691">
        <w:rPr>
          <w:lang w:val="en-GB"/>
        </w:rPr>
        <w:t>results from</w:t>
      </w:r>
      <w:r w:rsidR="00A04691" w:rsidRPr="00A04691">
        <w:rPr>
          <w:lang w:val="en-GB"/>
        </w:rPr>
        <w:t xml:space="preserve"> </w:t>
      </w:r>
      <w:r w:rsidR="00C04EA5">
        <w:rPr>
          <w:bCs/>
        </w:rPr>
        <w:t>ASCENT</w:t>
      </w:r>
      <w:r w:rsidR="00A04691">
        <w:rPr>
          <w:lang w:val="en-GB"/>
        </w:rPr>
        <w:t xml:space="preserve">. As </w:t>
      </w:r>
      <w:r w:rsidR="00C04EA5">
        <w:rPr>
          <w:lang w:val="en-GB"/>
        </w:rPr>
        <w:t>outlined</w:t>
      </w:r>
      <w:r w:rsidR="00A04691">
        <w:rPr>
          <w:lang w:val="en-GB"/>
        </w:rPr>
        <w:t xml:space="preserve"> above, </w:t>
      </w:r>
      <w:r w:rsidR="000D7248">
        <w:rPr>
          <w:lang w:val="en-GB"/>
        </w:rPr>
        <w:t xml:space="preserve">the PBAC considered </w:t>
      </w:r>
      <w:r w:rsidR="00234085" w:rsidRPr="00234085">
        <w:rPr>
          <w:lang w:val="en-GB"/>
        </w:rPr>
        <w:t xml:space="preserve">that a difference in quality of life and consequently in utilities </w:t>
      </w:r>
      <w:r w:rsidR="007D1F60">
        <w:rPr>
          <w:lang w:val="en-GB"/>
        </w:rPr>
        <w:t>between the arms (</w:t>
      </w:r>
      <w:r w:rsidR="00234085" w:rsidRPr="00234085">
        <w:rPr>
          <w:lang w:val="en-GB"/>
        </w:rPr>
        <w:t>in the PF health state</w:t>
      </w:r>
      <w:r w:rsidR="007D1F60">
        <w:rPr>
          <w:lang w:val="en-GB"/>
        </w:rPr>
        <w:t>)</w:t>
      </w:r>
      <w:r w:rsidR="00234085" w:rsidRPr="00234085">
        <w:rPr>
          <w:lang w:val="en-GB"/>
        </w:rPr>
        <w:t xml:space="preserve"> was possible but also uncertain. Accordingly, sensitivity an</w:t>
      </w:r>
      <w:r w:rsidR="001C513C">
        <w:rPr>
          <w:lang w:val="en-GB"/>
        </w:rPr>
        <w:t xml:space="preserve">alyses that assumed no difference between the arms </w:t>
      </w:r>
      <w:r w:rsidR="00234085" w:rsidRPr="00234085">
        <w:rPr>
          <w:lang w:val="en-GB"/>
        </w:rPr>
        <w:t xml:space="preserve">were also relevant, </w:t>
      </w:r>
      <w:r w:rsidR="001C513C">
        <w:rPr>
          <w:lang w:val="en-GB"/>
        </w:rPr>
        <w:t>and the PBAC noted th</w:t>
      </w:r>
      <w:r w:rsidR="004D0620">
        <w:rPr>
          <w:lang w:val="en-GB"/>
        </w:rPr>
        <w:t>ese</w:t>
      </w:r>
      <w:r w:rsidR="001C513C">
        <w:rPr>
          <w:lang w:val="en-GB"/>
        </w:rPr>
        <w:t xml:space="preserve"> </w:t>
      </w:r>
      <w:r w:rsidR="004D0620">
        <w:rPr>
          <w:lang w:val="en-GB"/>
        </w:rPr>
        <w:t>showed</w:t>
      </w:r>
      <w:r w:rsidR="001C513C">
        <w:rPr>
          <w:lang w:val="en-GB"/>
        </w:rPr>
        <w:t xml:space="preserve"> </w:t>
      </w:r>
      <w:r w:rsidR="00234085" w:rsidRPr="00234085">
        <w:rPr>
          <w:lang w:val="en-GB"/>
        </w:rPr>
        <w:t>a moderate i</w:t>
      </w:r>
      <w:r w:rsidR="001C513C">
        <w:rPr>
          <w:lang w:val="en-GB"/>
        </w:rPr>
        <w:t xml:space="preserve">ncrease to </w:t>
      </w:r>
      <w:r w:rsidR="00234085" w:rsidRPr="00234085">
        <w:rPr>
          <w:lang w:val="en-GB"/>
        </w:rPr>
        <w:t>the ICER.</w:t>
      </w:r>
      <w:r w:rsidR="007D1F60">
        <w:rPr>
          <w:lang w:val="en-GB"/>
        </w:rPr>
        <w:t xml:space="preserve"> </w:t>
      </w:r>
      <w:r w:rsidR="001C513C">
        <w:rPr>
          <w:lang w:val="en-GB"/>
        </w:rPr>
        <w:t>Up</w:t>
      </w:r>
      <w:r w:rsidR="000D7248">
        <w:rPr>
          <w:lang w:val="en-GB"/>
        </w:rPr>
        <w:t xml:space="preserve">dated utility values </w:t>
      </w:r>
      <w:r w:rsidR="000D7248">
        <w:t xml:space="preserve">using </w:t>
      </w:r>
      <w:r w:rsidR="000D7248" w:rsidRPr="00457FD3">
        <w:t>Australian-based preference weights</w:t>
      </w:r>
      <w:r w:rsidR="000D7248">
        <w:rPr>
          <w:lang w:val="en-GB"/>
        </w:rPr>
        <w:t xml:space="preserve"> were provided in the</w:t>
      </w:r>
      <w:r w:rsidR="00A04691" w:rsidRPr="00A04691">
        <w:rPr>
          <w:lang w:val="en-GB"/>
        </w:rPr>
        <w:t xml:space="preserve"> </w:t>
      </w:r>
      <w:r w:rsidR="006A0E8C" w:rsidRPr="006A0E8C">
        <w:rPr>
          <w:lang w:val="en-GB"/>
        </w:rPr>
        <w:t>pre</w:t>
      </w:r>
      <w:r w:rsidR="00A04691">
        <w:rPr>
          <w:lang w:val="en-GB"/>
        </w:rPr>
        <w:t>-</w:t>
      </w:r>
      <w:r w:rsidR="006A0E8C" w:rsidRPr="006A0E8C">
        <w:rPr>
          <w:lang w:val="en-GB"/>
        </w:rPr>
        <w:t>PBAC response</w:t>
      </w:r>
      <w:r w:rsidR="00063771">
        <w:rPr>
          <w:lang w:val="en-GB"/>
        </w:rPr>
        <w:t xml:space="preserve"> (for the </w:t>
      </w:r>
      <w:r w:rsidR="00063771">
        <w:t>progression free health state:</w:t>
      </w:r>
      <w:r w:rsidR="00063771" w:rsidRPr="00FB3C76">
        <w:t xml:space="preserve"> </w:t>
      </w:r>
      <w:r w:rsidRPr="00FB3C76">
        <w:t>0.746 for SG</w:t>
      </w:r>
      <w:r>
        <w:t>,</w:t>
      </w:r>
      <w:r w:rsidRPr="00FB3C76">
        <w:t xml:space="preserve"> </w:t>
      </w:r>
      <w:r w:rsidR="00063771" w:rsidRPr="00FB3C76">
        <w:t>0.662 for TPC</w:t>
      </w:r>
      <w:r w:rsidR="00063771">
        <w:t>)</w:t>
      </w:r>
      <w:r w:rsidR="000D7248">
        <w:rPr>
          <w:lang w:val="en-GB"/>
        </w:rPr>
        <w:t>.</w:t>
      </w:r>
      <w:r w:rsidR="0050329A">
        <w:rPr>
          <w:lang w:val="en-GB"/>
        </w:rPr>
        <w:t xml:space="preserve"> The PBAC concluded that the use of the</w:t>
      </w:r>
      <w:r w:rsidR="008552DA">
        <w:rPr>
          <w:lang w:val="en-GB"/>
        </w:rPr>
        <w:t>se</w:t>
      </w:r>
      <w:r w:rsidR="0050329A">
        <w:rPr>
          <w:lang w:val="en-GB"/>
        </w:rPr>
        <w:t xml:space="preserve"> pre-PBAC </w:t>
      </w:r>
      <w:r w:rsidR="00D1598D">
        <w:rPr>
          <w:lang w:val="en-GB"/>
        </w:rPr>
        <w:t xml:space="preserve">response </w:t>
      </w:r>
      <w:r w:rsidR="0050329A">
        <w:rPr>
          <w:lang w:val="en-GB"/>
        </w:rPr>
        <w:t>updated utility values</w:t>
      </w:r>
      <w:r w:rsidR="008552DA">
        <w:rPr>
          <w:lang w:val="en-GB"/>
        </w:rPr>
        <w:t xml:space="preserve"> were</w:t>
      </w:r>
      <w:r w:rsidR="0050329A">
        <w:rPr>
          <w:lang w:val="en-GB"/>
        </w:rPr>
        <w:t xml:space="preserve"> appropriate, </w:t>
      </w:r>
      <w:r w:rsidR="0008578A">
        <w:rPr>
          <w:lang w:val="en-GB"/>
        </w:rPr>
        <w:t>and that</w:t>
      </w:r>
      <w:r w:rsidR="0050329A">
        <w:rPr>
          <w:lang w:val="en-GB"/>
        </w:rPr>
        <w:t xml:space="preserve"> </w:t>
      </w:r>
      <w:r w:rsidR="0008578A">
        <w:rPr>
          <w:lang w:val="en-GB"/>
        </w:rPr>
        <w:t>a</w:t>
      </w:r>
      <w:r w:rsidR="0050329A">
        <w:rPr>
          <w:lang w:val="en-GB"/>
        </w:rPr>
        <w:t xml:space="preserve"> higher utility </w:t>
      </w:r>
      <w:r w:rsidR="0008578A">
        <w:rPr>
          <w:lang w:val="en-GB"/>
        </w:rPr>
        <w:t xml:space="preserve">in the </w:t>
      </w:r>
      <w:r w:rsidR="008552DA">
        <w:rPr>
          <w:lang w:val="en-GB"/>
        </w:rPr>
        <w:t xml:space="preserve">SG arm in the </w:t>
      </w:r>
      <w:r w:rsidR="0008578A">
        <w:rPr>
          <w:lang w:val="en-GB"/>
        </w:rPr>
        <w:t>PF state</w:t>
      </w:r>
      <w:r w:rsidR="0050329A">
        <w:rPr>
          <w:lang w:val="en-GB"/>
        </w:rPr>
        <w:t xml:space="preserve"> may be </w:t>
      </w:r>
      <w:r w:rsidR="001C513C">
        <w:rPr>
          <w:lang w:val="en-GB"/>
        </w:rPr>
        <w:t>possible</w:t>
      </w:r>
      <w:r w:rsidR="0008578A">
        <w:rPr>
          <w:lang w:val="en-GB"/>
        </w:rPr>
        <w:t xml:space="preserve"> </w:t>
      </w:r>
      <w:r w:rsidR="0050329A">
        <w:rPr>
          <w:lang w:val="en-GB"/>
        </w:rPr>
        <w:t>in this case</w:t>
      </w:r>
      <w:r w:rsidR="00D82D32">
        <w:rPr>
          <w:lang w:val="en-GB"/>
        </w:rPr>
        <w:t xml:space="preserve">, </w:t>
      </w:r>
      <w:r w:rsidR="006519CF">
        <w:rPr>
          <w:lang w:val="en-GB"/>
        </w:rPr>
        <w:t>noting also the</w:t>
      </w:r>
      <w:r w:rsidR="007D1F60">
        <w:rPr>
          <w:lang w:val="en-GB"/>
        </w:rPr>
        <w:t xml:space="preserve"> value of additional</w:t>
      </w:r>
      <w:r w:rsidR="00D82D32">
        <w:rPr>
          <w:lang w:val="en-GB"/>
        </w:rPr>
        <w:t xml:space="preserve"> </w:t>
      </w:r>
      <w:r w:rsidR="006519CF">
        <w:rPr>
          <w:lang w:val="en-GB"/>
        </w:rPr>
        <w:t>survival raised through</w:t>
      </w:r>
      <w:r w:rsidR="00D82D32">
        <w:rPr>
          <w:lang w:val="en-GB"/>
        </w:rPr>
        <w:t xml:space="preserve"> </w:t>
      </w:r>
      <w:r w:rsidR="0008578A">
        <w:rPr>
          <w:lang w:val="en-GB"/>
        </w:rPr>
        <w:t>consumer comments</w:t>
      </w:r>
      <w:r w:rsidR="00D82D32">
        <w:rPr>
          <w:lang w:val="en-GB"/>
        </w:rPr>
        <w:t xml:space="preserve"> for TNBC</w:t>
      </w:r>
      <w:r w:rsidR="0008578A">
        <w:rPr>
          <w:lang w:val="en-GB"/>
        </w:rPr>
        <w:t>.</w:t>
      </w:r>
      <w:r w:rsidR="000D7248">
        <w:rPr>
          <w:lang w:val="en-GB"/>
        </w:rPr>
        <w:t xml:space="preserve"> </w:t>
      </w:r>
      <w:r w:rsidR="0057706C">
        <w:rPr>
          <w:lang w:val="en-GB"/>
        </w:rPr>
        <w:t xml:space="preserve">For the </w:t>
      </w:r>
      <w:r w:rsidR="0057706C">
        <w:rPr>
          <w:lang w:val="en-GB"/>
        </w:rPr>
        <w:lastRenderedPageBreak/>
        <w:t>progressed disease health state, t</w:t>
      </w:r>
      <w:r w:rsidR="00D1598D">
        <w:rPr>
          <w:lang w:val="en-GB"/>
        </w:rPr>
        <w:t>he PBAC considered that the</w:t>
      </w:r>
      <w:r w:rsidR="0057706C">
        <w:rPr>
          <w:lang w:val="en-GB"/>
        </w:rPr>
        <w:t xml:space="preserve"> utility value </w:t>
      </w:r>
      <w:r w:rsidR="0057706C">
        <w:t xml:space="preserve">should </w:t>
      </w:r>
      <w:r w:rsidR="00D16D2E">
        <w:t xml:space="preserve">be </w:t>
      </w:r>
      <w:r w:rsidR="0057706C">
        <w:t>based on that reported for the TPC arm, as updated in the pre-PBAC response (progressed health state: 0.605).</w:t>
      </w:r>
      <w:r w:rsidR="006A0E8C" w:rsidRPr="006A0E8C">
        <w:rPr>
          <w:lang w:val="en-GB"/>
        </w:rPr>
        <w:t xml:space="preserve"> </w:t>
      </w:r>
      <w:r w:rsidR="006A0E8C">
        <w:rPr>
          <w:bCs/>
        </w:rPr>
        <w:t xml:space="preserve"> </w:t>
      </w:r>
    </w:p>
    <w:p w14:paraId="06145673" w14:textId="77777777" w:rsidR="00171851" w:rsidRPr="00171851" w:rsidRDefault="00C04EA5" w:rsidP="00171851">
      <w:pPr>
        <w:pStyle w:val="3-BodyText"/>
        <w:rPr>
          <w:lang w:val="en-GB"/>
        </w:rPr>
      </w:pPr>
      <w:r>
        <w:rPr>
          <w:lang w:val="en-GB"/>
        </w:rPr>
        <w:t xml:space="preserve">A </w:t>
      </w:r>
      <w:r w:rsidR="001F4CEE" w:rsidRPr="007E2D21">
        <w:t xml:space="preserve">dose intensity of 94.2% </w:t>
      </w:r>
      <w:r>
        <w:t>was</w:t>
      </w:r>
      <w:r w:rsidR="001F4CEE" w:rsidRPr="007E2D21">
        <w:t xml:space="preserve"> </w:t>
      </w:r>
      <w:r w:rsidR="001F4CEE">
        <w:t>applied</w:t>
      </w:r>
      <w:r w:rsidR="001F4CEE" w:rsidRPr="007E2D21">
        <w:t xml:space="preserve"> in the </w:t>
      </w:r>
      <w:r w:rsidR="001F4CEE">
        <w:t>SG arm</w:t>
      </w:r>
      <w:r>
        <w:t xml:space="preserve"> of the</w:t>
      </w:r>
      <w:r w:rsidR="001F4CEE">
        <w:t xml:space="preserve"> </w:t>
      </w:r>
      <w:r w:rsidR="001F4CEE" w:rsidRPr="007E2D21">
        <w:t>economic model</w:t>
      </w:r>
      <w:r w:rsidR="009B2705">
        <w:t>.</w:t>
      </w:r>
      <w:r w:rsidR="001F4CEE" w:rsidRPr="007E2D21">
        <w:t xml:space="preserve"> </w:t>
      </w:r>
      <w:r w:rsidR="009B2705">
        <w:t xml:space="preserve">The PBAC considered that </w:t>
      </w:r>
      <w:r w:rsidR="002915AC">
        <w:t>this was likely overestimated</w:t>
      </w:r>
      <w:r w:rsidR="009B2705">
        <w:t xml:space="preserve">, given the relatively high rates of patients who </w:t>
      </w:r>
      <w:r w:rsidR="009B2705" w:rsidRPr="00F94AE0">
        <w:t>experienced an AE leading to a treatment interruption</w:t>
      </w:r>
      <w:r w:rsidR="009B2705">
        <w:t xml:space="preserve"> (62.8% of patients in </w:t>
      </w:r>
      <w:r w:rsidR="009B2705" w:rsidRPr="00F94AE0">
        <w:t>the SG arm) and dose reductions due to adverse events (21.7% of patients in the SG arm).</w:t>
      </w:r>
      <w:r w:rsidR="004962CE">
        <w:t xml:space="preserve"> </w:t>
      </w:r>
      <w:r w:rsidR="00812E2F">
        <w:t>Given the described methodology for calculating the dose intensity from the trial</w:t>
      </w:r>
      <w:r w:rsidR="004962CE">
        <w:t>, the PBAC considered that it was unclear if this figure captured</w:t>
      </w:r>
      <w:r w:rsidR="004962CE" w:rsidRPr="00F94AE0">
        <w:t xml:space="preserve"> </w:t>
      </w:r>
      <w:r w:rsidR="001C513C">
        <w:t xml:space="preserve">the impact of </w:t>
      </w:r>
      <w:r w:rsidR="004962CE" w:rsidRPr="00F94AE0">
        <w:t>all dose reductions</w:t>
      </w:r>
      <w:r w:rsidR="00812E2F">
        <w:t xml:space="preserve"> and interruptions</w:t>
      </w:r>
      <w:r w:rsidR="004962CE">
        <w:t xml:space="preserve">. </w:t>
      </w:r>
      <w:r w:rsidR="00771148">
        <w:t xml:space="preserve">Furthermore, the PBAC considered that </w:t>
      </w:r>
      <w:r w:rsidR="001C513C">
        <w:t xml:space="preserve">the </w:t>
      </w:r>
      <w:r w:rsidR="00771148">
        <w:t>dose intensity would be expected to be lower in the Australian setting where prophylactic G-CSF is not routinely used for this condition</w:t>
      </w:r>
      <w:r w:rsidR="001C513C">
        <w:t>,</w:t>
      </w:r>
      <w:r w:rsidR="00674C6C">
        <w:t xml:space="preserve"> and further</w:t>
      </w:r>
      <w:r w:rsidR="0071096D">
        <w:t xml:space="preserve"> acknowledged that the impact of this on the efficacy of S</w:t>
      </w:r>
      <w:r w:rsidR="001C513C">
        <w:t>G</w:t>
      </w:r>
      <w:r w:rsidR="0071096D">
        <w:t xml:space="preserve"> was unknown. </w:t>
      </w:r>
      <w:r w:rsidR="004962CE">
        <w:t>In the absence of more reliable information, t</w:t>
      </w:r>
      <w:r w:rsidR="00171851">
        <w:t xml:space="preserve">he PBAC </w:t>
      </w:r>
      <w:r w:rsidR="00171851" w:rsidRPr="007E2D21">
        <w:t xml:space="preserve">considered </w:t>
      </w:r>
      <w:r w:rsidR="00171851">
        <w:t xml:space="preserve">that a dose intensity of 70% to 80% may be </w:t>
      </w:r>
      <w:r w:rsidR="004962CE">
        <w:t>reasonable</w:t>
      </w:r>
      <w:r w:rsidR="00171851">
        <w:t xml:space="preserve"> </w:t>
      </w:r>
      <w:r w:rsidR="005F7A19">
        <w:t>in the context of an early resolution resubmission</w:t>
      </w:r>
      <w:r w:rsidR="009B2705">
        <w:t>.</w:t>
      </w:r>
      <w:r w:rsidR="001F4CEE" w:rsidRPr="007E2D21">
        <w:t xml:space="preserve"> </w:t>
      </w:r>
      <w:r w:rsidR="00BA50D0">
        <w:t xml:space="preserve">The PBAC considered that, </w:t>
      </w:r>
      <w:r w:rsidR="00BA50D0" w:rsidRPr="00171851">
        <w:t>should the dose intensity</w:t>
      </w:r>
      <w:r w:rsidR="00BA50D0">
        <w:t xml:space="preserve"> </w:t>
      </w:r>
      <w:r w:rsidR="008A6C1D">
        <w:t>be reduced in the economic model</w:t>
      </w:r>
      <w:r w:rsidR="00BA50D0" w:rsidRPr="00171851">
        <w:t>, then</w:t>
      </w:r>
      <w:r w:rsidR="00BA50D0">
        <w:t xml:space="preserve"> it would be important for th</w:t>
      </w:r>
      <w:r w:rsidR="008A6C1D">
        <w:t>e</w:t>
      </w:r>
      <w:r w:rsidR="00BA50D0">
        <w:t xml:space="preserve"> same </w:t>
      </w:r>
      <w:r w:rsidR="004962CE">
        <w:t xml:space="preserve">lower </w:t>
      </w:r>
      <w:r w:rsidR="00BA50D0">
        <w:t xml:space="preserve">dose intensity </w:t>
      </w:r>
      <w:r w:rsidR="00BA50D0" w:rsidRPr="00171851">
        <w:t xml:space="preserve">to be </w:t>
      </w:r>
      <w:r w:rsidR="004962CE">
        <w:t>applied</w:t>
      </w:r>
      <w:r w:rsidR="00BA50D0" w:rsidRPr="00171851">
        <w:t xml:space="preserve"> in the</w:t>
      </w:r>
      <w:r w:rsidR="00BA50D0">
        <w:t xml:space="preserve"> financial estimates and </w:t>
      </w:r>
      <w:r w:rsidR="00BA50D0" w:rsidRPr="00171851">
        <w:t xml:space="preserve">RSA caps </w:t>
      </w:r>
      <w:r w:rsidR="001C513C">
        <w:t xml:space="preserve">in order </w:t>
      </w:r>
      <w:r w:rsidR="00BA50D0" w:rsidRPr="00171851">
        <w:t>to reduce the risk of cost-effectiveness not being achieved</w:t>
      </w:r>
      <w:r w:rsidR="00BA50D0">
        <w:t>.</w:t>
      </w:r>
    </w:p>
    <w:p w14:paraId="554525FC" w14:textId="77777777" w:rsidR="00164113" w:rsidRPr="00164113" w:rsidRDefault="00164113" w:rsidP="00164113">
      <w:pPr>
        <w:widowControl w:val="0"/>
        <w:numPr>
          <w:ilvl w:val="1"/>
          <w:numId w:val="1"/>
        </w:numPr>
        <w:spacing w:after="120"/>
        <w:rPr>
          <w:iCs/>
        </w:rPr>
      </w:pPr>
      <w:r>
        <w:rPr>
          <w:rFonts w:asciiTheme="minorHAnsi" w:hAnsiTheme="minorHAnsi"/>
          <w:snapToGrid w:val="0"/>
        </w:rPr>
        <w:t xml:space="preserve">The PBAC considered that the structure of the model was likely to be sufficiently reliable for decision making, but considered that the following inputs would be more appropriate: </w:t>
      </w:r>
    </w:p>
    <w:p w14:paraId="58CF14D4" w14:textId="77777777" w:rsidR="00164113" w:rsidRPr="005D5096" w:rsidRDefault="00164113" w:rsidP="00164113">
      <w:pPr>
        <w:pStyle w:val="ListBullet"/>
        <w:tabs>
          <w:tab w:val="clear" w:pos="360"/>
          <w:tab w:val="num" w:pos="1080"/>
        </w:tabs>
        <w:ind w:left="1080"/>
        <w:rPr>
          <w:lang w:val="en-GB"/>
        </w:rPr>
      </w:pPr>
      <w:r w:rsidRPr="005D5096">
        <w:rPr>
          <w:lang w:val="en-GB"/>
        </w:rPr>
        <w:t>extrapolation of OS using the gamma function in both treatment arms</w:t>
      </w:r>
      <w:r>
        <w:rPr>
          <w:lang w:val="en-GB"/>
        </w:rPr>
        <w:t>;</w:t>
      </w:r>
    </w:p>
    <w:p w14:paraId="1B5EF284" w14:textId="77777777" w:rsidR="00164113" w:rsidRPr="005D5096" w:rsidRDefault="00164113" w:rsidP="00164113">
      <w:pPr>
        <w:pStyle w:val="ListBullet"/>
        <w:tabs>
          <w:tab w:val="clear" w:pos="360"/>
          <w:tab w:val="num" w:pos="1080"/>
        </w:tabs>
        <w:ind w:left="1080"/>
        <w:rPr>
          <w:lang w:val="en-GB"/>
        </w:rPr>
      </w:pPr>
      <w:r w:rsidRPr="005D5096">
        <w:rPr>
          <w:lang w:val="en-GB"/>
        </w:rPr>
        <w:t>a 5 year time horizon</w:t>
      </w:r>
      <w:r>
        <w:rPr>
          <w:lang w:val="en-GB"/>
        </w:rPr>
        <w:t>;</w:t>
      </w:r>
    </w:p>
    <w:p w14:paraId="248A8234" w14:textId="77777777" w:rsidR="00164113" w:rsidRPr="005D5096" w:rsidRDefault="00164113" w:rsidP="00164113">
      <w:pPr>
        <w:pStyle w:val="ListBullet"/>
        <w:tabs>
          <w:tab w:val="clear" w:pos="360"/>
          <w:tab w:val="num" w:pos="1080"/>
        </w:tabs>
        <w:ind w:left="1080"/>
        <w:rPr>
          <w:lang w:val="en-GB"/>
        </w:rPr>
      </w:pPr>
      <w:r>
        <w:rPr>
          <w:lang w:val="en-GB"/>
        </w:rPr>
        <w:t xml:space="preserve">utility values of </w:t>
      </w:r>
      <w:r w:rsidRPr="005D5096">
        <w:rPr>
          <w:lang w:val="en-GB"/>
        </w:rPr>
        <w:t xml:space="preserve">0.746 for SG </w:t>
      </w:r>
      <w:r>
        <w:rPr>
          <w:lang w:val="en-GB"/>
        </w:rPr>
        <w:t xml:space="preserve">and 0.662 for TPC </w:t>
      </w:r>
      <w:r w:rsidRPr="005D5096">
        <w:rPr>
          <w:lang w:val="en-GB"/>
        </w:rPr>
        <w:t>for the progression free health state</w:t>
      </w:r>
      <w:r>
        <w:rPr>
          <w:lang w:val="en-GB"/>
        </w:rPr>
        <w:t>;</w:t>
      </w:r>
    </w:p>
    <w:p w14:paraId="70B1CCF8" w14:textId="77777777" w:rsidR="00164113" w:rsidRPr="005D5096" w:rsidRDefault="00164113" w:rsidP="00164113">
      <w:pPr>
        <w:pStyle w:val="ListBullet"/>
        <w:tabs>
          <w:tab w:val="clear" w:pos="360"/>
          <w:tab w:val="num" w:pos="1080"/>
        </w:tabs>
        <w:ind w:left="1080"/>
        <w:rPr>
          <w:lang w:val="en-GB"/>
        </w:rPr>
      </w:pPr>
      <w:r w:rsidRPr="005D5096">
        <w:rPr>
          <w:lang w:val="en-GB"/>
        </w:rPr>
        <w:t xml:space="preserve">a utility value of 0.605 in </w:t>
      </w:r>
      <w:r>
        <w:rPr>
          <w:lang w:val="en-GB"/>
        </w:rPr>
        <w:t xml:space="preserve">both arms in </w:t>
      </w:r>
      <w:r w:rsidRPr="005D5096">
        <w:rPr>
          <w:lang w:val="en-GB"/>
        </w:rPr>
        <w:t xml:space="preserve">the progressed disease health state (based on </w:t>
      </w:r>
      <w:r w:rsidR="001C513C">
        <w:rPr>
          <w:lang w:val="en-GB"/>
        </w:rPr>
        <w:t xml:space="preserve">the </w:t>
      </w:r>
      <w:r w:rsidRPr="005D5096">
        <w:rPr>
          <w:lang w:val="en-GB"/>
        </w:rPr>
        <w:t>TPC arm)</w:t>
      </w:r>
      <w:r>
        <w:rPr>
          <w:lang w:val="en-GB"/>
        </w:rPr>
        <w:t>;</w:t>
      </w:r>
      <w:r w:rsidR="00A90E5D">
        <w:rPr>
          <w:lang w:val="en-GB"/>
        </w:rPr>
        <w:t xml:space="preserve"> and</w:t>
      </w:r>
    </w:p>
    <w:p w14:paraId="70113C41" w14:textId="77777777" w:rsidR="00164113" w:rsidRDefault="00164113" w:rsidP="00E44459">
      <w:pPr>
        <w:pStyle w:val="ListBullet"/>
        <w:tabs>
          <w:tab w:val="clear" w:pos="360"/>
          <w:tab w:val="num" w:pos="1080"/>
        </w:tabs>
        <w:spacing w:after="120"/>
        <w:ind w:left="1077" w:hanging="357"/>
        <w:contextualSpacing w:val="0"/>
        <w:rPr>
          <w:lang w:val="en-GB"/>
        </w:rPr>
      </w:pPr>
      <w:r w:rsidRPr="005317D1">
        <w:rPr>
          <w:lang w:val="en-GB"/>
        </w:rPr>
        <w:t xml:space="preserve">a dose intensity of 70% </w:t>
      </w:r>
      <w:r w:rsidRPr="005D5096">
        <w:rPr>
          <w:lang w:val="en-GB"/>
        </w:rPr>
        <w:t>to 80%</w:t>
      </w:r>
      <w:r>
        <w:rPr>
          <w:lang w:val="en-GB"/>
        </w:rPr>
        <w:t>.</w:t>
      </w:r>
    </w:p>
    <w:p w14:paraId="604174AF" w14:textId="77777777" w:rsidR="00164113" w:rsidRPr="005317D1" w:rsidRDefault="002E1C0D" w:rsidP="00037EC2">
      <w:pPr>
        <w:pStyle w:val="ListBullet"/>
        <w:widowControl w:val="0"/>
        <w:numPr>
          <w:ilvl w:val="0"/>
          <w:numId w:val="0"/>
        </w:numPr>
        <w:spacing w:after="120"/>
        <w:ind w:left="720"/>
        <w:rPr>
          <w:iCs/>
        </w:rPr>
      </w:pPr>
      <w:r w:rsidRPr="005317D1">
        <w:rPr>
          <w:rFonts w:asciiTheme="minorHAnsi" w:hAnsiTheme="minorHAnsi"/>
          <w:snapToGrid w:val="0"/>
        </w:rPr>
        <w:t xml:space="preserve">The </w:t>
      </w:r>
      <w:r w:rsidR="003F4F07" w:rsidRPr="005317D1">
        <w:rPr>
          <w:rFonts w:asciiTheme="minorHAnsi" w:hAnsiTheme="minorHAnsi"/>
          <w:snapToGrid w:val="0"/>
        </w:rPr>
        <w:t>submission estimated an</w:t>
      </w:r>
      <w:r w:rsidR="009E15FC" w:rsidRPr="005317D1">
        <w:rPr>
          <w:rFonts w:asciiTheme="minorHAnsi" w:hAnsiTheme="minorHAnsi"/>
          <w:snapToGrid w:val="0"/>
        </w:rPr>
        <w:t xml:space="preserve"> </w:t>
      </w:r>
      <w:r w:rsidRPr="005317D1">
        <w:rPr>
          <w:rFonts w:asciiTheme="minorHAnsi" w:hAnsiTheme="minorHAnsi"/>
          <w:snapToGrid w:val="0"/>
        </w:rPr>
        <w:t xml:space="preserve">ICER of </w:t>
      </w:r>
      <w:r w:rsidRPr="005317D1">
        <w:rPr>
          <w:rFonts w:asciiTheme="minorHAnsi" w:hAnsiTheme="minorHAnsi"/>
          <w:snapToGrid w:val="0"/>
          <w:lang w:val="en-GB"/>
        </w:rPr>
        <w:t>$</w:t>
      </w:r>
      <w:r w:rsidR="00BE6BB3">
        <w:rPr>
          <w:rFonts w:asciiTheme="minorHAnsi" w:hAnsiTheme="minorHAnsi"/>
          <w:snapToGrid w:val="0"/>
          <w:lang w:val="en-GB"/>
        </w:rPr>
        <w:t>135,000 to &lt; $155,000</w:t>
      </w:r>
      <w:r w:rsidRPr="005317D1">
        <w:rPr>
          <w:rFonts w:asciiTheme="minorHAnsi" w:hAnsiTheme="minorHAnsi"/>
          <w:snapToGrid w:val="0"/>
          <w:lang w:val="en-GB"/>
        </w:rPr>
        <w:t xml:space="preserve"> </w:t>
      </w:r>
      <w:r w:rsidRPr="005317D1">
        <w:rPr>
          <w:rFonts w:asciiTheme="minorHAnsi" w:hAnsiTheme="minorHAnsi"/>
          <w:snapToGrid w:val="0"/>
        </w:rPr>
        <w:t>per quality adjusted life year (QALY)</w:t>
      </w:r>
      <w:r w:rsidR="001D54C1" w:rsidRPr="005317D1">
        <w:rPr>
          <w:rFonts w:asciiTheme="minorHAnsi" w:hAnsiTheme="minorHAnsi"/>
          <w:snapToGrid w:val="0"/>
        </w:rPr>
        <w:t>. The PBAC noted that the ICER would reduce to around</w:t>
      </w:r>
      <w:r w:rsidR="005C3415" w:rsidRPr="005317D1">
        <w:rPr>
          <w:rFonts w:asciiTheme="minorHAnsi" w:hAnsiTheme="minorHAnsi"/>
          <w:snapToGrid w:val="0"/>
        </w:rPr>
        <w:t xml:space="preserve"> </w:t>
      </w:r>
      <w:r w:rsidR="00CC64F1" w:rsidRPr="005317D1">
        <w:rPr>
          <w:rFonts w:asciiTheme="minorHAnsi" w:hAnsiTheme="minorHAnsi"/>
          <w:snapToGrid w:val="0"/>
        </w:rPr>
        <w:t>$</w:t>
      </w:r>
      <w:r w:rsidR="008135D8">
        <w:rPr>
          <w:rFonts w:asciiTheme="minorHAnsi" w:hAnsiTheme="minorHAnsi"/>
          <w:snapToGrid w:val="0"/>
        </w:rPr>
        <w:t>115,000 to &lt; $135,000</w:t>
      </w:r>
      <w:r w:rsidR="00CC64F1" w:rsidRPr="005317D1">
        <w:rPr>
          <w:rFonts w:asciiTheme="minorHAnsi" w:hAnsiTheme="minorHAnsi"/>
          <w:snapToGrid w:val="0"/>
        </w:rPr>
        <w:t xml:space="preserve"> to $</w:t>
      </w:r>
      <w:r w:rsidR="008135D8">
        <w:rPr>
          <w:rFonts w:asciiTheme="minorHAnsi" w:hAnsiTheme="minorHAnsi"/>
          <w:snapToGrid w:val="0"/>
        </w:rPr>
        <w:t>135,000 to &lt; $155,000</w:t>
      </w:r>
      <w:r w:rsidR="00CC64F1" w:rsidRPr="005317D1">
        <w:rPr>
          <w:rFonts w:asciiTheme="minorHAnsi" w:hAnsiTheme="minorHAnsi"/>
          <w:snapToGrid w:val="0"/>
        </w:rPr>
        <w:t>/QALY</w:t>
      </w:r>
      <w:r w:rsidR="005C3415" w:rsidRPr="005317D1">
        <w:rPr>
          <w:rFonts w:asciiTheme="minorHAnsi" w:hAnsiTheme="minorHAnsi"/>
          <w:snapToGrid w:val="0"/>
        </w:rPr>
        <w:t xml:space="preserve"> </w:t>
      </w:r>
      <w:r w:rsidR="00164113" w:rsidRPr="005317D1">
        <w:rPr>
          <w:rFonts w:asciiTheme="minorHAnsi" w:hAnsiTheme="minorHAnsi"/>
          <w:snapToGrid w:val="0"/>
        </w:rPr>
        <w:t xml:space="preserve">using the revised base case specified in the above paragraph (with </w:t>
      </w:r>
      <w:r w:rsidR="00CC64F1" w:rsidRPr="005317D1">
        <w:rPr>
          <w:rFonts w:asciiTheme="minorHAnsi" w:hAnsiTheme="minorHAnsi"/>
          <w:snapToGrid w:val="0"/>
        </w:rPr>
        <w:t>70% or 80% dose intensity, respectively)</w:t>
      </w:r>
      <w:r w:rsidR="009E15FC" w:rsidRPr="005317D1">
        <w:rPr>
          <w:rFonts w:asciiTheme="minorHAnsi" w:hAnsiTheme="minorHAnsi"/>
          <w:snapToGrid w:val="0"/>
        </w:rPr>
        <w:t xml:space="preserve">. </w:t>
      </w:r>
    </w:p>
    <w:p w14:paraId="4A264D24" w14:textId="77777777" w:rsidR="00C04EA5" w:rsidRPr="00C04EA5" w:rsidRDefault="009E15FC" w:rsidP="007E2C08">
      <w:pPr>
        <w:widowControl w:val="0"/>
        <w:numPr>
          <w:ilvl w:val="1"/>
          <w:numId w:val="1"/>
        </w:numPr>
        <w:spacing w:after="120"/>
        <w:rPr>
          <w:iCs/>
        </w:rPr>
      </w:pPr>
      <w:r w:rsidRPr="009E15FC">
        <w:rPr>
          <w:rFonts w:asciiTheme="minorHAnsi" w:hAnsiTheme="minorHAnsi"/>
          <w:snapToGrid w:val="0"/>
        </w:rPr>
        <w:t xml:space="preserve">The PBAC considered </w:t>
      </w:r>
      <w:r w:rsidR="005A5CA7">
        <w:rPr>
          <w:rFonts w:asciiTheme="minorHAnsi" w:hAnsiTheme="minorHAnsi"/>
          <w:snapToGrid w:val="0"/>
        </w:rPr>
        <w:t>these</w:t>
      </w:r>
      <w:r w:rsidRPr="009E15FC">
        <w:rPr>
          <w:rFonts w:asciiTheme="minorHAnsi" w:hAnsiTheme="minorHAnsi"/>
          <w:snapToGrid w:val="0"/>
        </w:rPr>
        <w:t xml:space="preserve"> </w:t>
      </w:r>
      <w:r w:rsidR="00164113">
        <w:rPr>
          <w:rFonts w:asciiTheme="minorHAnsi" w:hAnsiTheme="minorHAnsi"/>
          <w:snapToGrid w:val="0"/>
        </w:rPr>
        <w:t>ICER</w:t>
      </w:r>
      <w:r w:rsidR="005A5CA7">
        <w:rPr>
          <w:rFonts w:asciiTheme="minorHAnsi" w:hAnsiTheme="minorHAnsi"/>
          <w:snapToGrid w:val="0"/>
        </w:rPr>
        <w:t>s</w:t>
      </w:r>
      <w:r w:rsidR="00164113">
        <w:rPr>
          <w:rFonts w:asciiTheme="minorHAnsi" w:hAnsiTheme="minorHAnsi"/>
          <w:snapToGrid w:val="0"/>
        </w:rPr>
        <w:t xml:space="preserve"> </w:t>
      </w:r>
      <w:r w:rsidR="002E1C0D" w:rsidRPr="009E15FC">
        <w:rPr>
          <w:rFonts w:asciiTheme="minorHAnsi" w:hAnsiTheme="minorHAnsi"/>
          <w:snapToGrid w:val="0"/>
        </w:rPr>
        <w:t>w</w:t>
      </w:r>
      <w:r w:rsidR="005A5CA7">
        <w:rPr>
          <w:rFonts w:asciiTheme="minorHAnsi" w:hAnsiTheme="minorHAnsi"/>
          <w:snapToGrid w:val="0"/>
        </w:rPr>
        <w:t>ere</w:t>
      </w:r>
      <w:r w:rsidR="002E1C0D" w:rsidRPr="009E15FC">
        <w:rPr>
          <w:rFonts w:asciiTheme="minorHAnsi" w:hAnsiTheme="minorHAnsi"/>
          <w:snapToGrid w:val="0"/>
        </w:rPr>
        <w:t xml:space="preserve"> unacceptably high</w:t>
      </w:r>
      <w:r>
        <w:rPr>
          <w:rFonts w:asciiTheme="minorHAnsi" w:hAnsiTheme="minorHAnsi"/>
          <w:snapToGrid w:val="0"/>
        </w:rPr>
        <w:t xml:space="preserve"> </w:t>
      </w:r>
      <w:r w:rsidR="007C3547">
        <w:rPr>
          <w:rFonts w:asciiTheme="minorHAnsi" w:hAnsiTheme="minorHAnsi"/>
          <w:snapToGrid w:val="0"/>
        </w:rPr>
        <w:t>although moderately certain</w:t>
      </w:r>
      <w:r w:rsidR="00D234F9">
        <w:rPr>
          <w:rFonts w:asciiTheme="minorHAnsi" w:hAnsiTheme="minorHAnsi"/>
          <w:snapToGrid w:val="0"/>
        </w:rPr>
        <w:t>.</w:t>
      </w:r>
      <w:r w:rsidR="002E1C0D" w:rsidRPr="009E15FC">
        <w:rPr>
          <w:rFonts w:asciiTheme="minorHAnsi" w:hAnsiTheme="minorHAnsi"/>
          <w:snapToGrid w:val="0"/>
        </w:rPr>
        <w:t xml:space="preserve"> </w:t>
      </w:r>
      <w:r w:rsidR="0028322D">
        <w:rPr>
          <w:bCs/>
          <w:snapToGrid w:val="0"/>
          <w:lang w:val="en-GB"/>
        </w:rPr>
        <w:t>T</w:t>
      </w:r>
      <w:r>
        <w:rPr>
          <w:bCs/>
          <w:snapToGrid w:val="0"/>
          <w:lang w:val="en-GB"/>
        </w:rPr>
        <w:t xml:space="preserve">he PBAC considered that </w:t>
      </w:r>
      <w:r w:rsidR="00D234F9" w:rsidRPr="009E15FC">
        <w:rPr>
          <w:bCs/>
          <w:snapToGrid w:val="0"/>
          <w:lang w:val="en-GB"/>
        </w:rPr>
        <w:t>an ICER</w:t>
      </w:r>
      <w:r w:rsidR="00D234F9" w:rsidRPr="00C04EA5">
        <w:rPr>
          <w:rFonts w:asciiTheme="minorHAnsi" w:hAnsiTheme="minorHAnsi"/>
          <w:snapToGrid w:val="0"/>
          <w:lang w:val="en-GB"/>
        </w:rPr>
        <w:t xml:space="preserve"> </w:t>
      </w:r>
      <w:r w:rsidR="00D1598D">
        <w:rPr>
          <w:rFonts w:asciiTheme="minorHAnsi" w:hAnsiTheme="minorHAnsi"/>
          <w:snapToGrid w:val="0"/>
          <w:lang w:val="en-GB"/>
        </w:rPr>
        <w:t xml:space="preserve">in the range </w:t>
      </w:r>
      <w:r w:rsidR="00D234F9" w:rsidRPr="00C04EA5">
        <w:rPr>
          <w:rFonts w:asciiTheme="minorHAnsi" w:hAnsiTheme="minorHAnsi"/>
          <w:snapToGrid w:val="0"/>
          <w:lang w:val="en-GB"/>
        </w:rPr>
        <w:t>of $75,000</w:t>
      </w:r>
      <w:r w:rsidR="00D1598D">
        <w:rPr>
          <w:rFonts w:asciiTheme="minorHAnsi" w:hAnsiTheme="minorHAnsi"/>
          <w:snapToGrid w:val="0"/>
          <w:lang w:val="en-GB"/>
        </w:rPr>
        <w:t xml:space="preserve"> to $85,000</w:t>
      </w:r>
      <w:r w:rsidR="00D234F9">
        <w:rPr>
          <w:rFonts w:asciiTheme="minorHAnsi" w:hAnsiTheme="minorHAnsi"/>
          <w:snapToGrid w:val="0"/>
          <w:lang w:val="en-GB"/>
        </w:rPr>
        <w:t xml:space="preserve"> per</w:t>
      </w:r>
      <w:r w:rsidR="00D234F9" w:rsidRPr="00C04EA5">
        <w:rPr>
          <w:rFonts w:asciiTheme="minorHAnsi" w:hAnsiTheme="minorHAnsi"/>
          <w:snapToGrid w:val="0"/>
          <w:lang w:val="en-GB"/>
        </w:rPr>
        <w:t xml:space="preserve"> QALY </w:t>
      </w:r>
      <w:r w:rsidRPr="009E15FC">
        <w:rPr>
          <w:bCs/>
          <w:snapToGrid w:val="0"/>
          <w:lang w:val="en-GB"/>
        </w:rPr>
        <w:t xml:space="preserve">would be reasonable </w:t>
      </w:r>
      <w:r w:rsidR="005D5096">
        <w:rPr>
          <w:bCs/>
          <w:snapToGrid w:val="0"/>
          <w:lang w:val="en-GB"/>
        </w:rPr>
        <w:t xml:space="preserve">in this case </w:t>
      </w:r>
      <w:r>
        <w:rPr>
          <w:bCs/>
          <w:snapToGrid w:val="0"/>
          <w:lang w:val="en-GB"/>
        </w:rPr>
        <w:t>given: the</w:t>
      </w:r>
      <w:r w:rsidRPr="009E15FC">
        <w:rPr>
          <w:bCs/>
          <w:snapToGrid w:val="0"/>
          <w:lang w:val="en-GB"/>
        </w:rPr>
        <w:t xml:space="preserve"> poor survival and limited treatment options</w:t>
      </w:r>
      <w:r>
        <w:rPr>
          <w:bCs/>
          <w:snapToGrid w:val="0"/>
          <w:lang w:val="en-GB"/>
        </w:rPr>
        <w:t xml:space="preserve"> for </w:t>
      </w:r>
      <w:r w:rsidR="005D5096">
        <w:rPr>
          <w:bCs/>
          <w:snapToGrid w:val="0"/>
          <w:lang w:val="en-GB"/>
        </w:rPr>
        <w:t>m</w:t>
      </w:r>
      <w:r>
        <w:rPr>
          <w:bCs/>
          <w:snapToGrid w:val="0"/>
          <w:lang w:val="en-GB"/>
        </w:rPr>
        <w:t xml:space="preserve">TNBC; </w:t>
      </w:r>
      <w:r w:rsidRPr="009E15FC">
        <w:rPr>
          <w:bCs/>
          <w:snapToGrid w:val="0"/>
          <w:lang w:val="en-GB"/>
        </w:rPr>
        <w:t xml:space="preserve">the </w:t>
      </w:r>
      <w:r w:rsidR="005D5096">
        <w:rPr>
          <w:bCs/>
          <w:snapToGrid w:val="0"/>
          <w:lang w:val="en-GB"/>
        </w:rPr>
        <w:t>reasonably robust OS results based on relativel</w:t>
      </w:r>
      <w:r w:rsidRPr="009E15FC">
        <w:rPr>
          <w:bCs/>
          <w:snapToGrid w:val="0"/>
          <w:lang w:val="en-GB"/>
        </w:rPr>
        <w:t xml:space="preserve">y mature OS data, </w:t>
      </w:r>
      <w:r w:rsidR="005D5096">
        <w:rPr>
          <w:bCs/>
          <w:snapToGrid w:val="0"/>
          <w:lang w:val="en-GB"/>
        </w:rPr>
        <w:t>which reduced the level of uncertainty of the economic model (once input parameters are appropriately revised as outlined above)</w:t>
      </w:r>
      <w:r w:rsidR="00D31310">
        <w:rPr>
          <w:bCs/>
          <w:snapToGrid w:val="0"/>
          <w:lang w:val="en-GB"/>
        </w:rPr>
        <w:t xml:space="preserve">; and that key sensitivity analyses </w:t>
      </w:r>
      <w:r w:rsidR="00D234F9">
        <w:rPr>
          <w:bCs/>
          <w:snapToGrid w:val="0"/>
          <w:lang w:val="en-GB"/>
        </w:rPr>
        <w:t>did</w:t>
      </w:r>
      <w:r w:rsidR="00D31310">
        <w:rPr>
          <w:bCs/>
          <w:snapToGrid w:val="0"/>
          <w:lang w:val="en-GB"/>
        </w:rPr>
        <w:t xml:space="preserve"> not </w:t>
      </w:r>
      <w:r w:rsidR="006B7A3A">
        <w:rPr>
          <w:bCs/>
          <w:snapToGrid w:val="0"/>
          <w:lang w:val="en-GB"/>
        </w:rPr>
        <w:t>significant</w:t>
      </w:r>
      <w:r w:rsidR="00D1598D">
        <w:rPr>
          <w:bCs/>
          <w:snapToGrid w:val="0"/>
          <w:lang w:val="en-GB"/>
        </w:rPr>
        <w:t>ly</w:t>
      </w:r>
      <w:r w:rsidR="006B7A3A">
        <w:rPr>
          <w:bCs/>
          <w:snapToGrid w:val="0"/>
          <w:lang w:val="en-GB"/>
        </w:rPr>
        <w:t xml:space="preserve"> increase the ICER</w:t>
      </w:r>
      <w:r w:rsidR="00D31310">
        <w:rPr>
          <w:bCs/>
          <w:snapToGrid w:val="0"/>
          <w:lang w:val="en-GB"/>
        </w:rPr>
        <w:t>.</w:t>
      </w:r>
    </w:p>
    <w:p w14:paraId="3A6A49AD" w14:textId="77777777" w:rsidR="00972315" w:rsidRDefault="0063242C" w:rsidP="00972315">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lastRenderedPageBreak/>
        <w:t>The PBAC considered that the following changes would be required to the financial estimates:</w:t>
      </w:r>
    </w:p>
    <w:p w14:paraId="1A994565" w14:textId="77777777" w:rsidR="00424229" w:rsidRPr="0063242C" w:rsidRDefault="00424229" w:rsidP="00C60FD0">
      <w:pPr>
        <w:pStyle w:val="ListBullet"/>
        <w:tabs>
          <w:tab w:val="clear" w:pos="360"/>
          <w:tab w:val="num" w:pos="1080"/>
        </w:tabs>
        <w:ind w:left="1080"/>
        <w:rPr>
          <w:lang w:val="en-GB"/>
        </w:rPr>
      </w:pPr>
      <w:r>
        <w:rPr>
          <w:lang w:val="en-GB"/>
        </w:rPr>
        <w:t>it would be more reasonable to assume that 15%</w:t>
      </w:r>
      <w:r w:rsidRPr="0063242C">
        <w:rPr>
          <w:lang w:val="en-GB"/>
        </w:rPr>
        <w:t xml:space="preserve"> of breast cancer patients have TNBC</w:t>
      </w:r>
      <w:r>
        <w:rPr>
          <w:lang w:val="en-GB"/>
        </w:rPr>
        <w:t xml:space="preserve">, consistent </w:t>
      </w:r>
      <w:r w:rsidRPr="0063242C">
        <w:rPr>
          <w:lang w:val="en-GB"/>
        </w:rPr>
        <w:t>with the atezolizumab submissions</w:t>
      </w:r>
      <w:r>
        <w:rPr>
          <w:lang w:val="en-GB"/>
        </w:rPr>
        <w:t>.</w:t>
      </w:r>
    </w:p>
    <w:p w14:paraId="0507FB7A" w14:textId="77777777" w:rsidR="0063242C" w:rsidRDefault="0063242C" w:rsidP="00C60FD0">
      <w:pPr>
        <w:pStyle w:val="ListBullet"/>
        <w:tabs>
          <w:tab w:val="clear" w:pos="360"/>
          <w:tab w:val="num" w:pos="1080"/>
        </w:tabs>
        <w:ind w:left="1080"/>
        <w:rPr>
          <w:lang w:val="en-GB"/>
        </w:rPr>
      </w:pPr>
      <w:r w:rsidRPr="0063242C">
        <w:rPr>
          <w:lang w:val="en-GB"/>
        </w:rPr>
        <w:t>the proportion of patients with TNBC who progress to unresectable locally advanced or metastatic disease was underestimated</w:t>
      </w:r>
      <w:r w:rsidR="00485C93">
        <w:rPr>
          <w:lang w:val="en-GB"/>
        </w:rPr>
        <w:t>. A</w:t>
      </w:r>
      <w:r w:rsidRPr="0063242C">
        <w:rPr>
          <w:lang w:val="en-GB"/>
        </w:rPr>
        <w:t xml:space="preserve"> </w:t>
      </w:r>
      <w:r w:rsidR="00424229">
        <w:rPr>
          <w:lang w:val="en-GB"/>
        </w:rPr>
        <w:t xml:space="preserve">10 year distant </w:t>
      </w:r>
      <w:r w:rsidRPr="0063242C">
        <w:rPr>
          <w:lang w:val="en-GB"/>
        </w:rPr>
        <w:t>recurrence rate</w:t>
      </w:r>
      <w:r w:rsidR="00424229">
        <w:rPr>
          <w:lang w:val="en-GB"/>
        </w:rPr>
        <w:t xml:space="preserve"> of 20%</w:t>
      </w:r>
      <w:r w:rsidRPr="0063242C">
        <w:rPr>
          <w:lang w:val="en-GB"/>
        </w:rPr>
        <w:t xml:space="preserve"> should be applied to incident patients from the previous 10 years, assuming a constant survival rate</w:t>
      </w:r>
      <w:r w:rsidR="00381054">
        <w:rPr>
          <w:lang w:val="en-GB"/>
        </w:rPr>
        <w:t>.</w:t>
      </w:r>
    </w:p>
    <w:p w14:paraId="1E472B3F" w14:textId="77777777" w:rsidR="0063242C" w:rsidRDefault="00D8392D" w:rsidP="00C60FD0">
      <w:pPr>
        <w:pStyle w:val="ListBullet"/>
        <w:tabs>
          <w:tab w:val="clear" w:pos="360"/>
          <w:tab w:val="num" w:pos="1080"/>
        </w:tabs>
        <w:ind w:left="1080"/>
        <w:rPr>
          <w:lang w:val="en-GB"/>
        </w:rPr>
      </w:pPr>
      <w:r>
        <w:rPr>
          <w:lang w:val="en-GB"/>
        </w:rPr>
        <w:t xml:space="preserve">the duration of therapy and dose intensity should be consistent </w:t>
      </w:r>
      <w:r w:rsidR="00640D56">
        <w:rPr>
          <w:lang w:val="en-GB"/>
        </w:rPr>
        <w:t>with</w:t>
      </w:r>
      <w:r>
        <w:rPr>
          <w:lang w:val="en-GB"/>
        </w:rPr>
        <w:t xml:space="preserve"> the economic model. As such, the PBAC considered that </w:t>
      </w:r>
      <w:r w:rsidR="0063242C">
        <w:rPr>
          <w:lang w:val="en-GB"/>
        </w:rPr>
        <w:t>the mean duration of SG treatment should be 6.58 months</w:t>
      </w:r>
      <w:r>
        <w:rPr>
          <w:lang w:val="en-GB"/>
        </w:rPr>
        <w:t xml:space="preserve"> in the financial estimates</w:t>
      </w:r>
      <w:r w:rsidR="0063242C">
        <w:rPr>
          <w:lang w:val="en-GB"/>
        </w:rPr>
        <w:t xml:space="preserve"> </w:t>
      </w:r>
      <w:r>
        <w:rPr>
          <w:lang w:val="en-GB"/>
        </w:rPr>
        <w:t xml:space="preserve">and </w:t>
      </w:r>
      <w:r w:rsidR="005118C4">
        <w:rPr>
          <w:lang w:val="en-GB"/>
        </w:rPr>
        <w:t xml:space="preserve">the </w:t>
      </w:r>
      <w:r>
        <w:rPr>
          <w:lang w:val="en-GB"/>
        </w:rPr>
        <w:t>dose intensity</w:t>
      </w:r>
      <w:r w:rsidR="005118C4">
        <w:rPr>
          <w:lang w:val="en-GB"/>
        </w:rPr>
        <w:t xml:space="preserve"> should be 70% to 80%</w:t>
      </w:r>
      <w:r w:rsidR="0028322D">
        <w:rPr>
          <w:lang w:val="en-GB"/>
        </w:rPr>
        <w:t xml:space="preserve"> in both the model and financial estimates</w:t>
      </w:r>
      <w:r w:rsidR="005118C4">
        <w:rPr>
          <w:lang w:val="en-GB"/>
        </w:rPr>
        <w:t>.</w:t>
      </w:r>
    </w:p>
    <w:p w14:paraId="2B52E502" w14:textId="77777777" w:rsidR="0063242C" w:rsidRPr="0063242C" w:rsidRDefault="005118C4" w:rsidP="00C60FD0">
      <w:pPr>
        <w:pStyle w:val="ListBullet"/>
        <w:tabs>
          <w:tab w:val="clear" w:pos="360"/>
          <w:tab w:val="num" w:pos="1080"/>
        </w:tabs>
        <w:ind w:left="1080"/>
        <w:rPr>
          <w:lang w:val="en-GB"/>
        </w:rPr>
      </w:pPr>
      <w:r>
        <w:rPr>
          <w:lang w:val="en-GB"/>
        </w:rPr>
        <w:t xml:space="preserve">it would be more reasonable to assume that </w:t>
      </w:r>
      <w:r w:rsidR="0063242C" w:rsidRPr="0063242C">
        <w:rPr>
          <w:lang w:val="en-GB"/>
        </w:rPr>
        <w:t>50% of pat</w:t>
      </w:r>
      <w:r>
        <w:rPr>
          <w:lang w:val="en-GB"/>
        </w:rPr>
        <w:t>i</w:t>
      </w:r>
      <w:r w:rsidR="0063242C" w:rsidRPr="0063242C">
        <w:rPr>
          <w:lang w:val="en-GB"/>
        </w:rPr>
        <w:t xml:space="preserve">ents </w:t>
      </w:r>
      <w:r>
        <w:rPr>
          <w:lang w:val="en-GB"/>
        </w:rPr>
        <w:t xml:space="preserve">would be clinically appropriate or </w:t>
      </w:r>
      <w:r w:rsidR="0063242C" w:rsidRPr="0063242C">
        <w:rPr>
          <w:lang w:val="en-GB"/>
        </w:rPr>
        <w:t xml:space="preserve">suitable for </w:t>
      </w:r>
      <w:r>
        <w:rPr>
          <w:lang w:val="en-GB"/>
        </w:rPr>
        <w:t>SG</w:t>
      </w:r>
      <w:r w:rsidR="00485C93">
        <w:rPr>
          <w:lang w:val="en-GB"/>
        </w:rPr>
        <w:t xml:space="preserve"> (rather than 60%)</w:t>
      </w:r>
      <w:r>
        <w:rPr>
          <w:lang w:val="en-GB"/>
        </w:rPr>
        <w:t xml:space="preserve">, given that patients need to </w:t>
      </w:r>
      <w:r w:rsidR="004248EF">
        <w:rPr>
          <w:lang w:val="en-GB"/>
        </w:rPr>
        <w:t>have a performance status of ECOG 0-1</w:t>
      </w:r>
      <w:r w:rsidR="0028322D">
        <w:rPr>
          <w:lang w:val="en-GB"/>
        </w:rPr>
        <w:t xml:space="preserve"> and </w:t>
      </w:r>
      <w:r w:rsidR="00D234F9">
        <w:rPr>
          <w:lang w:val="en-GB"/>
        </w:rPr>
        <w:t>be</w:t>
      </w:r>
      <w:r w:rsidR="004248EF">
        <w:rPr>
          <w:lang w:val="en-GB"/>
        </w:rPr>
        <w:t xml:space="preserve"> </w:t>
      </w:r>
      <w:r w:rsidR="0028322D">
        <w:rPr>
          <w:lang w:val="en-GB"/>
        </w:rPr>
        <w:t>able to tolerate the adverse event profile</w:t>
      </w:r>
      <w:r w:rsidR="00485C93">
        <w:rPr>
          <w:lang w:val="en-GB"/>
        </w:rPr>
        <w:t>. In addition</w:t>
      </w:r>
      <w:r w:rsidR="0063242C" w:rsidRPr="0063242C">
        <w:rPr>
          <w:lang w:val="en-GB"/>
        </w:rPr>
        <w:t xml:space="preserve">, </w:t>
      </w:r>
      <w:r w:rsidRPr="00CF6FF6">
        <w:t xml:space="preserve">proximity to a facility with reconstitution capabilities may be </w:t>
      </w:r>
      <w:r>
        <w:t>required</w:t>
      </w:r>
      <w:r w:rsidRPr="00CF6FF6">
        <w:t>, and result in limited access outside metropolitan areas</w:t>
      </w:r>
      <w:r>
        <w:t xml:space="preserve"> (as outlined above)</w:t>
      </w:r>
      <w:r w:rsidRPr="00CF6FF6">
        <w:t>.</w:t>
      </w:r>
    </w:p>
    <w:p w14:paraId="26283E64" w14:textId="77777777" w:rsidR="0063242C" w:rsidRPr="0063242C" w:rsidRDefault="005118C4" w:rsidP="00485C93">
      <w:pPr>
        <w:pStyle w:val="ListBullet"/>
        <w:tabs>
          <w:tab w:val="clear" w:pos="360"/>
          <w:tab w:val="num" w:pos="1080"/>
        </w:tabs>
        <w:spacing w:after="120"/>
        <w:ind w:left="1077" w:hanging="357"/>
        <w:contextualSpacing w:val="0"/>
        <w:rPr>
          <w:lang w:val="en-GB"/>
        </w:rPr>
      </w:pPr>
      <w:r w:rsidRPr="005118C4">
        <w:rPr>
          <w:lang w:val="en-GB"/>
        </w:rPr>
        <w:t>grandfathered patients</w:t>
      </w:r>
      <w:r>
        <w:rPr>
          <w:lang w:val="en-GB"/>
        </w:rPr>
        <w:t xml:space="preserve"> </w:t>
      </w:r>
      <w:r w:rsidRPr="005118C4">
        <w:rPr>
          <w:lang w:val="en-GB"/>
        </w:rPr>
        <w:t>should</w:t>
      </w:r>
      <w:r w:rsidR="00381054">
        <w:rPr>
          <w:lang w:val="en-GB"/>
        </w:rPr>
        <w:t xml:space="preserve"> not be added separately as these patients </w:t>
      </w:r>
      <w:r w:rsidR="00485C93">
        <w:rPr>
          <w:lang w:val="en-GB"/>
        </w:rPr>
        <w:t xml:space="preserve">will </w:t>
      </w:r>
      <w:r w:rsidRPr="005118C4">
        <w:rPr>
          <w:lang w:val="en-GB"/>
        </w:rPr>
        <w:t>already be counted in the epidemiological approach</w:t>
      </w:r>
      <w:r>
        <w:rPr>
          <w:lang w:val="en-GB"/>
        </w:rPr>
        <w:t>.</w:t>
      </w:r>
    </w:p>
    <w:p w14:paraId="70EE52CC" w14:textId="77777777" w:rsidR="00A00DC4" w:rsidRPr="00BE1B36" w:rsidRDefault="00A00DC4" w:rsidP="001C6A61">
      <w:pPr>
        <w:widowControl w:val="0"/>
        <w:numPr>
          <w:ilvl w:val="1"/>
          <w:numId w:val="1"/>
        </w:numPr>
        <w:spacing w:after="120"/>
        <w:rPr>
          <w:rFonts w:asciiTheme="minorHAnsi" w:hAnsiTheme="minorHAnsi"/>
          <w:snapToGrid w:val="0"/>
        </w:rPr>
      </w:pPr>
      <w:r w:rsidRPr="00BE1B36">
        <w:rPr>
          <w:rFonts w:asciiTheme="minorHAnsi" w:hAnsiTheme="minorHAnsi"/>
          <w:snapToGrid w:val="0"/>
          <w:lang w:val="en-GB"/>
        </w:rPr>
        <w:t xml:space="preserve">The PBAC </w:t>
      </w:r>
      <w:r w:rsidR="00BE1B36" w:rsidRPr="00BE1B36">
        <w:rPr>
          <w:rFonts w:asciiTheme="minorHAnsi" w:hAnsiTheme="minorHAnsi"/>
          <w:snapToGrid w:val="0"/>
          <w:lang w:val="en-GB"/>
        </w:rPr>
        <w:t>advised that</w:t>
      </w:r>
      <w:r w:rsidRPr="00BE1B36">
        <w:rPr>
          <w:rFonts w:asciiTheme="minorHAnsi" w:hAnsiTheme="minorHAnsi"/>
          <w:snapToGrid w:val="0"/>
          <w:lang w:val="en-GB"/>
        </w:rPr>
        <w:t xml:space="preserve"> a Risk Sharing Arrangement</w:t>
      </w:r>
      <w:r w:rsidR="000F016A" w:rsidRPr="00BE1B36">
        <w:rPr>
          <w:rFonts w:asciiTheme="minorHAnsi" w:hAnsiTheme="minorHAnsi"/>
          <w:snapToGrid w:val="0"/>
          <w:lang w:val="en-GB"/>
        </w:rPr>
        <w:t xml:space="preserve"> (RSA)</w:t>
      </w:r>
      <w:r w:rsidR="00BE1B36" w:rsidRPr="00BE1B36">
        <w:rPr>
          <w:rFonts w:asciiTheme="minorHAnsi" w:hAnsiTheme="minorHAnsi"/>
          <w:snapToGrid w:val="0"/>
          <w:lang w:val="en-GB"/>
        </w:rPr>
        <w:t xml:space="preserve"> would be required given the: risk for SG use without prior taxane therapy; the uncertain patient population; and the risk of </w:t>
      </w:r>
      <w:r w:rsidR="00DD3E91">
        <w:rPr>
          <w:rFonts w:asciiTheme="minorHAnsi" w:hAnsiTheme="minorHAnsi"/>
          <w:snapToGrid w:val="0"/>
          <w:lang w:val="en-GB"/>
        </w:rPr>
        <w:t xml:space="preserve">SG being used for a </w:t>
      </w:r>
      <w:r w:rsidR="00BE1B36" w:rsidRPr="00BE1B36">
        <w:rPr>
          <w:rFonts w:asciiTheme="minorHAnsi" w:hAnsiTheme="minorHAnsi"/>
          <w:snapToGrid w:val="0"/>
          <w:lang w:val="en-GB"/>
        </w:rPr>
        <w:t xml:space="preserve">longer duration </w:t>
      </w:r>
      <w:r w:rsidR="00DD3E91">
        <w:rPr>
          <w:rFonts w:asciiTheme="minorHAnsi" w:hAnsiTheme="minorHAnsi"/>
          <w:snapToGrid w:val="0"/>
          <w:lang w:val="en-GB"/>
        </w:rPr>
        <w:t>or at a h</w:t>
      </w:r>
      <w:r w:rsidR="00BE1B36" w:rsidRPr="00BE1B36">
        <w:rPr>
          <w:rFonts w:asciiTheme="minorHAnsi" w:hAnsiTheme="minorHAnsi"/>
          <w:snapToGrid w:val="0"/>
          <w:lang w:val="en-GB"/>
        </w:rPr>
        <w:t>igher dose intensit</w:t>
      </w:r>
      <w:r w:rsidR="00DD3E91">
        <w:rPr>
          <w:rFonts w:asciiTheme="minorHAnsi" w:hAnsiTheme="minorHAnsi"/>
          <w:snapToGrid w:val="0"/>
          <w:lang w:val="en-GB"/>
        </w:rPr>
        <w:t>y</w:t>
      </w:r>
      <w:r w:rsidR="00BE1B36" w:rsidRPr="00BE1B36">
        <w:rPr>
          <w:rFonts w:asciiTheme="minorHAnsi" w:hAnsiTheme="minorHAnsi"/>
          <w:snapToGrid w:val="0"/>
          <w:lang w:val="en-GB"/>
        </w:rPr>
        <w:t xml:space="preserve"> than assumed in the economic and financial estimates. In particular, the PBAC highlighted that, should the dose intensity </w:t>
      </w:r>
      <w:r w:rsidR="00693E0E">
        <w:rPr>
          <w:rFonts w:asciiTheme="minorHAnsi" w:hAnsiTheme="minorHAnsi"/>
          <w:snapToGrid w:val="0"/>
          <w:lang w:val="en-GB"/>
        </w:rPr>
        <w:t>be reduced in the economic model</w:t>
      </w:r>
      <w:r w:rsidR="00BE1B36" w:rsidRPr="00BE1B36">
        <w:rPr>
          <w:rFonts w:asciiTheme="minorHAnsi" w:hAnsiTheme="minorHAnsi"/>
          <w:snapToGrid w:val="0"/>
          <w:lang w:val="en-GB"/>
        </w:rPr>
        <w:t>, then it would be important for th</w:t>
      </w:r>
      <w:r w:rsidR="00693E0E">
        <w:rPr>
          <w:rFonts w:asciiTheme="minorHAnsi" w:hAnsiTheme="minorHAnsi"/>
          <w:snapToGrid w:val="0"/>
          <w:lang w:val="en-GB"/>
        </w:rPr>
        <w:t>e</w:t>
      </w:r>
      <w:r w:rsidR="00BE1B36" w:rsidRPr="00BE1B36">
        <w:rPr>
          <w:rFonts w:asciiTheme="minorHAnsi" w:hAnsiTheme="minorHAnsi"/>
          <w:snapToGrid w:val="0"/>
          <w:lang w:val="en-GB"/>
        </w:rPr>
        <w:t xml:space="preserve"> </w:t>
      </w:r>
      <w:r w:rsidR="002367C0">
        <w:rPr>
          <w:rFonts w:asciiTheme="minorHAnsi" w:hAnsiTheme="minorHAnsi"/>
          <w:snapToGrid w:val="0"/>
          <w:lang w:val="en-GB"/>
        </w:rPr>
        <w:t xml:space="preserve">same lower dose intensity </w:t>
      </w:r>
      <w:r w:rsidR="00BE1B36" w:rsidRPr="00BE1B36">
        <w:rPr>
          <w:rFonts w:asciiTheme="minorHAnsi" w:hAnsiTheme="minorHAnsi"/>
          <w:snapToGrid w:val="0"/>
          <w:lang w:val="en-GB"/>
        </w:rPr>
        <w:t xml:space="preserve">to be reflected in the RSA </w:t>
      </w:r>
      <w:r w:rsidR="00DD3E91">
        <w:rPr>
          <w:rFonts w:asciiTheme="minorHAnsi" w:hAnsiTheme="minorHAnsi"/>
          <w:snapToGrid w:val="0"/>
          <w:lang w:val="en-GB"/>
        </w:rPr>
        <w:t xml:space="preserve">caps </w:t>
      </w:r>
      <w:r w:rsidR="00BE1B36" w:rsidRPr="00BE1B36">
        <w:rPr>
          <w:rFonts w:asciiTheme="minorHAnsi" w:hAnsiTheme="minorHAnsi"/>
          <w:snapToGrid w:val="0"/>
          <w:lang w:val="en-GB"/>
        </w:rPr>
        <w:t>to reduce the risk of cost-effectiveness not being achieved.</w:t>
      </w:r>
    </w:p>
    <w:p w14:paraId="01EB5F76" w14:textId="77777777" w:rsidR="00C46C7A" w:rsidRPr="00C6512B" w:rsidRDefault="00C46C7A" w:rsidP="00321DAB">
      <w:pPr>
        <w:widowControl w:val="0"/>
        <w:numPr>
          <w:ilvl w:val="1"/>
          <w:numId w:val="1"/>
        </w:numPr>
        <w:spacing w:after="120"/>
        <w:rPr>
          <w:rFonts w:asciiTheme="minorHAnsi" w:hAnsiTheme="minorHAnsi"/>
          <w:bCs/>
          <w:snapToGrid w:val="0"/>
          <w:lang w:val="en-GB"/>
        </w:rPr>
      </w:pPr>
      <w:r w:rsidRPr="00674C0F">
        <w:rPr>
          <w:rFonts w:asciiTheme="minorHAnsi" w:hAnsiTheme="minorHAnsi"/>
          <w:bCs/>
          <w:snapToGrid w:val="0"/>
          <w:lang w:val="en-GB"/>
        </w:rPr>
        <w:t xml:space="preserve">The PBAC considered the outstanding issues could be resolved in a simple resubmission. The PBAC also considered </w:t>
      </w:r>
      <w:r w:rsidR="00321DAB">
        <w:rPr>
          <w:rFonts w:asciiTheme="minorHAnsi" w:hAnsiTheme="minorHAnsi"/>
          <w:bCs/>
          <w:snapToGrid w:val="0"/>
          <w:lang w:val="en-GB"/>
        </w:rPr>
        <w:t>SG</w:t>
      </w:r>
      <w:r w:rsidRPr="00674C0F">
        <w:rPr>
          <w:rFonts w:asciiTheme="minorHAnsi" w:hAnsiTheme="minorHAnsi"/>
          <w:bCs/>
          <w:snapToGrid w:val="0"/>
          <w:lang w:val="en-GB"/>
        </w:rPr>
        <w:t xml:space="preserve"> addresses a high and urgent unmet clinical need and was expected to provide a substantial and clinically relevant improvement in efficacy over any alternative therapies. Therefore, the PBAC considered an early resolution pathway would be acceptable. If the sponsor accepts this pathway, the following changes may address these outstanding issues without requiring further re-evaluation</w:t>
      </w:r>
      <w:r w:rsidRPr="00C6512B">
        <w:rPr>
          <w:rFonts w:asciiTheme="minorHAnsi" w:hAnsiTheme="minorHAnsi"/>
          <w:bCs/>
          <w:snapToGrid w:val="0"/>
          <w:lang w:val="en-GB"/>
        </w:rPr>
        <w:t xml:space="preserve">: </w:t>
      </w:r>
    </w:p>
    <w:p w14:paraId="3DB9F561" w14:textId="77777777" w:rsidR="005D5096" w:rsidRDefault="005D5096" w:rsidP="00037EC2">
      <w:pPr>
        <w:pStyle w:val="ListBullet"/>
        <w:numPr>
          <w:ilvl w:val="0"/>
          <w:numId w:val="15"/>
        </w:numPr>
        <w:ind w:left="1077" w:hanging="357"/>
        <w:rPr>
          <w:lang w:val="en-GB"/>
        </w:rPr>
      </w:pPr>
      <w:r>
        <w:rPr>
          <w:lang w:val="en-GB"/>
        </w:rPr>
        <w:t>Economic evaluation</w:t>
      </w:r>
    </w:p>
    <w:p w14:paraId="220756F8" w14:textId="77777777" w:rsidR="00164113" w:rsidRDefault="002367C0" w:rsidP="00C60FD0">
      <w:pPr>
        <w:pStyle w:val="ListBullet"/>
        <w:tabs>
          <w:tab w:val="clear" w:pos="360"/>
          <w:tab w:val="num" w:pos="1080"/>
        </w:tabs>
        <w:spacing w:after="120"/>
        <w:ind w:left="1077" w:hanging="357"/>
        <w:rPr>
          <w:lang w:val="en-GB"/>
        </w:rPr>
      </w:pPr>
      <w:r>
        <w:rPr>
          <w:lang w:val="en-GB"/>
        </w:rPr>
        <w:t>r</w:t>
      </w:r>
      <w:r w:rsidR="00164113">
        <w:rPr>
          <w:lang w:val="en-GB"/>
        </w:rPr>
        <w:t>evised inputs to the economic model as outlined in paragraph 7.</w:t>
      </w:r>
      <w:r w:rsidR="00D234F9">
        <w:rPr>
          <w:lang w:val="en-GB"/>
        </w:rPr>
        <w:t>16;</w:t>
      </w:r>
    </w:p>
    <w:p w14:paraId="0EA03293" w14:textId="77777777" w:rsidR="00C46C7A" w:rsidRDefault="00FA6F66" w:rsidP="00E44459">
      <w:pPr>
        <w:pStyle w:val="ListBullet"/>
        <w:tabs>
          <w:tab w:val="clear" w:pos="360"/>
          <w:tab w:val="num" w:pos="1080"/>
        </w:tabs>
        <w:spacing w:after="120"/>
        <w:ind w:left="1077" w:hanging="357"/>
        <w:contextualSpacing w:val="0"/>
        <w:rPr>
          <w:lang w:val="en-GB"/>
        </w:rPr>
      </w:pPr>
      <w:r w:rsidRPr="003A65BD">
        <w:rPr>
          <w:lang w:val="en-GB"/>
        </w:rPr>
        <w:t>a</w:t>
      </w:r>
      <w:r w:rsidR="005D5096" w:rsidRPr="003A65BD">
        <w:rPr>
          <w:lang w:val="en-GB"/>
        </w:rPr>
        <w:t xml:space="preserve"> price reduction </w:t>
      </w:r>
      <w:r w:rsidR="005D5096">
        <w:rPr>
          <w:lang w:val="en-GB"/>
        </w:rPr>
        <w:t>resulting in an</w:t>
      </w:r>
      <w:r w:rsidR="004C7ECE" w:rsidRPr="005D5096">
        <w:rPr>
          <w:lang w:val="en-GB"/>
        </w:rPr>
        <w:t xml:space="preserve"> ICER </w:t>
      </w:r>
      <w:r w:rsidR="005D5096">
        <w:rPr>
          <w:lang w:val="en-GB"/>
        </w:rPr>
        <w:t>of</w:t>
      </w:r>
      <w:r w:rsidR="004C7ECE" w:rsidRPr="005D5096">
        <w:rPr>
          <w:lang w:val="en-GB"/>
        </w:rPr>
        <w:t xml:space="preserve"> </w:t>
      </w:r>
      <w:r w:rsidR="00D0732D" w:rsidRPr="005D5096">
        <w:rPr>
          <w:lang w:val="en-GB"/>
        </w:rPr>
        <w:t>$75,000/QALY</w:t>
      </w:r>
      <w:r w:rsidR="00A90E5D">
        <w:rPr>
          <w:lang w:val="en-GB"/>
        </w:rPr>
        <w:t xml:space="preserve"> to $85,000/QALY</w:t>
      </w:r>
      <w:r>
        <w:rPr>
          <w:lang w:val="en-GB"/>
        </w:rPr>
        <w:t xml:space="preserve"> using the aforementioned inputs into the economic model</w:t>
      </w:r>
      <w:r w:rsidR="005D5096">
        <w:rPr>
          <w:lang w:val="en-GB"/>
        </w:rPr>
        <w:t>;</w:t>
      </w:r>
      <w:r w:rsidR="004C7ECE" w:rsidRPr="005D5096">
        <w:rPr>
          <w:lang w:val="en-GB"/>
        </w:rPr>
        <w:t xml:space="preserve"> </w:t>
      </w:r>
    </w:p>
    <w:p w14:paraId="32C0FA02" w14:textId="77777777" w:rsidR="005D5096" w:rsidRPr="003A65BD" w:rsidRDefault="005C3415" w:rsidP="00037EC2">
      <w:pPr>
        <w:pStyle w:val="ListBullet"/>
        <w:widowControl w:val="0"/>
        <w:numPr>
          <w:ilvl w:val="0"/>
          <w:numId w:val="15"/>
        </w:numPr>
        <w:tabs>
          <w:tab w:val="num" w:pos="1080"/>
        </w:tabs>
        <w:spacing w:after="120"/>
        <w:ind w:left="1077" w:hanging="357"/>
        <w:contextualSpacing w:val="0"/>
        <w:rPr>
          <w:lang w:val="en-GB"/>
        </w:rPr>
      </w:pPr>
      <w:r w:rsidRPr="003A65BD">
        <w:rPr>
          <w:lang w:val="en-GB"/>
        </w:rPr>
        <w:t>U</w:t>
      </w:r>
      <w:r w:rsidR="005D5096" w:rsidRPr="003A65BD">
        <w:rPr>
          <w:lang w:val="en-GB"/>
        </w:rPr>
        <w:t>tilisation and financial impact estimates:</w:t>
      </w:r>
    </w:p>
    <w:p w14:paraId="3043F8F1" w14:textId="77777777" w:rsidR="000F016A" w:rsidRPr="005D5096" w:rsidRDefault="000F016A" w:rsidP="000F016A">
      <w:pPr>
        <w:pStyle w:val="ListBullet"/>
        <w:tabs>
          <w:tab w:val="clear" w:pos="360"/>
          <w:tab w:val="num" w:pos="1080"/>
        </w:tabs>
        <w:ind w:left="1080"/>
        <w:rPr>
          <w:lang w:val="en-GB"/>
        </w:rPr>
      </w:pPr>
      <w:r w:rsidRPr="005D5096">
        <w:rPr>
          <w:lang w:val="en-GB"/>
        </w:rPr>
        <w:lastRenderedPageBreak/>
        <w:t xml:space="preserve">revised utilisation and financial estimates </w:t>
      </w:r>
      <w:r w:rsidR="00FA6F66">
        <w:rPr>
          <w:lang w:val="en-GB"/>
        </w:rPr>
        <w:t>based on paragraph 7.</w:t>
      </w:r>
      <w:r w:rsidR="002367C0">
        <w:rPr>
          <w:lang w:val="en-GB"/>
        </w:rPr>
        <w:t>1</w:t>
      </w:r>
      <w:r w:rsidR="00D234F9">
        <w:rPr>
          <w:lang w:val="en-GB"/>
        </w:rPr>
        <w:t>8; and</w:t>
      </w:r>
    </w:p>
    <w:p w14:paraId="3AB203B4" w14:textId="77777777" w:rsidR="004C7ECE" w:rsidRPr="005D5096" w:rsidRDefault="00FA6F66" w:rsidP="00D234F9">
      <w:pPr>
        <w:pStyle w:val="ListBullet"/>
        <w:widowControl w:val="0"/>
        <w:tabs>
          <w:tab w:val="clear" w:pos="360"/>
          <w:tab w:val="num" w:pos="1080"/>
        </w:tabs>
        <w:spacing w:after="120"/>
        <w:ind w:left="1134" w:hanging="414"/>
        <w:contextualSpacing w:val="0"/>
        <w:rPr>
          <w:lang w:val="en-GB"/>
        </w:rPr>
      </w:pPr>
      <w:r>
        <w:rPr>
          <w:lang w:val="en-GB"/>
        </w:rPr>
        <w:t xml:space="preserve">an </w:t>
      </w:r>
      <w:r w:rsidR="009C090E" w:rsidRPr="005D5096">
        <w:rPr>
          <w:lang w:val="en-GB"/>
        </w:rPr>
        <w:t>RSA</w:t>
      </w:r>
      <w:r>
        <w:rPr>
          <w:lang w:val="en-GB"/>
        </w:rPr>
        <w:t xml:space="preserve"> with expenditure caps based on the estimates that incorporate the above changes</w:t>
      </w:r>
      <w:r w:rsidR="004C7ECE" w:rsidRPr="005D5096">
        <w:rPr>
          <w:lang w:val="en-GB"/>
        </w:rPr>
        <w:t xml:space="preserve">. </w:t>
      </w:r>
    </w:p>
    <w:p w14:paraId="5A44D52C" w14:textId="77777777" w:rsidR="00C46C7A" w:rsidRDefault="00C46C7A" w:rsidP="00FA6F66">
      <w:pPr>
        <w:widowControl w:val="0"/>
        <w:spacing w:after="120"/>
        <w:ind w:left="720"/>
        <w:rPr>
          <w:rFonts w:asciiTheme="minorHAnsi" w:hAnsiTheme="minorHAnsi"/>
          <w:bCs/>
          <w:snapToGrid w:val="0"/>
          <w:lang w:val="en-GB"/>
        </w:rPr>
      </w:pPr>
      <w:r w:rsidRPr="00493639">
        <w:rPr>
          <w:rFonts w:asciiTheme="minorHAnsi" w:hAnsiTheme="minorHAnsi"/>
          <w:bCs/>
          <w:snapToGrid w:val="0"/>
          <w:lang w:val="en-GB"/>
        </w:rPr>
        <w:t>The early resolution resubmission must be lodged by week 7 of the current PBAC cycle or the next cycle. If the issues cannot be addressed by the sponsor in a simple resubmission and the early resolution timing is not acceptable, a standard re-entry pathway is available</w:t>
      </w:r>
      <w:r w:rsidRPr="00C6512B">
        <w:rPr>
          <w:rFonts w:asciiTheme="minorHAnsi" w:hAnsiTheme="minorHAnsi"/>
          <w:bCs/>
          <w:snapToGrid w:val="0"/>
          <w:lang w:val="en-GB"/>
        </w:rPr>
        <w:t>.</w:t>
      </w:r>
    </w:p>
    <w:p w14:paraId="1DB2EF73" w14:textId="77777777" w:rsidR="00DA32BC" w:rsidRPr="00802117" w:rsidRDefault="00DA32BC" w:rsidP="00DA32BC">
      <w:pPr>
        <w:widowControl w:val="0"/>
        <w:numPr>
          <w:ilvl w:val="1"/>
          <w:numId w:val="1"/>
        </w:numPr>
        <w:spacing w:after="120"/>
        <w:rPr>
          <w:rFonts w:asciiTheme="minorHAnsi" w:hAnsiTheme="minorHAnsi"/>
          <w:snapToGrid w:val="0"/>
          <w:lang w:val="en-GB"/>
        </w:rPr>
      </w:pPr>
      <w:r>
        <w:t>The PBAC considered that the restriction was generally reasonable and consistent with the TGA indication, but considered the following changes would be required:</w:t>
      </w:r>
    </w:p>
    <w:p w14:paraId="7498C8EB" w14:textId="77777777" w:rsidR="00DA32BC" w:rsidRPr="00F50450" w:rsidRDefault="00DA32BC" w:rsidP="008720BC">
      <w:pPr>
        <w:pStyle w:val="3-BodyText"/>
        <w:numPr>
          <w:ilvl w:val="0"/>
          <w:numId w:val="11"/>
        </w:numPr>
        <w:ind w:left="1077" w:hanging="357"/>
        <w:contextualSpacing/>
        <w:rPr>
          <w:bCs/>
        </w:rPr>
      </w:pPr>
      <w:r w:rsidRPr="005D4E1B">
        <w:t xml:space="preserve">include the </w:t>
      </w:r>
      <w:r>
        <w:t xml:space="preserve">requirement for patients to have an </w:t>
      </w:r>
      <w:r w:rsidRPr="005D4E1B">
        <w:t>ECOG performance status of 1 or less in the restriction to align with the ASCENT trial population</w:t>
      </w:r>
      <w:r>
        <w:t xml:space="preserve">; </w:t>
      </w:r>
    </w:p>
    <w:p w14:paraId="2460DDC7" w14:textId="77777777" w:rsidR="00DA32BC" w:rsidRPr="00954480" w:rsidRDefault="00DA32BC" w:rsidP="008720BC">
      <w:pPr>
        <w:pStyle w:val="3-BodyText"/>
        <w:numPr>
          <w:ilvl w:val="0"/>
          <w:numId w:val="11"/>
        </w:numPr>
        <w:contextualSpacing/>
        <w:rPr>
          <w:bCs/>
        </w:rPr>
      </w:pPr>
      <w:r>
        <w:t>include a caution advising that the</w:t>
      </w:r>
      <w:r w:rsidRPr="00DA32BC">
        <w:t xml:space="preserve"> medicine contains a cytotoxic component and causes chemotherapy-like toxicity</w:t>
      </w:r>
      <w:r>
        <w:t>;</w:t>
      </w:r>
      <w:r w:rsidRPr="00DA32BC">
        <w:t xml:space="preserve"> </w:t>
      </w:r>
    </w:p>
    <w:p w14:paraId="3328DF41" w14:textId="77777777" w:rsidR="00DA32BC" w:rsidRPr="00954480" w:rsidRDefault="00DA32BC" w:rsidP="008720BC">
      <w:pPr>
        <w:pStyle w:val="3-BodyText"/>
        <w:numPr>
          <w:ilvl w:val="0"/>
          <w:numId w:val="11"/>
        </w:numPr>
        <w:ind w:left="1077" w:hanging="357"/>
        <w:contextualSpacing/>
        <w:rPr>
          <w:bCs/>
        </w:rPr>
      </w:pPr>
      <w:r>
        <w:t>increase the number of repeats for the initial treatment phase to provide four full treatment cycles which is consistent with the eribulin listing; and</w:t>
      </w:r>
    </w:p>
    <w:p w14:paraId="420990C9" w14:textId="77777777" w:rsidR="00DA32BC" w:rsidRPr="00F50450" w:rsidRDefault="00DA32BC" w:rsidP="008720BC">
      <w:pPr>
        <w:pStyle w:val="3-BodyText"/>
        <w:numPr>
          <w:ilvl w:val="0"/>
          <w:numId w:val="11"/>
        </w:numPr>
        <w:rPr>
          <w:bCs/>
        </w:rPr>
      </w:pPr>
      <w:r>
        <w:t xml:space="preserve">increase the maximum amount to 1,200 mg. </w:t>
      </w:r>
    </w:p>
    <w:p w14:paraId="04045680" w14:textId="77777777" w:rsidR="00277BFB" w:rsidRDefault="00277BFB" w:rsidP="001C7482">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 xml:space="preserve">The PBAC </w:t>
      </w:r>
      <w:r w:rsidR="00642E34">
        <w:rPr>
          <w:rFonts w:asciiTheme="minorHAnsi" w:hAnsiTheme="minorHAnsi"/>
          <w:bCs/>
          <w:snapToGrid w:val="0"/>
          <w:lang w:val="en-GB"/>
        </w:rPr>
        <w:t>noted</w:t>
      </w:r>
      <w:r w:rsidRPr="00525B39">
        <w:rPr>
          <w:rFonts w:asciiTheme="minorHAnsi" w:hAnsiTheme="minorHAnsi"/>
          <w:bCs/>
          <w:snapToGrid w:val="0"/>
          <w:lang w:val="en-GB"/>
        </w:rPr>
        <w:t xml:space="preserve"> that this submission is eligible for an Independent Review. </w:t>
      </w:r>
      <w:r w:rsidR="001C7482" w:rsidRPr="00525B39" w:rsidDel="001C7482">
        <w:rPr>
          <w:rFonts w:asciiTheme="minorHAnsi" w:hAnsiTheme="minorHAnsi"/>
          <w:bCs/>
          <w:i/>
          <w:snapToGrid w:val="0"/>
          <w:lang w:val="en-GB"/>
        </w:rPr>
        <w:t xml:space="preserve"> </w:t>
      </w:r>
    </w:p>
    <w:p w14:paraId="35771A0F" w14:textId="77777777" w:rsidR="00277BFB" w:rsidRPr="00525B39" w:rsidRDefault="00277BFB" w:rsidP="00277BFB">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52F75B6" w14:textId="77777777" w:rsidR="00277BFB" w:rsidRPr="00525B39" w:rsidRDefault="00277BFB" w:rsidP="00277BFB">
      <w:pPr>
        <w:rPr>
          <w:rFonts w:asciiTheme="minorHAnsi" w:hAnsiTheme="minorHAnsi"/>
          <w:bCs/>
          <w:snapToGrid w:val="0"/>
          <w:lang w:val="en-GB"/>
        </w:rPr>
      </w:pPr>
      <w:r>
        <w:rPr>
          <w:rFonts w:asciiTheme="minorHAnsi" w:hAnsiTheme="minorHAnsi"/>
          <w:bCs/>
          <w:snapToGrid w:val="0"/>
          <w:lang w:val="en-GB"/>
        </w:rPr>
        <w:t>Not recommended</w:t>
      </w:r>
    </w:p>
    <w:bookmarkEnd w:id="7"/>
    <w:bookmarkEnd w:id="8"/>
    <w:p w14:paraId="78C38CCC" w14:textId="77777777" w:rsidR="00DE35CC" w:rsidRPr="00DE35CC" w:rsidRDefault="00DE35CC" w:rsidP="00DE35CC">
      <w:pPr>
        <w:pStyle w:val="2-SectionHeading"/>
        <w:numPr>
          <w:ilvl w:val="0"/>
          <w:numId w:val="1"/>
        </w:numPr>
      </w:pPr>
      <w:r w:rsidRPr="00C07617">
        <w:t>Context for Decision</w:t>
      </w:r>
    </w:p>
    <w:p w14:paraId="00FD6B78" w14:textId="77777777" w:rsidR="00DE35CC" w:rsidRPr="007129F2" w:rsidRDefault="00DE35CC" w:rsidP="00DE35CC">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0DE96C4" w14:textId="77777777" w:rsidR="004F3AB0" w:rsidRDefault="00DE35CC" w:rsidP="004F3AB0">
      <w:pPr>
        <w:pStyle w:val="2-SectionHeading"/>
        <w:numPr>
          <w:ilvl w:val="0"/>
          <w:numId w:val="1"/>
        </w:numPr>
      </w:pPr>
      <w:r>
        <w:t>Sponsor’s Comment</w:t>
      </w:r>
    </w:p>
    <w:p w14:paraId="368061B7" w14:textId="5B45691E" w:rsidR="007213A0" w:rsidRPr="004F3AB0" w:rsidRDefault="00895D37" w:rsidP="004F3AB0">
      <w:pPr>
        <w:pStyle w:val="3-BodyText"/>
        <w:numPr>
          <w:ilvl w:val="0"/>
          <w:numId w:val="0"/>
        </w:numPr>
        <w:ind w:left="720"/>
        <w:rPr>
          <w:b/>
          <w:sz w:val="32"/>
          <w:szCs w:val="32"/>
        </w:rPr>
      </w:pPr>
      <w:r w:rsidRPr="004F3AB0">
        <w:rPr>
          <w:snapToGrid/>
          <w:lang w:val="en-GB"/>
        </w:rPr>
        <w:t xml:space="preserve">Gilead has been working collaboratively with clinicians, patient groups and the Government to expedite access to sacituzumab govitecan for patients with metastatic triple negative breast cancer (mTNBC).  We welcome recognition by the PBAC of the urgent need for new mTNBC treatment options, an aggressive and deadly type of disease which disproportionately affects young women in the prime of their career and family life.  We will continue to work closely with the PBAC </w:t>
      </w:r>
      <w:r w:rsidRPr="004F3AB0">
        <w:rPr>
          <w:snapToGrid/>
          <w:lang w:val="en-GB"/>
        </w:rPr>
        <w:lastRenderedPageBreak/>
        <w:t>through the early resolution pathway towards reimbursed access to sacituzumab govitecan for those who need it as quickly as possible.</w:t>
      </w:r>
    </w:p>
    <w:p w14:paraId="05CD2248" w14:textId="2316E97B" w:rsidR="007213A0" w:rsidRDefault="007213A0">
      <w:pPr>
        <w:jc w:val="left"/>
        <w:rPr>
          <w:rFonts w:asciiTheme="minorHAnsi" w:hAnsiTheme="minorHAnsi"/>
          <w:bCs/>
          <w:lang w:val="en-GB"/>
        </w:rPr>
      </w:pPr>
    </w:p>
    <w:p w14:paraId="76F16D39" w14:textId="77777777" w:rsidR="004F3AB0" w:rsidRDefault="004F3AB0">
      <w:pPr>
        <w:jc w:val="left"/>
        <w:rPr>
          <w:rFonts w:asciiTheme="minorHAnsi" w:eastAsia="Calibri" w:hAnsiTheme="minorHAnsi" w:cstheme="majorBidi"/>
          <w:b/>
          <w:spacing w:val="5"/>
          <w:kern w:val="28"/>
          <w:sz w:val="28"/>
          <w:szCs w:val="28"/>
          <w:lang w:eastAsia="en-US"/>
        </w:rPr>
      </w:pPr>
      <w:r>
        <w:rPr>
          <w:rFonts w:eastAsia="Calibri"/>
          <w:sz w:val="28"/>
          <w:szCs w:val="28"/>
        </w:rPr>
        <w:br w:type="page"/>
      </w:r>
    </w:p>
    <w:p w14:paraId="737F36DB" w14:textId="1BFA934B" w:rsidR="006F374A" w:rsidRPr="007F1070" w:rsidRDefault="006F374A" w:rsidP="006F374A">
      <w:pPr>
        <w:pStyle w:val="1MainTitle"/>
        <w:ind w:left="1134" w:hanging="1134"/>
        <w:jc w:val="left"/>
        <w:rPr>
          <w:rFonts w:eastAsia="Calibri"/>
          <w:sz w:val="28"/>
          <w:szCs w:val="28"/>
        </w:rPr>
      </w:pPr>
      <w:r w:rsidRPr="007F1070">
        <w:rPr>
          <w:rFonts w:eastAsia="Calibri"/>
          <w:sz w:val="28"/>
          <w:szCs w:val="28"/>
        </w:rPr>
        <w:t>Addendum to the November 2021 P</w:t>
      </w:r>
      <w:r w:rsidR="00701031" w:rsidRPr="007F1070">
        <w:rPr>
          <w:rFonts w:eastAsia="Calibri"/>
          <w:sz w:val="28"/>
          <w:szCs w:val="28"/>
        </w:rPr>
        <w:t>ublic Summary Document</w:t>
      </w:r>
      <w:r w:rsidRPr="007F1070">
        <w:rPr>
          <w:rFonts w:eastAsia="Calibri"/>
          <w:sz w:val="28"/>
          <w:szCs w:val="28"/>
        </w:rPr>
        <w:t>:</w:t>
      </w:r>
    </w:p>
    <w:p w14:paraId="7F77682C" w14:textId="4EE94210" w:rsidR="006F374A" w:rsidRPr="0046360F" w:rsidRDefault="006F374A" w:rsidP="006F374A">
      <w:pPr>
        <w:pStyle w:val="1-MainHeading0"/>
        <w:keepLines/>
      </w:pPr>
      <w:r>
        <w:t>7.18</w:t>
      </w:r>
      <w:r w:rsidRPr="00D53347">
        <w:tab/>
      </w:r>
      <w:r w:rsidRPr="00457FD3">
        <w:t>SACITUZUMAB GOVITECAN,</w:t>
      </w:r>
      <w:r w:rsidRPr="00457FD3">
        <w:br/>
        <w:t>Powder for injection 180</w:t>
      </w:r>
      <w:r w:rsidR="007213A0">
        <w:t> </w:t>
      </w:r>
      <w:r w:rsidRPr="00457FD3">
        <w:t>mg,</w:t>
      </w:r>
      <w:r w:rsidRPr="00457FD3">
        <w:br/>
        <w:t>Trodelvy</w:t>
      </w:r>
      <w:r w:rsidRPr="00457FD3">
        <w:rPr>
          <w:vertAlign w:val="superscript"/>
        </w:rPr>
        <w:t xml:space="preserve"> </w:t>
      </w:r>
      <w:r w:rsidRPr="00457FD3">
        <w:t>®,</w:t>
      </w:r>
      <w:r w:rsidRPr="00457FD3">
        <w:br/>
        <w:t>Gilead Sciences Pty L</w:t>
      </w:r>
      <w:r>
        <w:t>imited</w:t>
      </w:r>
      <w:r w:rsidRPr="00457FD3">
        <w:t>.</w:t>
      </w:r>
    </w:p>
    <w:p w14:paraId="22E45E9E" w14:textId="77777777" w:rsidR="006F374A" w:rsidRPr="0046360F" w:rsidRDefault="006F374A" w:rsidP="006F374A">
      <w:pPr>
        <w:pStyle w:val="2-SectionHeading"/>
        <w:numPr>
          <w:ilvl w:val="0"/>
          <w:numId w:val="1"/>
        </w:numPr>
      </w:pPr>
      <w:r>
        <w:t>Background</w:t>
      </w:r>
    </w:p>
    <w:p w14:paraId="2E0E85FA" w14:textId="77777777" w:rsidR="006F374A" w:rsidRDefault="006F374A" w:rsidP="006F374A">
      <w:pPr>
        <w:pStyle w:val="3-BodyText"/>
      </w:pPr>
      <w:r>
        <w:t>The resubmission requested a Section 100 (Efficient Funding of Chemotherapy Program) Authority Required (STREAMLINED) listing for the treatment of adult patients with unresectable, locally advanced or metastatic triple negative breast cancer (TNBC), who have received two or more prior therapies, at least one of them in the locally advanced or metastatic setting.</w:t>
      </w:r>
    </w:p>
    <w:p w14:paraId="7E369298" w14:textId="77777777" w:rsidR="006F374A" w:rsidRDefault="006F374A" w:rsidP="006F374A">
      <w:pPr>
        <w:pStyle w:val="3-BodyText"/>
      </w:pPr>
      <w:r>
        <w:t>The resubmission was made under the early resolution pathway and sought to address the PBAC’s concerns from</w:t>
      </w:r>
      <w:r w:rsidRPr="00EB39C8">
        <w:t xml:space="preserve"> its </w:t>
      </w:r>
      <w:r>
        <w:t>November 2021 meeting.</w:t>
      </w:r>
    </w:p>
    <w:p w14:paraId="0EA2DC10" w14:textId="77777777" w:rsidR="006F374A" w:rsidRPr="00B6677F" w:rsidRDefault="006F374A" w:rsidP="006F374A">
      <w:pPr>
        <w:pStyle w:val="2-SectionHeading"/>
        <w:numPr>
          <w:ilvl w:val="0"/>
          <w:numId w:val="1"/>
        </w:numPr>
      </w:pPr>
      <w:r w:rsidRPr="00B6677F">
        <w:t>Consideration of the evidence</w:t>
      </w:r>
    </w:p>
    <w:p w14:paraId="18E11B9F" w14:textId="77777777" w:rsidR="006F374A" w:rsidRPr="00C6512B" w:rsidRDefault="006F374A" w:rsidP="006F374A">
      <w:pPr>
        <w:pStyle w:val="3-BodyText"/>
        <w:rPr>
          <w:lang w:val="en-GB"/>
        </w:rPr>
      </w:pPr>
      <w:r>
        <w:t>In November 2021 t</w:t>
      </w:r>
      <w:r w:rsidRPr="005E4194">
        <w:rPr>
          <w:lang w:eastAsia="en-US"/>
        </w:rPr>
        <w:t xml:space="preserve">he PBAC </w:t>
      </w:r>
      <w:r w:rsidRPr="00380CDB">
        <w:rPr>
          <w:rFonts w:ascii="Calibri" w:hAnsi="Calibri"/>
          <w:bCs/>
          <w:snapToGrid/>
          <w:lang w:eastAsia="en-US"/>
        </w:rPr>
        <w:t xml:space="preserve">considered the outstanding issues could be resolved in a simple resubmission </w:t>
      </w:r>
      <w:r>
        <w:rPr>
          <w:lang w:val="en-GB"/>
        </w:rPr>
        <w:t xml:space="preserve">and that </w:t>
      </w:r>
      <w:r w:rsidRPr="00674C0F">
        <w:rPr>
          <w:lang w:val="en-GB"/>
        </w:rPr>
        <w:t>the following changes may address the outstanding issues without requiring further re-evaluation</w:t>
      </w:r>
      <w:r w:rsidRPr="00C6512B">
        <w:rPr>
          <w:lang w:val="en-GB"/>
        </w:rPr>
        <w:t xml:space="preserve">: </w:t>
      </w:r>
    </w:p>
    <w:p w14:paraId="0EED5305" w14:textId="77777777" w:rsidR="006F374A" w:rsidRDefault="006F374A" w:rsidP="006F374A">
      <w:pPr>
        <w:pStyle w:val="ListBullet"/>
        <w:tabs>
          <w:tab w:val="clear" w:pos="360"/>
          <w:tab w:val="num" w:pos="1080"/>
        </w:tabs>
        <w:spacing w:after="120"/>
        <w:ind w:left="1077" w:hanging="357"/>
        <w:rPr>
          <w:lang w:val="en-GB"/>
        </w:rPr>
      </w:pPr>
      <w:r>
        <w:rPr>
          <w:lang w:val="en-GB"/>
        </w:rPr>
        <w:t>revised inputs to the economic model as outlined in paragraph 7.16;</w:t>
      </w:r>
    </w:p>
    <w:p w14:paraId="41969965" w14:textId="77777777" w:rsidR="006F374A" w:rsidRDefault="006F374A" w:rsidP="006F374A">
      <w:pPr>
        <w:pStyle w:val="ListBullet"/>
        <w:tabs>
          <w:tab w:val="clear" w:pos="360"/>
          <w:tab w:val="num" w:pos="1080"/>
        </w:tabs>
        <w:ind w:left="1077" w:hanging="357"/>
        <w:contextualSpacing w:val="0"/>
        <w:rPr>
          <w:lang w:val="en-GB"/>
        </w:rPr>
      </w:pPr>
      <w:r w:rsidRPr="003A65BD">
        <w:rPr>
          <w:lang w:val="en-GB"/>
        </w:rPr>
        <w:t xml:space="preserve">a price reduction </w:t>
      </w:r>
      <w:r>
        <w:rPr>
          <w:lang w:val="en-GB"/>
        </w:rPr>
        <w:t>resulting in an</w:t>
      </w:r>
      <w:r w:rsidRPr="005D5096">
        <w:rPr>
          <w:lang w:val="en-GB"/>
        </w:rPr>
        <w:t xml:space="preserve"> ICER </w:t>
      </w:r>
      <w:r>
        <w:rPr>
          <w:lang w:val="en-GB"/>
        </w:rPr>
        <w:t>of</w:t>
      </w:r>
      <w:r w:rsidRPr="005D5096">
        <w:rPr>
          <w:lang w:val="en-GB"/>
        </w:rPr>
        <w:t xml:space="preserve"> $75,000/QALY</w:t>
      </w:r>
      <w:r>
        <w:rPr>
          <w:lang w:val="en-GB"/>
        </w:rPr>
        <w:t xml:space="preserve"> to $85,000/QALY using the aforementioned inputs into the economic model;</w:t>
      </w:r>
      <w:r w:rsidRPr="005D5096">
        <w:rPr>
          <w:lang w:val="en-GB"/>
        </w:rPr>
        <w:t xml:space="preserve"> </w:t>
      </w:r>
    </w:p>
    <w:p w14:paraId="49878278" w14:textId="77777777" w:rsidR="006F374A" w:rsidRPr="005D5096" w:rsidRDefault="006F374A" w:rsidP="006F374A">
      <w:pPr>
        <w:pStyle w:val="ListBullet"/>
        <w:tabs>
          <w:tab w:val="clear" w:pos="360"/>
          <w:tab w:val="num" w:pos="1080"/>
        </w:tabs>
        <w:ind w:left="1080"/>
        <w:rPr>
          <w:lang w:val="en-GB"/>
        </w:rPr>
      </w:pPr>
      <w:r w:rsidRPr="005D5096">
        <w:rPr>
          <w:lang w:val="en-GB"/>
        </w:rPr>
        <w:t xml:space="preserve">revised utilisation and financial estimates </w:t>
      </w:r>
      <w:r>
        <w:rPr>
          <w:lang w:val="en-GB"/>
        </w:rPr>
        <w:t>based on paragraph 7.18; and</w:t>
      </w:r>
    </w:p>
    <w:p w14:paraId="6EA51A12" w14:textId="77777777" w:rsidR="006F374A" w:rsidRPr="005D5096" w:rsidRDefault="006F374A" w:rsidP="006F374A">
      <w:pPr>
        <w:pStyle w:val="ListBullet"/>
        <w:widowControl w:val="0"/>
        <w:tabs>
          <w:tab w:val="clear" w:pos="360"/>
          <w:tab w:val="num" w:pos="1080"/>
        </w:tabs>
        <w:spacing w:after="120"/>
        <w:ind w:left="1134" w:hanging="414"/>
        <w:contextualSpacing w:val="0"/>
        <w:rPr>
          <w:lang w:val="en-GB"/>
        </w:rPr>
      </w:pPr>
      <w:r>
        <w:rPr>
          <w:lang w:val="en-GB"/>
        </w:rPr>
        <w:t xml:space="preserve">an </w:t>
      </w:r>
      <w:r w:rsidRPr="005D5096">
        <w:rPr>
          <w:lang w:val="en-GB"/>
        </w:rPr>
        <w:t>RSA</w:t>
      </w:r>
      <w:r>
        <w:rPr>
          <w:lang w:val="en-GB"/>
        </w:rPr>
        <w:t xml:space="preserve"> with expenditure caps based on the estimates that incorporate the above changes</w:t>
      </w:r>
      <w:r w:rsidRPr="005D5096">
        <w:rPr>
          <w:lang w:val="en-GB"/>
        </w:rPr>
        <w:t xml:space="preserve">. </w:t>
      </w:r>
    </w:p>
    <w:p w14:paraId="4EE614A2" w14:textId="77777777" w:rsidR="006F374A" w:rsidRDefault="006F374A" w:rsidP="006F374A">
      <w:pPr>
        <w:widowControl w:val="0"/>
        <w:numPr>
          <w:ilvl w:val="1"/>
          <w:numId w:val="1"/>
        </w:numPr>
        <w:spacing w:after="120"/>
        <w:rPr>
          <w:lang w:eastAsia="en-US"/>
        </w:rPr>
      </w:pPr>
      <w:r w:rsidRPr="0069015C">
        <w:t>The</w:t>
      </w:r>
      <w:r>
        <w:rPr>
          <w:lang w:eastAsia="en-US"/>
        </w:rPr>
        <w:t xml:space="preserve"> table below summarises how the resubmission addressed each of these issues. </w:t>
      </w:r>
    </w:p>
    <w:p w14:paraId="6BB25A7F" w14:textId="3C9F3180" w:rsidR="006F374A" w:rsidRPr="00841C5A" w:rsidRDefault="006F374A" w:rsidP="006F374A">
      <w:pPr>
        <w:keepNext/>
        <w:keepLines/>
        <w:rPr>
          <w:rFonts w:ascii="Arial Narrow" w:hAnsi="Arial Narrow" w:cs="Times New Roman"/>
          <w:b/>
          <w:bCs/>
          <w:sz w:val="20"/>
        </w:rPr>
      </w:pPr>
      <w:bookmarkStart w:id="9" w:name="_Ref90909289"/>
      <w:r w:rsidRPr="00841C5A">
        <w:rPr>
          <w:rFonts w:ascii="Arial Narrow" w:hAnsi="Arial Narrow" w:cs="Times New Roman"/>
          <w:b/>
          <w:bCs/>
          <w:sz w:val="20"/>
        </w:rPr>
        <w:lastRenderedPageBreak/>
        <w:t xml:space="preserve">Table </w:t>
      </w:r>
      <w:bookmarkEnd w:id="9"/>
      <w:r w:rsidRPr="00841C5A">
        <w:rPr>
          <w:rFonts w:ascii="Arial Narrow" w:hAnsi="Arial Narrow" w:cs="Times New Roman"/>
          <w:b/>
          <w:bCs/>
          <w:sz w:val="20"/>
        </w:rPr>
        <w:t>1</w:t>
      </w:r>
      <w:r>
        <w:rPr>
          <w:rFonts w:ascii="Arial Narrow" w:hAnsi="Arial Narrow" w:cs="Times New Roman"/>
          <w:b/>
          <w:bCs/>
          <w:sz w:val="20"/>
        </w:rPr>
        <w:t>7</w:t>
      </w:r>
      <w:r w:rsidRPr="00841C5A">
        <w:rPr>
          <w:rFonts w:ascii="Arial Narrow" w:hAnsi="Arial Narrow" w:cs="Times New Roman"/>
          <w:b/>
          <w:bCs/>
          <w:sz w:val="20"/>
        </w:rPr>
        <w:t xml:space="preserve">: Summary of </w:t>
      </w:r>
      <w:r>
        <w:rPr>
          <w:rFonts w:ascii="Arial Narrow" w:hAnsi="Arial Narrow" w:cs="Times New Roman"/>
          <w:b/>
          <w:bCs/>
          <w:sz w:val="20"/>
        </w:rPr>
        <w:t xml:space="preserve">changes </w:t>
      </w:r>
      <w:r w:rsidRPr="00841C5A">
        <w:rPr>
          <w:rFonts w:ascii="Arial Narrow" w:hAnsi="Arial Narrow" w:cs="Times New Roman"/>
          <w:b/>
          <w:bCs/>
          <w:sz w:val="20"/>
        </w:rPr>
        <w:t xml:space="preserve">made by the resubmission to address matters raised in the </w:t>
      </w:r>
      <w:r>
        <w:rPr>
          <w:rFonts w:ascii="Arial Narrow" w:hAnsi="Arial Narrow" w:cs="Times New Roman"/>
          <w:b/>
          <w:bCs/>
          <w:sz w:val="20"/>
        </w:rPr>
        <w:t xml:space="preserve">Nov. 2021 </w:t>
      </w:r>
      <w:r w:rsidRPr="00841C5A">
        <w:rPr>
          <w:rFonts w:ascii="Arial Narrow" w:hAnsi="Arial Narrow" w:cs="Times New Roman"/>
          <w:b/>
          <w:bCs/>
          <w:sz w:val="20"/>
        </w:rPr>
        <w:t xml:space="preserve">PBAC </w:t>
      </w:r>
      <w:r w:rsidR="00922C5E">
        <w:rPr>
          <w:rFonts w:ascii="Arial Narrow" w:hAnsi="Arial Narrow" w:cs="Times New Roman"/>
          <w:b/>
          <w:bCs/>
          <w:sz w:val="20"/>
        </w:rPr>
        <w:t>PSD</w:t>
      </w:r>
      <w:r w:rsidRPr="00841C5A">
        <w:rPr>
          <w:rFonts w:ascii="Arial Narrow" w:hAnsi="Arial Narrow" w:cs="Times New Roman"/>
          <w:b/>
          <w:bCs/>
          <w:sz w:val="20"/>
        </w:rPr>
        <w:t xml:space="preserve"> </w:t>
      </w:r>
    </w:p>
    <w:tbl>
      <w:tblPr>
        <w:tblStyle w:val="CMATableTemplate1"/>
        <w:tblW w:w="5000" w:type="pct"/>
        <w:tblLook w:val="04A0" w:firstRow="1" w:lastRow="0" w:firstColumn="1" w:lastColumn="0" w:noHBand="0" w:noVBand="1"/>
      </w:tblPr>
      <w:tblGrid>
        <w:gridCol w:w="2988"/>
        <w:gridCol w:w="2247"/>
        <w:gridCol w:w="3782"/>
      </w:tblGrid>
      <w:tr w:rsidR="006F374A" w:rsidRPr="00841C5A" w14:paraId="313623CD" w14:textId="77777777" w:rsidTr="006F374A">
        <w:tc>
          <w:tcPr>
            <w:tcW w:w="1657" w:type="pct"/>
            <w:shd w:val="clear" w:color="auto" w:fill="auto"/>
          </w:tcPr>
          <w:p w14:paraId="3446BD90" w14:textId="77777777" w:rsidR="006F374A" w:rsidRPr="00841C5A" w:rsidRDefault="006F374A" w:rsidP="006F374A">
            <w:pPr>
              <w:keepNext/>
              <w:keepLines/>
              <w:jc w:val="left"/>
              <w:rPr>
                <w:rFonts w:ascii="Arial Narrow" w:hAnsi="Arial Narrow" w:cs="Times New Roman"/>
                <w:b/>
                <w:bCs/>
                <w:sz w:val="20"/>
              </w:rPr>
            </w:pPr>
            <w:r>
              <w:rPr>
                <w:rFonts w:ascii="Arial Narrow" w:hAnsi="Arial Narrow" w:cs="Times New Roman"/>
                <w:b/>
                <w:bCs/>
                <w:sz w:val="20"/>
              </w:rPr>
              <w:t xml:space="preserve">Parameter </w:t>
            </w:r>
          </w:p>
        </w:tc>
        <w:tc>
          <w:tcPr>
            <w:tcW w:w="1246" w:type="pct"/>
            <w:shd w:val="clear" w:color="auto" w:fill="auto"/>
          </w:tcPr>
          <w:p w14:paraId="18E307DE" w14:textId="77777777" w:rsidR="006F374A" w:rsidRPr="00841C5A" w:rsidRDefault="006F374A" w:rsidP="006F374A">
            <w:pPr>
              <w:keepNext/>
              <w:keepLines/>
              <w:jc w:val="center"/>
              <w:rPr>
                <w:rFonts w:ascii="Arial Narrow" w:hAnsi="Arial Narrow" w:cs="Times New Roman"/>
                <w:b/>
                <w:bCs/>
                <w:sz w:val="20"/>
              </w:rPr>
            </w:pPr>
            <w:r w:rsidRPr="00841C5A">
              <w:rPr>
                <w:rFonts w:ascii="Arial Narrow" w:hAnsi="Arial Narrow" w:cs="Times New Roman"/>
                <w:b/>
                <w:bCs/>
                <w:sz w:val="20"/>
              </w:rPr>
              <w:t>Resubmission changes</w:t>
            </w:r>
          </w:p>
        </w:tc>
        <w:tc>
          <w:tcPr>
            <w:tcW w:w="2097" w:type="pct"/>
            <w:shd w:val="clear" w:color="auto" w:fill="auto"/>
          </w:tcPr>
          <w:p w14:paraId="58B19F39" w14:textId="0FE59F1D" w:rsidR="006F374A" w:rsidRPr="00841C5A" w:rsidRDefault="006F374A" w:rsidP="006F374A">
            <w:pPr>
              <w:keepNext/>
              <w:keepLines/>
              <w:jc w:val="center"/>
              <w:rPr>
                <w:rFonts w:ascii="Arial Narrow" w:hAnsi="Arial Narrow" w:cs="Times New Roman"/>
                <w:b/>
                <w:bCs/>
                <w:sz w:val="20"/>
              </w:rPr>
            </w:pPr>
            <w:r>
              <w:rPr>
                <w:rFonts w:ascii="Arial Narrow" w:hAnsi="Arial Narrow" w:cs="Times New Roman"/>
                <w:b/>
                <w:bCs/>
                <w:sz w:val="20"/>
              </w:rPr>
              <w:t xml:space="preserve">Comparison with Nov. 2021 </w:t>
            </w:r>
            <w:r w:rsidRPr="00841C5A">
              <w:rPr>
                <w:rFonts w:ascii="Arial Narrow" w:hAnsi="Arial Narrow" w:cs="Times New Roman"/>
                <w:b/>
                <w:bCs/>
                <w:sz w:val="20"/>
              </w:rPr>
              <w:t xml:space="preserve">PBAC </w:t>
            </w:r>
            <w:r w:rsidR="00922C5E">
              <w:rPr>
                <w:rFonts w:ascii="Arial Narrow" w:hAnsi="Arial Narrow" w:cs="Times New Roman"/>
                <w:b/>
                <w:bCs/>
                <w:sz w:val="20"/>
              </w:rPr>
              <w:t>PSD</w:t>
            </w:r>
          </w:p>
        </w:tc>
      </w:tr>
      <w:tr w:rsidR="006F374A" w:rsidRPr="00841C5A" w14:paraId="283F4744" w14:textId="77777777" w:rsidTr="006F374A">
        <w:tc>
          <w:tcPr>
            <w:tcW w:w="5000" w:type="pct"/>
            <w:gridSpan w:val="3"/>
            <w:shd w:val="clear" w:color="auto" w:fill="auto"/>
          </w:tcPr>
          <w:p w14:paraId="05083E00" w14:textId="77777777" w:rsidR="006F374A" w:rsidRDefault="006F374A" w:rsidP="006F374A">
            <w:pPr>
              <w:keepNext/>
              <w:keepLines/>
              <w:jc w:val="left"/>
              <w:rPr>
                <w:rFonts w:ascii="Arial Narrow" w:hAnsi="Arial Narrow" w:cs="Times New Roman"/>
                <w:b/>
                <w:bCs/>
                <w:sz w:val="20"/>
              </w:rPr>
            </w:pPr>
            <w:r w:rsidRPr="00841C5A">
              <w:rPr>
                <w:rFonts w:ascii="Arial Narrow" w:hAnsi="Arial Narrow" w:cs="Times New Roman"/>
                <w:b/>
                <w:bCs/>
                <w:sz w:val="20"/>
              </w:rPr>
              <w:t>Economic evaluation</w:t>
            </w:r>
          </w:p>
        </w:tc>
      </w:tr>
      <w:tr w:rsidR="006F374A" w:rsidRPr="00841C5A" w14:paraId="2285D9D0" w14:textId="77777777" w:rsidTr="006F374A">
        <w:tc>
          <w:tcPr>
            <w:tcW w:w="1657" w:type="pct"/>
            <w:shd w:val="clear" w:color="auto" w:fill="auto"/>
          </w:tcPr>
          <w:p w14:paraId="1E9DB733" w14:textId="77777777"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Extrapolation of overall survival</w:t>
            </w:r>
          </w:p>
        </w:tc>
        <w:tc>
          <w:tcPr>
            <w:tcW w:w="1246" w:type="pct"/>
            <w:shd w:val="clear" w:color="auto" w:fill="auto"/>
            <w:vAlign w:val="center"/>
          </w:tcPr>
          <w:p w14:paraId="2389DB8C" w14:textId="77777777" w:rsidR="006F374A" w:rsidRPr="00841C5A" w:rsidRDefault="006F374A" w:rsidP="006F374A">
            <w:pPr>
              <w:keepNext/>
              <w:keepLines/>
              <w:jc w:val="center"/>
              <w:rPr>
                <w:rFonts w:ascii="Arial Narrow" w:hAnsi="Arial Narrow" w:cs="Times New Roman"/>
                <w:bCs/>
                <w:sz w:val="20"/>
              </w:rPr>
            </w:pPr>
            <w:r w:rsidRPr="00841C5A">
              <w:rPr>
                <w:rFonts w:ascii="Arial Narrow" w:hAnsi="Arial Narrow" w:cs="Times New Roman"/>
                <w:bCs/>
                <w:sz w:val="20"/>
              </w:rPr>
              <w:t>Gamma function in both treatment arms</w:t>
            </w:r>
          </w:p>
        </w:tc>
        <w:tc>
          <w:tcPr>
            <w:tcW w:w="2097" w:type="pct"/>
            <w:vMerge w:val="restart"/>
            <w:shd w:val="clear" w:color="auto" w:fill="auto"/>
          </w:tcPr>
          <w:p w14:paraId="7AB8504A" w14:textId="35AEF1C7"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 xml:space="preserve">Consistent with PBAC </w:t>
            </w:r>
            <w:r w:rsidR="00922C5E">
              <w:rPr>
                <w:rFonts w:ascii="Arial Narrow" w:hAnsi="Arial Narrow" w:cs="Times New Roman"/>
                <w:bCs/>
                <w:sz w:val="20"/>
              </w:rPr>
              <w:t>PSD</w:t>
            </w:r>
            <w:r w:rsidRPr="00841C5A">
              <w:rPr>
                <w:rFonts w:ascii="Arial Narrow" w:hAnsi="Arial Narrow" w:cs="Times New Roman"/>
                <w:bCs/>
                <w:sz w:val="20"/>
              </w:rPr>
              <w:t xml:space="preserve"> (paragraphs 7.16 and 7.20). </w:t>
            </w:r>
          </w:p>
          <w:p w14:paraId="0BED1D33" w14:textId="55F1F798"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 xml:space="preserve">A 30% lower price </w:t>
            </w:r>
            <w:r>
              <w:rPr>
                <w:rFonts w:ascii="Arial Narrow" w:hAnsi="Arial Narrow" w:cs="Times New Roman"/>
                <w:bCs/>
                <w:sz w:val="20"/>
              </w:rPr>
              <w:t xml:space="preserve">(AEMP of </w:t>
            </w:r>
            <w:r w:rsidRPr="00CD0BC3">
              <w:rPr>
                <w:rFonts w:ascii="Arial Narrow" w:hAnsi="Arial Narrow" w:cs="Times New Roman"/>
                <w:bCs/>
                <w:sz w:val="20"/>
              </w:rPr>
              <w:t>$</w:t>
            </w:r>
            <w:r w:rsidR="00B6129C" w:rsidRPr="00B6129C">
              <w:rPr>
                <w:rFonts w:ascii="Arial Narrow" w:hAnsi="Arial Narrow" w:cs="Times New Roman"/>
                <w:bCs/>
                <w:color w:val="000000"/>
                <w:spacing w:val="53"/>
                <w:sz w:val="20"/>
                <w:shd w:val="solid" w:color="000000" w:fill="000000"/>
                <w:fitText w:val="333" w:id="-1506007552"/>
                <w14:textFill>
                  <w14:solidFill>
                    <w14:srgbClr w14:val="000000">
                      <w14:alpha w14:val="100000"/>
                    </w14:srgbClr>
                  </w14:solidFill>
                </w14:textFill>
              </w:rPr>
              <w:t>|||</w:t>
            </w:r>
            <w:r w:rsidR="00B6129C" w:rsidRPr="00B6129C">
              <w:rPr>
                <w:rFonts w:ascii="Arial Narrow" w:hAnsi="Arial Narrow" w:cs="Times New Roman"/>
                <w:bCs/>
                <w:color w:val="000000"/>
                <w:spacing w:val="2"/>
                <w:sz w:val="20"/>
                <w:shd w:val="solid" w:color="000000" w:fill="000000"/>
                <w:fitText w:val="333" w:id="-1506007552"/>
                <w14:textFill>
                  <w14:solidFill>
                    <w14:srgbClr w14:val="000000">
                      <w14:alpha w14:val="100000"/>
                    </w14:srgbClr>
                  </w14:solidFill>
                </w14:textFill>
              </w:rPr>
              <w:t>|</w:t>
            </w:r>
            <w:r>
              <w:rPr>
                <w:rFonts w:ascii="Arial Narrow" w:hAnsi="Arial Narrow" w:cs="Times New Roman"/>
                <w:bCs/>
                <w:sz w:val="20"/>
              </w:rPr>
              <w:t xml:space="preserve"> </w:t>
            </w:r>
            <w:r w:rsidRPr="005C635E">
              <w:rPr>
                <w:rFonts w:ascii="Arial Narrow" w:hAnsi="Arial Narrow" w:cs="Times New Roman"/>
                <w:bCs/>
                <w:sz w:val="20"/>
              </w:rPr>
              <w:t>per vial in the resubmission compared with $</w:t>
            </w:r>
            <w:r w:rsidR="00B6129C" w:rsidRPr="00B6129C">
              <w:rPr>
                <w:rFonts w:ascii="Arial Narrow" w:hAnsi="Arial Narrow" w:cs="Times New Roman"/>
                <w:bCs/>
                <w:color w:val="000000"/>
                <w:spacing w:val="50"/>
                <w:sz w:val="20"/>
                <w:shd w:val="solid" w:color="000000" w:fill="000000"/>
                <w:fitText w:val="322" w:id="-1506007551"/>
                <w14:textFill>
                  <w14:solidFill>
                    <w14:srgbClr w14:val="000000">
                      <w14:alpha w14:val="100000"/>
                    </w14:srgbClr>
                  </w14:solidFill>
                </w14:textFill>
              </w:rPr>
              <w:t>|||</w:t>
            </w:r>
            <w:r w:rsidR="00B6129C" w:rsidRPr="00B6129C">
              <w:rPr>
                <w:rFonts w:ascii="Arial Narrow" w:hAnsi="Arial Narrow" w:cs="Times New Roman"/>
                <w:bCs/>
                <w:color w:val="000000"/>
                <w:sz w:val="20"/>
                <w:shd w:val="solid" w:color="000000" w:fill="000000"/>
                <w:fitText w:val="322" w:id="-1506007551"/>
                <w14:textFill>
                  <w14:solidFill>
                    <w14:srgbClr w14:val="000000">
                      <w14:alpha w14:val="100000"/>
                    </w14:srgbClr>
                  </w14:solidFill>
                </w14:textFill>
              </w:rPr>
              <w:t>|</w:t>
            </w:r>
            <w:r w:rsidRPr="005C635E">
              <w:rPr>
                <w:rFonts w:ascii="Arial Narrow" w:hAnsi="Arial Narrow" w:cs="Times New Roman"/>
                <w:bCs/>
                <w:sz w:val="20"/>
              </w:rPr>
              <w:t xml:space="preserve"> in the original submission)</w:t>
            </w:r>
            <w:r>
              <w:rPr>
                <w:rFonts w:ascii="Arial Narrow" w:hAnsi="Arial Narrow" w:cs="Times New Roman"/>
                <w:bCs/>
                <w:sz w:val="20"/>
              </w:rPr>
              <w:t xml:space="preserve"> </w:t>
            </w:r>
            <w:r w:rsidRPr="00841C5A">
              <w:rPr>
                <w:rFonts w:ascii="Arial Narrow" w:hAnsi="Arial Narrow" w:cs="Times New Roman"/>
                <w:bCs/>
                <w:sz w:val="20"/>
              </w:rPr>
              <w:t>was proposed to achieve an ICER in the range of $75,000 to $85,000 per QALY.</w:t>
            </w:r>
          </w:p>
        </w:tc>
      </w:tr>
      <w:tr w:rsidR="006F374A" w:rsidRPr="00841C5A" w14:paraId="6977A417" w14:textId="77777777" w:rsidTr="006F374A">
        <w:tc>
          <w:tcPr>
            <w:tcW w:w="1657" w:type="pct"/>
            <w:shd w:val="clear" w:color="auto" w:fill="auto"/>
          </w:tcPr>
          <w:p w14:paraId="0401C174" w14:textId="77777777"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Time horizon</w:t>
            </w:r>
          </w:p>
        </w:tc>
        <w:tc>
          <w:tcPr>
            <w:tcW w:w="1246" w:type="pct"/>
            <w:shd w:val="clear" w:color="auto" w:fill="auto"/>
            <w:vAlign w:val="center"/>
          </w:tcPr>
          <w:p w14:paraId="52673E28" w14:textId="77777777" w:rsidR="006F374A" w:rsidRPr="00841C5A" w:rsidRDefault="006F374A" w:rsidP="006F374A">
            <w:pPr>
              <w:keepNext/>
              <w:keepLines/>
              <w:jc w:val="center"/>
              <w:rPr>
                <w:rFonts w:ascii="Arial Narrow" w:hAnsi="Arial Narrow" w:cs="Times New Roman"/>
                <w:bCs/>
                <w:sz w:val="20"/>
              </w:rPr>
            </w:pPr>
            <w:r w:rsidRPr="00841C5A">
              <w:rPr>
                <w:rFonts w:ascii="Arial Narrow" w:hAnsi="Arial Narrow" w:cs="Times New Roman"/>
                <w:bCs/>
                <w:sz w:val="20"/>
              </w:rPr>
              <w:t>5 years</w:t>
            </w:r>
          </w:p>
        </w:tc>
        <w:tc>
          <w:tcPr>
            <w:tcW w:w="2097" w:type="pct"/>
            <w:vMerge/>
            <w:shd w:val="clear" w:color="auto" w:fill="auto"/>
          </w:tcPr>
          <w:p w14:paraId="5DC85527" w14:textId="77777777" w:rsidR="006F374A" w:rsidRPr="00841C5A" w:rsidRDefault="006F374A" w:rsidP="006F374A">
            <w:pPr>
              <w:keepNext/>
              <w:keepLines/>
              <w:jc w:val="left"/>
              <w:rPr>
                <w:rFonts w:ascii="Arial Narrow" w:hAnsi="Arial Narrow" w:cs="Times New Roman"/>
                <w:bCs/>
                <w:sz w:val="20"/>
              </w:rPr>
            </w:pPr>
          </w:p>
        </w:tc>
      </w:tr>
      <w:tr w:rsidR="006F374A" w:rsidRPr="00841C5A" w14:paraId="71278F05" w14:textId="77777777" w:rsidTr="006F374A">
        <w:tc>
          <w:tcPr>
            <w:tcW w:w="1657" w:type="pct"/>
            <w:tcBorders>
              <w:bottom w:val="nil"/>
            </w:tcBorders>
            <w:shd w:val="clear" w:color="auto" w:fill="auto"/>
          </w:tcPr>
          <w:p w14:paraId="2DDEE7EA" w14:textId="77777777"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Utility values</w:t>
            </w:r>
          </w:p>
          <w:p w14:paraId="5B73C284" w14:textId="77777777" w:rsidR="006F374A" w:rsidRPr="00841C5A" w:rsidRDefault="006F374A" w:rsidP="006F374A">
            <w:pPr>
              <w:keepNext/>
              <w:keepLines/>
              <w:numPr>
                <w:ilvl w:val="0"/>
                <w:numId w:val="30"/>
              </w:numPr>
              <w:spacing w:after="200" w:line="276" w:lineRule="auto"/>
              <w:contextualSpacing/>
              <w:jc w:val="left"/>
              <w:rPr>
                <w:rFonts w:ascii="Arial Narrow" w:hAnsi="Arial Narrow" w:cs="Times New Roman"/>
                <w:bCs/>
                <w:sz w:val="20"/>
              </w:rPr>
            </w:pPr>
            <w:r w:rsidRPr="00841C5A">
              <w:rPr>
                <w:rFonts w:ascii="Arial Narrow" w:hAnsi="Arial Narrow" w:cs="Times New Roman"/>
                <w:bCs/>
                <w:sz w:val="20"/>
              </w:rPr>
              <w:t>Progression free</w:t>
            </w:r>
          </w:p>
          <w:p w14:paraId="02FA18E0" w14:textId="77777777" w:rsidR="006F374A" w:rsidRPr="00841C5A" w:rsidRDefault="006F374A" w:rsidP="006F374A">
            <w:pPr>
              <w:keepNext/>
              <w:keepLines/>
              <w:numPr>
                <w:ilvl w:val="0"/>
                <w:numId w:val="30"/>
              </w:numPr>
              <w:spacing w:after="200" w:line="276" w:lineRule="auto"/>
              <w:contextualSpacing/>
              <w:jc w:val="left"/>
              <w:rPr>
                <w:rFonts w:ascii="Arial Narrow" w:hAnsi="Arial Narrow" w:cs="Times New Roman"/>
                <w:bCs/>
                <w:sz w:val="20"/>
              </w:rPr>
            </w:pPr>
            <w:r w:rsidRPr="00841C5A">
              <w:rPr>
                <w:rFonts w:ascii="Arial Narrow" w:hAnsi="Arial Narrow" w:cs="Times New Roman"/>
                <w:bCs/>
                <w:sz w:val="20"/>
              </w:rPr>
              <w:t>Progressed disease</w:t>
            </w:r>
          </w:p>
        </w:tc>
        <w:tc>
          <w:tcPr>
            <w:tcW w:w="1246" w:type="pct"/>
            <w:tcBorders>
              <w:bottom w:val="nil"/>
            </w:tcBorders>
            <w:shd w:val="clear" w:color="auto" w:fill="auto"/>
            <w:vAlign w:val="center"/>
          </w:tcPr>
          <w:p w14:paraId="4F98F176" w14:textId="77777777" w:rsidR="006F374A" w:rsidRPr="00841C5A" w:rsidRDefault="006F374A" w:rsidP="006F374A">
            <w:pPr>
              <w:keepNext/>
              <w:keepLines/>
              <w:jc w:val="center"/>
              <w:rPr>
                <w:rFonts w:ascii="Arial Narrow" w:hAnsi="Arial Narrow" w:cs="Times New Roman"/>
                <w:bCs/>
                <w:sz w:val="20"/>
              </w:rPr>
            </w:pPr>
          </w:p>
          <w:p w14:paraId="39741C87" w14:textId="77777777" w:rsidR="006F374A" w:rsidRPr="00841C5A" w:rsidRDefault="006F374A" w:rsidP="006F374A">
            <w:pPr>
              <w:keepNext/>
              <w:keepLines/>
              <w:jc w:val="center"/>
              <w:rPr>
                <w:rFonts w:ascii="Arial Narrow" w:hAnsi="Arial Narrow" w:cs="Times New Roman"/>
                <w:bCs/>
                <w:sz w:val="20"/>
              </w:rPr>
            </w:pPr>
            <w:r w:rsidRPr="00841C5A">
              <w:rPr>
                <w:rFonts w:ascii="Arial Narrow" w:hAnsi="Arial Narrow" w:cs="Times New Roman"/>
                <w:bCs/>
                <w:sz w:val="20"/>
              </w:rPr>
              <w:t>SG=0.746; TPC=0.662</w:t>
            </w:r>
          </w:p>
          <w:p w14:paraId="36773DA9" w14:textId="77777777" w:rsidR="006F374A" w:rsidRPr="00841C5A" w:rsidRDefault="006F374A" w:rsidP="006F374A">
            <w:pPr>
              <w:keepNext/>
              <w:keepLines/>
              <w:jc w:val="center"/>
              <w:rPr>
                <w:rFonts w:ascii="Arial Narrow" w:hAnsi="Arial Narrow" w:cs="Times New Roman"/>
                <w:bCs/>
                <w:sz w:val="20"/>
              </w:rPr>
            </w:pPr>
            <w:r w:rsidRPr="00841C5A">
              <w:rPr>
                <w:rFonts w:ascii="Arial Narrow" w:hAnsi="Arial Narrow" w:cs="Times New Roman"/>
                <w:bCs/>
                <w:sz w:val="20"/>
              </w:rPr>
              <w:t>SG/TPC=0.605</w:t>
            </w:r>
          </w:p>
        </w:tc>
        <w:tc>
          <w:tcPr>
            <w:tcW w:w="2097" w:type="pct"/>
            <w:vMerge/>
            <w:shd w:val="clear" w:color="auto" w:fill="auto"/>
          </w:tcPr>
          <w:p w14:paraId="17855556" w14:textId="77777777" w:rsidR="006F374A" w:rsidRPr="00841C5A" w:rsidRDefault="006F374A" w:rsidP="006F374A">
            <w:pPr>
              <w:keepNext/>
              <w:keepLines/>
              <w:jc w:val="left"/>
              <w:rPr>
                <w:rFonts w:ascii="Arial Narrow" w:hAnsi="Arial Narrow" w:cs="Times New Roman"/>
                <w:bCs/>
                <w:sz w:val="20"/>
              </w:rPr>
            </w:pPr>
          </w:p>
        </w:tc>
      </w:tr>
      <w:tr w:rsidR="006F374A" w:rsidRPr="00841C5A" w14:paraId="71642190" w14:textId="77777777" w:rsidTr="006F374A">
        <w:tc>
          <w:tcPr>
            <w:tcW w:w="1657" w:type="pct"/>
            <w:shd w:val="clear" w:color="auto" w:fill="auto"/>
          </w:tcPr>
          <w:p w14:paraId="15A6974C" w14:textId="77777777"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Dose intensity</w:t>
            </w:r>
          </w:p>
        </w:tc>
        <w:tc>
          <w:tcPr>
            <w:tcW w:w="1246" w:type="pct"/>
            <w:shd w:val="clear" w:color="auto" w:fill="auto"/>
            <w:vAlign w:val="center"/>
          </w:tcPr>
          <w:p w14:paraId="3307086A" w14:textId="77777777" w:rsidR="006F374A" w:rsidRPr="00841C5A" w:rsidRDefault="006F374A" w:rsidP="006F374A">
            <w:pPr>
              <w:keepNext/>
              <w:keepLines/>
              <w:jc w:val="center"/>
              <w:rPr>
                <w:rFonts w:ascii="Arial Narrow" w:hAnsi="Arial Narrow" w:cs="Times New Roman"/>
                <w:bCs/>
                <w:sz w:val="20"/>
              </w:rPr>
            </w:pPr>
            <w:r w:rsidRPr="00841C5A">
              <w:rPr>
                <w:rFonts w:ascii="Arial Narrow" w:hAnsi="Arial Narrow" w:cs="Times New Roman"/>
                <w:bCs/>
                <w:sz w:val="20"/>
              </w:rPr>
              <w:t>70%</w:t>
            </w:r>
          </w:p>
        </w:tc>
        <w:tc>
          <w:tcPr>
            <w:tcW w:w="2097" w:type="pct"/>
            <w:vMerge/>
            <w:shd w:val="clear" w:color="auto" w:fill="auto"/>
          </w:tcPr>
          <w:p w14:paraId="2FDAA120" w14:textId="77777777" w:rsidR="006F374A" w:rsidRPr="00841C5A" w:rsidRDefault="006F374A" w:rsidP="006F374A">
            <w:pPr>
              <w:keepNext/>
              <w:keepLines/>
              <w:jc w:val="left"/>
              <w:rPr>
                <w:rFonts w:ascii="Arial Narrow" w:hAnsi="Arial Narrow" w:cs="Times New Roman"/>
                <w:bCs/>
                <w:sz w:val="20"/>
              </w:rPr>
            </w:pPr>
          </w:p>
        </w:tc>
      </w:tr>
      <w:tr w:rsidR="006F374A" w:rsidRPr="00841C5A" w14:paraId="3C550E34" w14:textId="77777777" w:rsidTr="006F374A">
        <w:tc>
          <w:tcPr>
            <w:tcW w:w="1657" w:type="pct"/>
            <w:shd w:val="clear" w:color="auto" w:fill="auto"/>
          </w:tcPr>
          <w:p w14:paraId="29688275" w14:textId="77777777"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Effective price per vial (ex-man)</w:t>
            </w:r>
          </w:p>
        </w:tc>
        <w:tc>
          <w:tcPr>
            <w:tcW w:w="1246" w:type="pct"/>
            <w:shd w:val="clear" w:color="auto" w:fill="auto"/>
            <w:vAlign w:val="center"/>
          </w:tcPr>
          <w:p w14:paraId="296180C5" w14:textId="4545B075" w:rsidR="006F374A" w:rsidRPr="00841C5A" w:rsidRDefault="006F374A" w:rsidP="006F374A">
            <w:pPr>
              <w:keepNext/>
              <w:keepLines/>
              <w:jc w:val="center"/>
              <w:rPr>
                <w:rFonts w:ascii="Arial Narrow" w:hAnsi="Arial Narrow" w:cs="Times New Roman"/>
                <w:bCs/>
                <w:sz w:val="20"/>
              </w:rPr>
            </w:pPr>
            <w:r w:rsidRPr="00841C5A">
              <w:rPr>
                <w:rFonts w:ascii="Arial Narrow" w:hAnsi="Arial Narrow" w:cs="Times New Roman"/>
                <w:bCs/>
                <w:sz w:val="20"/>
              </w:rPr>
              <w:t>$</w:t>
            </w:r>
            <w:r w:rsidR="00B6129C" w:rsidRPr="00B6129C">
              <w:rPr>
                <w:rFonts w:ascii="Arial Narrow" w:hAnsi="Arial Narrow" w:cs="Times New Roman"/>
                <w:bCs/>
                <w:color w:val="000000"/>
                <w:sz w:val="20"/>
                <w:shd w:val="solid" w:color="000000" w:fill="000000"/>
                <w14:textFill>
                  <w14:solidFill>
                    <w14:srgbClr w14:val="000000">
                      <w14:alpha w14:val="100000"/>
                    </w14:srgbClr>
                  </w14:solidFill>
                </w14:textFill>
              </w:rPr>
              <w:t>|</w:t>
            </w:r>
          </w:p>
        </w:tc>
        <w:tc>
          <w:tcPr>
            <w:tcW w:w="2097" w:type="pct"/>
            <w:vMerge/>
            <w:shd w:val="clear" w:color="auto" w:fill="auto"/>
          </w:tcPr>
          <w:p w14:paraId="1C95DD3C" w14:textId="77777777" w:rsidR="006F374A" w:rsidRPr="00841C5A" w:rsidRDefault="006F374A" w:rsidP="006F374A">
            <w:pPr>
              <w:keepNext/>
              <w:keepLines/>
              <w:jc w:val="left"/>
              <w:rPr>
                <w:rFonts w:ascii="Arial Narrow" w:hAnsi="Arial Narrow" w:cs="Times New Roman"/>
                <w:bCs/>
                <w:sz w:val="20"/>
              </w:rPr>
            </w:pPr>
          </w:p>
        </w:tc>
      </w:tr>
      <w:tr w:rsidR="006F374A" w:rsidRPr="00841C5A" w14:paraId="714693FF" w14:textId="77777777" w:rsidTr="006F374A">
        <w:tc>
          <w:tcPr>
            <w:tcW w:w="1657" w:type="pct"/>
            <w:shd w:val="clear" w:color="auto" w:fill="auto"/>
          </w:tcPr>
          <w:p w14:paraId="260EBEB4" w14:textId="77777777"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ICER</w:t>
            </w:r>
          </w:p>
        </w:tc>
        <w:tc>
          <w:tcPr>
            <w:tcW w:w="1246" w:type="pct"/>
            <w:shd w:val="clear" w:color="auto" w:fill="auto"/>
            <w:vAlign w:val="center"/>
          </w:tcPr>
          <w:p w14:paraId="1EB6C2C1" w14:textId="13938D08" w:rsidR="006F374A" w:rsidRPr="00841C5A" w:rsidRDefault="004675D8" w:rsidP="006F374A">
            <w:pPr>
              <w:keepNext/>
              <w:keepLines/>
              <w:jc w:val="center"/>
              <w:rPr>
                <w:rFonts w:ascii="Arial Narrow" w:hAnsi="Arial Narrow" w:cs="Times New Roman"/>
                <w:bCs/>
                <w:sz w:val="20"/>
              </w:rPr>
            </w:pPr>
            <w:r w:rsidRPr="004675D8">
              <w:rPr>
                <w:rFonts w:ascii="Arial Narrow" w:hAnsi="Arial Narrow" w:cs="Times New Roman"/>
                <w:bCs/>
                <w:sz w:val="20"/>
              </w:rPr>
              <w:t>$</w:t>
            </w:r>
            <w:r>
              <w:rPr>
                <w:rFonts w:ascii="Arial Narrow" w:hAnsi="Arial Narrow" w:cs="Times New Roman"/>
                <w:bCs/>
                <w:sz w:val="20"/>
              </w:rPr>
              <w:t>7</w:t>
            </w:r>
            <w:r w:rsidRPr="004675D8">
              <w:rPr>
                <w:rFonts w:ascii="Arial Narrow" w:hAnsi="Arial Narrow" w:cs="Times New Roman"/>
                <w:bCs/>
                <w:sz w:val="20"/>
              </w:rPr>
              <w:t>5,000 to &lt; $</w:t>
            </w:r>
            <w:r>
              <w:rPr>
                <w:rFonts w:ascii="Arial Narrow" w:hAnsi="Arial Narrow" w:cs="Times New Roman"/>
                <w:bCs/>
                <w:sz w:val="20"/>
              </w:rPr>
              <w:t>9</w:t>
            </w:r>
            <w:r w:rsidRPr="004675D8">
              <w:rPr>
                <w:rFonts w:ascii="Arial Narrow" w:hAnsi="Arial Narrow" w:cs="Times New Roman"/>
                <w:bCs/>
                <w:sz w:val="20"/>
              </w:rPr>
              <w:t>5,000</w:t>
            </w:r>
            <w:r>
              <w:rPr>
                <w:rFonts w:ascii="Arial Narrow" w:hAnsi="Arial Narrow" w:cs="Times New Roman"/>
                <w:bCs/>
                <w:sz w:val="20"/>
              </w:rPr>
              <w:t xml:space="preserve"> </w:t>
            </w:r>
            <w:r w:rsidR="006F374A" w:rsidRPr="00841C5A">
              <w:rPr>
                <w:rFonts w:ascii="Arial Narrow" w:hAnsi="Arial Narrow" w:cs="Times New Roman"/>
                <w:bCs/>
                <w:sz w:val="20"/>
              </w:rPr>
              <w:t>per QALY</w:t>
            </w:r>
          </w:p>
        </w:tc>
        <w:tc>
          <w:tcPr>
            <w:tcW w:w="2097" w:type="pct"/>
            <w:vMerge/>
            <w:shd w:val="clear" w:color="auto" w:fill="auto"/>
          </w:tcPr>
          <w:p w14:paraId="645A24E7" w14:textId="77777777" w:rsidR="006F374A" w:rsidRPr="00841C5A" w:rsidRDefault="006F374A" w:rsidP="006F374A">
            <w:pPr>
              <w:keepNext/>
              <w:keepLines/>
              <w:jc w:val="left"/>
              <w:rPr>
                <w:rFonts w:ascii="Arial Narrow" w:hAnsi="Arial Narrow" w:cs="Times New Roman"/>
                <w:bCs/>
                <w:sz w:val="20"/>
              </w:rPr>
            </w:pPr>
          </w:p>
        </w:tc>
      </w:tr>
      <w:tr w:rsidR="006F374A" w:rsidRPr="00841C5A" w14:paraId="4D66022B" w14:textId="77777777" w:rsidTr="006F374A">
        <w:tc>
          <w:tcPr>
            <w:tcW w:w="5000" w:type="pct"/>
            <w:gridSpan w:val="3"/>
            <w:shd w:val="clear" w:color="auto" w:fill="auto"/>
          </w:tcPr>
          <w:p w14:paraId="3BA894EC" w14:textId="77777777" w:rsidR="006F374A" w:rsidRPr="00841C5A" w:rsidRDefault="006F374A" w:rsidP="006F374A">
            <w:pPr>
              <w:keepNext/>
              <w:keepLines/>
              <w:jc w:val="left"/>
              <w:rPr>
                <w:rFonts w:ascii="Arial Narrow" w:hAnsi="Arial Narrow" w:cs="Times New Roman"/>
                <w:b/>
                <w:bCs/>
                <w:sz w:val="20"/>
              </w:rPr>
            </w:pPr>
            <w:r w:rsidRPr="00841C5A">
              <w:rPr>
                <w:rFonts w:ascii="Arial Narrow" w:hAnsi="Arial Narrow" w:cs="Times New Roman"/>
                <w:b/>
                <w:bCs/>
                <w:sz w:val="20"/>
              </w:rPr>
              <w:t>Financial estimates</w:t>
            </w:r>
          </w:p>
        </w:tc>
      </w:tr>
      <w:tr w:rsidR="006F374A" w:rsidRPr="00841C5A" w14:paraId="1D96CFDD" w14:textId="77777777" w:rsidTr="006F374A">
        <w:tc>
          <w:tcPr>
            <w:tcW w:w="1657" w:type="pct"/>
            <w:shd w:val="clear" w:color="auto" w:fill="auto"/>
          </w:tcPr>
          <w:p w14:paraId="5D6DFCB1" w14:textId="77777777"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Proportion of patients with TNBC</w:t>
            </w:r>
          </w:p>
        </w:tc>
        <w:tc>
          <w:tcPr>
            <w:tcW w:w="1246" w:type="pct"/>
            <w:shd w:val="clear" w:color="auto" w:fill="auto"/>
            <w:vAlign w:val="center"/>
          </w:tcPr>
          <w:p w14:paraId="5F8400AB" w14:textId="77777777" w:rsidR="006F374A" w:rsidRPr="00841C5A" w:rsidRDefault="006F374A" w:rsidP="006F374A">
            <w:pPr>
              <w:keepNext/>
              <w:keepLines/>
              <w:jc w:val="center"/>
              <w:rPr>
                <w:rFonts w:ascii="Arial Narrow" w:hAnsi="Arial Narrow" w:cs="Times New Roman"/>
                <w:bCs/>
                <w:sz w:val="20"/>
              </w:rPr>
            </w:pPr>
            <w:r w:rsidRPr="00841C5A">
              <w:rPr>
                <w:rFonts w:ascii="Arial Narrow" w:hAnsi="Arial Narrow" w:cs="Times New Roman"/>
                <w:bCs/>
                <w:sz w:val="20"/>
              </w:rPr>
              <w:t>15%</w:t>
            </w:r>
          </w:p>
        </w:tc>
        <w:tc>
          <w:tcPr>
            <w:tcW w:w="2097" w:type="pct"/>
            <w:vMerge w:val="restart"/>
            <w:shd w:val="clear" w:color="auto" w:fill="auto"/>
          </w:tcPr>
          <w:p w14:paraId="661A8F50" w14:textId="60711FA9" w:rsidR="006F374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 xml:space="preserve">Consistent with PBAC </w:t>
            </w:r>
            <w:r w:rsidR="00922C5E">
              <w:rPr>
                <w:rFonts w:ascii="Arial Narrow" w:hAnsi="Arial Narrow" w:cs="Times New Roman"/>
                <w:bCs/>
                <w:sz w:val="20"/>
              </w:rPr>
              <w:t>PSD</w:t>
            </w:r>
            <w:r w:rsidRPr="00841C5A">
              <w:rPr>
                <w:rFonts w:ascii="Arial Narrow" w:hAnsi="Arial Narrow" w:cs="Times New Roman"/>
                <w:bCs/>
                <w:sz w:val="20"/>
              </w:rPr>
              <w:t xml:space="preserve"> (paragraphs 7.18 and 7.20)</w:t>
            </w:r>
            <w:r>
              <w:rPr>
                <w:rFonts w:ascii="Arial Narrow" w:hAnsi="Arial Narrow" w:cs="Times New Roman"/>
                <w:bCs/>
                <w:sz w:val="20"/>
              </w:rPr>
              <w:t>.</w:t>
            </w:r>
          </w:p>
          <w:p w14:paraId="23F8DF2F" w14:textId="77777777" w:rsidR="006F374A" w:rsidRPr="00841C5A" w:rsidRDefault="006F374A" w:rsidP="006F374A">
            <w:pPr>
              <w:keepNext/>
              <w:keepLines/>
              <w:jc w:val="left"/>
              <w:rPr>
                <w:rFonts w:ascii="Arial Narrow" w:hAnsi="Arial Narrow" w:cs="Times New Roman"/>
                <w:bCs/>
                <w:sz w:val="20"/>
              </w:rPr>
            </w:pPr>
            <w:r w:rsidRPr="00F2258F">
              <w:rPr>
                <w:rFonts w:ascii="Arial Narrow" w:hAnsi="Arial Narrow" w:cs="Times New Roman"/>
                <w:bCs/>
                <w:sz w:val="20"/>
              </w:rPr>
              <w:t>It is noted that the dose intensity was reduced to 70% in the economic model and this same lower dose intensity was also reflected in the financial estimates.</w:t>
            </w:r>
          </w:p>
        </w:tc>
      </w:tr>
      <w:tr w:rsidR="006F374A" w:rsidRPr="00841C5A" w14:paraId="1268BD4B" w14:textId="77777777" w:rsidTr="006F374A">
        <w:tc>
          <w:tcPr>
            <w:tcW w:w="1657" w:type="pct"/>
          </w:tcPr>
          <w:p w14:paraId="3DB11732" w14:textId="77777777"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Mean duration of SG treatment</w:t>
            </w:r>
          </w:p>
        </w:tc>
        <w:tc>
          <w:tcPr>
            <w:tcW w:w="1246" w:type="pct"/>
            <w:vAlign w:val="center"/>
          </w:tcPr>
          <w:p w14:paraId="4DD39EB2" w14:textId="77777777" w:rsidR="006F374A" w:rsidRPr="00841C5A" w:rsidRDefault="006F374A" w:rsidP="006F374A">
            <w:pPr>
              <w:keepNext/>
              <w:keepLines/>
              <w:jc w:val="center"/>
              <w:rPr>
                <w:rFonts w:ascii="Arial Narrow" w:hAnsi="Arial Narrow" w:cs="Times New Roman"/>
                <w:bCs/>
                <w:sz w:val="20"/>
              </w:rPr>
            </w:pPr>
            <w:r w:rsidRPr="00841C5A">
              <w:rPr>
                <w:rFonts w:ascii="Arial Narrow" w:hAnsi="Arial Narrow" w:cs="Times New Roman"/>
                <w:bCs/>
                <w:sz w:val="20"/>
              </w:rPr>
              <w:t>6.58 months</w:t>
            </w:r>
          </w:p>
        </w:tc>
        <w:tc>
          <w:tcPr>
            <w:tcW w:w="2097" w:type="pct"/>
            <w:vMerge/>
          </w:tcPr>
          <w:p w14:paraId="4A7C0215" w14:textId="77777777" w:rsidR="006F374A" w:rsidRPr="00841C5A" w:rsidRDefault="006F374A" w:rsidP="006F374A">
            <w:pPr>
              <w:keepNext/>
              <w:keepLines/>
              <w:rPr>
                <w:rFonts w:ascii="Arial Narrow" w:hAnsi="Arial Narrow" w:cs="Times New Roman"/>
                <w:bCs/>
                <w:sz w:val="20"/>
              </w:rPr>
            </w:pPr>
          </w:p>
        </w:tc>
      </w:tr>
      <w:tr w:rsidR="006F374A" w:rsidRPr="00841C5A" w14:paraId="477DE97C" w14:textId="77777777" w:rsidTr="006F374A">
        <w:tc>
          <w:tcPr>
            <w:tcW w:w="1657" w:type="pct"/>
          </w:tcPr>
          <w:p w14:paraId="57329BAB" w14:textId="77777777"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Dose intensity</w:t>
            </w:r>
          </w:p>
        </w:tc>
        <w:tc>
          <w:tcPr>
            <w:tcW w:w="1246" w:type="pct"/>
            <w:vAlign w:val="center"/>
          </w:tcPr>
          <w:p w14:paraId="4B8ADC84" w14:textId="77777777" w:rsidR="006F374A" w:rsidRPr="00841C5A" w:rsidRDefault="006F374A" w:rsidP="006F374A">
            <w:pPr>
              <w:keepNext/>
              <w:keepLines/>
              <w:jc w:val="center"/>
              <w:rPr>
                <w:rFonts w:ascii="Arial Narrow" w:hAnsi="Arial Narrow" w:cs="Times New Roman"/>
                <w:bCs/>
                <w:sz w:val="20"/>
              </w:rPr>
            </w:pPr>
            <w:r w:rsidRPr="00841C5A">
              <w:rPr>
                <w:rFonts w:ascii="Arial Narrow" w:hAnsi="Arial Narrow" w:cs="Times New Roman"/>
                <w:bCs/>
                <w:sz w:val="20"/>
              </w:rPr>
              <w:t>70%</w:t>
            </w:r>
          </w:p>
        </w:tc>
        <w:tc>
          <w:tcPr>
            <w:tcW w:w="2097" w:type="pct"/>
            <w:vMerge/>
          </w:tcPr>
          <w:p w14:paraId="293A9549" w14:textId="77777777" w:rsidR="006F374A" w:rsidRPr="00841C5A" w:rsidRDefault="006F374A" w:rsidP="006F374A">
            <w:pPr>
              <w:keepNext/>
              <w:keepLines/>
              <w:rPr>
                <w:rFonts w:ascii="Arial Narrow" w:hAnsi="Arial Narrow" w:cs="Times New Roman"/>
                <w:bCs/>
                <w:sz w:val="20"/>
              </w:rPr>
            </w:pPr>
          </w:p>
        </w:tc>
      </w:tr>
      <w:tr w:rsidR="006F374A" w:rsidRPr="00841C5A" w14:paraId="3B9E7095" w14:textId="77777777" w:rsidTr="006F374A">
        <w:tc>
          <w:tcPr>
            <w:tcW w:w="1657" w:type="pct"/>
          </w:tcPr>
          <w:p w14:paraId="44731D54" w14:textId="77777777"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Proportion of patients clinically appropriate for SG</w:t>
            </w:r>
          </w:p>
        </w:tc>
        <w:tc>
          <w:tcPr>
            <w:tcW w:w="1246" w:type="pct"/>
            <w:vAlign w:val="center"/>
          </w:tcPr>
          <w:p w14:paraId="0F38ECD8" w14:textId="77777777" w:rsidR="006F374A" w:rsidRPr="00841C5A" w:rsidRDefault="006F374A" w:rsidP="006F374A">
            <w:pPr>
              <w:keepNext/>
              <w:keepLines/>
              <w:jc w:val="center"/>
              <w:rPr>
                <w:rFonts w:ascii="Arial Narrow" w:hAnsi="Arial Narrow" w:cs="Times New Roman"/>
                <w:bCs/>
                <w:sz w:val="20"/>
              </w:rPr>
            </w:pPr>
            <w:r w:rsidRPr="00841C5A">
              <w:rPr>
                <w:rFonts w:ascii="Arial Narrow" w:hAnsi="Arial Narrow" w:cs="Times New Roman"/>
                <w:bCs/>
                <w:sz w:val="20"/>
              </w:rPr>
              <w:t>50%</w:t>
            </w:r>
          </w:p>
        </w:tc>
        <w:tc>
          <w:tcPr>
            <w:tcW w:w="2097" w:type="pct"/>
            <w:vMerge/>
          </w:tcPr>
          <w:p w14:paraId="15E2DF55" w14:textId="77777777" w:rsidR="006F374A" w:rsidRPr="00841C5A" w:rsidRDefault="006F374A" w:rsidP="006F374A">
            <w:pPr>
              <w:keepNext/>
              <w:keepLines/>
              <w:rPr>
                <w:rFonts w:ascii="Arial Narrow" w:hAnsi="Arial Narrow" w:cs="Times New Roman"/>
                <w:bCs/>
                <w:sz w:val="20"/>
              </w:rPr>
            </w:pPr>
          </w:p>
        </w:tc>
      </w:tr>
      <w:tr w:rsidR="006F374A" w:rsidRPr="00841C5A" w14:paraId="38BAF857" w14:textId="77777777" w:rsidTr="006F374A">
        <w:tc>
          <w:tcPr>
            <w:tcW w:w="1657" w:type="pct"/>
          </w:tcPr>
          <w:p w14:paraId="4851E084" w14:textId="77777777"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 xml:space="preserve">Grandfathered patients </w:t>
            </w:r>
          </w:p>
        </w:tc>
        <w:tc>
          <w:tcPr>
            <w:tcW w:w="1246" w:type="pct"/>
            <w:vAlign w:val="center"/>
          </w:tcPr>
          <w:p w14:paraId="081F005F" w14:textId="77777777" w:rsidR="006F374A" w:rsidRPr="00841C5A" w:rsidRDefault="006F374A" w:rsidP="006F374A">
            <w:pPr>
              <w:keepNext/>
              <w:keepLines/>
              <w:jc w:val="center"/>
              <w:rPr>
                <w:rFonts w:ascii="Arial Narrow" w:hAnsi="Arial Narrow" w:cs="Times New Roman"/>
                <w:bCs/>
                <w:sz w:val="20"/>
              </w:rPr>
            </w:pPr>
            <w:r w:rsidRPr="00841C5A">
              <w:rPr>
                <w:rFonts w:ascii="Arial Narrow" w:hAnsi="Arial Narrow" w:cs="Times New Roman"/>
                <w:bCs/>
                <w:sz w:val="20"/>
              </w:rPr>
              <w:t>Removed</w:t>
            </w:r>
          </w:p>
        </w:tc>
        <w:tc>
          <w:tcPr>
            <w:tcW w:w="2097" w:type="pct"/>
            <w:vMerge/>
          </w:tcPr>
          <w:p w14:paraId="285DFCE0" w14:textId="77777777" w:rsidR="006F374A" w:rsidRPr="00841C5A" w:rsidRDefault="006F374A" w:rsidP="006F374A">
            <w:pPr>
              <w:keepNext/>
              <w:keepLines/>
              <w:rPr>
                <w:rFonts w:ascii="Arial Narrow" w:hAnsi="Arial Narrow" w:cs="Times New Roman"/>
                <w:bCs/>
                <w:sz w:val="20"/>
              </w:rPr>
            </w:pPr>
          </w:p>
        </w:tc>
      </w:tr>
      <w:tr w:rsidR="006F374A" w:rsidRPr="00841C5A" w14:paraId="383BE223" w14:textId="77777777" w:rsidTr="006F374A">
        <w:tc>
          <w:tcPr>
            <w:tcW w:w="1657" w:type="pct"/>
          </w:tcPr>
          <w:p w14:paraId="77D5E8B6" w14:textId="77777777"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Proportion of patients who progress to unresectable locally advanced or metastatic disease</w:t>
            </w:r>
          </w:p>
        </w:tc>
        <w:tc>
          <w:tcPr>
            <w:tcW w:w="1246" w:type="pct"/>
            <w:vAlign w:val="center"/>
          </w:tcPr>
          <w:p w14:paraId="644D766A" w14:textId="77777777" w:rsidR="006F374A" w:rsidRPr="00841C5A" w:rsidRDefault="006F374A" w:rsidP="006F374A">
            <w:pPr>
              <w:keepNext/>
              <w:keepLines/>
              <w:jc w:val="center"/>
              <w:rPr>
                <w:rFonts w:ascii="Arial Narrow" w:hAnsi="Arial Narrow" w:cs="Times New Roman"/>
                <w:bCs/>
                <w:sz w:val="20"/>
              </w:rPr>
            </w:pPr>
            <w:r w:rsidRPr="00841C5A">
              <w:rPr>
                <w:rFonts w:ascii="Arial Narrow" w:hAnsi="Arial Narrow" w:cs="Times New Roman"/>
                <w:bCs/>
                <w:sz w:val="20"/>
              </w:rPr>
              <w:t>20%</w:t>
            </w:r>
          </w:p>
        </w:tc>
        <w:tc>
          <w:tcPr>
            <w:tcW w:w="2097" w:type="pct"/>
          </w:tcPr>
          <w:p w14:paraId="0AC4BAB8" w14:textId="77777777"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The resubmission applied this to the incident patients from the current year, while para</w:t>
            </w:r>
            <w:r>
              <w:rPr>
                <w:rFonts w:ascii="Arial Narrow" w:hAnsi="Arial Narrow" w:cs="Times New Roman"/>
                <w:bCs/>
                <w:sz w:val="20"/>
              </w:rPr>
              <w:t>graph</w:t>
            </w:r>
            <w:r w:rsidRPr="00841C5A">
              <w:rPr>
                <w:rFonts w:ascii="Arial Narrow" w:hAnsi="Arial Narrow" w:cs="Times New Roman"/>
                <w:bCs/>
                <w:sz w:val="20"/>
              </w:rPr>
              <w:t xml:space="preserve"> 7.18 stated that this should be “applied to incident patients from the previous 10 years, assuming a constant survival rate”. The overall estimated financial impact using the resubmission’s method is generally consistent with other methods that take account of the previous 10 years with a constant survival rate, noting there are various ways to implement this change. </w:t>
            </w:r>
          </w:p>
        </w:tc>
      </w:tr>
      <w:tr w:rsidR="006F374A" w:rsidRPr="00841C5A" w14:paraId="45AFADAA" w14:textId="77777777" w:rsidTr="006F374A">
        <w:tc>
          <w:tcPr>
            <w:tcW w:w="1657" w:type="pct"/>
          </w:tcPr>
          <w:p w14:paraId="6C5F2284" w14:textId="77777777" w:rsidR="006F374A" w:rsidRPr="00841C5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Risk sharing arrangement (RSA)</w:t>
            </w:r>
          </w:p>
        </w:tc>
        <w:tc>
          <w:tcPr>
            <w:tcW w:w="1246" w:type="pct"/>
            <w:vAlign w:val="center"/>
          </w:tcPr>
          <w:p w14:paraId="18BC1EF0" w14:textId="77777777" w:rsidR="006F374A" w:rsidRPr="00841C5A" w:rsidRDefault="006F374A" w:rsidP="006F374A">
            <w:pPr>
              <w:keepNext/>
              <w:keepLines/>
              <w:jc w:val="center"/>
              <w:rPr>
                <w:rFonts w:ascii="Arial Narrow" w:hAnsi="Arial Narrow" w:cs="Times New Roman"/>
                <w:bCs/>
                <w:sz w:val="20"/>
              </w:rPr>
            </w:pPr>
            <w:r w:rsidRPr="00841C5A">
              <w:rPr>
                <w:rFonts w:ascii="Arial Narrow" w:hAnsi="Arial Narrow" w:cs="Times New Roman"/>
                <w:bCs/>
                <w:sz w:val="20"/>
              </w:rPr>
              <w:t>States the sponsor will ‘negotiate a RSA with expenditure caps based on the revisions made in this resubmission’</w:t>
            </w:r>
          </w:p>
        </w:tc>
        <w:tc>
          <w:tcPr>
            <w:tcW w:w="2097" w:type="pct"/>
          </w:tcPr>
          <w:p w14:paraId="03FB8FC5" w14:textId="3A6A2092" w:rsidR="006F374A" w:rsidRDefault="006F374A" w:rsidP="006F374A">
            <w:pPr>
              <w:keepNext/>
              <w:keepLines/>
              <w:jc w:val="left"/>
              <w:rPr>
                <w:rFonts w:ascii="Arial Narrow" w:hAnsi="Arial Narrow" w:cs="Times New Roman"/>
                <w:bCs/>
                <w:sz w:val="20"/>
              </w:rPr>
            </w:pPr>
            <w:r w:rsidRPr="00841C5A">
              <w:rPr>
                <w:rFonts w:ascii="Arial Narrow" w:hAnsi="Arial Narrow" w:cs="Times New Roman"/>
                <w:bCs/>
                <w:sz w:val="20"/>
              </w:rPr>
              <w:t xml:space="preserve">Consistent with PBAC </w:t>
            </w:r>
            <w:r w:rsidR="00922C5E">
              <w:rPr>
                <w:rFonts w:ascii="Arial Narrow" w:hAnsi="Arial Narrow" w:cs="Times New Roman"/>
                <w:bCs/>
                <w:sz w:val="20"/>
              </w:rPr>
              <w:t>PSD</w:t>
            </w:r>
            <w:r w:rsidRPr="00841C5A">
              <w:rPr>
                <w:rFonts w:ascii="Arial Narrow" w:hAnsi="Arial Narrow" w:cs="Times New Roman"/>
                <w:bCs/>
                <w:sz w:val="20"/>
              </w:rPr>
              <w:t xml:space="preserve"> (paragraph 7.20)</w:t>
            </w:r>
          </w:p>
          <w:p w14:paraId="64C71CFB" w14:textId="77777777" w:rsidR="006F374A" w:rsidRPr="00841C5A" w:rsidRDefault="006F374A" w:rsidP="006F374A">
            <w:pPr>
              <w:keepNext/>
              <w:keepLines/>
              <w:jc w:val="left"/>
              <w:rPr>
                <w:rFonts w:ascii="Arial Narrow" w:hAnsi="Arial Narrow" w:cs="Times New Roman"/>
                <w:bCs/>
                <w:sz w:val="20"/>
              </w:rPr>
            </w:pPr>
          </w:p>
        </w:tc>
      </w:tr>
    </w:tbl>
    <w:p w14:paraId="7FA61C7C" w14:textId="77777777" w:rsidR="006F374A" w:rsidRPr="00A57C30" w:rsidRDefault="006F374A" w:rsidP="006F374A">
      <w:pPr>
        <w:keepNext/>
        <w:keepLines/>
        <w:rPr>
          <w:rFonts w:ascii="Arial Narrow" w:hAnsi="Arial Narrow" w:cs="Times New Roman"/>
          <w:bCs/>
          <w:sz w:val="18"/>
          <w:szCs w:val="18"/>
        </w:rPr>
      </w:pPr>
      <w:r w:rsidRPr="00A57C30">
        <w:rPr>
          <w:rFonts w:ascii="Arial Narrow" w:hAnsi="Arial Narrow" w:cs="Times New Roman"/>
          <w:bCs/>
          <w:sz w:val="18"/>
          <w:szCs w:val="18"/>
        </w:rPr>
        <w:t>Source: Table 1 of the resubmission.</w:t>
      </w:r>
    </w:p>
    <w:p w14:paraId="229FB710" w14:textId="64102D1D" w:rsidR="006F374A" w:rsidRPr="00A57C30" w:rsidRDefault="006F374A" w:rsidP="006F374A">
      <w:pPr>
        <w:keepNext/>
        <w:keepLines/>
        <w:rPr>
          <w:rFonts w:cs="Times New Roman"/>
          <w:b/>
          <w:bCs/>
          <w:sz w:val="18"/>
          <w:szCs w:val="18"/>
        </w:rPr>
      </w:pPr>
      <w:r>
        <w:rPr>
          <w:rFonts w:ascii="Arial Narrow" w:hAnsi="Arial Narrow" w:cs="Times New Roman"/>
          <w:bCs/>
          <w:sz w:val="18"/>
          <w:szCs w:val="18"/>
        </w:rPr>
        <w:t xml:space="preserve">Nov = November; </w:t>
      </w:r>
      <w:r w:rsidRPr="00A57C30">
        <w:rPr>
          <w:rFonts w:ascii="Arial Narrow" w:hAnsi="Arial Narrow" w:cs="Times New Roman"/>
          <w:bCs/>
          <w:sz w:val="18"/>
          <w:szCs w:val="18"/>
        </w:rPr>
        <w:t>SG = sacituzumab govitecan; TPC = physician’s choice of a single-agent treatment</w:t>
      </w:r>
      <w:r w:rsidR="00922C5E">
        <w:rPr>
          <w:rFonts w:ascii="Arial Narrow" w:hAnsi="Arial Narrow" w:cs="Times New Roman"/>
          <w:bCs/>
          <w:sz w:val="18"/>
          <w:szCs w:val="18"/>
        </w:rPr>
        <w:t>; PSD = Public Summary Document</w:t>
      </w:r>
    </w:p>
    <w:p w14:paraId="643E9795" w14:textId="375DF9FA" w:rsidR="006F374A" w:rsidRPr="00A57C30" w:rsidRDefault="006F374A" w:rsidP="006F374A">
      <w:pPr>
        <w:keepNext/>
        <w:keepLines/>
        <w:spacing w:after="200" w:line="276" w:lineRule="auto"/>
        <w:rPr>
          <w:rFonts w:ascii="Arial Narrow" w:hAnsi="Arial Narrow" w:cs="Times New Roman"/>
          <w:bCs/>
          <w:sz w:val="18"/>
          <w:szCs w:val="18"/>
        </w:rPr>
      </w:pPr>
      <w:r w:rsidRPr="00A57C30">
        <w:rPr>
          <w:rFonts w:ascii="Arial Narrow" w:hAnsi="Arial Narrow" w:cs="Times New Roman"/>
          <w:bCs/>
          <w:sz w:val="18"/>
          <w:szCs w:val="18"/>
        </w:rPr>
        <w:t xml:space="preserve">Paragraph numbers refer to Sacituzumab govitecan PBAC </w:t>
      </w:r>
      <w:r w:rsidR="00922C5E">
        <w:rPr>
          <w:rFonts w:ascii="Arial Narrow" w:hAnsi="Arial Narrow" w:cs="Times New Roman"/>
          <w:bCs/>
          <w:sz w:val="18"/>
          <w:szCs w:val="18"/>
        </w:rPr>
        <w:t>PSD</w:t>
      </w:r>
      <w:r w:rsidRPr="00A57C30">
        <w:rPr>
          <w:rFonts w:ascii="Arial Narrow" w:hAnsi="Arial Narrow" w:cs="Times New Roman"/>
          <w:bCs/>
          <w:sz w:val="18"/>
          <w:szCs w:val="18"/>
        </w:rPr>
        <w:t>, November 2021.</w:t>
      </w:r>
    </w:p>
    <w:p w14:paraId="504A26DD" w14:textId="77777777" w:rsidR="006F374A" w:rsidRDefault="006F374A" w:rsidP="006F374A">
      <w:pPr>
        <w:widowControl w:val="0"/>
        <w:numPr>
          <w:ilvl w:val="1"/>
          <w:numId w:val="1"/>
        </w:numPr>
        <w:spacing w:after="120"/>
        <w:rPr>
          <w:bCs/>
          <w:snapToGrid w:val="0"/>
        </w:rPr>
      </w:pPr>
      <w:r>
        <w:rPr>
          <w:bCs/>
          <w:snapToGrid w:val="0"/>
        </w:rPr>
        <w:t xml:space="preserve">The table below outlines the financial implications estimated in the resubmission (two minor corrections are outlined in footnotes). </w:t>
      </w:r>
    </w:p>
    <w:p w14:paraId="47C1D02A" w14:textId="77777777" w:rsidR="006F374A" w:rsidRPr="00457FD3" w:rsidRDefault="006F374A" w:rsidP="006F374A">
      <w:pPr>
        <w:pStyle w:val="TableFigureHeading"/>
      </w:pPr>
      <w:r w:rsidRPr="00457FD3">
        <w:lastRenderedPageBreak/>
        <w:t xml:space="preserve">Table </w:t>
      </w:r>
      <w:r>
        <w:t>18</w:t>
      </w:r>
      <w:r w:rsidRPr="00457FD3">
        <w:t>: Estimate</w:t>
      </w:r>
      <w:r>
        <w:t>d use and financial implications in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0"/>
        <w:gridCol w:w="1167"/>
        <w:gridCol w:w="1167"/>
        <w:gridCol w:w="1167"/>
        <w:gridCol w:w="1167"/>
        <w:gridCol w:w="1167"/>
        <w:gridCol w:w="1172"/>
      </w:tblGrid>
      <w:tr w:rsidR="006F374A" w:rsidRPr="00457FD3" w14:paraId="46805441" w14:textId="77777777" w:rsidTr="006F374A">
        <w:trPr>
          <w:trHeight w:val="20"/>
          <w:tblHeader/>
        </w:trPr>
        <w:tc>
          <w:tcPr>
            <w:tcW w:w="1115" w:type="pct"/>
            <w:shd w:val="clear" w:color="auto" w:fill="auto"/>
            <w:vAlign w:val="center"/>
          </w:tcPr>
          <w:p w14:paraId="715BB9F7" w14:textId="77777777" w:rsidR="006F374A" w:rsidRPr="00457FD3" w:rsidRDefault="006F374A" w:rsidP="006F374A">
            <w:pPr>
              <w:pStyle w:val="In-tableHeading"/>
              <w:jc w:val="center"/>
            </w:pPr>
          </w:p>
        </w:tc>
        <w:tc>
          <w:tcPr>
            <w:tcW w:w="647" w:type="pct"/>
            <w:shd w:val="clear" w:color="auto" w:fill="auto"/>
            <w:vAlign w:val="center"/>
          </w:tcPr>
          <w:p w14:paraId="66FA2958" w14:textId="77777777" w:rsidR="006F374A" w:rsidRPr="00457FD3" w:rsidRDefault="006F374A" w:rsidP="006F374A">
            <w:pPr>
              <w:pStyle w:val="In-tableHeading"/>
              <w:jc w:val="center"/>
            </w:pPr>
            <w:r w:rsidRPr="00457FD3">
              <w:t>Year 1</w:t>
            </w:r>
          </w:p>
        </w:tc>
        <w:tc>
          <w:tcPr>
            <w:tcW w:w="647" w:type="pct"/>
            <w:shd w:val="clear" w:color="auto" w:fill="auto"/>
            <w:vAlign w:val="center"/>
          </w:tcPr>
          <w:p w14:paraId="26111579" w14:textId="77777777" w:rsidR="006F374A" w:rsidRPr="00457FD3" w:rsidRDefault="006F374A" w:rsidP="006F374A">
            <w:pPr>
              <w:pStyle w:val="In-tableHeading"/>
              <w:jc w:val="center"/>
            </w:pPr>
            <w:r w:rsidRPr="00457FD3">
              <w:t>Year 2</w:t>
            </w:r>
          </w:p>
        </w:tc>
        <w:tc>
          <w:tcPr>
            <w:tcW w:w="647" w:type="pct"/>
            <w:shd w:val="clear" w:color="auto" w:fill="auto"/>
            <w:vAlign w:val="center"/>
          </w:tcPr>
          <w:p w14:paraId="78718A23" w14:textId="77777777" w:rsidR="006F374A" w:rsidRPr="00457FD3" w:rsidRDefault="006F374A" w:rsidP="006F374A">
            <w:pPr>
              <w:pStyle w:val="In-tableHeading"/>
              <w:jc w:val="center"/>
            </w:pPr>
            <w:r w:rsidRPr="00457FD3">
              <w:t>Year 3</w:t>
            </w:r>
          </w:p>
        </w:tc>
        <w:tc>
          <w:tcPr>
            <w:tcW w:w="647" w:type="pct"/>
            <w:shd w:val="clear" w:color="auto" w:fill="auto"/>
            <w:vAlign w:val="center"/>
          </w:tcPr>
          <w:p w14:paraId="36CD4FFC" w14:textId="77777777" w:rsidR="006F374A" w:rsidRPr="00457FD3" w:rsidRDefault="006F374A" w:rsidP="006F374A">
            <w:pPr>
              <w:pStyle w:val="In-tableHeading"/>
              <w:jc w:val="center"/>
            </w:pPr>
            <w:r w:rsidRPr="00457FD3">
              <w:t>Year 4</w:t>
            </w:r>
          </w:p>
        </w:tc>
        <w:tc>
          <w:tcPr>
            <w:tcW w:w="647" w:type="pct"/>
            <w:shd w:val="clear" w:color="auto" w:fill="auto"/>
            <w:vAlign w:val="center"/>
          </w:tcPr>
          <w:p w14:paraId="7D824658" w14:textId="77777777" w:rsidR="006F374A" w:rsidRPr="00457FD3" w:rsidRDefault="006F374A" w:rsidP="006F374A">
            <w:pPr>
              <w:pStyle w:val="In-tableHeading"/>
              <w:jc w:val="center"/>
            </w:pPr>
            <w:r w:rsidRPr="00457FD3">
              <w:t>Year 5</w:t>
            </w:r>
          </w:p>
        </w:tc>
        <w:tc>
          <w:tcPr>
            <w:tcW w:w="650" w:type="pct"/>
          </w:tcPr>
          <w:p w14:paraId="09D188F8" w14:textId="77777777" w:rsidR="006F374A" w:rsidRPr="00457FD3" w:rsidRDefault="006F374A" w:rsidP="006F374A">
            <w:pPr>
              <w:pStyle w:val="In-tableHeading"/>
              <w:jc w:val="center"/>
            </w:pPr>
            <w:r w:rsidRPr="00457FD3">
              <w:t>Year 6</w:t>
            </w:r>
          </w:p>
        </w:tc>
      </w:tr>
      <w:tr w:rsidR="006F374A" w:rsidRPr="0089440B" w14:paraId="13BF0914" w14:textId="77777777" w:rsidTr="006F374A">
        <w:trPr>
          <w:trHeight w:val="20"/>
        </w:trPr>
        <w:tc>
          <w:tcPr>
            <w:tcW w:w="5000" w:type="pct"/>
            <w:gridSpan w:val="7"/>
            <w:shd w:val="clear" w:color="auto" w:fill="auto"/>
            <w:vAlign w:val="center"/>
          </w:tcPr>
          <w:p w14:paraId="442D2A5D" w14:textId="77777777" w:rsidR="006F374A" w:rsidRPr="0089440B" w:rsidRDefault="006F374A" w:rsidP="006F374A">
            <w:pPr>
              <w:pStyle w:val="In-tableHeading"/>
              <w:rPr>
                <w:bCs/>
              </w:rPr>
            </w:pPr>
            <w:r w:rsidRPr="0089440B">
              <w:rPr>
                <w:bCs/>
              </w:rPr>
              <w:t>Estimated extent of use</w:t>
            </w:r>
          </w:p>
        </w:tc>
      </w:tr>
      <w:tr w:rsidR="006F374A" w:rsidRPr="0089440B" w14:paraId="39498EED" w14:textId="77777777" w:rsidTr="006F374A">
        <w:trPr>
          <w:trHeight w:val="20"/>
        </w:trPr>
        <w:tc>
          <w:tcPr>
            <w:tcW w:w="1115" w:type="pct"/>
            <w:shd w:val="clear" w:color="auto" w:fill="auto"/>
            <w:vAlign w:val="center"/>
          </w:tcPr>
          <w:p w14:paraId="22CC0F32" w14:textId="77777777" w:rsidR="006F374A" w:rsidRPr="0089440B" w:rsidRDefault="006F374A" w:rsidP="006F374A">
            <w:pPr>
              <w:pStyle w:val="TableText0"/>
              <w:rPr>
                <w:rFonts w:ascii="Times" w:hAnsi="Times"/>
              </w:rPr>
            </w:pPr>
            <w:r w:rsidRPr="0089440B">
              <w:t>Number of patients treated</w:t>
            </w:r>
          </w:p>
        </w:tc>
        <w:tc>
          <w:tcPr>
            <w:tcW w:w="647" w:type="pct"/>
            <w:shd w:val="clear" w:color="auto" w:fill="auto"/>
          </w:tcPr>
          <w:p w14:paraId="096FBD38" w14:textId="4A504157" w:rsidR="006F374A" w:rsidRPr="007A6437" w:rsidRDefault="00B6129C" w:rsidP="006F374A">
            <w:pPr>
              <w:jc w:val="center"/>
              <w:rPr>
                <w:rFonts w:ascii="Arial Narrow" w:hAnsi="Arial Narrow"/>
                <w:bCs/>
                <w:sz w:val="20"/>
                <w:highlight w:val="yellow"/>
                <w:vertAlign w:val="superscript"/>
              </w:rPr>
            </w:pPr>
            <w:r w:rsidRPr="007E1E66">
              <w:rPr>
                <w:rFonts w:ascii="Arial Narrow" w:hAnsi="Arial Narrow" w:hint="eastAsia"/>
                <w:bCs/>
                <w:color w:val="000000"/>
                <w:w w:val="15"/>
                <w:sz w:val="20"/>
                <w:shd w:val="solid" w:color="000000" w:fill="000000"/>
                <w:fitText w:val="11" w:id="-1506007550"/>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50"/>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50"/>
                <w14:textFill>
                  <w14:solidFill>
                    <w14:srgbClr w14:val="000000">
                      <w14:alpha w14:val="100000"/>
                    </w14:srgbClr>
                  </w14:solidFill>
                </w14:textFill>
              </w:rPr>
              <w:t xml:space="preserve">　</w:t>
            </w:r>
            <w:r w:rsidR="007A6437" w:rsidRPr="007A6437">
              <w:rPr>
                <w:rFonts w:ascii="Arial Narrow" w:hAnsi="Arial Narrow"/>
                <w:bCs/>
                <w:sz w:val="20"/>
                <w:vertAlign w:val="superscript"/>
              </w:rPr>
              <w:t>1</w:t>
            </w:r>
          </w:p>
        </w:tc>
        <w:tc>
          <w:tcPr>
            <w:tcW w:w="647" w:type="pct"/>
            <w:shd w:val="clear" w:color="auto" w:fill="auto"/>
          </w:tcPr>
          <w:p w14:paraId="1EBACED5" w14:textId="0569EF18"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49"/>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49"/>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49"/>
                <w14:textFill>
                  <w14:solidFill>
                    <w14:srgbClr w14:val="000000">
                      <w14:alpha w14:val="100000"/>
                    </w14:srgbClr>
                  </w14:solidFill>
                </w14:textFill>
              </w:rPr>
              <w:t xml:space="preserve">　</w:t>
            </w:r>
            <w:r w:rsidR="00AE18C2" w:rsidRPr="007A6437">
              <w:rPr>
                <w:rFonts w:ascii="Arial Narrow" w:hAnsi="Arial Narrow"/>
                <w:bCs/>
                <w:sz w:val="20"/>
                <w:vertAlign w:val="superscript"/>
              </w:rPr>
              <w:t>1</w:t>
            </w:r>
          </w:p>
        </w:tc>
        <w:tc>
          <w:tcPr>
            <w:tcW w:w="647" w:type="pct"/>
            <w:shd w:val="clear" w:color="auto" w:fill="auto"/>
          </w:tcPr>
          <w:p w14:paraId="7F9D91C6" w14:textId="5910F81E"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48"/>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48"/>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48"/>
                <w14:textFill>
                  <w14:solidFill>
                    <w14:srgbClr w14:val="000000">
                      <w14:alpha w14:val="100000"/>
                    </w14:srgbClr>
                  </w14:solidFill>
                </w14:textFill>
              </w:rPr>
              <w:t xml:space="preserve">　</w:t>
            </w:r>
            <w:r w:rsidR="00AE18C2" w:rsidRPr="007A6437">
              <w:rPr>
                <w:rFonts w:ascii="Arial Narrow" w:hAnsi="Arial Narrow"/>
                <w:bCs/>
                <w:sz w:val="20"/>
                <w:vertAlign w:val="superscript"/>
              </w:rPr>
              <w:t>1</w:t>
            </w:r>
          </w:p>
        </w:tc>
        <w:tc>
          <w:tcPr>
            <w:tcW w:w="647" w:type="pct"/>
            <w:shd w:val="clear" w:color="auto" w:fill="auto"/>
          </w:tcPr>
          <w:p w14:paraId="5AEE554F" w14:textId="1AE7C888"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47"/>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47"/>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47"/>
                <w14:textFill>
                  <w14:solidFill>
                    <w14:srgbClr w14:val="000000">
                      <w14:alpha w14:val="100000"/>
                    </w14:srgbClr>
                  </w14:solidFill>
                </w14:textFill>
              </w:rPr>
              <w:t xml:space="preserve">　</w:t>
            </w:r>
            <w:r w:rsidR="00AE18C2" w:rsidRPr="007A6437">
              <w:rPr>
                <w:rFonts w:ascii="Arial Narrow" w:hAnsi="Arial Narrow"/>
                <w:bCs/>
                <w:sz w:val="20"/>
                <w:vertAlign w:val="superscript"/>
              </w:rPr>
              <w:t>1</w:t>
            </w:r>
          </w:p>
        </w:tc>
        <w:tc>
          <w:tcPr>
            <w:tcW w:w="647" w:type="pct"/>
            <w:shd w:val="clear" w:color="auto" w:fill="auto"/>
          </w:tcPr>
          <w:p w14:paraId="044BA59F" w14:textId="57EC9491"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46"/>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46"/>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46"/>
                <w14:textFill>
                  <w14:solidFill>
                    <w14:srgbClr w14:val="000000">
                      <w14:alpha w14:val="100000"/>
                    </w14:srgbClr>
                  </w14:solidFill>
                </w14:textFill>
              </w:rPr>
              <w:t xml:space="preserve">　</w:t>
            </w:r>
            <w:r w:rsidR="00AE18C2" w:rsidRPr="007A6437">
              <w:rPr>
                <w:rFonts w:ascii="Arial Narrow" w:hAnsi="Arial Narrow"/>
                <w:bCs/>
                <w:sz w:val="20"/>
                <w:vertAlign w:val="superscript"/>
              </w:rPr>
              <w:t>1</w:t>
            </w:r>
          </w:p>
        </w:tc>
        <w:tc>
          <w:tcPr>
            <w:tcW w:w="650" w:type="pct"/>
          </w:tcPr>
          <w:p w14:paraId="651D8A25" w14:textId="4A24EB9F"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45"/>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45"/>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45"/>
                <w14:textFill>
                  <w14:solidFill>
                    <w14:srgbClr w14:val="000000">
                      <w14:alpha w14:val="100000"/>
                    </w14:srgbClr>
                  </w14:solidFill>
                </w14:textFill>
              </w:rPr>
              <w:t xml:space="preserve">　</w:t>
            </w:r>
            <w:r w:rsidR="00AE18C2" w:rsidRPr="007A6437">
              <w:rPr>
                <w:rFonts w:ascii="Arial Narrow" w:hAnsi="Arial Narrow"/>
                <w:bCs/>
                <w:sz w:val="20"/>
                <w:vertAlign w:val="superscript"/>
              </w:rPr>
              <w:t>1</w:t>
            </w:r>
          </w:p>
        </w:tc>
      </w:tr>
      <w:tr w:rsidR="006F374A" w:rsidRPr="0089440B" w14:paraId="747C07F4" w14:textId="77777777" w:rsidTr="006F374A">
        <w:trPr>
          <w:trHeight w:val="20"/>
        </w:trPr>
        <w:tc>
          <w:tcPr>
            <w:tcW w:w="1115" w:type="pct"/>
            <w:shd w:val="clear" w:color="auto" w:fill="auto"/>
            <w:vAlign w:val="center"/>
          </w:tcPr>
          <w:p w14:paraId="55FCD9A3" w14:textId="77777777" w:rsidR="006F374A" w:rsidRPr="0089440B" w:rsidRDefault="006F374A" w:rsidP="006F374A">
            <w:pPr>
              <w:pStyle w:val="TableText0"/>
              <w:rPr>
                <w:rFonts w:ascii="Times" w:hAnsi="Times"/>
              </w:rPr>
            </w:pPr>
            <w:r w:rsidRPr="0089440B">
              <w:t xml:space="preserve">Number of scripts </w:t>
            </w:r>
          </w:p>
        </w:tc>
        <w:tc>
          <w:tcPr>
            <w:tcW w:w="647" w:type="pct"/>
            <w:shd w:val="clear" w:color="auto" w:fill="auto"/>
            <w:vAlign w:val="center"/>
          </w:tcPr>
          <w:p w14:paraId="60361D40" w14:textId="4CF7E43D"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44"/>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44"/>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44"/>
                <w14:textFill>
                  <w14:solidFill>
                    <w14:srgbClr w14:val="000000">
                      <w14:alpha w14:val="100000"/>
                    </w14:srgbClr>
                  </w14:solidFill>
                </w14:textFill>
              </w:rPr>
              <w:t xml:space="preserve">　</w:t>
            </w:r>
            <w:r w:rsidR="007A6437" w:rsidRPr="007A6437">
              <w:rPr>
                <w:rFonts w:ascii="Arial Narrow" w:hAnsi="Arial Narrow"/>
                <w:bCs/>
                <w:sz w:val="20"/>
                <w:vertAlign w:val="superscript"/>
              </w:rPr>
              <w:t>2</w:t>
            </w:r>
          </w:p>
        </w:tc>
        <w:tc>
          <w:tcPr>
            <w:tcW w:w="647" w:type="pct"/>
            <w:shd w:val="clear" w:color="auto" w:fill="auto"/>
            <w:vAlign w:val="center"/>
          </w:tcPr>
          <w:p w14:paraId="170D14B1" w14:textId="159F84F1"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43"/>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43"/>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43"/>
                <w14:textFill>
                  <w14:solidFill>
                    <w14:srgbClr w14:val="000000">
                      <w14:alpha w14:val="100000"/>
                    </w14:srgbClr>
                  </w14:solidFill>
                </w14:textFill>
              </w:rPr>
              <w:t xml:space="preserve">　</w:t>
            </w:r>
            <w:r w:rsidR="00AE18C2" w:rsidRPr="007A6437">
              <w:rPr>
                <w:rFonts w:ascii="Arial Narrow" w:hAnsi="Arial Narrow"/>
                <w:bCs/>
                <w:sz w:val="20"/>
                <w:vertAlign w:val="superscript"/>
              </w:rPr>
              <w:t>2</w:t>
            </w:r>
          </w:p>
        </w:tc>
        <w:tc>
          <w:tcPr>
            <w:tcW w:w="647" w:type="pct"/>
            <w:shd w:val="clear" w:color="auto" w:fill="auto"/>
            <w:vAlign w:val="center"/>
          </w:tcPr>
          <w:p w14:paraId="6BDF881D" w14:textId="7C6A79D1"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42"/>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42"/>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42"/>
                <w14:textFill>
                  <w14:solidFill>
                    <w14:srgbClr w14:val="000000">
                      <w14:alpha w14:val="100000"/>
                    </w14:srgbClr>
                  </w14:solidFill>
                </w14:textFill>
              </w:rPr>
              <w:t xml:space="preserve">　</w:t>
            </w:r>
            <w:r w:rsidR="00AE18C2" w:rsidRPr="007A6437">
              <w:rPr>
                <w:rFonts w:ascii="Arial Narrow" w:hAnsi="Arial Narrow"/>
                <w:bCs/>
                <w:sz w:val="20"/>
                <w:vertAlign w:val="superscript"/>
              </w:rPr>
              <w:t>2</w:t>
            </w:r>
          </w:p>
        </w:tc>
        <w:tc>
          <w:tcPr>
            <w:tcW w:w="647" w:type="pct"/>
            <w:shd w:val="clear" w:color="auto" w:fill="auto"/>
            <w:vAlign w:val="center"/>
          </w:tcPr>
          <w:p w14:paraId="7975BB1D" w14:textId="3DACD2DF"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41"/>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41"/>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41"/>
                <w14:textFill>
                  <w14:solidFill>
                    <w14:srgbClr w14:val="000000">
                      <w14:alpha w14:val="100000"/>
                    </w14:srgbClr>
                  </w14:solidFill>
                </w14:textFill>
              </w:rPr>
              <w:t xml:space="preserve">　</w:t>
            </w:r>
            <w:r w:rsidR="00AE18C2" w:rsidRPr="007A6437">
              <w:rPr>
                <w:rFonts w:ascii="Arial Narrow" w:hAnsi="Arial Narrow"/>
                <w:bCs/>
                <w:sz w:val="20"/>
                <w:vertAlign w:val="superscript"/>
              </w:rPr>
              <w:t>2</w:t>
            </w:r>
          </w:p>
        </w:tc>
        <w:tc>
          <w:tcPr>
            <w:tcW w:w="647" w:type="pct"/>
            <w:shd w:val="clear" w:color="auto" w:fill="auto"/>
            <w:vAlign w:val="center"/>
          </w:tcPr>
          <w:p w14:paraId="34984E08" w14:textId="4BFA3970"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40"/>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40"/>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40"/>
                <w14:textFill>
                  <w14:solidFill>
                    <w14:srgbClr w14:val="000000">
                      <w14:alpha w14:val="100000"/>
                    </w14:srgbClr>
                  </w14:solidFill>
                </w14:textFill>
              </w:rPr>
              <w:t xml:space="preserve">　</w:t>
            </w:r>
            <w:r w:rsidR="00AE18C2" w:rsidRPr="007A6437">
              <w:rPr>
                <w:rFonts w:ascii="Arial Narrow" w:hAnsi="Arial Narrow"/>
                <w:bCs/>
                <w:sz w:val="20"/>
                <w:vertAlign w:val="superscript"/>
              </w:rPr>
              <w:t>2</w:t>
            </w:r>
          </w:p>
        </w:tc>
        <w:tc>
          <w:tcPr>
            <w:tcW w:w="650" w:type="pct"/>
            <w:vAlign w:val="center"/>
          </w:tcPr>
          <w:p w14:paraId="51F6648B" w14:textId="1ABB03DF"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39"/>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39"/>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39"/>
                <w14:textFill>
                  <w14:solidFill>
                    <w14:srgbClr w14:val="000000">
                      <w14:alpha w14:val="100000"/>
                    </w14:srgbClr>
                  </w14:solidFill>
                </w14:textFill>
              </w:rPr>
              <w:t xml:space="preserve">　</w:t>
            </w:r>
            <w:r w:rsidR="00AE18C2" w:rsidRPr="007A6437">
              <w:rPr>
                <w:rFonts w:ascii="Arial Narrow" w:hAnsi="Arial Narrow"/>
                <w:bCs/>
                <w:sz w:val="20"/>
                <w:vertAlign w:val="superscript"/>
              </w:rPr>
              <w:t>2</w:t>
            </w:r>
          </w:p>
        </w:tc>
      </w:tr>
      <w:tr w:rsidR="006F374A" w:rsidRPr="0089440B" w14:paraId="13B6E646" w14:textId="77777777" w:rsidTr="006F374A">
        <w:trPr>
          <w:trHeight w:val="20"/>
        </w:trPr>
        <w:tc>
          <w:tcPr>
            <w:tcW w:w="5000" w:type="pct"/>
            <w:gridSpan w:val="7"/>
            <w:shd w:val="clear" w:color="auto" w:fill="auto"/>
            <w:vAlign w:val="center"/>
          </w:tcPr>
          <w:p w14:paraId="554A0537" w14:textId="77777777" w:rsidR="006F374A" w:rsidRPr="0089440B" w:rsidRDefault="006F374A" w:rsidP="006F374A">
            <w:pPr>
              <w:pStyle w:val="In-tableHeading"/>
            </w:pPr>
            <w:r w:rsidRPr="0089440B">
              <w:t>Estimated financial implications of SG</w:t>
            </w:r>
          </w:p>
        </w:tc>
      </w:tr>
      <w:tr w:rsidR="006F374A" w:rsidRPr="0089440B" w14:paraId="4E7C2B92" w14:textId="77777777" w:rsidTr="006F374A">
        <w:trPr>
          <w:trHeight w:val="20"/>
        </w:trPr>
        <w:tc>
          <w:tcPr>
            <w:tcW w:w="1115" w:type="pct"/>
            <w:shd w:val="clear" w:color="auto" w:fill="auto"/>
            <w:vAlign w:val="center"/>
          </w:tcPr>
          <w:p w14:paraId="6AACD65B" w14:textId="5AC1DA8C" w:rsidR="006F374A" w:rsidRPr="0089440B" w:rsidRDefault="006F374A" w:rsidP="006F374A">
            <w:pPr>
              <w:pStyle w:val="TableText0"/>
              <w:rPr>
                <w:sz w:val="19"/>
                <w:szCs w:val="19"/>
              </w:rPr>
            </w:pPr>
            <w:r w:rsidRPr="0089440B">
              <w:rPr>
                <w:sz w:val="19"/>
                <w:szCs w:val="19"/>
              </w:rPr>
              <w:t>Cost to PBS/RPBS less copayments</w:t>
            </w:r>
            <w:r w:rsidR="007A6437">
              <w:rPr>
                <w:sz w:val="19"/>
                <w:szCs w:val="19"/>
              </w:rPr>
              <w:t xml:space="preserve"> ($)</w:t>
            </w:r>
          </w:p>
        </w:tc>
        <w:tc>
          <w:tcPr>
            <w:tcW w:w="647" w:type="pct"/>
            <w:shd w:val="clear" w:color="auto" w:fill="auto"/>
            <w:vAlign w:val="center"/>
          </w:tcPr>
          <w:p w14:paraId="03A8537A" w14:textId="0487D4E6"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38"/>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38"/>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38"/>
                <w14:textFill>
                  <w14:solidFill>
                    <w14:srgbClr w14:val="000000">
                      <w14:alpha w14:val="100000"/>
                    </w14:srgbClr>
                  </w14:solidFill>
                </w14:textFill>
              </w:rPr>
              <w:t xml:space="preserve">　</w:t>
            </w:r>
            <w:r w:rsidR="007A6437" w:rsidRPr="007A6437">
              <w:rPr>
                <w:rFonts w:ascii="Arial Narrow" w:hAnsi="Arial Narrow"/>
                <w:bCs/>
                <w:sz w:val="20"/>
                <w:vertAlign w:val="superscript"/>
              </w:rPr>
              <w:t>3</w:t>
            </w:r>
          </w:p>
        </w:tc>
        <w:tc>
          <w:tcPr>
            <w:tcW w:w="647" w:type="pct"/>
            <w:shd w:val="clear" w:color="auto" w:fill="auto"/>
            <w:vAlign w:val="center"/>
          </w:tcPr>
          <w:p w14:paraId="6B9730CE" w14:textId="7E57439B"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37"/>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37"/>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37"/>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c>
          <w:tcPr>
            <w:tcW w:w="647" w:type="pct"/>
            <w:shd w:val="clear" w:color="auto" w:fill="auto"/>
            <w:vAlign w:val="center"/>
          </w:tcPr>
          <w:p w14:paraId="22384599" w14:textId="52A39CBD"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36"/>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36"/>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36"/>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c>
          <w:tcPr>
            <w:tcW w:w="647" w:type="pct"/>
            <w:shd w:val="clear" w:color="auto" w:fill="auto"/>
            <w:vAlign w:val="center"/>
          </w:tcPr>
          <w:p w14:paraId="63D2D4AC" w14:textId="3DB0E2FC"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52"/>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52"/>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52"/>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c>
          <w:tcPr>
            <w:tcW w:w="647" w:type="pct"/>
            <w:shd w:val="clear" w:color="auto" w:fill="auto"/>
            <w:vAlign w:val="center"/>
          </w:tcPr>
          <w:p w14:paraId="2A35BF60" w14:textId="03D2D2DF"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551"/>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51"/>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51"/>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c>
          <w:tcPr>
            <w:tcW w:w="650" w:type="pct"/>
            <w:vAlign w:val="center"/>
          </w:tcPr>
          <w:p w14:paraId="6AFB8723" w14:textId="1084652D" w:rsidR="006F374A" w:rsidRPr="00AE18C2" w:rsidRDefault="00B6129C" w:rsidP="006F374A">
            <w:pPr>
              <w:jc w:val="center"/>
              <w:rPr>
                <w:rFonts w:ascii="Arial Narrow" w:hAnsi="Arial Narrow"/>
                <w:bCs/>
                <w:sz w:val="20"/>
                <w:highlight w:val="yellow"/>
                <w:vertAlign w:val="superscript"/>
              </w:rPr>
            </w:pPr>
            <w:r w:rsidRPr="007E1E66">
              <w:rPr>
                <w:rFonts w:ascii="Arial Narrow" w:hAnsi="Arial Narrow" w:hint="eastAsia"/>
                <w:bCs/>
                <w:color w:val="000000"/>
                <w:w w:val="15"/>
                <w:sz w:val="20"/>
                <w:shd w:val="solid" w:color="000000" w:fill="000000"/>
                <w:fitText w:val="11" w:id="-1506007550"/>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550"/>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550"/>
                <w14:textFill>
                  <w14:solidFill>
                    <w14:srgbClr w14:val="000000">
                      <w14:alpha w14:val="100000"/>
                    </w14:srgbClr>
                  </w14:solidFill>
                </w14:textFill>
              </w:rPr>
              <w:t xml:space="preserve">　</w:t>
            </w:r>
            <w:r w:rsidR="00AE18C2" w:rsidRPr="00AE18C2">
              <w:rPr>
                <w:rFonts w:ascii="Arial Narrow" w:hAnsi="Arial Narrow"/>
                <w:bCs/>
                <w:sz w:val="20"/>
                <w:vertAlign w:val="superscript"/>
              </w:rPr>
              <w:t>6</w:t>
            </w:r>
          </w:p>
        </w:tc>
      </w:tr>
      <w:tr w:rsidR="006F374A" w:rsidRPr="0089440B" w14:paraId="7FF24F68" w14:textId="77777777" w:rsidTr="006F374A">
        <w:trPr>
          <w:trHeight w:val="20"/>
        </w:trPr>
        <w:tc>
          <w:tcPr>
            <w:tcW w:w="5000" w:type="pct"/>
            <w:gridSpan w:val="7"/>
            <w:tcBorders>
              <w:bottom w:val="single" w:sz="4" w:space="0" w:color="auto"/>
            </w:tcBorders>
            <w:shd w:val="clear" w:color="auto" w:fill="auto"/>
            <w:vAlign w:val="center"/>
          </w:tcPr>
          <w:p w14:paraId="0CA06293" w14:textId="77777777" w:rsidR="006F374A" w:rsidRPr="0089440B" w:rsidRDefault="006F374A" w:rsidP="006F374A">
            <w:pPr>
              <w:pStyle w:val="TableText0"/>
              <w:rPr>
                <w:b/>
              </w:rPr>
            </w:pPr>
            <w:r w:rsidRPr="0089440B">
              <w:rPr>
                <w:b/>
              </w:rPr>
              <w:t>Estimated financial implications for TPC</w:t>
            </w:r>
          </w:p>
        </w:tc>
      </w:tr>
      <w:tr w:rsidR="006F374A" w:rsidRPr="0089440B" w14:paraId="26E316B7" w14:textId="77777777" w:rsidTr="006F374A">
        <w:trPr>
          <w:trHeight w:val="20"/>
        </w:trPr>
        <w:tc>
          <w:tcPr>
            <w:tcW w:w="1115" w:type="pct"/>
            <w:tcBorders>
              <w:top w:val="single" w:sz="4" w:space="0" w:color="auto"/>
            </w:tcBorders>
            <w:shd w:val="clear" w:color="auto" w:fill="auto"/>
            <w:vAlign w:val="center"/>
          </w:tcPr>
          <w:p w14:paraId="0DDD36DB" w14:textId="056E2BE8" w:rsidR="006F374A" w:rsidRPr="0089440B" w:rsidRDefault="006F374A" w:rsidP="006F374A">
            <w:pPr>
              <w:pStyle w:val="TableText0"/>
              <w:rPr>
                <w:sz w:val="19"/>
                <w:szCs w:val="19"/>
                <w:vertAlign w:val="superscript"/>
              </w:rPr>
            </w:pPr>
            <w:r w:rsidRPr="0089440B">
              <w:rPr>
                <w:sz w:val="19"/>
                <w:szCs w:val="19"/>
              </w:rPr>
              <w:t>Cost to PBS/RPBS less copayments</w:t>
            </w:r>
            <w:r w:rsidRPr="0089440B" w:rsidDel="00EE21D6">
              <w:rPr>
                <w:sz w:val="19"/>
                <w:szCs w:val="19"/>
              </w:rPr>
              <w:t xml:space="preserve"> </w:t>
            </w:r>
            <w:r w:rsidR="007A6437">
              <w:rPr>
                <w:sz w:val="19"/>
                <w:szCs w:val="19"/>
              </w:rPr>
              <w:t>($)</w:t>
            </w:r>
          </w:p>
        </w:tc>
        <w:tc>
          <w:tcPr>
            <w:tcW w:w="647" w:type="pct"/>
            <w:tcBorders>
              <w:top w:val="single" w:sz="4" w:space="0" w:color="auto"/>
            </w:tcBorders>
            <w:shd w:val="clear" w:color="auto" w:fill="auto"/>
            <w:vAlign w:val="center"/>
          </w:tcPr>
          <w:p w14:paraId="7A8E1C96" w14:textId="5D267DF4" w:rsidR="006F374A" w:rsidRPr="007A6437" w:rsidRDefault="006F374A" w:rsidP="006F374A">
            <w:pPr>
              <w:jc w:val="center"/>
              <w:rPr>
                <w:rFonts w:ascii="Arial Narrow" w:hAnsi="Arial Narrow"/>
                <w:bCs/>
                <w:sz w:val="20"/>
                <w:vertAlign w:val="superscript"/>
              </w:rPr>
            </w:pPr>
            <w:r w:rsidRPr="0089440B">
              <w:rPr>
                <w:rFonts w:ascii="Arial Narrow" w:hAnsi="Arial Narrow"/>
                <w:bCs/>
                <w:sz w:val="20"/>
              </w:rPr>
              <w:t>-</w:t>
            </w:r>
            <w:r w:rsidR="00B6129C" w:rsidRPr="004F3AB0">
              <w:rPr>
                <w:rFonts w:ascii="Arial Narrow" w:hAnsi="Arial Narrow" w:hint="eastAsia"/>
                <w:bCs/>
                <w:color w:val="000000"/>
                <w:w w:val="15"/>
                <w:sz w:val="20"/>
                <w:shd w:val="solid" w:color="000000" w:fill="000000"/>
                <w:fitText w:val="56" w:id="-1506007549"/>
                <w14:textFill>
                  <w14:solidFill>
                    <w14:srgbClr w14:val="000000">
                      <w14:alpha w14:val="100000"/>
                    </w14:srgbClr>
                  </w14:solidFill>
                </w14:textFill>
              </w:rPr>
              <w:t xml:space="preserve">　</w:t>
            </w:r>
            <w:r w:rsidR="00B6129C" w:rsidRPr="004F3AB0">
              <w:rPr>
                <w:rFonts w:ascii="Arial Narrow" w:hAnsi="Arial Narrow"/>
                <w:bCs/>
                <w:color w:val="000000"/>
                <w:w w:val="15"/>
                <w:sz w:val="20"/>
                <w:shd w:val="solid" w:color="000000" w:fill="000000"/>
                <w:fitText w:val="56" w:id="-1506007549"/>
                <w14:textFill>
                  <w14:solidFill>
                    <w14:srgbClr w14:val="000000">
                      <w14:alpha w14:val="100000"/>
                    </w14:srgbClr>
                  </w14:solidFill>
                </w14:textFill>
              </w:rPr>
              <w:t>|</w:t>
            </w:r>
            <w:r w:rsidR="00B6129C" w:rsidRPr="004F3AB0">
              <w:rPr>
                <w:rFonts w:ascii="Arial Narrow" w:hAnsi="Arial Narrow" w:hint="eastAsia"/>
                <w:bCs/>
                <w:color w:val="000000"/>
                <w:spacing w:val="-9"/>
                <w:w w:val="15"/>
                <w:sz w:val="20"/>
                <w:shd w:val="solid" w:color="000000" w:fill="000000"/>
                <w:fitText w:val="56" w:id="-1506007549"/>
                <w14:textFill>
                  <w14:solidFill>
                    <w14:srgbClr w14:val="000000">
                      <w14:alpha w14:val="100000"/>
                    </w14:srgbClr>
                  </w14:solidFill>
                </w14:textFill>
              </w:rPr>
              <w:t xml:space="preserve">　</w:t>
            </w:r>
            <w:r w:rsidR="007A6437">
              <w:rPr>
                <w:rFonts w:ascii="Arial Narrow" w:hAnsi="Arial Narrow"/>
                <w:bCs/>
                <w:sz w:val="20"/>
                <w:vertAlign w:val="superscript"/>
              </w:rPr>
              <w:t>4</w:t>
            </w:r>
          </w:p>
        </w:tc>
        <w:tc>
          <w:tcPr>
            <w:tcW w:w="647" w:type="pct"/>
            <w:tcBorders>
              <w:top w:val="single" w:sz="4" w:space="0" w:color="auto"/>
            </w:tcBorders>
            <w:shd w:val="clear" w:color="auto" w:fill="auto"/>
            <w:vAlign w:val="center"/>
          </w:tcPr>
          <w:p w14:paraId="38EBAD10" w14:textId="3AD22A44" w:rsidR="006F374A" w:rsidRPr="0089440B" w:rsidRDefault="006F374A" w:rsidP="006F374A">
            <w:pPr>
              <w:jc w:val="center"/>
              <w:rPr>
                <w:rFonts w:ascii="Arial Narrow" w:hAnsi="Arial Narrow"/>
                <w:bCs/>
                <w:sz w:val="20"/>
              </w:rPr>
            </w:pPr>
            <w:r w:rsidRPr="0089440B">
              <w:rPr>
                <w:rFonts w:ascii="Arial Narrow" w:hAnsi="Arial Narrow"/>
                <w:bCs/>
                <w:sz w:val="20"/>
              </w:rPr>
              <w:t>-</w:t>
            </w:r>
            <w:r w:rsidR="00B6129C" w:rsidRPr="004F3AB0">
              <w:rPr>
                <w:rFonts w:ascii="Arial Narrow" w:hAnsi="Arial Narrow" w:hint="eastAsia"/>
                <w:bCs/>
                <w:color w:val="000000"/>
                <w:w w:val="15"/>
                <w:sz w:val="20"/>
                <w:shd w:val="solid" w:color="000000" w:fill="000000"/>
                <w:fitText w:val="56" w:id="-1506007548"/>
                <w14:textFill>
                  <w14:solidFill>
                    <w14:srgbClr w14:val="000000">
                      <w14:alpha w14:val="100000"/>
                    </w14:srgbClr>
                  </w14:solidFill>
                </w14:textFill>
              </w:rPr>
              <w:t xml:space="preserve">　</w:t>
            </w:r>
            <w:r w:rsidR="00B6129C" w:rsidRPr="004F3AB0">
              <w:rPr>
                <w:rFonts w:ascii="Arial Narrow" w:hAnsi="Arial Narrow"/>
                <w:bCs/>
                <w:color w:val="000000"/>
                <w:w w:val="15"/>
                <w:sz w:val="20"/>
                <w:shd w:val="solid" w:color="000000" w:fill="000000"/>
                <w:fitText w:val="56" w:id="-1506007548"/>
                <w14:textFill>
                  <w14:solidFill>
                    <w14:srgbClr w14:val="000000">
                      <w14:alpha w14:val="100000"/>
                    </w14:srgbClr>
                  </w14:solidFill>
                </w14:textFill>
              </w:rPr>
              <w:t>|</w:t>
            </w:r>
            <w:r w:rsidR="00B6129C" w:rsidRPr="004F3AB0">
              <w:rPr>
                <w:rFonts w:ascii="Arial Narrow" w:hAnsi="Arial Narrow" w:hint="eastAsia"/>
                <w:bCs/>
                <w:color w:val="000000"/>
                <w:spacing w:val="-9"/>
                <w:w w:val="15"/>
                <w:sz w:val="20"/>
                <w:shd w:val="solid" w:color="000000" w:fill="000000"/>
                <w:fitText w:val="56" w:id="-1506007548"/>
                <w14:textFill>
                  <w14:solidFill>
                    <w14:srgbClr w14:val="000000">
                      <w14:alpha w14:val="100000"/>
                    </w14:srgbClr>
                  </w14:solidFill>
                </w14:textFill>
              </w:rPr>
              <w:t xml:space="preserve">　</w:t>
            </w:r>
            <w:r w:rsidR="00AE18C2">
              <w:rPr>
                <w:rFonts w:ascii="Arial Narrow" w:hAnsi="Arial Narrow"/>
                <w:bCs/>
                <w:sz w:val="20"/>
                <w:vertAlign w:val="superscript"/>
              </w:rPr>
              <w:t>4</w:t>
            </w:r>
          </w:p>
        </w:tc>
        <w:tc>
          <w:tcPr>
            <w:tcW w:w="647" w:type="pct"/>
            <w:tcBorders>
              <w:top w:val="single" w:sz="4" w:space="0" w:color="auto"/>
            </w:tcBorders>
            <w:shd w:val="clear" w:color="auto" w:fill="auto"/>
            <w:vAlign w:val="center"/>
          </w:tcPr>
          <w:p w14:paraId="445B2158" w14:textId="21B8BECD" w:rsidR="006F374A" w:rsidRPr="0089440B" w:rsidRDefault="006F374A" w:rsidP="006F374A">
            <w:pPr>
              <w:jc w:val="center"/>
              <w:rPr>
                <w:rFonts w:ascii="Arial Narrow" w:hAnsi="Arial Narrow"/>
                <w:bCs/>
                <w:sz w:val="20"/>
              </w:rPr>
            </w:pPr>
            <w:r w:rsidRPr="0089440B">
              <w:rPr>
                <w:rFonts w:ascii="Arial Narrow" w:hAnsi="Arial Narrow"/>
                <w:bCs/>
                <w:sz w:val="20"/>
              </w:rPr>
              <w:t>-</w:t>
            </w:r>
            <w:r w:rsidR="00B6129C" w:rsidRPr="004F3AB0">
              <w:rPr>
                <w:rFonts w:ascii="Arial Narrow" w:hAnsi="Arial Narrow" w:hint="eastAsia"/>
                <w:bCs/>
                <w:color w:val="000000"/>
                <w:w w:val="15"/>
                <w:sz w:val="20"/>
                <w:shd w:val="solid" w:color="000000" w:fill="000000"/>
                <w:fitText w:val="56" w:id="-1506007547"/>
                <w14:textFill>
                  <w14:solidFill>
                    <w14:srgbClr w14:val="000000">
                      <w14:alpha w14:val="100000"/>
                    </w14:srgbClr>
                  </w14:solidFill>
                </w14:textFill>
              </w:rPr>
              <w:t xml:space="preserve">　</w:t>
            </w:r>
            <w:r w:rsidR="00B6129C" w:rsidRPr="004F3AB0">
              <w:rPr>
                <w:rFonts w:ascii="Arial Narrow" w:hAnsi="Arial Narrow"/>
                <w:bCs/>
                <w:color w:val="000000"/>
                <w:w w:val="15"/>
                <w:sz w:val="20"/>
                <w:shd w:val="solid" w:color="000000" w:fill="000000"/>
                <w:fitText w:val="56" w:id="-1506007547"/>
                <w14:textFill>
                  <w14:solidFill>
                    <w14:srgbClr w14:val="000000">
                      <w14:alpha w14:val="100000"/>
                    </w14:srgbClr>
                  </w14:solidFill>
                </w14:textFill>
              </w:rPr>
              <w:t>|</w:t>
            </w:r>
            <w:r w:rsidR="00B6129C" w:rsidRPr="004F3AB0">
              <w:rPr>
                <w:rFonts w:ascii="Arial Narrow" w:hAnsi="Arial Narrow" w:hint="eastAsia"/>
                <w:bCs/>
                <w:color w:val="000000"/>
                <w:spacing w:val="-9"/>
                <w:w w:val="15"/>
                <w:sz w:val="20"/>
                <w:shd w:val="solid" w:color="000000" w:fill="000000"/>
                <w:fitText w:val="56" w:id="-1506007547"/>
                <w14:textFill>
                  <w14:solidFill>
                    <w14:srgbClr w14:val="000000">
                      <w14:alpha w14:val="100000"/>
                    </w14:srgbClr>
                  </w14:solidFill>
                </w14:textFill>
              </w:rPr>
              <w:t xml:space="preserve">　</w:t>
            </w:r>
            <w:r w:rsidR="00AE18C2">
              <w:rPr>
                <w:rFonts w:ascii="Arial Narrow" w:hAnsi="Arial Narrow"/>
                <w:bCs/>
                <w:sz w:val="20"/>
                <w:vertAlign w:val="superscript"/>
              </w:rPr>
              <w:t>4</w:t>
            </w:r>
          </w:p>
        </w:tc>
        <w:tc>
          <w:tcPr>
            <w:tcW w:w="647" w:type="pct"/>
            <w:tcBorders>
              <w:top w:val="single" w:sz="4" w:space="0" w:color="auto"/>
            </w:tcBorders>
            <w:shd w:val="clear" w:color="auto" w:fill="auto"/>
            <w:vAlign w:val="center"/>
          </w:tcPr>
          <w:p w14:paraId="771B0156" w14:textId="05178568" w:rsidR="006F374A" w:rsidRPr="0089440B" w:rsidRDefault="006F374A" w:rsidP="006F374A">
            <w:pPr>
              <w:jc w:val="center"/>
              <w:rPr>
                <w:rFonts w:ascii="Arial Narrow" w:hAnsi="Arial Narrow"/>
                <w:bCs/>
                <w:sz w:val="20"/>
              </w:rPr>
            </w:pPr>
            <w:r w:rsidRPr="0089440B">
              <w:rPr>
                <w:rFonts w:ascii="Arial Narrow" w:hAnsi="Arial Narrow"/>
                <w:bCs/>
                <w:sz w:val="20"/>
              </w:rPr>
              <w:t>-</w:t>
            </w:r>
            <w:r w:rsidR="00B6129C" w:rsidRPr="004F3AB0">
              <w:rPr>
                <w:rFonts w:ascii="Arial Narrow" w:hAnsi="Arial Narrow" w:hint="eastAsia"/>
                <w:bCs/>
                <w:color w:val="000000"/>
                <w:w w:val="15"/>
                <w:sz w:val="20"/>
                <w:shd w:val="solid" w:color="000000" w:fill="000000"/>
                <w:fitText w:val="55" w:id="-1506007546"/>
                <w14:textFill>
                  <w14:solidFill>
                    <w14:srgbClr w14:val="000000">
                      <w14:alpha w14:val="100000"/>
                    </w14:srgbClr>
                  </w14:solidFill>
                </w14:textFill>
              </w:rPr>
              <w:t xml:space="preserve">　</w:t>
            </w:r>
            <w:r w:rsidR="00B6129C" w:rsidRPr="004F3AB0">
              <w:rPr>
                <w:rFonts w:ascii="Arial Narrow" w:hAnsi="Arial Narrow"/>
                <w:bCs/>
                <w:color w:val="000000"/>
                <w:w w:val="15"/>
                <w:sz w:val="20"/>
                <w:shd w:val="solid" w:color="000000" w:fill="000000"/>
                <w:fitText w:val="55" w:id="-1506007546"/>
                <w14:textFill>
                  <w14:solidFill>
                    <w14:srgbClr w14:val="000000">
                      <w14:alpha w14:val="100000"/>
                    </w14:srgbClr>
                  </w14:solidFill>
                </w14:textFill>
              </w:rPr>
              <w:t>|</w:t>
            </w:r>
            <w:r w:rsidR="00B6129C" w:rsidRPr="004F3AB0">
              <w:rPr>
                <w:rFonts w:ascii="Arial Narrow" w:hAnsi="Arial Narrow" w:hint="eastAsia"/>
                <w:bCs/>
                <w:color w:val="000000"/>
                <w:spacing w:val="-10"/>
                <w:w w:val="15"/>
                <w:sz w:val="20"/>
                <w:shd w:val="solid" w:color="000000" w:fill="000000"/>
                <w:fitText w:val="55" w:id="-1506007546"/>
                <w14:textFill>
                  <w14:solidFill>
                    <w14:srgbClr w14:val="000000">
                      <w14:alpha w14:val="100000"/>
                    </w14:srgbClr>
                  </w14:solidFill>
                </w14:textFill>
              </w:rPr>
              <w:t xml:space="preserve">　</w:t>
            </w:r>
            <w:r w:rsidR="00AE18C2">
              <w:rPr>
                <w:rFonts w:ascii="Arial Narrow" w:hAnsi="Arial Narrow"/>
                <w:bCs/>
                <w:sz w:val="20"/>
                <w:vertAlign w:val="superscript"/>
              </w:rPr>
              <w:t>4</w:t>
            </w:r>
          </w:p>
        </w:tc>
        <w:tc>
          <w:tcPr>
            <w:tcW w:w="647" w:type="pct"/>
            <w:tcBorders>
              <w:top w:val="single" w:sz="4" w:space="0" w:color="auto"/>
            </w:tcBorders>
            <w:shd w:val="clear" w:color="auto" w:fill="auto"/>
            <w:vAlign w:val="center"/>
          </w:tcPr>
          <w:p w14:paraId="620F2E4F" w14:textId="5052A05A" w:rsidR="006F374A" w:rsidRPr="0089440B" w:rsidRDefault="006F374A" w:rsidP="006F374A">
            <w:pPr>
              <w:jc w:val="center"/>
              <w:rPr>
                <w:rFonts w:ascii="Arial Narrow" w:hAnsi="Arial Narrow"/>
                <w:bCs/>
                <w:sz w:val="20"/>
              </w:rPr>
            </w:pPr>
            <w:r w:rsidRPr="0089440B">
              <w:rPr>
                <w:rFonts w:ascii="Arial Narrow" w:hAnsi="Arial Narrow"/>
                <w:bCs/>
                <w:sz w:val="20"/>
              </w:rPr>
              <w:t>-</w:t>
            </w:r>
            <w:r w:rsidR="00B6129C" w:rsidRPr="004F3AB0">
              <w:rPr>
                <w:rFonts w:ascii="Arial Narrow" w:hAnsi="Arial Narrow" w:hint="eastAsia"/>
                <w:bCs/>
                <w:color w:val="000000"/>
                <w:w w:val="15"/>
                <w:sz w:val="20"/>
                <w:shd w:val="solid" w:color="000000" w:fill="000000"/>
                <w:fitText w:val="55" w:id="-1506007545"/>
                <w14:textFill>
                  <w14:solidFill>
                    <w14:srgbClr w14:val="000000">
                      <w14:alpha w14:val="100000"/>
                    </w14:srgbClr>
                  </w14:solidFill>
                </w14:textFill>
              </w:rPr>
              <w:t xml:space="preserve">　</w:t>
            </w:r>
            <w:r w:rsidR="00B6129C" w:rsidRPr="004F3AB0">
              <w:rPr>
                <w:rFonts w:ascii="Arial Narrow" w:hAnsi="Arial Narrow"/>
                <w:bCs/>
                <w:color w:val="000000"/>
                <w:w w:val="15"/>
                <w:sz w:val="20"/>
                <w:shd w:val="solid" w:color="000000" w:fill="000000"/>
                <w:fitText w:val="55" w:id="-1506007545"/>
                <w14:textFill>
                  <w14:solidFill>
                    <w14:srgbClr w14:val="000000">
                      <w14:alpha w14:val="100000"/>
                    </w14:srgbClr>
                  </w14:solidFill>
                </w14:textFill>
              </w:rPr>
              <w:t>|</w:t>
            </w:r>
            <w:r w:rsidR="00B6129C" w:rsidRPr="004F3AB0">
              <w:rPr>
                <w:rFonts w:ascii="Arial Narrow" w:hAnsi="Arial Narrow" w:hint="eastAsia"/>
                <w:bCs/>
                <w:color w:val="000000"/>
                <w:spacing w:val="-10"/>
                <w:w w:val="15"/>
                <w:sz w:val="20"/>
                <w:shd w:val="solid" w:color="000000" w:fill="000000"/>
                <w:fitText w:val="55" w:id="-1506007545"/>
                <w14:textFill>
                  <w14:solidFill>
                    <w14:srgbClr w14:val="000000">
                      <w14:alpha w14:val="100000"/>
                    </w14:srgbClr>
                  </w14:solidFill>
                </w14:textFill>
              </w:rPr>
              <w:t xml:space="preserve">　</w:t>
            </w:r>
            <w:r w:rsidR="00AE18C2">
              <w:rPr>
                <w:rFonts w:ascii="Arial Narrow" w:hAnsi="Arial Narrow"/>
                <w:bCs/>
                <w:sz w:val="20"/>
                <w:vertAlign w:val="superscript"/>
              </w:rPr>
              <w:t>4</w:t>
            </w:r>
          </w:p>
        </w:tc>
        <w:tc>
          <w:tcPr>
            <w:tcW w:w="650" w:type="pct"/>
            <w:tcBorders>
              <w:top w:val="single" w:sz="4" w:space="0" w:color="auto"/>
            </w:tcBorders>
            <w:vAlign w:val="center"/>
          </w:tcPr>
          <w:p w14:paraId="7B708674" w14:textId="4CC35E4B" w:rsidR="006F374A" w:rsidRPr="0089440B" w:rsidRDefault="006F374A" w:rsidP="006F374A">
            <w:pPr>
              <w:jc w:val="center"/>
              <w:rPr>
                <w:rFonts w:ascii="Arial Narrow" w:hAnsi="Arial Narrow"/>
                <w:bCs/>
                <w:sz w:val="20"/>
              </w:rPr>
            </w:pPr>
            <w:r w:rsidRPr="0089440B">
              <w:rPr>
                <w:rFonts w:ascii="Arial Narrow" w:hAnsi="Arial Narrow"/>
                <w:bCs/>
                <w:sz w:val="20"/>
              </w:rPr>
              <w:t>-</w:t>
            </w:r>
            <w:r w:rsidR="00B6129C" w:rsidRPr="004F3AB0">
              <w:rPr>
                <w:rFonts w:ascii="Arial Narrow" w:hAnsi="Arial Narrow" w:hint="eastAsia"/>
                <w:bCs/>
                <w:color w:val="000000"/>
                <w:w w:val="15"/>
                <w:sz w:val="20"/>
                <w:shd w:val="solid" w:color="000000" w:fill="000000"/>
                <w:fitText w:val="55" w:id="-1506007544"/>
                <w14:textFill>
                  <w14:solidFill>
                    <w14:srgbClr w14:val="000000">
                      <w14:alpha w14:val="100000"/>
                    </w14:srgbClr>
                  </w14:solidFill>
                </w14:textFill>
              </w:rPr>
              <w:t xml:space="preserve">　</w:t>
            </w:r>
            <w:r w:rsidR="00B6129C" w:rsidRPr="004F3AB0">
              <w:rPr>
                <w:rFonts w:ascii="Arial Narrow" w:hAnsi="Arial Narrow"/>
                <w:bCs/>
                <w:color w:val="000000"/>
                <w:w w:val="15"/>
                <w:sz w:val="20"/>
                <w:shd w:val="solid" w:color="000000" w:fill="000000"/>
                <w:fitText w:val="55" w:id="-1506007544"/>
                <w14:textFill>
                  <w14:solidFill>
                    <w14:srgbClr w14:val="000000">
                      <w14:alpha w14:val="100000"/>
                    </w14:srgbClr>
                  </w14:solidFill>
                </w14:textFill>
              </w:rPr>
              <w:t>|</w:t>
            </w:r>
            <w:r w:rsidR="00B6129C" w:rsidRPr="004F3AB0">
              <w:rPr>
                <w:rFonts w:ascii="Arial Narrow" w:hAnsi="Arial Narrow" w:hint="eastAsia"/>
                <w:bCs/>
                <w:color w:val="000000"/>
                <w:spacing w:val="-10"/>
                <w:w w:val="15"/>
                <w:sz w:val="20"/>
                <w:shd w:val="solid" w:color="000000" w:fill="000000"/>
                <w:fitText w:val="55" w:id="-1506007544"/>
                <w14:textFill>
                  <w14:solidFill>
                    <w14:srgbClr w14:val="000000">
                      <w14:alpha w14:val="100000"/>
                    </w14:srgbClr>
                  </w14:solidFill>
                </w14:textFill>
              </w:rPr>
              <w:t xml:space="preserve">　</w:t>
            </w:r>
            <w:r w:rsidR="00AE18C2">
              <w:rPr>
                <w:rFonts w:ascii="Arial Narrow" w:hAnsi="Arial Narrow"/>
                <w:bCs/>
                <w:sz w:val="20"/>
                <w:vertAlign w:val="superscript"/>
              </w:rPr>
              <w:t>4</w:t>
            </w:r>
          </w:p>
        </w:tc>
      </w:tr>
      <w:tr w:rsidR="006F374A" w:rsidRPr="0089440B" w14:paraId="083682AD" w14:textId="77777777" w:rsidTr="006F374A">
        <w:trPr>
          <w:trHeight w:val="20"/>
        </w:trPr>
        <w:tc>
          <w:tcPr>
            <w:tcW w:w="5000" w:type="pct"/>
            <w:gridSpan w:val="7"/>
            <w:tcBorders>
              <w:bottom w:val="single" w:sz="4" w:space="0" w:color="auto"/>
            </w:tcBorders>
            <w:shd w:val="clear" w:color="auto" w:fill="auto"/>
            <w:vAlign w:val="center"/>
          </w:tcPr>
          <w:p w14:paraId="70EB26A5" w14:textId="77777777" w:rsidR="006F374A" w:rsidRPr="0089440B" w:rsidRDefault="006F374A" w:rsidP="006F374A">
            <w:pPr>
              <w:pStyle w:val="In-tableHeading"/>
            </w:pPr>
            <w:r w:rsidRPr="0089440B">
              <w:t>Net financial implications – per resubmission</w:t>
            </w:r>
          </w:p>
        </w:tc>
      </w:tr>
      <w:tr w:rsidR="006F374A" w:rsidRPr="0089440B" w14:paraId="3E4A5394" w14:textId="77777777" w:rsidTr="006F374A">
        <w:trPr>
          <w:trHeight w:val="20"/>
        </w:trPr>
        <w:tc>
          <w:tcPr>
            <w:tcW w:w="1115" w:type="pct"/>
            <w:tcBorders>
              <w:top w:val="single" w:sz="4" w:space="0" w:color="auto"/>
              <w:bottom w:val="single" w:sz="4" w:space="0" w:color="auto"/>
            </w:tcBorders>
            <w:shd w:val="clear" w:color="auto" w:fill="auto"/>
          </w:tcPr>
          <w:p w14:paraId="2E3FEEB5" w14:textId="77777777" w:rsidR="006F374A" w:rsidRPr="0089440B" w:rsidRDefault="006F374A" w:rsidP="006F374A">
            <w:pPr>
              <w:rPr>
                <w:rFonts w:ascii="Arial Narrow" w:hAnsi="Arial Narrow"/>
                <w:bCs/>
                <w:sz w:val="20"/>
              </w:rPr>
            </w:pPr>
            <w:r w:rsidRPr="0089440B">
              <w:rPr>
                <w:rFonts w:ascii="Arial Narrow" w:hAnsi="Arial Narrow"/>
                <w:bCs/>
                <w:sz w:val="20"/>
              </w:rPr>
              <w:t>Net cost to the PBS/RPBS</w:t>
            </w:r>
          </w:p>
          <w:p w14:paraId="65B550A5" w14:textId="33F231ED" w:rsidR="006F374A" w:rsidRPr="0089440B" w:rsidRDefault="006F374A" w:rsidP="006F374A">
            <w:pPr>
              <w:rPr>
                <w:rFonts w:ascii="Arial Narrow" w:hAnsi="Arial Narrow"/>
                <w:bCs/>
                <w:sz w:val="20"/>
              </w:rPr>
            </w:pPr>
            <w:r w:rsidRPr="0089440B">
              <w:rPr>
                <w:rFonts w:ascii="Arial Narrow" w:hAnsi="Arial Narrow"/>
                <w:bCs/>
                <w:sz w:val="20"/>
              </w:rPr>
              <w:t>Per resubmission</w:t>
            </w:r>
            <w:r w:rsidR="007A6437">
              <w:rPr>
                <w:rFonts w:ascii="Arial Narrow" w:hAnsi="Arial Narrow"/>
                <w:bCs/>
                <w:sz w:val="20"/>
              </w:rPr>
              <w:t xml:space="preserve"> </w:t>
            </w:r>
            <w:r w:rsidR="007A6437">
              <w:rPr>
                <w:sz w:val="19"/>
                <w:szCs w:val="19"/>
              </w:rPr>
              <w:t>($)</w:t>
            </w:r>
          </w:p>
        </w:tc>
        <w:tc>
          <w:tcPr>
            <w:tcW w:w="647" w:type="pct"/>
            <w:tcBorders>
              <w:top w:val="single" w:sz="4" w:space="0" w:color="auto"/>
              <w:bottom w:val="single" w:sz="4" w:space="0" w:color="auto"/>
            </w:tcBorders>
            <w:shd w:val="clear" w:color="auto" w:fill="auto"/>
            <w:vAlign w:val="center"/>
          </w:tcPr>
          <w:p w14:paraId="77E3C14D" w14:textId="6148F77E" w:rsidR="006F374A" w:rsidRPr="007A6437" w:rsidRDefault="00B6129C" w:rsidP="006F374A">
            <w:pPr>
              <w:jc w:val="right"/>
              <w:rPr>
                <w:rFonts w:ascii="Arial Narrow" w:hAnsi="Arial Narrow"/>
                <w:bCs/>
                <w:sz w:val="20"/>
                <w:highlight w:val="yellow"/>
              </w:rPr>
            </w:pPr>
            <w:r w:rsidRPr="00B6129C">
              <w:rPr>
                <w:rFonts w:ascii="Arial Narrow" w:hAnsi="Arial Narrow"/>
                <w:bCs/>
                <w:color w:val="000000"/>
                <w:sz w:val="20"/>
                <w:shd w:val="solid" w:color="000000" w:fill="000000"/>
                <w14:textFill>
                  <w14:solidFill>
                    <w14:srgbClr w14:val="000000">
                      <w14:alpha w14:val="100000"/>
                    </w14:srgbClr>
                  </w14:solidFill>
                </w14:textFill>
              </w:rPr>
              <w:t>|</w:t>
            </w:r>
            <w:r w:rsidR="00AE18C2" w:rsidRPr="007A6437">
              <w:rPr>
                <w:rFonts w:ascii="Arial Narrow" w:hAnsi="Arial Narrow"/>
                <w:bCs/>
                <w:sz w:val="20"/>
                <w:vertAlign w:val="superscript"/>
              </w:rPr>
              <w:t>3</w:t>
            </w:r>
          </w:p>
        </w:tc>
        <w:tc>
          <w:tcPr>
            <w:tcW w:w="647" w:type="pct"/>
            <w:tcBorders>
              <w:top w:val="single" w:sz="4" w:space="0" w:color="auto"/>
              <w:bottom w:val="single" w:sz="4" w:space="0" w:color="auto"/>
            </w:tcBorders>
            <w:shd w:val="clear" w:color="auto" w:fill="auto"/>
            <w:vAlign w:val="center"/>
          </w:tcPr>
          <w:p w14:paraId="777B8E5F" w14:textId="3B5D9BA1" w:rsidR="006F374A" w:rsidRPr="007A6437" w:rsidRDefault="00B6129C" w:rsidP="006F374A">
            <w:pPr>
              <w:jc w:val="right"/>
              <w:rPr>
                <w:rFonts w:ascii="Arial Narrow" w:hAnsi="Arial Narrow"/>
                <w:bCs/>
                <w:sz w:val="20"/>
                <w:highlight w:val="yellow"/>
              </w:rPr>
            </w:pPr>
            <w:r w:rsidRPr="00B6129C">
              <w:rPr>
                <w:rFonts w:ascii="Arial Narrow" w:hAnsi="Arial Narrow"/>
                <w:bCs/>
                <w:color w:val="000000"/>
                <w:sz w:val="20"/>
                <w:shd w:val="solid" w:color="000000" w:fill="000000"/>
                <w14:textFill>
                  <w14:solidFill>
                    <w14:srgbClr w14:val="000000">
                      <w14:alpha w14:val="100000"/>
                    </w14:srgbClr>
                  </w14:solidFill>
                </w14:textFill>
              </w:rPr>
              <w:t>|</w:t>
            </w:r>
            <w:r w:rsidR="00AE18C2" w:rsidRPr="007A6437">
              <w:rPr>
                <w:rFonts w:ascii="Arial Narrow" w:hAnsi="Arial Narrow"/>
                <w:bCs/>
                <w:sz w:val="20"/>
                <w:vertAlign w:val="superscript"/>
              </w:rPr>
              <w:t>3</w:t>
            </w:r>
          </w:p>
        </w:tc>
        <w:tc>
          <w:tcPr>
            <w:tcW w:w="647" w:type="pct"/>
            <w:tcBorders>
              <w:top w:val="single" w:sz="4" w:space="0" w:color="auto"/>
              <w:bottom w:val="single" w:sz="4" w:space="0" w:color="auto"/>
            </w:tcBorders>
            <w:shd w:val="clear" w:color="auto" w:fill="auto"/>
            <w:vAlign w:val="center"/>
          </w:tcPr>
          <w:p w14:paraId="5A11C5D3" w14:textId="0CA60232" w:rsidR="006F374A" w:rsidRPr="007A6437" w:rsidRDefault="00B6129C" w:rsidP="006F374A">
            <w:pPr>
              <w:jc w:val="right"/>
              <w:rPr>
                <w:rFonts w:ascii="Arial Narrow" w:hAnsi="Arial Narrow"/>
                <w:bCs/>
                <w:sz w:val="20"/>
                <w:highlight w:val="yellow"/>
              </w:rPr>
            </w:pPr>
            <w:r w:rsidRPr="00B6129C">
              <w:rPr>
                <w:rFonts w:ascii="Arial Narrow" w:hAnsi="Arial Narrow"/>
                <w:bCs/>
                <w:color w:val="000000"/>
                <w:sz w:val="20"/>
                <w:shd w:val="solid" w:color="000000" w:fill="000000"/>
                <w14:textFill>
                  <w14:solidFill>
                    <w14:srgbClr w14:val="000000">
                      <w14:alpha w14:val="100000"/>
                    </w14:srgbClr>
                  </w14:solidFill>
                </w14:textFill>
              </w:rPr>
              <w:t>|</w:t>
            </w:r>
            <w:r w:rsidR="00AE18C2" w:rsidRPr="007A6437">
              <w:rPr>
                <w:rFonts w:ascii="Arial Narrow" w:hAnsi="Arial Narrow"/>
                <w:bCs/>
                <w:sz w:val="20"/>
                <w:vertAlign w:val="superscript"/>
              </w:rPr>
              <w:t>3</w:t>
            </w:r>
          </w:p>
        </w:tc>
        <w:tc>
          <w:tcPr>
            <w:tcW w:w="647" w:type="pct"/>
            <w:tcBorders>
              <w:top w:val="single" w:sz="4" w:space="0" w:color="auto"/>
              <w:bottom w:val="single" w:sz="4" w:space="0" w:color="auto"/>
            </w:tcBorders>
            <w:shd w:val="clear" w:color="auto" w:fill="auto"/>
            <w:vAlign w:val="center"/>
          </w:tcPr>
          <w:p w14:paraId="76DF1E78" w14:textId="2FF2BBD4" w:rsidR="006F374A" w:rsidRPr="007A6437" w:rsidRDefault="00B6129C" w:rsidP="006F374A">
            <w:pPr>
              <w:jc w:val="right"/>
              <w:rPr>
                <w:rFonts w:ascii="Arial Narrow" w:hAnsi="Arial Narrow"/>
                <w:bCs/>
                <w:sz w:val="20"/>
                <w:highlight w:val="yellow"/>
              </w:rPr>
            </w:pPr>
            <w:r w:rsidRPr="00B6129C">
              <w:rPr>
                <w:rFonts w:ascii="Arial Narrow" w:hAnsi="Arial Narrow"/>
                <w:bCs/>
                <w:color w:val="000000"/>
                <w:sz w:val="20"/>
                <w:shd w:val="solid" w:color="000000" w:fill="000000"/>
                <w14:textFill>
                  <w14:solidFill>
                    <w14:srgbClr w14:val="000000">
                      <w14:alpha w14:val="100000"/>
                    </w14:srgbClr>
                  </w14:solidFill>
                </w14:textFill>
              </w:rPr>
              <w:t>|</w:t>
            </w:r>
            <w:r w:rsidR="00AE18C2" w:rsidRPr="007A6437">
              <w:rPr>
                <w:rFonts w:ascii="Arial Narrow" w:hAnsi="Arial Narrow"/>
                <w:bCs/>
                <w:sz w:val="20"/>
                <w:vertAlign w:val="superscript"/>
              </w:rPr>
              <w:t>3</w:t>
            </w:r>
          </w:p>
        </w:tc>
        <w:tc>
          <w:tcPr>
            <w:tcW w:w="647" w:type="pct"/>
            <w:tcBorders>
              <w:top w:val="single" w:sz="4" w:space="0" w:color="auto"/>
              <w:bottom w:val="single" w:sz="4" w:space="0" w:color="auto"/>
            </w:tcBorders>
            <w:shd w:val="clear" w:color="auto" w:fill="auto"/>
            <w:vAlign w:val="center"/>
          </w:tcPr>
          <w:p w14:paraId="68A0D43B" w14:textId="0A1E1263" w:rsidR="006F374A" w:rsidRPr="007A6437" w:rsidRDefault="00B6129C" w:rsidP="006F374A">
            <w:pPr>
              <w:jc w:val="right"/>
              <w:rPr>
                <w:rFonts w:ascii="Arial Narrow" w:hAnsi="Arial Narrow"/>
                <w:bCs/>
                <w:sz w:val="20"/>
                <w:highlight w:val="yellow"/>
              </w:rPr>
            </w:pPr>
            <w:r w:rsidRPr="00B6129C">
              <w:rPr>
                <w:rFonts w:ascii="Arial Narrow" w:hAnsi="Arial Narrow"/>
                <w:bCs/>
                <w:color w:val="000000"/>
                <w:sz w:val="20"/>
                <w:shd w:val="solid" w:color="000000" w:fill="000000"/>
                <w14:textFill>
                  <w14:solidFill>
                    <w14:srgbClr w14:val="000000">
                      <w14:alpha w14:val="100000"/>
                    </w14:srgbClr>
                  </w14:solidFill>
                </w14:textFill>
              </w:rPr>
              <w:t>|</w:t>
            </w:r>
            <w:r w:rsidR="00AE18C2" w:rsidRPr="007A6437">
              <w:rPr>
                <w:rFonts w:ascii="Arial Narrow" w:hAnsi="Arial Narrow"/>
                <w:bCs/>
                <w:sz w:val="20"/>
                <w:vertAlign w:val="superscript"/>
              </w:rPr>
              <w:t>3</w:t>
            </w:r>
          </w:p>
        </w:tc>
        <w:tc>
          <w:tcPr>
            <w:tcW w:w="650" w:type="pct"/>
            <w:tcBorders>
              <w:top w:val="single" w:sz="4" w:space="0" w:color="auto"/>
              <w:bottom w:val="single" w:sz="4" w:space="0" w:color="auto"/>
            </w:tcBorders>
            <w:vAlign w:val="center"/>
          </w:tcPr>
          <w:p w14:paraId="7CFAD856" w14:textId="5949161C" w:rsidR="006F374A" w:rsidRPr="007A6437" w:rsidRDefault="00B6129C" w:rsidP="006F374A">
            <w:pPr>
              <w:jc w:val="right"/>
              <w:rPr>
                <w:rFonts w:ascii="Arial Narrow" w:hAnsi="Arial Narrow"/>
                <w:bCs/>
                <w:sz w:val="20"/>
                <w:highlight w:val="yellow"/>
              </w:rPr>
            </w:pPr>
            <w:r w:rsidRPr="00B6129C">
              <w:rPr>
                <w:rFonts w:ascii="Arial Narrow" w:hAnsi="Arial Narrow"/>
                <w:bCs/>
                <w:color w:val="000000"/>
                <w:sz w:val="20"/>
                <w:shd w:val="solid" w:color="000000" w:fill="000000"/>
                <w14:textFill>
                  <w14:solidFill>
                    <w14:srgbClr w14:val="000000">
                      <w14:alpha w14:val="100000"/>
                    </w14:srgbClr>
                  </w14:solidFill>
                </w14:textFill>
              </w:rPr>
              <w:t>|</w:t>
            </w:r>
            <w:r w:rsidR="00AE18C2" w:rsidRPr="007A6437">
              <w:rPr>
                <w:rFonts w:ascii="Arial Narrow" w:hAnsi="Arial Narrow"/>
                <w:bCs/>
                <w:sz w:val="20"/>
                <w:vertAlign w:val="superscript"/>
              </w:rPr>
              <w:t>3</w:t>
            </w:r>
          </w:p>
        </w:tc>
      </w:tr>
      <w:tr w:rsidR="006F374A" w:rsidRPr="0089440B" w14:paraId="5CEBD49A" w14:textId="77777777" w:rsidTr="006F374A">
        <w:trPr>
          <w:trHeight w:val="20"/>
        </w:trPr>
        <w:tc>
          <w:tcPr>
            <w:tcW w:w="5000" w:type="pct"/>
            <w:gridSpan w:val="7"/>
            <w:tcBorders>
              <w:bottom w:val="single" w:sz="4" w:space="0" w:color="auto"/>
            </w:tcBorders>
            <w:shd w:val="clear" w:color="auto" w:fill="auto"/>
            <w:vAlign w:val="center"/>
          </w:tcPr>
          <w:p w14:paraId="447523D1" w14:textId="77777777" w:rsidR="006F374A" w:rsidRPr="0089440B" w:rsidRDefault="006F374A" w:rsidP="006F374A">
            <w:pPr>
              <w:pStyle w:val="In-tableHeading"/>
              <w:rPr>
                <w:vertAlign w:val="superscript"/>
              </w:rPr>
            </w:pPr>
            <w:r w:rsidRPr="0089440B">
              <w:t xml:space="preserve">Net financial implications – corrected </w:t>
            </w:r>
            <w:r w:rsidRPr="0089440B">
              <w:rPr>
                <w:vertAlign w:val="superscript"/>
              </w:rPr>
              <w:t>a</w:t>
            </w:r>
          </w:p>
        </w:tc>
      </w:tr>
      <w:tr w:rsidR="006F374A" w:rsidRPr="0089440B" w14:paraId="7B4819E6" w14:textId="77777777" w:rsidTr="006F374A">
        <w:trPr>
          <w:trHeight w:val="20"/>
        </w:trPr>
        <w:tc>
          <w:tcPr>
            <w:tcW w:w="1115" w:type="pct"/>
            <w:tcBorders>
              <w:top w:val="single" w:sz="4" w:space="0" w:color="auto"/>
              <w:bottom w:val="single" w:sz="4" w:space="0" w:color="auto"/>
            </w:tcBorders>
            <w:shd w:val="clear" w:color="auto" w:fill="auto"/>
            <w:vAlign w:val="center"/>
          </w:tcPr>
          <w:p w14:paraId="5E480351" w14:textId="746F4E36" w:rsidR="006F374A" w:rsidRPr="0089440B" w:rsidRDefault="006F374A" w:rsidP="006F374A">
            <w:pPr>
              <w:pStyle w:val="TableText0"/>
              <w:ind w:left="109" w:hanging="109"/>
              <w:rPr>
                <w:sz w:val="19"/>
                <w:szCs w:val="19"/>
              </w:rPr>
            </w:pPr>
            <w:r w:rsidRPr="0089440B">
              <w:rPr>
                <w:sz w:val="19"/>
                <w:szCs w:val="19"/>
              </w:rPr>
              <w:t>Net cost to PBS/RPBS</w:t>
            </w:r>
            <w:r w:rsidRPr="0089440B" w:rsidDel="00EE21D6">
              <w:rPr>
                <w:sz w:val="19"/>
                <w:szCs w:val="19"/>
              </w:rPr>
              <w:t xml:space="preserve"> </w:t>
            </w:r>
            <w:r w:rsidR="007A6437">
              <w:rPr>
                <w:sz w:val="19"/>
                <w:szCs w:val="19"/>
              </w:rPr>
              <w:t>($)</w:t>
            </w:r>
          </w:p>
        </w:tc>
        <w:tc>
          <w:tcPr>
            <w:tcW w:w="647" w:type="pct"/>
            <w:tcBorders>
              <w:top w:val="single" w:sz="4" w:space="0" w:color="auto"/>
              <w:bottom w:val="single" w:sz="4" w:space="0" w:color="auto"/>
            </w:tcBorders>
            <w:shd w:val="clear" w:color="auto" w:fill="auto"/>
            <w:vAlign w:val="center"/>
          </w:tcPr>
          <w:p w14:paraId="0BB41F6F" w14:textId="4A907122"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96"/>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96"/>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96"/>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c>
          <w:tcPr>
            <w:tcW w:w="647" w:type="pct"/>
            <w:tcBorders>
              <w:top w:val="single" w:sz="4" w:space="0" w:color="auto"/>
              <w:bottom w:val="single" w:sz="4" w:space="0" w:color="auto"/>
            </w:tcBorders>
            <w:shd w:val="clear" w:color="auto" w:fill="auto"/>
            <w:vAlign w:val="center"/>
          </w:tcPr>
          <w:p w14:paraId="1826931C" w14:textId="1DEF9682"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95"/>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95"/>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95"/>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c>
          <w:tcPr>
            <w:tcW w:w="647" w:type="pct"/>
            <w:tcBorders>
              <w:top w:val="single" w:sz="4" w:space="0" w:color="auto"/>
              <w:bottom w:val="single" w:sz="4" w:space="0" w:color="auto"/>
            </w:tcBorders>
            <w:shd w:val="clear" w:color="auto" w:fill="auto"/>
            <w:vAlign w:val="center"/>
          </w:tcPr>
          <w:p w14:paraId="1AE64BFA" w14:textId="5E044B9B"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94"/>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94"/>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94"/>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c>
          <w:tcPr>
            <w:tcW w:w="647" w:type="pct"/>
            <w:tcBorders>
              <w:top w:val="single" w:sz="4" w:space="0" w:color="auto"/>
              <w:bottom w:val="single" w:sz="4" w:space="0" w:color="auto"/>
            </w:tcBorders>
            <w:shd w:val="clear" w:color="auto" w:fill="auto"/>
            <w:vAlign w:val="center"/>
          </w:tcPr>
          <w:p w14:paraId="0FFD6F25" w14:textId="0EFBE4A6"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93"/>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93"/>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93"/>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c>
          <w:tcPr>
            <w:tcW w:w="647" w:type="pct"/>
            <w:tcBorders>
              <w:top w:val="single" w:sz="4" w:space="0" w:color="auto"/>
              <w:bottom w:val="single" w:sz="4" w:space="0" w:color="auto"/>
            </w:tcBorders>
            <w:shd w:val="clear" w:color="auto" w:fill="auto"/>
            <w:vAlign w:val="center"/>
          </w:tcPr>
          <w:p w14:paraId="089D9033" w14:textId="583934F3"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92"/>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92"/>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92"/>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c>
          <w:tcPr>
            <w:tcW w:w="650" w:type="pct"/>
            <w:tcBorders>
              <w:top w:val="single" w:sz="4" w:space="0" w:color="auto"/>
              <w:bottom w:val="single" w:sz="4" w:space="0" w:color="auto"/>
            </w:tcBorders>
            <w:vAlign w:val="center"/>
          </w:tcPr>
          <w:p w14:paraId="1FB19905" w14:textId="473D2B1A"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91"/>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91"/>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91"/>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r>
      <w:tr w:rsidR="006F374A" w:rsidRPr="0089440B" w14:paraId="6952CA04" w14:textId="77777777" w:rsidTr="006F374A">
        <w:trPr>
          <w:trHeight w:val="20"/>
        </w:trPr>
        <w:tc>
          <w:tcPr>
            <w:tcW w:w="1115" w:type="pct"/>
            <w:tcBorders>
              <w:top w:val="single" w:sz="4" w:space="0" w:color="auto"/>
              <w:bottom w:val="single" w:sz="4" w:space="0" w:color="auto"/>
            </w:tcBorders>
            <w:shd w:val="clear" w:color="auto" w:fill="auto"/>
            <w:vAlign w:val="center"/>
          </w:tcPr>
          <w:p w14:paraId="18167887" w14:textId="6D185BC2" w:rsidR="006F374A" w:rsidRPr="0089440B" w:rsidRDefault="006F374A" w:rsidP="006F374A">
            <w:pPr>
              <w:pStyle w:val="TableText0"/>
              <w:ind w:left="109" w:hanging="109"/>
              <w:rPr>
                <w:sz w:val="19"/>
                <w:szCs w:val="19"/>
              </w:rPr>
            </w:pPr>
            <w:r w:rsidRPr="0089440B">
              <w:rPr>
                <w:sz w:val="19"/>
                <w:szCs w:val="19"/>
              </w:rPr>
              <w:t>Net cost to MBS</w:t>
            </w:r>
            <w:r w:rsidRPr="0089440B" w:rsidDel="00EE21D6">
              <w:rPr>
                <w:sz w:val="19"/>
                <w:szCs w:val="19"/>
              </w:rPr>
              <w:t xml:space="preserve"> </w:t>
            </w:r>
            <w:r w:rsidR="007A6437">
              <w:rPr>
                <w:sz w:val="19"/>
                <w:szCs w:val="19"/>
              </w:rPr>
              <w:t>($)</w:t>
            </w:r>
          </w:p>
        </w:tc>
        <w:tc>
          <w:tcPr>
            <w:tcW w:w="647" w:type="pct"/>
            <w:tcBorders>
              <w:top w:val="single" w:sz="4" w:space="0" w:color="auto"/>
              <w:bottom w:val="single" w:sz="4" w:space="0" w:color="auto"/>
            </w:tcBorders>
            <w:shd w:val="clear" w:color="auto" w:fill="auto"/>
            <w:vAlign w:val="center"/>
          </w:tcPr>
          <w:p w14:paraId="311AA324" w14:textId="41E0219F"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90"/>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90"/>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90"/>
                <w14:textFill>
                  <w14:solidFill>
                    <w14:srgbClr w14:val="000000">
                      <w14:alpha w14:val="100000"/>
                    </w14:srgbClr>
                  </w14:solidFill>
                </w14:textFill>
              </w:rPr>
              <w:t xml:space="preserve">　</w:t>
            </w:r>
            <w:r w:rsidR="00AE18C2">
              <w:rPr>
                <w:rFonts w:ascii="Arial Narrow" w:hAnsi="Arial Narrow"/>
                <w:bCs/>
                <w:sz w:val="20"/>
                <w:vertAlign w:val="superscript"/>
              </w:rPr>
              <w:t>4</w:t>
            </w:r>
          </w:p>
        </w:tc>
        <w:tc>
          <w:tcPr>
            <w:tcW w:w="647" w:type="pct"/>
            <w:tcBorders>
              <w:top w:val="single" w:sz="4" w:space="0" w:color="auto"/>
              <w:bottom w:val="single" w:sz="4" w:space="0" w:color="auto"/>
            </w:tcBorders>
            <w:shd w:val="clear" w:color="auto" w:fill="auto"/>
            <w:vAlign w:val="center"/>
          </w:tcPr>
          <w:p w14:paraId="65F17C95" w14:textId="462C8F92"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89"/>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89"/>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89"/>
                <w14:textFill>
                  <w14:solidFill>
                    <w14:srgbClr w14:val="000000">
                      <w14:alpha w14:val="100000"/>
                    </w14:srgbClr>
                  </w14:solidFill>
                </w14:textFill>
              </w:rPr>
              <w:t xml:space="preserve">　</w:t>
            </w:r>
            <w:r w:rsidR="00AE18C2">
              <w:rPr>
                <w:rFonts w:ascii="Arial Narrow" w:hAnsi="Arial Narrow"/>
                <w:bCs/>
                <w:sz w:val="20"/>
                <w:vertAlign w:val="superscript"/>
              </w:rPr>
              <w:t>4</w:t>
            </w:r>
          </w:p>
        </w:tc>
        <w:tc>
          <w:tcPr>
            <w:tcW w:w="647" w:type="pct"/>
            <w:tcBorders>
              <w:top w:val="single" w:sz="4" w:space="0" w:color="auto"/>
              <w:bottom w:val="single" w:sz="4" w:space="0" w:color="auto"/>
            </w:tcBorders>
            <w:shd w:val="clear" w:color="auto" w:fill="auto"/>
            <w:vAlign w:val="center"/>
          </w:tcPr>
          <w:p w14:paraId="7C455E88" w14:textId="41C295C2"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88"/>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88"/>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88"/>
                <w14:textFill>
                  <w14:solidFill>
                    <w14:srgbClr w14:val="000000">
                      <w14:alpha w14:val="100000"/>
                    </w14:srgbClr>
                  </w14:solidFill>
                </w14:textFill>
              </w:rPr>
              <w:t xml:space="preserve">　</w:t>
            </w:r>
            <w:r w:rsidR="00AE18C2">
              <w:rPr>
                <w:rFonts w:ascii="Arial Narrow" w:hAnsi="Arial Narrow"/>
                <w:bCs/>
                <w:sz w:val="20"/>
                <w:vertAlign w:val="superscript"/>
              </w:rPr>
              <w:t>4</w:t>
            </w:r>
          </w:p>
        </w:tc>
        <w:tc>
          <w:tcPr>
            <w:tcW w:w="647" w:type="pct"/>
            <w:tcBorders>
              <w:top w:val="single" w:sz="4" w:space="0" w:color="auto"/>
              <w:bottom w:val="single" w:sz="4" w:space="0" w:color="auto"/>
            </w:tcBorders>
            <w:shd w:val="clear" w:color="auto" w:fill="auto"/>
            <w:vAlign w:val="center"/>
          </w:tcPr>
          <w:p w14:paraId="0C4871A8" w14:textId="70F472CF"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87"/>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87"/>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87"/>
                <w14:textFill>
                  <w14:solidFill>
                    <w14:srgbClr w14:val="000000">
                      <w14:alpha w14:val="100000"/>
                    </w14:srgbClr>
                  </w14:solidFill>
                </w14:textFill>
              </w:rPr>
              <w:t xml:space="preserve">　</w:t>
            </w:r>
            <w:r w:rsidR="00AE18C2">
              <w:rPr>
                <w:rFonts w:ascii="Arial Narrow" w:hAnsi="Arial Narrow"/>
                <w:bCs/>
                <w:sz w:val="20"/>
                <w:vertAlign w:val="superscript"/>
              </w:rPr>
              <w:t>4</w:t>
            </w:r>
          </w:p>
        </w:tc>
        <w:tc>
          <w:tcPr>
            <w:tcW w:w="647" w:type="pct"/>
            <w:tcBorders>
              <w:top w:val="single" w:sz="4" w:space="0" w:color="auto"/>
              <w:bottom w:val="single" w:sz="4" w:space="0" w:color="auto"/>
            </w:tcBorders>
            <w:shd w:val="clear" w:color="auto" w:fill="auto"/>
            <w:vAlign w:val="center"/>
          </w:tcPr>
          <w:p w14:paraId="523D0363" w14:textId="2D42DA75"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86"/>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86"/>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86"/>
                <w14:textFill>
                  <w14:solidFill>
                    <w14:srgbClr w14:val="000000">
                      <w14:alpha w14:val="100000"/>
                    </w14:srgbClr>
                  </w14:solidFill>
                </w14:textFill>
              </w:rPr>
              <w:t xml:space="preserve">　</w:t>
            </w:r>
            <w:r w:rsidR="00AE18C2">
              <w:rPr>
                <w:rFonts w:ascii="Arial Narrow" w:hAnsi="Arial Narrow"/>
                <w:bCs/>
                <w:sz w:val="20"/>
                <w:vertAlign w:val="superscript"/>
              </w:rPr>
              <w:t>4</w:t>
            </w:r>
          </w:p>
        </w:tc>
        <w:tc>
          <w:tcPr>
            <w:tcW w:w="650" w:type="pct"/>
            <w:tcBorders>
              <w:top w:val="single" w:sz="4" w:space="0" w:color="auto"/>
              <w:bottom w:val="single" w:sz="4" w:space="0" w:color="auto"/>
            </w:tcBorders>
            <w:vAlign w:val="center"/>
          </w:tcPr>
          <w:p w14:paraId="09B7C024" w14:textId="45B78DD6"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85"/>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85"/>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85"/>
                <w14:textFill>
                  <w14:solidFill>
                    <w14:srgbClr w14:val="000000">
                      <w14:alpha w14:val="100000"/>
                    </w14:srgbClr>
                  </w14:solidFill>
                </w14:textFill>
              </w:rPr>
              <w:t xml:space="preserve">　</w:t>
            </w:r>
            <w:r w:rsidR="00AE18C2">
              <w:rPr>
                <w:rFonts w:ascii="Arial Narrow" w:hAnsi="Arial Narrow"/>
                <w:bCs/>
                <w:sz w:val="20"/>
                <w:vertAlign w:val="superscript"/>
              </w:rPr>
              <w:t>4</w:t>
            </w:r>
          </w:p>
        </w:tc>
      </w:tr>
      <w:tr w:rsidR="006F374A" w:rsidRPr="0089440B" w14:paraId="24164FB1" w14:textId="77777777" w:rsidTr="006F374A">
        <w:trPr>
          <w:trHeight w:val="20"/>
        </w:trPr>
        <w:tc>
          <w:tcPr>
            <w:tcW w:w="1115" w:type="pct"/>
            <w:tcBorders>
              <w:top w:val="single" w:sz="4" w:space="0" w:color="auto"/>
              <w:bottom w:val="single" w:sz="4" w:space="0" w:color="auto"/>
            </w:tcBorders>
            <w:shd w:val="clear" w:color="auto" w:fill="auto"/>
            <w:vAlign w:val="center"/>
          </w:tcPr>
          <w:p w14:paraId="281CEA59" w14:textId="1029BF84" w:rsidR="006F374A" w:rsidRPr="0089440B" w:rsidRDefault="006F374A" w:rsidP="006F374A">
            <w:pPr>
              <w:pStyle w:val="TableText0"/>
              <w:ind w:left="109" w:hanging="109"/>
              <w:rPr>
                <w:sz w:val="19"/>
                <w:szCs w:val="19"/>
              </w:rPr>
            </w:pPr>
            <w:r w:rsidRPr="0089440B">
              <w:rPr>
                <w:sz w:val="19"/>
                <w:szCs w:val="19"/>
              </w:rPr>
              <w:t>Net cost to PBS/RPBS/MBS</w:t>
            </w:r>
            <w:r w:rsidR="007A6437">
              <w:rPr>
                <w:sz w:val="19"/>
                <w:szCs w:val="19"/>
              </w:rPr>
              <w:t xml:space="preserve"> ($)</w:t>
            </w:r>
            <w:r w:rsidRPr="0089440B" w:rsidDel="00EE21D6">
              <w:rPr>
                <w:sz w:val="19"/>
                <w:szCs w:val="19"/>
              </w:rPr>
              <w:t xml:space="preserve"> </w:t>
            </w:r>
          </w:p>
        </w:tc>
        <w:tc>
          <w:tcPr>
            <w:tcW w:w="647" w:type="pct"/>
            <w:tcBorders>
              <w:top w:val="single" w:sz="4" w:space="0" w:color="auto"/>
              <w:bottom w:val="single" w:sz="4" w:space="0" w:color="auto"/>
            </w:tcBorders>
            <w:shd w:val="clear" w:color="auto" w:fill="auto"/>
            <w:vAlign w:val="center"/>
          </w:tcPr>
          <w:p w14:paraId="78572B93" w14:textId="358E062C"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84"/>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84"/>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84"/>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c>
          <w:tcPr>
            <w:tcW w:w="647" w:type="pct"/>
            <w:tcBorders>
              <w:top w:val="single" w:sz="4" w:space="0" w:color="auto"/>
              <w:bottom w:val="single" w:sz="4" w:space="0" w:color="auto"/>
            </w:tcBorders>
            <w:shd w:val="clear" w:color="auto" w:fill="auto"/>
            <w:vAlign w:val="center"/>
          </w:tcPr>
          <w:p w14:paraId="432F9F09" w14:textId="45C38440"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83"/>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83"/>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83"/>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c>
          <w:tcPr>
            <w:tcW w:w="647" w:type="pct"/>
            <w:tcBorders>
              <w:top w:val="single" w:sz="4" w:space="0" w:color="auto"/>
              <w:bottom w:val="single" w:sz="4" w:space="0" w:color="auto"/>
            </w:tcBorders>
            <w:shd w:val="clear" w:color="auto" w:fill="auto"/>
            <w:vAlign w:val="center"/>
          </w:tcPr>
          <w:p w14:paraId="14F50732" w14:textId="06B4015B"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82"/>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82"/>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82"/>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c>
          <w:tcPr>
            <w:tcW w:w="647" w:type="pct"/>
            <w:tcBorders>
              <w:top w:val="single" w:sz="4" w:space="0" w:color="auto"/>
              <w:bottom w:val="single" w:sz="4" w:space="0" w:color="auto"/>
            </w:tcBorders>
            <w:shd w:val="clear" w:color="auto" w:fill="auto"/>
            <w:vAlign w:val="center"/>
          </w:tcPr>
          <w:p w14:paraId="1721C45C" w14:textId="11B2D87E"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81"/>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81"/>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81"/>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c>
          <w:tcPr>
            <w:tcW w:w="647" w:type="pct"/>
            <w:tcBorders>
              <w:top w:val="single" w:sz="4" w:space="0" w:color="auto"/>
              <w:bottom w:val="single" w:sz="4" w:space="0" w:color="auto"/>
            </w:tcBorders>
            <w:shd w:val="clear" w:color="auto" w:fill="auto"/>
            <w:vAlign w:val="center"/>
          </w:tcPr>
          <w:p w14:paraId="0576C3EF" w14:textId="2611500A"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80"/>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80"/>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80"/>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c>
          <w:tcPr>
            <w:tcW w:w="650" w:type="pct"/>
            <w:tcBorders>
              <w:top w:val="single" w:sz="4" w:space="0" w:color="auto"/>
              <w:bottom w:val="single" w:sz="4" w:space="0" w:color="auto"/>
            </w:tcBorders>
            <w:vAlign w:val="center"/>
          </w:tcPr>
          <w:p w14:paraId="38475861" w14:textId="1B8D8E77"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96"/>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96"/>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96"/>
                <w14:textFill>
                  <w14:solidFill>
                    <w14:srgbClr w14:val="000000">
                      <w14:alpha w14:val="100000"/>
                    </w14:srgbClr>
                  </w14:solidFill>
                </w14:textFill>
              </w:rPr>
              <w:t xml:space="preserve">　</w:t>
            </w:r>
            <w:r w:rsidR="00AE18C2" w:rsidRPr="007A6437">
              <w:rPr>
                <w:rFonts w:ascii="Arial Narrow" w:hAnsi="Arial Narrow"/>
                <w:bCs/>
                <w:sz w:val="20"/>
                <w:vertAlign w:val="superscript"/>
              </w:rPr>
              <w:t>3</w:t>
            </w:r>
          </w:p>
        </w:tc>
      </w:tr>
      <w:tr w:rsidR="006F374A" w:rsidRPr="0089440B" w14:paraId="0ABCF433" w14:textId="77777777" w:rsidTr="006F374A">
        <w:trPr>
          <w:trHeight w:val="20"/>
        </w:trPr>
        <w:tc>
          <w:tcPr>
            <w:tcW w:w="5000" w:type="pct"/>
            <w:gridSpan w:val="7"/>
            <w:tcBorders>
              <w:top w:val="single" w:sz="4" w:space="0" w:color="auto"/>
              <w:bottom w:val="single" w:sz="4" w:space="0" w:color="auto"/>
            </w:tcBorders>
            <w:shd w:val="clear" w:color="auto" w:fill="B8CCE4" w:themeFill="accent1" w:themeFillTint="66"/>
            <w:vAlign w:val="center"/>
          </w:tcPr>
          <w:p w14:paraId="06FBF399" w14:textId="77777777" w:rsidR="006F374A" w:rsidRPr="0089440B" w:rsidRDefault="006F374A" w:rsidP="006F374A">
            <w:pPr>
              <w:jc w:val="left"/>
              <w:rPr>
                <w:rFonts w:ascii="Arial Narrow" w:hAnsi="Arial Narrow"/>
                <w:b/>
                <w:bCs/>
                <w:sz w:val="20"/>
              </w:rPr>
            </w:pPr>
            <w:r w:rsidRPr="0089440B">
              <w:rPr>
                <w:b/>
                <w:sz w:val="19"/>
                <w:szCs w:val="19"/>
              </w:rPr>
              <w:t xml:space="preserve">Previous submission </w:t>
            </w:r>
          </w:p>
        </w:tc>
      </w:tr>
      <w:tr w:rsidR="006F374A" w:rsidRPr="0089440B" w14:paraId="08E777D9" w14:textId="77777777" w:rsidTr="006F374A">
        <w:trPr>
          <w:trHeight w:val="20"/>
        </w:trPr>
        <w:tc>
          <w:tcPr>
            <w:tcW w:w="1115" w:type="pct"/>
            <w:tcBorders>
              <w:top w:val="single" w:sz="4" w:space="0" w:color="auto"/>
            </w:tcBorders>
            <w:shd w:val="clear" w:color="auto" w:fill="B8CCE4" w:themeFill="accent1" w:themeFillTint="66"/>
            <w:vAlign w:val="center"/>
          </w:tcPr>
          <w:p w14:paraId="0DF1042C" w14:textId="4080E0EC" w:rsidR="006F374A" w:rsidRPr="0089440B" w:rsidRDefault="006F374A" w:rsidP="006F374A">
            <w:pPr>
              <w:pStyle w:val="TableText0"/>
              <w:ind w:left="109" w:hanging="109"/>
              <w:rPr>
                <w:sz w:val="19"/>
                <w:szCs w:val="19"/>
              </w:rPr>
            </w:pPr>
            <w:r w:rsidRPr="0089440B">
              <w:rPr>
                <w:sz w:val="19"/>
                <w:szCs w:val="19"/>
              </w:rPr>
              <w:t>Net cost to PBS/RPBS</w:t>
            </w:r>
            <w:r w:rsidR="007A6437">
              <w:rPr>
                <w:sz w:val="19"/>
                <w:szCs w:val="19"/>
              </w:rPr>
              <w:t xml:space="preserve"> ($)</w:t>
            </w:r>
          </w:p>
        </w:tc>
        <w:tc>
          <w:tcPr>
            <w:tcW w:w="647" w:type="pct"/>
            <w:tcBorders>
              <w:top w:val="single" w:sz="4" w:space="0" w:color="auto"/>
            </w:tcBorders>
            <w:shd w:val="clear" w:color="auto" w:fill="B8CCE4" w:themeFill="accent1" w:themeFillTint="66"/>
          </w:tcPr>
          <w:p w14:paraId="7239D5F0" w14:textId="6B782034" w:rsidR="006F374A" w:rsidRPr="007A6437" w:rsidRDefault="00B6129C" w:rsidP="006F374A">
            <w:pPr>
              <w:jc w:val="center"/>
              <w:rPr>
                <w:rFonts w:ascii="Arial Narrow" w:hAnsi="Arial Narrow"/>
                <w:bCs/>
                <w:sz w:val="20"/>
                <w:highlight w:val="yellow"/>
                <w:vertAlign w:val="superscript"/>
              </w:rPr>
            </w:pPr>
            <w:r w:rsidRPr="007E1E66">
              <w:rPr>
                <w:rFonts w:ascii="Arial Narrow" w:hAnsi="Arial Narrow" w:hint="eastAsia"/>
                <w:bCs/>
                <w:color w:val="000000"/>
                <w:w w:val="15"/>
                <w:sz w:val="20"/>
                <w:shd w:val="solid" w:color="000000" w:fill="000000"/>
                <w:fitText w:val="11" w:id="-1506007295"/>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95"/>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95"/>
                <w14:textFill>
                  <w14:solidFill>
                    <w14:srgbClr w14:val="000000">
                      <w14:alpha w14:val="100000"/>
                    </w14:srgbClr>
                  </w14:solidFill>
                </w14:textFill>
              </w:rPr>
              <w:t xml:space="preserve">　</w:t>
            </w:r>
            <w:r w:rsidR="007A6437" w:rsidRPr="007A6437">
              <w:rPr>
                <w:rFonts w:ascii="Arial Narrow" w:hAnsi="Arial Narrow"/>
                <w:bCs/>
                <w:sz w:val="20"/>
                <w:vertAlign w:val="superscript"/>
              </w:rPr>
              <w:t>5</w:t>
            </w:r>
          </w:p>
        </w:tc>
        <w:tc>
          <w:tcPr>
            <w:tcW w:w="647" w:type="pct"/>
            <w:tcBorders>
              <w:top w:val="single" w:sz="4" w:space="0" w:color="auto"/>
            </w:tcBorders>
            <w:shd w:val="clear" w:color="auto" w:fill="B8CCE4" w:themeFill="accent1" w:themeFillTint="66"/>
          </w:tcPr>
          <w:p w14:paraId="2FD13CBE" w14:textId="0E953B5A"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94"/>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94"/>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94"/>
                <w14:textFill>
                  <w14:solidFill>
                    <w14:srgbClr w14:val="000000">
                      <w14:alpha w14:val="100000"/>
                    </w14:srgbClr>
                  </w14:solidFill>
                </w14:textFill>
              </w:rPr>
              <w:t xml:space="preserve">　</w:t>
            </w:r>
            <w:r w:rsidR="00AE18C2" w:rsidRPr="007A6437">
              <w:rPr>
                <w:rFonts w:ascii="Arial Narrow" w:hAnsi="Arial Narrow"/>
                <w:bCs/>
                <w:sz w:val="20"/>
                <w:vertAlign w:val="superscript"/>
              </w:rPr>
              <w:t>5</w:t>
            </w:r>
          </w:p>
        </w:tc>
        <w:tc>
          <w:tcPr>
            <w:tcW w:w="647" w:type="pct"/>
            <w:tcBorders>
              <w:top w:val="single" w:sz="4" w:space="0" w:color="auto"/>
            </w:tcBorders>
            <w:shd w:val="clear" w:color="auto" w:fill="B8CCE4" w:themeFill="accent1" w:themeFillTint="66"/>
          </w:tcPr>
          <w:p w14:paraId="091415E0" w14:textId="46CD0E3B"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93"/>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93"/>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93"/>
                <w14:textFill>
                  <w14:solidFill>
                    <w14:srgbClr w14:val="000000">
                      <w14:alpha w14:val="100000"/>
                    </w14:srgbClr>
                  </w14:solidFill>
                </w14:textFill>
              </w:rPr>
              <w:t xml:space="preserve">　</w:t>
            </w:r>
            <w:r w:rsidR="00AE18C2" w:rsidRPr="007A6437">
              <w:rPr>
                <w:rFonts w:ascii="Arial Narrow" w:hAnsi="Arial Narrow"/>
                <w:bCs/>
                <w:sz w:val="20"/>
                <w:vertAlign w:val="superscript"/>
              </w:rPr>
              <w:t>5</w:t>
            </w:r>
          </w:p>
        </w:tc>
        <w:tc>
          <w:tcPr>
            <w:tcW w:w="647" w:type="pct"/>
            <w:tcBorders>
              <w:top w:val="single" w:sz="4" w:space="0" w:color="auto"/>
            </w:tcBorders>
            <w:shd w:val="clear" w:color="auto" w:fill="B8CCE4" w:themeFill="accent1" w:themeFillTint="66"/>
          </w:tcPr>
          <w:p w14:paraId="6297E579" w14:textId="2BA80EF8"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92"/>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92"/>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92"/>
                <w14:textFill>
                  <w14:solidFill>
                    <w14:srgbClr w14:val="000000">
                      <w14:alpha w14:val="100000"/>
                    </w14:srgbClr>
                  </w14:solidFill>
                </w14:textFill>
              </w:rPr>
              <w:t xml:space="preserve">　</w:t>
            </w:r>
            <w:r w:rsidR="00AE18C2" w:rsidRPr="007A6437">
              <w:rPr>
                <w:rFonts w:ascii="Arial Narrow" w:hAnsi="Arial Narrow"/>
                <w:bCs/>
                <w:sz w:val="20"/>
                <w:vertAlign w:val="superscript"/>
              </w:rPr>
              <w:t>5</w:t>
            </w:r>
          </w:p>
        </w:tc>
        <w:tc>
          <w:tcPr>
            <w:tcW w:w="647" w:type="pct"/>
            <w:tcBorders>
              <w:top w:val="single" w:sz="4" w:space="0" w:color="auto"/>
            </w:tcBorders>
            <w:shd w:val="clear" w:color="auto" w:fill="B8CCE4" w:themeFill="accent1" w:themeFillTint="66"/>
          </w:tcPr>
          <w:p w14:paraId="784B4E83" w14:textId="17F184C1"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91"/>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91"/>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91"/>
                <w14:textFill>
                  <w14:solidFill>
                    <w14:srgbClr w14:val="000000">
                      <w14:alpha w14:val="100000"/>
                    </w14:srgbClr>
                  </w14:solidFill>
                </w14:textFill>
              </w:rPr>
              <w:t xml:space="preserve">　</w:t>
            </w:r>
            <w:r w:rsidR="00AE18C2" w:rsidRPr="007A6437">
              <w:rPr>
                <w:rFonts w:ascii="Arial Narrow" w:hAnsi="Arial Narrow"/>
                <w:bCs/>
                <w:sz w:val="20"/>
                <w:vertAlign w:val="superscript"/>
              </w:rPr>
              <w:t>5</w:t>
            </w:r>
          </w:p>
        </w:tc>
        <w:tc>
          <w:tcPr>
            <w:tcW w:w="650" w:type="pct"/>
            <w:tcBorders>
              <w:top w:val="single" w:sz="4" w:space="0" w:color="auto"/>
            </w:tcBorders>
            <w:shd w:val="clear" w:color="auto" w:fill="B8CCE4" w:themeFill="accent1" w:themeFillTint="66"/>
          </w:tcPr>
          <w:p w14:paraId="7C0FE595" w14:textId="29346EF4" w:rsidR="006F374A" w:rsidRPr="007A6437" w:rsidRDefault="00B6129C" w:rsidP="006F374A">
            <w:pPr>
              <w:jc w:val="center"/>
              <w:rPr>
                <w:rFonts w:ascii="Arial Narrow" w:hAnsi="Arial Narrow"/>
                <w:bCs/>
                <w:sz w:val="20"/>
                <w:highlight w:val="yellow"/>
              </w:rPr>
            </w:pPr>
            <w:r w:rsidRPr="007E1E66">
              <w:rPr>
                <w:rFonts w:ascii="Arial Narrow" w:hAnsi="Arial Narrow" w:hint="eastAsia"/>
                <w:bCs/>
                <w:color w:val="000000"/>
                <w:w w:val="15"/>
                <w:sz w:val="20"/>
                <w:shd w:val="solid" w:color="000000" w:fill="000000"/>
                <w:fitText w:val="11" w:id="-1506007290"/>
                <w14:textFill>
                  <w14:solidFill>
                    <w14:srgbClr w14:val="000000">
                      <w14:alpha w14:val="100000"/>
                    </w14:srgbClr>
                  </w14:solidFill>
                </w14:textFill>
              </w:rPr>
              <w:t xml:space="preserve">　</w:t>
            </w:r>
            <w:r w:rsidRPr="007E1E66">
              <w:rPr>
                <w:rFonts w:ascii="Arial Narrow" w:hAnsi="Arial Narrow"/>
                <w:bCs/>
                <w:color w:val="000000"/>
                <w:w w:val="15"/>
                <w:sz w:val="20"/>
                <w:shd w:val="solid" w:color="000000" w:fill="000000"/>
                <w:fitText w:val="11" w:id="-1506007290"/>
                <w14:textFill>
                  <w14:solidFill>
                    <w14:srgbClr w14:val="000000">
                      <w14:alpha w14:val="100000"/>
                    </w14:srgbClr>
                  </w14:solidFill>
                </w14:textFill>
              </w:rPr>
              <w:t>|</w:t>
            </w:r>
            <w:r w:rsidRPr="007E1E66">
              <w:rPr>
                <w:rFonts w:ascii="Arial Narrow" w:hAnsi="Arial Narrow" w:hint="eastAsia"/>
                <w:bCs/>
                <w:color w:val="000000"/>
                <w:spacing w:val="-55"/>
                <w:w w:val="15"/>
                <w:sz w:val="20"/>
                <w:shd w:val="solid" w:color="000000" w:fill="000000"/>
                <w:fitText w:val="11" w:id="-1506007290"/>
                <w14:textFill>
                  <w14:solidFill>
                    <w14:srgbClr w14:val="000000">
                      <w14:alpha w14:val="100000"/>
                    </w14:srgbClr>
                  </w14:solidFill>
                </w14:textFill>
              </w:rPr>
              <w:t xml:space="preserve">　</w:t>
            </w:r>
            <w:r w:rsidR="00AE18C2" w:rsidRPr="007A6437">
              <w:rPr>
                <w:rFonts w:ascii="Arial Narrow" w:hAnsi="Arial Narrow"/>
                <w:bCs/>
                <w:sz w:val="20"/>
                <w:vertAlign w:val="superscript"/>
              </w:rPr>
              <w:t>5</w:t>
            </w:r>
          </w:p>
        </w:tc>
      </w:tr>
    </w:tbl>
    <w:p w14:paraId="32ED76E8" w14:textId="77777777" w:rsidR="006F374A" w:rsidRPr="0089440B" w:rsidRDefault="006F374A" w:rsidP="006F374A">
      <w:pPr>
        <w:pStyle w:val="TableFigureFooter"/>
      </w:pPr>
      <w:r w:rsidRPr="0089440B">
        <w:t xml:space="preserve">Source: Excel workbook ‘Trodelvy PBAC Resubmission Dec 2021 UCM-Release-3-Workbook-v106 FINAL’ </w:t>
      </w:r>
    </w:p>
    <w:p w14:paraId="5AF76929" w14:textId="77777777" w:rsidR="006F374A" w:rsidRPr="0089440B" w:rsidRDefault="006F374A" w:rsidP="006F374A">
      <w:pPr>
        <w:pStyle w:val="TableFigureFooter"/>
      </w:pPr>
      <w:r w:rsidRPr="0089440B">
        <w:rPr>
          <w:vertAlign w:val="superscript"/>
        </w:rPr>
        <w:t xml:space="preserve">a </w:t>
      </w:r>
      <w:r w:rsidRPr="0089440B">
        <w:t xml:space="preserve">The following corrections were made to the resubmissions excel workbook: (a) adjusted the mean duration of treatment by also changing the formula in cell H179 of worksheet ‘3a. Scripts – proposed’; and (b) adjusted the proportion of patients who progress to metastatic TNBC i.e. 8% was changed to 20%, rather than changing the proportion who progress to locally advanced TNBC (9.8%) in worksheet ‘2a. Patients – incident’ cells D426 and D427. </w:t>
      </w:r>
    </w:p>
    <w:p w14:paraId="608A43A7" w14:textId="77777777" w:rsidR="006F374A" w:rsidRPr="0089440B" w:rsidRDefault="006F374A" w:rsidP="006F374A">
      <w:pPr>
        <w:pStyle w:val="TableFigureFooter"/>
      </w:pPr>
      <w:r w:rsidRPr="0089440B">
        <w:t>Note that mark-ups and preparation fees have not been corrected.</w:t>
      </w:r>
    </w:p>
    <w:p w14:paraId="33523DE1" w14:textId="3FFA3CAE" w:rsidR="006F374A" w:rsidRDefault="006F374A" w:rsidP="007A6437">
      <w:pPr>
        <w:pStyle w:val="TableFigureFooter"/>
        <w:spacing w:after="0"/>
        <w:contextualSpacing w:val="0"/>
      </w:pPr>
      <w:r w:rsidRPr="0089440B">
        <w:t>SG = sacituzumab govitecan</w:t>
      </w:r>
      <w:r>
        <w:t xml:space="preserve">; blue shading indicates the estimates from the previous </w:t>
      </w:r>
      <w:r w:rsidR="00922C5E">
        <w:t>PSD</w:t>
      </w:r>
      <w:r>
        <w:t>.</w:t>
      </w:r>
    </w:p>
    <w:p w14:paraId="70F5F905" w14:textId="77777777" w:rsidR="007A6437" w:rsidRPr="009A6D58" w:rsidRDefault="007A6437" w:rsidP="007A6437">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75F38B1" w14:textId="05D6C1A3" w:rsidR="007A6437" w:rsidRPr="009A6D58" w:rsidRDefault="007A6437" w:rsidP="007A6437">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AE18C2" w:rsidRPr="00AE18C2">
        <w:rPr>
          <w:rFonts w:ascii="Arial Narrow" w:hAnsi="Arial Narrow"/>
          <w:i/>
          <w:sz w:val="18"/>
          <w:szCs w:val="18"/>
        </w:rPr>
        <w:t>&lt; 500</w:t>
      </w:r>
    </w:p>
    <w:p w14:paraId="0B0EAC28" w14:textId="09EBEB6C" w:rsidR="007A6437" w:rsidRPr="009A6D58" w:rsidRDefault="007A6437" w:rsidP="007A6437">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AE18C2" w:rsidRPr="00AE18C2">
        <w:rPr>
          <w:rFonts w:ascii="Arial Narrow" w:hAnsi="Arial Narrow"/>
          <w:i/>
          <w:sz w:val="18"/>
          <w:szCs w:val="18"/>
        </w:rPr>
        <w:t>5,000 to &lt; 10,000</w:t>
      </w:r>
    </w:p>
    <w:p w14:paraId="40B39E0A" w14:textId="45C2AE2A" w:rsidR="00AE18C2" w:rsidRDefault="007A6437" w:rsidP="007A6437">
      <w:pPr>
        <w:rPr>
          <w:rFonts w:ascii="Arial Narrow" w:hAnsi="Arial Narrow"/>
          <w:i/>
          <w:sz w:val="18"/>
          <w:szCs w:val="18"/>
          <w:vertAlign w:val="superscript"/>
        </w:rPr>
      </w:pPr>
      <w:r w:rsidRPr="009A6D58">
        <w:rPr>
          <w:rFonts w:ascii="Arial Narrow" w:hAnsi="Arial Narrow"/>
          <w:i/>
          <w:sz w:val="18"/>
          <w:szCs w:val="18"/>
          <w:vertAlign w:val="superscript"/>
        </w:rPr>
        <w:t>3</w:t>
      </w:r>
      <w:r>
        <w:rPr>
          <w:rFonts w:ascii="Arial Narrow" w:hAnsi="Arial Narrow"/>
          <w:i/>
          <w:sz w:val="18"/>
          <w:szCs w:val="18"/>
        </w:rPr>
        <w:t xml:space="preserve"> </w:t>
      </w:r>
      <w:r w:rsidR="00AE18C2" w:rsidRPr="00AE18C2">
        <w:rPr>
          <w:rFonts w:ascii="Arial Narrow" w:hAnsi="Arial Narrow"/>
          <w:i/>
          <w:sz w:val="18"/>
          <w:szCs w:val="18"/>
        </w:rPr>
        <w:t>$10 million to &lt; $20 millio</w:t>
      </w:r>
      <w:r w:rsidR="00AE18C2">
        <w:rPr>
          <w:rFonts w:ascii="Arial Narrow" w:hAnsi="Arial Narrow"/>
          <w:i/>
          <w:sz w:val="18"/>
          <w:szCs w:val="18"/>
        </w:rPr>
        <w:t>n</w:t>
      </w:r>
      <w:r w:rsidR="00AE18C2" w:rsidRPr="00AE18C2">
        <w:rPr>
          <w:rFonts w:ascii="Arial Narrow" w:hAnsi="Arial Narrow"/>
          <w:i/>
          <w:sz w:val="18"/>
          <w:szCs w:val="18"/>
          <w:vertAlign w:val="superscript"/>
        </w:rPr>
        <w:t xml:space="preserve"> </w:t>
      </w:r>
    </w:p>
    <w:p w14:paraId="0D2F86A3" w14:textId="5B70221F" w:rsidR="007A6437" w:rsidRDefault="007A6437" w:rsidP="007A6437">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AE18C2" w:rsidRPr="00AE18C2">
        <w:rPr>
          <w:rFonts w:ascii="Arial Narrow" w:hAnsi="Arial Narrow"/>
          <w:i/>
          <w:sz w:val="18"/>
          <w:szCs w:val="18"/>
        </w:rPr>
        <w:t>$0 to &lt; $10 million</w:t>
      </w:r>
    </w:p>
    <w:p w14:paraId="7F1A8F18" w14:textId="61F3460D" w:rsidR="007A6437" w:rsidRDefault="007A6437" w:rsidP="007A6437">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AE18C2" w:rsidRPr="00AE18C2">
        <w:rPr>
          <w:rFonts w:ascii="Arial Narrow" w:hAnsi="Arial Narrow"/>
          <w:i/>
          <w:sz w:val="18"/>
          <w:szCs w:val="18"/>
        </w:rPr>
        <w:t>$30 million to &lt; $40 million</w:t>
      </w:r>
    </w:p>
    <w:p w14:paraId="51381E79" w14:textId="62F4E3AE" w:rsidR="007A6437" w:rsidRDefault="007A6437" w:rsidP="007A6437">
      <w:pPr>
        <w:spacing w:after="240"/>
      </w:pPr>
      <w:r>
        <w:rPr>
          <w:rFonts w:ascii="Arial Narrow" w:hAnsi="Arial Narrow"/>
          <w:i/>
          <w:sz w:val="18"/>
          <w:szCs w:val="18"/>
          <w:vertAlign w:val="superscript"/>
        </w:rPr>
        <w:t>6</w:t>
      </w:r>
      <w:r>
        <w:rPr>
          <w:rFonts w:ascii="Arial Narrow" w:hAnsi="Arial Narrow"/>
          <w:i/>
          <w:sz w:val="18"/>
          <w:szCs w:val="18"/>
        </w:rPr>
        <w:t xml:space="preserve"> </w:t>
      </w:r>
      <w:r w:rsidR="00AE18C2" w:rsidRPr="00AE18C2">
        <w:rPr>
          <w:rFonts w:ascii="Arial Narrow" w:hAnsi="Arial Narrow"/>
          <w:i/>
          <w:sz w:val="18"/>
          <w:szCs w:val="18"/>
        </w:rPr>
        <w:t>$</w:t>
      </w:r>
      <w:r w:rsidR="00AE18C2">
        <w:rPr>
          <w:rFonts w:ascii="Arial Narrow" w:hAnsi="Arial Narrow"/>
          <w:i/>
          <w:sz w:val="18"/>
          <w:szCs w:val="18"/>
        </w:rPr>
        <w:t>2</w:t>
      </w:r>
      <w:r w:rsidR="00AE18C2" w:rsidRPr="00AE18C2">
        <w:rPr>
          <w:rFonts w:ascii="Arial Narrow" w:hAnsi="Arial Narrow"/>
          <w:i/>
          <w:sz w:val="18"/>
          <w:szCs w:val="18"/>
        </w:rPr>
        <w:t>0 million to &lt; $</w:t>
      </w:r>
      <w:r w:rsidR="00AE18C2">
        <w:rPr>
          <w:rFonts w:ascii="Arial Narrow" w:hAnsi="Arial Narrow"/>
          <w:i/>
          <w:sz w:val="18"/>
          <w:szCs w:val="18"/>
        </w:rPr>
        <w:t>3</w:t>
      </w:r>
      <w:r w:rsidR="00AE18C2" w:rsidRPr="00AE18C2">
        <w:rPr>
          <w:rFonts w:ascii="Arial Narrow" w:hAnsi="Arial Narrow"/>
          <w:i/>
          <w:sz w:val="18"/>
          <w:szCs w:val="18"/>
        </w:rPr>
        <w:t>0 million</w:t>
      </w:r>
    </w:p>
    <w:p w14:paraId="751C9CE7" w14:textId="71DF84C5" w:rsidR="006F374A" w:rsidRPr="0089440B" w:rsidRDefault="006F374A" w:rsidP="006F374A">
      <w:pPr>
        <w:widowControl w:val="0"/>
        <w:numPr>
          <w:ilvl w:val="1"/>
          <w:numId w:val="1"/>
        </w:numPr>
        <w:spacing w:after="120"/>
        <w:rPr>
          <w:rStyle w:val="CommentReference"/>
        </w:rPr>
      </w:pPr>
      <w:r w:rsidRPr="005C635E">
        <w:rPr>
          <w:bCs/>
          <w:snapToGrid w:val="0"/>
        </w:rPr>
        <w:t>The resubmission estim</w:t>
      </w:r>
      <w:r>
        <w:rPr>
          <w:bCs/>
          <w:snapToGrid w:val="0"/>
        </w:rPr>
        <w:t>ated</w:t>
      </w:r>
      <w:r w:rsidRPr="005C635E">
        <w:rPr>
          <w:bCs/>
          <w:snapToGrid w:val="0"/>
        </w:rPr>
        <w:t xml:space="preserve"> a net financial impact to the PBS/RPBS of </w:t>
      </w:r>
      <w:r w:rsidR="00AE18C2" w:rsidRPr="00AE18C2">
        <w:rPr>
          <w:bCs/>
          <w:snapToGrid w:val="0"/>
        </w:rPr>
        <w:t>$90 million to &lt; $100 million</w:t>
      </w:r>
      <w:r w:rsidRPr="005C635E">
        <w:rPr>
          <w:bCs/>
          <w:snapToGrid w:val="0"/>
        </w:rPr>
        <w:t xml:space="preserve"> over the first six years of listing (with two calculation errors corrected), versus </w:t>
      </w:r>
      <w:r w:rsidR="00AE18C2" w:rsidRPr="00AE18C2">
        <w:rPr>
          <w:rFonts w:asciiTheme="minorHAnsi" w:hAnsiTheme="minorHAnsi" w:cstheme="minorHAnsi"/>
          <w:color w:val="333333"/>
        </w:rPr>
        <w:t>$100 million to &lt; $200 million</w:t>
      </w:r>
      <w:r w:rsidR="00AE18C2" w:rsidRPr="00AE18C2">
        <w:rPr>
          <w:rFonts w:asciiTheme="minorHAnsi" w:hAnsiTheme="minorHAnsi" w:cstheme="minorHAnsi"/>
          <w:bCs/>
          <w:snapToGrid w:val="0"/>
        </w:rPr>
        <w:t xml:space="preserve"> </w:t>
      </w:r>
      <w:r w:rsidRPr="00AE18C2">
        <w:rPr>
          <w:rFonts w:asciiTheme="minorHAnsi" w:hAnsiTheme="minorHAnsi" w:cstheme="minorHAnsi"/>
          <w:bCs/>
          <w:snapToGrid w:val="0"/>
        </w:rPr>
        <w:t>over</w:t>
      </w:r>
      <w:r w:rsidRPr="005C635E">
        <w:rPr>
          <w:bCs/>
          <w:snapToGrid w:val="0"/>
        </w:rPr>
        <w:t xml:space="preserve"> six years in the original submission. The changes to the financial estimates were consistent with the PBAC’s advice </w:t>
      </w:r>
      <w:r>
        <w:rPr>
          <w:bCs/>
          <w:snapToGrid w:val="0"/>
        </w:rPr>
        <w:t xml:space="preserve">from November 2021 </w:t>
      </w:r>
      <w:r w:rsidRPr="005C635E">
        <w:rPr>
          <w:bCs/>
          <w:snapToGrid w:val="0"/>
        </w:rPr>
        <w:t>(</w:t>
      </w:r>
      <w:r>
        <w:rPr>
          <w:bCs/>
          <w:snapToGrid w:val="0"/>
        </w:rPr>
        <w:t>w</w:t>
      </w:r>
      <w:r w:rsidRPr="005C635E">
        <w:rPr>
          <w:bCs/>
          <w:snapToGrid w:val="0"/>
        </w:rPr>
        <w:t xml:space="preserve">hile an exception is outlined in </w:t>
      </w:r>
      <w:r>
        <w:rPr>
          <w:bCs/>
          <w:snapToGrid w:val="0"/>
        </w:rPr>
        <w:t>Table 17</w:t>
      </w:r>
      <w:r w:rsidRPr="005C635E">
        <w:rPr>
          <w:bCs/>
          <w:snapToGrid w:val="0"/>
        </w:rPr>
        <w:t xml:space="preserve">, the </w:t>
      </w:r>
      <w:r>
        <w:rPr>
          <w:bCs/>
          <w:snapToGrid w:val="0"/>
        </w:rPr>
        <w:t>impact of this wa</w:t>
      </w:r>
      <w:r w:rsidRPr="005C635E">
        <w:rPr>
          <w:bCs/>
          <w:snapToGrid w:val="0"/>
        </w:rPr>
        <w:t>s likely to be minor</w:t>
      </w:r>
      <w:r>
        <w:rPr>
          <w:bCs/>
          <w:snapToGrid w:val="0"/>
        </w:rPr>
        <w:t>)</w:t>
      </w:r>
      <w:r w:rsidRPr="00580604">
        <w:t>.</w:t>
      </w:r>
    </w:p>
    <w:p w14:paraId="65BC44A6" w14:textId="77777777" w:rsidR="006F374A" w:rsidRPr="0046360F" w:rsidRDefault="006F374A" w:rsidP="006F374A">
      <w:pPr>
        <w:pStyle w:val="2-SectionHeading"/>
        <w:numPr>
          <w:ilvl w:val="0"/>
          <w:numId w:val="1"/>
        </w:numPr>
      </w:pPr>
      <w:r w:rsidRPr="0046360F">
        <w:t>PBAC Outcome</w:t>
      </w:r>
    </w:p>
    <w:p w14:paraId="02A28287" w14:textId="4870A3DF" w:rsidR="006F374A" w:rsidRDefault="006F374A" w:rsidP="006F374A">
      <w:pPr>
        <w:widowControl w:val="0"/>
        <w:numPr>
          <w:ilvl w:val="1"/>
          <w:numId w:val="1"/>
        </w:numPr>
        <w:spacing w:after="120"/>
        <w:rPr>
          <w:lang w:eastAsia="en-US"/>
        </w:rPr>
      </w:pPr>
      <w:r w:rsidRPr="00380CDB">
        <w:rPr>
          <w:bCs/>
          <w:snapToGrid w:val="0"/>
        </w:rPr>
        <w:t>The</w:t>
      </w:r>
      <w:r w:rsidRPr="00380CDB">
        <w:rPr>
          <w:bCs/>
        </w:rPr>
        <w:t xml:space="preserve"> PBAC recommended the listing of sacituzumab govitecan for the treatment of</w:t>
      </w:r>
      <w:r w:rsidRPr="00457FD3">
        <w:t xml:space="preserve"> patients with unresectable locally advanced or metastatic triple negative breast cancer who have received at least two prior therapies</w:t>
      </w:r>
      <w:r>
        <w:t>.</w:t>
      </w:r>
      <w:r>
        <w:rPr>
          <w:lang w:eastAsia="en-US"/>
        </w:rPr>
        <w:t xml:space="preserve"> </w:t>
      </w:r>
      <w:r w:rsidRPr="005C635E">
        <w:t xml:space="preserve">The PBAC considered that </w:t>
      </w:r>
      <w:r>
        <w:t xml:space="preserve">the </w:t>
      </w:r>
      <w:r w:rsidRPr="005C635E">
        <w:t xml:space="preserve">changes to the economic evaluation and financial estimates were consistent with the changes requested in the November 2021 PBAC </w:t>
      </w:r>
      <w:r w:rsidR="00922C5E">
        <w:t>PSD</w:t>
      </w:r>
      <w:r w:rsidRPr="005C635E">
        <w:t xml:space="preserve">, and </w:t>
      </w:r>
      <w:r>
        <w:t xml:space="preserve">had sufficiently addressed </w:t>
      </w:r>
      <w:r>
        <w:lastRenderedPageBreak/>
        <w:t>the Committee’s previous advice regarding the requirements</w:t>
      </w:r>
      <w:r>
        <w:rPr>
          <w:lang w:eastAsia="en-US"/>
        </w:rPr>
        <w:t xml:space="preserve"> of a simple resubmission. </w:t>
      </w:r>
    </w:p>
    <w:p w14:paraId="2F762FF0" w14:textId="77777777" w:rsidR="006F374A" w:rsidRPr="00BE1B36" w:rsidRDefault="006F374A" w:rsidP="006F374A">
      <w:pPr>
        <w:pStyle w:val="3-BodyText"/>
      </w:pPr>
      <w:r>
        <w:t xml:space="preserve">The PBAC was satisfied that sacituzumab govitecan provides, for some patients, a significant improvement in effectiveness compared with </w:t>
      </w:r>
      <w:r w:rsidRPr="00457FD3">
        <w:t>physician’s choice of</w:t>
      </w:r>
      <w:r>
        <w:t xml:space="preserve"> a single-agent treatment (TPC). </w:t>
      </w:r>
      <w:r w:rsidRPr="003972CB">
        <w:rPr>
          <w:rFonts w:ascii="Calibri" w:hAnsi="Calibri"/>
          <w:snapToGrid/>
        </w:rPr>
        <w:t xml:space="preserve">The PBAC’s recommendation for listing was based on, among other matters, its assessment, as described above, that the cost-effectiveness of </w:t>
      </w:r>
      <w:r>
        <w:rPr>
          <w:rFonts w:ascii="Calibri" w:hAnsi="Calibri"/>
          <w:snapToGrid/>
        </w:rPr>
        <w:t xml:space="preserve">sacituzumab govitecan </w:t>
      </w:r>
      <w:r w:rsidRPr="003972CB">
        <w:rPr>
          <w:rFonts w:ascii="Calibri" w:hAnsi="Calibri"/>
          <w:snapToGrid/>
        </w:rPr>
        <w:t xml:space="preserve">would be acceptable at the price proposed in the </w:t>
      </w:r>
      <w:r>
        <w:rPr>
          <w:rFonts w:ascii="Calibri" w:hAnsi="Calibri"/>
          <w:snapToGrid/>
        </w:rPr>
        <w:t>re</w:t>
      </w:r>
      <w:r w:rsidRPr="003972CB">
        <w:rPr>
          <w:rFonts w:ascii="Calibri" w:hAnsi="Calibri"/>
          <w:snapToGrid/>
        </w:rPr>
        <w:t>submission.</w:t>
      </w:r>
      <w:r>
        <w:rPr>
          <w:rFonts w:ascii="Calibri" w:hAnsi="Calibri"/>
          <w:snapToGrid/>
        </w:rPr>
        <w:t xml:space="preserve"> </w:t>
      </w:r>
    </w:p>
    <w:p w14:paraId="6419DB2F" w14:textId="65CEF395" w:rsidR="006F374A" w:rsidRDefault="006F374A" w:rsidP="006F374A">
      <w:pPr>
        <w:widowControl w:val="0"/>
        <w:numPr>
          <w:ilvl w:val="1"/>
          <w:numId w:val="1"/>
        </w:numPr>
        <w:spacing w:after="120"/>
      </w:pPr>
      <w:r>
        <w:t>T</w:t>
      </w:r>
      <w:r w:rsidRPr="00F2258F">
        <w:t xml:space="preserve">he PBAC </w:t>
      </w:r>
      <w:r>
        <w:t>noted that a</w:t>
      </w:r>
      <w:r w:rsidRPr="00F2258F">
        <w:t xml:space="preserve"> 30% lower price was proposed</w:t>
      </w:r>
      <w:r>
        <w:t xml:space="preserve"> </w:t>
      </w:r>
      <w:r w:rsidRPr="00F2258F">
        <w:t xml:space="preserve">(compared with the previous submission) </w:t>
      </w:r>
      <w:r>
        <w:t xml:space="preserve">which, combined with the other changes to the model requested in the previous </w:t>
      </w:r>
      <w:r w:rsidR="00922C5E">
        <w:t>PSD</w:t>
      </w:r>
      <w:r>
        <w:t xml:space="preserve">, resulted in </w:t>
      </w:r>
      <w:r w:rsidRPr="00F2258F">
        <w:t>an ICER of $85,000 per QALY. The PBAC re-iterated its previous consideration that this ICER was reasonable in this case given: the poor survival and limited treatment options for m</w:t>
      </w:r>
      <w:r>
        <w:t xml:space="preserve">etastatic </w:t>
      </w:r>
      <w:r w:rsidRPr="00F2258F">
        <w:t>TNBC; the reasonably robust OS results based on relatively mature OS data, which reduced the level of uncertainty of the economic model (once input parameters are appropriately revised as outlined above); and that key sensitivity analyses did not significantly increase the ICER</w:t>
      </w:r>
      <w:r>
        <w:t xml:space="preserve"> (paragraph 7.17, sacituzumab govitecan PBAC </w:t>
      </w:r>
      <w:r w:rsidR="00922C5E">
        <w:t>PSD</w:t>
      </w:r>
      <w:r>
        <w:t>, March 2021).</w:t>
      </w:r>
    </w:p>
    <w:p w14:paraId="4EFA987A" w14:textId="77777777" w:rsidR="006F374A" w:rsidRDefault="006F374A" w:rsidP="006F374A">
      <w:pPr>
        <w:pStyle w:val="3-BodyText"/>
      </w:pPr>
      <w:r>
        <w:t xml:space="preserve">The PBAC noted that the </w:t>
      </w:r>
      <w:r w:rsidRPr="006000FC">
        <w:t xml:space="preserve">resubmission stated that the sponsor will ‘negotiate a </w:t>
      </w:r>
      <w:r>
        <w:t>Risk Sharing Arrangement (R</w:t>
      </w:r>
      <w:r w:rsidRPr="006000FC">
        <w:t>SA</w:t>
      </w:r>
      <w:r>
        <w:t>)</w:t>
      </w:r>
      <w:r w:rsidRPr="006000FC">
        <w:t xml:space="preserve"> with expenditure caps based on the revisions made in this resubmission’</w:t>
      </w:r>
      <w:r>
        <w:t xml:space="preserve">. </w:t>
      </w:r>
      <w:r>
        <w:rPr>
          <w:rFonts w:ascii="Calibri" w:hAnsi="Calibri"/>
          <w:bCs/>
        </w:rPr>
        <w:t>Provided the</w:t>
      </w:r>
      <w:r w:rsidRPr="008E2662">
        <w:rPr>
          <w:rFonts w:ascii="Calibri" w:hAnsi="Calibri"/>
          <w:bCs/>
        </w:rPr>
        <w:t xml:space="preserve"> rebate for any expenditure above the caps </w:t>
      </w:r>
      <w:r>
        <w:rPr>
          <w:rFonts w:ascii="Calibri" w:hAnsi="Calibri"/>
          <w:bCs/>
        </w:rPr>
        <w:t>was high, t</w:t>
      </w:r>
      <w:r>
        <w:t>he PBAC was satisfied that the proposed RSA, based on the estimates outlined in Table 18, would manage</w:t>
      </w:r>
      <w:r w:rsidRPr="00964898">
        <w:t xml:space="preserve"> the financial risk </w:t>
      </w:r>
      <w:r>
        <w:t>of: utilisation outside the eligible patient population</w:t>
      </w:r>
      <w:r w:rsidRPr="00BE1B36">
        <w:rPr>
          <w:lang w:val="en-GB"/>
        </w:rPr>
        <w:t xml:space="preserve">; the uncertain patient population; and the risk of </w:t>
      </w:r>
      <w:r>
        <w:rPr>
          <w:lang w:val="en-GB"/>
        </w:rPr>
        <w:t xml:space="preserve">sacituzumab govitecan being used for a </w:t>
      </w:r>
      <w:r w:rsidRPr="00BE1B36">
        <w:rPr>
          <w:lang w:val="en-GB"/>
        </w:rPr>
        <w:t xml:space="preserve">longer duration </w:t>
      </w:r>
      <w:r>
        <w:rPr>
          <w:lang w:val="en-GB"/>
        </w:rPr>
        <w:t>or at a h</w:t>
      </w:r>
      <w:r w:rsidRPr="00BE1B36">
        <w:rPr>
          <w:lang w:val="en-GB"/>
        </w:rPr>
        <w:t>igher dose intensit</w:t>
      </w:r>
      <w:r>
        <w:rPr>
          <w:lang w:val="en-GB"/>
        </w:rPr>
        <w:t>y</w:t>
      </w:r>
      <w:r w:rsidRPr="00BE1B36">
        <w:rPr>
          <w:lang w:val="en-GB"/>
        </w:rPr>
        <w:t xml:space="preserve"> than assumed in the economic and financial estimates.</w:t>
      </w:r>
    </w:p>
    <w:p w14:paraId="7EB86A91" w14:textId="77777777" w:rsidR="006F374A" w:rsidRPr="007031F5" w:rsidRDefault="006F374A" w:rsidP="006F374A">
      <w:pPr>
        <w:pStyle w:val="3-BodyText"/>
      </w:pPr>
      <w:bookmarkStart w:id="10" w:name="_Hlk82874709"/>
      <w:r w:rsidRPr="007031F5">
        <w:t>The PBAC recommended that sacituzumab govitecan should not be treated as interchangeable on an individual patient basis with any other drug.</w:t>
      </w:r>
    </w:p>
    <w:p w14:paraId="03DD2C3F" w14:textId="77777777" w:rsidR="006F374A" w:rsidRPr="007031F5" w:rsidRDefault="006F374A" w:rsidP="006F374A">
      <w:pPr>
        <w:pStyle w:val="3-BodyText"/>
      </w:pPr>
      <w:r w:rsidRPr="007031F5">
        <w:t>The PBAC advised that sacituzumab govitecan is not suitable for prescribing by nurse practitioners as a</w:t>
      </w:r>
      <w:r w:rsidRPr="007031F5">
        <w:rPr>
          <w:rFonts w:ascii="Calibri" w:hAnsi="Calibri"/>
        </w:rPr>
        <w:t>ntineoplastic</w:t>
      </w:r>
      <w:r w:rsidRPr="007031F5">
        <w:rPr>
          <w:rFonts w:cstheme="minorHAnsi"/>
        </w:rPr>
        <w:t xml:space="preserve"> agents are currently out of scope for prescribing by nurse practitioners</w:t>
      </w:r>
      <w:r w:rsidRPr="007031F5">
        <w:t>.</w:t>
      </w:r>
    </w:p>
    <w:p w14:paraId="56F73232" w14:textId="77777777" w:rsidR="006F374A" w:rsidRPr="007031F5" w:rsidRDefault="006F374A" w:rsidP="006F374A">
      <w:pPr>
        <w:pStyle w:val="3-BodyText"/>
      </w:pPr>
      <w:r w:rsidRPr="007031F5">
        <w:t xml:space="preserve">The PBAC recommended that the Early Supply Rule should not apply </w:t>
      </w:r>
      <w:r w:rsidRPr="007031F5">
        <w:rPr>
          <w:rFonts w:cstheme="minorHAnsi"/>
        </w:rPr>
        <w:t xml:space="preserve">as it currently does not apply to Section 100 Efficient </w:t>
      </w:r>
      <w:r w:rsidRPr="007031F5">
        <w:rPr>
          <w:rFonts w:ascii="Calibri" w:hAnsi="Calibri"/>
        </w:rPr>
        <w:t>Funding</w:t>
      </w:r>
      <w:r w:rsidRPr="007031F5">
        <w:rPr>
          <w:rFonts w:cstheme="minorHAnsi"/>
        </w:rPr>
        <w:t xml:space="preserve"> of Chemotherapy listings.</w:t>
      </w:r>
    </w:p>
    <w:p w14:paraId="644D82AD" w14:textId="77777777" w:rsidR="006F374A" w:rsidRPr="007031F5" w:rsidRDefault="006F374A" w:rsidP="006F374A">
      <w:pPr>
        <w:pStyle w:val="3-BodyText"/>
      </w:pPr>
      <w:r w:rsidRPr="007031F5">
        <w:t xml:space="preserve">The PBAC noted that this submission is not eligible for an Independent Review because the PBAC has made a positive recommendation. </w:t>
      </w:r>
    </w:p>
    <w:bookmarkEnd w:id="10"/>
    <w:p w14:paraId="0C9B10E0" w14:textId="77777777" w:rsidR="006F374A" w:rsidRPr="007031F5" w:rsidRDefault="006F374A" w:rsidP="006F374A">
      <w:pPr>
        <w:widowControl w:val="0"/>
        <w:numPr>
          <w:ilvl w:val="1"/>
          <w:numId w:val="1"/>
        </w:numPr>
        <w:spacing w:after="120"/>
        <w:rPr>
          <w:bCs/>
          <w:snapToGrid w:val="0"/>
        </w:rPr>
      </w:pPr>
      <w:r w:rsidRPr="007031F5">
        <w:rPr>
          <w:bCs/>
          <w:snapToGrid w:val="0"/>
        </w:rPr>
        <w:t xml:space="preserve">The PBAC found that the criteria prescribed by the </w:t>
      </w:r>
      <w:r w:rsidRPr="00725611">
        <w:rPr>
          <w:bCs/>
          <w:i/>
          <w:snapToGrid w:val="0"/>
        </w:rPr>
        <w:t>National Health (Pharmaceutical and Vaccines – Cost Recovery) Regulations 2009</w:t>
      </w:r>
      <w:r w:rsidRPr="007031F5">
        <w:rPr>
          <w:bCs/>
          <w:snapToGrid w:val="0"/>
        </w:rPr>
        <w:t xml:space="preserve"> for Pricing Pathway A were met. Specifically, the PBAC found that in the circumstances of its recommendation for sacituzumab govitecan:</w:t>
      </w:r>
    </w:p>
    <w:p w14:paraId="33E315AD" w14:textId="77777777" w:rsidR="006F374A" w:rsidRPr="007031F5" w:rsidRDefault="006F374A" w:rsidP="006F374A">
      <w:pPr>
        <w:widowControl w:val="0"/>
        <w:numPr>
          <w:ilvl w:val="0"/>
          <w:numId w:val="31"/>
        </w:numPr>
        <w:snapToGrid w:val="0"/>
        <w:spacing w:after="120"/>
        <w:contextualSpacing/>
        <w:rPr>
          <w:bCs/>
          <w:lang w:eastAsia="en-US"/>
        </w:rPr>
      </w:pPr>
      <w:r w:rsidRPr="007031F5">
        <w:rPr>
          <w:bCs/>
          <w:lang w:eastAsia="en-US"/>
        </w:rPr>
        <w:lastRenderedPageBreak/>
        <w:t>The treatment is expected to provide a substantial and clinically relevant improvement in efficacy over TPC;</w:t>
      </w:r>
    </w:p>
    <w:p w14:paraId="29C35F72" w14:textId="77777777" w:rsidR="006F374A" w:rsidRPr="007031F5" w:rsidRDefault="006F374A" w:rsidP="006F374A">
      <w:pPr>
        <w:widowControl w:val="0"/>
        <w:numPr>
          <w:ilvl w:val="0"/>
          <w:numId w:val="31"/>
        </w:numPr>
        <w:snapToGrid w:val="0"/>
        <w:spacing w:after="120"/>
        <w:contextualSpacing/>
        <w:rPr>
          <w:bCs/>
          <w:lang w:eastAsia="en-US"/>
        </w:rPr>
      </w:pPr>
      <w:r w:rsidRPr="007031F5">
        <w:rPr>
          <w:bCs/>
          <w:lang w:eastAsia="en-US"/>
        </w:rPr>
        <w:t xml:space="preserve">The treatment is expected to address a high and urgent unmet clinical need; and </w:t>
      </w:r>
    </w:p>
    <w:p w14:paraId="47316AD6" w14:textId="77777777" w:rsidR="006F374A" w:rsidRPr="007031F5" w:rsidRDefault="006F374A" w:rsidP="006F374A">
      <w:pPr>
        <w:widowControl w:val="0"/>
        <w:numPr>
          <w:ilvl w:val="0"/>
          <w:numId w:val="31"/>
        </w:numPr>
        <w:snapToGrid w:val="0"/>
        <w:spacing w:after="120"/>
        <w:contextualSpacing/>
        <w:rPr>
          <w:bCs/>
          <w:lang w:eastAsia="en-US"/>
        </w:rPr>
      </w:pPr>
      <w:r w:rsidRPr="007031F5">
        <w:rPr>
          <w:bCs/>
          <w:lang w:eastAsia="en-US"/>
        </w:rPr>
        <w:t>It would be in the public interest for the subsequent pricing application to be progressed under Pricing Pathway A on the basis of the preceding findings.</w:t>
      </w:r>
    </w:p>
    <w:p w14:paraId="4DDC6616" w14:textId="77777777" w:rsidR="006F374A" w:rsidRPr="007031F5" w:rsidRDefault="006F374A" w:rsidP="006F374A">
      <w:pPr>
        <w:tabs>
          <w:tab w:val="left" w:pos="360"/>
        </w:tabs>
        <w:autoSpaceDE w:val="0"/>
        <w:autoSpaceDN w:val="0"/>
        <w:adjustRightInd w:val="0"/>
        <w:spacing w:after="120"/>
        <w:ind w:left="720" w:hanging="720"/>
        <w:rPr>
          <w:rFonts w:ascii="Times New Roman" w:hAnsi="Times New Roman" w:cs="Times New Roman"/>
        </w:rPr>
      </w:pPr>
    </w:p>
    <w:p w14:paraId="1B454BBC" w14:textId="77777777" w:rsidR="006F374A" w:rsidRPr="004B62BB" w:rsidRDefault="006F374A" w:rsidP="006F374A">
      <w:pPr>
        <w:tabs>
          <w:tab w:val="left" w:pos="360"/>
        </w:tabs>
        <w:autoSpaceDE w:val="0"/>
        <w:autoSpaceDN w:val="0"/>
        <w:adjustRightInd w:val="0"/>
        <w:rPr>
          <w:rFonts w:asciiTheme="minorHAnsi" w:hAnsiTheme="minorHAnsi" w:cstheme="minorHAnsi"/>
          <w:b/>
          <w:bCs/>
        </w:rPr>
      </w:pPr>
      <w:r w:rsidRPr="004B62BB">
        <w:rPr>
          <w:rFonts w:asciiTheme="minorHAnsi" w:hAnsiTheme="minorHAnsi" w:cstheme="minorHAnsi"/>
          <w:b/>
          <w:bCs/>
        </w:rPr>
        <w:t>Outcome:</w:t>
      </w:r>
    </w:p>
    <w:p w14:paraId="4C773ACC" w14:textId="77777777" w:rsidR="006F374A" w:rsidRPr="007018E3" w:rsidRDefault="006F374A" w:rsidP="006F374A">
      <w:pPr>
        <w:tabs>
          <w:tab w:val="left" w:pos="360"/>
        </w:tabs>
        <w:autoSpaceDE w:val="0"/>
        <w:autoSpaceDN w:val="0"/>
        <w:adjustRightInd w:val="0"/>
        <w:rPr>
          <w:rFonts w:ascii="Times New Roman" w:hAnsi="Times New Roman" w:cs="Times New Roman"/>
        </w:rPr>
      </w:pPr>
      <w:r w:rsidRPr="007031F5">
        <w:rPr>
          <w:rFonts w:asciiTheme="minorHAnsi" w:hAnsiTheme="minorHAnsi"/>
          <w:snapToGrid w:val="0"/>
        </w:rPr>
        <w:t xml:space="preserve">Recommended </w:t>
      </w:r>
    </w:p>
    <w:p w14:paraId="1517733D" w14:textId="77777777" w:rsidR="006F374A" w:rsidRPr="00060B29" w:rsidRDefault="006F374A" w:rsidP="006F374A">
      <w:pPr>
        <w:pStyle w:val="2-SectionHeading"/>
        <w:numPr>
          <w:ilvl w:val="0"/>
          <w:numId w:val="1"/>
        </w:numPr>
      </w:pPr>
      <w:r>
        <w:t xml:space="preserve">Recommended listing </w:t>
      </w:r>
    </w:p>
    <w:p w14:paraId="3FAC9771" w14:textId="77777777" w:rsidR="006F374A" w:rsidRDefault="006F374A" w:rsidP="006F374A">
      <w:pPr>
        <w:pStyle w:val="3-BodyText"/>
      </w:pPr>
      <w:r>
        <w:t>Add item</w:t>
      </w:r>
      <w:r w:rsidRPr="003E4DBB">
        <w:t xml:space="preserve"> as follows</w:t>
      </w:r>
      <w:r>
        <w:t>:</w:t>
      </w:r>
    </w:p>
    <w:tbl>
      <w:tblPr>
        <w:tblW w:w="5000" w:type="pct"/>
        <w:tblCellMar>
          <w:left w:w="28" w:type="dxa"/>
          <w:right w:w="28" w:type="dxa"/>
        </w:tblCellMar>
        <w:tblLook w:val="0000" w:firstRow="0" w:lastRow="0" w:firstColumn="0" w:lastColumn="0" w:noHBand="0" w:noVBand="0"/>
      </w:tblPr>
      <w:tblGrid>
        <w:gridCol w:w="3031"/>
        <w:gridCol w:w="1074"/>
        <w:gridCol w:w="1291"/>
        <w:gridCol w:w="3631"/>
      </w:tblGrid>
      <w:tr w:rsidR="006F374A" w:rsidRPr="00457FD3" w14:paraId="62022074" w14:textId="77777777" w:rsidTr="006F374A">
        <w:trPr>
          <w:cantSplit/>
          <w:trHeight w:val="463"/>
        </w:trPr>
        <w:tc>
          <w:tcPr>
            <w:tcW w:w="1679" w:type="pct"/>
            <w:tcBorders>
              <w:top w:val="single" w:sz="4" w:space="0" w:color="auto"/>
              <w:bottom w:val="single" w:sz="4" w:space="0" w:color="auto"/>
            </w:tcBorders>
            <w:vAlign w:val="center"/>
          </w:tcPr>
          <w:p w14:paraId="5B3AB14D" w14:textId="77777777" w:rsidR="006F374A" w:rsidRPr="00457FD3" w:rsidRDefault="006F374A" w:rsidP="006F374A">
            <w:pPr>
              <w:keepNext/>
              <w:jc w:val="left"/>
              <w:rPr>
                <w:rFonts w:ascii="Arial Narrow" w:hAnsi="Arial Narrow"/>
                <w:b/>
                <w:sz w:val="20"/>
              </w:rPr>
            </w:pPr>
            <w:r w:rsidRPr="00457FD3">
              <w:rPr>
                <w:rFonts w:ascii="Arial Narrow" w:hAnsi="Arial Narrow"/>
                <w:b/>
                <w:sz w:val="20"/>
              </w:rPr>
              <w:t>Name, Restriction,</w:t>
            </w:r>
          </w:p>
          <w:p w14:paraId="75B0BC59" w14:textId="77777777" w:rsidR="006F374A" w:rsidRPr="00457FD3" w:rsidRDefault="006F374A" w:rsidP="006F374A">
            <w:pPr>
              <w:keepNext/>
              <w:jc w:val="left"/>
              <w:rPr>
                <w:rFonts w:ascii="Arial Narrow" w:hAnsi="Arial Narrow"/>
                <w:b/>
                <w:sz w:val="20"/>
              </w:rPr>
            </w:pPr>
            <w:r w:rsidRPr="00457FD3">
              <w:rPr>
                <w:rFonts w:ascii="Arial Narrow" w:hAnsi="Arial Narrow"/>
                <w:b/>
                <w:sz w:val="20"/>
              </w:rPr>
              <w:t>Manner of administration and form</w:t>
            </w:r>
          </w:p>
        </w:tc>
        <w:tc>
          <w:tcPr>
            <w:tcW w:w="595" w:type="pct"/>
            <w:tcBorders>
              <w:top w:val="single" w:sz="4" w:space="0" w:color="auto"/>
              <w:bottom w:val="single" w:sz="4" w:space="0" w:color="auto"/>
            </w:tcBorders>
            <w:vAlign w:val="center"/>
          </w:tcPr>
          <w:p w14:paraId="18369952" w14:textId="77777777" w:rsidR="006F374A" w:rsidRPr="00457FD3" w:rsidRDefault="006F374A" w:rsidP="006F374A">
            <w:pPr>
              <w:keepNext/>
              <w:jc w:val="center"/>
              <w:rPr>
                <w:rFonts w:ascii="Arial Narrow" w:hAnsi="Arial Narrow"/>
                <w:b/>
                <w:sz w:val="20"/>
              </w:rPr>
            </w:pPr>
            <w:r w:rsidRPr="00457FD3">
              <w:rPr>
                <w:rFonts w:ascii="Arial Narrow" w:hAnsi="Arial Narrow"/>
                <w:b/>
                <w:sz w:val="20"/>
              </w:rPr>
              <w:t>Max.</w:t>
            </w:r>
          </w:p>
          <w:p w14:paraId="01A4A35A" w14:textId="77777777" w:rsidR="006F374A" w:rsidRPr="00457FD3" w:rsidRDefault="006F374A" w:rsidP="006F374A">
            <w:pPr>
              <w:keepNext/>
              <w:jc w:val="center"/>
              <w:rPr>
                <w:rFonts w:ascii="Arial Narrow" w:hAnsi="Arial Narrow"/>
                <w:b/>
                <w:sz w:val="20"/>
              </w:rPr>
            </w:pPr>
            <w:r w:rsidRPr="00457FD3">
              <w:rPr>
                <w:rFonts w:ascii="Arial Narrow" w:hAnsi="Arial Narrow"/>
                <w:b/>
                <w:sz w:val="20"/>
              </w:rPr>
              <w:t>Amt</w:t>
            </w:r>
          </w:p>
        </w:tc>
        <w:tc>
          <w:tcPr>
            <w:tcW w:w="715" w:type="pct"/>
            <w:tcBorders>
              <w:top w:val="single" w:sz="4" w:space="0" w:color="auto"/>
              <w:bottom w:val="single" w:sz="4" w:space="0" w:color="auto"/>
            </w:tcBorders>
            <w:vAlign w:val="center"/>
          </w:tcPr>
          <w:p w14:paraId="241B6EE4" w14:textId="77777777" w:rsidR="006F374A" w:rsidRPr="00457FD3" w:rsidRDefault="006F374A" w:rsidP="006F374A">
            <w:pPr>
              <w:keepNext/>
              <w:jc w:val="center"/>
              <w:rPr>
                <w:rFonts w:ascii="Arial Narrow" w:hAnsi="Arial Narrow"/>
                <w:b/>
                <w:sz w:val="20"/>
              </w:rPr>
            </w:pPr>
            <w:r w:rsidRPr="00457FD3">
              <w:rPr>
                <w:rFonts w:ascii="Arial Narrow" w:hAnsi="Arial Narrow" w:cs="Times New Roman"/>
                <w:b/>
                <w:sz w:val="20"/>
              </w:rPr>
              <w:t>№</w:t>
            </w:r>
            <w:r w:rsidRPr="00457FD3">
              <w:rPr>
                <w:rFonts w:ascii="Arial Narrow" w:hAnsi="Arial Narrow"/>
                <w:b/>
                <w:sz w:val="20"/>
              </w:rPr>
              <w:t>.of</w:t>
            </w:r>
          </w:p>
          <w:p w14:paraId="4B79E756" w14:textId="77777777" w:rsidR="006F374A" w:rsidRPr="00457FD3" w:rsidRDefault="006F374A" w:rsidP="006F374A">
            <w:pPr>
              <w:keepNext/>
              <w:jc w:val="center"/>
              <w:rPr>
                <w:rFonts w:ascii="Arial Narrow" w:hAnsi="Arial Narrow"/>
                <w:b/>
                <w:sz w:val="20"/>
              </w:rPr>
            </w:pPr>
            <w:r w:rsidRPr="00457FD3">
              <w:rPr>
                <w:rFonts w:ascii="Arial Narrow" w:hAnsi="Arial Narrow"/>
                <w:b/>
                <w:sz w:val="20"/>
              </w:rPr>
              <w:t>Rpts</w:t>
            </w:r>
          </w:p>
        </w:tc>
        <w:tc>
          <w:tcPr>
            <w:tcW w:w="2011" w:type="pct"/>
            <w:tcBorders>
              <w:top w:val="single" w:sz="4" w:space="0" w:color="auto"/>
              <w:bottom w:val="single" w:sz="4" w:space="0" w:color="auto"/>
            </w:tcBorders>
            <w:vAlign w:val="center"/>
          </w:tcPr>
          <w:p w14:paraId="1EACB0AA" w14:textId="77777777" w:rsidR="006F374A" w:rsidRPr="00457FD3" w:rsidRDefault="006F374A" w:rsidP="006F374A">
            <w:pPr>
              <w:keepNext/>
              <w:jc w:val="center"/>
              <w:rPr>
                <w:rFonts w:ascii="Arial Narrow" w:hAnsi="Arial Narrow"/>
                <w:b/>
                <w:sz w:val="20"/>
                <w:lang w:val="fr-FR"/>
              </w:rPr>
            </w:pPr>
            <w:r w:rsidRPr="00457FD3">
              <w:rPr>
                <w:rFonts w:ascii="Arial Narrow" w:hAnsi="Arial Narrow"/>
                <w:b/>
                <w:sz w:val="20"/>
              </w:rPr>
              <w:t>Proprietary Name and Manufacturer</w:t>
            </w:r>
          </w:p>
        </w:tc>
      </w:tr>
      <w:tr w:rsidR="006F374A" w:rsidRPr="0023361F" w14:paraId="61A847A2" w14:textId="77777777" w:rsidTr="006F374A">
        <w:trPr>
          <w:cantSplit/>
          <w:trHeight w:val="567"/>
        </w:trPr>
        <w:tc>
          <w:tcPr>
            <w:tcW w:w="1679" w:type="pct"/>
            <w:vAlign w:val="center"/>
          </w:tcPr>
          <w:p w14:paraId="06A3F2E9" w14:textId="77777777" w:rsidR="006F374A" w:rsidRPr="0023361F" w:rsidRDefault="006F374A" w:rsidP="006F374A">
            <w:pPr>
              <w:keepNext/>
              <w:jc w:val="left"/>
              <w:rPr>
                <w:rFonts w:ascii="Arial Narrow" w:hAnsi="Arial Narrow"/>
                <w:smallCaps/>
                <w:sz w:val="20"/>
              </w:rPr>
            </w:pPr>
            <w:r w:rsidRPr="0023361F">
              <w:rPr>
                <w:rFonts w:ascii="Arial Narrow" w:hAnsi="Arial Narrow"/>
                <w:smallCaps/>
                <w:sz w:val="20"/>
              </w:rPr>
              <w:t>Sacituzumab Govitecan</w:t>
            </w:r>
          </w:p>
          <w:p w14:paraId="5AAA9648" w14:textId="77777777" w:rsidR="006F374A" w:rsidRPr="0023361F" w:rsidRDefault="006F374A" w:rsidP="006F374A">
            <w:pPr>
              <w:keepNext/>
              <w:jc w:val="left"/>
              <w:rPr>
                <w:rFonts w:ascii="Arial Narrow" w:hAnsi="Arial Narrow"/>
                <w:sz w:val="20"/>
              </w:rPr>
            </w:pPr>
            <w:r w:rsidRPr="0023361F">
              <w:rPr>
                <w:rFonts w:ascii="Arial Narrow" w:hAnsi="Arial Narrow"/>
                <w:sz w:val="20"/>
              </w:rPr>
              <w:t>Powder for injection, 180 mg vial</w:t>
            </w:r>
          </w:p>
        </w:tc>
        <w:tc>
          <w:tcPr>
            <w:tcW w:w="595" w:type="pct"/>
            <w:vAlign w:val="center"/>
          </w:tcPr>
          <w:p w14:paraId="5D54267D" w14:textId="77777777" w:rsidR="006F374A" w:rsidRPr="0023361F" w:rsidRDefault="006F374A" w:rsidP="006F374A">
            <w:pPr>
              <w:keepNext/>
              <w:jc w:val="center"/>
              <w:rPr>
                <w:rFonts w:ascii="Arial Narrow" w:hAnsi="Arial Narrow"/>
                <w:sz w:val="20"/>
              </w:rPr>
            </w:pPr>
            <w:r w:rsidRPr="0023361F">
              <w:rPr>
                <w:rFonts w:ascii="Arial Narrow" w:hAnsi="Arial Narrow"/>
                <w:iCs/>
                <w:sz w:val="20"/>
              </w:rPr>
              <w:t>1200</w:t>
            </w:r>
            <w:r w:rsidRPr="0023361F">
              <w:rPr>
                <w:rFonts w:ascii="Arial Narrow" w:hAnsi="Arial Narrow"/>
                <w:sz w:val="20"/>
              </w:rPr>
              <w:t xml:space="preserve"> mg</w:t>
            </w:r>
          </w:p>
        </w:tc>
        <w:tc>
          <w:tcPr>
            <w:tcW w:w="715" w:type="pct"/>
            <w:vAlign w:val="center"/>
          </w:tcPr>
          <w:p w14:paraId="00557D8E" w14:textId="77777777" w:rsidR="006F374A" w:rsidRPr="0023361F" w:rsidRDefault="006F374A" w:rsidP="006F374A">
            <w:pPr>
              <w:keepNext/>
              <w:jc w:val="center"/>
              <w:rPr>
                <w:rFonts w:ascii="Arial Narrow" w:hAnsi="Arial Narrow"/>
                <w:sz w:val="20"/>
              </w:rPr>
            </w:pPr>
            <w:r w:rsidRPr="0023361F">
              <w:rPr>
                <w:rFonts w:ascii="Arial Narrow" w:hAnsi="Arial Narrow"/>
                <w:iCs/>
                <w:sz w:val="20"/>
              </w:rPr>
              <w:t xml:space="preserve">7 </w:t>
            </w:r>
            <w:r w:rsidRPr="0023361F">
              <w:rPr>
                <w:rFonts w:ascii="Arial Narrow" w:hAnsi="Arial Narrow"/>
                <w:sz w:val="20"/>
              </w:rPr>
              <w:t>initial</w:t>
            </w:r>
          </w:p>
          <w:p w14:paraId="6ABE5287" w14:textId="77777777" w:rsidR="006F374A" w:rsidRPr="0023361F" w:rsidRDefault="006F374A" w:rsidP="006F374A">
            <w:pPr>
              <w:keepNext/>
              <w:jc w:val="center"/>
              <w:rPr>
                <w:rFonts w:ascii="Arial Narrow" w:hAnsi="Arial Narrow"/>
                <w:sz w:val="20"/>
              </w:rPr>
            </w:pPr>
            <w:r w:rsidRPr="0023361F">
              <w:rPr>
                <w:rFonts w:ascii="Arial Narrow" w:hAnsi="Arial Narrow"/>
                <w:sz w:val="20"/>
              </w:rPr>
              <w:t>13 continuing</w:t>
            </w:r>
          </w:p>
        </w:tc>
        <w:tc>
          <w:tcPr>
            <w:tcW w:w="2011" w:type="pct"/>
            <w:vAlign w:val="center"/>
          </w:tcPr>
          <w:p w14:paraId="2270E9C0" w14:textId="77777777" w:rsidR="006F374A" w:rsidRPr="0023361F" w:rsidRDefault="006F374A" w:rsidP="006F374A">
            <w:pPr>
              <w:keepNext/>
              <w:jc w:val="center"/>
              <w:rPr>
                <w:rFonts w:ascii="Arial Narrow" w:hAnsi="Arial Narrow"/>
                <w:sz w:val="20"/>
              </w:rPr>
            </w:pPr>
            <w:r w:rsidRPr="0023361F">
              <w:rPr>
                <w:rFonts w:ascii="Arial Narrow" w:hAnsi="Arial Narrow"/>
                <w:sz w:val="20"/>
              </w:rPr>
              <w:t>TRODELVY</w:t>
            </w:r>
            <w:r w:rsidRPr="0023361F">
              <w:rPr>
                <w:rFonts w:ascii="Arial Narrow" w:hAnsi="Arial Narrow"/>
                <w:sz w:val="20"/>
                <w:vertAlign w:val="superscript"/>
              </w:rPr>
              <w:t>®</w:t>
            </w:r>
          </w:p>
          <w:p w14:paraId="60C43168" w14:textId="77777777" w:rsidR="006F374A" w:rsidRPr="0023361F" w:rsidRDefault="006F374A" w:rsidP="006F374A">
            <w:pPr>
              <w:keepNext/>
              <w:jc w:val="center"/>
              <w:rPr>
                <w:rFonts w:ascii="Arial Narrow" w:hAnsi="Arial Narrow"/>
                <w:sz w:val="20"/>
              </w:rPr>
            </w:pPr>
            <w:r w:rsidRPr="0023361F">
              <w:rPr>
                <w:rFonts w:ascii="Arial Narrow" w:hAnsi="Arial Narrow"/>
                <w:sz w:val="20"/>
              </w:rPr>
              <w:t>Gilead Sciences Pty Ltd</w:t>
            </w:r>
          </w:p>
        </w:tc>
      </w:tr>
    </w:tbl>
    <w:p w14:paraId="0FD0FE6D" w14:textId="77777777" w:rsidR="006F374A" w:rsidRPr="0023361F" w:rsidRDefault="006F374A" w:rsidP="006F374A">
      <w:pPr>
        <w:pStyle w:val="TableFigureFooter"/>
        <w:ind w:left="142" w:hanging="142"/>
      </w:pPr>
      <w:r w:rsidRPr="002336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33"/>
        <w:gridCol w:w="6784"/>
      </w:tblGrid>
      <w:tr w:rsidR="006F374A" w:rsidRPr="0023361F" w14:paraId="24CD70C0"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hideMark/>
          </w:tcPr>
          <w:p w14:paraId="5FBD56A4" w14:textId="77777777" w:rsidR="006F374A" w:rsidRPr="0023361F" w:rsidRDefault="006F374A" w:rsidP="006F374A">
            <w:pPr>
              <w:pStyle w:val="TableText0"/>
              <w:keepNext w:val="0"/>
            </w:pPr>
            <w:r w:rsidRPr="0023361F">
              <w:t>Category/Program:</w:t>
            </w:r>
          </w:p>
        </w:tc>
        <w:tc>
          <w:tcPr>
            <w:tcW w:w="3762" w:type="pct"/>
            <w:tcBorders>
              <w:top w:val="single" w:sz="4" w:space="0" w:color="auto"/>
              <w:left w:val="single" w:sz="4" w:space="0" w:color="auto"/>
              <w:bottom w:val="single" w:sz="4" w:space="0" w:color="auto"/>
              <w:right w:val="single" w:sz="4" w:space="0" w:color="auto"/>
            </w:tcBorders>
          </w:tcPr>
          <w:p w14:paraId="7DB1B082" w14:textId="77777777" w:rsidR="006F374A" w:rsidRPr="0023361F" w:rsidRDefault="006F374A" w:rsidP="006F374A">
            <w:pPr>
              <w:pStyle w:val="TableText0"/>
              <w:keepNext w:val="0"/>
            </w:pPr>
            <w:r w:rsidRPr="0023361F">
              <w:t>Section 100 – Efficient Funding of Chemotherapy (Private/Public Hospital codes)</w:t>
            </w:r>
          </w:p>
        </w:tc>
      </w:tr>
      <w:tr w:rsidR="006F374A" w:rsidRPr="0023361F" w14:paraId="047F5715"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hideMark/>
          </w:tcPr>
          <w:p w14:paraId="786B4399" w14:textId="77777777" w:rsidR="006F374A" w:rsidRPr="0023361F" w:rsidRDefault="006F374A" w:rsidP="006F374A">
            <w:pPr>
              <w:pStyle w:val="TableText0"/>
              <w:keepNext w:val="0"/>
            </w:pPr>
            <w:r w:rsidRPr="0023361F">
              <w:t>PBS indication:</w:t>
            </w:r>
          </w:p>
        </w:tc>
        <w:tc>
          <w:tcPr>
            <w:tcW w:w="3762" w:type="pct"/>
            <w:tcBorders>
              <w:top w:val="single" w:sz="4" w:space="0" w:color="auto"/>
              <w:left w:val="single" w:sz="4" w:space="0" w:color="auto"/>
              <w:bottom w:val="single" w:sz="4" w:space="0" w:color="auto"/>
              <w:right w:val="single" w:sz="4" w:space="0" w:color="auto"/>
            </w:tcBorders>
          </w:tcPr>
          <w:p w14:paraId="460D3A38" w14:textId="77777777" w:rsidR="006F374A" w:rsidRPr="0023361F" w:rsidRDefault="006F374A" w:rsidP="006F374A">
            <w:pPr>
              <w:pStyle w:val="TableText0"/>
              <w:keepNext w:val="0"/>
            </w:pPr>
            <w:r w:rsidRPr="0023361F">
              <w:t>Unresectable locally advanced or metastatic triple-negative breast cancer</w:t>
            </w:r>
          </w:p>
        </w:tc>
      </w:tr>
      <w:tr w:rsidR="006F374A" w:rsidRPr="0023361F" w14:paraId="5D78572C"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hideMark/>
          </w:tcPr>
          <w:p w14:paraId="243C60DA" w14:textId="77777777" w:rsidR="006F374A" w:rsidRPr="0023361F" w:rsidRDefault="006F374A" w:rsidP="006F374A">
            <w:pPr>
              <w:pStyle w:val="TableText0"/>
              <w:keepNext w:val="0"/>
            </w:pPr>
            <w:r w:rsidRPr="0023361F">
              <w:t>Treatment phase:</w:t>
            </w:r>
          </w:p>
        </w:tc>
        <w:tc>
          <w:tcPr>
            <w:tcW w:w="3762" w:type="pct"/>
            <w:tcBorders>
              <w:top w:val="single" w:sz="4" w:space="0" w:color="auto"/>
              <w:left w:val="single" w:sz="4" w:space="0" w:color="auto"/>
              <w:bottom w:val="single" w:sz="4" w:space="0" w:color="auto"/>
              <w:right w:val="single" w:sz="4" w:space="0" w:color="auto"/>
            </w:tcBorders>
          </w:tcPr>
          <w:p w14:paraId="3B5C42B8" w14:textId="77777777" w:rsidR="006F374A" w:rsidRPr="0023361F" w:rsidRDefault="006F374A" w:rsidP="006F374A">
            <w:pPr>
              <w:pStyle w:val="TableText0"/>
              <w:keepNext w:val="0"/>
            </w:pPr>
            <w:r w:rsidRPr="0023361F">
              <w:t>Initial treatment</w:t>
            </w:r>
          </w:p>
        </w:tc>
      </w:tr>
      <w:tr w:rsidR="006F374A" w:rsidRPr="0023361F" w14:paraId="65481B32"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hideMark/>
          </w:tcPr>
          <w:p w14:paraId="6CB51404" w14:textId="77777777" w:rsidR="006F374A" w:rsidRPr="0023361F" w:rsidRDefault="006F374A" w:rsidP="006F374A">
            <w:pPr>
              <w:pStyle w:val="TableText0"/>
              <w:keepNext w:val="0"/>
            </w:pPr>
            <w:r w:rsidRPr="0023361F">
              <w:t>Restriction:</w:t>
            </w:r>
          </w:p>
        </w:tc>
        <w:tc>
          <w:tcPr>
            <w:tcW w:w="3762" w:type="pct"/>
            <w:tcBorders>
              <w:top w:val="single" w:sz="4" w:space="0" w:color="auto"/>
              <w:left w:val="single" w:sz="4" w:space="0" w:color="auto"/>
              <w:bottom w:val="single" w:sz="4" w:space="0" w:color="auto"/>
              <w:right w:val="single" w:sz="4" w:space="0" w:color="auto"/>
            </w:tcBorders>
          </w:tcPr>
          <w:p w14:paraId="79CDBFE8" w14:textId="77777777" w:rsidR="006F374A" w:rsidRPr="0023361F" w:rsidRDefault="006F374A" w:rsidP="006F374A">
            <w:pPr>
              <w:pStyle w:val="TableText0"/>
              <w:keepNext w:val="0"/>
            </w:pPr>
            <w:r w:rsidRPr="0023361F">
              <w:fldChar w:fldCharType="begin">
                <w:ffData>
                  <w:name w:val="Check5"/>
                  <w:enabled/>
                  <w:calcOnExit w:val="0"/>
                  <w:checkBox>
                    <w:sizeAuto/>
                    <w:default w:val="1"/>
                  </w:checkBox>
                </w:ffData>
              </w:fldChar>
            </w:r>
            <w:r w:rsidRPr="0023361F">
              <w:instrText xml:space="preserve"> FORMCHECKBOX </w:instrText>
            </w:r>
            <w:r w:rsidR="007E1E66">
              <w:fldChar w:fldCharType="separate"/>
            </w:r>
            <w:r w:rsidRPr="0023361F">
              <w:fldChar w:fldCharType="end"/>
            </w:r>
            <w:r w:rsidRPr="0023361F">
              <w:t>Streamlined</w:t>
            </w:r>
          </w:p>
        </w:tc>
      </w:tr>
      <w:tr w:rsidR="006F374A" w:rsidRPr="0023361F" w14:paraId="04B00401"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hideMark/>
          </w:tcPr>
          <w:p w14:paraId="1A482701" w14:textId="77777777" w:rsidR="006F374A" w:rsidRPr="0023361F" w:rsidRDefault="006F374A" w:rsidP="006F374A">
            <w:pPr>
              <w:pStyle w:val="TableText0"/>
              <w:keepNext w:val="0"/>
            </w:pPr>
            <w:r w:rsidRPr="0023361F">
              <w:t>Clinical criteria:</w:t>
            </w:r>
          </w:p>
        </w:tc>
        <w:tc>
          <w:tcPr>
            <w:tcW w:w="3762" w:type="pct"/>
            <w:tcBorders>
              <w:top w:val="single" w:sz="4" w:space="0" w:color="auto"/>
              <w:left w:val="single" w:sz="4" w:space="0" w:color="auto"/>
              <w:bottom w:val="single" w:sz="4" w:space="0" w:color="auto"/>
              <w:right w:val="single" w:sz="4" w:space="0" w:color="auto"/>
            </w:tcBorders>
          </w:tcPr>
          <w:p w14:paraId="5D0D2309" w14:textId="77777777" w:rsidR="006F374A" w:rsidRPr="0023361F" w:rsidRDefault="006F374A" w:rsidP="006F374A">
            <w:pPr>
              <w:pStyle w:val="TableText0"/>
              <w:keepNext w:val="0"/>
            </w:pPr>
            <w:r w:rsidRPr="0023361F">
              <w:t xml:space="preserve">Patient must have progressive disease following two or more prior </w:t>
            </w:r>
            <w:r w:rsidRPr="0023361F">
              <w:rPr>
                <w:iCs/>
              </w:rPr>
              <w:t xml:space="preserve">systemic </w:t>
            </w:r>
            <w:r w:rsidRPr="0023361F">
              <w:t>therapies, at least one of them in the locally advanced or metastatic setting</w:t>
            </w:r>
          </w:p>
          <w:p w14:paraId="5C05E9A8" w14:textId="77777777" w:rsidR="006F374A" w:rsidRPr="0023361F" w:rsidRDefault="006F374A" w:rsidP="006F374A">
            <w:pPr>
              <w:pStyle w:val="TableText0"/>
              <w:keepNext w:val="0"/>
              <w:rPr>
                <w:iCs/>
              </w:rPr>
            </w:pPr>
            <w:r w:rsidRPr="0023361F">
              <w:rPr>
                <w:iCs/>
              </w:rPr>
              <w:t xml:space="preserve">AND </w:t>
            </w:r>
          </w:p>
          <w:p w14:paraId="69E1C69E" w14:textId="77777777" w:rsidR="006F374A" w:rsidRPr="0023361F" w:rsidRDefault="006F374A" w:rsidP="006F374A">
            <w:pPr>
              <w:pStyle w:val="TableText0"/>
              <w:keepNext w:val="0"/>
              <w:rPr>
                <w:rFonts w:cs="Arial"/>
                <w:iCs/>
                <w:szCs w:val="20"/>
              </w:rPr>
            </w:pPr>
            <w:r w:rsidRPr="0023361F">
              <w:rPr>
                <w:rFonts w:cs="Arial"/>
                <w:iCs/>
                <w:szCs w:val="20"/>
              </w:rPr>
              <w:t>The condition must be inoperable</w:t>
            </w:r>
          </w:p>
          <w:p w14:paraId="158D8D84" w14:textId="77777777" w:rsidR="006F374A" w:rsidRPr="0023361F" w:rsidRDefault="006F374A" w:rsidP="006F374A">
            <w:pPr>
              <w:pStyle w:val="TableText0"/>
              <w:keepNext w:val="0"/>
              <w:rPr>
                <w:iCs/>
              </w:rPr>
            </w:pPr>
            <w:r w:rsidRPr="0023361F">
              <w:rPr>
                <w:iCs/>
              </w:rPr>
              <w:t xml:space="preserve">AND </w:t>
            </w:r>
          </w:p>
          <w:p w14:paraId="727ACCED" w14:textId="77777777" w:rsidR="006F374A" w:rsidRPr="0023361F" w:rsidRDefault="006F374A" w:rsidP="006F374A">
            <w:pPr>
              <w:pStyle w:val="TableText0"/>
              <w:keepNext w:val="0"/>
              <w:rPr>
                <w:bCs w:val="0"/>
                <w:iCs/>
                <w:szCs w:val="20"/>
              </w:rPr>
            </w:pPr>
            <w:r w:rsidRPr="0023361F">
              <w:rPr>
                <w:bCs w:val="0"/>
                <w:iCs/>
                <w:szCs w:val="20"/>
              </w:rPr>
              <w:t>Patient must have an Eastern Cooperative Oncology Group (ECOG) performance status of 1 or less,</w:t>
            </w:r>
          </w:p>
          <w:p w14:paraId="6C14A757" w14:textId="77777777" w:rsidR="006F374A" w:rsidRPr="0023361F" w:rsidRDefault="006F374A" w:rsidP="006F374A">
            <w:pPr>
              <w:pStyle w:val="TableText0"/>
              <w:keepNext w:val="0"/>
              <w:rPr>
                <w:iCs/>
              </w:rPr>
            </w:pPr>
            <w:r w:rsidRPr="0023361F">
              <w:rPr>
                <w:iCs/>
              </w:rPr>
              <w:t xml:space="preserve">AND </w:t>
            </w:r>
          </w:p>
          <w:p w14:paraId="6F64AF8F" w14:textId="77777777" w:rsidR="006F374A" w:rsidRPr="0023361F" w:rsidRDefault="006F374A" w:rsidP="006F374A">
            <w:pPr>
              <w:pStyle w:val="TableText0"/>
              <w:keepNext w:val="0"/>
              <w:rPr>
                <w:iCs/>
              </w:rPr>
            </w:pPr>
            <w:r w:rsidRPr="0023361F">
              <w:rPr>
                <w:iCs/>
                <w:szCs w:val="20"/>
              </w:rPr>
              <w:t xml:space="preserve">The treatment must be the sole PBS-subsidised therapy for this </w:t>
            </w:r>
            <w:r>
              <w:rPr>
                <w:iCs/>
                <w:szCs w:val="20"/>
              </w:rPr>
              <w:t>PBS indication</w:t>
            </w:r>
          </w:p>
        </w:tc>
      </w:tr>
      <w:tr w:rsidR="006F374A" w:rsidRPr="0023361F" w14:paraId="21430AF6"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tcPr>
          <w:p w14:paraId="6F9641FF" w14:textId="77777777" w:rsidR="006F374A" w:rsidRPr="0023361F" w:rsidRDefault="006F374A" w:rsidP="006F374A">
            <w:pPr>
              <w:pStyle w:val="TableText0"/>
              <w:keepNext w:val="0"/>
            </w:pPr>
            <w:r w:rsidRPr="0023361F">
              <w:rPr>
                <w:szCs w:val="20"/>
              </w:rPr>
              <w:t>7606</w:t>
            </w:r>
          </w:p>
        </w:tc>
        <w:tc>
          <w:tcPr>
            <w:tcW w:w="3762" w:type="pct"/>
            <w:tcBorders>
              <w:top w:val="single" w:sz="4" w:space="0" w:color="auto"/>
              <w:left w:val="single" w:sz="4" w:space="0" w:color="auto"/>
              <w:bottom w:val="single" w:sz="4" w:space="0" w:color="auto"/>
              <w:right w:val="single" w:sz="4" w:space="0" w:color="auto"/>
            </w:tcBorders>
          </w:tcPr>
          <w:p w14:paraId="726ED735" w14:textId="77777777" w:rsidR="006F374A" w:rsidRPr="0023361F" w:rsidRDefault="006F374A" w:rsidP="006F374A">
            <w:pPr>
              <w:pStyle w:val="TableText0"/>
              <w:keepNext w:val="0"/>
            </w:pPr>
            <w:r w:rsidRPr="0023361F">
              <w:rPr>
                <w:b/>
                <w:iCs/>
                <w:szCs w:val="20"/>
              </w:rPr>
              <w:t xml:space="preserve">Administrative Advice: </w:t>
            </w:r>
            <w:r w:rsidRPr="0023361F">
              <w:rPr>
                <w:iCs/>
                <w:szCs w:val="20"/>
              </w:rPr>
              <w:t>No increase in the maximum quantity or number of units may be authorised.</w:t>
            </w:r>
          </w:p>
        </w:tc>
      </w:tr>
      <w:tr w:rsidR="006F374A" w:rsidRPr="0023361F" w14:paraId="4AF707B8"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tcPr>
          <w:p w14:paraId="240838D7" w14:textId="77777777" w:rsidR="006F374A" w:rsidRPr="0023361F" w:rsidRDefault="006F374A" w:rsidP="006F374A">
            <w:pPr>
              <w:pStyle w:val="TableText0"/>
              <w:keepNext w:val="0"/>
              <w:rPr>
                <w:szCs w:val="20"/>
              </w:rPr>
            </w:pPr>
            <w:r w:rsidRPr="0023361F">
              <w:rPr>
                <w:szCs w:val="20"/>
              </w:rPr>
              <w:t>7607</w:t>
            </w:r>
          </w:p>
        </w:tc>
        <w:tc>
          <w:tcPr>
            <w:tcW w:w="3762" w:type="pct"/>
            <w:tcBorders>
              <w:top w:val="single" w:sz="4" w:space="0" w:color="auto"/>
              <w:left w:val="single" w:sz="4" w:space="0" w:color="auto"/>
              <w:bottom w:val="single" w:sz="4" w:space="0" w:color="auto"/>
              <w:right w:val="single" w:sz="4" w:space="0" w:color="auto"/>
            </w:tcBorders>
          </w:tcPr>
          <w:p w14:paraId="6A794FCB" w14:textId="77777777" w:rsidR="006F374A" w:rsidRPr="0023361F" w:rsidRDefault="006F374A" w:rsidP="006F374A">
            <w:pPr>
              <w:rPr>
                <w:rFonts w:ascii="Arial Narrow" w:hAnsi="Arial Narrow"/>
                <w:b/>
                <w:bCs/>
                <w:iCs/>
                <w:sz w:val="20"/>
                <w:szCs w:val="20"/>
              </w:rPr>
            </w:pPr>
            <w:r w:rsidRPr="0023361F">
              <w:rPr>
                <w:rFonts w:ascii="Arial Narrow" w:hAnsi="Arial Narrow"/>
                <w:b/>
                <w:bCs/>
                <w:iCs/>
                <w:sz w:val="20"/>
                <w:szCs w:val="20"/>
              </w:rPr>
              <w:t>Administrative Advice:</w:t>
            </w:r>
            <w:r w:rsidRPr="0023361F">
              <w:rPr>
                <w:rFonts w:ascii="Arial Narrow" w:hAnsi="Arial Narrow"/>
                <w:iCs/>
                <w:sz w:val="20"/>
                <w:szCs w:val="20"/>
              </w:rPr>
              <w:t xml:space="preserve"> No increase in the maximum number of repeats may be authorised.</w:t>
            </w:r>
          </w:p>
        </w:tc>
      </w:tr>
      <w:tr w:rsidR="006F374A" w:rsidRPr="0023361F" w14:paraId="450E8F7E"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tcPr>
          <w:p w14:paraId="01F00A0B" w14:textId="77777777" w:rsidR="006F374A" w:rsidRPr="0023361F" w:rsidRDefault="006F374A" w:rsidP="006F374A">
            <w:pPr>
              <w:pStyle w:val="TableText0"/>
              <w:keepNext w:val="0"/>
              <w:rPr>
                <w:szCs w:val="20"/>
              </w:rPr>
            </w:pPr>
            <w:r w:rsidRPr="0023361F">
              <w:rPr>
                <w:szCs w:val="20"/>
              </w:rPr>
              <w:t>7608</w:t>
            </w:r>
          </w:p>
        </w:tc>
        <w:tc>
          <w:tcPr>
            <w:tcW w:w="3762" w:type="pct"/>
            <w:tcBorders>
              <w:top w:val="single" w:sz="4" w:space="0" w:color="auto"/>
              <w:left w:val="single" w:sz="4" w:space="0" w:color="auto"/>
              <w:bottom w:val="single" w:sz="4" w:space="0" w:color="auto"/>
              <w:right w:val="single" w:sz="4" w:space="0" w:color="auto"/>
            </w:tcBorders>
          </w:tcPr>
          <w:p w14:paraId="70BE068F" w14:textId="77777777" w:rsidR="006F374A" w:rsidRPr="0023361F" w:rsidRDefault="006F374A" w:rsidP="006F374A">
            <w:pPr>
              <w:rPr>
                <w:rFonts w:ascii="Arial Narrow" w:hAnsi="Arial Narrow"/>
                <w:b/>
                <w:bCs/>
                <w:iCs/>
                <w:sz w:val="20"/>
                <w:szCs w:val="20"/>
              </w:rPr>
            </w:pPr>
            <w:r w:rsidRPr="0023361F">
              <w:rPr>
                <w:rFonts w:ascii="Arial Narrow" w:hAnsi="Arial Narrow"/>
                <w:b/>
                <w:bCs/>
                <w:iCs/>
                <w:sz w:val="20"/>
                <w:szCs w:val="20"/>
              </w:rPr>
              <w:t>Administrative Advice:</w:t>
            </w:r>
            <w:r w:rsidRPr="0023361F">
              <w:rPr>
                <w:rFonts w:ascii="Arial Narrow" w:hAnsi="Arial Narrow"/>
                <w:iCs/>
                <w:sz w:val="20"/>
                <w:szCs w:val="20"/>
              </w:rPr>
              <w:t xml:space="preserve"> Special Pricing Arrangements apply.</w:t>
            </w:r>
          </w:p>
        </w:tc>
      </w:tr>
      <w:tr w:rsidR="006F374A" w:rsidRPr="0023361F" w14:paraId="20F0346C"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tcPr>
          <w:p w14:paraId="5AA3A2C6" w14:textId="77777777" w:rsidR="006F374A" w:rsidRPr="0023361F" w:rsidRDefault="006F374A" w:rsidP="006F374A">
            <w:pPr>
              <w:pStyle w:val="TableText0"/>
              <w:keepNext w:val="0"/>
              <w:rPr>
                <w:szCs w:val="20"/>
              </w:rPr>
            </w:pPr>
          </w:p>
        </w:tc>
        <w:tc>
          <w:tcPr>
            <w:tcW w:w="3762" w:type="pct"/>
            <w:tcBorders>
              <w:top w:val="single" w:sz="4" w:space="0" w:color="auto"/>
              <w:left w:val="single" w:sz="4" w:space="0" w:color="auto"/>
              <w:bottom w:val="single" w:sz="4" w:space="0" w:color="auto"/>
              <w:right w:val="single" w:sz="4" w:space="0" w:color="auto"/>
            </w:tcBorders>
          </w:tcPr>
          <w:p w14:paraId="52A86324" w14:textId="77777777" w:rsidR="006F374A" w:rsidRPr="0023361F" w:rsidRDefault="006F374A" w:rsidP="006F374A">
            <w:pPr>
              <w:rPr>
                <w:rFonts w:ascii="Arial Narrow" w:hAnsi="Arial Narrow"/>
                <w:b/>
                <w:bCs/>
                <w:iCs/>
                <w:sz w:val="20"/>
                <w:szCs w:val="20"/>
              </w:rPr>
            </w:pPr>
            <w:r w:rsidRPr="0023361F">
              <w:rPr>
                <w:rFonts w:ascii="Arial Narrow" w:hAnsi="Arial Narrow"/>
                <w:b/>
                <w:bCs/>
                <w:iCs/>
                <w:sz w:val="20"/>
                <w:szCs w:val="20"/>
              </w:rPr>
              <w:t>Caution:</w:t>
            </w:r>
            <w:r w:rsidRPr="0023361F">
              <w:rPr>
                <w:rFonts w:ascii="Arial Narrow" w:hAnsi="Arial Narrow"/>
                <w:iCs/>
                <w:sz w:val="20"/>
                <w:szCs w:val="20"/>
              </w:rPr>
              <w:t xml:space="preserve"> This medicine contains a cytotoxic component and causes chemotherapy-like toxicity, in particular, it can cause severe or life-threatening neutropenia and severe diarrhoea. For further information, refer to the Product Information.</w:t>
            </w:r>
          </w:p>
        </w:tc>
      </w:tr>
    </w:tbl>
    <w:p w14:paraId="3A17CCA1" w14:textId="77777777" w:rsidR="006F374A" w:rsidRPr="0023361F" w:rsidRDefault="006F374A" w:rsidP="006F37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33"/>
        <w:gridCol w:w="6784"/>
      </w:tblGrid>
      <w:tr w:rsidR="006F374A" w:rsidRPr="0023361F" w14:paraId="60710D2C"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hideMark/>
          </w:tcPr>
          <w:p w14:paraId="3E121B93" w14:textId="77777777" w:rsidR="006F374A" w:rsidRPr="0023361F" w:rsidRDefault="006F374A" w:rsidP="006F374A">
            <w:pPr>
              <w:pStyle w:val="TableText0"/>
            </w:pPr>
            <w:r w:rsidRPr="0023361F">
              <w:lastRenderedPageBreak/>
              <w:t>Category/Program:</w:t>
            </w:r>
          </w:p>
        </w:tc>
        <w:tc>
          <w:tcPr>
            <w:tcW w:w="3762" w:type="pct"/>
            <w:tcBorders>
              <w:top w:val="single" w:sz="4" w:space="0" w:color="auto"/>
              <w:left w:val="single" w:sz="4" w:space="0" w:color="auto"/>
              <w:bottom w:val="single" w:sz="4" w:space="0" w:color="auto"/>
              <w:right w:val="single" w:sz="4" w:space="0" w:color="auto"/>
            </w:tcBorders>
          </w:tcPr>
          <w:p w14:paraId="57B89D22" w14:textId="77777777" w:rsidR="006F374A" w:rsidRPr="0023361F" w:rsidRDefault="006F374A" w:rsidP="006F374A">
            <w:pPr>
              <w:pStyle w:val="TableText0"/>
            </w:pPr>
            <w:r w:rsidRPr="0023361F">
              <w:t>Section 100 – Efficient Funding of Chemotherapy (Private/Public Hospital codes)</w:t>
            </w:r>
          </w:p>
        </w:tc>
      </w:tr>
      <w:tr w:rsidR="006F374A" w:rsidRPr="0023361F" w14:paraId="698E9C4B"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hideMark/>
          </w:tcPr>
          <w:p w14:paraId="6C13396F" w14:textId="77777777" w:rsidR="006F374A" w:rsidRPr="0023361F" w:rsidRDefault="006F374A" w:rsidP="006F374A">
            <w:pPr>
              <w:pStyle w:val="TableText0"/>
            </w:pPr>
            <w:r w:rsidRPr="0023361F">
              <w:t>PBS indication:</w:t>
            </w:r>
          </w:p>
        </w:tc>
        <w:tc>
          <w:tcPr>
            <w:tcW w:w="3762" w:type="pct"/>
            <w:tcBorders>
              <w:top w:val="single" w:sz="4" w:space="0" w:color="auto"/>
              <w:left w:val="single" w:sz="4" w:space="0" w:color="auto"/>
              <w:bottom w:val="single" w:sz="4" w:space="0" w:color="auto"/>
              <w:right w:val="single" w:sz="4" w:space="0" w:color="auto"/>
            </w:tcBorders>
          </w:tcPr>
          <w:p w14:paraId="388F391B" w14:textId="77777777" w:rsidR="006F374A" w:rsidRPr="0023361F" w:rsidRDefault="006F374A" w:rsidP="006F374A">
            <w:pPr>
              <w:pStyle w:val="TableText0"/>
            </w:pPr>
            <w:r w:rsidRPr="0023361F">
              <w:t>Unresectable locally advanced or metastatic triple-negative breast cancer</w:t>
            </w:r>
          </w:p>
        </w:tc>
      </w:tr>
      <w:tr w:rsidR="006F374A" w:rsidRPr="0023361F" w14:paraId="5628D54D"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hideMark/>
          </w:tcPr>
          <w:p w14:paraId="1F0EE122" w14:textId="77777777" w:rsidR="006F374A" w:rsidRPr="0023361F" w:rsidRDefault="006F374A" w:rsidP="006F374A">
            <w:pPr>
              <w:pStyle w:val="TableText0"/>
            </w:pPr>
            <w:r w:rsidRPr="0023361F">
              <w:t>Treatment phase:</w:t>
            </w:r>
          </w:p>
        </w:tc>
        <w:tc>
          <w:tcPr>
            <w:tcW w:w="3762" w:type="pct"/>
            <w:tcBorders>
              <w:top w:val="single" w:sz="4" w:space="0" w:color="auto"/>
              <w:left w:val="single" w:sz="4" w:space="0" w:color="auto"/>
              <w:bottom w:val="single" w:sz="4" w:space="0" w:color="auto"/>
              <w:right w:val="single" w:sz="4" w:space="0" w:color="auto"/>
            </w:tcBorders>
          </w:tcPr>
          <w:p w14:paraId="18DFA0CF" w14:textId="77777777" w:rsidR="006F374A" w:rsidRPr="0023361F" w:rsidRDefault="006F374A" w:rsidP="006F374A">
            <w:pPr>
              <w:pStyle w:val="TableText0"/>
            </w:pPr>
            <w:r w:rsidRPr="0023361F">
              <w:t>Continuing treatment</w:t>
            </w:r>
          </w:p>
        </w:tc>
      </w:tr>
      <w:tr w:rsidR="006F374A" w:rsidRPr="0023361F" w14:paraId="0C6D85DC"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hideMark/>
          </w:tcPr>
          <w:p w14:paraId="778BDC56" w14:textId="77777777" w:rsidR="006F374A" w:rsidRPr="0023361F" w:rsidRDefault="006F374A" w:rsidP="006F374A">
            <w:pPr>
              <w:pStyle w:val="TableText0"/>
            </w:pPr>
            <w:r w:rsidRPr="0023361F">
              <w:t>Restriction:</w:t>
            </w:r>
          </w:p>
        </w:tc>
        <w:tc>
          <w:tcPr>
            <w:tcW w:w="3762" w:type="pct"/>
            <w:tcBorders>
              <w:top w:val="single" w:sz="4" w:space="0" w:color="auto"/>
              <w:left w:val="single" w:sz="4" w:space="0" w:color="auto"/>
              <w:bottom w:val="single" w:sz="4" w:space="0" w:color="auto"/>
              <w:right w:val="single" w:sz="4" w:space="0" w:color="auto"/>
            </w:tcBorders>
          </w:tcPr>
          <w:p w14:paraId="4B90C8A0" w14:textId="77777777" w:rsidR="006F374A" w:rsidRPr="0023361F" w:rsidRDefault="006F374A" w:rsidP="006F374A">
            <w:pPr>
              <w:pStyle w:val="TableText0"/>
            </w:pPr>
            <w:r w:rsidRPr="0023361F">
              <w:fldChar w:fldCharType="begin">
                <w:ffData>
                  <w:name w:val="Check5"/>
                  <w:enabled/>
                  <w:calcOnExit w:val="0"/>
                  <w:checkBox>
                    <w:sizeAuto/>
                    <w:default w:val="1"/>
                  </w:checkBox>
                </w:ffData>
              </w:fldChar>
            </w:r>
            <w:r w:rsidRPr="0023361F">
              <w:instrText xml:space="preserve"> FORMCHECKBOX </w:instrText>
            </w:r>
            <w:r w:rsidR="007E1E66">
              <w:fldChar w:fldCharType="separate"/>
            </w:r>
            <w:r w:rsidRPr="0023361F">
              <w:fldChar w:fldCharType="end"/>
            </w:r>
            <w:r w:rsidRPr="0023361F">
              <w:t>Streamlined</w:t>
            </w:r>
          </w:p>
        </w:tc>
      </w:tr>
      <w:tr w:rsidR="006F374A" w:rsidRPr="0023361F" w14:paraId="135D9C53"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hideMark/>
          </w:tcPr>
          <w:p w14:paraId="60B4F354" w14:textId="77777777" w:rsidR="006F374A" w:rsidRPr="0023361F" w:rsidRDefault="006F374A" w:rsidP="006F374A">
            <w:pPr>
              <w:pStyle w:val="TableText0"/>
            </w:pPr>
            <w:r w:rsidRPr="0023361F">
              <w:t>Clinical criteria:</w:t>
            </w:r>
          </w:p>
        </w:tc>
        <w:tc>
          <w:tcPr>
            <w:tcW w:w="3762" w:type="pct"/>
            <w:tcBorders>
              <w:top w:val="single" w:sz="4" w:space="0" w:color="auto"/>
              <w:left w:val="single" w:sz="4" w:space="0" w:color="auto"/>
              <w:bottom w:val="single" w:sz="4" w:space="0" w:color="auto"/>
              <w:right w:val="single" w:sz="4" w:space="0" w:color="auto"/>
            </w:tcBorders>
          </w:tcPr>
          <w:p w14:paraId="18E7D661" w14:textId="77777777" w:rsidR="006F374A" w:rsidRPr="0023361F" w:rsidRDefault="006F374A" w:rsidP="006F374A">
            <w:pPr>
              <w:pStyle w:val="TableText0"/>
            </w:pPr>
            <w:r w:rsidRPr="0023361F">
              <w:t>Patient must have previously received PBS-subsidised treatment with this drug for this condition</w:t>
            </w:r>
          </w:p>
          <w:p w14:paraId="1117FA31" w14:textId="77777777" w:rsidR="006F374A" w:rsidRPr="0023361F" w:rsidRDefault="006F374A" w:rsidP="006F374A">
            <w:pPr>
              <w:pStyle w:val="TableText0"/>
            </w:pPr>
            <w:r w:rsidRPr="0023361F">
              <w:t>AND</w:t>
            </w:r>
          </w:p>
          <w:p w14:paraId="5FE5F10E" w14:textId="77777777" w:rsidR="006F374A" w:rsidRPr="0023361F" w:rsidRDefault="006F374A" w:rsidP="006F374A">
            <w:pPr>
              <w:pStyle w:val="TableText0"/>
            </w:pPr>
            <w:r w:rsidRPr="0023361F">
              <w:t>Patient must not have developed disease progression while being treated with this drug for this condition</w:t>
            </w:r>
          </w:p>
        </w:tc>
      </w:tr>
      <w:tr w:rsidR="006F374A" w:rsidRPr="0023361F" w14:paraId="3143A014"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tcPr>
          <w:p w14:paraId="0942E7C2" w14:textId="77777777" w:rsidR="006F374A" w:rsidRPr="0023361F" w:rsidRDefault="006F374A" w:rsidP="006F374A">
            <w:pPr>
              <w:pStyle w:val="TableText0"/>
            </w:pPr>
            <w:r w:rsidRPr="0023361F">
              <w:rPr>
                <w:szCs w:val="20"/>
              </w:rPr>
              <w:t>7606</w:t>
            </w:r>
          </w:p>
        </w:tc>
        <w:tc>
          <w:tcPr>
            <w:tcW w:w="3762" w:type="pct"/>
            <w:tcBorders>
              <w:top w:val="single" w:sz="4" w:space="0" w:color="auto"/>
              <w:left w:val="single" w:sz="4" w:space="0" w:color="auto"/>
              <w:bottom w:val="single" w:sz="4" w:space="0" w:color="auto"/>
              <w:right w:val="single" w:sz="4" w:space="0" w:color="auto"/>
            </w:tcBorders>
          </w:tcPr>
          <w:p w14:paraId="66C1BB84" w14:textId="77777777" w:rsidR="006F374A" w:rsidRPr="0023361F" w:rsidRDefault="006F374A" w:rsidP="006F374A">
            <w:pPr>
              <w:pStyle w:val="TableText0"/>
            </w:pPr>
            <w:r w:rsidRPr="0023361F">
              <w:rPr>
                <w:b/>
                <w:iCs/>
                <w:szCs w:val="20"/>
              </w:rPr>
              <w:t xml:space="preserve">Administrative Advice: </w:t>
            </w:r>
            <w:r w:rsidRPr="0023361F">
              <w:rPr>
                <w:iCs/>
                <w:szCs w:val="20"/>
              </w:rPr>
              <w:t>No increase in the maximum quantity or number of units may be authorised.</w:t>
            </w:r>
          </w:p>
        </w:tc>
      </w:tr>
      <w:tr w:rsidR="006F374A" w:rsidRPr="0023361F" w14:paraId="11BE90EF"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tcPr>
          <w:p w14:paraId="0A60F30A" w14:textId="77777777" w:rsidR="006F374A" w:rsidRPr="0023361F" w:rsidRDefault="006F374A" w:rsidP="006F374A">
            <w:pPr>
              <w:pStyle w:val="TableText0"/>
              <w:rPr>
                <w:szCs w:val="20"/>
              </w:rPr>
            </w:pPr>
            <w:r w:rsidRPr="0023361F">
              <w:rPr>
                <w:szCs w:val="20"/>
              </w:rPr>
              <w:t>7607</w:t>
            </w:r>
          </w:p>
        </w:tc>
        <w:tc>
          <w:tcPr>
            <w:tcW w:w="3762" w:type="pct"/>
            <w:tcBorders>
              <w:top w:val="single" w:sz="4" w:space="0" w:color="auto"/>
              <w:left w:val="single" w:sz="4" w:space="0" w:color="auto"/>
              <w:bottom w:val="single" w:sz="4" w:space="0" w:color="auto"/>
              <w:right w:val="single" w:sz="4" w:space="0" w:color="auto"/>
            </w:tcBorders>
          </w:tcPr>
          <w:p w14:paraId="44587CF5" w14:textId="77777777" w:rsidR="006F374A" w:rsidRPr="0023361F" w:rsidRDefault="006F374A" w:rsidP="006F374A">
            <w:pPr>
              <w:rPr>
                <w:rFonts w:ascii="Arial Narrow" w:hAnsi="Arial Narrow"/>
                <w:b/>
                <w:bCs/>
                <w:iCs/>
                <w:sz w:val="20"/>
                <w:szCs w:val="20"/>
              </w:rPr>
            </w:pPr>
            <w:r w:rsidRPr="0023361F">
              <w:rPr>
                <w:rFonts w:ascii="Arial Narrow" w:hAnsi="Arial Narrow"/>
                <w:b/>
                <w:bCs/>
                <w:iCs/>
                <w:sz w:val="20"/>
                <w:szCs w:val="20"/>
              </w:rPr>
              <w:t>Administrative Advice:</w:t>
            </w:r>
            <w:r w:rsidRPr="0023361F">
              <w:rPr>
                <w:rFonts w:ascii="Arial Narrow" w:hAnsi="Arial Narrow"/>
                <w:iCs/>
                <w:sz w:val="20"/>
                <w:szCs w:val="20"/>
              </w:rPr>
              <w:t xml:space="preserve"> No increase in the maximum number of repeats may be authorised.</w:t>
            </w:r>
          </w:p>
        </w:tc>
      </w:tr>
      <w:tr w:rsidR="006F374A" w:rsidRPr="0023361F" w14:paraId="73113B94"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tcPr>
          <w:p w14:paraId="56CAD0B4" w14:textId="77777777" w:rsidR="006F374A" w:rsidRPr="0023361F" w:rsidRDefault="006F374A" w:rsidP="006F374A">
            <w:pPr>
              <w:pStyle w:val="TableText0"/>
              <w:rPr>
                <w:szCs w:val="20"/>
              </w:rPr>
            </w:pPr>
            <w:r w:rsidRPr="0023361F">
              <w:rPr>
                <w:szCs w:val="20"/>
              </w:rPr>
              <w:t>7608</w:t>
            </w:r>
          </w:p>
        </w:tc>
        <w:tc>
          <w:tcPr>
            <w:tcW w:w="3762" w:type="pct"/>
            <w:tcBorders>
              <w:top w:val="single" w:sz="4" w:space="0" w:color="auto"/>
              <w:left w:val="single" w:sz="4" w:space="0" w:color="auto"/>
              <w:bottom w:val="single" w:sz="4" w:space="0" w:color="auto"/>
              <w:right w:val="single" w:sz="4" w:space="0" w:color="auto"/>
            </w:tcBorders>
          </w:tcPr>
          <w:p w14:paraId="3DB565DA" w14:textId="77777777" w:rsidR="006F374A" w:rsidRPr="0023361F" w:rsidRDefault="006F374A" w:rsidP="006F374A">
            <w:pPr>
              <w:rPr>
                <w:rFonts w:ascii="Arial Narrow" w:hAnsi="Arial Narrow"/>
                <w:b/>
                <w:bCs/>
                <w:iCs/>
                <w:sz w:val="20"/>
                <w:szCs w:val="20"/>
              </w:rPr>
            </w:pPr>
            <w:r w:rsidRPr="0023361F">
              <w:rPr>
                <w:rFonts w:ascii="Arial Narrow" w:hAnsi="Arial Narrow"/>
                <w:b/>
                <w:bCs/>
                <w:iCs/>
                <w:sz w:val="20"/>
                <w:szCs w:val="20"/>
              </w:rPr>
              <w:t>Administrative Advice:</w:t>
            </w:r>
            <w:r w:rsidRPr="0023361F">
              <w:rPr>
                <w:rFonts w:ascii="Arial Narrow" w:hAnsi="Arial Narrow"/>
                <w:iCs/>
                <w:sz w:val="20"/>
                <w:szCs w:val="20"/>
              </w:rPr>
              <w:t xml:space="preserve"> Special Pricing Arrangements apply.</w:t>
            </w:r>
          </w:p>
        </w:tc>
      </w:tr>
      <w:tr w:rsidR="006F374A" w:rsidRPr="0023361F" w14:paraId="713480DA"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tcPr>
          <w:p w14:paraId="77277F5E" w14:textId="77777777" w:rsidR="006F374A" w:rsidRPr="0023361F" w:rsidRDefault="006F374A" w:rsidP="006F374A">
            <w:pPr>
              <w:pStyle w:val="TableText0"/>
              <w:rPr>
                <w:szCs w:val="20"/>
                <w:highlight w:val="yellow"/>
              </w:rPr>
            </w:pPr>
          </w:p>
        </w:tc>
        <w:tc>
          <w:tcPr>
            <w:tcW w:w="3762" w:type="pct"/>
            <w:tcBorders>
              <w:top w:val="single" w:sz="4" w:space="0" w:color="auto"/>
              <w:left w:val="single" w:sz="4" w:space="0" w:color="auto"/>
              <w:bottom w:val="single" w:sz="4" w:space="0" w:color="auto"/>
              <w:right w:val="single" w:sz="4" w:space="0" w:color="auto"/>
            </w:tcBorders>
          </w:tcPr>
          <w:p w14:paraId="414E3AD9" w14:textId="77777777" w:rsidR="006F374A" w:rsidRPr="0023361F" w:rsidRDefault="006F374A" w:rsidP="006F374A">
            <w:pPr>
              <w:rPr>
                <w:rFonts w:ascii="Arial Narrow" w:hAnsi="Arial Narrow"/>
                <w:b/>
                <w:bCs/>
                <w:iCs/>
                <w:sz w:val="20"/>
                <w:szCs w:val="20"/>
                <w:highlight w:val="yellow"/>
              </w:rPr>
            </w:pPr>
            <w:r w:rsidRPr="0023361F">
              <w:rPr>
                <w:rFonts w:ascii="Arial Narrow" w:hAnsi="Arial Narrow"/>
                <w:b/>
                <w:bCs/>
                <w:iCs/>
                <w:sz w:val="20"/>
                <w:szCs w:val="20"/>
              </w:rPr>
              <w:t>Caution:</w:t>
            </w:r>
            <w:r w:rsidRPr="0023361F">
              <w:rPr>
                <w:rFonts w:ascii="Arial Narrow" w:hAnsi="Arial Narrow"/>
                <w:iCs/>
                <w:sz w:val="20"/>
                <w:szCs w:val="20"/>
              </w:rPr>
              <w:t xml:space="preserve"> This medicine contains a cytotoxic component and causes chemotherapy-like toxicity, in particular, it can cause severe or life-threatening neutropenia and severe diarrhoea. For further information, refer to the Product Information.</w:t>
            </w:r>
          </w:p>
        </w:tc>
      </w:tr>
    </w:tbl>
    <w:p w14:paraId="06402C3A" w14:textId="77777777" w:rsidR="006F374A" w:rsidRPr="0023361F" w:rsidRDefault="006F374A" w:rsidP="006F37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33"/>
        <w:gridCol w:w="6784"/>
      </w:tblGrid>
      <w:tr w:rsidR="006F374A" w:rsidRPr="0023361F" w14:paraId="253C0A9B"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hideMark/>
          </w:tcPr>
          <w:p w14:paraId="66ED5874" w14:textId="77777777" w:rsidR="006F374A" w:rsidRPr="0023361F" w:rsidRDefault="006F374A" w:rsidP="006F374A">
            <w:pPr>
              <w:pStyle w:val="TableText0"/>
              <w:keepNext w:val="0"/>
            </w:pPr>
            <w:r w:rsidRPr="0023361F">
              <w:t>Category/Program:</w:t>
            </w:r>
          </w:p>
        </w:tc>
        <w:tc>
          <w:tcPr>
            <w:tcW w:w="3762" w:type="pct"/>
            <w:tcBorders>
              <w:top w:val="single" w:sz="4" w:space="0" w:color="auto"/>
              <w:left w:val="single" w:sz="4" w:space="0" w:color="auto"/>
              <w:bottom w:val="single" w:sz="4" w:space="0" w:color="auto"/>
              <w:right w:val="single" w:sz="4" w:space="0" w:color="auto"/>
            </w:tcBorders>
          </w:tcPr>
          <w:p w14:paraId="3A673A80" w14:textId="77777777" w:rsidR="006F374A" w:rsidRPr="0023361F" w:rsidRDefault="006F374A" w:rsidP="006F374A">
            <w:pPr>
              <w:pStyle w:val="TableText0"/>
              <w:keepNext w:val="0"/>
            </w:pPr>
            <w:r w:rsidRPr="0023361F">
              <w:t>Section 100 – Efficient Funding of Chemotherapy (Private/Public Hospital codes)</w:t>
            </w:r>
          </w:p>
        </w:tc>
      </w:tr>
      <w:tr w:rsidR="006F374A" w:rsidRPr="0023361F" w14:paraId="1A08ECB9"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hideMark/>
          </w:tcPr>
          <w:p w14:paraId="0B6FA870" w14:textId="77777777" w:rsidR="006F374A" w:rsidRPr="0023361F" w:rsidRDefault="006F374A" w:rsidP="006F374A">
            <w:pPr>
              <w:pStyle w:val="TableText0"/>
              <w:keepNext w:val="0"/>
            </w:pPr>
            <w:r w:rsidRPr="0023361F">
              <w:t>PBS indication:</w:t>
            </w:r>
          </w:p>
        </w:tc>
        <w:tc>
          <w:tcPr>
            <w:tcW w:w="3762" w:type="pct"/>
            <w:tcBorders>
              <w:top w:val="single" w:sz="4" w:space="0" w:color="auto"/>
              <w:left w:val="single" w:sz="4" w:space="0" w:color="auto"/>
              <w:bottom w:val="single" w:sz="4" w:space="0" w:color="auto"/>
              <w:right w:val="single" w:sz="4" w:space="0" w:color="auto"/>
            </w:tcBorders>
          </w:tcPr>
          <w:p w14:paraId="559D9924" w14:textId="77777777" w:rsidR="006F374A" w:rsidRPr="0023361F" w:rsidRDefault="006F374A" w:rsidP="006F374A">
            <w:pPr>
              <w:pStyle w:val="TableText0"/>
              <w:keepNext w:val="0"/>
            </w:pPr>
            <w:r w:rsidRPr="0023361F">
              <w:t>Unresectable locally advanced or metastatic triple-negative breast cancer</w:t>
            </w:r>
          </w:p>
        </w:tc>
      </w:tr>
      <w:tr w:rsidR="006F374A" w:rsidRPr="0023361F" w14:paraId="3045AA4F"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hideMark/>
          </w:tcPr>
          <w:p w14:paraId="636E253C" w14:textId="77777777" w:rsidR="006F374A" w:rsidRPr="0023361F" w:rsidRDefault="006F374A" w:rsidP="006F374A">
            <w:pPr>
              <w:pStyle w:val="TableText0"/>
              <w:keepNext w:val="0"/>
            </w:pPr>
            <w:r w:rsidRPr="0023361F">
              <w:t>Treatment phase:</w:t>
            </w:r>
          </w:p>
        </w:tc>
        <w:tc>
          <w:tcPr>
            <w:tcW w:w="3762" w:type="pct"/>
            <w:tcBorders>
              <w:top w:val="single" w:sz="4" w:space="0" w:color="auto"/>
              <w:left w:val="single" w:sz="4" w:space="0" w:color="auto"/>
              <w:bottom w:val="single" w:sz="4" w:space="0" w:color="auto"/>
              <w:right w:val="single" w:sz="4" w:space="0" w:color="auto"/>
            </w:tcBorders>
          </w:tcPr>
          <w:p w14:paraId="13975933" w14:textId="77777777" w:rsidR="006F374A" w:rsidRPr="0023361F" w:rsidRDefault="006F374A" w:rsidP="006F374A">
            <w:pPr>
              <w:pStyle w:val="TableText0"/>
              <w:keepNext w:val="0"/>
            </w:pPr>
            <w:r w:rsidRPr="0023361F">
              <w:rPr>
                <w:bCs w:val="0"/>
                <w:szCs w:val="20"/>
              </w:rPr>
              <w:t xml:space="preserve">Transitioning from non-PBS to PBS-subsidised supply – </w:t>
            </w:r>
            <w:r w:rsidRPr="0023361F">
              <w:t>Grandfather treatment</w:t>
            </w:r>
            <w:r w:rsidRPr="0023361F">
              <w:rPr>
                <w:strike/>
              </w:rPr>
              <w:t xml:space="preserve"> </w:t>
            </w:r>
          </w:p>
        </w:tc>
      </w:tr>
      <w:tr w:rsidR="006F374A" w:rsidRPr="0023361F" w14:paraId="63CA1D65"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hideMark/>
          </w:tcPr>
          <w:p w14:paraId="7BA355B0" w14:textId="77777777" w:rsidR="006F374A" w:rsidRPr="0023361F" w:rsidRDefault="006F374A" w:rsidP="006F374A">
            <w:pPr>
              <w:pStyle w:val="TableText0"/>
              <w:keepNext w:val="0"/>
            </w:pPr>
            <w:r w:rsidRPr="0023361F">
              <w:t>Restriction:</w:t>
            </w:r>
          </w:p>
        </w:tc>
        <w:tc>
          <w:tcPr>
            <w:tcW w:w="3762" w:type="pct"/>
            <w:tcBorders>
              <w:top w:val="single" w:sz="4" w:space="0" w:color="auto"/>
              <w:left w:val="single" w:sz="4" w:space="0" w:color="auto"/>
              <w:bottom w:val="single" w:sz="4" w:space="0" w:color="auto"/>
              <w:right w:val="single" w:sz="4" w:space="0" w:color="auto"/>
            </w:tcBorders>
          </w:tcPr>
          <w:p w14:paraId="441B3B98" w14:textId="77777777" w:rsidR="006F374A" w:rsidRPr="0023361F" w:rsidRDefault="006F374A" w:rsidP="006F374A">
            <w:pPr>
              <w:pStyle w:val="TableText0"/>
              <w:keepNext w:val="0"/>
            </w:pPr>
            <w:r w:rsidRPr="0023361F">
              <w:fldChar w:fldCharType="begin">
                <w:ffData>
                  <w:name w:val="Check5"/>
                  <w:enabled/>
                  <w:calcOnExit w:val="0"/>
                  <w:checkBox>
                    <w:sizeAuto/>
                    <w:default w:val="1"/>
                  </w:checkBox>
                </w:ffData>
              </w:fldChar>
            </w:r>
            <w:r w:rsidRPr="0023361F">
              <w:instrText xml:space="preserve"> FORMCHECKBOX </w:instrText>
            </w:r>
            <w:r w:rsidR="007E1E66">
              <w:fldChar w:fldCharType="separate"/>
            </w:r>
            <w:r w:rsidRPr="0023361F">
              <w:fldChar w:fldCharType="end"/>
            </w:r>
            <w:r w:rsidRPr="0023361F">
              <w:t>Streamlined</w:t>
            </w:r>
          </w:p>
        </w:tc>
      </w:tr>
      <w:tr w:rsidR="006F374A" w:rsidRPr="0023361F" w14:paraId="03DE5BF4"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hideMark/>
          </w:tcPr>
          <w:p w14:paraId="5BD68A1A" w14:textId="77777777" w:rsidR="006F374A" w:rsidRPr="0023361F" w:rsidRDefault="006F374A" w:rsidP="006F374A">
            <w:pPr>
              <w:pStyle w:val="TableText0"/>
              <w:keepNext w:val="0"/>
            </w:pPr>
            <w:r w:rsidRPr="0023361F">
              <w:t>Clinical criteria:</w:t>
            </w:r>
          </w:p>
        </w:tc>
        <w:tc>
          <w:tcPr>
            <w:tcW w:w="3762" w:type="pct"/>
            <w:tcBorders>
              <w:top w:val="single" w:sz="4" w:space="0" w:color="auto"/>
              <w:left w:val="single" w:sz="4" w:space="0" w:color="auto"/>
              <w:bottom w:val="single" w:sz="4" w:space="0" w:color="auto"/>
              <w:right w:val="single" w:sz="4" w:space="0" w:color="auto"/>
            </w:tcBorders>
          </w:tcPr>
          <w:p w14:paraId="507CDC30" w14:textId="77777777" w:rsidR="006F374A" w:rsidRPr="0023361F" w:rsidRDefault="006F374A" w:rsidP="006F374A">
            <w:pPr>
              <w:pStyle w:val="TableText0"/>
              <w:keepNext w:val="0"/>
            </w:pPr>
            <w:r w:rsidRPr="0023361F">
              <w:t xml:space="preserve">Patient must have received treatment with this drug for this </w:t>
            </w:r>
            <w:r w:rsidRPr="0023361F">
              <w:rPr>
                <w:iCs/>
              </w:rPr>
              <w:t xml:space="preserve">PBS indication </w:t>
            </w:r>
            <w:r w:rsidRPr="0023361F">
              <w:t>prior to [PBS listing date]</w:t>
            </w:r>
          </w:p>
          <w:p w14:paraId="611807FC" w14:textId="77777777" w:rsidR="006F374A" w:rsidRPr="0023361F" w:rsidRDefault="006F374A" w:rsidP="006F374A">
            <w:pPr>
              <w:pStyle w:val="TableText0"/>
              <w:keepNext w:val="0"/>
            </w:pPr>
            <w:r w:rsidRPr="0023361F">
              <w:t>AND</w:t>
            </w:r>
          </w:p>
          <w:p w14:paraId="71F7339F" w14:textId="77777777" w:rsidR="006F374A" w:rsidRPr="0023361F" w:rsidRDefault="006F374A" w:rsidP="006F374A">
            <w:pPr>
              <w:pStyle w:val="TableText0"/>
              <w:keepNext w:val="0"/>
            </w:pPr>
            <w:r w:rsidRPr="0023361F">
              <w:t>Patient must not have developed disease progression while being treated with this drug for this condition</w:t>
            </w:r>
          </w:p>
          <w:p w14:paraId="33845C3D" w14:textId="77777777" w:rsidR="006F374A" w:rsidRPr="0023361F" w:rsidRDefault="006F374A" w:rsidP="006F374A">
            <w:pPr>
              <w:pStyle w:val="TableText0"/>
              <w:keepNext w:val="0"/>
            </w:pPr>
            <w:r w:rsidRPr="0023361F">
              <w:t>AND</w:t>
            </w:r>
          </w:p>
          <w:p w14:paraId="77D36533" w14:textId="77777777" w:rsidR="006F374A" w:rsidRPr="0023361F" w:rsidRDefault="006F374A" w:rsidP="006F374A">
            <w:pPr>
              <w:pStyle w:val="TableText0"/>
              <w:keepNext w:val="0"/>
            </w:pPr>
            <w:r w:rsidRPr="0023361F">
              <w:rPr>
                <w:bCs w:val="0"/>
                <w:iCs/>
                <w:szCs w:val="20"/>
              </w:rPr>
              <w:t xml:space="preserve">Patient must have an Eastern Cooperative Oncology Group (ECOG) performance status of 1 or less, </w:t>
            </w:r>
            <w:r w:rsidRPr="0023361F">
              <w:rPr>
                <w:iCs/>
                <w:szCs w:val="20"/>
              </w:rPr>
              <w:t>prior to initiation of non-PBS subsidised treatment with this drug for this condition</w:t>
            </w:r>
            <w:r w:rsidRPr="0023361F">
              <w:rPr>
                <w:szCs w:val="20"/>
              </w:rPr>
              <w:t>.</w:t>
            </w:r>
          </w:p>
        </w:tc>
      </w:tr>
      <w:tr w:rsidR="006F374A" w:rsidRPr="0023361F" w14:paraId="77EAD4DC"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tcPr>
          <w:p w14:paraId="047A4E06" w14:textId="77777777" w:rsidR="006F374A" w:rsidRPr="0023361F" w:rsidRDefault="006F374A" w:rsidP="006F374A">
            <w:pPr>
              <w:pStyle w:val="TableText0"/>
              <w:keepNext w:val="0"/>
              <w:rPr>
                <w:szCs w:val="20"/>
              </w:rPr>
            </w:pPr>
            <w:r w:rsidRPr="0023361F">
              <w:rPr>
                <w:szCs w:val="20"/>
              </w:rPr>
              <w:t>7608</w:t>
            </w:r>
          </w:p>
        </w:tc>
        <w:tc>
          <w:tcPr>
            <w:tcW w:w="3762" w:type="pct"/>
            <w:tcBorders>
              <w:top w:val="single" w:sz="4" w:space="0" w:color="auto"/>
              <w:left w:val="single" w:sz="4" w:space="0" w:color="auto"/>
              <w:bottom w:val="single" w:sz="4" w:space="0" w:color="auto"/>
              <w:right w:val="single" w:sz="4" w:space="0" w:color="auto"/>
            </w:tcBorders>
          </w:tcPr>
          <w:p w14:paraId="6310005D" w14:textId="77777777" w:rsidR="006F374A" w:rsidRPr="0023361F" w:rsidRDefault="006F374A" w:rsidP="006F374A">
            <w:pPr>
              <w:rPr>
                <w:rFonts w:ascii="Arial Narrow" w:hAnsi="Arial Narrow"/>
                <w:b/>
                <w:bCs/>
                <w:iCs/>
                <w:sz w:val="20"/>
                <w:szCs w:val="20"/>
              </w:rPr>
            </w:pPr>
            <w:r w:rsidRPr="0023361F">
              <w:rPr>
                <w:rFonts w:ascii="Arial Narrow" w:hAnsi="Arial Narrow"/>
                <w:b/>
                <w:bCs/>
                <w:iCs/>
                <w:sz w:val="20"/>
                <w:szCs w:val="20"/>
              </w:rPr>
              <w:t>Administrative Advice:</w:t>
            </w:r>
            <w:r w:rsidRPr="0023361F">
              <w:rPr>
                <w:rFonts w:ascii="Arial Narrow" w:hAnsi="Arial Narrow"/>
                <w:iCs/>
                <w:sz w:val="20"/>
                <w:szCs w:val="20"/>
              </w:rPr>
              <w:t xml:space="preserve"> Special Pricing Arrangements apply.</w:t>
            </w:r>
          </w:p>
        </w:tc>
      </w:tr>
      <w:tr w:rsidR="006F374A" w:rsidRPr="0023361F" w14:paraId="38DF2A24"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vAlign w:val="center"/>
          </w:tcPr>
          <w:p w14:paraId="06F4FD67" w14:textId="77777777" w:rsidR="006F374A" w:rsidRPr="0023361F" w:rsidRDefault="006F374A" w:rsidP="006F374A">
            <w:pPr>
              <w:pStyle w:val="TableText0"/>
              <w:keepNext w:val="0"/>
              <w:rPr>
                <w:szCs w:val="20"/>
              </w:rPr>
            </w:pPr>
            <w:r w:rsidRPr="0023361F">
              <w:rPr>
                <w:szCs w:val="20"/>
              </w:rPr>
              <w:t>17098</w:t>
            </w:r>
          </w:p>
        </w:tc>
        <w:tc>
          <w:tcPr>
            <w:tcW w:w="3762" w:type="pct"/>
            <w:tcBorders>
              <w:top w:val="single" w:sz="4" w:space="0" w:color="auto"/>
              <w:left w:val="single" w:sz="4" w:space="0" w:color="auto"/>
              <w:bottom w:val="single" w:sz="4" w:space="0" w:color="auto"/>
              <w:right w:val="single" w:sz="4" w:space="0" w:color="auto"/>
            </w:tcBorders>
            <w:vAlign w:val="center"/>
          </w:tcPr>
          <w:p w14:paraId="7FAA0718" w14:textId="77777777" w:rsidR="006F374A" w:rsidRPr="0023361F" w:rsidRDefault="006F374A" w:rsidP="006F374A">
            <w:pPr>
              <w:rPr>
                <w:rFonts w:ascii="Arial Narrow" w:hAnsi="Arial Narrow"/>
                <w:b/>
                <w:bCs/>
                <w:iCs/>
                <w:sz w:val="20"/>
                <w:szCs w:val="20"/>
              </w:rPr>
            </w:pPr>
            <w:r w:rsidRPr="0023361F">
              <w:rPr>
                <w:b/>
                <w:bCs/>
                <w:sz w:val="20"/>
                <w:szCs w:val="20"/>
              </w:rPr>
              <w:t xml:space="preserve">Administrative Advice: </w:t>
            </w:r>
            <w:r w:rsidRPr="0023361F">
              <w:rPr>
                <w:rFonts w:ascii="Arial Narrow" w:eastAsiaTheme="majorEastAsia" w:hAnsi="Arial Narrow" w:cstheme="majorBidi"/>
                <w:bCs/>
                <w:sz w:val="20"/>
              </w:rPr>
              <w:t>Patients may qualify for PBS-subsidised treatment under this restriction once only. For continuing PBS-subsidised treatment, a 'Grandfathered' patient must qualify under the 'Continuing treatment' criteria.</w:t>
            </w:r>
          </w:p>
        </w:tc>
      </w:tr>
      <w:tr w:rsidR="006F374A" w:rsidRPr="0023361F" w14:paraId="606823D2"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tcPr>
          <w:p w14:paraId="64607BD2" w14:textId="77777777" w:rsidR="006F374A" w:rsidRPr="0023361F" w:rsidRDefault="006F374A" w:rsidP="006F374A">
            <w:pPr>
              <w:pStyle w:val="TableText0"/>
              <w:keepNext w:val="0"/>
              <w:rPr>
                <w:szCs w:val="20"/>
              </w:rPr>
            </w:pPr>
            <w:r w:rsidRPr="0023361F">
              <w:rPr>
                <w:bCs w:val="0"/>
                <w:szCs w:val="20"/>
              </w:rPr>
              <w:t>25398</w:t>
            </w:r>
          </w:p>
        </w:tc>
        <w:tc>
          <w:tcPr>
            <w:tcW w:w="3762" w:type="pct"/>
            <w:tcBorders>
              <w:top w:val="single" w:sz="4" w:space="0" w:color="auto"/>
              <w:left w:val="single" w:sz="4" w:space="0" w:color="auto"/>
              <w:bottom w:val="single" w:sz="4" w:space="0" w:color="auto"/>
              <w:right w:val="single" w:sz="4" w:space="0" w:color="auto"/>
            </w:tcBorders>
          </w:tcPr>
          <w:p w14:paraId="647B11D6" w14:textId="77777777" w:rsidR="006F374A" w:rsidRPr="0023361F" w:rsidRDefault="006F374A" w:rsidP="006F374A">
            <w:pPr>
              <w:rPr>
                <w:b/>
                <w:bCs/>
                <w:sz w:val="20"/>
                <w:szCs w:val="20"/>
              </w:rPr>
            </w:pPr>
            <w:r w:rsidRPr="0023361F">
              <w:rPr>
                <w:rFonts w:ascii="Arial Narrow" w:hAnsi="Arial Narrow"/>
                <w:b/>
                <w:bCs/>
                <w:sz w:val="20"/>
                <w:szCs w:val="20"/>
              </w:rPr>
              <w:t xml:space="preserve">Administrative advice: </w:t>
            </w:r>
            <w:r w:rsidRPr="0023361F">
              <w:rPr>
                <w:rFonts w:ascii="Arial Narrow" w:eastAsia="Calibri" w:hAnsi="Arial Narrow" w:cstheme="minorHAnsi"/>
                <w:sz w:val="20"/>
                <w:szCs w:val="20"/>
              </w:rPr>
              <w:t xml:space="preserve">This grandfather restriction will cease to operate from </w:t>
            </w:r>
            <w:r w:rsidRPr="0023361F">
              <w:rPr>
                <w:rFonts w:ascii="Arial Narrow" w:hAnsi="Arial Narrow"/>
                <w:bCs/>
                <w:sz w:val="20"/>
                <w:szCs w:val="20"/>
              </w:rPr>
              <w:t>12 months after the date specified in the clinical criteria.</w:t>
            </w:r>
          </w:p>
        </w:tc>
      </w:tr>
      <w:tr w:rsidR="006F374A" w:rsidRPr="0023361F" w14:paraId="38F01CED" w14:textId="77777777" w:rsidTr="006F374A">
        <w:trPr>
          <w:trHeight w:val="20"/>
        </w:trPr>
        <w:tc>
          <w:tcPr>
            <w:tcW w:w="1238" w:type="pct"/>
            <w:tcBorders>
              <w:top w:val="single" w:sz="4" w:space="0" w:color="auto"/>
              <w:left w:val="single" w:sz="4" w:space="0" w:color="auto"/>
              <w:bottom w:val="single" w:sz="4" w:space="0" w:color="auto"/>
              <w:right w:val="single" w:sz="4" w:space="0" w:color="auto"/>
            </w:tcBorders>
            <w:vAlign w:val="center"/>
          </w:tcPr>
          <w:p w14:paraId="16330A68" w14:textId="77777777" w:rsidR="006F374A" w:rsidRPr="0023361F" w:rsidRDefault="006F374A" w:rsidP="006F374A">
            <w:pPr>
              <w:pStyle w:val="TableText0"/>
              <w:keepNext w:val="0"/>
              <w:rPr>
                <w:szCs w:val="20"/>
              </w:rPr>
            </w:pPr>
            <w:r w:rsidRPr="0023361F">
              <w:rPr>
                <w:szCs w:val="20"/>
              </w:rPr>
              <w:t>NEW</w:t>
            </w:r>
          </w:p>
        </w:tc>
        <w:tc>
          <w:tcPr>
            <w:tcW w:w="3762" w:type="pct"/>
            <w:tcBorders>
              <w:top w:val="single" w:sz="4" w:space="0" w:color="auto"/>
              <w:left w:val="single" w:sz="4" w:space="0" w:color="auto"/>
              <w:bottom w:val="single" w:sz="4" w:space="0" w:color="auto"/>
              <w:right w:val="single" w:sz="4" w:space="0" w:color="auto"/>
            </w:tcBorders>
            <w:vAlign w:val="center"/>
          </w:tcPr>
          <w:p w14:paraId="3F22E676" w14:textId="77777777" w:rsidR="006F374A" w:rsidRPr="0023361F" w:rsidRDefault="006F374A" w:rsidP="006F374A">
            <w:pPr>
              <w:rPr>
                <w:rFonts w:ascii="Arial Narrow" w:hAnsi="Arial Narrow"/>
                <w:b/>
                <w:bCs/>
                <w:sz w:val="20"/>
                <w:szCs w:val="20"/>
              </w:rPr>
            </w:pPr>
            <w:r w:rsidRPr="0023361F">
              <w:rPr>
                <w:rFonts w:ascii="Arial Narrow" w:hAnsi="Arial Narrow"/>
                <w:b/>
                <w:bCs/>
                <w:sz w:val="20"/>
                <w:szCs w:val="20"/>
              </w:rPr>
              <w:t>Caution:</w:t>
            </w:r>
            <w:r w:rsidRPr="0023361F">
              <w:rPr>
                <w:rFonts w:ascii="Arial Narrow" w:hAnsi="Arial Narrow"/>
                <w:sz w:val="20"/>
                <w:szCs w:val="20"/>
              </w:rPr>
              <w:t xml:space="preserve"> This medicine contains a cytotoxic component and causes chemotherapy-like toxicity, in particular, it can cause severe or life-threatening neutropenia and severe diarrhoea. For further information, refer to the Product Information.</w:t>
            </w:r>
          </w:p>
        </w:tc>
      </w:tr>
    </w:tbl>
    <w:p w14:paraId="6E9284B0" w14:textId="77777777" w:rsidR="006F374A" w:rsidRDefault="006F374A" w:rsidP="006F374A">
      <w:pPr>
        <w:spacing w:after="120"/>
        <w:rPr>
          <w:rFonts w:asciiTheme="minorHAnsi" w:hAnsiTheme="minorHAnsi" w:cstheme="minorHAnsi"/>
          <w:highlight w:val="yellow"/>
        </w:rPr>
      </w:pPr>
    </w:p>
    <w:p w14:paraId="05F956EB" w14:textId="77777777" w:rsidR="006F374A" w:rsidRDefault="006F374A" w:rsidP="006F374A">
      <w:pPr>
        <w:jc w:val="left"/>
        <w:rPr>
          <w:b/>
        </w:rPr>
      </w:pPr>
      <w:r>
        <w:rPr>
          <w:b/>
          <w:i/>
        </w:rPr>
        <w:t>This restriction may be subject to further review. Should there be any changes made to the restriction the sponsor will be informed.</w:t>
      </w:r>
    </w:p>
    <w:p w14:paraId="763170D9" w14:textId="7F0095A5" w:rsidR="00DA6F5E" w:rsidRPr="00922C5E" w:rsidRDefault="00DA6F5E" w:rsidP="00D927AA">
      <w:pPr>
        <w:contextualSpacing/>
      </w:pPr>
    </w:p>
    <w:p w14:paraId="588B7AF5" w14:textId="371C5FCB" w:rsidR="00922C5E" w:rsidRPr="00922C5E" w:rsidRDefault="00922C5E" w:rsidP="00922C5E">
      <w:pPr>
        <w:pStyle w:val="2-SectionHeading"/>
        <w:rPr>
          <w:bCs/>
          <w:lang w:val="en-GB"/>
        </w:rPr>
      </w:pPr>
      <w:r w:rsidRPr="00922C5E">
        <w:t>Context for Decision</w:t>
      </w:r>
    </w:p>
    <w:p w14:paraId="79F8F280" w14:textId="77777777" w:rsidR="00922C5E" w:rsidRDefault="00922C5E" w:rsidP="00922C5E">
      <w:pPr>
        <w:spacing w:after="120"/>
        <w:ind w:left="426"/>
        <w:rPr>
          <w:rFonts w:asciiTheme="minorHAnsi" w:hAnsiTheme="minorHAnsi"/>
          <w:bCs/>
          <w:lang w:val="en-GB"/>
        </w:rPr>
      </w:pPr>
      <w:r>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w:t>
      </w:r>
      <w:r>
        <w:rPr>
          <w:rFonts w:asciiTheme="minorHAnsi" w:hAnsiTheme="minorHAnsi"/>
          <w:bCs/>
          <w:lang w:val="en-GB"/>
        </w:rPr>
        <w:lastRenderedPageBreak/>
        <w:t>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E7C0F1C" w14:textId="56843FF5" w:rsidR="00922C5E" w:rsidRDefault="00922C5E" w:rsidP="00922C5E">
      <w:pPr>
        <w:pStyle w:val="2-SectionHeading"/>
        <w:rPr>
          <w:rFonts w:cstheme="minorBidi"/>
        </w:rPr>
      </w:pPr>
      <w:r>
        <w:t>Sponsor’s Comment</w:t>
      </w:r>
    </w:p>
    <w:p w14:paraId="729AC411" w14:textId="77777777" w:rsidR="00922C5E" w:rsidRDefault="00922C5E" w:rsidP="00922C5E">
      <w:pPr>
        <w:spacing w:after="120"/>
        <w:ind w:left="426"/>
        <w:rPr>
          <w:rFonts w:asciiTheme="minorHAnsi" w:hAnsiTheme="minorHAnsi"/>
          <w:bCs/>
          <w:szCs w:val="22"/>
        </w:rPr>
      </w:pPr>
      <w:r>
        <w:rPr>
          <w:rFonts w:asciiTheme="minorHAnsi" w:hAnsiTheme="minorHAnsi"/>
          <w:bCs/>
        </w:rPr>
        <w:t>The sponsor had no comment.</w:t>
      </w:r>
    </w:p>
    <w:p w14:paraId="5479E9D4" w14:textId="77777777" w:rsidR="00922C5E" w:rsidRPr="00457FD3" w:rsidRDefault="00922C5E" w:rsidP="00D927AA">
      <w:pPr>
        <w:contextualSpacing/>
      </w:pPr>
    </w:p>
    <w:sectPr w:rsidR="00922C5E" w:rsidRPr="00457FD3" w:rsidSect="00A173AE">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40328" w14:textId="77777777" w:rsidR="00A90B45" w:rsidRDefault="00A90B45" w:rsidP="00124A51">
      <w:r>
        <w:separator/>
      </w:r>
    </w:p>
    <w:p w14:paraId="6B29E39B" w14:textId="77777777" w:rsidR="00A90B45" w:rsidRDefault="00A90B45"/>
  </w:endnote>
  <w:endnote w:type="continuationSeparator" w:id="0">
    <w:p w14:paraId="412CB0B4" w14:textId="77777777" w:rsidR="00A90B45" w:rsidRDefault="00A90B45" w:rsidP="00124A51">
      <w:r>
        <w:continuationSeparator/>
      </w:r>
    </w:p>
    <w:p w14:paraId="6A83D07D" w14:textId="77777777" w:rsidR="00A90B45" w:rsidRDefault="00A90B45"/>
  </w:endnote>
  <w:endnote w:type="continuationNotice" w:id="1">
    <w:p w14:paraId="4D1F9BD8" w14:textId="77777777" w:rsidR="00A90B45" w:rsidRDefault="00A90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abon">
    <w:altName w:val="Constantia"/>
    <w:charset w:val="00"/>
    <w:family w:val="roman"/>
    <w:pitch w:val="variable"/>
    <w:sig w:usb0="00000001"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73245" w14:textId="77777777" w:rsidR="00B6129C" w:rsidRDefault="00B61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2" w:name="_Hlk76375156"/>
  <w:p w14:paraId="734BC3A4" w14:textId="5CBEF317" w:rsidR="00A90B45" w:rsidRPr="00F90A91" w:rsidRDefault="00A90B45" w:rsidP="00457FD3">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Pr>
        <w:b/>
        <w:noProof/>
      </w:rPr>
      <w:t>30</w:t>
    </w:r>
    <w:r w:rsidRPr="00836F75">
      <w:rPr>
        <w:b/>
        <w:noProof/>
      </w:rPr>
      <w:fldChar w:fldCharType="end"/>
    </w:r>
    <w:r>
      <w:rPr>
        <w:b/>
        <w:noProof/>
      </w:rPr>
      <w:t xml:space="preserve"> </w:t>
    </w:r>
    <w:bookmarkEnd w:id="12"/>
  </w:p>
  <w:p w14:paraId="3C9D5D98" w14:textId="77777777" w:rsidR="00A90B45" w:rsidRPr="00457FD3" w:rsidRDefault="00A90B45" w:rsidP="00457FD3">
    <w:pPr>
      <w:pStyle w:val="Footer"/>
    </w:pPr>
  </w:p>
  <w:p w14:paraId="7C1C6329" w14:textId="77777777" w:rsidR="00A90B45" w:rsidRDefault="00A90B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E0178" w14:textId="77777777" w:rsidR="00B6129C" w:rsidRDefault="00B61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5257A" w14:textId="77777777" w:rsidR="00A90B45" w:rsidRDefault="00A90B45" w:rsidP="00124A51">
      <w:r>
        <w:separator/>
      </w:r>
    </w:p>
    <w:p w14:paraId="05BB9C9B" w14:textId="77777777" w:rsidR="00A90B45" w:rsidRDefault="00A90B45"/>
  </w:footnote>
  <w:footnote w:type="continuationSeparator" w:id="0">
    <w:p w14:paraId="30FF7B4A" w14:textId="77777777" w:rsidR="00A90B45" w:rsidRDefault="00A90B45" w:rsidP="00124A51">
      <w:r>
        <w:continuationSeparator/>
      </w:r>
    </w:p>
    <w:p w14:paraId="54299CF3" w14:textId="77777777" w:rsidR="00A90B45" w:rsidRDefault="00A90B45"/>
  </w:footnote>
  <w:footnote w:type="continuationNotice" w:id="1">
    <w:p w14:paraId="7D483C2B" w14:textId="77777777" w:rsidR="00A90B45" w:rsidRDefault="00A90B45"/>
  </w:footnote>
  <w:footnote w:id="2">
    <w:p w14:paraId="52A9E286" w14:textId="77777777" w:rsidR="00A90B45" w:rsidRPr="00F82CFA" w:rsidRDefault="00A90B45" w:rsidP="00A173AE">
      <w:pPr>
        <w:pStyle w:val="FootnoteText"/>
        <w:ind w:left="142" w:hanging="142"/>
        <w:rPr>
          <w:lang w:val="en-US"/>
        </w:rPr>
      </w:pPr>
      <w:r>
        <w:rPr>
          <w:rStyle w:val="FootnoteReference"/>
        </w:rPr>
        <w:footnoteRef/>
      </w:r>
      <w:r>
        <w:t xml:space="preserve"> </w:t>
      </w:r>
      <w:r>
        <w:rPr>
          <w:lang w:val="en-US"/>
        </w:rPr>
        <w:t>Approximately 13% of patients in ASCENT had only received one prior systemic therapy in the metastatic setting.</w:t>
      </w:r>
    </w:p>
  </w:footnote>
  <w:footnote w:id="3">
    <w:p w14:paraId="5A640AC4" w14:textId="77777777" w:rsidR="00A90B45" w:rsidRPr="00E55CFE" w:rsidRDefault="00A90B45" w:rsidP="00A173AE">
      <w:pPr>
        <w:pStyle w:val="FootnoteText"/>
        <w:ind w:left="142" w:hanging="142"/>
        <w:rPr>
          <w:lang w:val="en-US"/>
        </w:rPr>
      </w:pPr>
      <w:r>
        <w:rPr>
          <w:rStyle w:val="FootnoteReference"/>
        </w:rPr>
        <w:footnoteRef/>
      </w:r>
      <w:r>
        <w:t xml:space="preserve"> </w:t>
      </w:r>
      <w:r w:rsidRPr="0059130B">
        <w:t>Lindstrom LS, Karlsson E</w:t>
      </w:r>
      <w:r w:rsidRPr="0059130B">
        <w:rPr>
          <w:i/>
        </w:rPr>
        <w:t>, et al.</w:t>
      </w:r>
      <w:r w:rsidRPr="0059130B">
        <w:t xml:space="preserve"> Clinically used breast cancer markers such as estrogen receptor, progesterone receptor, and human epidermal growth factor receptor 2 are unstable throughout tumor progression. </w:t>
      </w:r>
      <w:r w:rsidRPr="0059130B">
        <w:rPr>
          <w:i/>
        </w:rPr>
        <w:t>J Clin Oncol</w:t>
      </w:r>
      <w:r w:rsidRPr="0059130B">
        <w:t>. 2012;</w:t>
      </w:r>
      <w:r w:rsidRPr="0059130B">
        <w:rPr>
          <w:b/>
        </w:rPr>
        <w:t xml:space="preserve"> </w:t>
      </w:r>
      <w:r>
        <w:t>30 (21):2601-8</w:t>
      </w:r>
      <w:r w:rsidRPr="00E55CFE">
        <w:t>.</w:t>
      </w:r>
    </w:p>
  </w:footnote>
  <w:footnote w:id="4">
    <w:p w14:paraId="4AFDE41C" w14:textId="77777777" w:rsidR="00A90B45" w:rsidRDefault="00A90B45" w:rsidP="00A173AE">
      <w:pPr>
        <w:pStyle w:val="FootnoteText"/>
        <w:ind w:left="142" w:hanging="142"/>
      </w:pPr>
      <w:r>
        <w:rPr>
          <w:rStyle w:val="FootnoteReference"/>
        </w:rPr>
        <w:footnoteRef/>
      </w:r>
      <w:r>
        <w:t xml:space="preserve"> </w:t>
      </w:r>
      <w:r w:rsidRPr="0059130B">
        <w:t xml:space="preserve">Cardoso F, </w:t>
      </w:r>
      <w:proofErr w:type="spellStart"/>
      <w:r w:rsidRPr="0059130B">
        <w:t>Paluch</w:t>
      </w:r>
      <w:proofErr w:type="spellEnd"/>
      <w:r w:rsidRPr="0059130B">
        <w:t>-Shimon S</w:t>
      </w:r>
      <w:r w:rsidRPr="0059130B">
        <w:rPr>
          <w:i/>
        </w:rPr>
        <w:t>, et al.</w:t>
      </w:r>
      <w:r w:rsidRPr="0059130B">
        <w:t xml:space="preserve"> 5th ESO-ESMO international consensus</w:t>
      </w:r>
      <w:r>
        <w:t xml:space="preserve"> guidelines for advanced breast </w:t>
      </w:r>
      <w:r w:rsidRPr="0059130B">
        <w:t xml:space="preserve">cancer (ABC 5). </w:t>
      </w:r>
      <w:r w:rsidRPr="0059130B">
        <w:rPr>
          <w:i/>
        </w:rPr>
        <w:t>Annals of Oncology</w:t>
      </w:r>
      <w:r w:rsidRPr="0059130B">
        <w:t>. 2020;</w:t>
      </w:r>
      <w:r w:rsidRPr="0059130B">
        <w:rPr>
          <w:b/>
        </w:rPr>
        <w:t xml:space="preserve"> </w:t>
      </w:r>
      <w:r w:rsidRPr="0059130B">
        <w:t>31 (12):1623-49.</w:t>
      </w:r>
      <w:r>
        <w:t xml:space="preserve"> Treatment algorithm available at </w:t>
      </w:r>
      <w:hyperlink r:id="rId1" w:history="1">
        <w:r w:rsidRPr="00096674">
          <w:rPr>
            <w:rStyle w:val="Hyperlink"/>
          </w:rPr>
          <w:t>www.esmo.org/guidelines/breast-cancer/consensus-recommendations-advanced-breast-cancer-abc-5</w:t>
        </w:r>
      </w:hyperlink>
      <w:r>
        <w:t xml:space="preserve"> </w:t>
      </w:r>
    </w:p>
    <w:p w14:paraId="0924D706" w14:textId="77777777" w:rsidR="00A90B45" w:rsidRPr="000E7488" w:rsidRDefault="00A90B45" w:rsidP="00A173AE">
      <w:pPr>
        <w:pStyle w:val="FootnoteText"/>
        <w:ind w:left="142"/>
      </w:pPr>
      <w:r w:rsidRPr="0059130B">
        <w:t xml:space="preserve">National Comprehensive Cancer Network. </w:t>
      </w:r>
      <w:r w:rsidRPr="0059130B">
        <w:rPr>
          <w:i/>
        </w:rPr>
        <w:t>NCCN Guidelines: Breast Cancer. Version 5.2021</w:t>
      </w:r>
      <w:r w:rsidRPr="0059130B">
        <w:t>. 28 June 2021.</w:t>
      </w:r>
    </w:p>
    <w:p w14:paraId="6559B447" w14:textId="77777777" w:rsidR="00A90B45" w:rsidRPr="000E7488" w:rsidRDefault="00A90B45" w:rsidP="00A173AE">
      <w:pPr>
        <w:pStyle w:val="FootnoteText"/>
        <w:rPr>
          <w:lang w:val="en-US"/>
        </w:rPr>
      </w:pPr>
    </w:p>
  </w:footnote>
  <w:footnote w:id="5">
    <w:p w14:paraId="3D66035A" w14:textId="77777777" w:rsidR="00A90B45" w:rsidRPr="00AB6C8A" w:rsidRDefault="00A90B45" w:rsidP="00A173AE">
      <w:pPr>
        <w:pStyle w:val="FootnoteText"/>
        <w:rPr>
          <w:lang w:val="en-US"/>
        </w:rPr>
      </w:pPr>
      <w:r>
        <w:rPr>
          <w:rStyle w:val="FootnoteReference"/>
        </w:rPr>
        <w:footnoteRef/>
      </w:r>
      <w:r>
        <w:t xml:space="preserve"> </w:t>
      </w:r>
      <w:proofErr w:type="spellStart"/>
      <w:r>
        <w:rPr>
          <w:lang w:val="en-US"/>
        </w:rPr>
        <w:t>Randomisation</w:t>
      </w:r>
      <w:proofErr w:type="spellEnd"/>
      <w:r>
        <w:rPr>
          <w:lang w:val="en-US"/>
        </w:rPr>
        <w:t xml:space="preserve"> was stratified by the presence of known brain metastases at baseline.</w:t>
      </w:r>
    </w:p>
  </w:footnote>
  <w:footnote w:id="6">
    <w:p w14:paraId="0D9B5B55" w14:textId="77777777" w:rsidR="00A90B45" w:rsidRDefault="00A90B45" w:rsidP="00A173AE">
      <w:pPr>
        <w:pStyle w:val="FootnoteText"/>
        <w:ind w:left="142" w:hanging="142"/>
      </w:pPr>
      <w:r>
        <w:rPr>
          <w:rStyle w:val="FootnoteReference"/>
        </w:rPr>
        <w:footnoteRef/>
      </w:r>
      <w:r>
        <w:t xml:space="preserve"> Hazard ratio from an unstratified Cox regression analysis. Randomisation was stratified by the presence of known brain metastases at baseline.</w:t>
      </w:r>
    </w:p>
  </w:footnote>
  <w:footnote w:id="7">
    <w:p w14:paraId="1C0B71DF" w14:textId="77777777" w:rsidR="00A90B45" w:rsidRDefault="00A90B45" w:rsidP="00A173AE">
      <w:pPr>
        <w:pStyle w:val="FootnoteText"/>
      </w:pPr>
      <w:r>
        <w:rPr>
          <w:rStyle w:val="FootnoteReference"/>
        </w:rPr>
        <w:footnoteRef/>
      </w:r>
      <w:r>
        <w:t xml:space="preserve"> All patients in the TPC arm had discontinued randomised treatment.</w:t>
      </w:r>
    </w:p>
  </w:footnote>
  <w:footnote w:id="8">
    <w:p w14:paraId="7E1C2F01" w14:textId="77777777" w:rsidR="00A90B45" w:rsidRPr="000E7488" w:rsidRDefault="00A90B45" w:rsidP="00A173AE">
      <w:pPr>
        <w:pStyle w:val="FootnoteText"/>
        <w:ind w:left="142" w:hanging="142"/>
        <w:rPr>
          <w:lang w:val="en-US"/>
        </w:rPr>
      </w:pPr>
      <w:r>
        <w:rPr>
          <w:rStyle w:val="FootnoteReference"/>
        </w:rPr>
        <w:footnoteRef/>
      </w:r>
      <w:r>
        <w:t xml:space="preserve"> </w:t>
      </w:r>
      <w:r w:rsidRPr="0059130B">
        <w:t>Viney R, Norman R</w:t>
      </w:r>
      <w:r w:rsidRPr="0059130B">
        <w:rPr>
          <w:i/>
        </w:rPr>
        <w:t>, et al.</w:t>
      </w:r>
      <w:r w:rsidRPr="0059130B">
        <w:t xml:space="preserve"> An Australian discrete choice experiment to value EQ-5D health states. </w:t>
      </w:r>
      <w:r w:rsidRPr="0059130B">
        <w:rPr>
          <w:i/>
        </w:rPr>
        <w:t>Health Economics</w:t>
      </w:r>
      <w:r w:rsidRPr="0059130B">
        <w:t>. 2014;</w:t>
      </w:r>
      <w:r w:rsidRPr="0059130B">
        <w:rPr>
          <w:b/>
        </w:rPr>
        <w:t xml:space="preserve"> </w:t>
      </w:r>
      <w:r w:rsidRPr="0059130B">
        <w:t>23 (6):729-42.</w:t>
      </w:r>
    </w:p>
  </w:footnote>
  <w:footnote w:id="9">
    <w:p w14:paraId="1A444602" w14:textId="77777777" w:rsidR="00A90B45" w:rsidRDefault="00A90B45" w:rsidP="0043032C">
      <w:pPr>
        <w:pStyle w:val="FootnoteText"/>
      </w:pPr>
      <w:r>
        <w:rPr>
          <w:rStyle w:val="FootnoteReference"/>
        </w:rPr>
        <w:footnoteRef/>
      </w:r>
      <w:r>
        <w:t xml:space="preserve"> King MT, Viney R, </w:t>
      </w:r>
      <w:r w:rsidRPr="0015192A">
        <w:rPr>
          <w:i/>
        </w:rPr>
        <w:t>et al</w:t>
      </w:r>
      <w:r>
        <w:t xml:space="preserve">. Australian Utility Weights for the EORTC QLU-C10D, a Multi-Attribute Utility Instrument Derived from the Cancer-Specific Quality of Life Questionnaire, EORTC QLQ-C30. </w:t>
      </w:r>
      <w:r w:rsidRPr="0015192A">
        <w:rPr>
          <w:i/>
        </w:rPr>
        <w:t>Pharmacoeconomics</w:t>
      </w:r>
      <w:r>
        <w:t xml:space="preserve">. 2018 Feb; 36 (2):225-238. </w:t>
      </w:r>
    </w:p>
  </w:footnote>
  <w:footnote w:id="10">
    <w:p w14:paraId="483E6BF4" w14:textId="77777777" w:rsidR="00A90B45" w:rsidRPr="006F6A6E" w:rsidRDefault="00A90B45" w:rsidP="00A173AE">
      <w:pPr>
        <w:pStyle w:val="FootnoteText"/>
        <w:ind w:left="142" w:hanging="142"/>
        <w:rPr>
          <w:lang w:val="en-US"/>
        </w:rPr>
      </w:pPr>
      <w:r>
        <w:rPr>
          <w:rStyle w:val="FootnoteReference"/>
        </w:rPr>
        <w:footnoteRef/>
      </w:r>
      <w:r>
        <w:t xml:space="preserve"> </w:t>
      </w:r>
      <w:r w:rsidRPr="006F6A6E">
        <w:t>Reeve R, Srasuebkul P</w:t>
      </w:r>
      <w:r w:rsidRPr="006F6A6E">
        <w:rPr>
          <w:i/>
        </w:rPr>
        <w:t>, et al.</w:t>
      </w:r>
      <w:r w:rsidRPr="006F6A6E">
        <w:t xml:space="preserve"> Health care use and costs at the end of life: a comparison of elderly Australian decedents with and without a cancer history. </w:t>
      </w:r>
      <w:r w:rsidRPr="006F6A6E">
        <w:rPr>
          <w:i/>
        </w:rPr>
        <w:t>BMC Palliat Care</w:t>
      </w:r>
      <w:r w:rsidRPr="006F6A6E">
        <w:t>. 2018;</w:t>
      </w:r>
      <w:r w:rsidRPr="006F6A6E">
        <w:rPr>
          <w:b/>
        </w:rPr>
        <w:t xml:space="preserve"> </w:t>
      </w:r>
      <w:r w:rsidRPr="006F6A6E">
        <w:t>17 (1):1.</w:t>
      </w:r>
    </w:p>
  </w:footnote>
  <w:footnote w:id="11">
    <w:p w14:paraId="1DC05672" w14:textId="77777777" w:rsidR="00A90B45" w:rsidRPr="00E55CFE" w:rsidRDefault="00A90B45" w:rsidP="00E24642">
      <w:pPr>
        <w:pStyle w:val="FootnoteText"/>
        <w:rPr>
          <w:lang w:val="en-US"/>
        </w:rPr>
      </w:pPr>
      <w:r>
        <w:rPr>
          <w:rStyle w:val="FootnoteReference"/>
        </w:rPr>
        <w:footnoteRef/>
      </w:r>
      <w:r>
        <w:t xml:space="preserve"> </w:t>
      </w:r>
      <w:r w:rsidRPr="0059130B">
        <w:t>Lloyd A, Nafees B</w:t>
      </w:r>
      <w:r w:rsidRPr="0059130B">
        <w:rPr>
          <w:i/>
        </w:rPr>
        <w:t>, et al.</w:t>
      </w:r>
      <w:r w:rsidRPr="0059130B">
        <w:t xml:space="preserve"> Health state utilities for metastatic breast cancer. </w:t>
      </w:r>
      <w:r w:rsidRPr="0059130B">
        <w:rPr>
          <w:i/>
        </w:rPr>
        <w:t>Br J Cancer</w:t>
      </w:r>
      <w:r w:rsidRPr="0059130B">
        <w:t>. 2006;</w:t>
      </w:r>
      <w:r w:rsidRPr="0059130B">
        <w:rPr>
          <w:b/>
        </w:rPr>
        <w:t xml:space="preserve"> </w:t>
      </w:r>
      <w:r w:rsidRPr="0059130B">
        <w:t>95 (6):68</w:t>
      </w:r>
      <w:r>
        <w:t>3-90</w:t>
      </w:r>
      <w:r w:rsidRPr="00E55CFE">
        <w:t>.</w:t>
      </w:r>
    </w:p>
  </w:footnote>
  <w:footnote w:id="12">
    <w:p w14:paraId="76C10EFB" w14:textId="77777777" w:rsidR="00A90B45" w:rsidRPr="002546B1" w:rsidRDefault="00A90B45" w:rsidP="007F264B">
      <w:pPr>
        <w:pStyle w:val="FootnoteText"/>
        <w:ind w:left="142" w:hanging="142"/>
        <w:rPr>
          <w:lang w:val="en-US"/>
        </w:rPr>
      </w:pPr>
      <w:r>
        <w:rPr>
          <w:rStyle w:val="FootnoteReference"/>
        </w:rPr>
        <w:footnoteRef/>
      </w:r>
      <w:r>
        <w:t xml:space="preserve"> </w:t>
      </w:r>
      <w:r>
        <w:rPr>
          <w:lang w:val="en-US"/>
        </w:rPr>
        <w:t>This differed from the proportions reported in Table 2-31, p 78 of the submission: eribulin 54.5%, vinorelbine 19.2%, gemcitabine 13.8%, capecitabine 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6576E" w14:textId="77777777" w:rsidR="00B6129C" w:rsidRDefault="00B61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0E459" w14:textId="53BFC686" w:rsidR="00A90B45" w:rsidRDefault="00A90B45" w:rsidP="00DE35CC">
    <w:pPr>
      <w:pStyle w:val="Header"/>
      <w:ind w:left="360"/>
      <w:rPr>
        <w:rFonts w:asciiTheme="minorHAnsi" w:hAnsiTheme="minorHAnsi"/>
        <w:i/>
        <w:color w:val="808080"/>
      </w:rPr>
    </w:pPr>
    <w:bookmarkStart w:id="11" w:name="_Hlk76375146"/>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November 2021</w:t>
    </w:r>
    <w:r w:rsidRPr="00056684">
      <w:rPr>
        <w:rFonts w:asciiTheme="minorHAnsi" w:hAnsiTheme="minorHAnsi"/>
        <w:i/>
        <w:color w:val="808080"/>
      </w:rPr>
      <w:t xml:space="preserve"> PBAC Meeting</w:t>
    </w:r>
    <w:r>
      <w:rPr>
        <w:rFonts w:asciiTheme="minorHAnsi" w:hAnsiTheme="minorHAnsi"/>
        <w:i/>
        <w:color w:val="808080"/>
      </w:rPr>
      <w:t xml:space="preserve"> with Addendum from March 2022 PBAC Meeting</w:t>
    </w:r>
  </w:p>
  <w:bookmarkEnd w:id="11"/>
  <w:p w14:paraId="3654F5C9" w14:textId="77777777" w:rsidR="00A90B45" w:rsidRPr="00457FD3" w:rsidRDefault="00A90B45" w:rsidP="00457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D1F9A" w14:textId="77777777" w:rsidR="00B6129C" w:rsidRDefault="00B61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BBADD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C267B"/>
    <w:multiLevelType w:val="hybridMultilevel"/>
    <w:tmpl w:val="05B0A250"/>
    <w:lvl w:ilvl="0" w:tplc="71FAF8F8">
      <w:start w:val="80"/>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C60766"/>
    <w:multiLevelType w:val="hybridMultilevel"/>
    <w:tmpl w:val="EF308BB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6E16DD3"/>
    <w:multiLevelType w:val="hybridMultilevel"/>
    <w:tmpl w:val="1FF2E6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B25EB9"/>
    <w:multiLevelType w:val="hybridMultilevel"/>
    <w:tmpl w:val="84B0B1D8"/>
    <w:lvl w:ilvl="0" w:tplc="A0AA3526">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30C4D91"/>
    <w:multiLevelType w:val="hybridMultilevel"/>
    <w:tmpl w:val="F3246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3B046C"/>
    <w:multiLevelType w:val="hybridMultilevel"/>
    <w:tmpl w:val="95F085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4736298"/>
    <w:multiLevelType w:val="hybridMultilevel"/>
    <w:tmpl w:val="7C10097C"/>
    <w:lvl w:ilvl="0" w:tplc="1C90136A">
      <w:start w:val="1"/>
      <w:numFmt w:val="bullet"/>
      <w:lvlText w:val="•"/>
      <w:lvlJc w:val="left"/>
      <w:pPr>
        <w:tabs>
          <w:tab w:val="num" w:pos="720"/>
        </w:tabs>
        <w:ind w:left="720" w:hanging="360"/>
      </w:pPr>
      <w:rPr>
        <w:rFonts w:ascii="Arial" w:hAnsi="Arial" w:hint="default"/>
      </w:rPr>
    </w:lvl>
    <w:lvl w:ilvl="1" w:tplc="4AB44D40" w:tentative="1">
      <w:start w:val="1"/>
      <w:numFmt w:val="bullet"/>
      <w:lvlText w:val="•"/>
      <w:lvlJc w:val="left"/>
      <w:pPr>
        <w:tabs>
          <w:tab w:val="num" w:pos="1440"/>
        </w:tabs>
        <w:ind w:left="1440" w:hanging="360"/>
      </w:pPr>
      <w:rPr>
        <w:rFonts w:ascii="Arial" w:hAnsi="Arial" w:hint="default"/>
      </w:rPr>
    </w:lvl>
    <w:lvl w:ilvl="2" w:tplc="E33C108A" w:tentative="1">
      <w:start w:val="1"/>
      <w:numFmt w:val="bullet"/>
      <w:lvlText w:val="•"/>
      <w:lvlJc w:val="left"/>
      <w:pPr>
        <w:tabs>
          <w:tab w:val="num" w:pos="2160"/>
        </w:tabs>
        <w:ind w:left="2160" w:hanging="360"/>
      </w:pPr>
      <w:rPr>
        <w:rFonts w:ascii="Arial" w:hAnsi="Arial" w:hint="default"/>
      </w:rPr>
    </w:lvl>
    <w:lvl w:ilvl="3" w:tplc="D6806720" w:tentative="1">
      <w:start w:val="1"/>
      <w:numFmt w:val="bullet"/>
      <w:lvlText w:val="•"/>
      <w:lvlJc w:val="left"/>
      <w:pPr>
        <w:tabs>
          <w:tab w:val="num" w:pos="2880"/>
        </w:tabs>
        <w:ind w:left="2880" w:hanging="360"/>
      </w:pPr>
      <w:rPr>
        <w:rFonts w:ascii="Arial" w:hAnsi="Arial" w:hint="default"/>
      </w:rPr>
    </w:lvl>
    <w:lvl w:ilvl="4" w:tplc="9B34AEEA" w:tentative="1">
      <w:start w:val="1"/>
      <w:numFmt w:val="bullet"/>
      <w:lvlText w:val="•"/>
      <w:lvlJc w:val="left"/>
      <w:pPr>
        <w:tabs>
          <w:tab w:val="num" w:pos="3600"/>
        </w:tabs>
        <w:ind w:left="3600" w:hanging="360"/>
      </w:pPr>
      <w:rPr>
        <w:rFonts w:ascii="Arial" w:hAnsi="Arial" w:hint="default"/>
      </w:rPr>
    </w:lvl>
    <w:lvl w:ilvl="5" w:tplc="CC3A58B4" w:tentative="1">
      <w:start w:val="1"/>
      <w:numFmt w:val="bullet"/>
      <w:lvlText w:val="•"/>
      <w:lvlJc w:val="left"/>
      <w:pPr>
        <w:tabs>
          <w:tab w:val="num" w:pos="4320"/>
        </w:tabs>
        <w:ind w:left="4320" w:hanging="360"/>
      </w:pPr>
      <w:rPr>
        <w:rFonts w:ascii="Arial" w:hAnsi="Arial" w:hint="default"/>
      </w:rPr>
    </w:lvl>
    <w:lvl w:ilvl="6" w:tplc="63A6555A" w:tentative="1">
      <w:start w:val="1"/>
      <w:numFmt w:val="bullet"/>
      <w:lvlText w:val="•"/>
      <w:lvlJc w:val="left"/>
      <w:pPr>
        <w:tabs>
          <w:tab w:val="num" w:pos="5040"/>
        </w:tabs>
        <w:ind w:left="5040" w:hanging="360"/>
      </w:pPr>
      <w:rPr>
        <w:rFonts w:ascii="Arial" w:hAnsi="Arial" w:hint="default"/>
      </w:rPr>
    </w:lvl>
    <w:lvl w:ilvl="7" w:tplc="D380610E" w:tentative="1">
      <w:start w:val="1"/>
      <w:numFmt w:val="bullet"/>
      <w:lvlText w:val="•"/>
      <w:lvlJc w:val="left"/>
      <w:pPr>
        <w:tabs>
          <w:tab w:val="num" w:pos="5760"/>
        </w:tabs>
        <w:ind w:left="5760" w:hanging="360"/>
      </w:pPr>
      <w:rPr>
        <w:rFonts w:ascii="Arial" w:hAnsi="Arial" w:hint="default"/>
      </w:rPr>
    </w:lvl>
    <w:lvl w:ilvl="8" w:tplc="BFF2210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6C41CB"/>
    <w:multiLevelType w:val="hybridMultilevel"/>
    <w:tmpl w:val="7F94C816"/>
    <w:lvl w:ilvl="0" w:tplc="903248AE">
      <w:start w:val="1"/>
      <w:numFmt w:val="decimal"/>
      <w:pStyle w:val="NumberedList"/>
      <w:lvlText w:val="%1."/>
      <w:lvlJc w:val="left"/>
      <w:pPr>
        <w:ind w:left="720" w:hanging="360"/>
      </w:pPr>
      <w:rPr>
        <w:rFonts w:cs="Times New Roman"/>
      </w:rPr>
    </w:lvl>
    <w:lvl w:ilvl="1" w:tplc="ACD2A5C2" w:tentative="1">
      <w:start w:val="1"/>
      <w:numFmt w:val="lowerLetter"/>
      <w:lvlText w:val="%2."/>
      <w:lvlJc w:val="left"/>
      <w:pPr>
        <w:ind w:left="1440" w:hanging="360"/>
      </w:pPr>
      <w:rPr>
        <w:rFonts w:cs="Times New Roman"/>
      </w:rPr>
    </w:lvl>
    <w:lvl w:ilvl="2" w:tplc="81041AEE" w:tentative="1">
      <w:start w:val="1"/>
      <w:numFmt w:val="lowerRoman"/>
      <w:lvlText w:val="%3."/>
      <w:lvlJc w:val="right"/>
      <w:pPr>
        <w:ind w:left="2160" w:hanging="180"/>
      </w:pPr>
      <w:rPr>
        <w:rFonts w:cs="Times New Roman"/>
      </w:rPr>
    </w:lvl>
    <w:lvl w:ilvl="3" w:tplc="6F9E5ABC" w:tentative="1">
      <w:start w:val="1"/>
      <w:numFmt w:val="decimal"/>
      <w:lvlText w:val="%4."/>
      <w:lvlJc w:val="left"/>
      <w:pPr>
        <w:ind w:left="2880" w:hanging="360"/>
      </w:pPr>
      <w:rPr>
        <w:rFonts w:cs="Times New Roman"/>
      </w:rPr>
    </w:lvl>
    <w:lvl w:ilvl="4" w:tplc="79BE0738" w:tentative="1">
      <w:start w:val="1"/>
      <w:numFmt w:val="lowerLetter"/>
      <w:lvlText w:val="%5."/>
      <w:lvlJc w:val="left"/>
      <w:pPr>
        <w:ind w:left="3600" w:hanging="360"/>
      </w:pPr>
      <w:rPr>
        <w:rFonts w:cs="Times New Roman"/>
      </w:rPr>
    </w:lvl>
    <w:lvl w:ilvl="5" w:tplc="73E0EA72" w:tentative="1">
      <w:start w:val="1"/>
      <w:numFmt w:val="lowerRoman"/>
      <w:lvlText w:val="%6."/>
      <w:lvlJc w:val="right"/>
      <w:pPr>
        <w:ind w:left="4320" w:hanging="180"/>
      </w:pPr>
      <w:rPr>
        <w:rFonts w:cs="Times New Roman"/>
      </w:rPr>
    </w:lvl>
    <w:lvl w:ilvl="6" w:tplc="AF7840C6" w:tentative="1">
      <w:start w:val="1"/>
      <w:numFmt w:val="decimal"/>
      <w:lvlText w:val="%7."/>
      <w:lvlJc w:val="left"/>
      <w:pPr>
        <w:ind w:left="5040" w:hanging="360"/>
      </w:pPr>
      <w:rPr>
        <w:rFonts w:cs="Times New Roman"/>
      </w:rPr>
    </w:lvl>
    <w:lvl w:ilvl="7" w:tplc="72047760" w:tentative="1">
      <w:start w:val="1"/>
      <w:numFmt w:val="lowerLetter"/>
      <w:lvlText w:val="%8."/>
      <w:lvlJc w:val="left"/>
      <w:pPr>
        <w:ind w:left="5760" w:hanging="360"/>
      </w:pPr>
      <w:rPr>
        <w:rFonts w:cs="Times New Roman"/>
      </w:rPr>
    </w:lvl>
    <w:lvl w:ilvl="8" w:tplc="3C167224" w:tentative="1">
      <w:start w:val="1"/>
      <w:numFmt w:val="lowerRoman"/>
      <w:lvlText w:val="%9."/>
      <w:lvlJc w:val="right"/>
      <w:pPr>
        <w:ind w:left="6480" w:hanging="180"/>
      </w:pPr>
      <w:rPr>
        <w:rFonts w:cs="Times New Roman"/>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636E7"/>
    <w:multiLevelType w:val="hybridMultilevel"/>
    <w:tmpl w:val="2F568148"/>
    <w:lvl w:ilvl="0" w:tplc="4B1843C4">
      <w:start w:val="1"/>
      <w:numFmt w:val="lowerLetter"/>
      <w:lvlText w:val="%1)"/>
      <w:lvlJc w:val="left"/>
      <w:pPr>
        <w:ind w:left="1070" w:hanging="360"/>
      </w:pPr>
    </w:lvl>
    <w:lvl w:ilvl="1" w:tplc="0C090019">
      <w:start w:val="1"/>
      <w:numFmt w:val="lowerLetter"/>
      <w:lvlText w:val="%2."/>
      <w:lvlJc w:val="left"/>
      <w:pPr>
        <w:ind w:left="1790" w:hanging="360"/>
      </w:pPr>
    </w:lvl>
    <w:lvl w:ilvl="2" w:tplc="0C09001B">
      <w:start w:val="1"/>
      <w:numFmt w:val="lowerRoman"/>
      <w:lvlText w:val="%3."/>
      <w:lvlJc w:val="right"/>
      <w:pPr>
        <w:ind w:left="2510" w:hanging="180"/>
      </w:pPr>
    </w:lvl>
    <w:lvl w:ilvl="3" w:tplc="0C09000F">
      <w:start w:val="1"/>
      <w:numFmt w:val="decimal"/>
      <w:lvlText w:val="%4."/>
      <w:lvlJc w:val="left"/>
      <w:pPr>
        <w:ind w:left="3230" w:hanging="360"/>
      </w:pPr>
    </w:lvl>
    <w:lvl w:ilvl="4" w:tplc="0C090019">
      <w:start w:val="1"/>
      <w:numFmt w:val="lowerLetter"/>
      <w:lvlText w:val="%5."/>
      <w:lvlJc w:val="left"/>
      <w:pPr>
        <w:ind w:left="3950" w:hanging="360"/>
      </w:pPr>
    </w:lvl>
    <w:lvl w:ilvl="5" w:tplc="0C09001B">
      <w:start w:val="1"/>
      <w:numFmt w:val="lowerRoman"/>
      <w:lvlText w:val="%6."/>
      <w:lvlJc w:val="right"/>
      <w:pPr>
        <w:ind w:left="4670" w:hanging="180"/>
      </w:pPr>
    </w:lvl>
    <w:lvl w:ilvl="6" w:tplc="0C09000F">
      <w:start w:val="1"/>
      <w:numFmt w:val="decimal"/>
      <w:lvlText w:val="%7."/>
      <w:lvlJc w:val="left"/>
      <w:pPr>
        <w:ind w:left="5390" w:hanging="360"/>
      </w:pPr>
    </w:lvl>
    <w:lvl w:ilvl="7" w:tplc="0C090019">
      <w:start w:val="1"/>
      <w:numFmt w:val="lowerLetter"/>
      <w:lvlText w:val="%8."/>
      <w:lvlJc w:val="left"/>
      <w:pPr>
        <w:ind w:left="6110" w:hanging="360"/>
      </w:pPr>
    </w:lvl>
    <w:lvl w:ilvl="8" w:tplc="0C09001B">
      <w:start w:val="1"/>
      <w:numFmt w:val="lowerRoman"/>
      <w:lvlText w:val="%9."/>
      <w:lvlJc w:val="right"/>
      <w:pPr>
        <w:ind w:left="6830" w:hanging="180"/>
      </w:pPr>
    </w:lvl>
  </w:abstractNum>
  <w:abstractNum w:abstractNumId="12" w15:restartNumberingAfterBreak="0">
    <w:nsid w:val="5B97030E"/>
    <w:multiLevelType w:val="hybridMultilevel"/>
    <w:tmpl w:val="AB1CE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AA0DCE"/>
    <w:multiLevelType w:val="hybridMultilevel"/>
    <w:tmpl w:val="EBA830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A07ABD"/>
    <w:multiLevelType w:val="hybridMultilevel"/>
    <w:tmpl w:val="0FD6F6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062769"/>
    <w:multiLevelType w:val="hybridMultilevel"/>
    <w:tmpl w:val="55121624"/>
    <w:lvl w:ilvl="0" w:tplc="E8D48FD4">
      <w:start w:val="1"/>
      <w:numFmt w:val="bullet"/>
      <w:lvlText w:val="•"/>
      <w:lvlJc w:val="left"/>
      <w:pPr>
        <w:tabs>
          <w:tab w:val="num" w:pos="720"/>
        </w:tabs>
        <w:ind w:left="720" w:hanging="360"/>
      </w:pPr>
      <w:rPr>
        <w:rFonts w:ascii="Arial" w:hAnsi="Arial" w:hint="default"/>
      </w:rPr>
    </w:lvl>
    <w:lvl w:ilvl="1" w:tplc="1D4A1964">
      <w:start w:val="1"/>
      <w:numFmt w:val="bullet"/>
      <w:lvlText w:val="•"/>
      <w:lvlJc w:val="left"/>
      <w:pPr>
        <w:tabs>
          <w:tab w:val="num" w:pos="1440"/>
        </w:tabs>
        <w:ind w:left="1440" w:hanging="360"/>
      </w:pPr>
      <w:rPr>
        <w:rFonts w:ascii="Arial" w:hAnsi="Arial" w:hint="default"/>
      </w:rPr>
    </w:lvl>
    <w:lvl w:ilvl="2" w:tplc="709A674A" w:tentative="1">
      <w:start w:val="1"/>
      <w:numFmt w:val="bullet"/>
      <w:lvlText w:val="•"/>
      <w:lvlJc w:val="left"/>
      <w:pPr>
        <w:tabs>
          <w:tab w:val="num" w:pos="2160"/>
        </w:tabs>
        <w:ind w:left="2160" w:hanging="360"/>
      </w:pPr>
      <w:rPr>
        <w:rFonts w:ascii="Arial" w:hAnsi="Arial" w:hint="default"/>
      </w:rPr>
    </w:lvl>
    <w:lvl w:ilvl="3" w:tplc="FDCAF07C" w:tentative="1">
      <w:start w:val="1"/>
      <w:numFmt w:val="bullet"/>
      <w:lvlText w:val="•"/>
      <w:lvlJc w:val="left"/>
      <w:pPr>
        <w:tabs>
          <w:tab w:val="num" w:pos="2880"/>
        </w:tabs>
        <w:ind w:left="2880" w:hanging="360"/>
      </w:pPr>
      <w:rPr>
        <w:rFonts w:ascii="Arial" w:hAnsi="Arial" w:hint="default"/>
      </w:rPr>
    </w:lvl>
    <w:lvl w:ilvl="4" w:tplc="56D812FC" w:tentative="1">
      <w:start w:val="1"/>
      <w:numFmt w:val="bullet"/>
      <w:lvlText w:val="•"/>
      <w:lvlJc w:val="left"/>
      <w:pPr>
        <w:tabs>
          <w:tab w:val="num" w:pos="3600"/>
        </w:tabs>
        <w:ind w:left="3600" w:hanging="360"/>
      </w:pPr>
      <w:rPr>
        <w:rFonts w:ascii="Arial" w:hAnsi="Arial" w:hint="default"/>
      </w:rPr>
    </w:lvl>
    <w:lvl w:ilvl="5" w:tplc="8FB22348" w:tentative="1">
      <w:start w:val="1"/>
      <w:numFmt w:val="bullet"/>
      <w:lvlText w:val="•"/>
      <w:lvlJc w:val="left"/>
      <w:pPr>
        <w:tabs>
          <w:tab w:val="num" w:pos="4320"/>
        </w:tabs>
        <w:ind w:left="4320" w:hanging="360"/>
      </w:pPr>
      <w:rPr>
        <w:rFonts w:ascii="Arial" w:hAnsi="Arial" w:hint="default"/>
      </w:rPr>
    </w:lvl>
    <w:lvl w:ilvl="6" w:tplc="DE52A520" w:tentative="1">
      <w:start w:val="1"/>
      <w:numFmt w:val="bullet"/>
      <w:lvlText w:val="•"/>
      <w:lvlJc w:val="left"/>
      <w:pPr>
        <w:tabs>
          <w:tab w:val="num" w:pos="5040"/>
        </w:tabs>
        <w:ind w:left="5040" w:hanging="360"/>
      </w:pPr>
      <w:rPr>
        <w:rFonts w:ascii="Arial" w:hAnsi="Arial" w:hint="default"/>
      </w:rPr>
    </w:lvl>
    <w:lvl w:ilvl="7" w:tplc="248459A8" w:tentative="1">
      <w:start w:val="1"/>
      <w:numFmt w:val="bullet"/>
      <w:lvlText w:val="•"/>
      <w:lvlJc w:val="left"/>
      <w:pPr>
        <w:tabs>
          <w:tab w:val="num" w:pos="5760"/>
        </w:tabs>
        <w:ind w:left="5760" w:hanging="360"/>
      </w:pPr>
      <w:rPr>
        <w:rFonts w:ascii="Arial" w:hAnsi="Arial" w:hint="default"/>
      </w:rPr>
    </w:lvl>
    <w:lvl w:ilvl="8" w:tplc="F06E665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9"/>
  </w:num>
  <w:num w:numId="3">
    <w:abstractNumId w:val="10"/>
  </w:num>
  <w:num w:numId="4">
    <w:abstractNumId w:val="13"/>
  </w:num>
  <w:num w:numId="5">
    <w:abstractNumId w:val="0"/>
  </w:num>
  <w:num w:numId="6">
    <w:abstractNumId w:val="16"/>
  </w:num>
  <w:num w:numId="7">
    <w:abstractNumId w:val="8"/>
  </w:num>
  <w:num w:numId="8">
    <w:abstractNumId w:val="5"/>
  </w:num>
  <w:num w:numId="9">
    <w:abstractNumId w:val="2"/>
  </w:num>
  <w:num w:numId="10">
    <w:abstractNumId w:val="14"/>
  </w:num>
  <w:num w:numId="11">
    <w:abstractNumId w:val="6"/>
  </w:num>
  <w:num w:numId="12">
    <w:abstractNumId w:val="15"/>
  </w:num>
  <w:num w:numId="13">
    <w:abstractNumId w:val="4"/>
  </w:num>
  <w:num w:numId="14">
    <w:abstractNumId w:val="7"/>
  </w:num>
  <w:num w:numId="15">
    <w:abstractNumId w:val="3"/>
  </w:num>
  <w:num w:numId="16">
    <w:abstractNumId w:val="1"/>
  </w:num>
  <w:num w:numId="17">
    <w:abstractNumId w:val="0"/>
  </w:num>
  <w:num w:numId="18">
    <w:abstractNumId w:val="0"/>
  </w:num>
  <w:num w:numId="19">
    <w:abstractNumId w:val="0"/>
  </w:num>
  <w:num w:numId="20">
    <w:abstractNumId w:val="16"/>
  </w:num>
  <w:num w:numId="21">
    <w:abstractNumId w:val="16"/>
  </w:num>
  <w:num w:numId="22">
    <w:abstractNumId w:val="16"/>
  </w:num>
  <w:num w:numId="23">
    <w:abstractNumId w:val="16"/>
  </w:num>
  <w:num w:numId="24">
    <w:abstractNumId w:val="10"/>
  </w:num>
  <w:num w:numId="25">
    <w:abstractNumId w:val="10"/>
  </w:num>
  <w:num w:numId="26">
    <w:abstractNumId w:val="10"/>
  </w:num>
  <w:num w:numId="27">
    <w:abstractNumId w:val="10"/>
  </w:num>
  <w:num w:numId="28">
    <w:abstractNumId w:val="16"/>
  </w:num>
  <w:num w:numId="29">
    <w:abstractNumId w:val="16"/>
  </w:num>
  <w:num w:numId="30">
    <w:abstractNumId w:val="12"/>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3553"/>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zxtxpxkezdzle9t2mxvf9yt9r5pra2awtr&quot;&gt;SG TNBC&lt;record-ids&gt;&lt;item&gt;1&lt;/item&gt;&lt;item&gt;2&lt;/item&gt;&lt;item&gt;12&lt;/item&gt;&lt;item&gt;15&lt;/item&gt;&lt;item&gt;27&lt;/item&gt;&lt;item&gt;34&lt;/item&gt;&lt;item&gt;91&lt;/item&gt;&lt;item&gt;98&lt;/item&gt;&lt;item&gt;101&lt;/item&gt;&lt;item&gt;102&lt;/item&gt;&lt;item&gt;103&lt;/item&gt;&lt;item&gt;128&lt;/item&gt;&lt;item&gt;132&lt;/item&gt;&lt;item&gt;133&lt;/item&gt;&lt;item&gt;137&lt;/item&gt;&lt;item&gt;142&lt;/item&gt;&lt;item&gt;144&lt;/item&gt;&lt;item&gt;149&lt;/item&gt;&lt;item&gt;157&lt;/item&gt;&lt;item&gt;200&lt;/item&gt;&lt;item&gt;202&lt;/item&gt;&lt;item&gt;204&lt;/item&gt;&lt;item&gt;206&lt;/item&gt;&lt;item&gt;207&lt;/item&gt;&lt;item&gt;208&lt;/item&gt;&lt;item&gt;209&lt;/item&gt;&lt;item&gt;210&lt;/item&gt;&lt;item&gt;211&lt;/item&gt;&lt;item&gt;213&lt;/item&gt;&lt;item&gt;215&lt;/item&gt;&lt;item&gt;217&lt;/item&gt;&lt;item&gt;219&lt;/item&gt;&lt;item&gt;223&lt;/item&gt;&lt;/record-ids&gt;&lt;/item&gt;&lt;/Libraries&gt;"/>
  </w:docVars>
  <w:rsids>
    <w:rsidRoot w:val="00E65E79"/>
    <w:rsid w:val="00000790"/>
    <w:rsid w:val="0000110B"/>
    <w:rsid w:val="000014F7"/>
    <w:rsid w:val="00003499"/>
    <w:rsid w:val="000039A8"/>
    <w:rsid w:val="000039B7"/>
    <w:rsid w:val="000040E3"/>
    <w:rsid w:val="00004B0D"/>
    <w:rsid w:val="00005DF3"/>
    <w:rsid w:val="0000601C"/>
    <w:rsid w:val="0000639A"/>
    <w:rsid w:val="000065A8"/>
    <w:rsid w:val="000065C5"/>
    <w:rsid w:val="000067F3"/>
    <w:rsid w:val="000074D1"/>
    <w:rsid w:val="00007E71"/>
    <w:rsid w:val="00012520"/>
    <w:rsid w:val="00012790"/>
    <w:rsid w:val="00013247"/>
    <w:rsid w:val="00014296"/>
    <w:rsid w:val="000145F7"/>
    <w:rsid w:val="00014B66"/>
    <w:rsid w:val="00014BD6"/>
    <w:rsid w:val="00015886"/>
    <w:rsid w:val="0001606F"/>
    <w:rsid w:val="000162EF"/>
    <w:rsid w:val="0001659E"/>
    <w:rsid w:val="00016C9F"/>
    <w:rsid w:val="000201BA"/>
    <w:rsid w:val="000207C9"/>
    <w:rsid w:val="00021501"/>
    <w:rsid w:val="00021C30"/>
    <w:rsid w:val="000220EB"/>
    <w:rsid w:val="0002225F"/>
    <w:rsid w:val="00022B52"/>
    <w:rsid w:val="00023763"/>
    <w:rsid w:val="00024610"/>
    <w:rsid w:val="00024F76"/>
    <w:rsid w:val="00025B37"/>
    <w:rsid w:val="00026890"/>
    <w:rsid w:val="0002690D"/>
    <w:rsid w:val="000274B8"/>
    <w:rsid w:val="00027E7D"/>
    <w:rsid w:val="000301FB"/>
    <w:rsid w:val="000306CB"/>
    <w:rsid w:val="000313A5"/>
    <w:rsid w:val="00031E85"/>
    <w:rsid w:val="000333C5"/>
    <w:rsid w:val="00033863"/>
    <w:rsid w:val="0003444E"/>
    <w:rsid w:val="00034A02"/>
    <w:rsid w:val="00034CFC"/>
    <w:rsid w:val="00034D6F"/>
    <w:rsid w:val="00035DC0"/>
    <w:rsid w:val="00035F9D"/>
    <w:rsid w:val="00036829"/>
    <w:rsid w:val="00037B2B"/>
    <w:rsid w:val="00037CBF"/>
    <w:rsid w:val="00037EC2"/>
    <w:rsid w:val="00040009"/>
    <w:rsid w:val="00040208"/>
    <w:rsid w:val="00040895"/>
    <w:rsid w:val="00040D2A"/>
    <w:rsid w:val="00040E72"/>
    <w:rsid w:val="00041100"/>
    <w:rsid w:val="00041DE5"/>
    <w:rsid w:val="00041E09"/>
    <w:rsid w:val="00041EDB"/>
    <w:rsid w:val="00043545"/>
    <w:rsid w:val="000435EE"/>
    <w:rsid w:val="00043871"/>
    <w:rsid w:val="00043C37"/>
    <w:rsid w:val="00044CC4"/>
    <w:rsid w:val="00045017"/>
    <w:rsid w:val="00045406"/>
    <w:rsid w:val="00045518"/>
    <w:rsid w:val="00045A2B"/>
    <w:rsid w:val="00045DC3"/>
    <w:rsid w:val="000465AF"/>
    <w:rsid w:val="0004698F"/>
    <w:rsid w:val="00047068"/>
    <w:rsid w:val="00047CF3"/>
    <w:rsid w:val="00050694"/>
    <w:rsid w:val="000509C8"/>
    <w:rsid w:val="00050EC6"/>
    <w:rsid w:val="00051700"/>
    <w:rsid w:val="00051EEE"/>
    <w:rsid w:val="000523CB"/>
    <w:rsid w:val="000527F2"/>
    <w:rsid w:val="00053031"/>
    <w:rsid w:val="000539D0"/>
    <w:rsid w:val="00054621"/>
    <w:rsid w:val="000546D7"/>
    <w:rsid w:val="00054D6F"/>
    <w:rsid w:val="00056696"/>
    <w:rsid w:val="00056796"/>
    <w:rsid w:val="00056ECF"/>
    <w:rsid w:val="00060326"/>
    <w:rsid w:val="000604DF"/>
    <w:rsid w:val="000617BB"/>
    <w:rsid w:val="00062AA4"/>
    <w:rsid w:val="00063771"/>
    <w:rsid w:val="000648FD"/>
    <w:rsid w:val="00064A93"/>
    <w:rsid w:val="000650DA"/>
    <w:rsid w:val="000653B5"/>
    <w:rsid w:val="000658DB"/>
    <w:rsid w:val="00066360"/>
    <w:rsid w:val="0006693B"/>
    <w:rsid w:val="00066AF8"/>
    <w:rsid w:val="00067CE2"/>
    <w:rsid w:val="000700C6"/>
    <w:rsid w:val="00070EE5"/>
    <w:rsid w:val="00071248"/>
    <w:rsid w:val="000715C7"/>
    <w:rsid w:val="000719AE"/>
    <w:rsid w:val="000720B9"/>
    <w:rsid w:val="000723FF"/>
    <w:rsid w:val="00072EFC"/>
    <w:rsid w:val="000733E5"/>
    <w:rsid w:val="000737F7"/>
    <w:rsid w:val="00074A63"/>
    <w:rsid w:val="000751C6"/>
    <w:rsid w:val="00075B4A"/>
    <w:rsid w:val="00075F1B"/>
    <w:rsid w:val="00076491"/>
    <w:rsid w:val="00076500"/>
    <w:rsid w:val="00076618"/>
    <w:rsid w:val="00076701"/>
    <w:rsid w:val="0007672F"/>
    <w:rsid w:val="00076B54"/>
    <w:rsid w:val="00076F0E"/>
    <w:rsid w:val="0007736A"/>
    <w:rsid w:val="000774F0"/>
    <w:rsid w:val="000805F5"/>
    <w:rsid w:val="00080909"/>
    <w:rsid w:val="00080D70"/>
    <w:rsid w:val="000812CA"/>
    <w:rsid w:val="00081E63"/>
    <w:rsid w:val="0008258D"/>
    <w:rsid w:val="000834B6"/>
    <w:rsid w:val="000837E5"/>
    <w:rsid w:val="00083E99"/>
    <w:rsid w:val="00084232"/>
    <w:rsid w:val="00084FA8"/>
    <w:rsid w:val="000856C5"/>
    <w:rsid w:val="0008578A"/>
    <w:rsid w:val="00085C31"/>
    <w:rsid w:val="00085CE8"/>
    <w:rsid w:val="00085CFE"/>
    <w:rsid w:val="0008667D"/>
    <w:rsid w:val="00087527"/>
    <w:rsid w:val="000875F9"/>
    <w:rsid w:val="00087946"/>
    <w:rsid w:val="00087A19"/>
    <w:rsid w:val="000902D9"/>
    <w:rsid w:val="00090BD0"/>
    <w:rsid w:val="00090C7E"/>
    <w:rsid w:val="00091FAC"/>
    <w:rsid w:val="00092600"/>
    <w:rsid w:val="0009262B"/>
    <w:rsid w:val="00092B6E"/>
    <w:rsid w:val="00093310"/>
    <w:rsid w:val="000934EF"/>
    <w:rsid w:val="0009354D"/>
    <w:rsid w:val="0009445C"/>
    <w:rsid w:val="00095200"/>
    <w:rsid w:val="0009551C"/>
    <w:rsid w:val="000956DD"/>
    <w:rsid w:val="00095FE5"/>
    <w:rsid w:val="00096284"/>
    <w:rsid w:val="000963A3"/>
    <w:rsid w:val="0009776D"/>
    <w:rsid w:val="00097B5D"/>
    <w:rsid w:val="000A1BC0"/>
    <w:rsid w:val="000A2AFB"/>
    <w:rsid w:val="000A6039"/>
    <w:rsid w:val="000A6411"/>
    <w:rsid w:val="000A676B"/>
    <w:rsid w:val="000A71A1"/>
    <w:rsid w:val="000A7453"/>
    <w:rsid w:val="000A7693"/>
    <w:rsid w:val="000A76EE"/>
    <w:rsid w:val="000A79C5"/>
    <w:rsid w:val="000A7D08"/>
    <w:rsid w:val="000B0121"/>
    <w:rsid w:val="000B0670"/>
    <w:rsid w:val="000B0E47"/>
    <w:rsid w:val="000B0E75"/>
    <w:rsid w:val="000B171C"/>
    <w:rsid w:val="000B1A83"/>
    <w:rsid w:val="000B1A8D"/>
    <w:rsid w:val="000B2DCB"/>
    <w:rsid w:val="000B3249"/>
    <w:rsid w:val="000B33BE"/>
    <w:rsid w:val="000B350B"/>
    <w:rsid w:val="000B38EC"/>
    <w:rsid w:val="000B3A9F"/>
    <w:rsid w:val="000B3D37"/>
    <w:rsid w:val="000B3E23"/>
    <w:rsid w:val="000B4DE0"/>
    <w:rsid w:val="000B57FE"/>
    <w:rsid w:val="000B5CE0"/>
    <w:rsid w:val="000B5F9F"/>
    <w:rsid w:val="000B6CAC"/>
    <w:rsid w:val="000B7612"/>
    <w:rsid w:val="000B78AE"/>
    <w:rsid w:val="000C0B65"/>
    <w:rsid w:val="000C1046"/>
    <w:rsid w:val="000C18B3"/>
    <w:rsid w:val="000C2195"/>
    <w:rsid w:val="000C23C6"/>
    <w:rsid w:val="000C250F"/>
    <w:rsid w:val="000C2A12"/>
    <w:rsid w:val="000C3DF9"/>
    <w:rsid w:val="000C3E76"/>
    <w:rsid w:val="000C3F9A"/>
    <w:rsid w:val="000C4548"/>
    <w:rsid w:val="000C4D24"/>
    <w:rsid w:val="000C5C7F"/>
    <w:rsid w:val="000C5E35"/>
    <w:rsid w:val="000C6713"/>
    <w:rsid w:val="000C69F5"/>
    <w:rsid w:val="000C7D13"/>
    <w:rsid w:val="000D0E3B"/>
    <w:rsid w:val="000D0EE4"/>
    <w:rsid w:val="000D0FEF"/>
    <w:rsid w:val="000D1BFC"/>
    <w:rsid w:val="000D1D5D"/>
    <w:rsid w:val="000D281A"/>
    <w:rsid w:val="000D2848"/>
    <w:rsid w:val="000D284F"/>
    <w:rsid w:val="000D326A"/>
    <w:rsid w:val="000D4607"/>
    <w:rsid w:val="000D4CD9"/>
    <w:rsid w:val="000D5150"/>
    <w:rsid w:val="000D51FB"/>
    <w:rsid w:val="000D578D"/>
    <w:rsid w:val="000D5E49"/>
    <w:rsid w:val="000D6ABA"/>
    <w:rsid w:val="000D7248"/>
    <w:rsid w:val="000E0640"/>
    <w:rsid w:val="000E111E"/>
    <w:rsid w:val="000E135D"/>
    <w:rsid w:val="000E25A1"/>
    <w:rsid w:val="000E2D69"/>
    <w:rsid w:val="000E34A4"/>
    <w:rsid w:val="000E5E50"/>
    <w:rsid w:val="000E67B9"/>
    <w:rsid w:val="000E6961"/>
    <w:rsid w:val="000E7407"/>
    <w:rsid w:val="000E7488"/>
    <w:rsid w:val="000F00BA"/>
    <w:rsid w:val="000F016A"/>
    <w:rsid w:val="000F2CC9"/>
    <w:rsid w:val="000F2E59"/>
    <w:rsid w:val="000F3060"/>
    <w:rsid w:val="000F316A"/>
    <w:rsid w:val="000F3C74"/>
    <w:rsid w:val="000F44BD"/>
    <w:rsid w:val="000F45DA"/>
    <w:rsid w:val="000F4BB8"/>
    <w:rsid w:val="000F4D65"/>
    <w:rsid w:val="000F4E23"/>
    <w:rsid w:val="000F4F1E"/>
    <w:rsid w:val="000F4FA9"/>
    <w:rsid w:val="000F5211"/>
    <w:rsid w:val="000F53FB"/>
    <w:rsid w:val="000F5C5F"/>
    <w:rsid w:val="000F5F6E"/>
    <w:rsid w:val="000F6A9E"/>
    <w:rsid w:val="000F6D8C"/>
    <w:rsid w:val="000F6DA1"/>
    <w:rsid w:val="000F7004"/>
    <w:rsid w:val="000F7127"/>
    <w:rsid w:val="000F7A90"/>
    <w:rsid w:val="000F7B54"/>
    <w:rsid w:val="00100561"/>
    <w:rsid w:val="00100F8A"/>
    <w:rsid w:val="00102FF2"/>
    <w:rsid w:val="00103B81"/>
    <w:rsid w:val="0010452E"/>
    <w:rsid w:val="00104F79"/>
    <w:rsid w:val="0010514F"/>
    <w:rsid w:val="00105603"/>
    <w:rsid w:val="001057D0"/>
    <w:rsid w:val="00105A54"/>
    <w:rsid w:val="00105AE2"/>
    <w:rsid w:val="001060C6"/>
    <w:rsid w:val="0010644B"/>
    <w:rsid w:val="00106B80"/>
    <w:rsid w:val="00107C96"/>
    <w:rsid w:val="001102D9"/>
    <w:rsid w:val="0011032E"/>
    <w:rsid w:val="00111376"/>
    <w:rsid w:val="001115E8"/>
    <w:rsid w:val="00111EA3"/>
    <w:rsid w:val="0011303C"/>
    <w:rsid w:val="00113184"/>
    <w:rsid w:val="0011348B"/>
    <w:rsid w:val="00113BCA"/>
    <w:rsid w:val="001150EC"/>
    <w:rsid w:val="00115982"/>
    <w:rsid w:val="00116C53"/>
    <w:rsid w:val="0011717E"/>
    <w:rsid w:val="00117A79"/>
    <w:rsid w:val="00120034"/>
    <w:rsid w:val="00120571"/>
    <w:rsid w:val="00120F0D"/>
    <w:rsid w:val="00121799"/>
    <w:rsid w:val="00121B59"/>
    <w:rsid w:val="001222FC"/>
    <w:rsid w:val="001235E0"/>
    <w:rsid w:val="001236BE"/>
    <w:rsid w:val="00123902"/>
    <w:rsid w:val="001242E3"/>
    <w:rsid w:val="00124A51"/>
    <w:rsid w:val="00125782"/>
    <w:rsid w:val="00125F32"/>
    <w:rsid w:val="00126621"/>
    <w:rsid w:val="00126B1D"/>
    <w:rsid w:val="00126B27"/>
    <w:rsid w:val="00126EF8"/>
    <w:rsid w:val="001272ED"/>
    <w:rsid w:val="00127310"/>
    <w:rsid w:val="001276F8"/>
    <w:rsid w:val="001301E9"/>
    <w:rsid w:val="00130326"/>
    <w:rsid w:val="00130889"/>
    <w:rsid w:val="0013162B"/>
    <w:rsid w:val="001316F4"/>
    <w:rsid w:val="00131D82"/>
    <w:rsid w:val="00132A63"/>
    <w:rsid w:val="00132B22"/>
    <w:rsid w:val="00133D36"/>
    <w:rsid w:val="00135262"/>
    <w:rsid w:val="00135332"/>
    <w:rsid w:val="001358FF"/>
    <w:rsid w:val="0013731C"/>
    <w:rsid w:val="001373C8"/>
    <w:rsid w:val="00137645"/>
    <w:rsid w:val="00140124"/>
    <w:rsid w:val="0014015A"/>
    <w:rsid w:val="00140E99"/>
    <w:rsid w:val="0014119A"/>
    <w:rsid w:val="00141215"/>
    <w:rsid w:val="0014195D"/>
    <w:rsid w:val="0014204E"/>
    <w:rsid w:val="001429C2"/>
    <w:rsid w:val="00143F67"/>
    <w:rsid w:val="00145044"/>
    <w:rsid w:val="0014545B"/>
    <w:rsid w:val="00145540"/>
    <w:rsid w:val="001456B0"/>
    <w:rsid w:val="00145910"/>
    <w:rsid w:val="001467DC"/>
    <w:rsid w:val="00146B75"/>
    <w:rsid w:val="00147929"/>
    <w:rsid w:val="00150F39"/>
    <w:rsid w:val="00151489"/>
    <w:rsid w:val="001518EC"/>
    <w:rsid w:val="0015192A"/>
    <w:rsid w:val="00151CD0"/>
    <w:rsid w:val="00152E4A"/>
    <w:rsid w:val="0015398C"/>
    <w:rsid w:val="00153AF0"/>
    <w:rsid w:val="00153CED"/>
    <w:rsid w:val="0015443B"/>
    <w:rsid w:val="0015445A"/>
    <w:rsid w:val="0015631E"/>
    <w:rsid w:val="00156F8F"/>
    <w:rsid w:val="00157130"/>
    <w:rsid w:val="001571C2"/>
    <w:rsid w:val="001576B1"/>
    <w:rsid w:val="00157D76"/>
    <w:rsid w:val="001602DE"/>
    <w:rsid w:val="0016047B"/>
    <w:rsid w:val="00160A4C"/>
    <w:rsid w:val="00160D48"/>
    <w:rsid w:val="0016151F"/>
    <w:rsid w:val="00162913"/>
    <w:rsid w:val="00163910"/>
    <w:rsid w:val="00163EFF"/>
    <w:rsid w:val="00163F66"/>
    <w:rsid w:val="00164113"/>
    <w:rsid w:val="00164B42"/>
    <w:rsid w:val="001659FE"/>
    <w:rsid w:val="00165C43"/>
    <w:rsid w:val="001661FB"/>
    <w:rsid w:val="00166732"/>
    <w:rsid w:val="00166DB8"/>
    <w:rsid w:val="001671A0"/>
    <w:rsid w:val="0016767F"/>
    <w:rsid w:val="0017026D"/>
    <w:rsid w:val="0017030F"/>
    <w:rsid w:val="00171807"/>
    <w:rsid w:val="00171851"/>
    <w:rsid w:val="00171CF3"/>
    <w:rsid w:val="00172DA7"/>
    <w:rsid w:val="00172DFB"/>
    <w:rsid w:val="00173565"/>
    <w:rsid w:val="00173B07"/>
    <w:rsid w:val="00173CB4"/>
    <w:rsid w:val="001744CB"/>
    <w:rsid w:val="0017468D"/>
    <w:rsid w:val="00174BBD"/>
    <w:rsid w:val="001751FA"/>
    <w:rsid w:val="00175444"/>
    <w:rsid w:val="001763BB"/>
    <w:rsid w:val="001802DE"/>
    <w:rsid w:val="00180647"/>
    <w:rsid w:val="0018189B"/>
    <w:rsid w:val="00181D9C"/>
    <w:rsid w:val="001826A5"/>
    <w:rsid w:val="001829E0"/>
    <w:rsid w:val="00183D89"/>
    <w:rsid w:val="001842AC"/>
    <w:rsid w:val="001843D9"/>
    <w:rsid w:val="00184B0E"/>
    <w:rsid w:val="00186B42"/>
    <w:rsid w:val="00187424"/>
    <w:rsid w:val="0018752F"/>
    <w:rsid w:val="00190F6B"/>
    <w:rsid w:val="0019127A"/>
    <w:rsid w:val="00192925"/>
    <w:rsid w:val="00193838"/>
    <w:rsid w:val="00194AD8"/>
    <w:rsid w:val="00194CBE"/>
    <w:rsid w:val="00195222"/>
    <w:rsid w:val="00195278"/>
    <w:rsid w:val="00195E0B"/>
    <w:rsid w:val="001963F8"/>
    <w:rsid w:val="00196751"/>
    <w:rsid w:val="001975D8"/>
    <w:rsid w:val="001A0630"/>
    <w:rsid w:val="001A0F30"/>
    <w:rsid w:val="001A124E"/>
    <w:rsid w:val="001A178E"/>
    <w:rsid w:val="001A3C44"/>
    <w:rsid w:val="001A43FA"/>
    <w:rsid w:val="001A45A0"/>
    <w:rsid w:val="001A47AF"/>
    <w:rsid w:val="001A47C5"/>
    <w:rsid w:val="001A48DC"/>
    <w:rsid w:val="001A4BB6"/>
    <w:rsid w:val="001A59FB"/>
    <w:rsid w:val="001A5E9E"/>
    <w:rsid w:val="001A6083"/>
    <w:rsid w:val="001A60BC"/>
    <w:rsid w:val="001A6130"/>
    <w:rsid w:val="001A6354"/>
    <w:rsid w:val="001A6366"/>
    <w:rsid w:val="001A7183"/>
    <w:rsid w:val="001A7543"/>
    <w:rsid w:val="001A774B"/>
    <w:rsid w:val="001A7AE8"/>
    <w:rsid w:val="001B00B9"/>
    <w:rsid w:val="001B0FB1"/>
    <w:rsid w:val="001B1F11"/>
    <w:rsid w:val="001B204E"/>
    <w:rsid w:val="001B2372"/>
    <w:rsid w:val="001B2EBF"/>
    <w:rsid w:val="001B3443"/>
    <w:rsid w:val="001B4D20"/>
    <w:rsid w:val="001B7134"/>
    <w:rsid w:val="001B7AC4"/>
    <w:rsid w:val="001C020A"/>
    <w:rsid w:val="001C1373"/>
    <w:rsid w:val="001C14A3"/>
    <w:rsid w:val="001C1821"/>
    <w:rsid w:val="001C1FC4"/>
    <w:rsid w:val="001C2A9B"/>
    <w:rsid w:val="001C2AAB"/>
    <w:rsid w:val="001C2FDC"/>
    <w:rsid w:val="001C31BF"/>
    <w:rsid w:val="001C40AD"/>
    <w:rsid w:val="001C4299"/>
    <w:rsid w:val="001C4730"/>
    <w:rsid w:val="001C4874"/>
    <w:rsid w:val="001C513C"/>
    <w:rsid w:val="001C5F94"/>
    <w:rsid w:val="001C6091"/>
    <w:rsid w:val="001C60A7"/>
    <w:rsid w:val="001C6831"/>
    <w:rsid w:val="001C690D"/>
    <w:rsid w:val="001C6A61"/>
    <w:rsid w:val="001C6C90"/>
    <w:rsid w:val="001C6CC5"/>
    <w:rsid w:val="001C6E66"/>
    <w:rsid w:val="001C6F11"/>
    <w:rsid w:val="001C7482"/>
    <w:rsid w:val="001C7497"/>
    <w:rsid w:val="001C7C74"/>
    <w:rsid w:val="001C7CC8"/>
    <w:rsid w:val="001D1100"/>
    <w:rsid w:val="001D1391"/>
    <w:rsid w:val="001D1813"/>
    <w:rsid w:val="001D1988"/>
    <w:rsid w:val="001D1EE5"/>
    <w:rsid w:val="001D25BF"/>
    <w:rsid w:val="001D25D7"/>
    <w:rsid w:val="001D28E5"/>
    <w:rsid w:val="001D33D6"/>
    <w:rsid w:val="001D3DB3"/>
    <w:rsid w:val="001D3F19"/>
    <w:rsid w:val="001D4276"/>
    <w:rsid w:val="001D4947"/>
    <w:rsid w:val="001D504D"/>
    <w:rsid w:val="001D50B2"/>
    <w:rsid w:val="001D50D0"/>
    <w:rsid w:val="001D52B7"/>
    <w:rsid w:val="001D54B0"/>
    <w:rsid w:val="001D54C1"/>
    <w:rsid w:val="001D5599"/>
    <w:rsid w:val="001D7645"/>
    <w:rsid w:val="001D7F1A"/>
    <w:rsid w:val="001E0557"/>
    <w:rsid w:val="001E07B3"/>
    <w:rsid w:val="001E1E86"/>
    <w:rsid w:val="001E21CB"/>
    <w:rsid w:val="001E238E"/>
    <w:rsid w:val="001E2483"/>
    <w:rsid w:val="001E2B1E"/>
    <w:rsid w:val="001E2CFF"/>
    <w:rsid w:val="001E2D62"/>
    <w:rsid w:val="001E2F24"/>
    <w:rsid w:val="001E30D4"/>
    <w:rsid w:val="001E34DF"/>
    <w:rsid w:val="001E4CB0"/>
    <w:rsid w:val="001E4F44"/>
    <w:rsid w:val="001E52EB"/>
    <w:rsid w:val="001E5312"/>
    <w:rsid w:val="001E6059"/>
    <w:rsid w:val="001E61D2"/>
    <w:rsid w:val="001E6CC9"/>
    <w:rsid w:val="001E740C"/>
    <w:rsid w:val="001F1235"/>
    <w:rsid w:val="001F1CB3"/>
    <w:rsid w:val="001F2433"/>
    <w:rsid w:val="001F38B5"/>
    <w:rsid w:val="001F39BB"/>
    <w:rsid w:val="001F4081"/>
    <w:rsid w:val="001F4CEE"/>
    <w:rsid w:val="001F53E8"/>
    <w:rsid w:val="001F6A14"/>
    <w:rsid w:val="001F6BA6"/>
    <w:rsid w:val="001F6C4A"/>
    <w:rsid w:val="001F7361"/>
    <w:rsid w:val="002000DA"/>
    <w:rsid w:val="00201129"/>
    <w:rsid w:val="002011B0"/>
    <w:rsid w:val="00202DFA"/>
    <w:rsid w:val="00203181"/>
    <w:rsid w:val="00203783"/>
    <w:rsid w:val="0020385F"/>
    <w:rsid w:val="0020503C"/>
    <w:rsid w:val="002068A0"/>
    <w:rsid w:val="00207021"/>
    <w:rsid w:val="002072AD"/>
    <w:rsid w:val="0020732F"/>
    <w:rsid w:val="0020790B"/>
    <w:rsid w:val="00207D00"/>
    <w:rsid w:val="00207EE8"/>
    <w:rsid w:val="002105C1"/>
    <w:rsid w:val="00210938"/>
    <w:rsid w:val="00210ECB"/>
    <w:rsid w:val="00210FBB"/>
    <w:rsid w:val="0021125E"/>
    <w:rsid w:val="00212606"/>
    <w:rsid w:val="00212A9D"/>
    <w:rsid w:val="00213EF5"/>
    <w:rsid w:val="00214EE6"/>
    <w:rsid w:val="0021589B"/>
    <w:rsid w:val="00215AA5"/>
    <w:rsid w:val="00216BF5"/>
    <w:rsid w:val="00216E27"/>
    <w:rsid w:val="0022000E"/>
    <w:rsid w:val="002203B1"/>
    <w:rsid w:val="00221726"/>
    <w:rsid w:val="00221767"/>
    <w:rsid w:val="00223AEA"/>
    <w:rsid w:val="00223B49"/>
    <w:rsid w:val="00223D5A"/>
    <w:rsid w:val="00224673"/>
    <w:rsid w:val="00224DD4"/>
    <w:rsid w:val="00225ACB"/>
    <w:rsid w:val="00226543"/>
    <w:rsid w:val="002278A0"/>
    <w:rsid w:val="002309CC"/>
    <w:rsid w:val="00231877"/>
    <w:rsid w:val="0023209F"/>
    <w:rsid w:val="0023225F"/>
    <w:rsid w:val="00233C01"/>
    <w:rsid w:val="00234085"/>
    <w:rsid w:val="0023413C"/>
    <w:rsid w:val="002342B3"/>
    <w:rsid w:val="002346F0"/>
    <w:rsid w:val="00234CFE"/>
    <w:rsid w:val="00235974"/>
    <w:rsid w:val="0023629D"/>
    <w:rsid w:val="002367C0"/>
    <w:rsid w:val="00237255"/>
    <w:rsid w:val="002375D8"/>
    <w:rsid w:val="00237C09"/>
    <w:rsid w:val="002409E1"/>
    <w:rsid w:val="00240C79"/>
    <w:rsid w:val="00241995"/>
    <w:rsid w:val="00242259"/>
    <w:rsid w:val="002424AF"/>
    <w:rsid w:val="0024292C"/>
    <w:rsid w:val="0024356A"/>
    <w:rsid w:val="002439DC"/>
    <w:rsid w:val="00243D12"/>
    <w:rsid w:val="00243E64"/>
    <w:rsid w:val="002441D2"/>
    <w:rsid w:val="00244DC8"/>
    <w:rsid w:val="002458BA"/>
    <w:rsid w:val="00245CE9"/>
    <w:rsid w:val="00245FCF"/>
    <w:rsid w:val="0024636C"/>
    <w:rsid w:val="002474A0"/>
    <w:rsid w:val="00247925"/>
    <w:rsid w:val="00247E92"/>
    <w:rsid w:val="00250507"/>
    <w:rsid w:val="00250970"/>
    <w:rsid w:val="00250E91"/>
    <w:rsid w:val="00251006"/>
    <w:rsid w:val="002524D5"/>
    <w:rsid w:val="00252525"/>
    <w:rsid w:val="00253B1D"/>
    <w:rsid w:val="002546B1"/>
    <w:rsid w:val="00254DCF"/>
    <w:rsid w:val="00254FF2"/>
    <w:rsid w:val="0025534B"/>
    <w:rsid w:val="00255737"/>
    <w:rsid w:val="00255A4E"/>
    <w:rsid w:val="00255A5F"/>
    <w:rsid w:val="00255BB7"/>
    <w:rsid w:val="00256D15"/>
    <w:rsid w:val="0025734C"/>
    <w:rsid w:val="00257541"/>
    <w:rsid w:val="00257A39"/>
    <w:rsid w:val="00257AC4"/>
    <w:rsid w:val="00260331"/>
    <w:rsid w:val="00260B80"/>
    <w:rsid w:val="00260F0D"/>
    <w:rsid w:val="00261EEF"/>
    <w:rsid w:val="00262603"/>
    <w:rsid w:val="00262A1A"/>
    <w:rsid w:val="00262A87"/>
    <w:rsid w:val="00262F64"/>
    <w:rsid w:val="0026332D"/>
    <w:rsid w:val="00263359"/>
    <w:rsid w:val="0026496E"/>
    <w:rsid w:val="00264D26"/>
    <w:rsid w:val="00266185"/>
    <w:rsid w:val="0026703E"/>
    <w:rsid w:val="00267642"/>
    <w:rsid w:val="0026788F"/>
    <w:rsid w:val="00267AEA"/>
    <w:rsid w:val="002700E6"/>
    <w:rsid w:val="002705F3"/>
    <w:rsid w:val="00270CA4"/>
    <w:rsid w:val="00271325"/>
    <w:rsid w:val="00272298"/>
    <w:rsid w:val="0027294B"/>
    <w:rsid w:val="002735F4"/>
    <w:rsid w:val="002738E6"/>
    <w:rsid w:val="00273EB4"/>
    <w:rsid w:val="00273F25"/>
    <w:rsid w:val="00274682"/>
    <w:rsid w:val="00274944"/>
    <w:rsid w:val="002749F7"/>
    <w:rsid w:val="00274A61"/>
    <w:rsid w:val="002751DB"/>
    <w:rsid w:val="002759E6"/>
    <w:rsid w:val="00275C5A"/>
    <w:rsid w:val="00276F4F"/>
    <w:rsid w:val="00277BFB"/>
    <w:rsid w:val="0028091A"/>
    <w:rsid w:val="00280A10"/>
    <w:rsid w:val="00280BEB"/>
    <w:rsid w:val="00280EAE"/>
    <w:rsid w:val="00281014"/>
    <w:rsid w:val="00281163"/>
    <w:rsid w:val="00281F35"/>
    <w:rsid w:val="00282B20"/>
    <w:rsid w:val="0028322D"/>
    <w:rsid w:val="0028383B"/>
    <w:rsid w:val="00283E0A"/>
    <w:rsid w:val="00284485"/>
    <w:rsid w:val="00284E3C"/>
    <w:rsid w:val="0028516C"/>
    <w:rsid w:val="0028665D"/>
    <w:rsid w:val="002867AF"/>
    <w:rsid w:val="00286956"/>
    <w:rsid w:val="002869D1"/>
    <w:rsid w:val="00286B33"/>
    <w:rsid w:val="002912F9"/>
    <w:rsid w:val="002915AC"/>
    <w:rsid w:val="00292126"/>
    <w:rsid w:val="0029318B"/>
    <w:rsid w:val="00293B7D"/>
    <w:rsid w:val="00293D10"/>
    <w:rsid w:val="00294A23"/>
    <w:rsid w:val="00294D0B"/>
    <w:rsid w:val="00294EEC"/>
    <w:rsid w:val="00295C4E"/>
    <w:rsid w:val="00295DAC"/>
    <w:rsid w:val="002968FB"/>
    <w:rsid w:val="00296958"/>
    <w:rsid w:val="00296C71"/>
    <w:rsid w:val="002A03AA"/>
    <w:rsid w:val="002A14AB"/>
    <w:rsid w:val="002A2241"/>
    <w:rsid w:val="002A2379"/>
    <w:rsid w:val="002A2ADE"/>
    <w:rsid w:val="002A2F50"/>
    <w:rsid w:val="002A3C8F"/>
    <w:rsid w:val="002A4CC5"/>
    <w:rsid w:val="002A6C23"/>
    <w:rsid w:val="002A7042"/>
    <w:rsid w:val="002B0341"/>
    <w:rsid w:val="002B05A1"/>
    <w:rsid w:val="002B064D"/>
    <w:rsid w:val="002B09A4"/>
    <w:rsid w:val="002B0BC3"/>
    <w:rsid w:val="002B1BB5"/>
    <w:rsid w:val="002B1C1F"/>
    <w:rsid w:val="002B3C09"/>
    <w:rsid w:val="002B432F"/>
    <w:rsid w:val="002B53D1"/>
    <w:rsid w:val="002B55A1"/>
    <w:rsid w:val="002B5C0E"/>
    <w:rsid w:val="002B62B3"/>
    <w:rsid w:val="002B6754"/>
    <w:rsid w:val="002B69DE"/>
    <w:rsid w:val="002B6CCE"/>
    <w:rsid w:val="002B7160"/>
    <w:rsid w:val="002B7954"/>
    <w:rsid w:val="002B7FE0"/>
    <w:rsid w:val="002C1D1A"/>
    <w:rsid w:val="002C1DF9"/>
    <w:rsid w:val="002C20C1"/>
    <w:rsid w:val="002C214C"/>
    <w:rsid w:val="002C2510"/>
    <w:rsid w:val="002C2775"/>
    <w:rsid w:val="002C27C1"/>
    <w:rsid w:val="002C2FBB"/>
    <w:rsid w:val="002C4873"/>
    <w:rsid w:val="002C5099"/>
    <w:rsid w:val="002C5889"/>
    <w:rsid w:val="002C71CE"/>
    <w:rsid w:val="002C776C"/>
    <w:rsid w:val="002C7B63"/>
    <w:rsid w:val="002D0549"/>
    <w:rsid w:val="002D08F8"/>
    <w:rsid w:val="002D11D0"/>
    <w:rsid w:val="002D1EF0"/>
    <w:rsid w:val="002D307A"/>
    <w:rsid w:val="002D311B"/>
    <w:rsid w:val="002D3AC6"/>
    <w:rsid w:val="002D4215"/>
    <w:rsid w:val="002D4B55"/>
    <w:rsid w:val="002D577C"/>
    <w:rsid w:val="002D5EDB"/>
    <w:rsid w:val="002D616E"/>
    <w:rsid w:val="002D6326"/>
    <w:rsid w:val="002E0385"/>
    <w:rsid w:val="002E1071"/>
    <w:rsid w:val="002E15B9"/>
    <w:rsid w:val="002E1C0D"/>
    <w:rsid w:val="002E2158"/>
    <w:rsid w:val="002E2319"/>
    <w:rsid w:val="002E286C"/>
    <w:rsid w:val="002E3946"/>
    <w:rsid w:val="002E49B9"/>
    <w:rsid w:val="002E4F02"/>
    <w:rsid w:val="002E516E"/>
    <w:rsid w:val="002E63D7"/>
    <w:rsid w:val="002E67B1"/>
    <w:rsid w:val="002E6B84"/>
    <w:rsid w:val="002E7324"/>
    <w:rsid w:val="002E7722"/>
    <w:rsid w:val="002F07BA"/>
    <w:rsid w:val="002F0DA9"/>
    <w:rsid w:val="002F1014"/>
    <w:rsid w:val="002F1D01"/>
    <w:rsid w:val="002F28C5"/>
    <w:rsid w:val="002F2DD1"/>
    <w:rsid w:val="002F3BC9"/>
    <w:rsid w:val="002F43E7"/>
    <w:rsid w:val="002F474C"/>
    <w:rsid w:val="002F4B8C"/>
    <w:rsid w:val="002F50A4"/>
    <w:rsid w:val="002F5118"/>
    <w:rsid w:val="002F53E3"/>
    <w:rsid w:val="002F5E0B"/>
    <w:rsid w:val="002F643C"/>
    <w:rsid w:val="002F71C0"/>
    <w:rsid w:val="002F74F1"/>
    <w:rsid w:val="0030011E"/>
    <w:rsid w:val="00300791"/>
    <w:rsid w:val="00300D08"/>
    <w:rsid w:val="00301017"/>
    <w:rsid w:val="003010E2"/>
    <w:rsid w:val="003011F8"/>
    <w:rsid w:val="003014AE"/>
    <w:rsid w:val="0030155F"/>
    <w:rsid w:val="00301A84"/>
    <w:rsid w:val="003023B6"/>
    <w:rsid w:val="00303527"/>
    <w:rsid w:val="00303847"/>
    <w:rsid w:val="003038C3"/>
    <w:rsid w:val="00303C44"/>
    <w:rsid w:val="00303D2C"/>
    <w:rsid w:val="00303DDE"/>
    <w:rsid w:val="003056FE"/>
    <w:rsid w:val="0030587B"/>
    <w:rsid w:val="00305BD8"/>
    <w:rsid w:val="00306B47"/>
    <w:rsid w:val="00306D98"/>
    <w:rsid w:val="003077C4"/>
    <w:rsid w:val="0030786C"/>
    <w:rsid w:val="0031031A"/>
    <w:rsid w:val="00310981"/>
    <w:rsid w:val="0031102F"/>
    <w:rsid w:val="0031121D"/>
    <w:rsid w:val="003113E7"/>
    <w:rsid w:val="00311751"/>
    <w:rsid w:val="00311F32"/>
    <w:rsid w:val="003123AB"/>
    <w:rsid w:val="003124D9"/>
    <w:rsid w:val="00312594"/>
    <w:rsid w:val="003131C7"/>
    <w:rsid w:val="00313790"/>
    <w:rsid w:val="00315498"/>
    <w:rsid w:val="0031566B"/>
    <w:rsid w:val="00315FD3"/>
    <w:rsid w:val="00316474"/>
    <w:rsid w:val="003169A9"/>
    <w:rsid w:val="003177AE"/>
    <w:rsid w:val="003177DF"/>
    <w:rsid w:val="00317BE4"/>
    <w:rsid w:val="00320120"/>
    <w:rsid w:val="00320732"/>
    <w:rsid w:val="00320D68"/>
    <w:rsid w:val="00321DAB"/>
    <w:rsid w:val="00322107"/>
    <w:rsid w:val="00322355"/>
    <w:rsid w:val="003225A3"/>
    <w:rsid w:val="00322846"/>
    <w:rsid w:val="00324D6A"/>
    <w:rsid w:val="00326DA7"/>
    <w:rsid w:val="003270E4"/>
    <w:rsid w:val="00327A14"/>
    <w:rsid w:val="00327EFA"/>
    <w:rsid w:val="00330DAA"/>
    <w:rsid w:val="00330F5C"/>
    <w:rsid w:val="00331211"/>
    <w:rsid w:val="0033154F"/>
    <w:rsid w:val="00331925"/>
    <w:rsid w:val="00331F4B"/>
    <w:rsid w:val="003328DF"/>
    <w:rsid w:val="003330D1"/>
    <w:rsid w:val="00333205"/>
    <w:rsid w:val="00335DC9"/>
    <w:rsid w:val="0033606A"/>
    <w:rsid w:val="003366C9"/>
    <w:rsid w:val="0033711B"/>
    <w:rsid w:val="003371B0"/>
    <w:rsid w:val="00337B61"/>
    <w:rsid w:val="00340DF1"/>
    <w:rsid w:val="003412E2"/>
    <w:rsid w:val="003419E0"/>
    <w:rsid w:val="003421B3"/>
    <w:rsid w:val="003451B9"/>
    <w:rsid w:val="003468BC"/>
    <w:rsid w:val="00346DED"/>
    <w:rsid w:val="003476A9"/>
    <w:rsid w:val="0035069C"/>
    <w:rsid w:val="00350E6B"/>
    <w:rsid w:val="003517F9"/>
    <w:rsid w:val="00351BA9"/>
    <w:rsid w:val="0035264C"/>
    <w:rsid w:val="003526DB"/>
    <w:rsid w:val="00352F4B"/>
    <w:rsid w:val="00352F4E"/>
    <w:rsid w:val="0035347F"/>
    <w:rsid w:val="00353669"/>
    <w:rsid w:val="00354498"/>
    <w:rsid w:val="00354EB3"/>
    <w:rsid w:val="00354F64"/>
    <w:rsid w:val="0035620E"/>
    <w:rsid w:val="00357C2D"/>
    <w:rsid w:val="00360345"/>
    <w:rsid w:val="003604F4"/>
    <w:rsid w:val="00361036"/>
    <w:rsid w:val="00361951"/>
    <w:rsid w:val="00361A05"/>
    <w:rsid w:val="00361AD3"/>
    <w:rsid w:val="003624C4"/>
    <w:rsid w:val="00362D79"/>
    <w:rsid w:val="00363B00"/>
    <w:rsid w:val="0036440B"/>
    <w:rsid w:val="00364DDD"/>
    <w:rsid w:val="003654AC"/>
    <w:rsid w:val="00366C12"/>
    <w:rsid w:val="00366CAD"/>
    <w:rsid w:val="003677E4"/>
    <w:rsid w:val="0036788A"/>
    <w:rsid w:val="003700A5"/>
    <w:rsid w:val="00370714"/>
    <w:rsid w:val="003710CF"/>
    <w:rsid w:val="00371C49"/>
    <w:rsid w:val="00371E59"/>
    <w:rsid w:val="0037219A"/>
    <w:rsid w:val="00372E9C"/>
    <w:rsid w:val="00372F87"/>
    <w:rsid w:val="0037358A"/>
    <w:rsid w:val="003750F6"/>
    <w:rsid w:val="00375A72"/>
    <w:rsid w:val="00375E01"/>
    <w:rsid w:val="003760FC"/>
    <w:rsid w:val="0037664E"/>
    <w:rsid w:val="00376961"/>
    <w:rsid w:val="00376A36"/>
    <w:rsid w:val="0037720D"/>
    <w:rsid w:val="00377E9B"/>
    <w:rsid w:val="00377F3A"/>
    <w:rsid w:val="00380845"/>
    <w:rsid w:val="00380DA6"/>
    <w:rsid w:val="00381054"/>
    <w:rsid w:val="00381662"/>
    <w:rsid w:val="003831B7"/>
    <w:rsid w:val="0038365C"/>
    <w:rsid w:val="0038369B"/>
    <w:rsid w:val="003836E7"/>
    <w:rsid w:val="00383B78"/>
    <w:rsid w:val="00384418"/>
    <w:rsid w:val="00384AE6"/>
    <w:rsid w:val="00384B4C"/>
    <w:rsid w:val="003859C1"/>
    <w:rsid w:val="00385A9D"/>
    <w:rsid w:val="00387C6E"/>
    <w:rsid w:val="003902B1"/>
    <w:rsid w:val="003907E1"/>
    <w:rsid w:val="0039179C"/>
    <w:rsid w:val="003923FA"/>
    <w:rsid w:val="00393C1D"/>
    <w:rsid w:val="0039442A"/>
    <w:rsid w:val="00395A9B"/>
    <w:rsid w:val="00396304"/>
    <w:rsid w:val="00396896"/>
    <w:rsid w:val="00396C31"/>
    <w:rsid w:val="00396FD0"/>
    <w:rsid w:val="003977F1"/>
    <w:rsid w:val="00397856"/>
    <w:rsid w:val="003979C2"/>
    <w:rsid w:val="003A00FE"/>
    <w:rsid w:val="003A02C2"/>
    <w:rsid w:val="003A1896"/>
    <w:rsid w:val="003A196C"/>
    <w:rsid w:val="003A1986"/>
    <w:rsid w:val="003A199D"/>
    <w:rsid w:val="003A1A7A"/>
    <w:rsid w:val="003A1D66"/>
    <w:rsid w:val="003A2072"/>
    <w:rsid w:val="003A2392"/>
    <w:rsid w:val="003A2831"/>
    <w:rsid w:val="003A2B18"/>
    <w:rsid w:val="003A3CB6"/>
    <w:rsid w:val="003A3ED1"/>
    <w:rsid w:val="003A440C"/>
    <w:rsid w:val="003A44DB"/>
    <w:rsid w:val="003A46B9"/>
    <w:rsid w:val="003A4C55"/>
    <w:rsid w:val="003A5107"/>
    <w:rsid w:val="003A51F9"/>
    <w:rsid w:val="003A5A0C"/>
    <w:rsid w:val="003A5F04"/>
    <w:rsid w:val="003A5F19"/>
    <w:rsid w:val="003A65BD"/>
    <w:rsid w:val="003A66BC"/>
    <w:rsid w:val="003A6819"/>
    <w:rsid w:val="003A69B7"/>
    <w:rsid w:val="003A6F97"/>
    <w:rsid w:val="003A70E6"/>
    <w:rsid w:val="003B00C2"/>
    <w:rsid w:val="003B0474"/>
    <w:rsid w:val="003B071E"/>
    <w:rsid w:val="003B1412"/>
    <w:rsid w:val="003B22CE"/>
    <w:rsid w:val="003B2976"/>
    <w:rsid w:val="003B3971"/>
    <w:rsid w:val="003B3DD0"/>
    <w:rsid w:val="003B3F78"/>
    <w:rsid w:val="003B40CB"/>
    <w:rsid w:val="003B55D1"/>
    <w:rsid w:val="003B5B61"/>
    <w:rsid w:val="003B6A1A"/>
    <w:rsid w:val="003B7488"/>
    <w:rsid w:val="003B7FC4"/>
    <w:rsid w:val="003C01B9"/>
    <w:rsid w:val="003C035F"/>
    <w:rsid w:val="003C07F2"/>
    <w:rsid w:val="003C1654"/>
    <w:rsid w:val="003C22FD"/>
    <w:rsid w:val="003C411F"/>
    <w:rsid w:val="003C4FD6"/>
    <w:rsid w:val="003C5542"/>
    <w:rsid w:val="003C5D64"/>
    <w:rsid w:val="003C7270"/>
    <w:rsid w:val="003C72ED"/>
    <w:rsid w:val="003C7833"/>
    <w:rsid w:val="003C7A54"/>
    <w:rsid w:val="003C7D19"/>
    <w:rsid w:val="003C7D2F"/>
    <w:rsid w:val="003D07E9"/>
    <w:rsid w:val="003D0B3B"/>
    <w:rsid w:val="003D0C29"/>
    <w:rsid w:val="003D15CA"/>
    <w:rsid w:val="003D1828"/>
    <w:rsid w:val="003D1DE4"/>
    <w:rsid w:val="003D1E9A"/>
    <w:rsid w:val="003D21C0"/>
    <w:rsid w:val="003D2422"/>
    <w:rsid w:val="003D3897"/>
    <w:rsid w:val="003D39A1"/>
    <w:rsid w:val="003D3FBF"/>
    <w:rsid w:val="003D4325"/>
    <w:rsid w:val="003D4493"/>
    <w:rsid w:val="003D4A30"/>
    <w:rsid w:val="003D4E92"/>
    <w:rsid w:val="003D72A6"/>
    <w:rsid w:val="003D7452"/>
    <w:rsid w:val="003D79BB"/>
    <w:rsid w:val="003D7C98"/>
    <w:rsid w:val="003D7D04"/>
    <w:rsid w:val="003D7D9D"/>
    <w:rsid w:val="003E0033"/>
    <w:rsid w:val="003E0543"/>
    <w:rsid w:val="003E0631"/>
    <w:rsid w:val="003E08D7"/>
    <w:rsid w:val="003E136B"/>
    <w:rsid w:val="003E1CE5"/>
    <w:rsid w:val="003E24A7"/>
    <w:rsid w:val="003E2650"/>
    <w:rsid w:val="003E295E"/>
    <w:rsid w:val="003E3C35"/>
    <w:rsid w:val="003E4C83"/>
    <w:rsid w:val="003E560B"/>
    <w:rsid w:val="003E63A4"/>
    <w:rsid w:val="003E73F9"/>
    <w:rsid w:val="003E740B"/>
    <w:rsid w:val="003E749E"/>
    <w:rsid w:val="003E77EC"/>
    <w:rsid w:val="003E7941"/>
    <w:rsid w:val="003E7978"/>
    <w:rsid w:val="003F1D23"/>
    <w:rsid w:val="003F2117"/>
    <w:rsid w:val="003F2552"/>
    <w:rsid w:val="003F2934"/>
    <w:rsid w:val="003F29A3"/>
    <w:rsid w:val="003F2C3D"/>
    <w:rsid w:val="003F4156"/>
    <w:rsid w:val="003F4F07"/>
    <w:rsid w:val="003F502A"/>
    <w:rsid w:val="003F590F"/>
    <w:rsid w:val="003F5ADF"/>
    <w:rsid w:val="003F767C"/>
    <w:rsid w:val="0040056D"/>
    <w:rsid w:val="00400B29"/>
    <w:rsid w:val="00401020"/>
    <w:rsid w:val="00401160"/>
    <w:rsid w:val="00401C58"/>
    <w:rsid w:val="00401E22"/>
    <w:rsid w:val="00402655"/>
    <w:rsid w:val="00402F66"/>
    <w:rsid w:val="00403868"/>
    <w:rsid w:val="004045A4"/>
    <w:rsid w:val="00404B14"/>
    <w:rsid w:val="00404D69"/>
    <w:rsid w:val="0040504B"/>
    <w:rsid w:val="004059F4"/>
    <w:rsid w:val="00406137"/>
    <w:rsid w:val="00407A31"/>
    <w:rsid w:val="00407FD2"/>
    <w:rsid w:val="00407FE5"/>
    <w:rsid w:val="004101B0"/>
    <w:rsid w:val="00410326"/>
    <w:rsid w:val="00410708"/>
    <w:rsid w:val="00410EC7"/>
    <w:rsid w:val="004116E3"/>
    <w:rsid w:val="00411AE8"/>
    <w:rsid w:val="00411B39"/>
    <w:rsid w:val="004124D8"/>
    <w:rsid w:val="004127A7"/>
    <w:rsid w:val="004128FB"/>
    <w:rsid w:val="00412F33"/>
    <w:rsid w:val="00413043"/>
    <w:rsid w:val="00413A1E"/>
    <w:rsid w:val="00413D7F"/>
    <w:rsid w:val="00414476"/>
    <w:rsid w:val="00414C2E"/>
    <w:rsid w:val="004151CF"/>
    <w:rsid w:val="004153EF"/>
    <w:rsid w:val="00415D42"/>
    <w:rsid w:val="00416098"/>
    <w:rsid w:val="00416364"/>
    <w:rsid w:val="00417CCF"/>
    <w:rsid w:val="0042047F"/>
    <w:rsid w:val="00420522"/>
    <w:rsid w:val="004207B8"/>
    <w:rsid w:val="00420AA6"/>
    <w:rsid w:val="00420B2F"/>
    <w:rsid w:val="00420B94"/>
    <w:rsid w:val="00420B9F"/>
    <w:rsid w:val="00420C96"/>
    <w:rsid w:val="00420E68"/>
    <w:rsid w:val="004215FF"/>
    <w:rsid w:val="004218B7"/>
    <w:rsid w:val="0042192C"/>
    <w:rsid w:val="0042194D"/>
    <w:rsid w:val="00422260"/>
    <w:rsid w:val="00422453"/>
    <w:rsid w:val="00422D11"/>
    <w:rsid w:val="00423D2E"/>
    <w:rsid w:val="0042413F"/>
    <w:rsid w:val="00424229"/>
    <w:rsid w:val="004248EF"/>
    <w:rsid w:val="00424CAC"/>
    <w:rsid w:val="0042592F"/>
    <w:rsid w:val="00426BEE"/>
    <w:rsid w:val="00426C0F"/>
    <w:rsid w:val="004271FB"/>
    <w:rsid w:val="0042787F"/>
    <w:rsid w:val="0043032C"/>
    <w:rsid w:val="004314AD"/>
    <w:rsid w:val="00431593"/>
    <w:rsid w:val="00431877"/>
    <w:rsid w:val="004319F8"/>
    <w:rsid w:val="00431E55"/>
    <w:rsid w:val="00431F77"/>
    <w:rsid w:val="004321F6"/>
    <w:rsid w:val="0043279C"/>
    <w:rsid w:val="00432FE0"/>
    <w:rsid w:val="00433044"/>
    <w:rsid w:val="00433167"/>
    <w:rsid w:val="00433483"/>
    <w:rsid w:val="00433968"/>
    <w:rsid w:val="00433FB1"/>
    <w:rsid w:val="00434088"/>
    <w:rsid w:val="004354F2"/>
    <w:rsid w:val="00436695"/>
    <w:rsid w:val="004366A3"/>
    <w:rsid w:val="00436F34"/>
    <w:rsid w:val="004375B9"/>
    <w:rsid w:val="004408A5"/>
    <w:rsid w:val="00441053"/>
    <w:rsid w:val="004417B2"/>
    <w:rsid w:val="004428D0"/>
    <w:rsid w:val="00444185"/>
    <w:rsid w:val="004443A7"/>
    <w:rsid w:val="0044442C"/>
    <w:rsid w:val="00445941"/>
    <w:rsid w:val="004464EB"/>
    <w:rsid w:val="00446533"/>
    <w:rsid w:val="00447572"/>
    <w:rsid w:val="00447D26"/>
    <w:rsid w:val="00447DFC"/>
    <w:rsid w:val="004504D1"/>
    <w:rsid w:val="004504EC"/>
    <w:rsid w:val="00450672"/>
    <w:rsid w:val="00450ED4"/>
    <w:rsid w:val="00452016"/>
    <w:rsid w:val="0045267D"/>
    <w:rsid w:val="0045577F"/>
    <w:rsid w:val="00455D45"/>
    <w:rsid w:val="00455DF6"/>
    <w:rsid w:val="00456761"/>
    <w:rsid w:val="00457D06"/>
    <w:rsid w:val="00457D23"/>
    <w:rsid w:val="00457FD3"/>
    <w:rsid w:val="00460282"/>
    <w:rsid w:val="0046066D"/>
    <w:rsid w:val="00461304"/>
    <w:rsid w:val="00462C79"/>
    <w:rsid w:val="004630F2"/>
    <w:rsid w:val="00463200"/>
    <w:rsid w:val="004635C7"/>
    <w:rsid w:val="004636BD"/>
    <w:rsid w:val="00464595"/>
    <w:rsid w:val="004645AC"/>
    <w:rsid w:val="00465193"/>
    <w:rsid w:val="0046587A"/>
    <w:rsid w:val="004658B5"/>
    <w:rsid w:val="00465CEA"/>
    <w:rsid w:val="00466526"/>
    <w:rsid w:val="00466C84"/>
    <w:rsid w:val="004675D8"/>
    <w:rsid w:val="00467620"/>
    <w:rsid w:val="00467A4B"/>
    <w:rsid w:val="0047037F"/>
    <w:rsid w:val="00471EA5"/>
    <w:rsid w:val="00472292"/>
    <w:rsid w:val="00472302"/>
    <w:rsid w:val="00472A79"/>
    <w:rsid w:val="00472BE8"/>
    <w:rsid w:val="004732E5"/>
    <w:rsid w:val="00473CFA"/>
    <w:rsid w:val="00473E9A"/>
    <w:rsid w:val="00473F19"/>
    <w:rsid w:val="00473F98"/>
    <w:rsid w:val="004747C8"/>
    <w:rsid w:val="00474A2E"/>
    <w:rsid w:val="00474F9D"/>
    <w:rsid w:val="004752FB"/>
    <w:rsid w:val="00475470"/>
    <w:rsid w:val="00475812"/>
    <w:rsid w:val="00475D66"/>
    <w:rsid w:val="00475E22"/>
    <w:rsid w:val="004770AF"/>
    <w:rsid w:val="0048088E"/>
    <w:rsid w:val="00480F2B"/>
    <w:rsid w:val="00481301"/>
    <w:rsid w:val="00481DE0"/>
    <w:rsid w:val="00482720"/>
    <w:rsid w:val="004827A9"/>
    <w:rsid w:val="004828B7"/>
    <w:rsid w:val="004835E7"/>
    <w:rsid w:val="00485C93"/>
    <w:rsid w:val="00486541"/>
    <w:rsid w:val="004867E2"/>
    <w:rsid w:val="00486870"/>
    <w:rsid w:val="00486A8D"/>
    <w:rsid w:val="00486FE1"/>
    <w:rsid w:val="00487BFC"/>
    <w:rsid w:val="00490048"/>
    <w:rsid w:val="00490B17"/>
    <w:rsid w:val="00491B3A"/>
    <w:rsid w:val="00491C6E"/>
    <w:rsid w:val="00492873"/>
    <w:rsid w:val="00492CFD"/>
    <w:rsid w:val="00494207"/>
    <w:rsid w:val="00494450"/>
    <w:rsid w:val="00494DD5"/>
    <w:rsid w:val="0049531C"/>
    <w:rsid w:val="004958C1"/>
    <w:rsid w:val="004962CE"/>
    <w:rsid w:val="004962D2"/>
    <w:rsid w:val="004964D4"/>
    <w:rsid w:val="00497DDC"/>
    <w:rsid w:val="00497EA6"/>
    <w:rsid w:val="004A003D"/>
    <w:rsid w:val="004A040C"/>
    <w:rsid w:val="004A0962"/>
    <w:rsid w:val="004A0DA1"/>
    <w:rsid w:val="004A13D6"/>
    <w:rsid w:val="004A162F"/>
    <w:rsid w:val="004A2258"/>
    <w:rsid w:val="004A27D0"/>
    <w:rsid w:val="004A2E64"/>
    <w:rsid w:val="004A34BA"/>
    <w:rsid w:val="004A388A"/>
    <w:rsid w:val="004A4574"/>
    <w:rsid w:val="004A52E9"/>
    <w:rsid w:val="004A5863"/>
    <w:rsid w:val="004A5A8A"/>
    <w:rsid w:val="004A5C09"/>
    <w:rsid w:val="004A6040"/>
    <w:rsid w:val="004A6597"/>
    <w:rsid w:val="004A6D28"/>
    <w:rsid w:val="004A6E5B"/>
    <w:rsid w:val="004A76C1"/>
    <w:rsid w:val="004A7848"/>
    <w:rsid w:val="004A7E29"/>
    <w:rsid w:val="004B0069"/>
    <w:rsid w:val="004B0791"/>
    <w:rsid w:val="004B1CB4"/>
    <w:rsid w:val="004B209D"/>
    <w:rsid w:val="004B258A"/>
    <w:rsid w:val="004B2B49"/>
    <w:rsid w:val="004B2EDA"/>
    <w:rsid w:val="004B2F18"/>
    <w:rsid w:val="004B3128"/>
    <w:rsid w:val="004B32B4"/>
    <w:rsid w:val="004B3DDB"/>
    <w:rsid w:val="004B4176"/>
    <w:rsid w:val="004B44FD"/>
    <w:rsid w:val="004B547C"/>
    <w:rsid w:val="004B5CFC"/>
    <w:rsid w:val="004B663E"/>
    <w:rsid w:val="004B6727"/>
    <w:rsid w:val="004B6D8F"/>
    <w:rsid w:val="004B6ECB"/>
    <w:rsid w:val="004B6F79"/>
    <w:rsid w:val="004B72BB"/>
    <w:rsid w:val="004B774D"/>
    <w:rsid w:val="004C1395"/>
    <w:rsid w:val="004C298E"/>
    <w:rsid w:val="004C29B4"/>
    <w:rsid w:val="004C2AF0"/>
    <w:rsid w:val="004C3975"/>
    <w:rsid w:val="004C4AC8"/>
    <w:rsid w:val="004C4AED"/>
    <w:rsid w:val="004C5655"/>
    <w:rsid w:val="004C5C5F"/>
    <w:rsid w:val="004C5FA4"/>
    <w:rsid w:val="004C6009"/>
    <w:rsid w:val="004C6DB7"/>
    <w:rsid w:val="004C6EDF"/>
    <w:rsid w:val="004C7529"/>
    <w:rsid w:val="004C7ECE"/>
    <w:rsid w:val="004D0620"/>
    <w:rsid w:val="004D1779"/>
    <w:rsid w:val="004D1A8A"/>
    <w:rsid w:val="004D1F24"/>
    <w:rsid w:val="004D2421"/>
    <w:rsid w:val="004D264B"/>
    <w:rsid w:val="004D2C2D"/>
    <w:rsid w:val="004D3129"/>
    <w:rsid w:val="004D330E"/>
    <w:rsid w:val="004D4A9D"/>
    <w:rsid w:val="004D5526"/>
    <w:rsid w:val="004D5DC7"/>
    <w:rsid w:val="004D69B5"/>
    <w:rsid w:val="004D6A6B"/>
    <w:rsid w:val="004D7227"/>
    <w:rsid w:val="004D75C3"/>
    <w:rsid w:val="004E0E7F"/>
    <w:rsid w:val="004E0EB8"/>
    <w:rsid w:val="004E18E9"/>
    <w:rsid w:val="004E1E39"/>
    <w:rsid w:val="004E219F"/>
    <w:rsid w:val="004E27F7"/>
    <w:rsid w:val="004E2ADC"/>
    <w:rsid w:val="004E3D89"/>
    <w:rsid w:val="004E4374"/>
    <w:rsid w:val="004E43B2"/>
    <w:rsid w:val="004E4447"/>
    <w:rsid w:val="004E4613"/>
    <w:rsid w:val="004E4EC0"/>
    <w:rsid w:val="004E5AF1"/>
    <w:rsid w:val="004E5E0E"/>
    <w:rsid w:val="004E5FEB"/>
    <w:rsid w:val="004E70A4"/>
    <w:rsid w:val="004E74C4"/>
    <w:rsid w:val="004E76E0"/>
    <w:rsid w:val="004F0010"/>
    <w:rsid w:val="004F02D6"/>
    <w:rsid w:val="004F1D02"/>
    <w:rsid w:val="004F2679"/>
    <w:rsid w:val="004F282F"/>
    <w:rsid w:val="004F2CDF"/>
    <w:rsid w:val="004F2F21"/>
    <w:rsid w:val="004F3AB0"/>
    <w:rsid w:val="004F3ABD"/>
    <w:rsid w:val="004F3DE5"/>
    <w:rsid w:val="004F3E94"/>
    <w:rsid w:val="004F6913"/>
    <w:rsid w:val="004F7865"/>
    <w:rsid w:val="005006FA"/>
    <w:rsid w:val="0050174E"/>
    <w:rsid w:val="00501854"/>
    <w:rsid w:val="00501C58"/>
    <w:rsid w:val="00501F38"/>
    <w:rsid w:val="0050219B"/>
    <w:rsid w:val="005021B8"/>
    <w:rsid w:val="0050329A"/>
    <w:rsid w:val="00503F17"/>
    <w:rsid w:val="00504992"/>
    <w:rsid w:val="00506928"/>
    <w:rsid w:val="005077EF"/>
    <w:rsid w:val="00507B52"/>
    <w:rsid w:val="005102A5"/>
    <w:rsid w:val="0051138E"/>
    <w:rsid w:val="005118C4"/>
    <w:rsid w:val="00511AD5"/>
    <w:rsid w:val="00511DC7"/>
    <w:rsid w:val="005120B0"/>
    <w:rsid w:val="005123D1"/>
    <w:rsid w:val="0051272A"/>
    <w:rsid w:val="005134AA"/>
    <w:rsid w:val="00513966"/>
    <w:rsid w:val="005142C5"/>
    <w:rsid w:val="0051501B"/>
    <w:rsid w:val="005152B5"/>
    <w:rsid w:val="005204D5"/>
    <w:rsid w:val="0052063E"/>
    <w:rsid w:val="005211B8"/>
    <w:rsid w:val="00521201"/>
    <w:rsid w:val="0052123C"/>
    <w:rsid w:val="00521319"/>
    <w:rsid w:val="00522B7F"/>
    <w:rsid w:val="00522BC8"/>
    <w:rsid w:val="00523C28"/>
    <w:rsid w:val="00524566"/>
    <w:rsid w:val="00524C98"/>
    <w:rsid w:val="005250EB"/>
    <w:rsid w:val="0052636A"/>
    <w:rsid w:val="005277CD"/>
    <w:rsid w:val="00527E26"/>
    <w:rsid w:val="00527ECB"/>
    <w:rsid w:val="0053024B"/>
    <w:rsid w:val="00530385"/>
    <w:rsid w:val="00530AF1"/>
    <w:rsid w:val="00530D83"/>
    <w:rsid w:val="0053176B"/>
    <w:rsid w:val="005317D1"/>
    <w:rsid w:val="00531BC5"/>
    <w:rsid w:val="00531C36"/>
    <w:rsid w:val="00532DD0"/>
    <w:rsid w:val="00533464"/>
    <w:rsid w:val="00533A73"/>
    <w:rsid w:val="0053443C"/>
    <w:rsid w:val="00534EB7"/>
    <w:rsid w:val="00535BB4"/>
    <w:rsid w:val="00536406"/>
    <w:rsid w:val="0053684D"/>
    <w:rsid w:val="00536F42"/>
    <w:rsid w:val="00537182"/>
    <w:rsid w:val="00537EC3"/>
    <w:rsid w:val="0054108F"/>
    <w:rsid w:val="00541C9B"/>
    <w:rsid w:val="00541EDD"/>
    <w:rsid w:val="00542743"/>
    <w:rsid w:val="00542780"/>
    <w:rsid w:val="00542C2D"/>
    <w:rsid w:val="005432EA"/>
    <w:rsid w:val="00544808"/>
    <w:rsid w:val="00547060"/>
    <w:rsid w:val="005477C1"/>
    <w:rsid w:val="005478BD"/>
    <w:rsid w:val="005479E3"/>
    <w:rsid w:val="00547A23"/>
    <w:rsid w:val="005514BC"/>
    <w:rsid w:val="005516F3"/>
    <w:rsid w:val="00551985"/>
    <w:rsid w:val="00551C23"/>
    <w:rsid w:val="00552415"/>
    <w:rsid w:val="0055295A"/>
    <w:rsid w:val="00552BD3"/>
    <w:rsid w:val="0055314C"/>
    <w:rsid w:val="005532A0"/>
    <w:rsid w:val="00553385"/>
    <w:rsid w:val="00553D01"/>
    <w:rsid w:val="00553F3B"/>
    <w:rsid w:val="00555109"/>
    <w:rsid w:val="005557C5"/>
    <w:rsid w:val="00555F01"/>
    <w:rsid w:val="005566F2"/>
    <w:rsid w:val="00556B35"/>
    <w:rsid w:val="00557019"/>
    <w:rsid w:val="0055701C"/>
    <w:rsid w:val="0055741A"/>
    <w:rsid w:val="00557DDD"/>
    <w:rsid w:val="00560C2B"/>
    <w:rsid w:val="005611B7"/>
    <w:rsid w:val="005618D4"/>
    <w:rsid w:val="005619E1"/>
    <w:rsid w:val="00561D40"/>
    <w:rsid w:val="00562EB7"/>
    <w:rsid w:val="00563F75"/>
    <w:rsid w:val="005644F8"/>
    <w:rsid w:val="005652C6"/>
    <w:rsid w:val="00565D50"/>
    <w:rsid w:val="00565DF0"/>
    <w:rsid w:val="005668D6"/>
    <w:rsid w:val="0056696F"/>
    <w:rsid w:val="0056716C"/>
    <w:rsid w:val="00567AF1"/>
    <w:rsid w:val="00572058"/>
    <w:rsid w:val="00572269"/>
    <w:rsid w:val="0057244A"/>
    <w:rsid w:val="005727DB"/>
    <w:rsid w:val="00572F26"/>
    <w:rsid w:val="005739CB"/>
    <w:rsid w:val="00574577"/>
    <w:rsid w:val="005750C5"/>
    <w:rsid w:val="005752DE"/>
    <w:rsid w:val="0057591C"/>
    <w:rsid w:val="00575994"/>
    <w:rsid w:val="00575C71"/>
    <w:rsid w:val="00575D8D"/>
    <w:rsid w:val="00576495"/>
    <w:rsid w:val="00576972"/>
    <w:rsid w:val="0057699D"/>
    <w:rsid w:val="0057706C"/>
    <w:rsid w:val="00580F29"/>
    <w:rsid w:val="00580FC1"/>
    <w:rsid w:val="0058145B"/>
    <w:rsid w:val="0058220C"/>
    <w:rsid w:val="005823D2"/>
    <w:rsid w:val="00583699"/>
    <w:rsid w:val="005838C4"/>
    <w:rsid w:val="00583A78"/>
    <w:rsid w:val="0058410E"/>
    <w:rsid w:val="00584D12"/>
    <w:rsid w:val="005854F9"/>
    <w:rsid w:val="00585CDD"/>
    <w:rsid w:val="00585DCD"/>
    <w:rsid w:val="00586B2D"/>
    <w:rsid w:val="00586B5B"/>
    <w:rsid w:val="00586E40"/>
    <w:rsid w:val="00586E6B"/>
    <w:rsid w:val="00587058"/>
    <w:rsid w:val="005875B9"/>
    <w:rsid w:val="0059130B"/>
    <w:rsid w:val="005913F4"/>
    <w:rsid w:val="00591957"/>
    <w:rsid w:val="00591A3D"/>
    <w:rsid w:val="005932B6"/>
    <w:rsid w:val="005937D6"/>
    <w:rsid w:val="00593873"/>
    <w:rsid w:val="00594A5D"/>
    <w:rsid w:val="005957E2"/>
    <w:rsid w:val="005964D3"/>
    <w:rsid w:val="005966E7"/>
    <w:rsid w:val="005969FC"/>
    <w:rsid w:val="005970EC"/>
    <w:rsid w:val="00597BF9"/>
    <w:rsid w:val="005A01E6"/>
    <w:rsid w:val="005A023E"/>
    <w:rsid w:val="005A0627"/>
    <w:rsid w:val="005A10FA"/>
    <w:rsid w:val="005A309A"/>
    <w:rsid w:val="005A373D"/>
    <w:rsid w:val="005A4515"/>
    <w:rsid w:val="005A478F"/>
    <w:rsid w:val="005A5CA7"/>
    <w:rsid w:val="005A5F22"/>
    <w:rsid w:val="005A7297"/>
    <w:rsid w:val="005A7861"/>
    <w:rsid w:val="005A78E4"/>
    <w:rsid w:val="005A7CDD"/>
    <w:rsid w:val="005A7EF0"/>
    <w:rsid w:val="005B085E"/>
    <w:rsid w:val="005B0B58"/>
    <w:rsid w:val="005B0E5E"/>
    <w:rsid w:val="005B16E4"/>
    <w:rsid w:val="005B1E4B"/>
    <w:rsid w:val="005B2F13"/>
    <w:rsid w:val="005B4403"/>
    <w:rsid w:val="005B4E53"/>
    <w:rsid w:val="005B5857"/>
    <w:rsid w:val="005C0602"/>
    <w:rsid w:val="005C0DE3"/>
    <w:rsid w:val="005C0E13"/>
    <w:rsid w:val="005C1282"/>
    <w:rsid w:val="005C1B83"/>
    <w:rsid w:val="005C1C5A"/>
    <w:rsid w:val="005C25FF"/>
    <w:rsid w:val="005C2D55"/>
    <w:rsid w:val="005C3415"/>
    <w:rsid w:val="005C346B"/>
    <w:rsid w:val="005C3AF3"/>
    <w:rsid w:val="005C4705"/>
    <w:rsid w:val="005C5E46"/>
    <w:rsid w:val="005C64CB"/>
    <w:rsid w:val="005D0096"/>
    <w:rsid w:val="005D044D"/>
    <w:rsid w:val="005D0ABD"/>
    <w:rsid w:val="005D14F6"/>
    <w:rsid w:val="005D18AD"/>
    <w:rsid w:val="005D2293"/>
    <w:rsid w:val="005D26B4"/>
    <w:rsid w:val="005D4467"/>
    <w:rsid w:val="005D4B1C"/>
    <w:rsid w:val="005D4C4F"/>
    <w:rsid w:val="005D4E1B"/>
    <w:rsid w:val="005D5096"/>
    <w:rsid w:val="005D5BD6"/>
    <w:rsid w:val="005D65E4"/>
    <w:rsid w:val="005D6885"/>
    <w:rsid w:val="005D6ACD"/>
    <w:rsid w:val="005D6D9C"/>
    <w:rsid w:val="005D6DB1"/>
    <w:rsid w:val="005D708F"/>
    <w:rsid w:val="005D7A21"/>
    <w:rsid w:val="005E0BB2"/>
    <w:rsid w:val="005E0ED8"/>
    <w:rsid w:val="005E1783"/>
    <w:rsid w:val="005E2FF3"/>
    <w:rsid w:val="005E4798"/>
    <w:rsid w:val="005E515F"/>
    <w:rsid w:val="005E58C8"/>
    <w:rsid w:val="005E6CBC"/>
    <w:rsid w:val="005E72FF"/>
    <w:rsid w:val="005E73C0"/>
    <w:rsid w:val="005E77FD"/>
    <w:rsid w:val="005F0751"/>
    <w:rsid w:val="005F092A"/>
    <w:rsid w:val="005F1490"/>
    <w:rsid w:val="005F14AA"/>
    <w:rsid w:val="005F21CB"/>
    <w:rsid w:val="005F2706"/>
    <w:rsid w:val="005F35F1"/>
    <w:rsid w:val="005F360D"/>
    <w:rsid w:val="005F442D"/>
    <w:rsid w:val="005F4832"/>
    <w:rsid w:val="005F4960"/>
    <w:rsid w:val="005F4BDB"/>
    <w:rsid w:val="005F5887"/>
    <w:rsid w:val="005F646C"/>
    <w:rsid w:val="005F6A87"/>
    <w:rsid w:val="005F6A8F"/>
    <w:rsid w:val="005F6BB7"/>
    <w:rsid w:val="005F7588"/>
    <w:rsid w:val="005F7A19"/>
    <w:rsid w:val="005F7A9E"/>
    <w:rsid w:val="00600B03"/>
    <w:rsid w:val="00601542"/>
    <w:rsid w:val="00601D0E"/>
    <w:rsid w:val="00602670"/>
    <w:rsid w:val="00602E48"/>
    <w:rsid w:val="00603DB9"/>
    <w:rsid w:val="006043CF"/>
    <w:rsid w:val="00605AC1"/>
    <w:rsid w:val="00605DCD"/>
    <w:rsid w:val="00606070"/>
    <w:rsid w:val="00606140"/>
    <w:rsid w:val="00606FBA"/>
    <w:rsid w:val="00607669"/>
    <w:rsid w:val="006076F4"/>
    <w:rsid w:val="006079F6"/>
    <w:rsid w:val="00607AFD"/>
    <w:rsid w:val="00607E3A"/>
    <w:rsid w:val="00612F97"/>
    <w:rsid w:val="0061345D"/>
    <w:rsid w:val="0061549B"/>
    <w:rsid w:val="00615D32"/>
    <w:rsid w:val="00616802"/>
    <w:rsid w:val="00616901"/>
    <w:rsid w:val="00617E12"/>
    <w:rsid w:val="00620322"/>
    <w:rsid w:val="00620C25"/>
    <w:rsid w:val="00620E2D"/>
    <w:rsid w:val="00621477"/>
    <w:rsid w:val="00621498"/>
    <w:rsid w:val="00621ADA"/>
    <w:rsid w:val="00621AFA"/>
    <w:rsid w:val="00621B0F"/>
    <w:rsid w:val="00622909"/>
    <w:rsid w:val="006234F7"/>
    <w:rsid w:val="00623E78"/>
    <w:rsid w:val="00623F7B"/>
    <w:rsid w:val="00623FA2"/>
    <w:rsid w:val="006247D0"/>
    <w:rsid w:val="00624FA9"/>
    <w:rsid w:val="0062510C"/>
    <w:rsid w:val="00626A41"/>
    <w:rsid w:val="00627A56"/>
    <w:rsid w:val="0063158F"/>
    <w:rsid w:val="00631C58"/>
    <w:rsid w:val="00631D6B"/>
    <w:rsid w:val="00631E60"/>
    <w:rsid w:val="00632183"/>
    <w:rsid w:val="00632358"/>
    <w:rsid w:val="0063242C"/>
    <w:rsid w:val="006324E3"/>
    <w:rsid w:val="00632CFA"/>
    <w:rsid w:val="006330A1"/>
    <w:rsid w:val="0063479F"/>
    <w:rsid w:val="00634DE2"/>
    <w:rsid w:val="006353F0"/>
    <w:rsid w:val="006355C7"/>
    <w:rsid w:val="006357B5"/>
    <w:rsid w:val="00635CAA"/>
    <w:rsid w:val="006364A1"/>
    <w:rsid w:val="0063678E"/>
    <w:rsid w:val="00636BF8"/>
    <w:rsid w:val="00637BBA"/>
    <w:rsid w:val="00637BFD"/>
    <w:rsid w:val="0064068F"/>
    <w:rsid w:val="00640D56"/>
    <w:rsid w:val="00640E6D"/>
    <w:rsid w:val="006416DE"/>
    <w:rsid w:val="00641C4E"/>
    <w:rsid w:val="00641FB3"/>
    <w:rsid w:val="00642E34"/>
    <w:rsid w:val="0064399F"/>
    <w:rsid w:val="0064434C"/>
    <w:rsid w:val="00645755"/>
    <w:rsid w:val="0064702C"/>
    <w:rsid w:val="006471CC"/>
    <w:rsid w:val="00647A29"/>
    <w:rsid w:val="0065079F"/>
    <w:rsid w:val="00650B94"/>
    <w:rsid w:val="006519CF"/>
    <w:rsid w:val="00652449"/>
    <w:rsid w:val="00652A28"/>
    <w:rsid w:val="0065379F"/>
    <w:rsid w:val="00653B7E"/>
    <w:rsid w:val="00654F95"/>
    <w:rsid w:val="00655BDD"/>
    <w:rsid w:val="00655E1D"/>
    <w:rsid w:val="00656188"/>
    <w:rsid w:val="006561E3"/>
    <w:rsid w:val="0065715A"/>
    <w:rsid w:val="00660C7C"/>
    <w:rsid w:val="00660D7E"/>
    <w:rsid w:val="006610F1"/>
    <w:rsid w:val="00661401"/>
    <w:rsid w:val="006614B7"/>
    <w:rsid w:val="00661C6B"/>
    <w:rsid w:val="00662712"/>
    <w:rsid w:val="00662791"/>
    <w:rsid w:val="006636D4"/>
    <w:rsid w:val="006638C8"/>
    <w:rsid w:val="006640D3"/>
    <w:rsid w:val="00666A05"/>
    <w:rsid w:val="00666C7E"/>
    <w:rsid w:val="00667570"/>
    <w:rsid w:val="00670644"/>
    <w:rsid w:val="00670940"/>
    <w:rsid w:val="00671004"/>
    <w:rsid w:val="00672646"/>
    <w:rsid w:val="00672807"/>
    <w:rsid w:val="006730EA"/>
    <w:rsid w:val="00673114"/>
    <w:rsid w:val="00673368"/>
    <w:rsid w:val="006742EC"/>
    <w:rsid w:val="00674705"/>
    <w:rsid w:val="00674C6C"/>
    <w:rsid w:val="00674CC5"/>
    <w:rsid w:val="00674E42"/>
    <w:rsid w:val="00675036"/>
    <w:rsid w:val="006752A4"/>
    <w:rsid w:val="006766E6"/>
    <w:rsid w:val="00676E0B"/>
    <w:rsid w:val="006813F8"/>
    <w:rsid w:val="00682112"/>
    <w:rsid w:val="00682BA6"/>
    <w:rsid w:val="00683272"/>
    <w:rsid w:val="0068367D"/>
    <w:rsid w:val="00683BAB"/>
    <w:rsid w:val="00683E9D"/>
    <w:rsid w:val="00684F7F"/>
    <w:rsid w:val="00685E9C"/>
    <w:rsid w:val="00686957"/>
    <w:rsid w:val="00686CBD"/>
    <w:rsid w:val="0068725F"/>
    <w:rsid w:val="006872BA"/>
    <w:rsid w:val="006873F7"/>
    <w:rsid w:val="00687AD2"/>
    <w:rsid w:val="00690795"/>
    <w:rsid w:val="006909E4"/>
    <w:rsid w:val="006911D9"/>
    <w:rsid w:val="006914A4"/>
    <w:rsid w:val="00691648"/>
    <w:rsid w:val="006917D7"/>
    <w:rsid w:val="00691D87"/>
    <w:rsid w:val="00693056"/>
    <w:rsid w:val="00693E0E"/>
    <w:rsid w:val="0069434C"/>
    <w:rsid w:val="006947C6"/>
    <w:rsid w:val="00694F44"/>
    <w:rsid w:val="006952F9"/>
    <w:rsid w:val="00696188"/>
    <w:rsid w:val="0069619C"/>
    <w:rsid w:val="00696F51"/>
    <w:rsid w:val="006979A5"/>
    <w:rsid w:val="00697A00"/>
    <w:rsid w:val="006A052A"/>
    <w:rsid w:val="006A0E8C"/>
    <w:rsid w:val="006A353A"/>
    <w:rsid w:val="006A37FE"/>
    <w:rsid w:val="006A3C90"/>
    <w:rsid w:val="006A3EF2"/>
    <w:rsid w:val="006A4A8F"/>
    <w:rsid w:val="006A54B9"/>
    <w:rsid w:val="006A69EB"/>
    <w:rsid w:val="006A6B99"/>
    <w:rsid w:val="006A6E1D"/>
    <w:rsid w:val="006A7B20"/>
    <w:rsid w:val="006A7E5F"/>
    <w:rsid w:val="006B09BC"/>
    <w:rsid w:val="006B0BC7"/>
    <w:rsid w:val="006B1129"/>
    <w:rsid w:val="006B261B"/>
    <w:rsid w:val="006B2C90"/>
    <w:rsid w:val="006B2F70"/>
    <w:rsid w:val="006B3018"/>
    <w:rsid w:val="006B35E6"/>
    <w:rsid w:val="006B388C"/>
    <w:rsid w:val="006B465A"/>
    <w:rsid w:val="006B477D"/>
    <w:rsid w:val="006B5A75"/>
    <w:rsid w:val="006B5C90"/>
    <w:rsid w:val="006B6261"/>
    <w:rsid w:val="006B6DD0"/>
    <w:rsid w:val="006B7142"/>
    <w:rsid w:val="006B7A3A"/>
    <w:rsid w:val="006B7B92"/>
    <w:rsid w:val="006C0399"/>
    <w:rsid w:val="006C03D6"/>
    <w:rsid w:val="006C0705"/>
    <w:rsid w:val="006C1095"/>
    <w:rsid w:val="006C175E"/>
    <w:rsid w:val="006C1AFF"/>
    <w:rsid w:val="006C2806"/>
    <w:rsid w:val="006C2A8E"/>
    <w:rsid w:val="006C3255"/>
    <w:rsid w:val="006C3F26"/>
    <w:rsid w:val="006C45F9"/>
    <w:rsid w:val="006C4BEF"/>
    <w:rsid w:val="006C54CC"/>
    <w:rsid w:val="006C5CFD"/>
    <w:rsid w:val="006C7046"/>
    <w:rsid w:val="006D055F"/>
    <w:rsid w:val="006D0CA4"/>
    <w:rsid w:val="006D0D17"/>
    <w:rsid w:val="006D0DAB"/>
    <w:rsid w:val="006D27D1"/>
    <w:rsid w:val="006D2A3C"/>
    <w:rsid w:val="006D30D0"/>
    <w:rsid w:val="006D32EF"/>
    <w:rsid w:val="006D391E"/>
    <w:rsid w:val="006D3C7D"/>
    <w:rsid w:val="006D4036"/>
    <w:rsid w:val="006D4659"/>
    <w:rsid w:val="006D51B2"/>
    <w:rsid w:val="006D5D5F"/>
    <w:rsid w:val="006D5EB5"/>
    <w:rsid w:val="006D68FB"/>
    <w:rsid w:val="006D6CD6"/>
    <w:rsid w:val="006D70E2"/>
    <w:rsid w:val="006D7279"/>
    <w:rsid w:val="006D7BA3"/>
    <w:rsid w:val="006D7C92"/>
    <w:rsid w:val="006E0CA9"/>
    <w:rsid w:val="006E1039"/>
    <w:rsid w:val="006E20A7"/>
    <w:rsid w:val="006E2868"/>
    <w:rsid w:val="006E5543"/>
    <w:rsid w:val="006E565A"/>
    <w:rsid w:val="006E6174"/>
    <w:rsid w:val="006E6637"/>
    <w:rsid w:val="006E68FD"/>
    <w:rsid w:val="006F06B0"/>
    <w:rsid w:val="006F07B2"/>
    <w:rsid w:val="006F0D3D"/>
    <w:rsid w:val="006F29B1"/>
    <w:rsid w:val="006F306C"/>
    <w:rsid w:val="006F374A"/>
    <w:rsid w:val="006F3A4A"/>
    <w:rsid w:val="006F3A92"/>
    <w:rsid w:val="006F40CB"/>
    <w:rsid w:val="006F4AE5"/>
    <w:rsid w:val="006F63A5"/>
    <w:rsid w:val="006F6A6E"/>
    <w:rsid w:val="006F75D7"/>
    <w:rsid w:val="006F772E"/>
    <w:rsid w:val="00700DC5"/>
    <w:rsid w:val="00701031"/>
    <w:rsid w:val="007010E1"/>
    <w:rsid w:val="0070142B"/>
    <w:rsid w:val="0070173E"/>
    <w:rsid w:val="0070194E"/>
    <w:rsid w:val="00701E7A"/>
    <w:rsid w:val="00702097"/>
    <w:rsid w:val="0070276E"/>
    <w:rsid w:val="00702C59"/>
    <w:rsid w:val="00702F8F"/>
    <w:rsid w:val="00702FFC"/>
    <w:rsid w:val="0070334C"/>
    <w:rsid w:val="00703805"/>
    <w:rsid w:val="00705659"/>
    <w:rsid w:val="00706BF8"/>
    <w:rsid w:val="007070A0"/>
    <w:rsid w:val="0070750A"/>
    <w:rsid w:val="007079FC"/>
    <w:rsid w:val="007100E8"/>
    <w:rsid w:val="0071096D"/>
    <w:rsid w:val="00710B94"/>
    <w:rsid w:val="00711A36"/>
    <w:rsid w:val="00711AC9"/>
    <w:rsid w:val="00711ECD"/>
    <w:rsid w:val="0071366E"/>
    <w:rsid w:val="0071478E"/>
    <w:rsid w:val="00714C26"/>
    <w:rsid w:val="0071529C"/>
    <w:rsid w:val="00715FD9"/>
    <w:rsid w:val="0071608F"/>
    <w:rsid w:val="00716358"/>
    <w:rsid w:val="00716B1B"/>
    <w:rsid w:val="007170DA"/>
    <w:rsid w:val="007172AD"/>
    <w:rsid w:val="007175C2"/>
    <w:rsid w:val="007177BC"/>
    <w:rsid w:val="00720801"/>
    <w:rsid w:val="00720DA8"/>
    <w:rsid w:val="00720E7B"/>
    <w:rsid w:val="007213A0"/>
    <w:rsid w:val="0072153A"/>
    <w:rsid w:val="00722B1B"/>
    <w:rsid w:val="00722EA8"/>
    <w:rsid w:val="0072416F"/>
    <w:rsid w:val="0072464F"/>
    <w:rsid w:val="00724FB1"/>
    <w:rsid w:val="00726728"/>
    <w:rsid w:val="007267BC"/>
    <w:rsid w:val="00726897"/>
    <w:rsid w:val="00727C94"/>
    <w:rsid w:val="0073005A"/>
    <w:rsid w:val="007304C1"/>
    <w:rsid w:val="007305C6"/>
    <w:rsid w:val="00730CE5"/>
    <w:rsid w:val="00730FB2"/>
    <w:rsid w:val="00731024"/>
    <w:rsid w:val="007317F8"/>
    <w:rsid w:val="00731B0A"/>
    <w:rsid w:val="00731EAE"/>
    <w:rsid w:val="007327BA"/>
    <w:rsid w:val="00733073"/>
    <w:rsid w:val="007333AE"/>
    <w:rsid w:val="007342A9"/>
    <w:rsid w:val="00734675"/>
    <w:rsid w:val="00734BDB"/>
    <w:rsid w:val="00735033"/>
    <w:rsid w:val="00735328"/>
    <w:rsid w:val="00735B22"/>
    <w:rsid w:val="00736457"/>
    <w:rsid w:val="0073685B"/>
    <w:rsid w:val="00736A62"/>
    <w:rsid w:val="00740727"/>
    <w:rsid w:val="0074136A"/>
    <w:rsid w:val="007413B2"/>
    <w:rsid w:val="00741F4F"/>
    <w:rsid w:val="007427E2"/>
    <w:rsid w:val="00744453"/>
    <w:rsid w:val="007449BF"/>
    <w:rsid w:val="00744A25"/>
    <w:rsid w:val="00745269"/>
    <w:rsid w:val="00745CD5"/>
    <w:rsid w:val="00745F75"/>
    <w:rsid w:val="007460F2"/>
    <w:rsid w:val="00746BC0"/>
    <w:rsid w:val="00747146"/>
    <w:rsid w:val="0075034B"/>
    <w:rsid w:val="007510B4"/>
    <w:rsid w:val="00752142"/>
    <w:rsid w:val="007523F9"/>
    <w:rsid w:val="007528C7"/>
    <w:rsid w:val="00752E83"/>
    <w:rsid w:val="0075357E"/>
    <w:rsid w:val="007553C1"/>
    <w:rsid w:val="00756264"/>
    <w:rsid w:val="0075685D"/>
    <w:rsid w:val="007573E8"/>
    <w:rsid w:val="007600E6"/>
    <w:rsid w:val="00760C4E"/>
    <w:rsid w:val="00760F9E"/>
    <w:rsid w:val="0076200F"/>
    <w:rsid w:val="007627BE"/>
    <w:rsid w:val="00762B68"/>
    <w:rsid w:val="0076447D"/>
    <w:rsid w:val="00764F03"/>
    <w:rsid w:val="007655BB"/>
    <w:rsid w:val="00765B1A"/>
    <w:rsid w:val="00765D36"/>
    <w:rsid w:val="00766505"/>
    <w:rsid w:val="007702F6"/>
    <w:rsid w:val="00770563"/>
    <w:rsid w:val="00771148"/>
    <w:rsid w:val="00771DBD"/>
    <w:rsid w:val="0077240D"/>
    <w:rsid w:val="00772E6E"/>
    <w:rsid w:val="00773427"/>
    <w:rsid w:val="00774366"/>
    <w:rsid w:val="00774845"/>
    <w:rsid w:val="00774F39"/>
    <w:rsid w:val="007754E8"/>
    <w:rsid w:val="0077618E"/>
    <w:rsid w:val="00776408"/>
    <w:rsid w:val="0077651D"/>
    <w:rsid w:val="00776D16"/>
    <w:rsid w:val="00777335"/>
    <w:rsid w:val="00780177"/>
    <w:rsid w:val="007806BF"/>
    <w:rsid w:val="00780FD9"/>
    <w:rsid w:val="0078104F"/>
    <w:rsid w:val="00782782"/>
    <w:rsid w:val="007831D3"/>
    <w:rsid w:val="00783B8D"/>
    <w:rsid w:val="007843F2"/>
    <w:rsid w:val="007844F5"/>
    <w:rsid w:val="00784B18"/>
    <w:rsid w:val="00784E84"/>
    <w:rsid w:val="00785A9F"/>
    <w:rsid w:val="00786023"/>
    <w:rsid w:val="00786D0B"/>
    <w:rsid w:val="0079214D"/>
    <w:rsid w:val="007925DF"/>
    <w:rsid w:val="00792F29"/>
    <w:rsid w:val="007930C9"/>
    <w:rsid w:val="00793F05"/>
    <w:rsid w:val="007943BC"/>
    <w:rsid w:val="007950C9"/>
    <w:rsid w:val="00795694"/>
    <w:rsid w:val="0079769F"/>
    <w:rsid w:val="00797C62"/>
    <w:rsid w:val="007A0800"/>
    <w:rsid w:val="007A08AA"/>
    <w:rsid w:val="007A0A12"/>
    <w:rsid w:val="007A132D"/>
    <w:rsid w:val="007A1345"/>
    <w:rsid w:val="007A23C1"/>
    <w:rsid w:val="007A2B8A"/>
    <w:rsid w:val="007A2DDB"/>
    <w:rsid w:val="007A3584"/>
    <w:rsid w:val="007A43E2"/>
    <w:rsid w:val="007A59F7"/>
    <w:rsid w:val="007A6404"/>
    <w:rsid w:val="007A6437"/>
    <w:rsid w:val="007A64BB"/>
    <w:rsid w:val="007A70BA"/>
    <w:rsid w:val="007A73A0"/>
    <w:rsid w:val="007A750B"/>
    <w:rsid w:val="007B06D3"/>
    <w:rsid w:val="007B0D68"/>
    <w:rsid w:val="007B2256"/>
    <w:rsid w:val="007B251D"/>
    <w:rsid w:val="007B2540"/>
    <w:rsid w:val="007B26AC"/>
    <w:rsid w:val="007B27D2"/>
    <w:rsid w:val="007B2AF6"/>
    <w:rsid w:val="007B2DE0"/>
    <w:rsid w:val="007B32E0"/>
    <w:rsid w:val="007B4903"/>
    <w:rsid w:val="007B4929"/>
    <w:rsid w:val="007B4EF2"/>
    <w:rsid w:val="007B4F58"/>
    <w:rsid w:val="007B528D"/>
    <w:rsid w:val="007B531F"/>
    <w:rsid w:val="007B63CA"/>
    <w:rsid w:val="007B64CE"/>
    <w:rsid w:val="007B7152"/>
    <w:rsid w:val="007B739B"/>
    <w:rsid w:val="007B75AB"/>
    <w:rsid w:val="007B75EE"/>
    <w:rsid w:val="007B7728"/>
    <w:rsid w:val="007B77D1"/>
    <w:rsid w:val="007C0067"/>
    <w:rsid w:val="007C07C7"/>
    <w:rsid w:val="007C1567"/>
    <w:rsid w:val="007C1CD9"/>
    <w:rsid w:val="007C2180"/>
    <w:rsid w:val="007C30B0"/>
    <w:rsid w:val="007C32EF"/>
    <w:rsid w:val="007C3547"/>
    <w:rsid w:val="007C361D"/>
    <w:rsid w:val="007C3D4D"/>
    <w:rsid w:val="007C4B84"/>
    <w:rsid w:val="007C5F94"/>
    <w:rsid w:val="007C68E6"/>
    <w:rsid w:val="007C70FF"/>
    <w:rsid w:val="007C7C25"/>
    <w:rsid w:val="007C7E9C"/>
    <w:rsid w:val="007D004F"/>
    <w:rsid w:val="007D0B38"/>
    <w:rsid w:val="007D1893"/>
    <w:rsid w:val="007D1AEE"/>
    <w:rsid w:val="007D1F60"/>
    <w:rsid w:val="007D238B"/>
    <w:rsid w:val="007D3303"/>
    <w:rsid w:val="007D36C4"/>
    <w:rsid w:val="007D497A"/>
    <w:rsid w:val="007D4AC5"/>
    <w:rsid w:val="007D4B30"/>
    <w:rsid w:val="007D4C3A"/>
    <w:rsid w:val="007D5440"/>
    <w:rsid w:val="007D5499"/>
    <w:rsid w:val="007D6402"/>
    <w:rsid w:val="007D65A4"/>
    <w:rsid w:val="007D69EB"/>
    <w:rsid w:val="007D7E3F"/>
    <w:rsid w:val="007E0855"/>
    <w:rsid w:val="007E128F"/>
    <w:rsid w:val="007E1E66"/>
    <w:rsid w:val="007E20C0"/>
    <w:rsid w:val="007E2C08"/>
    <w:rsid w:val="007E2D21"/>
    <w:rsid w:val="007E32B3"/>
    <w:rsid w:val="007E5592"/>
    <w:rsid w:val="007E6FE0"/>
    <w:rsid w:val="007F1017"/>
    <w:rsid w:val="007F1070"/>
    <w:rsid w:val="007F16D5"/>
    <w:rsid w:val="007F264B"/>
    <w:rsid w:val="007F3E34"/>
    <w:rsid w:val="007F48DE"/>
    <w:rsid w:val="007F4A3F"/>
    <w:rsid w:val="007F4A61"/>
    <w:rsid w:val="007F4C73"/>
    <w:rsid w:val="007F5255"/>
    <w:rsid w:val="007F56CC"/>
    <w:rsid w:val="007F56D5"/>
    <w:rsid w:val="007F61C2"/>
    <w:rsid w:val="007F6907"/>
    <w:rsid w:val="007F6BFD"/>
    <w:rsid w:val="0080100C"/>
    <w:rsid w:val="00802117"/>
    <w:rsid w:val="00802493"/>
    <w:rsid w:val="0080275B"/>
    <w:rsid w:val="00802C1F"/>
    <w:rsid w:val="00803790"/>
    <w:rsid w:val="0080396F"/>
    <w:rsid w:val="00805142"/>
    <w:rsid w:val="00805340"/>
    <w:rsid w:val="008055DB"/>
    <w:rsid w:val="00805653"/>
    <w:rsid w:val="00805CD4"/>
    <w:rsid w:val="00805FCE"/>
    <w:rsid w:val="00806850"/>
    <w:rsid w:val="00807A8B"/>
    <w:rsid w:val="008109BD"/>
    <w:rsid w:val="00811383"/>
    <w:rsid w:val="00811B24"/>
    <w:rsid w:val="00812149"/>
    <w:rsid w:val="00812CAC"/>
    <w:rsid w:val="00812E2F"/>
    <w:rsid w:val="008135D8"/>
    <w:rsid w:val="00813B09"/>
    <w:rsid w:val="00813D0B"/>
    <w:rsid w:val="00813EB0"/>
    <w:rsid w:val="00814069"/>
    <w:rsid w:val="00815FBD"/>
    <w:rsid w:val="008160BC"/>
    <w:rsid w:val="00816361"/>
    <w:rsid w:val="008166EF"/>
    <w:rsid w:val="00816FEF"/>
    <w:rsid w:val="0081753B"/>
    <w:rsid w:val="0082029E"/>
    <w:rsid w:val="008206C5"/>
    <w:rsid w:val="00820725"/>
    <w:rsid w:val="00820A8C"/>
    <w:rsid w:val="00820CCB"/>
    <w:rsid w:val="00821422"/>
    <w:rsid w:val="008215FB"/>
    <w:rsid w:val="008216C4"/>
    <w:rsid w:val="008228D0"/>
    <w:rsid w:val="00822C31"/>
    <w:rsid w:val="00823174"/>
    <w:rsid w:val="00823CE2"/>
    <w:rsid w:val="008240F7"/>
    <w:rsid w:val="00824890"/>
    <w:rsid w:val="00824E0A"/>
    <w:rsid w:val="00825751"/>
    <w:rsid w:val="00825F5C"/>
    <w:rsid w:val="008264EB"/>
    <w:rsid w:val="00826ABC"/>
    <w:rsid w:val="00826ED3"/>
    <w:rsid w:val="0082753F"/>
    <w:rsid w:val="00830F8F"/>
    <w:rsid w:val="00831C41"/>
    <w:rsid w:val="00831D94"/>
    <w:rsid w:val="008328A2"/>
    <w:rsid w:val="00833848"/>
    <w:rsid w:val="008339F5"/>
    <w:rsid w:val="00833B05"/>
    <w:rsid w:val="00834679"/>
    <w:rsid w:val="008348ED"/>
    <w:rsid w:val="00835AA7"/>
    <w:rsid w:val="0083610E"/>
    <w:rsid w:val="008362B4"/>
    <w:rsid w:val="008366BC"/>
    <w:rsid w:val="00837D45"/>
    <w:rsid w:val="0084041E"/>
    <w:rsid w:val="00840CA2"/>
    <w:rsid w:val="008413CB"/>
    <w:rsid w:val="00842B8A"/>
    <w:rsid w:val="00842E0E"/>
    <w:rsid w:val="00842E94"/>
    <w:rsid w:val="0084341D"/>
    <w:rsid w:val="0084374F"/>
    <w:rsid w:val="00844A22"/>
    <w:rsid w:val="00844BD8"/>
    <w:rsid w:val="0084560A"/>
    <w:rsid w:val="00845818"/>
    <w:rsid w:val="0084661E"/>
    <w:rsid w:val="0084675B"/>
    <w:rsid w:val="00847703"/>
    <w:rsid w:val="00847835"/>
    <w:rsid w:val="00847DF5"/>
    <w:rsid w:val="00851A66"/>
    <w:rsid w:val="0085285C"/>
    <w:rsid w:val="0085309D"/>
    <w:rsid w:val="008532E7"/>
    <w:rsid w:val="00853CFB"/>
    <w:rsid w:val="0085405D"/>
    <w:rsid w:val="008541DE"/>
    <w:rsid w:val="00854EE0"/>
    <w:rsid w:val="008552DA"/>
    <w:rsid w:val="00855F92"/>
    <w:rsid w:val="008562E8"/>
    <w:rsid w:val="00856897"/>
    <w:rsid w:val="00856C2B"/>
    <w:rsid w:val="00856E9A"/>
    <w:rsid w:val="00856EE7"/>
    <w:rsid w:val="00856F0E"/>
    <w:rsid w:val="00857D82"/>
    <w:rsid w:val="0086075D"/>
    <w:rsid w:val="00860C1F"/>
    <w:rsid w:val="00861E9F"/>
    <w:rsid w:val="00862502"/>
    <w:rsid w:val="00862CC1"/>
    <w:rsid w:val="008650CA"/>
    <w:rsid w:val="008658B4"/>
    <w:rsid w:val="00865996"/>
    <w:rsid w:val="00866078"/>
    <w:rsid w:val="008660D4"/>
    <w:rsid w:val="00866D90"/>
    <w:rsid w:val="008672D3"/>
    <w:rsid w:val="008703DD"/>
    <w:rsid w:val="008707F1"/>
    <w:rsid w:val="00870C4E"/>
    <w:rsid w:val="00871FA9"/>
    <w:rsid w:val="008720BC"/>
    <w:rsid w:val="008728E9"/>
    <w:rsid w:val="00873176"/>
    <w:rsid w:val="00873679"/>
    <w:rsid w:val="00873D7A"/>
    <w:rsid w:val="00873E91"/>
    <w:rsid w:val="008756C4"/>
    <w:rsid w:val="008757A0"/>
    <w:rsid w:val="00876023"/>
    <w:rsid w:val="0087604C"/>
    <w:rsid w:val="008801C0"/>
    <w:rsid w:val="008817B4"/>
    <w:rsid w:val="00881E88"/>
    <w:rsid w:val="00882874"/>
    <w:rsid w:val="00882E3C"/>
    <w:rsid w:val="00882F17"/>
    <w:rsid w:val="00883771"/>
    <w:rsid w:val="00883787"/>
    <w:rsid w:val="0088553B"/>
    <w:rsid w:val="008855E4"/>
    <w:rsid w:val="00886093"/>
    <w:rsid w:val="0088621F"/>
    <w:rsid w:val="00886BE6"/>
    <w:rsid w:val="00886CAA"/>
    <w:rsid w:val="00886CAC"/>
    <w:rsid w:val="00886CD2"/>
    <w:rsid w:val="00887B04"/>
    <w:rsid w:val="00887ED1"/>
    <w:rsid w:val="008906D2"/>
    <w:rsid w:val="00890E79"/>
    <w:rsid w:val="00891E6F"/>
    <w:rsid w:val="0089275D"/>
    <w:rsid w:val="00892A36"/>
    <w:rsid w:val="00892EFA"/>
    <w:rsid w:val="00893239"/>
    <w:rsid w:val="008939E5"/>
    <w:rsid w:val="00894085"/>
    <w:rsid w:val="00894489"/>
    <w:rsid w:val="00895239"/>
    <w:rsid w:val="00895D37"/>
    <w:rsid w:val="008963A5"/>
    <w:rsid w:val="00896B9F"/>
    <w:rsid w:val="00896D5D"/>
    <w:rsid w:val="008A1837"/>
    <w:rsid w:val="008A3363"/>
    <w:rsid w:val="008A3371"/>
    <w:rsid w:val="008A3393"/>
    <w:rsid w:val="008A375D"/>
    <w:rsid w:val="008A3C3E"/>
    <w:rsid w:val="008A3D72"/>
    <w:rsid w:val="008A6C1D"/>
    <w:rsid w:val="008A7783"/>
    <w:rsid w:val="008A79DE"/>
    <w:rsid w:val="008A7B95"/>
    <w:rsid w:val="008B108C"/>
    <w:rsid w:val="008B1757"/>
    <w:rsid w:val="008B1B5D"/>
    <w:rsid w:val="008B281D"/>
    <w:rsid w:val="008B2B07"/>
    <w:rsid w:val="008B4EC4"/>
    <w:rsid w:val="008B5C30"/>
    <w:rsid w:val="008B7992"/>
    <w:rsid w:val="008B7D7E"/>
    <w:rsid w:val="008C18A4"/>
    <w:rsid w:val="008C1CF5"/>
    <w:rsid w:val="008C2401"/>
    <w:rsid w:val="008C24D9"/>
    <w:rsid w:val="008C305E"/>
    <w:rsid w:val="008C39B9"/>
    <w:rsid w:val="008C4312"/>
    <w:rsid w:val="008C5212"/>
    <w:rsid w:val="008C5610"/>
    <w:rsid w:val="008C5739"/>
    <w:rsid w:val="008C5F82"/>
    <w:rsid w:val="008C7ADA"/>
    <w:rsid w:val="008C7ECB"/>
    <w:rsid w:val="008D10C5"/>
    <w:rsid w:val="008D23B8"/>
    <w:rsid w:val="008D33DD"/>
    <w:rsid w:val="008D392D"/>
    <w:rsid w:val="008D3B86"/>
    <w:rsid w:val="008D3E60"/>
    <w:rsid w:val="008D4755"/>
    <w:rsid w:val="008D4C3D"/>
    <w:rsid w:val="008D51C1"/>
    <w:rsid w:val="008D689B"/>
    <w:rsid w:val="008D743C"/>
    <w:rsid w:val="008D761D"/>
    <w:rsid w:val="008D7D23"/>
    <w:rsid w:val="008E0027"/>
    <w:rsid w:val="008E0D3C"/>
    <w:rsid w:val="008E1980"/>
    <w:rsid w:val="008E1A22"/>
    <w:rsid w:val="008E1B9E"/>
    <w:rsid w:val="008E1F35"/>
    <w:rsid w:val="008E26CF"/>
    <w:rsid w:val="008E2E0A"/>
    <w:rsid w:val="008E344F"/>
    <w:rsid w:val="008E3A9C"/>
    <w:rsid w:val="008E51D2"/>
    <w:rsid w:val="008E55AB"/>
    <w:rsid w:val="008E6AE6"/>
    <w:rsid w:val="008E6ECD"/>
    <w:rsid w:val="008F120A"/>
    <w:rsid w:val="008F27E0"/>
    <w:rsid w:val="008F2A1C"/>
    <w:rsid w:val="008F2C71"/>
    <w:rsid w:val="008F2DFF"/>
    <w:rsid w:val="008F3328"/>
    <w:rsid w:val="008F3973"/>
    <w:rsid w:val="008F48EB"/>
    <w:rsid w:val="008F4F0B"/>
    <w:rsid w:val="008F60CF"/>
    <w:rsid w:val="008F60F3"/>
    <w:rsid w:val="008F6AD7"/>
    <w:rsid w:val="00901BD7"/>
    <w:rsid w:val="00901BEB"/>
    <w:rsid w:val="00902BA9"/>
    <w:rsid w:val="0090407E"/>
    <w:rsid w:val="009046C4"/>
    <w:rsid w:val="00905390"/>
    <w:rsid w:val="009062A5"/>
    <w:rsid w:val="009065A3"/>
    <w:rsid w:val="00907AD9"/>
    <w:rsid w:val="00910FA7"/>
    <w:rsid w:val="0091123C"/>
    <w:rsid w:val="00911272"/>
    <w:rsid w:val="009115D3"/>
    <w:rsid w:val="00911E31"/>
    <w:rsid w:val="009135D6"/>
    <w:rsid w:val="00913C72"/>
    <w:rsid w:val="00914548"/>
    <w:rsid w:val="00914C77"/>
    <w:rsid w:val="009150C3"/>
    <w:rsid w:val="00915BCD"/>
    <w:rsid w:val="00915FEE"/>
    <w:rsid w:val="009167E0"/>
    <w:rsid w:val="0091680B"/>
    <w:rsid w:val="009170F6"/>
    <w:rsid w:val="00917295"/>
    <w:rsid w:val="00920358"/>
    <w:rsid w:val="009207A8"/>
    <w:rsid w:val="00921125"/>
    <w:rsid w:val="00921193"/>
    <w:rsid w:val="00921ACB"/>
    <w:rsid w:val="009223CE"/>
    <w:rsid w:val="00922C5E"/>
    <w:rsid w:val="0092368C"/>
    <w:rsid w:val="0092369B"/>
    <w:rsid w:val="0092510C"/>
    <w:rsid w:val="00926306"/>
    <w:rsid w:val="00926FE8"/>
    <w:rsid w:val="0092783E"/>
    <w:rsid w:val="009278A6"/>
    <w:rsid w:val="00927D02"/>
    <w:rsid w:val="009303D6"/>
    <w:rsid w:val="00930572"/>
    <w:rsid w:val="00931342"/>
    <w:rsid w:val="009314C1"/>
    <w:rsid w:val="00932358"/>
    <w:rsid w:val="00932447"/>
    <w:rsid w:val="0093396A"/>
    <w:rsid w:val="00933E7D"/>
    <w:rsid w:val="009342F3"/>
    <w:rsid w:val="00934988"/>
    <w:rsid w:val="00935568"/>
    <w:rsid w:val="00936B6D"/>
    <w:rsid w:val="00937089"/>
    <w:rsid w:val="0093738B"/>
    <w:rsid w:val="009374E5"/>
    <w:rsid w:val="00937F7C"/>
    <w:rsid w:val="00940531"/>
    <w:rsid w:val="009414FE"/>
    <w:rsid w:val="0094254D"/>
    <w:rsid w:val="00943014"/>
    <w:rsid w:val="00943AD6"/>
    <w:rsid w:val="00944CC3"/>
    <w:rsid w:val="00944EBC"/>
    <w:rsid w:val="00944F0D"/>
    <w:rsid w:val="00944F8A"/>
    <w:rsid w:val="00945A50"/>
    <w:rsid w:val="00946A8C"/>
    <w:rsid w:val="009474BB"/>
    <w:rsid w:val="00950C34"/>
    <w:rsid w:val="009510A2"/>
    <w:rsid w:val="009514AB"/>
    <w:rsid w:val="00951A21"/>
    <w:rsid w:val="00951FF0"/>
    <w:rsid w:val="00952BA2"/>
    <w:rsid w:val="00953257"/>
    <w:rsid w:val="00953C8F"/>
    <w:rsid w:val="0095405D"/>
    <w:rsid w:val="0095430A"/>
    <w:rsid w:val="00954480"/>
    <w:rsid w:val="0095474C"/>
    <w:rsid w:val="00954AFC"/>
    <w:rsid w:val="00955420"/>
    <w:rsid w:val="009555F2"/>
    <w:rsid w:val="009574A6"/>
    <w:rsid w:val="0096004D"/>
    <w:rsid w:val="00960D67"/>
    <w:rsid w:val="009614C6"/>
    <w:rsid w:val="00961DF2"/>
    <w:rsid w:val="00961ED3"/>
    <w:rsid w:val="00962834"/>
    <w:rsid w:val="00962CB9"/>
    <w:rsid w:val="0096306D"/>
    <w:rsid w:val="009639B1"/>
    <w:rsid w:val="00964312"/>
    <w:rsid w:val="00965B8A"/>
    <w:rsid w:val="00966162"/>
    <w:rsid w:val="0096781F"/>
    <w:rsid w:val="00967EB0"/>
    <w:rsid w:val="0097071F"/>
    <w:rsid w:val="00970868"/>
    <w:rsid w:val="009716EA"/>
    <w:rsid w:val="009717AC"/>
    <w:rsid w:val="00972315"/>
    <w:rsid w:val="009723F7"/>
    <w:rsid w:val="00973089"/>
    <w:rsid w:val="00973382"/>
    <w:rsid w:val="00973667"/>
    <w:rsid w:val="00973977"/>
    <w:rsid w:val="0097463F"/>
    <w:rsid w:val="00974701"/>
    <w:rsid w:val="009748DC"/>
    <w:rsid w:val="00974CA0"/>
    <w:rsid w:val="00974F1F"/>
    <w:rsid w:val="009751C1"/>
    <w:rsid w:val="00975222"/>
    <w:rsid w:val="00975491"/>
    <w:rsid w:val="009756FD"/>
    <w:rsid w:val="009770E2"/>
    <w:rsid w:val="00980878"/>
    <w:rsid w:val="009811F1"/>
    <w:rsid w:val="00981641"/>
    <w:rsid w:val="00981FF8"/>
    <w:rsid w:val="009828AF"/>
    <w:rsid w:val="00982B02"/>
    <w:rsid w:val="00982BA8"/>
    <w:rsid w:val="00983023"/>
    <w:rsid w:val="00983403"/>
    <w:rsid w:val="009837F7"/>
    <w:rsid w:val="00983C40"/>
    <w:rsid w:val="00983E57"/>
    <w:rsid w:val="00983F32"/>
    <w:rsid w:val="0098481B"/>
    <w:rsid w:val="00985DBE"/>
    <w:rsid w:val="00985DE2"/>
    <w:rsid w:val="0098675D"/>
    <w:rsid w:val="00986831"/>
    <w:rsid w:val="00986B2D"/>
    <w:rsid w:val="00987246"/>
    <w:rsid w:val="009872AF"/>
    <w:rsid w:val="00987EB5"/>
    <w:rsid w:val="009909C6"/>
    <w:rsid w:val="009910D2"/>
    <w:rsid w:val="00991C82"/>
    <w:rsid w:val="009926E0"/>
    <w:rsid w:val="0099451E"/>
    <w:rsid w:val="00994782"/>
    <w:rsid w:val="00995890"/>
    <w:rsid w:val="00996B1A"/>
    <w:rsid w:val="00997513"/>
    <w:rsid w:val="009978D3"/>
    <w:rsid w:val="009A18AA"/>
    <w:rsid w:val="009A23FE"/>
    <w:rsid w:val="009A2DCC"/>
    <w:rsid w:val="009A330A"/>
    <w:rsid w:val="009A34E3"/>
    <w:rsid w:val="009A4398"/>
    <w:rsid w:val="009A5107"/>
    <w:rsid w:val="009A512E"/>
    <w:rsid w:val="009A5307"/>
    <w:rsid w:val="009A5ABC"/>
    <w:rsid w:val="009A62A1"/>
    <w:rsid w:val="009A658C"/>
    <w:rsid w:val="009A65CE"/>
    <w:rsid w:val="009A6806"/>
    <w:rsid w:val="009A7F10"/>
    <w:rsid w:val="009B115E"/>
    <w:rsid w:val="009B163B"/>
    <w:rsid w:val="009B2171"/>
    <w:rsid w:val="009B256A"/>
    <w:rsid w:val="009B2705"/>
    <w:rsid w:val="009B296C"/>
    <w:rsid w:val="009B330B"/>
    <w:rsid w:val="009B363B"/>
    <w:rsid w:val="009B38B6"/>
    <w:rsid w:val="009B38F7"/>
    <w:rsid w:val="009B392F"/>
    <w:rsid w:val="009B3B9E"/>
    <w:rsid w:val="009B3E26"/>
    <w:rsid w:val="009B3F2F"/>
    <w:rsid w:val="009B5249"/>
    <w:rsid w:val="009B63B0"/>
    <w:rsid w:val="009B7016"/>
    <w:rsid w:val="009B753A"/>
    <w:rsid w:val="009C090E"/>
    <w:rsid w:val="009C14D0"/>
    <w:rsid w:val="009C30C5"/>
    <w:rsid w:val="009C3706"/>
    <w:rsid w:val="009C3A3A"/>
    <w:rsid w:val="009C568C"/>
    <w:rsid w:val="009C6CEA"/>
    <w:rsid w:val="009C748E"/>
    <w:rsid w:val="009C74D1"/>
    <w:rsid w:val="009C7B85"/>
    <w:rsid w:val="009D0254"/>
    <w:rsid w:val="009D0384"/>
    <w:rsid w:val="009D0BF8"/>
    <w:rsid w:val="009D1A64"/>
    <w:rsid w:val="009D2BF7"/>
    <w:rsid w:val="009D3DDA"/>
    <w:rsid w:val="009D434B"/>
    <w:rsid w:val="009D5B91"/>
    <w:rsid w:val="009D5C42"/>
    <w:rsid w:val="009D5D25"/>
    <w:rsid w:val="009D6146"/>
    <w:rsid w:val="009D6BE4"/>
    <w:rsid w:val="009D71D6"/>
    <w:rsid w:val="009D792E"/>
    <w:rsid w:val="009D7FBD"/>
    <w:rsid w:val="009E032D"/>
    <w:rsid w:val="009E0C4B"/>
    <w:rsid w:val="009E0DFE"/>
    <w:rsid w:val="009E15FC"/>
    <w:rsid w:val="009E217B"/>
    <w:rsid w:val="009E2891"/>
    <w:rsid w:val="009E2917"/>
    <w:rsid w:val="009E31F6"/>
    <w:rsid w:val="009E39E4"/>
    <w:rsid w:val="009E440C"/>
    <w:rsid w:val="009E44C6"/>
    <w:rsid w:val="009E4C07"/>
    <w:rsid w:val="009E523C"/>
    <w:rsid w:val="009E60CD"/>
    <w:rsid w:val="009E6F00"/>
    <w:rsid w:val="009E7699"/>
    <w:rsid w:val="009E7BAF"/>
    <w:rsid w:val="009F0B42"/>
    <w:rsid w:val="009F0F7F"/>
    <w:rsid w:val="009F170D"/>
    <w:rsid w:val="009F197A"/>
    <w:rsid w:val="009F4207"/>
    <w:rsid w:val="009F48D9"/>
    <w:rsid w:val="009F57A6"/>
    <w:rsid w:val="009F57FF"/>
    <w:rsid w:val="009F6D2F"/>
    <w:rsid w:val="00A00124"/>
    <w:rsid w:val="00A00245"/>
    <w:rsid w:val="00A00DC4"/>
    <w:rsid w:val="00A00DE0"/>
    <w:rsid w:val="00A01184"/>
    <w:rsid w:val="00A011BF"/>
    <w:rsid w:val="00A0139F"/>
    <w:rsid w:val="00A0286F"/>
    <w:rsid w:val="00A037C2"/>
    <w:rsid w:val="00A03926"/>
    <w:rsid w:val="00A03D43"/>
    <w:rsid w:val="00A04380"/>
    <w:rsid w:val="00A04691"/>
    <w:rsid w:val="00A05472"/>
    <w:rsid w:val="00A05C32"/>
    <w:rsid w:val="00A0653F"/>
    <w:rsid w:val="00A068E3"/>
    <w:rsid w:val="00A06B3E"/>
    <w:rsid w:val="00A07254"/>
    <w:rsid w:val="00A11BC1"/>
    <w:rsid w:val="00A11CD0"/>
    <w:rsid w:val="00A1217E"/>
    <w:rsid w:val="00A124B3"/>
    <w:rsid w:val="00A1319B"/>
    <w:rsid w:val="00A1391C"/>
    <w:rsid w:val="00A13948"/>
    <w:rsid w:val="00A147B9"/>
    <w:rsid w:val="00A1525A"/>
    <w:rsid w:val="00A1555B"/>
    <w:rsid w:val="00A155C5"/>
    <w:rsid w:val="00A167B2"/>
    <w:rsid w:val="00A168E5"/>
    <w:rsid w:val="00A16AD8"/>
    <w:rsid w:val="00A173AE"/>
    <w:rsid w:val="00A20840"/>
    <w:rsid w:val="00A20B40"/>
    <w:rsid w:val="00A2159B"/>
    <w:rsid w:val="00A21AF1"/>
    <w:rsid w:val="00A21C95"/>
    <w:rsid w:val="00A21CF3"/>
    <w:rsid w:val="00A22067"/>
    <w:rsid w:val="00A226B2"/>
    <w:rsid w:val="00A228F3"/>
    <w:rsid w:val="00A22B79"/>
    <w:rsid w:val="00A2395C"/>
    <w:rsid w:val="00A23CD0"/>
    <w:rsid w:val="00A24813"/>
    <w:rsid w:val="00A25413"/>
    <w:rsid w:val="00A26546"/>
    <w:rsid w:val="00A265C7"/>
    <w:rsid w:val="00A27AEC"/>
    <w:rsid w:val="00A320DB"/>
    <w:rsid w:val="00A3241A"/>
    <w:rsid w:val="00A326E3"/>
    <w:rsid w:val="00A3293C"/>
    <w:rsid w:val="00A32A0B"/>
    <w:rsid w:val="00A33D43"/>
    <w:rsid w:val="00A355A8"/>
    <w:rsid w:val="00A356C2"/>
    <w:rsid w:val="00A35D16"/>
    <w:rsid w:val="00A3630B"/>
    <w:rsid w:val="00A37BCD"/>
    <w:rsid w:val="00A37EBD"/>
    <w:rsid w:val="00A40DA2"/>
    <w:rsid w:val="00A4106B"/>
    <w:rsid w:val="00A413D9"/>
    <w:rsid w:val="00A414FC"/>
    <w:rsid w:val="00A41689"/>
    <w:rsid w:val="00A41B75"/>
    <w:rsid w:val="00A42592"/>
    <w:rsid w:val="00A42CF0"/>
    <w:rsid w:val="00A42F8B"/>
    <w:rsid w:val="00A43C59"/>
    <w:rsid w:val="00A44F81"/>
    <w:rsid w:val="00A450B2"/>
    <w:rsid w:val="00A45DC7"/>
    <w:rsid w:val="00A46A7C"/>
    <w:rsid w:val="00A47BCA"/>
    <w:rsid w:val="00A47F5F"/>
    <w:rsid w:val="00A505F2"/>
    <w:rsid w:val="00A50ECD"/>
    <w:rsid w:val="00A518F3"/>
    <w:rsid w:val="00A52184"/>
    <w:rsid w:val="00A52211"/>
    <w:rsid w:val="00A52729"/>
    <w:rsid w:val="00A52FB9"/>
    <w:rsid w:val="00A5330D"/>
    <w:rsid w:val="00A53656"/>
    <w:rsid w:val="00A53675"/>
    <w:rsid w:val="00A539AB"/>
    <w:rsid w:val="00A53D3B"/>
    <w:rsid w:val="00A54A4E"/>
    <w:rsid w:val="00A55B9C"/>
    <w:rsid w:val="00A55D6A"/>
    <w:rsid w:val="00A564D7"/>
    <w:rsid w:val="00A56AB3"/>
    <w:rsid w:val="00A56B6A"/>
    <w:rsid w:val="00A570FA"/>
    <w:rsid w:val="00A572AC"/>
    <w:rsid w:val="00A578DC"/>
    <w:rsid w:val="00A62019"/>
    <w:rsid w:val="00A623F1"/>
    <w:rsid w:val="00A62726"/>
    <w:rsid w:val="00A62730"/>
    <w:rsid w:val="00A63174"/>
    <w:rsid w:val="00A640E2"/>
    <w:rsid w:val="00A64D65"/>
    <w:rsid w:val="00A6721A"/>
    <w:rsid w:val="00A6725B"/>
    <w:rsid w:val="00A67393"/>
    <w:rsid w:val="00A67CF6"/>
    <w:rsid w:val="00A67E07"/>
    <w:rsid w:val="00A70605"/>
    <w:rsid w:val="00A722B9"/>
    <w:rsid w:val="00A73134"/>
    <w:rsid w:val="00A734F4"/>
    <w:rsid w:val="00A73CEC"/>
    <w:rsid w:val="00A73D54"/>
    <w:rsid w:val="00A74D90"/>
    <w:rsid w:val="00A75D43"/>
    <w:rsid w:val="00A76001"/>
    <w:rsid w:val="00A766DA"/>
    <w:rsid w:val="00A768B8"/>
    <w:rsid w:val="00A777B2"/>
    <w:rsid w:val="00A800BD"/>
    <w:rsid w:val="00A81108"/>
    <w:rsid w:val="00A8230C"/>
    <w:rsid w:val="00A8233C"/>
    <w:rsid w:val="00A825D4"/>
    <w:rsid w:val="00A828F6"/>
    <w:rsid w:val="00A82B73"/>
    <w:rsid w:val="00A830D8"/>
    <w:rsid w:val="00A83111"/>
    <w:rsid w:val="00A83403"/>
    <w:rsid w:val="00A835F2"/>
    <w:rsid w:val="00A8438D"/>
    <w:rsid w:val="00A84622"/>
    <w:rsid w:val="00A85487"/>
    <w:rsid w:val="00A86032"/>
    <w:rsid w:val="00A86451"/>
    <w:rsid w:val="00A86B8D"/>
    <w:rsid w:val="00A86B98"/>
    <w:rsid w:val="00A86E8B"/>
    <w:rsid w:val="00A87164"/>
    <w:rsid w:val="00A87300"/>
    <w:rsid w:val="00A9062D"/>
    <w:rsid w:val="00A90B45"/>
    <w:rsid w:val="00A90E5D"/>
    <w:rsid w:val="00A915C0"/>
    <w:rsid w:val="00A917F5"/>
    <w:rsid w:val="00A91CB7"/>
    <w:rsid w:val="00A93072"/>
    <w:rsid w:val="00A9378A"/>
    <w:rsid w:val="00A938BD"/>
    <w:rsid w:val="00A93953"/>
    <w:rsid w:val="00A93E31"/>
    <w:rsid w:val="00A959D8"/>
    <w:rsid w:val="00A95D7D"/>
    <w:rsid w:val="00A966D3"/>
    <w:rsid w:val="00A97FE4"/>
    <w:rsid w:val="00AA043A"/>
    <w:rsid w:val="00AA0E2D"/>
    <w:rsid w:val="00AA106D"/>
    <w:rsid w:val="00AA113D"/>
    <w:rsid w:val="00AA1E04"/>
    <w:rsid w:val="00AA1E24"/>
    <w:rsid w:val="00AA1F88"/>
    <w:rsid w:val="00AA2E2D"/>
    <w:rsid w:val="00AA4643"/>
    <w:rsid w:val="00AA5973"/>
    <w:rsid w:val="00AA6BD5"/>
    <w:rsid w:val="00AA6BD8"/>
    <w:rsid w:val="00AA6C5C"/>
    <w:rsid w:val="00AA6C7D"/>
    <w:rsid w:val="00AA7688"/>
    <w:rsid w:val="00AA7FD6"/>
    <w:rsid w:val="00AB042A"/>
    <w:rsid w:val="00AB0AE0"/>
    <w:rsid w:val="00AB19EF"/>
    <w:rsid w:val="00AB2D34"/>
    <w:rsid w:val="00AB3430"/>
    <w:rsid w:val="00AB37B9"/>
    <w:rsid w:val="00AB3E75"/>
    <w:rsid w:val="00AB4AD1"/>
    <w:rsid w:val="00AB4D8B"/>
    <w:rsid w:val="00AB5995"/>
    <w:rsid w:val="00AB5E07"/>
    <w:rsid w:val="00AB6C8A"/>
    <w:rsid w:val="00AB721E"/>
    <w:rsid w:val="00AB75B5"/>
    <w:rsid w:val="00AB778B"/>
    <w:rsid w:val="00AB7CFA"/>
    <w:rsid w:val="00AB7DB9"/>
    <w:rsid w:val="00AC062E"/>
    <w:rsid w:val="00AC1F80"/>
    <w:rsid w:val="00AC4BCF"/>
    <w:rsid w:val="00AC5B48"/>
    <w:rsid w:val="00AC5C22"/>
    <w:rsid w:val="00AC690D"/>
    <w:rsid w:val="00AC7BF4"/>
    <w:rsid w:val="00AD08F1"/>
    <w:rsid w:val="00AD0CD7"/>
    <w:rsid w:val="00AD1450"/>
    <w:rsid w:val="00AD152A"/>
    <w:rsid w:val="00AD22A2"/>
    <w:rsid w:val="00AD2ED3"/>
    <w:rsid w:val="00AD347B"/>
    <w:rsid w:val="00AD3509"/>
    <w:rsid w:val="00AD3CE8"/>
    <w:rsid w:val="00AD4FE7"/>
    <w:rsid w:val="00AD5A25"/>
    <w:rsid w:val="00AD6502"/>
    <w:rsid w:val="00AD7773"/>
    <w:rsid w:val="00AE05B4"/>
    <w:rsid w:val="00AE0695"/>
    <w:rsid w:val="00AE0BA4"/>
    <w:rsid w:val="00AE0EC4"/>
    <w:rsid w:val="00AE146D"/>
    <w:rsid w:val="00AE18C2"/>
    <w:rsid w:val="00AE2935"/>
    <w:rsid w:val="00AE3E7E"/>
    <w:rsid w:val="00AE4163"/>
    <w:rsid w:val="00AE4349"/>
    <w:rsid w:val="00AE7F93"/>
    <w:rsid w:val="00AF0051"/>
    <w:rsid w:val="00AF01F3"/>
    <w:rsid w:val="00AF03BC"/>
    <w:rsid w:val="00AF1231"/>
    <w:rsid w:val="00AF1315"/>
    <w:rsid w:val="00AF19BF"/>
    <w:rsid w:val="00AF1DF6"/>
    <w:rsid w:val="00AF257F"/>
    <w:rsid w:val="00AF2DC3"/>
    <w:rsid w:val="00AF476B"/>
    <w:rsid w:val="00AF4C97"/>
    <w:rsid w:val="00AF506F"/>
    <w:rsid w:val="00AF6B3D"/>
    <w:rsid w:val="00AF6EF3"/>
    <w:rsid w:val="00AF760A"/>
    <w:rsid w:val="00AF7D4A"/>
    <w:rsid w:val="00B01370"/>
    <w:rsid w:val="00B0152F"/>
    <w:rsid w:val="00B01B8A"/>
    <w:rsid w:val="00B02768"/>
    <w:rsid w:val="00B033E5"/>
    <w:rsid w:val="00B03A63"/>
    <w:rsid w:val="00B04146"/>
    <w:rsid w:val="00B04FD3"/>
    <w:rsid w:val="00B063D0"/>
    <w:rsid w:val="00B07CA3"/>
    <w:rsid w:val="00B105DD"/>
    <w:rsid w:val="00B13607"/>
    <w:rsid w:val="00B13884"/>
    <w:rsid w:val="00B141F7"/>
    <w:rsid w:val="00B14310"/>
    <w:rsid w:val="00B14663"/>
    <w:rsid w:val="00B15838"/>
    <w:rsid w:val="00B16E7F"/>
    <w:rsid w:val="00B17D99"/>
    <w:rsid w:val="00B201A4"/>
    <w:rsid w:val="00B201D1"/>
    <w:rsid w:val="00B20DFF"/>
    <w:rsid w:val="00B213A6"/>
    <w:rsid w:val="00B21407"/>
    <w:rsid w:val="00B21AEF"/>
    <w:rsid w:val="00B22257"/>
    <w:rsid w:val="00B22D7B"/>
    <w:rsid w:val="00B231C1"/>
    <w:rsid w:val="00B2343A"/>
    <w:rsid w:val="00B235B0"/>
    <w:rsid w:val="00B236FE"/>
    <w:rsid w:val="00B24214"/>
    <w:rsid w:val="00B24DF6"/>
    <w:rsid w:val="00B25001"/>
    <w:rsid w:val="00B25A42"/>
    <w:rsid w:val="00B27E92"/>
    <w:rsid w:val="00B27FE9"/>
    <w:rsid w:val="00B31645"/>
    <w:rsid w:val="00B31A46"/>
    <w:rsid w:val="00B343AC"/>
    <w:rsid w:val="00B34FE2"/>
    <w:rsid w:val="00B35166"/>
    <w:rsid w:val="00B357C4"/>
    <w:rsid w:val="00B357D8"/>
    <w:rsid w:val="00B360F4"/>
    <w:rsid w:val="00B36880"/>
    <w:rsid w:val="00B36A00"/>
    <w:rsid w:val="00B37BFC"/>
    <w:rsid w:val="00B40358"/>
    <w:rsid w:val="00B406EA"/>
    <w:rsid w:val="00B411DF"/>
    <w:rsid w:val="00B41614"/>
    <w:rsid w:val="00B42851"/>
    <w:rsid w:val="00B42F80"/>
    <w:rsid w:val="00B435CB"/>
    <w:rsid w:val="00B4495A"/>
    <w:rsid w:val="00B44B7B"/>
    <w:rsid w:val="00B45863"/>
    <w:rsid w:val="00B45983"/>
    <w:rsid w:val="00B4691A"/>
    <w:rsid w:val="00B46A19"/>
    <w:rsid w:val="00B46C6F"/>
    <w:rsid w:val="00B47907"/>
    <w:rsid w:val="00B505C8"/>
    <w:rsid w:val="00B50802"/>
    <w:rsid w:val="00B50A62"/>
    <w:rsid w:val="00B50DB8"/>
    <w:rsid w:val="00B51761"/>
    <w:rsid w:val="00B5286F"/>
    <w:rsid w:val="00B53654"/>
    <w:rsid w:val="00B53905"/>
    <w:rsid w:val="00B53B7C"/>
    <w:rsid w:val="00B5424C"/>
    <w:rsid w:val="00B54499"/>
    <w:rsid w:val="00B54A80"/>
    <w:rsid w:val="00B54B5B"/>
    <w:rsid w:val="00B5562E"/>
    <w:rsid w:val="00B55B60"/>
    <w:rsid w:val="00B55D65"/>
    <w:rsid w:val="00B566CA"/>
    <w:rsid w:val="00B567A3"/>
    <w:rsid w:val="00B567C3"/>
    <w:rsid w:val="00B57000"/>
    <w:rsid w:val="00B57726"/>
    <w:rsid w:val="00B57CBD"/>
    <w:rsid w:val="00B60511"/>
    <w:rsid w:val="00B60939"/>
    <w:rsid w:val="00B60AFD"/>
    <w:rsid w:val="00B6129C"/>
    <w:rsid w:val="00B6235B"/>
    <w:rsid w:val="00B62715"/>
    <w:rsid w:val="00B62BA9"/>
    <w:rsid w:val="00B6353D"/>
    <w:rsid w:val="00B65262"/>
    <w:rsid w:val="00B65611"/>
    <w:rsid w:val="00B6676F"/>
    <w:rsid w:val="00B66CEA"/>
    <w:rsid w:val="00B67C2F"/>
    <w:rsid w:val="00B70D6D"/>
    <w:rsid w:val="00B70E8E"/>
    <w:rsid w:val="00B717F1"/>
    <w:rsid w:val="00B720BE"/>
    <w:rsid w:val="00B72C45"/>
    <w:rsid w:val="00B72F14"/>
    <w:rsid w:val="00B730B3"/>
    <w:rsid w:val="00B7322F"/>
    <w:rsid w:val="00B73710"/>
    <w:rsid w:val="00B7421B"/>
    <w:rsid w:val="00B74C79"/>
    <w:rsid w:val="00B74E51"/>
    <w:rsid w:val="00B763F7"/>
    <w:rsid w:val="00B7642C"/>
    <w:rsid w:val="00B76C92"/>
    <w:rsid w:val="00B80AA6"/>
    <w:rsid w:val="00B814D5"/>
    <w:rsid w:val="00B818A4"/>
    <w:rsid w:val="00B81B08"/>
    <w:rsid w:val="00B826A1"/>
    <w:rsid w:val="00B82F80"/>
    <w:rsid w:val="00B836B8"/>
    <w:rsid w:val="00B8370A"/>
    <w:rsid w:val="00B84117"/>
    <w:rsid w:val="00B842CA"/>
    <w:rsid w:val="00B85292"/>
    <w:rsid w:val="00B858F0"/>
    <w:rsid w:val="00B85AA2"/>
    <w:rsid w:val="00B862A1"/>
    <w:rsid w:val="00B862D9"/>
    <w:rsid w:val="00B8649C"/>
    <w:rsid w:val="00B8695D"/>
    <w:rsid w:val="00B8704C"/>
    <w:rsid w:val="00B87C8C"/>
    <w:rsid w:val="00B87F0A"/>
    <w:rsid w:val="00B87F87"/>
    <w:rsid w:val="00B90080"/>
    <w:rsid w:val="00B909AE"/>
    <w:rsid w:val="00B90A2A"/>
    <w:rsid w:val="00B91B0B"/>
    <w:rsid w:val="00B92D0B"/>
    <w:rsid w:val="00B92E72"/>
    <w:rsid w:val="00B93861"/>
    <w:rsid w:val="00B938C0"/>
    <w:rsid w:val="00B94500"/>
    <w:rsid w:val="00B94945"/>
    <w:rsid w:val="00B94A28"/>
    <w:rsid w:val="00B94D31"/>
    <w:rsid w:val="00B94DD6"/>
    <w:rsid w:val="00B950A5"/>
    <w:rsid w:val="00B951BB"/>
    <w:rsid w:val="00B9627A"/>
    <w:rsid w:val="00B97732"/>
    <w:rsid w:val="00B978B4"/>
    <w:rsid w:val="00B97E42"/>
    <w:rsid w:val="00BA1395"/>
    <w:rsid w:val="00BA1447"/>
    <w:rsid w:val="00BA1C21"/>
    <w:rsid w:val="00BA1DF2"/>
    <w:rsid w:val="00BA322D"/>
    <w:rsid w:val="00BA50D0"/>
    <w:rsid w:val="00BA50F5"/>
    <w:rsid w:val="00BA53F9"/>
    <w:rsid w:val="00BA5CF2"/>
    <w:rsid w:val="00BA63FA"/>
    <w:rsid w:val="00BA7047"/>
    <w:rsid w:val="00BA7416"/>
    <w:rsid w:val="00BB00B3"/>
    <w:rsid w:val="00BB0354"/>
    <w:rsid w:val="00BB0BDD"/>
    <w:rsid w:val="00BB0C09"/>
    <w:rsid w:val="00BB1315"/>
    <w:rsid w:val="00BB176C"/>
    <w:rsid w:val="00BB17C2"/>
    <w:rsid w:val="00BB2A73"/>
    <w:rsid w:val="00BB3A45"/>
    <w:rsid w:val="00BB408F"/>
    <w:rsid w:val="00BB4ACC"/>
    <w:rsid w:val="00BB4C16"/>
    <w:rsid w:val="00BB502D"/>
    <w:rsid w:val="00BB545A"/>
    <w:rsid w:val="00BB5835"/>
    <w:rsid w:val="00BB6C72"/>
    <w:rsid w:val="00BB703E"/>
    <w:rsid w:val="00BB732D"/>
    <w:rsid w:val="00BB7405"/>
    <w:rsid w:val="00BC077A"/>
    <w:rsid w:val="00BC0F3C"/>
    <w:rsid w:val="00BC26E2"/>
    <w:rsid w:val="00BC2771"/>
    <w:rsid w:val="00BC2F3C"/>
    <w:rsid w:val="00BC32EE"/>
    <w:rsid w:val="00BC3631"/>
    <w:rsid w:val="00BC4050"/>
    <w:rsid w:val="00BC41A6"/>
    <w:rsid w:val="00BC591F"/>
    <w:rsid w:val="00BC6264"/>
    <w:rsid w:val="00BC718C"/>
    <w:rsid w:val="00BC7191"/>
    <w:rsid w:val="00BC735B"/>
    <w:rsid w:val="00BC7D6D"/>
    <w:rsid w:val="00BD0123"/>
    <w:rsid w:val="00BD1029"/>
    <w:rsid w:val="00BD1456"/>
    <w:rsid w:val="00BD2108"/>
    <w:rsid w:val="00BD4424"/>
    <w:rsid w:val="00BD476E"/>
    <w:rsid w:val="00BD616C"/>
    <w:rsid w:val="00BD63D4"/>
    <w:rsid w:val="00BD68A3"/>
    <w:rsid w:val="00BD6938"/>
    <w:rsid w:val="00BD6CF3"/>
    <w:rsid w:val="00BD70A9"/>
    <w:rsid w:val="00BD7C8F"/>
    <w:rsid w:val="00BE0184"/>
    <w:rsid w:val="00BE02FF"/>
    <w:rsid w:val="00BE0318"/>
    <w:rsid w:val="00BE0593"/>
    <w:rsid w:val="00BE05AE"/>
    <w:rsid w:val="00BE0ECA"/>
    <w:rsid w:val="00BE0F03"/>
    <w:rsid w:val="00BE1B36"/>
    <w:rsid w:val="00BE1C19"/>
    <w:rsid w:val="00BE2180"/>
    <w:rsid w:val="00BE21F2"/>
    <w:rsid w:val="00BE350F"/>
    <w:rsid w:val="00BE4275"/>
    <w:rsid w:val="00BE559A"/>
    <w:rsid w:val="00BE605B"/>
    <w:rsid w:val="00BE6BB3"/>
    <w:rsid w:val="00BE7556"/>
    <w:rsid w:val="00BE77AD"/>
    <w:rsid w:val="00BF01DC"/>
    <w:rsid w:val="00BF048C"/>
    <w:rsid w:val="00BF06AE"/>
    <w:rsid w:val="00BF0F95"/>
    <w:rsid w:val="00BF14A3"/>
    <w:rsid w:val="00BF2433"/>
    <w:rsid w:val="00BF293E"/>
    <w:rsid w:val="00BF3887"/>
    <w:rsid w:val="00BF4D73"/>
    <w:rsid w:val="00BF53BC"/>
    <w:rsid w:val="00BF6154"/>
    <w:rsid w:val="00BF61C9"/>
    <w:rsid w:val="00BF6797"/>
    <w:rsid w:val="00BF6C94"/>
    <w:rsid w:val="00BF7DDD"/>
    <w:rsid w:val="00C00424"/>
    <w:rsid w:val="00C00A5A"/>
    <w:rsid w:val="00C019D2"/>
    <w:rsid w:val="00C01F43"/>
    <w:rsid w:val="00C027F2"/>
    <w:rsid w:val="00C02D78"/>
    <w:rsid w:val="00C04068"/>
    <w:rsid w:val="00C04A15"/>
    <w:rsid w:val="00C04B63"/>
    <w:rsid w:val="00C04EA5"/>
    <w:rsid w:val="00C061F3"/>
    <w:rsid w:val="00C06D05"/>
    <w:rsid w:val="00C07047"/>
    <w:rsid w:val="00C07C4B"/>
    <w:rsid w:val="00C07E5A"/>
    <w:rsid w:val="00C106BF"/>
    <w:rsid w:val="00C10CD1"/>
    <w:rsid w:val="00C10FE3"/>
    <w:rsid w:val="00C1179F"/>
    <w:rsid w:val="00C11AC9"/>
    <w:rsid w:val="00C11B2F"/>
    <w:rsid w:val="00C12570"/>
    <w:rsid w:val="00C12C14"/>
    <w:rsid w:val="00C12F77"/>
    <w:rsid w:val="00C14219"/>
    <w:rsid w:val="00C15E7B"/>
    <w:rsid w:val="00C15F04"/>
    <w:rsid w:val="00C16503"/>
    <w:rsid w:val="00C16AE4"/>
    <w:rsid w:val="00C17434"/>
    <w:rsid w:val="00C17515"/>
    <w:rsid w:val="00C179B3"/>
    <w:rsid w:val="00C17E3F"/>
    <w:rsid w:val="00C200AA"/>
    <w:rsid w:val="00C20BBE"/>
    <w:rsid w:val="00C220BC"/>
    <w:rsid w:val="00C229CF"/>
    <w:rsid w:val="00C23102"/>
    <w:rsid w:val="00C235C2"/>
    <w:rsid w:val="00C237AF"/>
    <w:rsid w:val="00C237ED"/>
    <w:rsid w:val="00C244EC"/>
    <w:rsid w:val="00C24632"/>
    <w:rsid w:val="00C24B19"/>
    <w:rsid w:val="00C25418"/>
    <w:rsid w:val="00C258FE"/>
    <w:rsid w:val="00C25D9C"/>
    <w:rsid w:val="00C2657E"/>
    <w:rsid w:val="00C2778B"/>
    <w:rsid w:val="00C279B7"/>
    <w:rsid w:val="00C30C51"/>
    <w:rsid w:val="00C31649"/>
    <w:rsid w:val="00C3236F"/>
    <w:rsid w:val="00C33354"/>
    <w:rsid w:val="00C337D1"/>
    <w:rsid w:val="00C33873"/>
    <w:rsid w:val="00C33F7D"/>
    <w:rsid w:val="00C3434C"/>
    <w:rsid w:val="00C35C57"/>
    <w:rsid w:val="00C36770"/>
    <w:rsid w:val="00C36B92"/>
    <w:rsid w:val="00C36CD7"/>
    <w:rsid w:val="00C37548"/>
    <w:rsid w:val="00C40385"/>
    <w:rsid w:val="00C40DF9"/>
    <w:rsid w:val="00C41768"/>
    <w:rsid w:val="00C43056"/>
    <w:rsid w:val="00C43664"/>
    <w:rsid w:val="00C44633"/>
    <w:rsid w:val="00C449BF"/>
    <w:rsid w:val="00C44AAC"/>
    <w:rsid w:val="00C455C0"/>
    <w:rsid w:val="00C4592F"/>
    <w:rsid w:val="00C46A95"/>
    <w:rsid w:val="00C46C7A"/>
    <w:rsid w:val="00C475AA"/>
    <w:rsid w:val="00C47746"/>
    <w:rsid w:val="00C47975"/>
    <w:rsid w:val="00C50096"/>
    <w:rsid w:val="00C50409"/>
    <w:rsid w:val="00C505FD"/>
    <w:rsid w:val="00C509F9"/>
    <w:rsid w:val="00C5124D"/>
    <w:rsid w:val="00C513F4"/>
    <w:rsid w:val="00C513FC"/>
    <w:rsid w:val="00C5287E"/>
    <w:rsid w:val="00C53202"/>
    <w:rsid w:val="00C5326D"/>
    <w:rsid w:val="00C5360B"/>
    <w:rsid w:val="00C53C98"/>
    <w:rsid w:val="00C540CA"/>
    <w:rsid w:val="00C54236"/>
    <w:rsid w:val="00C55F88"/>
    <w:rsid w:val="00C566F8"/>
    <w:rsid w:val="00C56FCF"/>
    <w:rsid w:val="00C57B6C"/>
    <w:rsid w:val="00C60C06"/>
    <w:rsid w:val="00C60FD0"/>
    <w:rsid w:val="00C61F6F"/>
    <w:rsid w:val="00C625AF"/>
    <w:rsid w:val="00C6282E"/>
    <w:rsid w:val="00C628A6"/>
    <w:rsid w:val="00C62EA7"/>
    <w:rsid w:val="00C63008"/>
    <w:rsid w:val="00C637F2"/>
    <w:rsid w:val="00C63959"/>
    <w:rsid w:val="00C63FB6"/>
    <w:rsid w:val="00C64344"/>
    <w:rsid w:val="00C65108"/>
    <w:rsid w:val="00C6535E"/>
    <w:rsid w:val="00C65576"/>
    <w:rsid w:val="00C65659"/>
    <w:rsid w:val="00C66165"/>
    <w:rsid w:val="00C66B43"/>
    <w:rsid w:val="00C66DA8"/>
    <w:rsid w:val="00C7040B"/>
    <w:rsid w:val="00C7060A"/>
    <w:rsid w:val="00C70771"/>
    <w:rsid w:val="00C70C16"/>
    <w:rsid w:val="00C70F25"/>
    <w:rsid w:val="00C7151A"/>
    <w:rsid w:val="00C717E3"/>
    <w:rsid w:val="00C71ABC"/>
    <w:rsid w:val="00C71F60"/>
    <w:rsid w:val="00C72241"/>
    <w:rsid w:val="00C72922"/>
    <w:rsid w:val="00C72B69"/>
    <w:rsid w:val="00C73966"/>
    <w:rsid w:val="00C73E95"/>
    <w:rsid w:val="00C74C48"/>
    <w:rsid w:val="00C7503A"/>
    <w:rsid w:val="00C750C8"/>
    <w:rsid w:val="00C7560F"/>
    <w:rsid w:val="00C77B1F"/>
    <w:rsid w:val="00C80A0E"/>
    <w:rsid w:val="00C80B74"/>
    <w:rsid w:val="00C81530"/>
    <w:rsid w:val="00C818E7"/>
    <w:rsid w:val="00C8213F"/>
    <w:rsid w:val="00C82632"/>
    <w:rsid w:val="00C83AEE"/>
    <w:rsid w:val="00C845EC"/>
    <w:rsid w:val="00C85154"/>
    <w:rsid w:val="00C86348"/>
    <w:rsid w:val="00C863EC"/>
    <w:rsid w:val="00C8679F"/>
    <w:rsid w:val="00C869FD"/>
    <w:rsid w:val="00C8797A"/>
    <w:rsid w:val="00C87CE6"/>
    <w:rsid w:val="00C87EFE"/>
    <w:rsid w:val="00C900B8"/>
    <w:rsid w:val="00C90C71"/>
    <w:rsid w:val="00C91FD1"/>
    <w:rsid w:val="00C92693"/>
    <w:rsid w:val="00C92C69"/>
    <w:rsid w:val="00C931CF"/>
    <w:rsid w:val="00C938CF"/>
    <w:rsid w:val="00C94053"/>
    <w:rsid w:val="00C94278"/>
    <w:rsid w:val="00C9464F"/>
    <w:rsid w:val="00C95FD6"/>
    <w:rsid w:val="00C960EB"/>
    <w:rsid w:val="00C9624D"/>
    <w:rsid w:val="00C969DA"/>
    <w:rsid w:val="00CA01EE"/>
    <w:rsid w:val="00CA152C"/>
    <w:rsid w:val="00CA1CB0"/>
    <w:rsid w:val="00CA2385"/>
    <w:rsid w:val="00CA290B"/>
    <w:rsid w:val="00CA2C66"/>
    <w:rsid w:val="00CA2C77"/>
    <w:rsid w:val="00CA3BB2"/>
    <w:rsid w:val="00CA3D5A"/>
    <w:rsid w:val="00CA40B1"/>
    <w:rsid w:val="00CA444F"/>
    <w:rsid w:val="00CA4FC7"/>
    <w:rsid w:val="00CA5245"/>
    <w:rsid w:val="00CA5953"/>
    <w:rsid w:val="00CA71F4"/>
    <w:rsid w:val="00CA7797"/>
    <w:rsid w:val="00CA7B09"/>
    <w:rsid w:val="00CA7CD0"/>
    <w:rsid w:val="00CA7F07"/>
    <w:rsid w:val="00CB0273"/>
    <w:rsid w:val="00CB0BED"/>
    <w:rsid w:val="00CB12A5"/>
    <w:rsid w:val="00CB196E"/>
    <w:rsid w:val="00CB1CAC"/>
    <w:rsid w:val="00CB2EA6"/>
    <w:rsid w:val="00CB2F2A"/>
    <w:rsid w:val="00CB5B1A"/>
    <w:rsid w:val="00CB6523"/>
    <w:rsid w:val="00CB6586"/>
    <w:rsid w:val="00CB6B22"/>
    <w:rsid w:val="00CB7F5F"/>
    <w:rsid w:val="00CC07B7"/>
    <w:rsid w:val="00CC08A4"/>
    <w:rsid w:val="00CC0A58"/>
    <w:rsid w:val="00CC0AB9"/>
    <w:rsid w:val="00CC19A7"/>
    <w:rsid w:val="00CC1B39"/>
    <w:rsid w:val="00CC2FD1"/>
    <w:rsid w:val="00CC35EA"/>
    <w:rsid w:val="00CC3848"/>
    <w:rsid w:val="00CC428F"/>
    <w:rsid w:val="00CC4D27"/>
    <w:rsid w:val="00CC4F15"/>
    <w:rsid w:val="00CC5631"/>
    <w:rsid w:val="00CC64F1"/>
    <w:rsid w:val="00CC6C41"/>
    <w:rsid w:val="00CD0BC3"/>
    <w:rsid w:val="00CD1365"/>
    <w:rsid w:val="00CD1A73"/>
    <w:rsid w:val="00CD2D18"/>
    <w:rsid w:val="00CD2E09"/>
    <w:rsid w:val="00CD3F77"/>
    <w:rsid w:val="00CD53D5"/>
    <w:rsid w:val="00CD566C"/>
    <w:rsid w:val="00CD5DCD"/>
    <w:rsid w:val="00CD5FFF"/>
    <w:rsid w:val="00CD6ADC"/>
    <w:rsid w:val="00CD7193"/>
    <w:rsid w:val="00CD756B"/>
    <w:rsid w:val="00CD7F16"/>
    <w:rsid w:val="00CE01A4"/>
    <w:rsid w:val="00CE10FD"/>
    <w:rsid w:val="00CE1357"/>
    <w:rsid w:val="00CE18A2"/>
    <w:rsid w:val="00CE2FCC"/>
    <w:rsid w:val="00CE38C8"/>
    <w:rsid w:val="00CE3EF4"/>
    <w:rsid w:val="00CE6274"/>
    <w:rsid w:val="00CE76BB"/>
    <w:rsid w:val="00CE77B6"/>
    <w:rsid w:val="00CE7CAF"/>
    <w:rsid w:val="00CE7CE6"/>
    <w:rsid w:val="00CF044F"/>
    <w:rsid w:val="00CF051A"/>
    <w:rsid w:val="00CF0A83"/>
    <w:rsid w:val="00CF217F"/>
    <w:rsid w:val="00CF2B14"/>
    <w:rsid w:val="00CF2B8D"/>
    <w:rsid w:val="00CF456B"/>
    <w:rsid w:val="00CF4AE7"/>
    <w:rsid w:val="00CF5A22"/>
    <w:rsid w:val="00CF60AB"/>
    <w:rsid w:val="00CF6265"/>
    <w:rsid w:val="00CF6779"/>
    <w:rsid w:val="00CF6FF6"/>
    <w:rsid w:val="00CF7620"/>
    <w:rsid w:val="00D00888"/>
    <w:rsid w:val="00D01387"/>
    <w:rsid w:val="00D0262E"/>
    <w:rsid w:val="00D0334D"/>
    <w:rsid w:val="00D03AB9"/>
    <w:rsid w:val="00D05784"/>
    <w:rsid w:val="00D05E3D"/>
    <w:rsid w:val="00D05F10"/>
    <w:rsid w:val="00D060DA"/>
    <w:rsid w:val="00D06139"/>
    <w:rsid w:val="00D069A1"/>
    <w:rsid w:val="00D06E9F"/>
    <w:rsid w:val="00D0732D"/>
    <w:rsid w:val="00D07ACD"/>
    <w:rsid w:val="00D07D6B"/>
    <w:rsid w:val="00D1047A"/>
    <w:rsid w:val="00D10893"/>
    <w:rsid w:val="00D10C2A"/>
    <w:rsid w:val="00D110BD"/>
    <w:rsid w:val="00D11442"/>
    <w:rsid w:val="00D11A75"/>
    <w:rsid w:val="00D13675"/>
    <w:rsid w:val="00D141E1"/>
    <w:rsid w:val="00D14384"/>
    <w:rsid w:val="00D147C1"/>
    <w:rsid w:val="00D14883"/>
    <w:rsid w:val="00D14FE2"/>
    <w:rsid w:val="00D15314"/>
    <w:rsid w:val="00D1598D"/>
    <w:rsid w:val="00D16D2E"/>
    <w:rsid w:val="00D16DB0"/>
    <w:rsid w:val="00D17218"/>
    <w:rsid w:val="00D17D6C"/>
    <w:rsid w:val="00D209CC"/>
    <w:rsid w:val="00D2155B"/>
    <w:rsid w:val="00D21823"/>
    <w:rsid w:val="00D21E93"/>
    <w:rsid w:val="00D21EB1"/>
    <w:rsid w:val="00D22215"/>
    <w:rsid w:val="00D2281C"/>
    <w:rsid w:val="00D22EBA"/>
    <w:rsid w:val="00D234F9"/>
    <w:rsid w:val="00D23D11"/>
    <w:rsid w:val="00D244B6"/>
    <w:rsid w:val="00D249B8"/>
    <w:rsid w:val="00D24F0C"/>
    <w:rsid w:val="00D25266"/>
    <w:rsid w:val="00D255E0"/>
    <w:rsid w:val="00D25705"/>
    <w:rsid w:val="00D26146"/>
    <w:rsid w:val="00D265E2"/>
    <w:rsid w:val="00D274E7"/>
    <w:rsid w:val="00D2754D"/>
    <w:rsid w:val="00D27B27"/>
    <w:rsid w:val="00D27E15"/>
    <w:rsid w:val="00D300D1"/>
    <w:rsid w:val="00D30B09"/>
    <w:rsid w:val="00D31310"/>
    <w:rsid w:val="00D31D6D"/>
    <w:rsid w:val="00D326C1"/>
    <w:rsid w:val="00D32A83"/>
    <w:rsid w:val="00D334B0"/>
    <w:rsid w:val="00D33BE9"/>
    <w:rsid w:val="00D33F93"/>
    <w:rsid w:val="00D3441A"/>
    <w:rsid w:val="00D357FF"/>
    <w:rsid w:val="00D35B3D"/>
    <w:rsid w:val="00D35DAA"/>
    <w:rsid w:val="00D3610F"/>
    <w:rsid w:val="00D3628C"/>
    <w:rsid w:val="00D36518"/>
    <w:rsid w:val="00D37637"/>
    <w:rsid w:val="00D424C7"/>
    <w:rsid w:val="00D43B2A"/>
    <w:rsid w:val="00D43BA3"/>
    <w:rsid w:val="00D43CE6"/>
    <w:rsid w:val="00D43D83"/>
    <w:rsid w:val="00D448A4"/>
    <w:rsid w:val="00D47575"/>
    <w:rsid w:val="00D47AE7"/>
    <w:rsid w:val="00D5243B"/>
    <w:rsid w:val="00D52775"/>
    <w:rsid w:val="00D533EC"/>
    <w:rsid w:val="00D534CA"/>
    <w:rsid w:val="00D537C8"/>
    <w:rsid w:val="00D54221"/>
    <w:rsid w:val="00D55DBC"/>
    <w:rsid w:val="00D55E86"/>
    <w:rsid w:val="00D560A3"/>
    <w:rsid w:val="00D56A95"/>
    <w:rsid w:val="00D56B67"/>
    <w:rsid w:val="00D5749A"/>
    <w:rsid w:val="00D612C5"/>
    <w:rsid w:val="00D6198D"/>
    <w:rsid w:val="00D62541"/>
    <w:rsid w:val="00D62A42"/>
    <w:rsid w:val="00D6327F"/>
    <w:rsid w:val="00D64C5E"/>
    <w:rsid w:val="00D6555F"/>
    <w:rsid w:val="00D657D7"/>
    <w:rsid w:val="00D658FF"/>
    <w:rsid w:val="00D65BC7"/>
    <w:rsid w:val="00D6658C"/>
    <w:rsid w:val="00D66B8E"/>
    <w:rsid w:val="00D6752A"/>
    <w:rsid w:val="00D70517"/>
    <w:rsid w:val="00D70F16"/>
    <w:rsid w:val="00D71D3D"/>
    <w:rsid w:val="00D72C03"/>
    <w:rsid w:val="00D72F57"/>
    <w:rsid w:val="00D730D5"/>
    <w:rsid w:val="00D73543"/>
    <w:rsid w:val="00D73D31"/>
    <w:rsid w:val="00D746A9"/>
    <w:rsid w:val="00D750E2"/>
    <w:rsid w:val="00D756CC"/>
    <w:rsid w:val="00D75FEF"/>
    <w:rsid w:val="00D766BB"/>
    <w:rsid w:val="00D767AC"/>
    <w:rsid w:val="00D76A44"/>
    <w:rsid w:val="00D76D6F"/>
    <w:rsid w:val="00D80379"/>
    <w:rsid w:val="00D808CC"/>
    <w:rsid w:val="00D811A2"/>
    <w:rsid w:val="00D815D8"/>
    <w:rsid w:val="00D815EF"/>
    <w:rsid w:val="00D816D2"/>
    <w:rsid w:val="00D81E1F"/>
    <w:rsid w:val="00D81EBF"/>
    <w:rsid w:val="00D81F26"/>
    <w:rsid w:val="00D82C64"/>
    <w:rsid w:val="00D82D32"/>
    <w:rsid w:val="00D83183"/>
    <w:rsid w:val="00D83393"/>
    <w:rsid w:val="00D83562"/>
    <w:rsid w:val="00D8374D"/>
    <w:rsid w:val="00D8392D"/>
    <w:rsid w:val="00D84302"/>
    <w:rsid w:val="00D84519"/>
    <w:rsid w:val="00D857FB"/>
    <w:rsid w:val="00D86231"/>
    <w:rsid w:val="00D86A8A"/>
    <w:rsid w:val="00D87205"/>
    <w:rsid w:val="00D879F4"/>
    <w:rsid w:val="00D87AF9"/>
    <w:rsid w:val="00D91923"/>
    <w:rsid w:val="00D91C93"/>
    <w:rsid w:val="00D927AA"/>
    <w:rsid w:val="00D935C8"/>
    <w:rsid w:val="00D93753"/>
    <w:rsid w:val="00D93FA8"/>
    <w:rsid w:val="00D940C2"/>
    <w:rsid w:val="00D943F7"/>
    <w:rsid w:val="00D9527F"/>
    <w:rsid w:val="00D9722D"/>
    <w:rsid w:val="00D976CE"/>
    <w:rsid w:val="00DA0BA5"/>
    <w:rsid w:val="00DA1BB6"/>
    <w:rsid w:val="00DA2F03"/>
    <w:rsid w:val="00DA3107"/>
    <w:rsid w:val="00DA3167"/>
    <w:rsid w:val="00DA32BC"/>
    <w:rsid w:val="00DA3E3C"/>
    <w:rsid w:val="00DA40D1"/>
    <w:rsid w:val="00DA4D4A"/>
    <w:rsid w:val="00DA4DC3"/>
    <w:rsid w:val="00DA5163"/>
    <w:rsid w:val="00DA5582"/>
    <w:rsid w:val="00DA6F5E"/>
    <w:rsid w:val="00DA7169"/>
    <w:rsid w:val="00DA72D3"/>
    <w:rsid w:val="00DA77A5"/>
    <w:rsid w:val="00DB0265"/>
    <w:rsid w:val="00DB02AB"/>
    <w:rsid w:val="00DB099D"/>
    <w:rsid w:val="00DB230B"/>
    <w:rsid w:val="00DB3DBF"/>
    <w:rsid w:val="00DB3E87"/>
    <w:rsid w:val="00DB3F8D"/>
    <w:rsid w:val="00DB484F"/>
    <w:rsid w:val="00DB67F7"/>
    <w:rsid w:val="00DB7844"/>
    <w:rsid w:val="00DB7F9F"/>
    <w:rsid w:val="00DC0094"/>
    <w:rsid w:val="00DC04F6"/>
    <w:rsid w:val="00DC0690"/>
    <w:rsid w:val="00DC1C83"/>
    <w:rsid w:val="00DC1D65"/>
    <w:rsid w:val="00DC2B8F"/>
    <w:rsid w:val="00DC3387"/>
    <w:rsid w:val="00DC3C57"/>
    <w:rsid w:val="00DC3FBF"/>
    <w:rsid w:val="00DC4251"/>
    <w:rsid w:val="00DC4992"/>
    <w:rsid w:val="00DC5501"/>
    <w:rsid w:val="00DC5560"/>
    <w:rsid w:val="00DC5ACA"/>
    <w:rsid w:val="00DC7154"/>
    <w:rsid w:val="00DC740F"/>
    <w:rsid w:val="00DC76A5"/>
    <w:rsid w:val="00DC7E8A"/>
    <w:rsid w:val="00DD0730"/>
    <w:rsid w:val="00DD0F78"/>
    <w:rsid w:val="00DD1753"/>
    <w:rsid w:val="00DD22BF"/>
    <w:rsid w:val="00DD273C"/>
    <w:rsid w:val="00DD34BA"/>
    <w:rsid w:val="00DD3E91"/>
    <w:rsid w:val="00DD3F28"/>
    <w:rsid w:val="00DD4413"/>
    <w:rsid w:val="00DD4537"/>
    <w:rsid w:val="00DD4823"/>
    <w:rsid w:val="00DD4D18"/>
    <w:rsid w:val="00DD4E15"/>
    <w:rsid w:val="00DD5034"/>
    <w:rsid w:val="00DD5779"/>
    <w:rsid w:val="00DD5AC9"/>
    <w:rsid w:val="00DD5AE3"/>
    <w:rsid w:val="00DD6102"/>
    <w:rsid w:val="00DD7A56"/>
    <w:rsid w:val="00DD7E42"/>
    <w:rsid w:val="00DE0420"/>
    <w:rsid w:val="00DE0859"/>
    <w:rsid w:val="00DE0C97"/>
    <w:rsid w:val="00DE2304"/>
    <w:rsid w:val="00DE3138"/>
    <w:rsid w:val="00DE35CC"/>
    <w:rsid w:val="00DE37F4"/>
    <w:rsid w:val="00DE37F8"/>
    <w:rsid w:val="00DE4FCB"/>
    <w:rsid w:val="00DE5D07"/>
    <w:rsid w:val="00DE69EF"/>
    <w:rsid w:val="00DE72A7"/>
    <w:rsid w:val="00DE7832"/>
    <w:rsid w:val="00DF0C8F"/>
    <w:rsid w:val="00DF1411"/>
    <w:rsid w:val="00DF1552"/>
    <w:rsid w:val="00DF18FA"/>
    <w:rsid w:val="00DF18FC"/>
    <w:rsid w:val="00DF1948"/>
    <w:rsid w:val="00DF22DC"/>
    <w:rsid w:val="00DF250A"/>
    <w:rsid w:val="00DF4E9A"/>
    <w:rsid w:val="00DF5643"/>
    <w:rsid w:val="00DF5D2B"/>
    <w:rsid w:val="00DF701F"/>
    <w:rsid w:val="00E00E8E"/>
    <w:rsid w:val="00E016F5"/>
    <w:rsid w:val="00E01852"/>
    <w:rsid w:val="00E01961"/>
    <w:rsid w:val="00E03725"/>
    <w:rsid w:val="00E03DBB"/>
    <w:rsid w:val="00E03E1E"/>
    <w:rsid w:val="00E04B54"/>
    <w:rsid w:val="00E05196"/>
    <w:rsid w:val="00E05630"/>
    <w:rsid w:val="00E06DBB"/>
    <w:rsid w:val="00E06E30"/>
    <w:rsid w:val="00E078F4"/>
    <w:rsid w:val="00E07CB4"/>
    <w:rsid w:val="00E07D79"/>
    <w:rsid w:val="00E10149"/>
    <w:rsid w:val="00E11340"/>
    <w:rsid w:val="00E122A1"/>
    <w:rsid w:val="00E12B43"/>
    <w:rsid w:val="00E12D8F"/>
    <w:rsid w:val="00E12E62"/>
    <w:rsid w:val="00E12EDC"/>
    <w:rsid w:val="00E12F8B"/>
    <w:rsid w:val="00E12FA5"/>
    <w:rsid w:val="00E14FCD"/>
    <w:rsid w:val="00E15F82"/>
    <w:rsid w:val="00E16372"/>
    <w:rsid w:val="00E166E3"/>
    <w:rsid w:val="00E1699F"/>
    <w:rsid w:val="00E16F53"/>
    <w:rsid w:val="00E20237"/>
    <w:rsid w:val="00E20E4D"/>
    <w:rsid w:val="00E20ED6"/>
    <w:rsid w:val="00E21358"/>
    <w:rsid w:val="00E21804"/>
    <w:rsid w:val="00E219B7"/>
    <w:rsid w:val="00E22137"/>
    <w:rsid w:val="00E2235D"/>
    <w:rsid w:val="00E2249B"/>
    <w:rsid w:val="00E22A0D"/>
    <w:rsid w:val="00E23051"/>
    <w:rsid w:val="00E23E8B"/>
    <w:rsid w:val="00E244F6"/>
    <w:rsid w:val="00E24642"/>
    <w:rsid w:val="00E24D33"/>
    <w:rsid w:val="00E24E9A"/>
    <w:rsid w:val="00E25BD3"/>
    <w:rsid w:val="00E263DF"/>
    <w:rsid w:val="00E2692A"/>
    <w:rsid w:val="00E27367"/>
    <w:rsid w:val="00E2771E"/>
    <w:rsid w:val="00E27919"/>
    <w:rsid w:val="00E3006D"/>
    <w:rsid w:val="00E311EF"/>
    <w:rsid w:val="00E318DA"/>
    <w:rsid w:val="00E31B6D"/>
    <w:rsid w:val="00E32180"/>
    <w:rsid w:val="00E32B17"/>
    <w:rsid w:val="00E34906"/>
    <w:rsid w:val="00E34948"/>
    <w:rsid w:val="00E34FE9"/>
    <w:rsid w:val="00E359E3"/>
    <w:rsid w:val="00E36776"/>
    <w:rsid w:val="00E37569"/>
    <w:rsid w:val="00E37C3B"/>
    <w:rsid w:val="00E401B2"/>
    <w:rsid w:val="00E41DFC"/>
    <w:rsid w:val="00E41E30"/>
    <w:rsid w:val="00E42F73"/>
    <w:rsid w:val="00E43809"/>
    <w:rsid w:val="00E43A17"/>
    <w:rsid w:val="00E43D70"/>
    <w:rsid w:val="00E43DA1"/>
    <w:rsid w:val="00E43E26"/>
    <w:rsid w:val="00E44459"/>
    <w:rsid w:val="00E448EB"/>
    <w:rsid w:val="00E45002"/>
    <w:rsid w:val="00E456E0"/>
    <w:rsid w:val="00E4583F"/>
    <w:rsid w:val="00E466F3"/>
    <w:rsid w:val="00E477E2"/>
    <w:rsid w:val="00E47865"/>
    <w:rsid w:val="00E47B2C"/>
    <w:rsid w:val="00E50554"/>
    <w:rsid w:val="00E5098D"/>
    <w:rsid w:val="00E510F7"/>
    <w:rsid w:val="00E5135C"/>
    <w:rsid w:val="00E51560"/>
    <w:rsid w:val="00E517D3"/>
    <w:rsid w:val="00E520B7"/>
    <w:rsid w:val="00E53FC8"/>
    <w:rsid w:val="00E54347"/>
    <w:rsid w:val="00E54711"/>
    <w:rsid w:val="00E54B05"/>
    <w:rsid w:val="00E54B46"/>
    <w:rsid w:val="00E55424"/>
    <w:rsid w:val="00E55915"/>
    <w:rsid w:val="00E55BB5"/>
    <w:rsid w:val="00E55CFE"/>
    <w:rsid w:val="00E56323"/>
    <w:rsid w:val="00E565F4"/>
    <w:rsid w:val="00E578A3"/>
    <w:rsid w:val="00E60CAF"/>
    <w:rsid w:val="00E61022"/>
    <w:rsid w:val="00E617B4"/>
    <w:rsid w:val="00E61D0F"/>
    <w:rsid w:val="00E6290B"/>
    <w:rsid w:val="00E65E79"/>
    <w:rsid w:val="00E66480"/>
    <w:rsid w:val="00E66BA2"/>
    <w:rsid w:val="00E66EF8"/>
    <w:rsid w:val="00E672A4"/>
    <w:rsid w:val="00E673A4"/>
    <w:rsid w:val="00E67416"/>
    <w:rsid w:val="00E700D8"/>
    <w:rsid w:val="00E7037A"/>
    <w:rsid w:val="00E71324"/>
    <w:rsid w:val="00E718B6"/>
    <w:rsid w:val="00E723BA"/>
    <w:rsid w:val="00E727F6"/>
    <w:rsid w:val="00E73115"/>
    <w:rsid w:val="00E73581"/>
    <w:rsid w:val="00E74833"/>
    <w:rsid w:val="00E75FC7"/>
    <w:rsid w:val="00E76238"/>
    <w:rsid w:val="00E76685"/>
    <w:rsid w:val="00E766EB"/>
    <w:rsid w:val="00E7672D"/>
    <w:rsid w:val="00E800C7"/>
    <w:rsid w:val="00E80696"/>
    <w:rsid w:val="00E82028"/>
    <w:rsid w:val="00E833F7"/>
    <w:rsid w:val="00E83BDF"/>
    <w:rsid w:val="00E840AE"/>
    <w:rsid w:val="00E84FDD"/>
    <w:rsid w:val="00E8530A"/>
    <w:rsid w:val="00E85C3B"/>
    <w:rsid w:val="00E86FD1"/>
    <w:rsid w:val="00E87461"/>
    <w:rsid w:val="00E8766D"/>
    <w:rsid w:val="00E87A1D"/>
    <w:rsid w:val="00E87D31"/>
    <w:rsid w:val="00E9094A"/>
    <w:rsid w:val="00E90FF1"/>
    <w:rsid w:val="00E910A2"/>
    <w:rsid w:val="00E9178C"/>
    <w:rsid w:val="00E91B32"/>
    <w:rsid w:val="00E91D35"/>
    <w:rsid w:val="00E926A5"/>
    <w:rsid w:val="00E93D1A"/>
    <w:rsid w:val="00E946D6"/>
    <w:rsid w:val="00E94844"/>
    <w:rsid w:val="00E95620"/>
    <w:rsid w:val="00E977BB"/>
    <w:rsid w:val="00E97C64"/>
    <w:rsid w:val="00EA026A"/>
    <w:rsid w:val="00EA0EA7"/>
    <w:rsid w:val="00EA16EC"/>
    <w:rsid w:val="00EA17C3"/>
    <w:rsid w:val="00EA2462"/>
    <w:rsid w:val="00EA2CAA"/>
    <w:rsid w:val="00EA35BE"/>
    <w:rsid w:val="00EA3864"/>
    <w:rsid w:val="00EA3945"/>
    <w:rsid w:val="00EA3D71"/>
    <w:rsid w:val="00EA4022"/>
    <w:rsid w:val="00EA443F"/>
    <w:rsid w:val="00EA47E0"/>
    <w:rsid w:val="00EA613C"/>
    <w:rsid w:val="00EA752A"/>
    <w:rsid w:val="00EA7F1C"/>
    <w:rsid w:val="00EB056D"/>
    <w:rsid w:val="00EB14E1"/>
    <w:rsid w:val="00EB15B6"/>
    <w:rsid w:val="00EB1CD8"/>
    <w:rsid w:val="00EB1E44"/>
    <w:rsid w:val="00EB2044"/>
    <w:rsid w:val="00EB3D06"/>
    <w:rsid w:val="00EB4916"/>
    <w:rsid w:val="00EB6C86"/>
    <w:rsid w:val="00EB7432"/>
    <w:rsid w:val="00EC00C9"/>
    <w:rsid w:val="00EC0AE0"/>
    <w:rsid w:val="00EC0DD9"/>
    <w:rsid w:val="00EC2524"/>
    <w:rsid w:val="00EC2649"/>
    <w:rsid w:val="00EC30E1"/>
    <w:rsid w:val="00EC31ED"/>
    <w:rsid w:val="00EC3316"/>
    <w:rsid w:val="00EC3EA0"/>
    <w:rsid w:val="00EC4453"/>
    <w:rsid w:val="00EC4DD3"/>
    <w:rsid w:val="00EC5521"/>
    <w:rsid w:val="00EC5836"/>
    <w:rsid w:val="00EC5BC9"/>
    <w:rsid w:val="00EC60B6"/>
    <w:rsid w:val="00EC62F7"/>
    <w:rsid w:val="00EC688C"/>
    <w:rsid w:val="00ED026C"/>
    <w:rsid w:val="00ED03DF"/>
    <w:rsid w:val="00ED0516"/>
    <w:rsid w:val="00ED0C4A"/>
    <w:rsid w:val="00ED18ED"/>
    <w:rsid w:val="00ED3354"/>
    <w:rsid w:val="00ED435A"/>
    <w:rsid w:val="00ED4E3E"/>
    <w:rsid w:val="00ED57EA"/>
    <w:rsid w:val="00ED5BD4"/>
    <w:rsid w:val="00ED6C78"/>
    <w:rsid w:val="00ED6EF7"/>
    <w:rsid w:val="00ED72C0"/>
    <w:rsid w:val="00EE0295"/>
    <w:rsid w:val="00EE07D3"/>
    <w:rsid w:val="00EE138F"/>
    <w:rsid w:val="00EE1996"/>
    <w:rsid w:val="00EE1C01"/>
    <w:rsid w:val="00EE21D6"/>
    <w:rsid w:val="00EE22AF"/>
    <w:rsid w:val="00EE3053"/>
    <w:rsid w:val="00EE5783"/>
    <w:rsid w:val="00EE65B8"/>
    <w:rsid w:val="00EE6C17"/>
    <w:rsid w:val="00EE7E75"/>
    <w:rsid w:val="00EF0171"/>
    <w:rsid w:val="00EF1383"/>
    <w:rsid w:val="00EF1B25"/>
    <w:rsid w:val="00EF1DA0"/>
    <w:rsid w:val="00EF37F3"/>
    <w:rsid w:val="00EF3D5A"/>
    <w:rsid w:val="00EF4108"/>
    <w:rsid w:val="00EF4747"/>
    <w:rsid w:val="00EF4BF8"/>
    <w:rsid w:val="00F01E22"/>
    <w:rsid w:val="00F02253"/>
    <w:rsid w:val="00F02A8B"/>
    <w:rsid w:val="00F02EDA"/>
    <w:rsid w:val="00F0334C"/>
    <w:rsid w:val="00F03377"/>
    <w:rsid w:val="00F0346E"/>
    <w:rsid w:val="00F03C2E"/>
    <w:rsid w:val="00F0493B"/>
    <w:rsid w:val="00F04A66"/>
    <w:rsid w:val="00F04B4B"/>
    <w:rsid w:val="00F04C8D"/>
    <w:rsid w:val="00F0516C"/>
    <w:rsid w:val="00F0525D"/>
    <w:rsid w:val="00F06190"/>
    <w:rsid w:val="00F06311"/>
    <w:rsid w:val="00F067A2"/>
    <w:rsid w:val="00F0697D"/>
    <w:rsid w:val="00F06DE1"/>
    <w:rsid w:val="00F07A29"/>
    <w:rsid w:val="00F07B9E"/>
    <w:rsid w:val="00F1040A"/>
    <w:rsid w:val="00F10A9A"/>
    <w:rsid w:val="00F1116F"/>
    <w:rsid w:val="00F1263A"/>
    <w:rsid w:val="00F131F6"/>
    <w:rsid w:val="00F138E2"/>
    <w:rsid w:val="00F13B1A"/>
    <w:rsid w:val="00F14219"/>
    <w:rsid w:val="00F14DE1"/>
    <w:rsid w:val="00F15B77"/>
    <w:rsid w:val="00F160ED"/>
    <w:rsid w:val="00F16373"/>
    <w:rsid w:val="00F20429"/>
    <w:rsid w:val="00F20A41"/>
    <w:rsid w:val="00F21B8A"/>
    <w:rsid w:val="00F21BE1"/>
    <w:rsid w:val="00F222AB"/>
    <w:rsid w:val="00F22C9D"/>
    <w:rsid w:val="00F231EE"/>
    <w:rsid w:val="00F234D8"/>
    <w:rsid w:val="00F23EBD"/>
    <w:rsid w:val="00F24837"/>
    <w:rsid w:val="00F2492C"/>
    <w:rsid w:val="00F2575F"/>
    <w:rsid w:val="00F25B76"/>
    <w:rsid w:val="00F2628B"/>
    <w:rsid w:val="00F265D8"/>
    <w:rsid w:val="00F27565"/>
    <w:rsid w:val="00F27D61"/>
    <w:rsid w:val="00F310D4"/>
    <w:rsid w:val="00F315B1"/>
    <w:rsid w:val="00F31A75"/>
    <w:rsid w:val="00F31D5A"/>
    <w:rsid w:val="00F320E7"/>
    <w:rsid w:val="00F32678"/>
    <w:rsid w:val="00F32A3A"/>
    <w:rsid w:val="00F32D03"/>
    <w:rsid w:val="00F3317E"/>
    <w:rsid w:val="00F33975"/>
    <w:rsid w:val="00F33DE9"/>
    <w:rsid w:val="00F343A2"/>
    <w:rsid w:val="00F34998"/>
    <w:rsid w:val="00F35AE8"/>
    <w:rsid w:val="00F35E6D"/>
    <w:rsid w:val="00F3619A"/>
    <w:rsid w:val="00F3732C"/>
    <w:rsid w:val="00F4047A"/>
    <w:rsid w:val="00F40AAA"/>
    <w:rsid w:val="00F40BA7"/>
    <w:rsid w:val="00F40F9D"/>
    <w:rsid w:val="00F4169A"/>
    <w:rsid w:val="00F41ACD"/>
    <w:rsid w:val="00F430DD"/>
    <w:rsid w:val="00F43EB9"/>
    <w:rsid w:val="00F46CB6"/>
    <w:rsid w:val="00F4756D"/>
    <w:rsid w:val="00F47B30"/>
    <w:rsid w:val="00F47DE8"/>
    <w:rsid w:val="00F50450"/>
    <w:rsid w:val="00F50FBF"/>
    <w:rsid w:val="00F522E8"/>
    <w:rsid w:val="00F52594"/>
    <w:rsid w:val="00F52FF5"/>
    <w:rsid w:val="00F542C1"/>
    <w:rsid w:val="00F54BE2"/>
    <w:rsid w:val="00F55693"/>
    <w:rsid w:val="00F55998"/>
    <w:rsid w:val="00F55E73"/>
    <w:rsid w:val="00F55EDA"/>
    <w:rsid w:val="00F56203"/>
    <w:rsid w:val="00F567BA"/>
    <w:rsid w:val="00F56C80"/>
    <w:rsid w:val="00F57506"/>
    <w:rsid w:val="00F579CD"/>
    <w:rsid w:val="00F57C0E"/>
    <w:rsid w:val="00F57D94"/>
    <w:rsid w:val="00F60092"/>
    <w:rsid w:val="00F60E8C"/>
    <w:rsid w:val="00F60E8D"/>
    <w:rsid w:val="00F60FEE"/>
    <w:rsid w:val="00F614CB"/>
    <w:rsid w:val="00F61714"/>
    <w:rsid w:val="00F6196F"/>
    <w:rsid w:val="00F61C18"/>
    <w:rsid w:val="00F620E7"/>
    <w:rsid w:val="00F62B9F"/>
    <w:rsid w:val="00F6498E"/>
    <w:rsid w:val="00F64A5E"/>
    <w:rsid w:val="00F65A47"/>
    <w:rsid w:val="00F65F4B"/>
    <w:rsid w:val="00F66260"/>
    <w:rsid w:val="00F67820"/>
    <w:rsid w:val="00F67A69"/>
    <w:rsid w:val="00F707B5"/>
    <w:rsid w:val="00F70BFF"/>
    <w:rsid w:val="00F70C9D"/>
    <w:rsid w:val="00F71C72"/>
    <w:rsid w:val="00F71EBA"/>
    <w:rsid w:val="00F720F8"/>
    <w:rsid w:val="00F73034"/>
    <w:rsid w:val="00F74CD9"/>
    <w:rsid w:val="00F7674C"/>
    <w:rsid w:val="00F775EF"/>
    <w:rsid w:val="00F80A7B"/>
    <w:rsid w:val="00F80E5D"/>
    <w:rsid w:val="00F81313"/>
    <w:rsid w:val="00F81586"/>
    <w:rsid w:val="00F81850"/>
    <w:rsid w:val="00F81E78"/>
    <w:rsid w:val="00F81F77"/>
    <w:rsid w:val="00F81FA8"/>
    <w:rsid w:val="00F82058"/>
    <w:rsid w:val="00F8282F"/>
    <w:rsid w:val="00F82CFA"/>
    <w:rsid w:val="00F834FC"/>
    <w:rsid w:val="00F83F03"/>
    <w:rsid w:val="00F842E9"/>
    <w:rsid w:val="00F84723"/>
    <w:rsid w:val="00F84B63"/>
    <w:rsid w:val="00F851CE"/>
    <w:rsid w:val="00F8556B"/>
    <w:rsid w:val="00F85CC6"/>
    <w:rsid w:val="00F86B7D"/>
    <w:rsid w:val="00F872ED"/>
    <w:rsid w:val="00F8733B"/>
    <w:rsid w:val="00F87933"/>
    <w:rsid w:val="00F879AE"/>
    <w:rsid w:val="00F87C77"/>
    <w:rsid w:val="00F900B3"/>
    <w:rsid w:val="00F9110B"/>
    <w:rsid w:val="00F91219"/>
    <w:rsid w:val="00F919D4"/>
    <w:rsid w:val="00F921FD"/>
    <w:rsid w:val="00F92444"/>
    <w:rsid w:val="00F92CA1"/>
    <w:rsid w:val="00F9393E"/>
    <w:rsid w:val="00F94AE0"/>
    <w:rsid w:val="00F95C1A"/>
    <w:rsid w:val="00F96F70"/>
    <w:rsid w:val="00F96FD0"/>
    <w:rsid w:val="00F97A78"/>
    <w:rsid w:val="00FA0B20"/>
    <w:rsid w:val="00FA11F9"/>
    <w:rsid w:val="00FA24E7"/>
    <w:rsid w:val="00FA4192"/>
    <w:rsid w:val="00FA4846"/>
    <w:rsid w:val="00FA58A8"/>
    <w:rsid w:val="00FA5EE6"/>
    <w:rsid w:val="00FA6F66"/>
    <w:rsid w:val="00FA7956"/>
    <w:rsid w:val="00FB0337"/>
    <w:rsid w:val="00FB0528"/>
    <w:rsid w:val="00FB0C50"/>
    <w:rsid w:val="00FB11C2"/>
    <w:rsid w:val="00FB1A83"/>
    <w:rsid w:val="00FB2389"/>
    <w:rsid w:val="00FB2808"/>
    <w:rsid w:val="00FB2E4C"/>
    <w:rsid w:val="00FB2FCB"/>
    <w:rsid w:val="00FB3302"/>
    <w:rsid w:val="00FB330A"/>
    <w:rsid w:val="00FB3C76"/>
    <w:rsid w:val="00FB45DA"/>
    <w:rsid w:val="00FB7384"/>
    <w:rsid w:val="00FB7C55"/>
    <w:rsid w:val="00FB7FB7"/>
    <w:rsid w:val="00FC1074"/>
    <w:rsid w:val="00FC1884"/>
    <w:rsid w:val="00FC1C2C"/>
    <w:rsid w:val="00FC1DC8"/>
    <w:rsid w:val="00FC210F"/>
    <w:rsid w:val="00FC2436"/>
    <w:rsid w:val="00FC34A5"/>
    <w:rsid w:val="00FC371D"/>
    <w:rsid w:val="00FC389F"/>
    <w:rsid w:val="00FC4636"/>
    <w:rsid w:val="00FC48A9"/>
    <w:rsid w:val="00FC51D4"/>
    <w:rsid w:val="00FC5F0B"/>
    <w:rsid w:val="00FC71FA"/>
    <w:rsid w:val="00FD083F"/>
    <w:rsid w:val="00FD2100"/>
    <w:rsid w:val="00FD303D"/>
    <w:rsid w:val="00FD3764"/>
    <w:rsid w:val="00FD4017"/>
    <w:rsid w:val="00FD436C"/>
    <w:rsid w:val="00FD446D"/>
    <w:rsid w:val="00FD4F2C"/>
    <w:rsid w:val="00FD4FD2"/>
    <w:rsid w:val="00FD6394"/>
    <w:rsid w:val="00FE0E6C"/>
    <w:rsid w:val="00FE15B6"/>
    <w:rsid w:val="00FE16FB"/>
    <w:rsid w:val="00FE1CDC"/>
    <w:rsid w:val="00FE1D9F"/>
    <w:rsid w:val="00FE1FF1"/>
    <w:rsid w:val="00FE28C8"/>
    <w:rsid w:val="00FE2E17"/>
    <w:rsid w:val="00FE3DE9"/>
    <w:rsid w:val="00FE5749"/>
    <w:rsid w:val="00FE70C3"/>
    <w:rsid w:val="00FE73F3"/>
    <w:rsid w:val="00FE7B8C"/>
    <w:rsid w:val="00FF258B"/>
    <w:rsid w:val="00FF2AD9"/>
    <w:rsid w:val="00FF3097"/>
    <w:rsid w:val="00FF359F"/>
    <w:rsid w:val="00FF3DCF"/>
    <w:rsid w:val="00FF492C"/>
    <w:rsid w:val="00FF4A21"/>
    <w:rsid w:val="00FF54C5"/>
    <w:rsid w:val="00FF5AA3"/>
    <w:rsid w:val="00FF5AD8"/>
    <w:rsid w:val="00FF6715"/>
    <w:rsid w:val="00FF691B"/>
    <w:rsid w:val="00FF751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3778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 2,Figure_name,Numbered Indented Text,Bullet- First level,List NUmber,Listenabsatz1,lp1,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2 Char,Figure_name Char,lp1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Annotationtext,Comment Text Char1 Char,Comment Text Char Char Char,Comment Text Char1,- H19,Char1,Char2, Char1,Comment Text Char Char1,Comment Text Char2 Char Char,Comment Text Char Char1 Char Char,Comment Text Char2 Char Char Char Char"/>
    <w:basedOn w:val="Normal"/>
    <w:link w:val="CommentTextChar"/>
    <w:qFormat/>
    <w:rsid w:val="00FD2100"/>
    <w:rPr>
      <w:rFonts w:ascii="Times New Roman" w:hAnsi="Times New Roman" w:cs="Times New Roman"/>
      <w:sz w:val="20"/>
    </w:rPr>
  </w:style>
  <w:style w:type="character" w:customStyle="1" w:styleId="CommentTextChar">
    <w:name w:val="Comment Text Char"/>
    <w:aliases w:val="Annotationtext Char,Comment Text Char1 Char Char,Comment Text Char Char Char Char,Comment Text Char1 Char1,- H19 Char,Char1 Char,Char2 Char, Char1 Char,Comment Text Char Char1 Char,Comment Text Char2 Char Char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5"/>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semiHidden/>
    <w:unhideWhenUsed/>
    <w:rsid w:val="002E0385"/>
    <w:rPr>
      <w:sz w:val="20"/>
      <w:szCs w:val="20"/>
    </w:rPr>
  </w:style>
  <w:style w:type="character" w:customStyle="1" w:styleId="FootnoteTextChar">
    <w:name w:val="Footnote Text Char"/>
    <w:basedOn w:val="DefaultParagraphFont"/>
    <w:link w:val="FootnoteText"/>
    <w:semiHidden/>
    <w:rsid w:val="002E0385"/>
    <w:rPr>
      <w:rFonts w:ascii="Calibri" w:hAnsi="Calibri" w:cs="Arial"/>
    </w:rPr>
  </w:style>
  <w:style w:type="character" w:styleId="FootnoteReference">
    <w:name w:val="footnote reference"/>
    <w:basedOn w:val="DefaultParagraphFont"/>
    <w:semiHidden/>
    <w:unhideWhenUsed/>
    <w:rsid w:val="002E0385"/>
    <w:rPr>
      <w:vertAlign w:val="superscript"/>
    </w:rPr>
  </w:style>
  <w:style w:type="paragraph" w:customStyle="1" w:styleId="TableParagraph">
    <w:name w:val="Table Paragraph"/>
    <w:basedOn w:val="Normal"/>
    <w:uiPriority w:val="1"/>
    <w:rsid w:val="00730FB2"/>
    <w:pPr>
      <w:widowControl w:val="0"/>
      <w:autoSpaceDE w:val="0"/>
      <w:autoSpaceDN w:val="0"/>
      <w:jc w:val="left"/>
    </w:pPr>
    <w:rPr>
      <w:rFonts w:ascii="Times New Roman" w:hAnsi="Times New Roman" w:cs="Times New Roman"/>
      <w:sz w:val="22"/>
      <w:szCs w:val="22"/>
      <w:lang w:val="en-US" w:eastAsia="en-US" w:bidi="en-US"/>
    </w:rPr>
  </w:style>
  <w:style w:type="character" w:customStyle="1" w:styleId="Small">
    <w:name w:val="Small"/>
    <w:basedOn w:val="DefaultParagraphFont"/>
    <w:uiPriority w:val="4"/>
    <w:rsid w:val="004D6A6B"/>
    <w:rPr>
      <w:rFonts w:ascii="Calibri" w:hAnsi="Calibri"/>
      <w:sz w:val="20"/>
    </w:rPr>
  </w:style>
  <w:style w:type="paragraph" w:customStyle="1" w:styleId="TableLeft">
    <w:name w:val="Table Left"/>
    <w:basedOn w:val="Normal"/>
    <w:link w:val="TableLeftChar"/>
    <w:uiPriority w:val="99"/>
    <w:rsid w:val="004D6A6B"/>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4D6A6B"/>
    <w:rPr>
      <w:rFonts w:ascii="Calibri" w:eastAsiaTheme="majorEastAsia" w:hAnsi="Calibri" w:cstheme="majorBidi"/>
      <w:sz w:val="18"/>
      <w:szCs w:val="22"/>
      <w:lang w:eastAsia="en-US" w:bidi="en-US"/>
    </w:rPr>
  </w:style>
  <w:style w:type="character" w:customStyle="1" w:styleId="SmallBold">
    <w:name w:val="Small Bold"/>
    <w:basedOn w:val="Small"/>
    <w:uiPriority w:val="4"/>
    <w:rsid w:val="004E76E0"/>
    <w:rPr>
      <w:rFonts w:ascii="Calibri" w:hAnsi="Calibri"/>
      <w:b/>
      <w:sz w:val="20"/>
      <w:lang w:val="en-AU"/>
    </w:rPr>
  </w:style>
  <w:style w:type="paragraph" w:customStyle="1" w:styleId="NumberedList">
    <w:name w:val="Numbered List"/>
    <w:basedOn w:val="Normal"/>
    <w:uiPriority w:val="3"/>
    <w:rsid w:val="00720DA8"/>
    <w:pPr>
      <w:numPr>
        <w:numId w:val="7"/>
      </w:numPr>
      <w:spacing w:after="240"/>
      <w:ind w:left="357" w:hanging="357"/>
      <w:contextualSpacing/>
    </w:pPr>
    <w:rPr>
      <w:rFonts w:ascii="Candara" w:eastAsiaTheme="majorEastAsia" w:hAnsi="Candara" w:cstheme="majorBidi"/>
      <w:szCs w:val="22"/>
      <w:lang w:eastAsia="en-US"/>
    </w:rPr>
  </w:style>
  <w:style w:type="character" w:customStyle="1" w:styleId="FontSubscript">
    <w:name w:val="Font Subscript"/>
    <w:basedOn w:val="DefaultParagraphFont"/>
    <w:uiPriority w:val="1"/>
    <w:rsid w:val="002C7B63"/>
    <w:rPr>
      <w:rFonts w:ascii="Sabon" w:hAnsi="Sabon"/>
      <w:sz w:val="22"/>
      <w:vertAlign w:val="subscript"/>
    </w:rPr>
  </w:style>
  <w:style w:type="paragraph" w:customStyle="1" w:styleId="EndNoteBibliographyTitle">
    <w:name w:val="EndNote Bibliography Title"/>
    <w:basedOn w:val="Normal"/>
    <w:link w:val="EndNoteBibliographyTitleChar"/>
    <w:rsid w:val="00BA1DF2"/>
    <w:pPr>
      <w:jc w:val="center"/>
    </w:pPr>
    <w:rPr>
      <w:rFonts w:cs="Calibri"/>
      <w:noProof/>
    </w:rPr>
  </w:style>
  <w:style w:type="character" w:customStyle="1" w:styleId="EndNoteBibliographyTitleChar">
    <w:name w:val="EndNote Bibliography Title Char"/>
    <w:basedOn w:val="ListParagraphChar"/>
    <w:link w:val="EndNoteBibliographyTitle"/>
    <w:rsid w:val="00BA1DF2"/>
    <w:rPr>
      <w:rFonts w:ascii="Calibri" w:hAnsi="Calibri" w:cs="Calibri"/>
      <w:noProof/>
      <w:snapToGrid/>
      <w:sz w:val="24"/>
      <w:szCs w:val="24"/>
    </w:rPr>
  </w:style>
  <w:style w:type="paragraph" w:customStyle="1" w:styleId="EndNoteBibliography">
    <w:name w:val="EndNote Bibliography"/>
    <w:basedOn w:val="Normal"/>
    <w:link w:val="EndNoteBibliographyChar"/>
    <w:rsid w:val="00BA1DF2"/>
    <w:pPr>
      <w:jc w:val="left"/>
    </w:pPr>
    <w:rPr>
      <w:rFonts w:cs="Calibri"/>
      <w:noProof/>
    </w:rPr>
  </w:style>
  <w:style w:type="character" w:customStyle="1" w:styleId="EndNoteBibliographyChar">
    <w:name w:val="EndNote Bibliography Char"/>
    <w:basedOn w:val="ListParagraphChar"/>
    <w:link w:val="EndNoteBibliography"/>
    <w:rsid w:val="00BA1DF2"/>
    <w:rPr>
      <w:rFonts w:ascii="Calibri" w:hAnsi="Calibri" w:cs="Calibri"/>
      <w:noProof/>
      <w:snapToGrid/>
      <w:sz w:val="24"/>
      <w:szCs w:val="24"/>
    </w:rPr>
  </w:style>
  <w:style w:type="paragraph" w:customStyle="1" w:styleId="Default">
    <w:name w:val="Default"/>
    <w:rsid w:val="00544808"/>
    <w:pPr>
      <w:autoSpaceDE w:val="0"/>
      <w:autoSpaceDN w:val="0"/>
      <w:adjustRightInd w:val="0"/>
    </w:pPr>
    <w:rPr>
      <w:rFonts w:ascii="Cambria" w:hAnsi="Cambria" w:cs="Cambria"/>
      <w:color w:val="000000"/>
      <w:sz w:val="24"/>
      <w:szCs w:val="24"/>
    </w:rPr>
  </w:style>
  <w:style w:type="character" w:styleId="Strong">
    <w:name w:val="Strong"/>
    <w:basedOn w:val="DefaultParagraphFont"/>
    <w:qFormat/>
    <w:rsid w:val="00B720BE"/>
    <w:rPr>
      <w:b/>
      <w:bCs/>
    </w:rPr>
  </w:style>
  <w:style w:type="paragraph" w:customStyle="1" w:styleId="Quotation">
    <w:name w:val="Quotation"/>
    <w:basedOn w:val="Normal"/>
    <w:next w:val="Normal"/>
    <w:uiPriority w:val="4"/>
    <w:qFormat/>
    <w:rsid w:val="00981FF8"/>
    <w:pPr>
      <w:spacing w:before="120" w:after="180" w:line="240" w:lineRule="atLeast"/>
      <w:ind w:left="425"/>
      <w:jc w:val="left"/>
    </w:pPr>
    <w:rPr>
      <w:rFonts w:ascii="Cambria" w:eastAsiaTheme="minorEastAsia" w:hAnsi="Cambria" w:cstheme="minorBidi"/>
      <w:sz w:val="20"/>
      <w:szCs w:val="22"/>
      <w:lang w:eastAsia="zh-TW"/>
    </w:rPr>
  </w:style>
  <w:style w:type="paragraph" w:customStyle="1" w:styleId="3-SubsectionHeading">
    <w:name w:val="3-Subsection Heading"/>
    <w:basedOn w:val="Heading2"/>
    <w:next w:val="Normal"/>
    <w:link w:val="3-SubsectionHeadingChar"/>
    <w:qFormat/>
    <w:rsid w:val="00457FD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57FD3"/>
    <w:rPr>
      <w:rFonts w:asciiTheme="minorHAnsi" w:eastAsiaTheme="majorEastAsia" w:hAnsiTheme="minorHAnsi" w:cstheme="majorBidi"/>
      <w:b/>
      <w:i/>
      <w:snapToGrid/>
      <w:spacing w:val="5"/>
      <w:kern w:val="28"/>
      <w:sz w:val="28"/>
      <w:szCs w:val="36"/>
      <w:lang w:eastAsia="en-US"/>
    </w:rPr>
  </w:style>
  <w:style w:type="paragraph" w:customStyle="1" w:styleId="PBACESHeading1">
    <w:name w:val="PBAC ES Heading 1"/>
    <w:basedOn w:val="Heading1"/>
    <w:next w:val="ListParagraph"/>
    <w:uiPriority w:val="1"/>
    <w:qFormat/>
    <w:rsid w:val="00047068"/>
    <w:pPr>
      <w:keepNext/>
      <w:keepLines/>
      <w:tabs>
        <w:tab w:val="left" w:pos="1077"/>
      </w:tabs>
      <w:spacing w:before="240" w:after="120"/>
      <w:jc w:val="left"/>
    </w:pPr>
    <w:rPr>
      <w:rFonts w:asciiTheme="minorHAnsi" w:hAnsiTheme="minorHAnsi"/>
      <w:caps w:val="0"/>
      <w:snapToGrid w:val="0"/>
      <w:szCs w:val="32"/>
      <w:lang w:eastAsia="en-US"/>
    </w:rPr>
  </w:style>
  <w:style w:type="paragraph" w:customStyle="1" w:styleId="PBACESHeading2">
    <w:name w:val="PBAC ES Heading 2"/>
    <w:basedOn w:val="Heading2"/>
    <w:uiPriority w:val="1"/>
    <w:qFormat/>
    <w:rsid w:val="00047068"/>
    <w:pPr>
      <w:keepNext/>
      <w:keepLines/>
      <w:spacing w:before="360" w:after="120"/>
      <w:ind w:left="720" w:hanging="720"/>
      <w:jc w:val="left"/>
    </w:pPr>
    <w:rPr>
      <w:rFonts w:asciiTheme="minorHAnsi" w:eastAsiaTheme="majorEastAsia" w:hAnsiTheme="minorHAnsi" w:cstheme="minorHAnsi"/>
      <w:snapToGrid w:val="0"/>
      <w:color w:val="000000" w:themeColor="text1"/>
      <w:szCs w:val="28"/>
      <w:lang w:eastAsia="en-US"/>
    </w:rPr>
  </w:style>
  <w:style w:type="paragraph" w:customStyle="1" w:styleId="PBACESHeading3">
    <w:name w:val="PBAC ES Heading 3"/>
    <w:basedOn w:val="PBACESHeading2"/>
    <w:uiPriority w:val="1"/>
    <w:qFormat/>
    <w:rsid w:val="00047068"/>
    <w:pPr>
      <w:ind w:left="1080" w:hanging="1080"/>
    </w:pPr>
    <w:rPr>
      <w:i w:val="0"/>
    </w:rPr>
  </w:style>
  <w:style w:type="paragraph" w:customStyle="1" w:styleId="MSACHeading1">
    <w:name w:val="MSAC Heading 1"/>
    <w:basedOn w:val="Heading1"/>
    <w:next w:val="Normal"/>
    <w:uiPriority w:val="1"/>
    <w:qFormat/>
    <w:rsid w:val="00047068"/>
    <w:pPr>
      <w:keepNext/>
      <w:keepLines/>
      <w:spacing w:before="160" w:after="240" w:line="259" w:lineRule="auto"/>
      <w:ind w:left="1288"/>
      <w:jc w:val="left"/>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qFormat/>
    <w:rsid w:val="00047068"/>
    <w:pPr>
      <w:keepNext/>
      <w:keepLines/>
      <w:spacing w:before="360" w:after="120"/>
      <w:ind w:left="720" w:hanging="720"/>
      <w:jc w:val="left"/>
    </w:pPr>
    <w:rPr>
      <w:rFonts w:ascii="Cambria" w:eastAsiaTheme="majorEastAsia" w:hAnsi="Cambria" w:cstheme="majorBidi"/>
      <w:b w:val="0"/>
      <w:i w:val="0"/>
      <w:snapToGrid w:val="0"/>
      <w:color w:val="000000" w:themeColor="text1"/>
      <w:sz w:val="24"/>
      <w:szCs w:val="28"/>
      <w:lang w:eastAsia="en-US"/>
    </w:rPr>
  </w:style>
  <w:style w:type="character" w:customStyle="1" w:styleId="UnresolvedMention1">
    <w:name w:val="Unresolved Mention1"/>
    <w:basedOn w:val="DefaultParagraphFont"/>
    <w:uiPriority w:val="99"/>
    <w:semiHidden/>
    <w:unhideWhenUsed/>
    <w:rsid w:val="00225ACB"/>
    <w:rPr>
      <w:color w:val="605E5C"/>
      <w:shd w:val="clear" w:color="auto" w:fill="E1DFDD"/>
    </w:rPr>
  </w:style>
  <w:style w:type="paragraph" w:customStyle="1" w:styleId="ExecSumBodyText">
    <w:name w:val="Exec Sum Body Text"/>
    <w:basedOn w:val="Normal"/>
    <w:qFormat/>
    <w:rsid w:val="006A6E1D"/>
    <w:pPr>
      <w:spacing w:after="120"/>
      <w:ind w:left="720" w:hanging="720"/>
    </w:pPr>
    <w:rPr>
      <w:rFonts w:asciiTheme="minorHAnsi" w:hAnsiTheme="minorHAnsi"/>
      <w:snapToGrid w:val="0"/>
    </w:rPr>
  </w:style>
  <w:style w:type="paragraph" w:customStyle="1" w:styleId="1-MainHeading0">
    <w:name w:val="1- Main Heading"/>
    <w:link w:val="1-MainHeadingChar0"/>
    <w:qFormat/>
    <w:rsid w:val="006F374A"/>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0">
    <w:name w:val="1- Main Heading Char"/>
    <w:basedOn w:val="DefaultParagraphFont"/>
    <w:link w:val="1-MainHeading0"/>
    <w:rsid w:val="006F374A"/>
    <w:rPr>
      <w:rFonts w:asciiTheme="minorHAnsi" w:eastAsiaTheme="majorEastAsia" w:hAnsiTheme="minorHAnsi" w:cstheme="majorBidi"/>
      <w:b/>
      <w:spacing w:val="5"/>
      <w:kern w:val="28"/>
      <w:sz w:val="36"/>
      <w:szCs w:val="36"/>
    </w:rPr>
  </w:style>
  <w:style w:type="paragraph" w:customStyle="1" w:styleId="1MainTitle">
    <w:name w:val="1. Main Title"/>
    <w:basedOn w:val="Title"/>
    <w:link w:val="1MainTitleChar"/>
    <w:qFormat/>
    <w:rsid w:val="006F374A"/>
    <w:pPr>
      <w:spacing w:before="120" w:after="160"/>
      <w:ind w:left="720" w:hanging="720"/>
      <w:contextualSpacing/>
      <w:jc w:val="both"/>
    </w:pPr>
    <w:rPr>
      <w:rFonts w:asciiTheme="minorHAnsi" w:eastAsiaTheme="majorEastAsia" w:hAnsiTheme="minorHAnsi" w:cstheme="majorBidi"/>
      <w:bCs w:val="0"/>
      <w:spacing w:val="5"/>
      <w:sz w:val="36"/>
      <w:szCs w:val="36"/>
      <w:lang w:eastAsia="en-US"/>
    </w:rPr>
  </w:style>
  <w:style w:type="character" w:customStyle="1" w:styleId="1MainTitleChar">
    <w:name w:val="1. Main Title Char"/>
    <w:basedOn w:val="TitleChar"/>
    <w:link w:val="1MainTitle"/>
    <w:rsid w:val="006F374A"/>
    <w:rPr>
      <w:rFonts w:asciiTheme="minorHAnsi" w:eastAsiaTheme="majorEastAsia" w:hAnsiTheme="minorHAnsi" w:cstheme="majorBidi"/>
      <w:b/>
      <w:bCs w:val="0"/>
      <w:snapToGrid/>
      <w:spacing w:val="5"/>
      <w:kern w:val="28"/>
      <w:sz w:val="36"/>
      <w:szCs w:val="36"/>
      <w:lang w:eastAsia="en-US"/>
    </w:rPr>
  </w:style>
  <w:style w:type="table" w:customStyle="1" w:styleId="CMATableTemplate1">
    <w:name w:val="CMA Table Template1"/>
    <w:basedOn w:val="TableNormal"/>
    <w:next w:val="TableGrid"/>
    <w:uiPriority w:val="39"/>
    <w:rsid w:val="006F374A"/>
    <w:rPr>
      <w:rFonts w:ascii="Arial Narrow"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5936">
      <w:bodyDiv w:val="1"/>
      <w:marLeft w:val="0"/>
      <w:marRight w:val="0"/>
      <w:marTop w:val="0"/>
      <w:marBottom w:val="0"/>
      <w:divBdr>
        <w:top w:val="none" w:sz="0" w:space="0" w:color="auto"/>
        <w:left w:val="none" w:sz="0" w:space="0" w:color="auto"/>
        <w:bottom w:val="none" w:sz="0" w:space="0" w:color="auto"/>
        <w:right w:val="none" w:sz="0" w:space="0" w:color="auto"/>
      </w:divBdr>
    </w:div>
    <w:div w:id="7054011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6896174">
      <w:bodyDiv w:val="1"/>
      <w:marLeft w:val="0"/>
      <w:marRight w:val="0"/>
      <w:marTop w:val="0"/>
      <w:marBottom w:val="0"/>
      <w:divBdr>
        <w:top w:val="none" w:sz="0" w:space="0" w:color="auto"/>
        <w:left w:val="none" w:sz="0" w:space="0" w:color="auto"/>
        <w:bottom w:val="none" w:sz="0" w:space="0" w:color="auto"/>
        <w:right w:val="none" w:sz="0" w:space="0" w:color="auto"/>
      </w:divBdr>
    </w:div>
    <w:div w:id="118651152">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1025496">
      <w:bodyDiv w:val="1"/>
      <w:marLeft w:val="0"/>
      <w:marRight w:val="0"/>
      <w:marTop w:val="0"/>
      <w:marBottom w:val="0"/>
      <w:divBdr>
        <w:top w:val="none" w:sz="0" w:space="0" w:color="auto"/>
        <w:left w:val="none" w:sz="0" w:space="0" w:color="auto"/>
        <w:bottom w:val="none" w:sz="0" w:space="0" w:color="auto"/>
        <w:right w:val="none" w:sz="0" w:space="0" w:color="auto"/>
      </w:divBdr>
      <w:divsChild>
        <w:div w:id="555091185">
          <w:marLeft w:val="0"/>
          <w:marRight w:val="0"/>
          <w:marTop w:val="0"/>
          <w:marBottom w:val="0"/>
          <w:divBdr>
            <w:top w:val="none" w:sz="0" w:space="0" w:color="auto"/>
            <w:left w:val="none" w:sz="0" w:space="0" w:color="auto"/>
            <w:bottom w:val="none" w:sz="0" w:space="0" w:color="auto"/>
            <w:right w:val="none" w:sz="0" w:space="0" w:color="auto"/>
          </w:divBdr>
          <w:divsChild>
            <w:div w:id="10913882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40613243">
          <w:marLeft w:val="0"/>
          <w:marRight w:val="0"/>
          <w:marTop w:val="0"/>
          <w:marBottom w:val="0"/>
          <w:divBdr>
            <w:top w:val="none" w:sz="0" w:space="0" w:color="auto"/>
            <w:left w:val="none" w:sz="0" w:space="0" w:color="auto"/>
            <w:bottom w:val="none" w:sz="0" w:space="0" w:color="auto"/>
            <w:right w:val="none" w:sz="0" w:space="0" w:color="auto"/>
          </w:divBdr>
        </w:div>
      </w:divsChild>
    </w:div>
    <w:div w:id="134377557">
      <w:bodyDiv w:val="1"/>
      <w:marLeft w:val="0"/>
      <w:marRight w:val="0"/>
      <w:marTop w:val="0"/>
      <w:marBottom w:val="0"/>
      <w:divBdr>
        <w:top w:val="none" w:sz="0" w:space="0" w:color="auto"/>
        <w:left w:val="none" w:sz="0" w:space="0" w:color="auto"/>
        <w:bottom w:val="none" w:sz="0" w:space="0" w:color="auto"/>
        <w:right w:val="none" w:sz="0" w:space="0" w:color="auto"/>
      </w:divBdr>
      <w:divsChild>
        <w:div w:id="610825251">
          <w:marLeft w:val="446"/>
          <w:marRight w:val="0"/>
          <w:marTop w:val="0"/>
          <w:marBottom w:val="0"/>
          <w:divBdr>
            <w:top w:val="none" w:sz="0" w:space="0" w:color="auto"/>
            <w:left w:val="none" w:sz="0" w:space="0" w:color="auto"/>
            <w:bottom w:val="none" w:sz="0" w:space="0" w:color="auto"/>
            <w:right w:val="none" w:sz="0" w:space="0" w:color="auto"/>
          </w:divBdr>
        </w:div>
      </w:divsChild>
    </w:div>
    <w:div w:id="148836929">
      <w:bodyDiv w:val="1"/>
      <w:marLeft w:val="0"/>
      <w:marRight w:val="0"/>
      <w:marTop w:val="0"/>
      <w:marBottom w:val="0"/>
      <w:divBdr>
        <w:top w:val="none" w:sz="0" w:space="0" w:color="auto"/>
        <w:left w:val="none" w:sz="0" w:space="0" w:color="auto"/>
        <w:bottom w:val="none" w:sz="0" w:space="0" w:color="auto"/>
        <w:right w:val="none" w:sz="0" w:space="0" w:color="auto"/>
      </w:divBdr>
      <w:divsChild>
        <w:div w:id="580069857">
          <w:marLeft w:val="1166"/>
          <w:marRight w:val="0"/>
          <w:marTop w:val="0"/>
          <w:marBottom w:val="0"/>
          <w:divBdr>
            <w:top w:val="none" w:sz="0" w:space="0" w:color="auto"/>
            <w:left w:val="none" w:sz="0" w:space="0" w:color="auto"/>
            <w:bottom w:val="none" w:sz="0" w:space="0" w:color="auto"/>
            <w:right w:val="none" w:sz="0" w:space="0" w:color="auto"/>
          </w:divBdr>
        </w:div>
        <w:div w:id="1169365706">
          <w:marLeft w:val="1166"/>
          <w:marRight w:val="0"/>
          <w:marTop w:val="0"/>
          <w:marBottom w:val="0"/>
          <w:divBdr>
            <w:top w:val="none" w:sz="0" w:space="0" w:color="auto"/>
            <w:left w:val="none" w:sz="0" w:space="0" w:color="auto"/>
            <w:bottom w:val="none" w:sz="0" w:space="0" w:color="auto"/>
            <w:right w:val="none" w:sz="0" w:space="0" w:color="auto"/>
          </w:divBdr>
        </w:div>
        <w:div w:id="1672559903">
          <w:marLeft w:val="446"/>
          <w:marRight w:val="0"/>
          <w:marTop w:val="0"/>
          <w:marBottom w:val="0"/>
          <w:divBdr>
            <w:top w:val="none" w:sz="0" w:space="0" w:color="auto"/>
            <w:left w:val="none" w:sz="0" w:space="0" w:color="auto"/>
            <w:bottom w:val="none" w:sz="0" w:space="0" w:color="auto"/>
            <w:right w:val="none" w:sz="0" w:space="0" w:color="auto"/>
          </w:divBdr>
        </w:div>
        <w:div w:id="1817720387">
          <w:marLeft w:val="1166"/>
          <w:marRight w:val="0"/>
          <w:marTop w:val="0"/>
          <w:marBottom w:val="0"/>
          <w:divBdr>
            <w:top w:val="none" w:sz="0" w:space="0" w:color="auto"/>
            <w:left w:val="none" w:sz="0" w:space="0" w:color="auto"/>
            <w:bottom w:val="none" w:sz="0" w:space="0" w:color="auto"/>
            <w:right w:val="none" w:sz="0" w:space="0" w:color="auto"/>
          </w:divBdr>
        </w:div>
        <w:div w:id="1970012843">
          <w:marLeft w:val="547"/>
          <w:marRight w:val="0"/>
          <w:marTop w:val="0"/>
          <w:marBottom w:val="0"/>
          <w:divBdr>
            <w:top w:val="none" w:sz="0" w:space="0" w:color="auto"/>
            <w:left w:val="none" w:sz="0" w:space="0" w:color="auto"/>
            <w:bottom w:val="none" w:sz="0" w:space="0" w:color="auto"/>
            <w:right w:val="none" w:sz="0" w:space="0" w:color="auto"/>
          </w:divBdr>
        </w:div>
        <w:div w:id="2078092261">
          <w:marLeft w:val="1166"/>
          <w:marRight w:val="0"/>
          <w:marTop w:val="0"/>
          <w:marBottom w:val="0"/>
          <w:divBdr>
            <w:top w:val="none" w:sz="0" w:space="0" w:color="auto"/>
            <w:left w:val="none" w:sz="0" w:space="0" w:color="auto"/>
            <w:bottom w:val="none" w:sz="0" w:space="0" w:color="auto"/>
            <w:right w:val="none" w:sz="0" w:space="0" w:color="auto"/>
          </w:divBdr>
        </w:div>
      </w:divsChild>
    </w:div>
    <w:div w:id="162362460">
      <w:bodyDiv w:val="1"/>
      <w:marLeft w:val="0"/>
      <w:marRight w:val="0"/>
      <w:marTop w:val="0"/>
      <w:marBottom w:val="0"/>
      <w:divBdr>
        <w:top w:val="none" w:sz="0" w:space="0" w:color="auto"/>
        <w:left w:val="none" w:sz="0" w:space="0" w:color="auto"/>
        <w:bottom w:val="none" w:sz="0" w:space="0" w:color="auto"/>
        <w:right w:val="none" w:sz="0" w:space="0" w:color="auto"/>
      </w:divBdr>
    </w:div>
    <w:div w:id="164592419">
      <w:bodyDiv w:val="1"/>
      <w:marLeft w:val="0"/>
      <w:marRight w:val="0"/>
      <w:marTop w:val="0"/>
      <w:marBottom w:val="0"/>
      <w:divBdr>
        <w:top w:val="none" w:sz="0" w:space="0" w:color="auto"/>
        <w:left w:val="none" w:sz="0" w:space="0" w:color="auto"/>
        <w:bottom w:val="none" w:sz="0" w:space="0" w:color="auto"/>
        <w:right w:val="none" w:sz="0" w:space="0" w:color="auto"/>
      </w:divBdr>
      <w:divsChild>
        <w:div w:id="95950030">
          <w:marLeft w:val="446"/>
          <w:marRight w:val="0"/>
          <w:marTop w:val="0"/>
          <w:marBottom w:val="0"/>
          <w:divBdr>
            <w:top w:val="none" w:sz="0" w:space="0" w:color="auto"/>
            <w:left w:val="none" w:sz="0" w:space="0" w:color="auto"/>
            <w:bottom w:val="none" w:sz="0" w:space="0" w:color="auto"/>
            <w:right w:val="none" w:sz="0" w:space="0" w:color="auto"/>
          </w:divBdr>
        </w:div>
        <w:div w:id="681979890">
          <w:marLeft w:val="446"/>
          <w:marRight w:val="0"/>
          <w:marTop w:val="0"/>
          <w:marBottom w:val="0"/>
          <w:divBdr>
            <w:top w:val="none" w:sz="0" w:space="0" w:color="auto"/>
            <w:left w:val="none" w:sz="0" w:space="0" w:color="auto"/>
            <w:bottom w:val="none" w:sz="0" w:space="0" w:color="auto"/>
            <w:right w:val="none" w:sz="0" w:space="0" w:color="auto"/>
          </w:divBdr>
        </w:div>
        <w:div w:id="1099250810">
          <w:marLeft w:val="446"/>
          <w:marRight w:val="0"/>
          <w:marTop w:val="0"/>
          <w:marBottom w:val="0"/>
          <w:divBdr>
            <w:top w:val="none" w:sz="0" w:space="0" w:color="auto"/>
            <w:left w:val="none" w:sz="0" w:space="0" w:color="auto"/>
            <w:bottom w:val="none" w:sz="0" w:space="0" w:color="auto"/>
            <w:right w:val="none" w:sz="0" w:space="0" w:color="auto"/>
          </w:divBdr>
        </w:div>
        <w:div w:id="1583182082">
          <w:marLeft w:val="446"/>
          <w:marRight w:val="0"/>
          <w:marTop w:val="0"/>
          <w:marBottom w:val="0"/>
          <w:divBdr>
            <w:top w:val="none" w:sz="0" w:space="0" w:color="auto"/>
            <w:left w:val="none" w:sz="0" w:space="0" w:color="auto"/>
            <w:bottom w:val="none" w:sz="0" w:space="0" w:color="auto"/>
            <w:right w:val="none" w:sz="0" w:space="0" w:color="auto"/>
          </w:divBdr>
        </w:div>
        <w:div w:id="1683389309">
          <w:marLeft w:val="446"/>
          <w:marRight w:val="0"/>
          <w:marTop w:val="0"/>
          <w:marBottom w:val="0"/>
          <w:divBdr>
            <w:top w:val="none" w:sz="0" w:space="0" w:color="auto"/>
            <w:left w:val="none" w:sz="0" w:space="0" w:color="auto"/>
            <w:bottom w:val="none" w:sz="0" w:space="0" w:color="auto"/>
            <w:right w:val="none" w:sz="0" w:space="0" w:color="auto"/>
          </w:divBdr>
        </w:div>
      </w:divsChild>
    </w:div>
    <w:div w:id="228424111">
      <w:bodyDiv w:val="1"/>
      <w:marLeft w:val="0"/>
      <w:marRight w:val="0"/>
      <w:marTop w:val="0"/>
      <w:marBottom w:val="0"/>
      <w:divBdr>
        <w:top w:val="none" w:sz="0" w:space="0" w:color="auto"/>
        <w:left w:val="none" w:sz="0" w:space="0" w:color="auto"/>
        <w:bottom w:val="none" w:sz="0" w:space="0" w:color="auto"/>
        <w:right w:val="none" w:sz="0" w:space="0" w:color="auto"/>
      </w:divBdr>
      <w:divsChild>
        <w:div w:id="12809351">
          <w:marLeft w:val="1080"/>
          <w:marRight w:val="0"/>
          <w:marTop w:val="100"/>
          <w:marBottom w:val="0"/>
          <w:divBdr>
            <w:top w:val="none" w:sz="0" w:space="0" w:color="auto"/>
            <w:left w:val="none" w:sz="0" w:space="0" w:color="auto"/>
            <w:bottom w:val="none" w:sz="0" w:space="0" w:color="auto"/>
            <w:right w:val="none" w:sz="0" w:space="0" w:color="auto"/>
          </w:divBdr>
        </w:div>
        <w:div w:id="39211675">
          <w:marLeft w:val="1080"/>
          <w:marRight w:val="0"/>
          <w:marTop w:val="100"/>
          <w:marBottom w:val="0"/>
          <w:divBdr>
            <w:top w:val="none" w:sz="0" w:space="0" w:color="auto"/>
            <w:left w:val="none" w:sz="0" w:space="0" w:color="auto"/>
            <w:bottom w:val="none" w:sz="0" w:space="0" w:color="auto"/>
            <w:right w:val="none" w:sz="0" w:space="0" w:color="auto"/>
          </w:divBdr>
        </w:div>
        <w:div w:id="927544556">
          <w:marLeft w:val="1080"/>
          <w:marRight w:val="0"/>
          <w:marTop w:val="100"/>
          <w:marBottom w:val="0"/>
          <w:divBdr>
            <w:top w:val="none" w:sz="0" w:space="0" w:color="auto"/>
            <w:left w:val="none" w:sz="0" w:space="0" w:color="auto"/>
            <w:bottom w:val="none" w:sz="0" w:space="0" w:color="auto"/>
            <w:right w:val="none" w:sz="0" w:space="0" w:color="auto"/>
          </w:divBdr>
        </w:div>
        <w:div w:id="1466704882">
          <w:marLeft w:val="1080"/>
          <w:marRight w:val="0"/>
          <w:marTop w:val="100"/>
          <w:marBottom w:val="0"/>
          <w:divBdr>
            <w:top w:val="none" w:sz="0" w:space="0" w:color="auto"/>
            <w:left w:val="none" w:sz="0" w:space="0" w:color="auto"/>
            <w:bottom w:val="none" w:sz="0" w:space="0" w:color="auto"/>
            <w:right w:val="none" w:sz="0" w:space="0" w:color="auto"/>
          </w:divBdr>
        </w:div>
        <w:div w:id="1994138759">
          <w:marLeft w:val="1800"/>
          <w:marRight w:val="0"/>
          <w:marTop w:val="100"/>
          <w:marBottom w:val="0"/>
          <w:divBdr>
            <w:top w:val="none" w:sz="0" w:space="0" w:color="auto"/>
            <w:left w:val="none" w:sz="0" w:space="0" w:color="auto"/>
            <w:bottom w:val="none" w:sz="0" w:space="0" w:color="auto"/>
            <w:right w:val="none" w:sz="0" w:space="0" w:color="auto"/>
          </w:divBdr>
        </w:div>
        <w:div w:id="2008704013">
          <w:marLeft w:val="1080"/>
          <w:marRight w:val="0"/>
          <w:marTop w:val="100"/>
          <w:marBottom w:val="0"/>
          <w:divBdr>
            <w:top w:val="none" w:sz="0" w:space="0" w:color="auto"/>
            <w:left w:val="none" w:sz="0" w:space="0" w:color="auto"/>
            <w:bottom w:val="none" w:sz="0" w:space="0" w:color="auto"/>
            <w:right w:val="none" w:sz="0" w:space="0" w:color="auto"/>
          </w:divBdr>
        </w:div>
      </w:divsChild>
    </w:div>
    <w:div w:id="239023619">
      <w:bodyDiv w:val="1"/>
      <w:marLeft w:val="0"/>
      <w:marRight w:val="0"/>
      <w:marTop w:val="0"/>
      <w:marBottom w:val="0"/>
      <w:divBdr>
        <w:top w:val="none" w:sz="0" w:space="0" w:color="auto"/>
        <w:left w:val="none" w:sz="0" w:space="0" w:color="auto"/>
        <w:bottom w:val="none" w:sz="0" w:space="0" w:color="auto"/>
        <w:right w:val="none" w:sz="0" w:space="0" w:color="auto"/>
      </w:divBdr>
      <w:divsChild>
        <w:div w:id="371076958">
          <w:marLeft w:val="360"/>
          <w:marRight w:val="0"/>
          <w:marTop w:val="200"/>
          <w:marBottom w:val="0"/>
          <w:divBdr>
            <w:top w:val="none" w:sz="0" w:space="0" w:color="auto"/>
            <w:left w:val="none" w:sz="0" w:space="0" w:color="auto"/>
            <w:bottom w:val="none" w:sz="0" w:space="0" w:color="auto"/>
            <w:right w:val="none" w:sz="0" w:space="0" w:color="auto"/>
          </w:divBdr>
        </w:div>
        <w:div w:id="977228508">
          <w:marLeft w:val="1080"/>
          <w:marRight w:val="0"/>
          <w:marTop w:val="100"/>
          <w:marBottom w:val="0"/>
          <w:divBdr>
            <w:top w:val="none" w:sz="0" w:space="0" w:color="auto"/>
            <w:left w:val="none" w:sz="0" w:space="0" w:color="auto"/>
            <w:bottom w:val="none" w:sz="0" w:space="0" w:color="auto"/>
            <w:right w:val="none" w:sz="0" w:space="0" w:color="auto"/>
          </w:divBdr>
        </w:div>
        <w:div w:id="1718241379">
          <w:marLeft w:val="360"/>
          <w:marRight w:val="0"/>
          <w:marTop w:val="200"/>
          <w:marBottom w:val="0"/>
          <w:divBdr>
            <w:top w:val="none" w:sz="0" w:space="0" w:color="auto"/>
            <w:left w:val="none" w:sz="0" w:space="0" w:color="auto"/>
            <w:bottom w:val="none" w:sz="0" w:space="0" w:color="auto"/>
            <w:right w:val="none" w:sz="0" w:space="0" w:color="auto"/>
          </w:divBdr>
        </w:div>
      </w:divsChild>
    </w:div>
    <w:div w:id="254703530">
      <w:bodyDiv w:val="1"/>
      <w:marLeft w:val="0"/>
      <w:marRight w:val="0"/>
      <w:marTop w:val="0"/>
      <w:marBottom w:val="0"/>
      <w:divBdr>
        <w:top w:val="none" w:sz="0" w:space="0" w:color="auto"/>
        <w:left w:val="none" w:sz="0" w:space="0" w:color="auto"/>
        <w:bottom w:val="none" w:sz="0" w:space="0" w:color="auto"/>
        <w:right w:val="none" w:sz="0" w:space="0" w:color="auto"/>
      </w:divBdr>
      <w:divsChild>
        <w:div w:id="656766856">
          <w:marLeft w:val="446"/>
          <w:marRight w:val="0"/>
          <w:marTop w:val="0"/>
          <w:marBottom w:val="0"/>
          <w:divBdr>
            <w:top w:val="none" w:sz="0" w:space="0" w:color="auto"/>
            <w:left w:val="none" w:sz="0" w:space="0" w:color="auto"/>
            <w:bottom w:val="none" w:sz="0" w:space="0" w:color="auto"/>
            <w:right w:val="none" w:sz="0" w:space="0" w:color="auto"/>
          </w:divBdr>
        </w:div>
        <w:div w:id="1618103960">
          <w:marLeft w:val="446"/>
          <w:marRight w:val="0"/>
          <w:marTop w:val="0"/>
          <w:marBottom w:val="0"/>
          <w:divBdr>
            <w:top w:val="none" w:sz="0" w:space="0" w:color="auto"/>
            <w:left w:val="none" w:sz="0" w:space="0" w:color="auto"/>
            <w:bottom w:val="none" w:sz="0" w:space="0" w:color="auto"/>
            <w:right w:val="none" w:sz="0" w:space="0" w:color="auto"/>
          </w:divBdr>
        </w:div>
        <w:div w:id="1691688669">
          <w:marLeft w:val="446"/>
          <w:marRight w:val="0"/>
          <w:marTop w:val="0"/>
          <w:marBottom w:val="0"/>
          <w:divBdr>
            <w:top w:val="none" w:sz="0" w:space="0" w:color="auto"/>
            <w:left w:val="none" w:sz="0" w:space="0" w:color="auto"/>
            <w:bottom w:val="none" w:sz="0" w:space="0" w:color="auto"/>
            <w:right w:val="none" w:sz="0" w:space="0" w:color="auto"/>
          </w:divBdr>
        </w:div>
      </w:divsChild>
    </w:div>
    <w:div w:id="271472880">
      <w:bodyDiv w:val="1"/>
      <w:marLeft w:val="0"/>
      <w:marRight w:val="0"/>
      <w:marTop w:val="0"/>
      <w:marBottom w:val="0"/>
      <w:divBdr>
        <w:top w:val="none" w:sz="0" w:space="0" w:color="auto"/>
        <w:left w:val="none" w:sz="0" w:space="0" w:color="auto"/>
        <w:bottom w:val="none" w:sz="0" w:space="0" w:color="auto"/>
        <w:right w:val="none" w:sz="0" w:space="0" w:color="auto"/>
      </w:divBdr>
      <w:divsChild>
        <w:div w:id="348719695">
          <w:marLeft w:val="0"/>
          <w:marRight w:val="0"/>
          <w:marTop w:val="0"/>
          <w:marBottom w:val="0"/>
          <w:divBdr>
            <w:top w:val="none" w:sz="0" w:space="0" w:color="C4DEEE"/>
            <w:left w:val="none" w:sz="0" w:space="0" w:color="C4DEEE"/>
            <w:bottom w:val="none" w:sz="0" w:space="0" w:color="C4DEEE"/>
            <w:right w:val="none" w:sz="0" w:space="0" w:color="C4DEEE"/>
          </w:divBdr>
          <w:divsChild>
            <w:div w:id="84423257">
              <w:marLeft w:val="0"/>
              <w:marRight w:val="0"/>
              <w:marTop w:val="0"/>
              <w:marBottom w:val="0"/>
              <w:divBdr>
                <w:top w:val="none" w:sz="0" w:space="0" w:color="C4DEEE"/>
                <w:left w:val="none" w:sz="0" w:space="0" w:color="C4DEEE"/>
                <w:bottom w:val="none" w:sz="0" w:space="0" w:color="C4DEEE"/>
                <w:right w:val="none" w:sz="0" w:space="0" w:color="C4DEEE"/>
              </w:divBdr>
            </w:div>
          </w:divsChild>
        </w:div>
        <w:div w:id="1108113033">
          <w:marLeft w:val="0"/>
          <w:marRight w:val="0"/>
          <w:marTop w:val="0"/>
          <w:marBottom w:val="0"/>
          <w:divBdr>
            <w:top w:val="none" w:sz="0" w:space="0" w:color="C4DEEE"/>
            <w:left w:val="none" w:sz="0" w:space="0" w:color="C4DEEE"/>
            <w:bottom w:val="none" w:sz="0" w:space="0" w:color="C4DEEE"/>
            <w:right w:val="none" w:sz="0" w:space="0" w:color="C4DEEE"/>
          </w:divBdr>
          <w:divsChild>
            <w:div w:id="610623093">
              <w:marLeft w:val="0"/>
              <w:marRight w:val="0"/>
              <w:marTop w:val="0"/>
              <w:marBottom w:val="0"/>
              <w:divBdr>
                <w:top w:val="none" w:sz="0" w:space="0" w:color="C4DEEE"/>
                <w:left w:val="none" w:sz="0" w:space="0" w:color="C4DEEE"/>
                <w:bottom w:val="none" w:sz="0" w:space="0" w:color="C4DEEE"/>
                <w:right w:val="none" w:sz="0" w:space="0" w:color="C4DEEE"/>
              </w:divBdr>
            </w:div>
            <w:div w:id="775755498">
              <w:marLeft w:val="0"/>
              <w:marRight w:val="0"/>
              <w:marTop w:val="0"/>
              <w:marBottom w:val="0"/>
              <w:divBdr>
                <w:top w:val="none" w:sz="0" w:space="0" w:color="C4DEEE"/>
                <w:left w:val="none" w:sz="0" w:space="0" w:color="C4DEEE"/>
                <w:bottom w:val="none" w:sz="0" w:space="0" w:color="C4DEEE"/>
                <w:right w:val="none" w:sz="0" w:space="0" w:color="C4DEEE"/>
              </w:divBdr>
            </w:div>
          </w:divsChild>
        </w:div>
        <w:div w:id="1927496933">
          <w:marLeft w:val="0"/>
          <w:marRight w:val="0"/>
          <w:marTop w:val="0"/>
          <w:marBottom w:val="0"/>
          <w:divBdr>
            <w:top w:val="none" w:sz="0" w:space="2" w:color="C4DEEE"/>
            <w:left w:val="none" w:sz="0" w:space="15" w:color="C4DEEE"/>
            <w:bottom w:val="none" w:sz="0" w:space="2" w:color="C4DEEE"/>
            <w:right w:val="none" w:sz="0" w:space="2" w:color="C4DEEE"/>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3995319">
      <w:bodyDiv w:val="1"/>
      <w:marLeft w:val="0"/>
      <w:marRight w:val="0"/>
      <w:marTop w:val="0"/>
      <w:marBottom w:val="0"/>
      <w:divBdr>
        <w:top w:val="none" w:sz="0" w:space="0" w:color="auto"/>
        <w:left w:val="none" w:sz="0" w:space="0" w:color="auto"/>
        <w:bottom w:val="none" w:sz="0" w:space="0" w:color="auto"/>
        <w:right w:val="none" w:sz="0" w:space="0" w:color="auto"/>
      </w:divBdr>
    </w:div>
    <w:div w:id="464734908">
      <w:bodyDiv w:val="1"/>
      <w:marLeft w:val="0"/>
      <w:marRight w:val="0"/>
      <w:marTop w:val="0"/>
      <w:marBottom w:val="0"/>
      <w:divBdr>
        <w:top w:val="none" w:sz="0" w:space="0" w:color="auto"/>
        <w:left w:val="none" w:sz="0" w:space="0" w:color="auto"/>
        <w:bottom w:val="none" w:sz="0" w:space="0" w:color="auto"/>
        <w:right w:val="none" w:sz="0" w:space="0" w:color="auto"/>
      </w:divBdr>
      <w:divsChild>
        <w:div w:id="117334891">
          <w:marLeft w:val="446"/>
          <w:marRight w:val="0"/>
          <w:marTop w:val="120"/>
          <w:marBottom w:val="0"/>
          <w:divBdr>
            <w:top w:val="none" w:sz="0" w:space="0" w:color="auto"/>
            <w:left w:val="none" w:sz="0" w:space="0" w:color="auto"/>
            <w:bottom w:val="none" w:sz="0" w:space="0" w:color="auto"/>
            <w:right w:val="none" w:sz="0" w:space="0" w:color="auto"/>
          </w:divBdr>
        </w:div>
      </w:divsChild>
    </w:div>
    <w:div w:id="517353070">
      <w:bodyDiv w:val="1"/>
      <w:marLeft w:val="0"/>
      <w:marRight w:val="0"/>
      <w:marTop w:val="0"/>
      <w:marBottom w:val="0"/>
      <w:divBdr>
        <w:top w:val="none" w:sz="0" w:space="0" w:color="auto"/>
        <w:left w:val="none" w:sz="0" w:space="0" w:color="auto"/>
        <w:bottom w:val="none" w:sz="0" w:space="0" w:color="auto"/>
        <w:right w:val="none" w:sz="0" w:space="0" w:color="auto"/>
      </w:divBdr>
    </w:div>
    <w:div w:id="528492923">
      <w:bodyDiv w:val="1"/>
      <w:marLeft w:val="0"/>
      <w:marRight w:val="0"/>
      <w:marTop w:val="0"/>
      <w:marBottom w:val="0"/>
      <w:divBdr>
        <w:top w:val="none" w:sz="0" w:space="0" w:color="auto"/>
        <w:left w:val="none" w:sz="0" w:space="0" w:color="auto"/>
        <w:bottom w:val="none" w:sz="0" w:space="0" w:color="auto"/>
        <w:right w:val="none" w:sz="0" w:space="0" w:color="auto"/>
      </w:divBdr>
    </w:div>
    <w:div w:id="567426216">
      <w:bodyDiv w:val="1"/>
      <w:marLeft w:val="0"/>
      <w:marRight w:val="0"/>
      <w:marTop w:val="0"/>
      <w:marBottom w:val="0"/>
      <w:divBdr>
        <w:top w:val="none" w:sz="0" w:space="0" w:color="auto"/>
        <w:left w:val="none" w:sz="0" w:space="0" w:color="auto"/>
        <w:bottom w:val="none" w:sz="0" w:space="0" w:color="auto"/>
        <w:right w:val="none" w:sz="0" w:space="0" w:color="auto"/>
      </w:divBdr>
    </w:div>
    <w:div w:id="571278142">
      <w:bodyDiv w:val="1"/>
      <w:marLeft w:val="0"/>
      <w:marRight w:val="0"/>
      <w:marTop w:val="0"/>
      <w:marBottom w:val="0"/>
      <w:divBdr>
        <w:top w:val="none" w:sz="0" w:space="0" w:color="auto"/>
        <w:left w:val="none" w:sz="0" w:space="0" w:color="auto"/>
        <w:bottom w:val="none" w:sz="0" w:space="0" w:color="auto"/>
        <w:right w:val="none" w:sz="0" w:space="0" w:color="auto"/>
      </w:divBdr>
    </w:div>
    <w:div w:id="623774931">
      <w:bodyDiv w:val="1"/>
      <w:marLeft w:val="0"/>
      <w:marRight w:val="0"/>
      <w:marTop w:val="0"/>
      <w:marBottom w:val="0"/>
      <w:divBdr>
        <w:top w:val="none" w:sz="0" w:space="0" w:color="auto"/>
        <w:left w:val="none" w:sz="0" w:space="0" w:color="auto"/>
        <w:bottom w:val="none" w:sz="0" w:space="0" w:color="auto"/>
        <w:right w:val="none" w:sz="0" w:space="0" w:color="auto"/>
      </w:divBdr>
    </w:div>
    <w:div w:id="664748790">
      <w:bodyDiv w:val="1"/>
      <w:marLeft w:val="0"/>
      <w:marRight w:val="0"/>
      <w:marTop w:val="0"/>
      <w:marBottom w:val="0"/>
      <w:divBdr>
        <w:top w:val="none" w:sz="0" w:space="0" w:color="auto"/>
        <w:left w:val="none" w:sz="0" w:space="0" w:color="auto"/>
        <w:bottom w:val="none" w:sz="0" w:space="0" w:color="auto"/>
        <w:right w:val="none" w:sz="0" w:space="0" w:color="auto"/>
      </w:divBdr>
    </w:div>
    <w:div w:id="686836576">
      <w:bodyDiv w:val="1"/>
      <w:marLeft w:val="0"/>
      <w:marRight w:val="0"/>
      <w:marTop w:val="0"/>
      <w:marBottom w:val="0"/>
      <w:divBdr>
        <w:top w:val="none" w:sz="0" w:space="0" w:color="auto"/>
        <w:left w:val="none" w:sz="0" w:space="0" w:color="auto"/>
        <w:bottom w:val="none" w:sz="0" w:space="0" w:color="auto"/>
        <w:right w:val="none" w:sz="0" w:space="0" w:color="auto"/>
      </w:divBdr>
    </w:div>
    <w:div w:id="735325377">
      <w:bodyDiv w:val="1"/>
      <w:marLeft w:val="0"/>
      <w:marRight w:val="0"/>
      <w:marTop w:val="0"/>
      <w:marBottom w:val="0"/>
      <w:divBdr>
        <w:top w:val="none" w:sz="0" w:space="0" w:color="auto"/>
        <w:left w:val="none" w:sz="0" w:space="0" w:color="auto"/>
        <w:bottom w:val="none" w:sz="0" w:space="0" w:color="auto"/>
        <w:right w:val="none" w:sz="0" w:space="0" w:color="auto"/>
      </w:divBdr>
    </w:div>
    <w:div w:id="784739352">
      <w:bodyDiv w:val="1"/>
      <w:marLeft w:val="0"/>
      <w:marRight w:val="0"/>
      <w:marTop w:val="0"/>
      <w:marBottom w:val="0"/>
      <w:divBdr>
        <w:top w:val="none" w:sz="0" w:space="0" w:color="auto"/>
        <w:left w:val="none" w:sz="0" w:space="0" w:color="auto"/>
        <w:bottom w:val="none" w:sz="0" w:space="0" w:color="auto"/>
        <w:right w:val="none" w:sz="0" w:space="0" w:color="auto"/>
      </w:divBdr>
    </w:div>
    <w:div w:id="800614754">
      <w:bodyDiv w:val="1"/>
      <w:marLeft w:val="0"/>
      <w:marRight w:val="0"/>
      <w:marTop w:val="0"/>
      <w:marBottom w:val="0"/>
      <w:divBdr>
        <w:top w:val="none" w:sz="0" w:space="0" w:color="auto"/>
        <w:left w:val="none" w:sz="0" w:space="0" w:color="auto"/>
        <w:bottom w:val="none" w:sz="0" w:space="0" w:color="auto"/>
        <w:right w:val="none" w:sz="0" w:space="0" w:color="auto"/>
      </w:divBdr>
    </w:div>
    <w:div w:id="863010694">
      <w:bodyDiv w:val="1"/>
      <w:marLeft w:val="0"/>
      <w:marRight w:val="0"/>
      <w:marTop w:val="0"/>
      <w:marBottom w:val="0"/>
      <w:divBdr>
        <w:top w:val="none" w:sz="0" w:space="0" w:color="auto"/>
        <w:left w:val="none" w:sz="0" w:space="0" w:color="auto"/>
        <w:bottom w:val="none" w:sz="0" w:space="0" w:color="auto"/>
        <w:right w:val="none" w:sz="0" w:space="0" w:color="auto"/>
      </w:divBdr>
      <w:divsChild>
        <w:div w:id="34038677">
          <w:marLeft w:val="1166"/>
          <w:marRight w:val="0"/>
          <w:marTop w:val="0"/>
          <w:marBottom w:val="0"/>
          <w:divBdr>
            <w:top w:val="none" w:sz="0" w:space="0" w:color="auto"/>
            <w:left w:val="none" w:sz="0" w:space="0" w:color="auto"/>
            <w:bottom w:val="none" w:sz="0" w:space="0" w:color="auto"/>
            <w:right w:val="none" w:sz="0" w:space="0" w:color="auto"/>
          </w:divBdr>
        </w:div>
        <w:div w:id="1075862068">
          <w:marLeft w:val="1166"/>
          <w:marRight w:val="0"/>
          <w:marTop w:val="0"/>
          <w:marBottom w:val="0"/>
          <w:divBdr>
            <w:top w:val="none" w:sz="0" w:space="0" w:color="auto"/>
            <w:left w:val="none" w:sz="0" w:space="0" w:color="auto"/>
            <w:bottom w:val="none" w:sz="0" w:space="0" w:color="auto"/>
            <w:right w:val="none" w:sz="0" w:space="0" w:color="auto"/>
          </w:divBdr>
        </w:div>
        <w:div w:id="1220946444">
          <w:marLeft w:val="547"/>
          <w:marRight w:val="0"/>
          <w:marTop w:val="0"/>
          <w:marBottom w:val="0"/>
          <w:divBdr>
            <w:top w:val="none" w:sz="0" w:space="0" w:color="auto"/>
            <w:left w:val="none" w:sz="0" w:space="0" w:color="auto"/>
            <w:bottom w:val="none" w:sz="0" w:space="0" w:color="auto"/>
            <w:right w:val="none" w:sz="0" w:space="0" w:color="auto"/>
          </w:divBdr>
        </w:div>
        <w:div w:id="1376463849">
          <w:marLeft w:val="446"/>
          <w:marRight w:val="0"/>
          <w:marTop w:val="0"/>
          <w:marBottom w:val="0"/>
          <w:divBdr>
            <w:top w:val="none" w:sz="0" w:space="0" w:color="auto"/>
            <w:left w:val="none" w:sz="0" w:space="0" w:color="auto"/>
            <w:bottom w:val="none" w:sz="0" w:space="0" w:color="auto"/>
            <w:right w:val="none" w:sz="0" w:space="0" w:color="auto"/>
          </w:divBdr>
        </w:div>
        <w:div w:id="1573731817">
          <w:marLeft w:val="1166"/>
          <w:marRight w:val="0"/>
          <w:marTop w:val="0"/>
          <w:marBottom w:val="0"/>
          <w:divBdr>
            <w:top w:val="none" w:sz="0" w:space="0" w:color="auto"/>
            <w:left w:val="none" w:sz="0" w:space="0" w:color="auto"/>
            <w:bottom w:val="none" w:sz="0" w:space="0" w:color="auto"/>
            <w:right w:val="none" w:sz="0" w:space="0" w:color="auto"/>
          </w:divBdr>
        </w:div>
        <w:div w:id="1896772100">
          <w:marLeft w:val="1166"/>
          <w:marRight w:val="0"/>
          <w:marTop w:val="0"/>
          <w:marBottom w:val="0"/>
          <w:divBdr>
            <w:top w:val="none" w:sz="0" w:space="0" w:color="auto"/>
            <w:left w:val="none" w:sz="0" w:space="0" w:color="auto"/>
            <w:bottom w:val="none" w:sz="0" w:space="0" w:color="auto"/>
            <w:right w:val="none" w:sz="0" w:space="0" w:color="auto"/>
          </w:divBdr>
        </w:div>
      </w:divsChild>
    </w:div>
    <w:div w:id="866598712">
      <w:bodyDiv w:val="1"/>
      <w:marLeft w:val="0"/>
      <w:marRight w:val="0"/>
      <w:marTop w:val="0"/>
      <w:marBottom w:val="0"/>
      <w:divBdr>
        <w:top w:val="none" w:sz="0" w:space="0" w:color="auto"/>
        <w:left w:val="none" w:sz="0" w:space="0" w:color="auto"/>
        <w:bottom w:val="none" w:sz="0" w:space="0" w:color="auto"/>
        <w:right w:val="none" w:sz="0" w:space="0" w:color="auto"/>
      </w:divBdr>
      <w:divsChild>
        <w:div w:id="322512022">
          <w:marLeft w:val="446"/>
          <w:marRight w:val="0"/>
          <w:marTop w:val="120"/>
          <w:marBottom w:val="0"/>
          <w:divBdr>
            <w:top w:val="none" w:sz="0" w:space="0" w:color="auto"/>
            <w:left w:val="none" w:sz="0" w:space="0" w:color="auto"/>
            <w:bottom w:val="none" w:sz="0" w:space="0" w:color="auto"/>
            <w:right w:val="none" w:sz="0" w:space="0" w:color="auto"/>
          </w:divBdr>
        </w:div>
        <w:div w:id="1949585272">
          <w:marLeft w:val="446"/>
          <w:marRight w:val="0"/>
          <w:marTop w:val="120"/>
          <w:marBottom w:val="0"/>
          <w:divBdr>
            <w:top w:val="none" w:sz="0" w:space="0" w:color="auto"/>
            <w:left w:val="none" w:sz="0" w:space="0" w:color="auto"/>
            <w:bottom w:val="none" w:sz="0" w:space="0" w:color="auto"/>
            <w:right w:val="none" w:sz="0" w:space="0" w:color="auto"/>
          </w:divBdr>
        </w:div>
      </w:divsChild>
    </w:div>
    <w:div w:id="890187738">
      <w:bodyDiv w:val="1"/>
      <w:marLeft w:val="0"/>
      <w:marRight w:val="0"/>
      <w:marTop w:val="0"/>
      <w:marBottom w:val="0"/>
      <w:divBdr>
        <w:top w:val="none" w:sz="0" w:space="0" w:color="auto"/>
        <w:left w:val="none" w:sz="0" w:space="0" w:color="auto"/>
        <w:bottom w:val="none" w:sz="0" w:space="0" w:color="auto"/>
        <w:right w:val="none" w:sz="0" w:space="0" w:color="auto"/>
      </w:divBdr>
      <w:divsChild>
        <w:div w:id="393822557">
          <w:marLeft w:val="446"/>
          <w:marRight w:val="0"/>
          <w:marTop w:val="120"/>
          <w:marBottom w:val="0"/>
          <w:divBdr>
            <w:top w:val="none" w:sz="0" w:space="0" w:color="auto"/>
            <w:left w:val="none" w:sz="0" w:space="0" w:color="auto"/>
            <w:bottom w:val="none" w:sz="0" w:space="0" w:color="auto"/>
            <w:right w:val="none" w:sz="0" w:space="0" w:color="auto"/>
          </w:divBdr>
        </w:div>
      </w:divsChild>
    </w:div>
    <w:div w:id="965507469">
      <w:bodyDiv w:val="1"/>
      <w:marLeft w:val="0"/>
      <w:marRight w:val="0"/>
      <w:marTop w:val="0"/>
      <w:marBottom w:val="0"/>
      <w:divBdr>
        <w:top w:val="none" w:sz="0" w:space="0" w:color="auto"/>
        <w:left w:val="none" w:sz="0" w:space="0" w:color="auto"/>
        <w:bottom w:val="none" w:sz="0" w:space="0" w:color="auto"/>
        <w:right w:val="none" w:sz="0" w:space="0" w:color="auto"/>
      </w:divBdr>
    </w:div>
    <w:div w:id="1050958490">
      <w:bodyDiv w:val="1"/>
      <w:marLeft w:val="0"/>
      <w:marRight w:val="0"/>
      <w:marTop w:val="0"/>
      <w:marBottom w:val="0"/>
      <w:divBdr>
        <w:top w:val="none" w:sz="0" w:space="0" w:color="auto"/>
        <w:left w:val="none" w:sz="0" w:space="0" w:color="auto"/>
        <w:bottom w:val="none" w:sz="0" w:space="0" w:color="auto"/>
        <w:right w:val="none" w:sz="0" w:space="0" w:color="auto"/>
      </w:divBdr>
      <w:divsChild>
        <w:div w:id="1803961164">
          <w:marLeft w:val="562"/>
          <w:marRight w:val="0"/>
          <w:marTop w:val="240"/>
          <w:marBottom w:val="0"/>
          <w:divBdr>
            <w:top w:val="none" w:sz="0" w:space="0" w:color="auto"/>
            <w:left w:val="none" w:sz="0" w:space="0" w:color="auto"/>
            <w:bottom w:val="none" w:sz="0" w:space="0" w:color="auto"/>
            <w:right w:val="none" w:sz="0" w:space="0" w:color="auto"/>
          </w:divBdr>
        </w:div>
        <w:div w:id="2138603044">
          <w:marLeft w:val="562"/>
          <w:marRight w:val="0"/>
          <w:marTop w:val="240"/>
          <w:marBottom w:val="0"/>
          <w:divBdr>
            <w:top w:val="none" w:sz="0" w:space="0" w:color="auto"/>
            <w:left w:val="none" w:sz="0" w:space="0" w:color="auto"/>
            <w:bottom w:val="none" w:sz="0" w:space="0" w:color="auto"/>
            <w:right w:val="none" w:sz="0" w:space="0" w:color="auto"/>
          </w:divBdr>
        </w:div>
        <w:div w:id="2142989595">
          <w:marLeft w:val="562"/>
          <w:marRight w:val="0"/>
          <w:marTop w:val="240"/>
          <w:marBottom w:val="0"/>
          <w:divBdr>
            <w:top w:val="none" w:sz="0" w:space="0" w:color="auto"/>
            <w:left w:val="none" w:sz="0" w:space="0" w:color="auto"/>
            <w:bottom w:val="none" w:sz="0" w:space="0" w:color="auto"/>
            <w:right w:val="none" w:sz="0" w:space="0" w:color="auto"/>
          </w:divBdr>
        </w:div>
      </w:divsChild>
    </w:div>
    <w:div w:id="1072432756">
      <w:bodyDiv w:val="1"/>
      <w:marLeft w:val="0"/>
      <w:marRight w:val="0"/>
      <w:marTop w:val="0"/>
      <w:marBottom w:val="0"/>
      <w:divBdr>
        <w:top w:val="none" w:sz="0" w:space="0" w:color="auto"/>
        <w:left w:val="none" w:sz="0" w:space="0" w:color="auto"/>
        <w:bottom w:val="none" w:sz="0" w:space="0" w:color="auto"/>
        <w:right w:val="none" w:sz="0" w:space="0" w:color="auto"/>
      </w:divBdr>
    </w:div>
    <w:div w:id="1082219910">
      <w:bodyDiv w:val="1"/>
      <w:marLeft w:val="0"/>
      <w:marRight w:val="0"/>
      <w:marTop w:val="0"/>
      <w:marBottom w:val="0"/>
      <w:divBdr>
        <w:top w:val="none" w:sz="0" w:space="0" w:color="auto"/>
        <w:left w:val="none" w:sz="0" w:space="0" w:color="auto"/>
        <w:bottom w:val="none" w:sz="0" w:space="0" w:color="auto"/>
        <w:right w:val="none" w:sz="0" w:space="0" w:color="auto"/>
      </w:divBdr>
    </w:div>
    <w:div w:id="113510109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5776">
      <w:bodyDiv w:val="1"/>
      <w:marLeft w:val="0"/>
      <w:marRight w:val="0"/>
      <w:marTop w:val="0"/>
      <w:marBottom w:val="0"/>
      <w:divBdr>
        <w:top w:val="none" w:sz="0" w:space="0" w:color="auto"/>
        <w:left w:val="none" w:sz="0" w:space="0" w:color="auto"/>
        <w:bottom w:val="none" w:sz="0" w:space="0" w:color="auto"/>
        <w:right w:val="none" w:sz="0" w:space="0" w:color="auto"/>
      </w:divBdr>
    </w:div>
    <w:div w:id="1193885561">
      <w:bodyDiv w:val="1"/>
      <w:marLeft w:val="0"/>
      <w:marRight w:val="0"/>
      <w:marTop w:val="0"/>
      <w:marBottom w:val="0"/>
      <w:divBdr>
        <w:top w:val="none" w:sz="0" w:space="0" w:color="auto"/>
        <w:left w:val="none" w:sz="0" w:space="0" w:color="auto"/>
        <w:bottom w:val="none" w:sz="0" w:space="0" w:color="auto"/>
        <w:right w:val="none" w:sz="0" w:space="0" w:color="auto"/>
      </w:divBdr>
    </w:div>
    <w:div w:id="1199004960">
      <w:bodyDiv w:val="1"/>
      <w:marLeft w:val="0"/>
      <w:marRight w:val="0"/>
      <w:marTop w:val="0"/>
      <w:marBottom w:val="0"/>
      <w:divBdr>
        <w:top w:val="none" w:sz="0" w:space="0" w:color="auto"/>
        <w:left w:val="none" w:sz="0" w:space="0" w:color="auto"/>
        <w:bottom w:val="none" w:sz="0" w:space="0" w:color="auto"/>
        <w:right w:val="none" w:sz="0" w:space="0" w:color="auto"/>
      </w:divBdr>
    </w:div>
    <w:div w:id="1249996255">
      <w:bodyDiv w:val="1"/>
      <w:marLeft w:val="0"/>
      <w:marRight w:val="0"/>
      <w:marTop w:val="0"/>
      <w:marBottom w:val="0"/>
      <w:divBdr>
        <w:top w:val="none" w:sz="0" w:space="0" w:color="auto"/>
        <w:left w:val="none" w:sz="0" w:space="0" w:color="auto"/>
        <w:bottom w:val="none" w:sz="0" w:space="0" w:color="auto"/>
        <w:right w:val="none" w:sz="0" w:space="0" w:color="auto"/>
      </w:divBdr>
      <w:divsChild>
        <w:div w:id="1096250081">
          <w:marLeft w:val="446"/>
          <w:marRight w:val="0"/>
          <w:marTop w:val="0"/>
          <w:marBottom w:val="0"/>
          <w:divBdr>
            <w:top w:val="none" w:sz="0" w:space="0" w:color="auto"/>
            <w:left w:val="none" w:sz="0" w:space="0" w:color="auto"/>
            <w:bottom w:val="none" w:sz="0" w:space="0" w:color="auto"/>
            <w:right w:val="none" w:sz="0" w:space="0" w:color="auto"/>
          </w:divBdr>
        </w:div>
      </w:divsChild>
    </w:div>
    <w:div w:id="1261530308">
      <w:bodyDiv w:val="1"/>
      <w:marLeft w:val="0"/>
      <w:marRight w:val="0"/>
      <w:marTop w:val="0"/>
      <w:marBottom w:val="0"/>
      <w:divBdr>
        <w:top w:val="none" w:sz="0" w:space="0" w:color="auto"/>
        <w:left w:val="none" w:sz="0" w:space="0" w:color="auto"/>
        <w:bottom w:val="none" w:sz="0" w:space="0" w:color="auto"/>
        <w:right w:val="none" w:sz="0" w:space="0" w:color="auto"/>
      </w:divBdr>
    </w:div>
    <w:div w:id="1276712006">
      <w:bodyDiv w:val="1"/>
      <w:marLeft w:val="0"/>
      <w:marRight w:val="0"/>
      <w:marTop w:val="0"/>
      <w:marBottom w:val="0"/>
      <w:divBdr>
        <w:top w:val="none" w:sz="0" w:space="0" w:color="auto"/>
        <w:left w:val="none" w:sz="0" w:space="0" w:color="auto"/>
        <w:bottom w:val="none" w:sz="0" w:space="0" w:color="auto"/>
        <w:right w:val="none" w:sz="0" w:space="0" w:color="auto"/>
      </w:divBdr>
    </w:div>
    <w:div w:id="1331323606">
      <w:bodyDiv w:val="1"/>
      <w:marLeft w:val="0"/>
      <w:marRight w:val="0"/>
      <w:marTop w:val="0"/>
      <w:marBottom w:val="0"/>
      <w:divBdr>
        <w:top w:val="none" w:sz="0" w:space="0" w:color="auto"/>
        <w:left w:val="none" w:sz="0" w:space="0" w:color="auto"/>
        <w:bottom w:val="none" w:sz="0" w:space="0" w:color="auto"/>
        <w:right w:val="none" w:sz="0" w:space="0" w:color="auto"/>
      </w:divBdr>
      <w:divsChild>
        <w:div w:id="631832885">
          <w:marLeft w:val="1080"/>
          <w:marRight w:val="0"/>
          <w:marTop w:val="100"/>
          <w:marBottom w:val="0"/>
          <w:divBdr>
            <w:top w:val="none" w:sz="0" w:space="0" w:color="auto"/>
            <w:left w:val="none" w:sz="0" w:space="0" w:color="auto"/>
            <w:bottom w:val="none" w:sz="0" w:space="0" w:color="auto"/>
            <w:right w:val="none" w:sz="0" w:space="0" w:color="auto"/>
          </w:divBdr>
        </w:div>
      </w:divsChild>
    </w:div>
    <w:div w:id="1376809750">
      <w:bodyDiv w:val="1"/>
      <w:marLeft w:val="0"/>
      <w:marRight w:val="0"/>
      <w:marTop w:val="0"/>
      <w:marBottom w:val="0"/>
      <w:divBdr>
        <w:top w:val="none" w:sz="0" w:space="0" w:color="auto"/>
        <w:left w:val="none" w:sz="0" w:space="0" w:color="auto"/>
        <w:bottom w:val="none" w:sz="0" w:space="0" w:color="auto"/>
        <w:right w:val="none" w:sz="0" w:space="0" w:color="auto"/>
      </w:divBdr>
    </w:div>
    <w:div w:id="1387946447">
      <w:bodyDiv w:val="1"/>
      <w:marLeft w:val="0"/>
      <w:marRight w:val="0"/>
      <w:marTop w:val="0"/>
      <w:marBottom w:val="0"/>
      <w:divBdr>
        <w:top w:val="none" w:sz="0" w:space="0" w:color="auto"/>
        <w:left w:val="none" w:sz="0" w:space="0" w:color="auto"/>
        <w:bottom w:val="none" w:sz="0" w:space="0" w:color="auto"/>
        <w:right w:val="none" w:sz="0" w:space="0" w:color="auto"/>
      </w:divBdr>
    </w:div>
    <w:div w:id="1450050431">
      <w:bodyDiv w:val="1"/>
      <w:marLeft w:val="0"/>
      <w:marRight w:val="0"/>
      <w:marTop w:val="0"/>
      <w:marBottom w:val="0"/>
      <w:divBdr>
        <w:top w:val="none" w:sz="0" w:space="0" w:color="auto"/>
        <w:left w:val="none" w:sz="0" w:space="0" w:color="auto"/>
        <w:bottom w:val="none" w:sz="0" w:space="0" w:color="auto"/>
        <w:right w:val="none" w:sz="0" w:space="0" w:color="auto"/>
      </w:divBdr>
      <w:divsChild>
        <w:div w:id="703676886">
          <w:marLeft w:val="288"/>
          <w:marRight w:val="0"/>
          <w:marTop w:val="120"/>
          <w:marBottom w:val="0"/>
          <w:divBdr>
            <w:top w:val="none" w:sz="0" w:space="0" w:color="auto"/>
            <w:left w:val="none" w:sz="0" w:space="0" w:color="auto"/>
            <w:bottom w:val="none" w:sz="0" w:space="0" w:color="auto"/>
            <w:right w:val="none" w:sz="0" w:space="0" w:color="auto"/>
          </w:divBdr>
        </w:div>
        <w:div w:id="760029150">
          <w:marLeft w:val="288"/>
          <w:marRight w:val="0"/>
          <w:marTop w:val="120"/>
          <w:marBottom w:val="0"/>
          <w:divBdr>
            <w:top w:val="none" w:sz="0" w:space="0" w:color="auto"/>
            <w:left w:val="none" w:sz="0" w:space="0" w:color="auto"/>
            <w:bottom w:val="none" w:sz="0" w:space="0" w:color="auto"/>
            <w:right w:val="none" w:sz="0" w:space="0" w:color="auto"/>
          </w:divBdr>
        </w:div>
        <w:div w:id="841285680">
          <w:marLeft w:val="288"/>
          <w:marRight w:val="0"/>
          <w:marTop w:val="120"/>
          <w:marBottom w:val="0"/>
          <w:divBdr>
            <w:top w:val="none" w:sz="0" w:space="0" w:color="auto"/>
            <w:left w:val="none" w:sz="0" w:space="0" w:color="auto"/>
            <w:bottom w:val="none" w:sz="0" w:space="0" w:color="auto"/>
            <w:right w:val="none" w:sz="0" w:space="0" w:color="auto"/>
          </w:divBdr>
        </w:div>
        <w:div w:id="1445881101">
          <w:marLeft w:val="288"/>
          <w:marRight w:val="0"/>
          <w:marTop w:val="120"/>
          <w:marBottom w:val="0"/>
          <w:divBdr>
            <w:top w:val="none" w:sz="0" w:space="0" w:color="auto"/>
            <w:left w:val="none" w:sz="0" w:space="0" w:color="auto"/>
            <w:bottom w:val="none" w:sz="0" w:space="0" w:color="auto"/>
            <w:right w:val="none" w:sz="0" w:space="0" w:color="auto"/>
          </w:divBdr>
        </w:div>
        <w:div w:id="1477458255">
          <w:marLeft w:val="288"/>
          <w:marRight w:val="0"/>
          <w:marTop w:val="120"/>
          <w:marBottom w:val="0"/>
          <w:divBdr>
            <w:top w:val="none" w:sz="0" w:space="0" w:color="auto"/>
            <w:left w:val="none" w:sz="0" w:space="0" w:color="auto"/>
            <w:bottom w:val="none" w:sz="0" w:space="0" w:color="auto"/>
            <w:right w:val="none" w:sz="0" w:space="0" w:color="auto"/>
          </w:divBdr>
        </w:div>
        <w:div w:id="1614168473">
          <w:marLeft w:val="288"/>
          <w:marRight w:val="0"/>
          <w:marTop w:val="120"/>
          <w:marBottom w:val="0"/>
          <w:divBdr>
            <w:top w:val="none" w:sz="0" w:space="0" w:color="auto"/>
            <w:left w:val="none" w:sz="0" w:space="0" w:color="auto"/>
            <w:bottom w:val="none" w:sz="0" w:space="0" w:color="auto"/>
            <w:right w:val="none" w:sz="0" w:space="0" w:color="auto"/>
          </w:divBdr>
        </w:div>
      </w:divsChild>
    </w:div>
    <w:div w:id="1544753269">
      <w:bodyDiv w:val="1"/>
      <w:marLeft w:val="0"/>
      <w:marRight w:val="0"/>
      <w:marTop w:val="0"/>
      <w:marBottom w:val="0"/>
      <w:divBdr>
        <w:top w:val="none" w:sz="0" w:space="0" w:color="auto"/>
        <w:left w:val="none" w:sz="0" w:space="0" w:color="auto"/>
        <w:bottom w:val="none" w:sz="0" w:space="0" w:color="auto"/>
        <w:right w:val="none" w:sz="0" w:space="0" w:color="auto"/>
      </w:divBdr>
    </w:div>
    <w:div w:id="1677683009">
      <w:bodyDiv w:val="1"/>
      <w:marLeft w:val="0"/>
      <w:marRight w:val="0"/>
      <w:marTop w:val="0"/>
      <w:marBottom w:val="0"/>
      <w:divBdr>
        <w:top w:val="none" w:sz="0" w:space="0" w:color="auto"/>
        <w:left w:val="none" w:sz="0" w:space="0" w:color="auto"/>
        <w:bottom w:val="none" w:sz="0" w:space="0" w:color="auto"/>
        <w:right w:val="none" w:sz="0" w:space="0" w:color="auto"/>
      </w:divBdr>
    </w:div>
    <w:div w:id="1677876056">
      <w:bodyDiv w:val="1"/>
      <w:marLeft w:val="0"/>
      <w:marRight w:val="0"/>
      <w:marTop w:val="0"/>
      <w:marBottom w:val="0"/>
      <w:divBdr>
        <w:top w:val="none" w:sz="0" w:space="0" w:color="auto"/>
        <w:left w:val="none" w:sz="0" w:space="0" w:color="auto"/>
        <w:bottom w:val="none" w:sz="0" w:space="0" w:color="auto"/>
        <w:right w:val="none" w:sz="0" w:space="0" w:color="auto"/>
      </w:divBdr>
    </w:div>
    <w:div w:id="1717588201">
      <w:bodyDiv w:val="1"/>
      <w:marLeft w:val="0"/>
      <w:marRight w:val="0"/>
      <w:marTop w:val="0"/>
      <w:marBottom w:val="0"/>
      <w:divBdr>
        <w:top w:val="none" w:sz="0" w:space="0" w:color="auto"/>
        <w:left w:val="none" w:sz="0" w:space="0" w:color="auto"/>
        <w:bottom w:val="none" w:sz="0" w:space="0" w:color="auto"/>
        <w:right w:val="none" w:sz="0" w:space="0" w:color="auto"/>
      </w:divBdr>
    </w:div>
    <w:div w:id="1762336084">
      <w:bodyDiv w:val="1"/>
      <w:marLeft w:val="0"/>
      <w:marRight w:val="0"/>
      <w:marTop w:val="0"/>
      <w:marBottom w:val="0"/>
      <w:divBdr>
        <w:top w:val="none" w:sz="0" w:space="0" w:color="auto"/>
        <w:left w:val="none" w:sz="0" w:space="0" w:color="auto"/>
        <w:bottom w:val="none" w:sz="0" w:space="0" w:color="auto"/>
        <w:right w:val="none" w:sz="0" w:space="0" w:color="auto"/>
      </w:divBdr>
    </w:div>
    <w:div w:id="1786079843">
      <w:bodyDiv w:val="1"/>
      <w:marLeft w:val="0"/>
      <w:marRight w:val="0"/>
      <w:marTop w:val="0"/>
      <w:marBottom w:val="0"/>
      <w:divBdr>
        <w:top w:val="none" w:sz="0" w:space="0" w:color="auto"/>
        <w:left w:val="none" w:sz="0" w:space="0" w:color="auto"/>
        <w:bottom w:val="none" w:sz="0" w:space="0" w:color="auto"/>
        <w:right w:val="none" w:sz="0" w:space="0" w:color="auto"/>
      </w:divBdr>
    </w:div>
    <w:div w:id="1797794496">
      <w:bodyDiv w:val="1"/>
      <w:marLeft w:val="0"/>
      <w:marRight w:val="0"/>
      <w:marTop w:val="0"/>
      <w:marBottom w:val="0"/>
      <w:divBdr>
        <w:top w:val="none" w:sz="0" w:space="0" w:color="auto"/>
        <w:left w:val="none" w:sz="0" w:space="0" w:color="auto"/>
        <w:bottom w:val="none" w:sz="0" w:space="0" w:color="auto"/>
        <w:right w:val="none" w:sz="0" w:space="0" w:color="auto"/>
      </w:divBdr>
    </w:div>
    <w:div w:id="1848322893">
      <w:bodyDiv w:val="1"/>
      <w:marLeft w:val="0"/>
      <w:marRight w:val="0"/>
      <w:marTop w:val="0"/>
      <w:marBottom w:val="0"/>
      <w:divBdr>
        <w:top w:val="none" w:sz="0" w:space="0" w:color="auto"/>
        <w:left w:val="none" w:sz="0" w:space="0" w:color="auto"/>
        <w:bottom w:val="none" w:sz="0" w:space="0" w:color="auto"/>
        <w:right w:val="none" w:sz="0" w:space="0" w:color="auto"/>
      </w:divBdr>
      <w:divsChild>
        <w:div w:id="1281691084">
          <w:marLeft w:val="446"/>
          <w:marRight w:val="0"/>
          <w:marTop w:val="0"/>
          <w:marBottom w:val="0"/>
          <w:divBdr>
            <w:top w:val="none" w:sz="0" w:space="0" w:color="auto"/>
            <w:left w:val="none" w:sz="0" w:space="0" w:color="auto"/>
            <w:bottom w:val="none" w:sz="0" w:space="0" w:color="auto"/>
            <w:right w:val="none" w:sz="0" w:space="0" w:color="auto"/>
          </w:divBdr>
        </w:div>
        <w:div w:id="1591618846">
          <w:marLeft w:val="446"/>
          <w:marRight w:val="0"/>
          <w:marTop w:val="0"/>
          <w:marBottom w:val="0"/>
          <w:divBdr>
            <w:top w:val="none" w:sz="0" w:space="0" w:color="auto"/>
            <w:left w:val="none" w:sz="0" w:space="0" w:color="auto"/>
            <w:bottom w:val="none" w:sz="0" w:space="0" w:color="auto"/>
            <w:right w:val="none" w:sz="0" w:space="0" w:color="auto"/>
          </w:divBdr>
        </w:div>
        <w:div w:id="1948730935">
          <w:marLeft w:val="446"/>
          <w:marRight w:val="0"/>
          <w:marTop w:val="0"/>
          <w:marBottom w:val="0"/>
          <w:divBdr>
            <w:top w:val="none" w:sz="0" w:space="0" w:color="auto"/>
            <w:left w:val="none" w:sz="0" w:space="0" w:color="auto"/>
            <w:bottom w:val="none" w:sz="0" w:space="0" w:color="auto"/>
            <w:right w:val="none" w:sz="0" w:space="0" w:color="auto"/>
          </w:divBdr>
        </w:div>
      </w:divsChild>
    </w:div>
    <w:div w:id="1863010162">
      <w:bodyDiv w:val="1"/>
      <w:marLeft w:val="0"/>
      <w:marRight w:val="0"/>
      <w:marTop w:val="0"/>
      <w:marBottom w:val="0"/>
      <w:divBdr>
        <w:top w:val="none" w:sz="0" w:space="0" w:color="auto"/>
        <w:left w:val="none" w:sz="0" w:space="0" w:color="auto"/>
        <w:bottom w:val="none" w:sz="0" w:space="0" w:color="auto"/>
        <w:right w:val="none" w:sz="0" w:space="0" w:color="auto"/>
      </w:divBdr>
    </w:div>
    <w:div w:id="1934169192">
      <w:bodyDiv w:val="1"/>
      <w:marLeft w:val="0"/>
      <w:marRight w:val="0"/>
      <w:marTop w:val="0"/>
      <w:marBottom w:val="0"/>
      <w:divBdr>
        <w:top w:val="none" w:sz="0" w:space="0" w:color="auto"/>
        <w:left w:val="none" w:sz="0" w:space="0" w:color="auto"/>
        <w:bottom w:val="none" w:sz="0" w:space="0" w:color="auto"/>
        <w:right w:val="none" w:sz="0" w:space="0" w:color="auto"/>
      </w:divBdr>
    </w:div>
    <w:div w:id="1951474693">
      <w:bodyDiv w:val="1"/>
      <w:marLeft w:val="0"/>
      <w:marRight w:val="0"/>
      <w:marTop w:val="0"/>
      <w:marBottom w:val="0"/>
      <w:divBdr>
        <w:top w:val="none" w:sz="0" w:space="0" w:color="auto"/>
        <w:left w:val="none" w:sz="0" w:space="0" w:color="auto"/>
        <w:bottom w:val="none" w:sz="0" w:space="0" w:color="auto"/>
        <w:right w:val="none" w:sz="0" w:space="0" w:color="auto"/>
      </w:divBdr>
      <w:divsChild>
        <w:div w:id="249238696">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6616512">
      <w:bodyDiv w:val="1"/>
      <w:marLeft w:val="0"/>
      <w:marRight w:val="0"/>
      <w:marTop w:val="0"/>
      <w:marBottom w:val="0"/>
      <w:divBdr>
        <w:top w:val="none" w:sz="0" w:space="0" w:color="auto"/>
        <w:left w:val="none" w:sz="0" w:space="0" w:color="auto"/>
        <w:bottom w:val="none" w:sz="0" w:space="0" w:color="auto"/>
        <w:right w:val="none" w:sz="0" w:space="0" w:color="auto"/>
      </w:divBdr>
    </w:div>
    <w:div w:id="205654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smo.org/guidelines/breast-cancer/consensus-recommendations-advanced-breast-cancer-abc-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Tec201</b:Tag>
    <b:SourceType>JournalArticle</b:SourceType>
    <b:Guid>{123A553A-EC92-45B5-B142-E4B0CF7F93E9}</b:Guid>
    <b:Year>March 2020</b:Year>
    <b:Month>March</b:Month>
    <b:Author>
      <b:Author>
        <b:Corporate>Tecentriq PSD</b:Corporate>
      </b:Author>
    </b:Author>
    <b:RefOrder>79</b:RefOrder>
  </b:Source>
  <b:Source>
    <b:Tag>Mal20</b:Tag>
    <b:SourceType>JournalArticle</b:SourceType>
    <b:Guid>{6DB84788-4B66-437E-8AF0-0EA7CFDD403C}</b:Guid>
    <b:Title>The evolving management of metastatic triple negative breast cancer</b:Title>
    <b:JournalName>Seminars in Oncology</b:JournalName>
    <b:Year>2020</b:Year>
    <b:Pages>229-37</b:Pages>
    <b:Volume>47</b:Volume>
    <b:Author>
      <b:Author>
        <b:NameList>
          <b:Person>
            <b:Last>Malhotra</b:Last>
            <b:First>MK</b:First>
          </b:Person>
          <b:Person>
            <b:Last>Emens</b:Last>
            <b:First>LA</b:First>
          </b:Person>
        </b:NameList>
      </b:Author>
    </b:Author>
    <b:RefOrder>87</b:RefOrder>
  </b:Source>
</b:Sources>
</file>

<file path=customXml/itemProps1.xml><?xml version="1.0" encoding="utf-8"?>
<ds:datastoreItem xmlns:ds="http://schemas.openxmlformats.org/officeDocument/2006/customXml" ds:itemID="{EEF312B1-2F87-46CE-83B6-D790D133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18488</Words>
  <Characters>101073</Characters>
  <Application>Microsoft Office Word</Application>
  <DocSecurity>0</DocSecurity>
  <Lines>842</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2022-06-07T06:30:00Z</dcterms:created>
  <dcterms:modified xsi:type="dcterms:W3CDTF">2022-06-24T03:28:00Z</dcterms:modified>
</cp:coreProperties>
</file>