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39EE4" w14:textId="77777777" w:rsidR="00B56B08" w:rsidRDefault="00345020" w:rsidP="00155224">
      <w:pPr>
        <w:pStyle w:val="1-MainHeading"/>
        <w:spacing w:before="0" w:after="0"/>
      </w:pPr>
      <w:r>
        <w:t>5</w:t>
      </w:r>
      <w:r w:rsidR="00433044" w:rsidRPr="00C12C14">
        <w:t>.</w:t>
      </w:r>
      <w:r>
        <w:t>14</w:t>
      </w:r>
      <w:r w:rsidR="00163F66">
        <w:tab/>
      </w:r>
      <w:r w:rsidR="00426922">
        <w:t>RISANKIZUMAB</w:t>
      </w:r>
      <w:r w:rsidR="00163F66">
        <w:t>,</w:t>
      </w:r>
      <w:r w:rsidR="00163F66">
        <w:br/>
      </w:r>
      <w:r w:rsidR="00B56B08">
        <w:t>Injection 150 mg in 1 mL pre-filled syringe</w:t>
      </w:r>
    </w:p>
    <w:p w14:paraId="51C6701A" w14:textId="159376A9" w:rsidR="00B60939" w:rsidRPr="004A6040" w:rsidRDefault="00B56B08" w:rsidP="009D78CF">
      <w:pPr>
        <w:pStyle w:val="1-MainHeading"/>
        <w:spacing w:before="0" w:after="0"/>
        <w:ind w:firstLine="0"/>
        <w:outlineLvl w:val="9"/>
      </w:pPr>
      <w:r>
        <w:t>Injection 150 mg in 1 mL pre-filled pen</w:t>
      </w:r>
      <w:r w:rsidR="00163F66">
        <w:t>,</w:t>
      </w:r>
      <w:r w:rsidR="00163F66">
        <w:br/>
      </w:r>
      <w:proofErr w:type="spellStart"/>
      <w:r w:rsidR="00426922">
        <w:t>Skyrizi</w:t>
      </w:r>
      <w:proofErr w:type="spellEnd"/>
      <w:r w:rsidR="00B60939" w:rsidRPr="00B56B08">
        <w:t>®</w:t>
      </w:r>
      <w:r w:rsidR="004A6040" w:rsidRPr="004A6040">
        <w:t>,</w:t>
      </w:r>
      <w:r w:rsidR="004A6040" w:rsidRPr="004A6040">
        <w:br/>
      </w:r>
      <w:r w:rsidR="00426922">
        <w:t>AbbVie Pty Ltd</w:t>
      </w:r>
      <w:r w:rsidR="00B60939" w:rsidRPr="004A6040">
        <w:t>.</w:t>
      </w:r>
    </w:p>
    <w:p w14:paraId="11C00795" w14:textId="674C8111" w:rsidR="00B50DB8" w:rsidRPr="00407F2D" w:rsidRDefault="00B50DB8" w:rsidP="004A6040">
      <w:pPr>
        <w:pStyle w:val="2-SectionHeading"/>
      </w:pPr>
      <w:bookmarkStart w:id="0" w:name="_Toc93484122"/>
      <w:r w:rsidRPr="00407F2D">
        <w:t xml:space="preserve">Purpose of </w:t>
      </w:r>
      <w:r w:rsidR="00CD7193">
        <w:t>s</w:t>
      </w:r>
      <w:r w:rsidR="00BB3A45">
        <w:t>ubmission</w:t>
      </w:r>
      <w:bookmarkEnd w:id="0"/>
    </w:p>
    <w:p w14:paraId="19414AA1" w14:textId="75FC61CA" w:rsidR="002C2775" w:rsidRPr="00FD5B92" w:rsidRDefault="00D063C7" w:rsidP="00226307">
      <w:pPr>
        <w:pStyle w:val="ExecSumBodyText"/>
        <w:ind w:left="709" w:hanging="709"/>
      </w:pPr>
      <w:r w:rsidRPr="00FD5B92">
        <w:t>The</w:t>
      </w:r>
      <w:r w:rsidR="00B268A7">
        <w:t xml:space="preserve"> Category 2</w:t>
      </w:r>
      <w:r w:rsidRPr="00FD5B92">
        <w:t xml:space="preserve"> submission requested a</w:t>
      </w:r>
      <w:r w:rsidR="007C2792">
        <w:t xml:space="preserve"> General Schedule,</w:t>
      </w:r>
      <w:r w:rsidRPr="00FD5B92">
        <w:t xml:space="preserve"> Authority Required (written) listing for risankizumab 150 mg for the treatment of patients with severe psoriatic arthritis (</w:t>
      </w:r>
      <w:proofErr w:type="spellStart"/>
      <w:r w:rsidRPr="00FD5B92">
        <w:t>PsA</w:t>
      </w:r>
      <w:proofErr w:type="spellEnd"/>
      <w:r w:rsidRPr="00FD5B92">
        <w:t>).</w:t>
      </w:r>
    </w:p>
    <w:p w14:paraId="4E9FBCB5" w14:textId="1C4EF0FE" w:rsidR="00C2778B" w:rsidRDefault="005750C5" w:rsidP="00226307">
      <w:pPr>
        <w:pStyle w:val="ExecSumBodyText"/>
        <w:ind w:left="709" w:hanging="709"/>
      </w:pPr>
      <w:r w:rsidRPr="005750C5">
        <w:t xml:space="preserve">Listing was requested on </w:t>
      </w:r>
      <w:r w:rsidR="002C27E4">
        <w:t>a cost minimisation basis</w:t>
      </w:r>
      <w:r w:rsidRPr="005750C5">
        <w:t xml:space="preserve"> versus</w:t>
      </w:r>
      <w:r>
        <w:t xml:space="preserve"> </w:t>
      </w:r>
      <w:proofErr w:type="spellStart"/>
      <w:r w:rsidR="00D063C7">
        <w:t>guselkumab</w:t>
      </w:r>
      <w:proofErr w:type="spellEnd"/>
      <w:r>
        <w:t>.</w:t>
      </w:r>
    </w:p>
    <w:p w14:paraId="3718DE61" w14:textId="3B072546" w:rsidR="008B1757" w:rsidRPr="004A6040" w:rsidRDefault="008B1757" w:rsidP="00042AE7">
      <w:pPr>
        <w:pStyle w:val="Caption"/>
      </w:pPr>
      <w:r w:rsidRPr="004A6040">
        <w:t>Table</w:t>
      </w:r>
      <w:r w:rsidR="00D063C7">
        <w:t xml:space="preserve"> </w:t>
      </w:r>
      <w:fldSimple w:instr=" SEQ Table \* ARABIC ">
        <w:r w:rsidR="00001652">
          <w:rPr>
            <w:noProof/>
          </w:rPr>
          <w:t>1</w:t>
        </w:r>
      </w:fldSimple>
      <w:r w:rsidRPr="004A6040">
        <w:t>:</w:t>
      </w:r>
      <w:r w:rsidR="00BC591F" w:rsidRPr="004A6040">
        <w:t xml:space="preserve"> </w:t>
      </w:r>
      <w:r w:rsidRPr="004A6040">
        <w:t xml:space="preserve">Key components of the clinical issue addressed </w:t>
      </w:r>
      <w:r w:rsidR="00061273">
        <w:t>in</w:t>
      </w:r>
      <w:r w:rsidRPr="004A6040">
        <w:t xml:space="preserve"> the submission</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863"/>
      </w:tblGrid>
      <w:tr w:rsidR="008B1757" w:rsidRPr="00691913" w14:paraId="569F5103" w14:textId="77777777" w:rsidTr="002222C1">
        <w:trPr>
          <w:tblHeader/>
        </w:trPr>
        <w:tc>
          <w:tcPr>
            <w:tcW w:w="615" w:type="pct"/>
            <w:shd w:val="clear" w:color="auto" w:fill="auto"/>
          </w:tcPr>
          <w:p w14:paraId="501803FB" w14:textId="77777777" w:rsidR="008B1757" w:rsidRPr="008B1757" w:rsidRDefault="008B1757" w:rsidP="004A6040">
            <w:pPr>
              <w:pStyle w:val="Tableheadingrow"/>
              <w:rPr>
                <w:szCs w:val="20"/>
              </w:rPr>
            </w:pPr>
            <w:r w:rsidRPr="008B1757">
              <w:t>Component</w:t>
            </w:r>
          </w:p>
        </w:tc>
        <w:tc>
          <w:tcPr>
            <w:tcW w:w="4385" w:type="pct"/>
            <w:shd w:val="clear" w:color="auto" w:fill="auto"/>
          </w:tcPr>
          <w:p w14:paraId="445D9EBB" w14:textId="77777777" w:rsidR="008B1757" w:rsidRPr="008B1757" w:rsidRDefault="008B1757" w:rsidP="004A6040">
            <w:pPr>
              <w:pStyle w:val="Tableheadingrow"/>
            </w:pPr>
            <w:r w:rsidRPr="008B1757">
              <w:t>Description</w:t>
            </w:r>
          </w:p>
        </w:tc>
      </w:tr>
      <w:tr w:rsidR="00042AE7" w14:paraId="503CB1BE" w14:textId="77777777" w:rsidTr="002222C1">
        <w:tc>
          <w:tcPr>
            <w:tcW w:w="615" w:type="pct"/>
            <w:vAlign w:val="center"/>
          </w:tcPr>
          <w:p w14:paraId="22A53BBE" w14:textId="77777777" w:rsidR="00042AE7" w:rsidRDefault="00042AE7" w:rsidP="007C2792">
            <w:pPr>
              <w:pStyle w:val="TableText"/>
            </w:pPr>
            <w:r>
              <w:t>Population</w:t>
            </w:r>
          </w:p>
        </w:tc>
        <w:tc>
          <w:tcPr>
            <w:tcW w:w="4385" w:type="pct"/>
          </w:tcPr>
          <w:p w14:paraId="37F1BF17" w14:textId="77777777" w:rsidR="00042AE7" w:rsidRDefault="00042AE7" w:rsidP="007C2792">
            <w:pPr>
              <w:pStyle w:val="TableText"/>
            </w:pPr>
            <w:r w:rsidRPr="001107C8">
              <w:t xml:space="preserve">Patients with severe </w:t>
            </w:r>
            <w:r>
              <w:t>psoriatic arthritis</w:t>
            </w:r>
            <w:r w:rsidRPr="001107C8">
              <w:t xml:space="preserve"> </w:t>
            </w:r>
            <w:r>
              <w:t xml:space="preserve">unable to achieve an </w:t>
            </w:r>
            <w:r w:rsidRPr="001107C8">
              <w:t xml:space="preserve">adequate response with at least 6 months of intensive treatment with </w:t>
            </w:r>
            <w:proofErr w:type="spellStart"/>
            <w:r w:rsidRPr="001107C8">
              <w:t>csDMARDs</w:t>
            </w:r>
            <w:proofErr w:type="spellEnd"/>
            <w:r w:rsidRPr="001107C8">
              <w:t>, as per current criteria for PBS-listed advanced therapies</w:t>
            </w:r>
          </w:p>
        </w:tc>
      </w:tr>
      <w:tr w:rsidR="00042AE7" w14:paraId="7E945E78" w14:textId="77777777" w:rsidTr="002222C1">
        <w:tc>
          <w:tcPr>
            <w:tcW w:w="615" w:type="pct"/>
            <w:vAlign w:val="center"/>
          </w:tcPr>
          <w:p w14:paraId="437B9E70" w14:textId="77777777" w:rsidR="00042AE7" w:rsidRDefault="00042AE7" w:rsidP="007C2792">
            <w:pPr>
              <w:pStyle w:val="TableText"/>
            </w:pPr>
            <w:r>
              <w:t>Intervention</w:t>
            </w:r>
          </w:p>
        </w:tc>
        <w:tc>
          <w:tcPr>
            <w:tcW w:w="4385" w:type="pct"/>
          </w:tcPr>
          <w:p w14:paraId="787A1569" w14:textId="7DFC8EAD" w:rsidR="00042AE7" w:rsidRDefault="00042AE7" w:rsidP="007C2792">
            <w:pPr>
              <w:pStyle w:val="TableText"/>
            </w:pPr>
            <w:r w:rsidRPr="001107C8">
              <w:t>Risankizumab 150 mg subcutaneous</w:t>
            </w:r>
            <w:r w:rsidR="00C62B1B">
              <w:t xml:space="preserve"> injection</w:t>
            </w:r>
            <w:r w:rsidRPr="001107C8">
              <w:t xml:space="preserve"> at week 0, week 4, and then every 12 weeks thereafter </w:t>
            </w:r>
          </w:p>
        </w:tc>
      </w:tr>
      <w:tr w:rsidR="00042AE7" w14:paraId="6263FD08" w14:textId="77777777" w:rsidTr="002222C1">
        <w:tc>
          <w:tcPr>
            <w:tcW w:w="615" w:type="pct"/>
            <w:vAlign w:val="center"/>
          </w:tcPr>
          <w:p w14:paraId="1CF90F37" w14:textId="77777777" w:rsidR="00042AE7" w:rsidRDefault="00042AE7" w:rsidP="007C2792">
            <w:pPr>
              <w:pStyle w:val="TableText"/>
            </w:pPr>
            <w:r>
              <w:t>Comparator</w:t>
            </w:r>
          </w:p>
        </w:tc>
        <w:tc>
          <w:tcPr>
            <w:tcW w:w="4385" w:type="pct"/>
          </w:tcPr>
          <w:p w14:paraId="19C980EE" w14:textId="425D94D3" w:rsidR="00042AE7" w:rsidRDefault="00042AE7" w:rsidP="00CB21EC">
            <w:pPr>
              <w:pStyle w:val="TableText"/>
            </w:pPr>
            <w:proofErr w:type="spellStart"/>
            <w:r w:rsidRPr="001107C8">
              <w:t>Guselkumab</w:t>
            </w:r>
            <w:proofErr w:type="spellEnd"/>
            <w:r w:rsidRPr="001107C8">
              <w:t xml:space="preserve"> 100 mg subcutaneous</w:t>
            </w:r>
            <w:r w:rsidR="00C62B1B">
              <w:t xml:space="preserve"> injection</w:t>
            </w:r>
            <w:r w:rsidRPr="001107C8">
              <w:t xml:space="preserve"> at week 0, week 4, then every 8 weeks thereafter</w:t>
            </w:r>
          </w:p>
        </w:tc>
      </w:tr>
      <w:tr w:rsidR="00042AE7" w14:paraId="16E531C5" w14:textId="77777777" w:rsidTr="002222C1">
        <w:tc>
          <w:tcPr>
            <w:tcW w:w="615" w:type="pct"/>
            <w:vAlign w:val="center"/>
          </w:tcPr>
          <w:p w14:paraId="30EEFC31" w14:textId="77777777" w:rsidR="00042AE7" w:rsidRDefault="00042AE7" w:rsidP="007C2792">
            <w:pPr>
              <w:pStyle w:val="TableText"/>
            </w:pPr>
            <w:r>
              <w:t>Outcomes</w:t>
            </w:r>
          </w:p>
        </w:tc>
        <w:tc>
          <w:tcPr>
            <w:tcW w:w="4385" w:type="pct"/>
          </w:tcPr>
          <w:p w14:paraId="5B4DA6EF" w14:textId="77777777" w:rsidR="00042AE7" w:rsidRDefault="00042AE7" w:rsidP="007C2792">
            <w:pPr>
              <w:pStyle w:val="TableText"/>
            </w:pPr>
            <w:r w:rsidRPr="001107C8">
              <w:t>Disease activity endpoints: ACR20, ACR50, P</w:t>
            </w:r>
            <w:r>
              <w:t>soriatic Assessment Severity Index 75% response (P</w:t>
            </w:r>
            <w:r w:rsidRPr="001107C8">
              <w:t>ASI75</w:t>
            </w:r>
            <w:r>
              <w:t>)</w:t>
            </w:r>
          </w:p>
          <w:p w14:paraId="4D0A156F" w14:textId="77777777" w:rsidR="00042AE7" w:rsidRDefault="00042AE7" w:rsidP="007C2792">
            <w:pPr>
              <w:pStyle w:val="TableText"/>
            </w:pPr>
            <w:r w:rsidRPr="001107C8">
              <w:t xml:space="preserve">Patient reported outcome: </w:t>
            </w:r>
            <w:r>
              <w:t>Health Assessment Questionnaire disability index (</w:t>
            </w:r>
            <w:r w:rsidRPr="001107C8">
              <w:t>HAQ-DI</w:t>
            </w:r>
            <w:r>
              <w:t>)</w:t>
            </w:r>
          </w:p>
        </w:tc>
      </w:tr>
      <w:tr w:rsidR="00042AE7" w14:paraId="5407C52E" w14:textId="77777777" w:rsidTr="002222C1">
        <w:tc>
          <w:tcPr>
            <w:tcW w:w="615" w:type="pct"/>
            <w:vAlign w:val="center"/>
          </w:tcPr>
          <w:p w14:paraId="71B3225D" w14:textId="77777777" w:rsidR="00042AE7" w:rsidRDefault="00042AE7" w:rsidP="007C2792">
            <w:pPr>
              <w:pStyle w:val="TableText"/>
            </w:pPr>
            <w:r>
              <w:t>Clinical claim</w:t>
            </w:r>
          </w:p>
        </w:tc>
        <w:tc>
          <w:tcPr>
            <w:tcW w:w="4385" w:type="pct"/>
          </w:tcPr>
          <w:p w14:paraId="003A34C9" w14:textId="77777777" w:rsidR="00042AE7" w:rsidRDefault="00042AE7" w:rsidP="007C2792">
            <w:pPr>
              <w:pStyle w:val="TableText"/>
            </w:pPr>
            <w:r>
              <w:t xml:space="preserve">In patients with severe psoriatic arthritis who have not achieved an adequate response with conventional therapies, risankizumab is non-inferior to </w:t>
            </w:r>
            <w:proofErr w:type="spellStart"/>
            <w:r>
              <w:t>guselkumab</w:t>
            </w:r>
            <w:proofErr w:type="spellEnd"/>
            <w:r>
              <w:t xml:space="preserve"> in terms of efficacy and safety</w:t>
            </w:r>
          </w:p>
        </w:tc>
      </w:tr>
    </w:tbl>
    <w:p w14:paraId="49245E76" w14:textId="77777777" w:rsidR="00042AE7" w:rsidRDefault="00042AE7" w:rsidP="00042AE7">
      <w:pPr>
        <w:pStyle w:val="TableFigureFooter"/>
      </w:pPr>
      <w:r>
        <w:t xml:space="preserve">Source: Table 1-1, p17 </w:t>
      </w:r>
      <w:r w:rsidRPr="00D13A3E">
        <w:t xml:space="preserve">of the </w:t>
      </w:r>
      <w:r>
        <w:t>submission.</w:t>
      </w:r>
    </w:p>
    <w:p w14:paraId="527CA7F0" w14:textId="1348BA8C" w:rsidR="004E43B2" w:rsidRPr="004A6040" w:rsidRDefault="00042AE7" w:rsidP="00042AE7">
      <w:pPr>
        <w:pStyle w:val="TableFigureFooter"/>
        <w:rPr>
          <w:sz w:val="20"/>
        </w:rPr>
      </w:pPr>
      <w:r>
        <w:t xml:space="preserve">Abbreviations: ACR20/50, American College of Rheumatology 20%/50% response; </w:t>
      </w:r>
      <w:proofErr w:type="spellStart"/>
      <w:r>
        <w:t>csDMARDs</w:t>
      </w:r>
      <w:proofErr w:type="spellEnd"/>
      <w:r>
        <w:t>, conventional synthetic disease anti-rheumatic drugs.</w:t>
      </w:r>
    </w:p>
    <w:p w14:paraId="6B4AB6C2" w14:textId="7F01D731" w:rsidR="005C25FF" w:rsidRPr="00407F2D" w:rsidRDefault="005C25FF" w:rsidP="004A6040">
      <w:pPr>
        <w:pStyle w:val="2-SectionHeading"/>
      </w:pPr>
      <w:bookmarkStart w:id="1" w:name="_Toc93484123"/>
      <w:r w:rsidRPr="00407F2D">
        <w:t>Background</w:t>
      </w:r>
      <w:bookmarkEnd w:id="1"/>
    </w:p>
    <w:p w14:paraId="2C521D6D" w14:textId="78CF03EE" w:rsidR="005C25FF" w:rsidRPr="004151CF" w:rsidRDefault="005C25FF" w:rsidP="004A6040">
      <w:pPr>
        <w:pStyle w:val="3-SubsectionHeading"/>
      </w:pPr>
      <w:bookmarkStart w:id="2" w:name="_Toc22897638"/>
      <w:bookmarkStart w:id="3" w:name="_Toc93484124"/>
      <w:r w:rsidRPr="004151CF">
        <w:t>Registration status</w:t>
      </w:r>
      <w:bookmarkEnd w:id="2"/>
      <w:bookmarkEnd w:id="3"/>
    </w:p>
    <w:p w14:paraId="4E714861" w14:textId="565E05C7" w:rsidR="00524F0D" w:rsidRPr="00F9150E" w:rsidRDefault="00977A64" w:rsidP="00226307">
      <w:pPr>
        <w:pStyle w:val="ExecSumBodyText"/>
        <w:ind w:left="709" w:hanging="709"/>
      </w:pPr>
      <w:r w:rsidRPr="00F9150E">
        <w:rPr>
          <w:rFonts w:ascii="Calibri" w:eastAsia="Calibri" w:hAnsi="Calibri"/>
          <w:bCs/>
          <w:szCs w:val="22"/>
        </w:rPr>
        <w:t xml:space="preserve">TGA status at time of </w:t>
      </w:r>
      <w:r w:rsidR="00F9150E" w:rsidRPr="00F9150E">
        <w:rPr>
          <w:rFonts w:ascii="Calibri" w:eastAsia="Calibri" w:hAnsi="Calibri"/>
          <w:bCs/>
          <w:szCs w:val="22"/>
        </w:rPr>
        <w:t>PBAC consideration</w:t>
      </w:r>
      <w:r w:rsidRPr="00F9150E">
        <w:rPr>
          <w:rFonts w:ascii="Calibri" w:eastAsia="Calibri" w:hAnsi="Calibri"/>
          <w:bCs/>
          <w:szCs w:val="22"/>
        </w:rPr>
        <w:t>:</w:t>
      </w:r>
      <w:r w:rsidR="00F8498B" w:rsidRPr="00F9150E">
        <w:rPr>
          <w:rFonts w:ascii="Calibri" w:eastAsia="Calibri" w:hAnsi="Calibri"/>
          <w:szCs w:val="22"/>
        </w:rPr>
        <w:t xml:space="preserve"> not registered.</w:t>
      </w:r>
      <w:r w:rsidR="004C5669" w:rsidRPr="00F9150E">
        <w:rPr>
          <w:rFonts w:ascii="Calibri" w:eastAsia="Calibri" w:hAnsi="Calibri"/>
          <w:szCs w:val="22"/>
        </w:rPr>
        <w:t xml:space="preserve"> </w:t>
      </w:r>
      <w:r w:rsidR="005C25FF" w:rsidRPr="00F9150E">
        <w:t xml:space="preserve">The submission was made under </w:t>
      </w:r>
      <w:r w:rsidR="00E244F6" w:rsidRPr="00F9150E">
        <w:t xml:space="preserve">the </w:t>
      </w:r>
      <w:r w:rsidR="005C25FF" w:rsidRPr="00F9150E">
        <w:t xml:space="preserve">TGA/PBAC Parallel Process. </w:t>
      </w:r>
      <w:r w:rsidR="00BC5107" w:rsidRPr="00F9150E">
        <w:t xml:space="preserve">At the time of </w:t>
      </w:r>
      <w:r w:rsidR="003D3060">
        <w:t>PBAC consideration</w:t>
      </w:r>
      <w:r w:rsidR="00BC5107" w:rsidRPr="00F9150E">
        <w:t>, the draft Product Information</w:t>
      </w:r>
      <w:r w:rsidR="003D3060">
        <w:t>,</w:t>
      </w:r>
      <w:r w:rsidR="00A117B2">
        <w:t xml:space="preserve"> </w:t>
      </w:r>
      <w:r w:rsidR="00BC5107" w:rsidRPr="00F9150E">
        <w:t xml:space="preserve">Clinical Evaluation Report </w:t>
      </w:r>
      <w:r w:rsidR="003D3060">
        <w:t xml:space="preserve">and Delegate’s overview </w:t>
      </w:r>
      <w:r w:rsidR="00BC5107" w:rsidRPr="00F9150E">
        <w:t xml:space="preserve">were available. </w:t>
      </w:r>
    </w:p>
    <w:p w14:paraId="5374AD55" w14:textId="616DF441" w:rsidR="005C25FF" w:rsidRDefault="00BC5107" w:rsidP="00226307">
      <w:pPr>
        <w:pStyle w:val="ExecSumBodyText"/>
        <w:ind w:left="709" w:hanging="709"/>
      </w:pPr>
      <w:r>
        <w:t>Risankizumab has an approved TGA indication for the treatment of moderate to severe plaque psoriasis in adults who are candidates for phototherapy or systemic therapy.</w:t>
      </w:r>
    </w:p>
    <w:p w14:paraId="76E4EF3C" w14:textId="0DA3669B" w:rsidR="00B60939" w:rsidRDefault="00B50DB8" w:rsidP="004E18E9">
      <w:pPr>
        <w:pStyle w:val="2-SectionHeading"/>
      </w:pPr>
      <w:bookmarkStart w:id="4" w:name="_Toc93484125"/>
      <w:r w:rsidRPr="00407F2D">
        <w:t>Requested listing</w:t>
      </w:r>
      <w:bookmarkEnd w:id="4"/>
    </w:p>
    <w:p w14:paraId="50A3FB42" w14:textId="13D82059" w:rsidR="00F02B3C" w:rsidRPr="004C5669" w:rsidRDefault="00C350CF" w:rsidP="00A117B2">
      <w:pPr>
        <w:pStyle w:val="ExecSumBodyText"/>
        <w:ind w:left="709" w:hanging="709"/>
      </w:pPr>
      <w:r>
        <w:t>An abbreviated version of the proposed restriction is presented below, for brevity purposes. For the recommended restriction, please see Section 8.</w:t>
      </w:r>
    </w:p>
    <w:tbl>
      <w:tblPr>
        <w:tblW w:w="4977" w:type="pct"/>
        <w:tblInd w:w="28" w:type="dxa"/>
        <w:tblCellMar>
          <w:left w:w="28" w:type="dxa"/>
          <w:right w:w="28" w:type="dxa"/>
        </w:tblCellMar>
        <w:tblLook w:val="0000" w:firstRow="0" w:lastRow="0" w:firstColumn="0" w:lastColumn="0" w:noHBand="0" w:noVBand="0"/>
      </w:tblPr>
      <w:tblGrid>
        <w:gridCol w:w="1690"/>
        <w:gridCol w:w="1650"/>
        <w:gridCol w:w="1067"/>
        <w:gridCol w:w="825"/>
        <w:gridCol w:w="1828"/>
        <w:gridCol w:w="1925"/>
      </w:tblGrid>
      <w:tr w:rsidR="003F0564" w:rsidRPr="00D8428B" w14:paraId="7B04A908" w14:textId="77777777" w:rsidTr="007C2792">
        <w:trPr>
          <w:cantSplit/>
          <w:trHeight w:val="463"/>
        </w:trPr>
        <w:tc>
          <w:tcPr>
            <w:tcW w:w="1859" w:type="pct"/>
            <w:gridSpan w:val="2"/>
            <w:tcBorders>
              <w:top w:val="single" w:sz="4" w:space="0" w:color="auto"/>
              <w:bottom w:val="single" w:sz="4" w:space="0" w:color="auto"/>
            </w:tcBorders>
            <w:vAlign w:val="center"/>
          </w:tcPr>
          <w:p w14:paraId="412B8D3E" w14:textId="77777777" w:rsidR="003F0564" w:rsidRPr="00D8428B" w:rsidRDefault="003F0564" w:rsidP="007C2792">
            <w:pPr>
              <w:keepNext/>
              <w:jc w:val="left"/>
              <w:rPr>
                <w:rFonts w:ascii="Arial Narrow" w:hAnsi="Arial Narrow"/>
                <w:b/>
                <w:sz w:val="20"/>
              </w:rPr>
            </w:pPr>
            <w:r w:rsidRPr="00D8428B">
              <w:rPr>
                <w:rFonts w:ascii="Arial Narrow" w:hAnsi="Arial Narrow"/>
                <w:b/>
                <w:sz w:val="20"/>
              </w:rPr>
              <w:lastRenderedPageBreak/>
              <w:t>Name, Restriction,</w:t>
            </w:r>
          </w:p>
          <w:p w14:paraId="3ED66142" w14:textId="77777777" w:rsidR="003F0564" w:rsidRPr="00D8428B" w:rsidRDefault="003F0564" w:rsidP="007C2792">
            <w:pPr>
              <w:keepNext/>
              <w:jc w:val="left"/>
              <w:rPr>
                <w:rFonts w:ascii="Arial Narrow" w:hAnsi="Arial Narrow"/>
                <w:b/>
                <w:sz w:val="20"/>
              </w:rPr>
            </w:pPr>
            <w:r w:rsidRPr="00D8428B">
              <w:rPr>
                <w:rFonts w:ascii="Arial Narrow" w:hAnsi="Arial Narrow"/>
                <w:b/>
                <w:sz w:val="20"/>
              </w:rPr>
              <w:t>Manner of administration and form</w:t>
            </w:r>
          </w:p>
        </w:tc>
        <w:tc>
          <w:tcPr>
            <w:tcW w:w="594" w:type="pct"/>
            <w:tcBorders>
              <w:top w:val="single" w:sz="4" w:space="0" w:color="auto"/>
              <w:bottom w:val="single" w:sz="4" w:space="0" w:color="auto"/>
            </w:tcBorders>
            <w:vAlign w:val="center"/>
          </w:tcPr>
          <w:p w14:paraId="415E03BB" w14:textId="77777777" w:rsidR="003F0564" w:rsidRPr="00D8428B" w:rsidRDefault="003F0564" w:rsidP="007C2792">
            <w:pPr>
              <w:keepNext/>
              <w:jc w:val="center"/>
              <w:rPr>
                <w:rFonts w:ascii="Arial Narrow" w:hAnsi="Arial Narrow"/>
                <w:b/>
                <w:sz w:val="20"/>
              </w:rPr>
            </w:pPr>
            <w:r w:rsidRPr="00D8428B">
              <w:rPr>
                <w:rFonts w:ascii="Arial Narrow" w:hAnsi="Arial Narrow"/>
                <w:b/>
                <w:sz w:val="20"/>
              </w:rPr>
              <w:t>Max.</w:t>
            </w:r>
          </w:p>
          <w:p w14:paraId="4EC20635" w14:textId="77777777" w:rsidR="003F0564" w:rsidRPr="00D8428B" w:rsidRDefault="003F0564" w:rsidP="007C2792">
            <w:pPr>
              <w:keepNext/>
              <w:jc w:val="center"/>
              <w:rPr>
                <w:rFonts w:ascii="Arial Narrow" w:hAnsi="Arial Narrow"/>
                <w:b/>
                <w:sz w:val="20"/>
              </w:rPr>
            </w:pPr>
            <w:r w:rsidRPr="00D8428B">
              <w:rPr>
                <w:rFonts w:ascii="Arial Narrow" w:hAnsi="Arial Narrow"/>
                <w:b/>
                <w:sz w:val="20"/>
              </w:rPr>
              <w:t>Qty</w:t>
            </w:r>
          </w:p>
        </w:tc>
        <w:tc>
          <w:tcPr>
            <w:tcW w:w="459" w:type="pct"/>
            <w:tcBorders>
              <w:top w:val="single" w:sz="4" w:space="0" w:color="auto"/>
              <w:bottom w:val="single" w:sz="4" w:space="0" w:color="auto"/>
            </w:tcBorders>
            <w:vAlign w:val="center"/>
          </w:tcPr>
          <w:p w14:paraId="047500F7" w14:textId="77777777" w:rsidR="003F0564" w:rsidRPr="00D8428B" w:rsidRDefault="003F0564" w:rsidP="007C2792">
            <w:pPr>
              <w:keepNext/>
              <w:jc w:val="center"/>
              <w:rPr>
                <w:rFonts w:ascii="Arial Narrow" w:hAnsi="Arial Narrow"/>
                <w:b/>
                <w:sz w:val="20"/>
              </w:rPr>
            </w:pPr>
            <w:proofErr w:type="gramStart"/>
            <w:r w:rsidRPr="00D8428B">
              <w:rPr>
                <w:rFonts w:ascii="Arial Narrow" w:hAnsi="Arial Narrow" w:cs="Times New Roman"/>
                <w:b/>
                <w:sz w:val="20"/>
              </w:rPr>
              <w:t>№</w:t>
            </w:r>
            <w:r w:rsidRPr="00D8428B">
              <w:rPr>
                <w:rFonts w:ascii="Arial Narrow" w:hAnsi="Arial Narrow"/>
                <w:b/>
                <w:sz w:val="20"/>
              </w:rPr>
              <w:t>.of</w:t>
            </w:r>
            <w:proofErr w:type="gramEnd"/>
          </w:p>
          <w:p w14:paraId="17B2B1D0" w14:textId="77777777" w:rsidR="003F0564" w:rsidRPr="00D8428B" w:rsidRDefault="003F0564" w:rsidP="007C2792">
            <w:pPr>
              <w:keepNext/>
              <w:jc w:val="center"/>
              <w:rPr>
                <w:rFonts w:ascii="Arial Narrow" w:hAnsi="Arial Narrow"/>
                <w:b/>
                <w:sz w:val="20"/>
              </w:rPr>
            </w:pPr>
            <w:proofErr w:type="spellStart"/>
            <w:r w:rsidRPr="00D8428B">
              <w:rPr>
                <w:rFonts w:ascii="Arial Narrow" w:hAnsi="Arial Narrow"/>
                <w:b/>
                <w:sz w:val="20"/>
              </w:rPr>
              <w:t>Rpts</w:t>
            </w:r>
            <w:proofErr w:type="spellEnd"/>
          </w:p>
        </w:tc>
        <w:tc>
          <w:tcPr>
            <w:tcW w:w="1017" w:type="pct"/>
            <w:tcBorders>
              <w:top w:val="single" w:sz="4" w:space="0" w:color="auto"/>
              <w:bottom w:val="single" w:sz="4" w:space="0" w:color="auto"/>
            </w:tcBorders>
            <w:vAlign w:val="center"/>
          </w:tcPr>
          <w:p w14:paraId="3D5C473D" w14:textId="77777777" w:rsidR="003F0564" w:rsidRPr="00D8428B" w:rsidRDefault="003F0564" w:rsidP="007C2792">
            <w:pPr>
              <w:keepNext/>
              <w:jc w:val="center"/>
              <w:rPr>
                <w:rFonts w:ascii="Arial Narrow" w:hAnsi="Arial Narrow"/>
                <w:b/>
                <w:sz w:val="20"/>
              </w:rPr>
            </w:pPr>
            <w:r w:rsidRPr="00D8428B">
              <w:rPr>
                <w:rFonts w:ascii="Arial Narrow" w:hAnsi="Arial Narrow"/>
                <w:b/>
                <w:sz w:val="20"/>
              </w:rPr>
              <w:t>Dispensed Price for Max. Qty</w:t>
            </w:r>
          </w:p>
        </w:tc>
        <w:tc>
          <w:tcPr>
            <w:tcW w:w="1071" w:type="pct"/>
            <w:tcBorders>
              <w:top w:val="single" w:sz="4" w:space="0" w:color="auto"/>
              <w:bottom w:val="single" w:sz="4" w:space="0" w:color="auto"/>
            </w:tcBorders>
            <w:vAlign w:val="center"/>
          </w:tcPr>
          <w:p w14:paraId="1825BE5D" w14:textId="77777777" w:rsidR="003F0564" w:rsidRPr="00D8428B" w:rsidRDefault="003F0564" w:rsidP="007C2792">
            <w:pPr>
              <w:keepNext/>
              <w:jc w:val="center"/>
              <w:rPr>
                <w:rFonts w:ascii="Arial Narrow" w:hAnsi="Arial Narrow"/>
                <w:b/>
                <w:sz w:val="20"/>
              </w:rPr>
            </w:pPr>
            <w:r w:rsidRPr="00D8428B">
              <w:rPr>
                <w:rFonts w:ascii="Arial Narrow" w:hAnsi="Arial Narrow"/>
                <w:b/>
                <w:sz w:val="20"/>
              </w:rPr>
              <w:t>Proprietary Name and Manufacturer</w:t>
            </w:r>
          </w:p>
        </w:tc>
      </w:tr>
      <w:tr w:rsidR="003F0564" w:rsidRPr="00D8428B" w14:paraId="3111B1A3" w14:textId="77777777" w:rsidTr="007C2792">
        <w:trPr>
          <w:cantSplit/>
          <w:trHeight w:val="567"/>
        </w:trPr>
        <w:tc>
          <w:tcPr>
            <w:tcW w:w="1859" w:type="pct"/>
            <w:gridSpan w:val="2"/>
            <w:tcBorders>
              <w:bottom w:val="single" w:sz="4" w:space="0" w:color="auto"/>
            </w:tcBorders>
            <w:vAlign w:val="center"/>
          </w:tcPr>
          <w:p w14:paraId="7CD5A165" w14:textId="77777777" w:rsidR="003F0564" w:rsidRPr="00E17C74" w:rsidRDefault="003F0564" w:rsidP="007C2792">
            <w:pPr>
              <w:keepNext/>
              <w:jc w:val="left"/>
              <w:rPr>
                <w:rFonts w:ascii="Arial Narrow" w:hAnsi="Arial Narrow"/>
                <w:smallCaps/>
                <w:sz w:val="20"/>
              </w:rPr>
            </w:pPr>
            <w:r w:rsidRPr="00E17C74">
              <w:rPr>
                <w:rFonts w:ascii="Arial Narrow" w:hAnsi="Arial Narrow"/>
                <w:smallCaps/>
                <w:sz w:val="20"/>
              </w:rPr>
              <w:t>Initial</w:t>
            </w:r>
          </w:p>
          <w:p w14:paraId="2A9DABE2" w14:textId="6FF6625B" w:rsidR="003F0564" w:rsidRPr="00E17C74" w:rsidRDefault="00E17C74" w:rsidP="007C2792">
            <w:pPr>
              <w:keepNext/>
              <w:jc w:val="left"/>
              <w:rPr>
                <w:rFonts w:ascii="Arial Narrow" w:hAnsi="Arial Narrow"/>
                <w:sz w:val="20"/>
              </w:rPr>
            </w:pPr>
            <w:r w:rsidRPr="00E17C74">
              <w:rPr>
                <w:rFonts w:ascii="Arial Narrow" w:hAnsi="Arial Narrow"/>
                <w:smallCaps/>
                <w:sz w:val="20"/>
              </w:rPr>
              <w:t>RISANKIZU</w:t>
            </w:r>
            <w:r w:rsidR="003F0564" w:rsidRPr="00E17C74">
              <w:rPr>
                <w:rFonts w:ascii="Arial Narrow" w:hAnsi="Arial Narrow"/>
                <w:smallCaps/>
                <w:sz w:val="20"/>
              </w:rPr>
              <w:t>MAB</w:t>
            </w:r>
            <w:r w:rsidR="003F0564" w:rsidRPr="00E17C74">
              <w:rPr>
                <w:rFonts w:ascii="Arial Narrow" w:hAnsi="Arial Narrow"/>
                <w:sz w:val="20"/>
              </w:rPr>
              <w:t>, pre-filled syringe, 1</w:t>
            </w:r>
            <w:r w:rsidRPr="00E17C74">
              <w:rPr>
                <w:rFonts w:ascii="Arial Narrow" w:hAnsi="Arial Narrow"/>
                <w:sz w:val="20"/>
              </w:rPr>
              <w:t xml:space="preserve">50 </w:t>
            </w:r>
            <w:r w:rsidR="003F0564" w:rsidRPr="00E17C74">
              <w:rPr>
                <w:rFonts w:ascii="Arial Narrow" w:hAnsi="Arial Narrow"/>
                <w:sz w:val="20"/>
              </w:rPr>
              <w:t>mg</w:t>
            </w:r>
          </w:p>
        </w:tc>
        <w:tc>
          <w:tcPr>
            <w:tcW w:w="594" w:type="pct"/>
            <w:tcBorders>
              <w:bottom w:val="single" w:sz="4" w:space="0" w:color="auto"/>
            </w:tcBorders>
            <w:vAlign w:val="center"/>
          </w:tcPr>
          <w:p w14:paraId="7DD7D13E" w14:textId="77777777" w:rsidR="003F0564" w:rsidRPr="00E17C74" w:rsidRDefault="003F0564" w:rsidP="007C2792">
            <w:pPr>
              <w:keepNext/>
              <w:jc w:val="center"/>
              <w:rPr>
                <w:rFonts w:ascii="Arial Narrow" w:hAnsi="Arial Narrow"/>
                <w:sz w:val="20"/>
              </w:rPr>
            </w:pPr>
            <w:r w:rsidRPr="00E17C74">
              <w:rPr>
                <w:rFonts w:ascii="Arial Narrow" w:hAnsi="Arial Narrow"/>
                <w:sz w:val="20"/>
              </w:rPr>
              <w:t>1</w:t>
            </w:r>
          </w:p>
        </w:tc>
        <w:tc>
          <w:tcPr>
            <w:tcW w:w="459" w:type="pct"/>
            <w:tcBorders>
              <w:bottom w:val="single" w:sz="4" w:space="0" w:color="auto"/>
            </w:tcBorders>
            <w:vAlign w:val="center"/>
          </w:tcPr>
          <w:p w14:paraId="5B83370D" w14:textId="77777777" w:rsidR="003F0564" w:rsidRPr="002B44EB" w:rsidRDefault="003F0564" w:rsidP="007C2792">
            <w:pPr>
              <w:keepNext/>
              <w:jc w:val="center"/>
              <w:rPr>
                <w:rFonts w:ascii="Arial Narrow" w:hAnsi="Arial Narrow"/>
                <w:sz w:val="20"/>
              </w:rPr>
            </w:pPr>
            <w:r w:rsidRPr="002B44EB">
              <w:rPr>
                <w:rFonts w:ascii="Arial Narrow" w:hAnsi="Arial Narrow"/>
                <w:sz w:val="20"/>
              </w:rPr>
              <w:t>2</w:t>
            </w:r>
          </w:p>
        </w:tc>
        <w:tc>
          <w:tcPr>
            <w:tcW w:w="1017" w:type="pct"/>
            <w:tcBorders>
              <w:bottom w:val="single" w:sz="4" w:space="0" w:color="auto"/>
            </w:tcBorders>
            <w:vAlign w:val="center"/>
          </w:tcPr>
          <w:p w14:paraId="6551A6A3" w14:textId="4432EFBD" w:rsidR="003F0564" w:rsidRPr="008B6808" w:rsidRDefault="003F0564" w:rsidP="00174D55">
            <w:pPr>
              <w:keepNext/>
              <w:jc w:val="left"/>
              <w:rPr>
                <w:rFonts w:ascii="Arial Narrow" w:hAnsi="Arial Narrow"/>
                <w:sz w:val="20"/>
              </w:rPr>
            </w:pPr>
            <w:r w:rsidRPr="002B44EB">
              <w:rPr>
                <w:rFonts w:ascii="Arial Narrow" w:hAnsi="Arial Narrow"/>
                <w:sz w:val="20"/>
              </w:rPr>
              <w:t>$</w:t>
            </w:r>
            <w:r w:rsidR="00E17C74" w:rsidRPr="002B44EB">
              <w:rPr>
                <w:rFonts w:ascii="Arial Narrow" w:hAnsi="Arial Narrow"/>
                <w:sz w:val="20"/>
              </w:rPr>
              <w:t>5,400.51</w:t>
            </w:r>
            <w:r w:rsidRPr="002B44EB">
              <w:rPr>
                <w:rFonts w:ascii="Arial Narrow" w:hAnsi="Arial Narrow"/>
                <w:sz w:val="20"/>
              </w:rPr>
              <w:t xml:space="preserve"> (published)</w:t>
            </w:r>
          </w:p>
        </w:tc>
        <w:tc>
          <w:tcPr>
            <w:tcW w:w="1071" w:type="pct"/>
            <w:tcBorders>
              <w:top w:val="single" w:sz="4" w:space="0" w:color="auto"/>
              <w:bottom w:val="single" w:sz="4" w:space="0" w:color="auto"/>
            </w:tcBorders>
            <w:vAlign w:val="center"/>
          </w:tcPr>
          <w:p w14:paraId="39E34985" w14:textId="77777777" w:rsidR="002B44EB" w:rsidRPr="002B44EB" w:rsidRDefault="00174D55" w:rsidP="002B44EB">
            <w:pPr>
              <w:keepNext/>
              <w:jc w:val="center"/>
              <w:rPr>
                <w:rFonts w:ascii="Arial Narrow" w:hAnsi="Arial Narrow"/>
                <w:sz w:val="20"/>
              </w:rPr>
            </w:pPr>
            <w:proofErr w:type="spellStart"/>
            <w:r w:rsidRPr="002B44EB">
              <w:rPr>
                <w:rFonts w:ascii="Arial Narrow" w:hAnsi="Arial Narrow"/>
                <w:sz w:val="20"/>
              </w:rPr>
              <w:t>Skyrizi</w:t>
            </w:r>
            <w:proofErr w:type="spellEnd"/>
            <w:r w:rsidRPr="002B44EB">
              <w:rPr>
                <w:rFonts w:ascii="Arial Narrow" w:hAnsi="Arial Narrow"/>
                <w:sz w:val="20"/>
              </w:rPr>
              <w:t xml:space="preserve"> </w:t>
            </w:r>
            <w:r w:rsidRPr="002B44EB">
              <w:rPr>
                <w:rFonts w:ascii="Arial Narrow" w:hAnsi="Arial Narrow"/>
                <w:sz w:val="20"/>
                <w:vertAlign w:val="superscript"/>
              </w:rPr>
              <w:t>®</w:t>
            </w:r>
          </w:p>
          <w:p w14:paraId="0872A431" w14:textId="7DF74B67" w:rsidR="002B44EB" w:rsidRPr="002B44EB" w:rsidRDefault="002B44EB" w:rsidP="002B44EB">
            <w:pPr>
              <w:keepNext/>
              <w:jc w:val="center"/>
              <w:rPr>
                <w:rFonts w:ascii="Arial Narrow" w:hAnsi="Arial Narrow"/>
                <w:sz w:val="20"/>
              </w:rPr>
            </w:pPr>
            <w:r w:rsidRPr="002B44EB">
              <w:rPr>
                <w:rFonts w:ascii="Arial Narrow" w:hAnsi="Arial Narrow"/>
                <w:sz w:val="20"/>
              </w:rPr>
              <w:t>AbbVie Pty Ltd</w:t>
            </w:r>
          </w:p>
        </w:tc>
      </w:tr>
      <w:tr w:rsidR="003F0564" w:rsidRPr="00D8428B" w14:paraId="721AC48B" w14:textId="77777777" w:rsidTr="007C2792">
        <w:trPr>
          <w:cantSplit/>
          <w:trHeight w:val="567"/>
        </w:trPr>
        <w:tc>
          <w:tcPr>
            <w:tcW w:w="1859" w:type="pct"/>
            <w:gridSpan w:val="2"/>
            <w:tcBorders>
              <w:top w:val="single" w:sz="4" w:space="0" w:color="auto"/>
            </w:tcBorders>
            <w:vAlign w:val="center"/>
          </w:tcPr>
          <w:p w14:paraId="0ED878C9" w14:textId="77777777" w:rsidR="003F0564" w:rsidRPr="00E17C74" w:rsidRDefault="003F0564" w:rsidP="007C2792">
            <w:pPr>
              <w:keepNext/>
              <w:jc w:val="left"/>
              <w:rPr>
                <w:rFonts w:ascii="Arial Narrow" w:hAnsi="Arial Narrow"/>
                <w:smallCaps/>
                <w:sz w:val="20"/>
              </w:rPr>
            </w:pPr>
            <w:r w:rsidRPr="00E17C74">
              <w:rPr>
                <w:rFonts w:ascii="Arial Narrow" w:hAnsi="Arial Narrow"/>
                <w:smallCaps/>
                <w:sz w:val="20"/>
              </w:rPr>
              <w:t>initial</w:t>
            </w:r>
          </w:p>
          <w:p w14:paraId="219E5DD6" w14:textId="2378C2FC" w:rsidR="003F0564" w:rsidRPr="00E17C74" w:rsidRDefault="00E17C74" w:rsidP="007C2792">
            <w:pPr>
              <w:keepNext/>
              <w:jc w:val="left"/>
              <w:rPr>
                <w:rFonts w:ascii="Arial Narrow" w:hAnsi="Arial Narrow"/>
                <w:smallCaps/>
                <w:sz w:val="20"/>
              </w:rPr>
            </w:pPr>
            <w:r w:rsidRPr="00E17C74">
              <w:rPr>
                <w:rFonts w:ascii="Arial Narrow" w:hAnsi="Arial Narrow"/>
                <w:smallCaps/>
                <w:sz w:val="20"/>
              </w:rPr>
              <w:t>RISANKIZUMAB</w:t>
            </w:r>
            <w:r w:rsidR="003F0564" w:rsidRPr="00E17C74">
              <w:rPr>
                <w:rFonts w:ascii="Arial Narrow" w:hAnsi="Arial Narrow"/>
                <w:sz w:val="20"/>
              </w:rPr>
              <w:t>, pre-filled pen, 1</w:t>
            </w:r>
            <w:r w:rsidRPr="00E17C74">
              <w:rPr>
                <w:rFonts w:ascii="Arial Narrow" w:hAnsi="Arial Narrow"/>
                <w:sz w:val="20"/>
              </w:rPr>
              <w:t>5</w:t>
            </w:r>
            <w:r w:rsidR="003F0564" w:rsidRPr="00E17C74">
              <w:rPr>
                <w:rFonts w:ascii="Arial Narrow" w:hAnsi="Arial Narrow"/>
                <w:sz w:val="20"/>
              </w:rPr>
              <w:t>0</w:t>
            </w:r>
            <w:r w:rsidRPr="00E17C74">
              <w:rPr>
                <w:rFonts w:ascii="Arial Narrow" w:hAnsi="Arial Narrow"/>
                <w:sz w:val="20"/>
              </w:rPr>
              <w:t xml:space="preserve"> </w:t>
            </w:r>
            <w:r w:rsidR="003F0564" w:rsidRPr="00E17C74">
              <w:rPr>
                <w:rFonts w:ascii="Arial Narrow" w:hAnsi="Arial Narrow"/>
                <w:sz w:val="20"/>
              </w:rPr>
              <w:t>mg</w:t>
            </w:r>
          </w:p>
        </w:tc>
        <w:tc>
          <w:tcPr>
            <w:tcW w:w="594" w:type="pct"/>
            <w:tcBorders>
              <w:top w:val="single" w:sz="4" w:space="0" w:color="auto"/>
            </w:tcBorders>
            <w:vAlign w:val="center"/>
          </w:tcPr>
          <w:p w14:paraId="538291AA" w14:textId="77777777" w:rsidR="003F0564" w:rsidRPr="00E17C74" w:rsidRDefault="003F0564" w:rsidP="007C2792">
            <w:pPr>
              <w:keepNext/>
              <w:jc w:val="center"/>
              <w:rPr>
                <w:rFonts w:ascii="Arial Narrow" w:hAnsi="Arial Narrow"/>
                <w:sz w:val="20"/>
              </w:rPr>
            </w:pPr>
            <w:r w:rsidRPr="00E17C74">
              <w:rPr>
                <w:rFonts w:ascii="Arial Narrow" w:hAnsi="Arial Narrow"/>
                <w:sz w:val="20"/>
              </w:rPr>
              <w:t>1</w:t>
            </w:r>
          </w:p>
        </w:tc>
        <w:tc>
          <w:tcPr>
            <w:tcW w:w="459" w:type="pct"/>
            <w:tcBorders>
              <w:top w:val="single" w:sz="4" w:space="0" w:color="auto"/>
            </w:tcBorders>
            <w:vAlign w:val="center"/>
          </w:tcPr>
          <w:p w14:paraId="531B0611" w14:textId="77777777" w:rsidR="003F0564" w:rsidRPr="002B44EB" w:rsidRDefault="003F0564" w:rsidP="007C2792">
            <w:pPr>
              <w:keepNext/>
              <w:jc w:val="center"/>
              <w:rPr>
                <w:rFonts w:ascii="Arial Narrow" w:hAnsi="Arial Narrow"/>
                <w:sz w:val="20"/>
              </w:rPr>
            </w:pPr>
            <w:r w:rsidRPr="002B44EB">
              <w:rPr>
                <w:rFonts w:ascii="Arial Narrow" w:hAnsi="Arial Narrow"/>
                <w:sz w:val="20"/>
              </w:rPr>
              <w:t>2</w:t>
            </w:r>
          </w:p>
        </w:tc>
        <w:tc>
          <w:tcPr>
            <w:tcW w:w="1017" w:type="pct"/>
            <w:tcBorders>
              <w:top w:val="single" w:sz="4" w:space="0" w:color="auto"/>
            </w:tcBorders>
            <w:vAlign w:val="center"/>
          </w:tcPr>
          <w:p w14:paraId="66B42C05" w14:textId="418B19BA" w:rsidR="003F0564" w:rsidRPr="002B44EB" w:rsidRDefault="00174D55" w:rsidP="00174D55">
            <w:pPr>
              <w:keepNext/>
              <w:jc w:val="left"/>
              <w:rPr>
                <w:rFonts w:ascii="Arial Narrow" w:hAnsi="Arial Narrow"/>
                <w:sz w:val="20"/>
              </w:rPr>
            </w:pPr>
            <w:r w:rsidRPr="002B44EB">
              <w:rPr>
                <w:rFonts w:ascii="Arial Narrow" w:hAnsi="Arial Narrow"/>
                <w:sz w:val="20"/>
              </w:rPr>
              <w:t>$5,400.51 (published)</w:t>
            </w:r>
          </w:p>
        </w:tc>
        <w:tc>
          <w:tcPr>
            <w:tcW w:w="1071" w:type="pct"/>
            <w:tcBorders>
              <w:top w:val="single" w:sz="4" w:space="0" w:color="auto"/>
              <w:bottom w:val="single" w:sz="4" w:space="0" w:color="auto"/>
            </w:tcBorders>
            <w:vAlign w:val="center"/>
          </w:tcPr>
          <w:p w14:paraId="635CDDEE" w14:textId="77777777" w:rsidR="002B44EB" w:rsidRPr="002B44EB" w:rsidRDefault="002B44EB" w:rsidP="002B44EB">
            <w:pPr>
              <w:keepNext/>
              <w:jc w:val="center"/>
              <w:rPr>
                <w:rFonts w:ascii="Arial Narrow" w:hAnsi="Arial Narrow"/>
                <w:sz w:val="20"/>
              </w:rPr>
            </w:pPr>
            <w:proofErr w:type="spellStart"/>
            <w:r w:rsidRPr="002B44EB">
              <w:rPr>
                <w:rFonts w:ascii="Arial Narrow" w:hAnsi="Arial Narrow"/>
                <w:sz w:val="20"/>
              </w:rPr>
              <w:t>Skyrizi</w:t>
            </w:r>
            <w:proofErr w:type="spellEnd"/>
            <w:r w:rsidRPr="002B44EB">
              <w:rPr>
                <w:rFonts w:ascii="Arial Narrow" w:hAnsi="Arial Narrow"/>
                <w:sz w:val="20"/>
              </w:rPr>
              <w:t xml:space="preserve"> </w:t>
            </w:r>
            <w:r w:rsidRPr="002B44EB">
              <w:rPr>
                <w:rFonts w:ascii="Arial Narrow" w:hAnsi="Arial Narrow"/>
                <w:sz w:val="20"/>
                <w:vertAlign w:val="superscript"/>
              </w:rPr>
              <w:t>®</w:t>
            </w:r>
          </w:p>
          <w:p w14:paraId="2909A564" w14:textId="7CBAE2BA" w:rsidR="003F0564" w:rsidRPr="002B44EB" w:rsidRDefault="002B44EB" w:rsidP="002B44EB">
            <w:pPr>
              <w:keepNext/>
              <w:jc w:val="center"/>
              <w:rPr>
                <w:rFonts w:ascii="Arial Narrow" w:hAnsi="Arial Narrow"/>
                <w:sz w:val="20"/>
              </w:rPr>
            </w:pPr>
            <w:r w:rsidRPr="002B44EB">
              <w:rPr>
                <w:rFonts w:ascii="Arial Narrow" w:hAnsi="Arial Narrow"/>
                <w:sz w:val="20"/>
              </w:rPr>
              <w:t>AbbVie Pty Ltd</w:t>
            </w:r>
          </w:p>
        </w:tc>
      </w:tr>
      <w:tr w:rsidR="003F0564" w:rsidRPr="00D8428B" w14:paraId="6242A3B3" w14:textId="77777777" w:rsidTr="007C2792">
        <w:trPr>
          <w:cantSplit/>
          <w:trHeight w:val="567"/>
        </w:trPr>
        <w:tc>
          <w:tcPr>
            <w:tcW w:w="1859" w:type="pct"/>
            <w:gridSpan w:val="2"/>
            <w:tcBorders>
              <w:top w:val="single" w:sz="4" w:space="0" w:color="auto"/>
            </w:tcBorders>
            <w:vAlign w:val="center"/>
          </w:tcPr>
          <w:p w14:paraId="07F2F2D3" w14:textId="77777777" w:rsidR="003F0564" w:rsidRPr="00E17C74" w:rsidRDefault="003F0564" w:rsidP="007C2792">
            <w:pPr>
              <w:keepNext/>
              <w:jc w:val="left"/>
              <w:rPr>
                <w:rFonts w:ascii="Arial Narrow" w:hAnsi="Arial Narrow"/>
                <w:smallCaps/>
                <w:sz w:val="20"/>
              </w:rPr>
            </w:pPr>
            <w:r w:rsidRPr="00E17C74">
              <w:rPr>
                <w:rFonts w:ascii="Arial Narrow" w:hAnsi="Arial Narrow"/>
                <w:smallCaps/>
                <w:sz w:val="20"/>
              </w:rPr>
              <w:t>Continuing</w:t>
            </w:r>
          </w:p>
          <w:p w14:paraId="0E5A328A" w14:textId="4AFC4974" w:rsidR="003F0564" w:rsidRPr="00E17C74" w:rsidRDefault="00E17C74" w:rsidP="007C2792">
            <w:pPr>
              <w:keepNext/>
              <w:jc w:val="left"/>
              <w:rPr>
                <w:rFonts w:ascii="Arial Narrow" w:hAnsi="Arial Narrow"/>
                <w:smallCaps/>
                <w:sz w:val="20"/>
              </w:rPr>
            </w:pPr>
            <w:r w:rsidRPr="00E17C74">
              <w:rPr>
                <w:rFonts w:ascii="Arial Narrow" w:hAnsi="Arial Narrow"/>
                <w:smallCaps/>
                <w:sz w:val="20"/>
              </w:rPr>
              <w:t>RISANKIZUMAB</w:t>
            </w:r>
            <w:r w:rsidRPr="00E17C74">
              <w:rPr>
                <w:rFonts w:ascii="Arial Narrow" w:hAnsi="Arial Narrow"/>
                <w:sz w:val="20"/>
              </w:rPr>
              <w:t>, pre-filled syringe, 150 mg</w:t>
            </w:r>
          </w:p>
        </w:tc>
        <w:tc>
          <w:tcPr>
            <w:tcW w:w="594" w:type="pct"/>
            <w:tcBorders>
              <w:top w:val="single" w:sz="4" w:space="0" w:color="auto"/>
            </w:tcBorders>
            <w:vAlign w:val="center"/>
          </w:tcPr>
          <w:p w14:paraId="3551A037" w14:textId="77777777" w:rsidR="003F0564" w:rsidRPr="00E17C74" w:rsidRDefault="003F0564" w:rsidP="007C2792">
            <w:pPr>
              <w:keepNext/>
              <w:jc w:val="center"/>
              <w:rPr>
                <w:rFonts w:ascii="Arial Narrow" w:hAnsi="Arial Narrow"/>
                <w:sz w:val="20"/>
              </w:rPr>
            </w:pPr>
            <w:r w:rsidRPr="00E17C74">
              <w:rPr>
                <w:rFonts w:ascii="Arial Narrow" w:hAnsi="Arial Narrow"/>
                <w:sz w:val="20"/>
              </w:rPr>
              <w:t>1</w:t>
            </w:r>
          </w:p>
        </w:tc>
        <w:tc>
          <w:tcPr>
            <w:tcW w:w="459" w:type="pct"/>
            <w:tcBorders>
              <w:top w:val="single" w:sz="4" w:space="0" w:color="auto"/>
            </w:tcBorders>
            <w:vAlign w:val="center"/>
          </w:tcPr>
          <w:p w14:paraId="177C2DC8" w14:textId="087480E8" w:rsidR="003F0564" w:rsidRPr="002B44EB" w:rsidRDefault="00E17C74" w:rsidP="007C2792">
            <w:pPr>
              <w:keepNext/>
              <w:jc w:val="center"/>
              <w:rPr>
                <w:rFonts w:ascii="Arial Narrow" w:hAnsi="Arial Narrow"/>
                <w:sz w:val="20"/>
              </w:rPr>
            </w:pPr>
            <w:r w:rsidRPr="002B44EB">
              <w:rPr>
                <w:rFonts w:ascii="Arial Narrow" w:hAnsi="Arial Narrow"/>
                <w:sz w:val="20"/>
              </w:rPr>
              <w:t>1</w:t>
            </w:r>
          </w:p>
        </w:tc>
        <w:tc>
          <w:tcPr>
            <w:tcW w:w="1017" w:type="pct"/>
            <w:tcBorders>
              <w:top w:val="single" w:sz="4" w:space="0" w:color="auto"/>
            </w:tcBorders>
            <w:vAlign w:val="center"/>
          </w:tcPr>
          <w:p w14:paraId="0264FD69" w14:textId="5CF3CC00" w:rsidR="003F0564" w:rsidRPr="002B44EB" w:rsidRDefault="00174D55" w:rsidP="00174D55">
            <w:pPr>
              <w:keepNext/>
              <w:jc w:val="left"/>
              <w:rPr>
                <w:rFonts w:ascii="Arial Narrow" w:hAnsi="Arial Narrow"/>
                <w:sz w:val="20"/>
              </w:rPr>
            </w:pPr>
            <w:r w:rsidRPr="002B44EB">
              <w:rPr>
                <w:rFonts w:ascii="Arial Narrow" w:hAnsi="Arial Narrow"/>
                <w:sz w:val="20"/>
              </w:rPr>
              <w:t>$5,400.51 (published)</w:t>
            </w:r>
          </w:p>
        </w:tc>
        <w:tc>
          <w:tcPr>
            <w:tcW w:w="1071" w:type="pct"/>
            <w:tcBorders>
              <w:top w:val="single" w:sz="4" w:space="0" w:color="auto"/>
              <w:bottom w:val="single" w:sz="4" w:space="0" w:color="auto"/>
            </w:tcBorders>
            <w:vAlign w:val="center"/>
          </w:tcPr>
          <w:p w14:paraId="0E2EE410" w14:textId="77777777" w:rsidR="002B44EB" w:rsidRPr="002B44EB" w:rsidRDefault="002B44EB" w:rsidP="002B44EB">
            <w:pPr>
              <w:keepNext/>
              <w:jc w:val="center"/>
              <w:rPr>
                <w:rFonts w:ascii="Arial Narrow" w:hAnsi="Arial Narrow"/>
                <w:sz w:val="20"/>
              </w:rPr>
            </w:pPr>
            <w:proofErr w:type="spellStart"/>
            <w:r w:rsidRPr="002B44EB">
              <w:rPr>
                <w:rFonts w:ascii="Arial Narrow" w:hAnsi="Arial Narrow"/>
                <w:sz w:val="20"/>
              </w:rPr>
              <w:t>Skyrizi</w:t>
            </w:r>
            <w:proofErr w:type="spellEnd"/>
            <w:r w:rsidRPr="002B44EB">
              <w:rPr>
                <w:rFonts w:ascii="Arial Narrow" w:hAnsi="Arial Narrow"/>
                <w:sz w:val="20"/>
              </w:rPr>
              <w:t xml:space="preserve"> </w:t>
            </w:r>
            <w:r w:rsidRPr="002B44EB">
              <w:rPr>
                <w:rFonts w:ascii="Arial Narrow" w:hAnsi="Arial Narrow"/>
                <w:sz w:val="20"/>
                <w:vertAlign w:val="superscript"/>
              </w:rPr>
              <w:t>®</w:t>
            </w:r>
          </w:p>
          <w:p w14:paraId="775A6787" w14:textId="37F00019" w:rsidR="003F0564" w:rsidRPr="002B44EB" w:rsidRDefault="002B44EB" w:rsidP="002B44EB">
            <w:pPr>
              <w:keepNext/>
              <w:jc w:val="center"/>
              <w:rPr>
                <w:rFonts w:ascii="Arial Narrow" w:hAnsi="Arial Narrow"/>
                <w:sz w:val="20"/>
              </w:rPr>
            </w:pPr>
            <w:r w:rsidRPr="002B44EB">
              <w:rPr>
                <w:rFonts w:ascii="Arial Narrow" w:hAnsi="Arial Narrow"/>
                <w:sz w:val="20"/>
              </w:rPr>
              <w:t>AbbVie Pty Ltd</w:t>
            </w:r>
          </w:p>
        </w:tc>
      </w:tr>
      <w:tr w:rsidR="003F0564" w:rsidRPr="00D8428B" w14:paraId="2A975463" w14:textId="77777777" w:rsidTr="007C2792">
        <w:trPr>
          <w:cantSplit/>
          <w:trHeight w:val="567"/>
        </w:trPr>
        <w:tc>
          <w:tcPr>
            <w:tcW w:w="1859" w:type="pct"/>
            <w:gridSpan w:val="2"/>
            <w:tcBorders>
              <w:top w:val="single" w:sz="4" w:space="0" w:color="auto"/>
            </w:tcBorders>
            <w:vAlign w:val="center"/>
          </w:tcPr>
          <w:p w14:paraId="318EEBF6" w14:textId="77777777" w:rsidR="003F0564" w:rsidRPr="00E17C74" w:rsidRDefault="003F0564" w:rsidP="007C2792">
            <w:pPr>
              <w:keepNext/>
              <w:jc w:val="left"/>
              <w:rPr>
                <w:rFonts w:ascii="Arial Narrow" w:hAnsi="Arial Narrow"/>
                <w:smallCaps/>
                <w:sz w:val="20"/>
              </w:rPr>
            </w:pPr>
            <w:r w:rsidRPr="00E17C74">
              <w:rPr>
                <w:rFonts w:ascii="Arial Narrow" w:hAnsi="Arial Narrow"/>
                <w:smallCaps/>
                <w:sz w:val="20"/>
              </w:rPr>
              <w:t>Continuing</w:t>
            </w:r>
          </w:p>
          <w:p w14:paraId="52FEFF5A" w14:textId="3AE33029" w:rsidR="003F0564" w:rsidRPr="00E17C74" w:rsidRDefault="00E17C74" w:rsidP="007C2792">
            <w:pPr>
              <w:keepNext/>
              <w:jc w:val="left"/>
              <w:rPr>
                <w:rFonts w:ascii="Arial Narrow" w:hAnsi="Arial Narrow"/>
                <w:smallCaps/>
                <w:sz w:val="20"/>
              </w:rPr>
            </w:pPr>
            <w:r w:rsidRPr="00E17C74">
              <w:rPr>
                <w:rFonts w:ascii="Arial Narrow" w:hAnsi="Arial Narrow"/>
                <w:smallCaps/>
                <w:sz w:val="20"/>
              </w:rPr>
              <w:t>RISANKIZUMAB</w:t>
            </w:r>
            <w:r w:rsidR="003F0564" w:rsidRPr="00E17C74">
              <w:rPr>
                <w:rFonts w:ascii="Arial Narrow" w:hAnsi="Arial Narrow"/>
                <w:sz w:val="20"/>
              </w:rPr>
              <w:t>, pre-filled pen, 1</w:t>
            </w:r>
            <w:r w:rsidRPr="00E17C74">
              <w:rPr>
                <w:rFonts w:ascii="Arial Narrow" w:hAnsi="Arial Narrow"/>
                <w:sz w:val="20"/>
              </w:rPr>
              <w:t>5</w:t>
            </w:r>
            <w:r w:rsidR="003F0564" w:rsidRPr="00E17C74">
              <w:rPr>
                <w:rFonts w:ascii="Arial Narrow" w:hAnsi="Arial Narrow"/>
                <w:sz w:val="20"/>
              </w:rPr>
              <w:t>0</w:t>
            </w:r>
            <w:r w:rsidRPr="00E17C74">
              <w:rPr>
                <w:rFonts w:ascii="Arial Narrow" w:hAnsi="Arial Narrow"/>
                <w:sz w:val="20"/>
              </w:rPr>
              <w:t xml:space="preserve"> </w:t>
            </w:r>
            <w:r w:rsidR="003F0564" w:rsidRPr="00E17C74">
              <w:rPr>
                <w:rFonts w:ascii="Arial Narrow" w:hAnsi="Arial Narrow"/>
                <w:sz w:val="20"/>
              </w:rPr>
              <w:t>mg</w:t>
            </w:r>
          </w:p>
        </w:tc>
        <w:tc>
          <w:tcPr>
            <w:tcW w:w="594" w:type="pct"/>
            <w:tcBorders>
              <w:top w:val="single" w:sz="4" w:space="0" w:color="auto"/>
            </w:tcBorders>
            <w:vAlign w:val="center"/>
          </w:tcPr>
          <w:p w14:paraId="1B97085F" w14:textId="77777777" w:rsidR="003F0564" w:rsidRPr="00E17C74" w:rsidRDefault="003F0564" w:rsidP="007C2792">
            <w:pPr>
              <w:keepNext/>
              <w:jc w:val="center"/>
              <w:rPr>
                <w:rFonts w:ascii="Arial Narrow" w:hAnsi="Arial Narrow"/>
                <w:sz w:val="20"/>
              </w:rPr>
            </w:pPr>
            <w:r w:rsidRPr="00E17C74">
              <w:rPr>
                <w:rFonts w:ascii="Arial Narrow" w:hAnsi="Arial Narrow"/>
                <w:sz w:val="20"/>
              </w:rPr>
              <w:t>1</w:t>
            </w:r>
          </w:p>
        </w:tc>
        <w:tc>
          <w:tcPr>
            <w:tcW w:w="459" w:type="pct"/>
            <w:tcBorders>
              <w:top w:val="single" w:sz="4" w:space="0" w:color="auto"/>
            </w:tcBorders>
            <w:vAlign w:val="center"/>
          </w:tcPr>
          <w:p w14:paraId="0C28F4D7" w14:textId="2B7DF0FF" w:rsidR="003F0564" w:rsidRPr="002B44EB" w:rsidRDefault="00E17C74" w:rsidP="007C2792">
            <w:pPr>
              <w:keepNext/>
              <w:jc w:val="center"/>
              <w:rPr>
                <w:rFonts w:ascii="Arial Narrow" w:hAnsi="Arial Narrow"/>
                <w:sz w:val="20"/>
              </w:rPr>
            </w:pPr>
            <w:r w:rsidRPr="002B44EB">
              <w:rPr>
                <w:rFonts w:ascii="Arial Narrow" w:hAnsi="Arial Narrow"/>
                <w:sz w:val="20"/>
              </w:rPr>
              <w:t>1</w:t>
            </w:r>
          </w:p>
        </w:tc>
        <w:tc>
          <w:tcPr>
            <w:tcW w:w="1017" w:type="pct"/>
            <w:tcBorders>
              <w:top w:val="single" w:sz="4" w:space="0" w:color="auto"/>
            </w:tcBorders>
            <w:vAlign w:val="center"/>
          </w:tcPr>
          <w:p w14:paraId="78042B6C" w14:textId="1A46A20A" w:rsidR="003F0564" w:rsidRPr="002B44EB" w:rsidRDefault="00174D55" w:rsidP="00174D55">
            <w:pPr>
              <w:keepNext/>
              <w:jc w:val="left"/>
              <w:rPr>
                <w:rFonts w:ascii="Arial Narrow" w:hAnsi="Arial Narrow"/>
                <w:sz w:val="20"/>
              </w:rPr>
            </w:pPr>
            <w:r w:rsidRPr="002B44EB">
              <w:rPr>
                <w:rFonts w:ascii="Arial Narrow" w:hAnsi="Arial Narrow"/>
                <w:sz w:val="20"/>
              </w:rPr>
              <w:t>$5,400.51 (published)</w:t>
            </w:r>
          </w:p>
        </w:tc>
        <w:tc>
          <w:tcPr>
            <w:tcW w:w="1071" w:type="pct"/>
            <w:tcBorders>
              <w:top w:val="single" w:sz="4" w:space="0" w:color="auto"/>
              <w:bottom w:val="single" w:sz="4" w:space="0" w:color="auto"/>
            </w:tcBorders>
            <w:vAlign w:val="center"/>
          </w:tcPr>
          <w:p w14:paraId="7EA55087" w14:textId="77777777" w:rsidR="002B44EB" w:rsidRPr="002B44EB" w:rsidRDefault="002B44EB" w:rsidP="002B44EB">
            <w:pPr>
              <w:keepNext/>
              <w:jc w:val="center"/>
              <w:rPr>
                <w:rFonts w:ascii="Arial Narrow" w:hAnsi="Arial Narrow"/>
                <w:sz w:val="20"/>
              </w:rPr>
            </w:pPr>
            <w:proofErr w:type="spellStart"/>
            <w:r w:rsidRPr="002B44EB">
              <w:rPr>
                <w:rFonts w:ascii="Arial Narrow" w:hAnsi="Arial Narrow"/>
                <w:sz w:val="20"/>
              </w:rPr>
              <w:t>Skyrizi</w:t>
            </w:r>
            <w:proofErr w:type="spellEnd"/>
            <w:r w:rsidRPr="002B44EB">
              <w:rPr>
                <w:rFonts w:ascii="Arial Narrow" w:hAnsi="Arial Narrow"/>
                <w:sz w:val="20"/>
              </w:rPr>
              <w:t xml:space="preserve"> </w:t>
            </w:r>
            <w:r w:rsidRPr="002B44EB">
              <w:rPr>
                <w:rFonts w:ascii="Arial Narrow" w:hAnsi="Arial Narrow"/>
                <w:sz w:val="20"/>
                <w:vertAlign w:val="superscript"/>
              </w:rPr>
              <w:t>®</w:t>
            </w:r>
          </w:p>
          <w:p w14:paraId="5302B99B" w14:textId="270F50F1" w:rsidR="003F0564" w:rsidRPr="002B44EB" w:rsidRDefault="002B44EB" w:rsidP="002B44EB">
            <w:pPr>
              <w:keepNext/>
              <w:jc w:val="center"/>
              <w:rPr>
                <w:rFonts w:ascii="Arial Narrow" w:hAnsi="Arial Narrow"/>
                <w:sz w:val="20"/>
              </w:rPr>
            </w:pPr>
            <w:r w:rsidRPr="002B44EB">
              <w:rPr>
                <w:rFonts w:ascii="Arial Narrow" w:hAnsi="Arial Narrow"/>
                <w:sz w:val="20"/>
              </w:rPr>
              <w:t>AbbVie Pty Ltd</w:t>
            </w:r>
          </w:p>
        </w:tc>
      </w:tr>
      <w:tr w:rsidR="003F0564" w:rsidRPr="00D8428B" w14:paraId="5D5057C1"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hideMark/>
          </w:tcPr>
          <w:p w14:paraId="0A8D3515" w14:textId="77777777" w:rsidR="003F0564" w:rsidRPr="00D8428B" w:rsidRDefault="003F0564" w:rsidP="007C2792">
            <w:pPr>
              <w:pStyle w:val="Tabletext0"/>
            </w:pPr>
            <w:r w:rsidRPr="00D8428B">
              <w:t>Category/Program:</w:t>
            </w:r>
          </w:p>
        </w:tc>
        <w:tc>
          <w:tcPr>
            <w:tcW w:w="4059" w:type="pct"/>
            <w:gridSpan w:val="5"/>
            <w:tcBorders>
              <w:top w:val="single" w:sz="4" w:space="0" w:color="auto"/>
              <w:left w:val="single" w:sz="4" w:space="0" w:color="auto"/>
              <w:bottom w:val="single" w:sz="4" w:space="0" w:color="auto"/>
              <w:right w:val="single" w:sz="4" w:space="0" w:color="auto"/>
            </w:tcBorders>
          </w:tcPr>
          <w:p w14:paraId="663A154F" w14:textId="77777777" w:rsidR="003F0564" w:rsidRPr="00D8428B" w:rsidRDefault="003F0564" w:rsidP="007C2792">
            <w:pPr>
              <w:pStyle w:val="Tabletext0"/>
            </w:pPr>
            <w:r w:rsidRPr="00D8428B">
              <w:t>General Schedule</w:t>
            </w:r>
          </w:p>
        </w:tc>
      </w:tr>
      <w:tr w:rsidR="003F0564" w:rsidRPr="00D8428B" w14:paraId="26EEA420"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hideMark/>
          </w:tcPr>
          <w:p w14:paraId="6E438211" w14:textId="77777777" w:rsidR="003F0564" w:rsidRPr="00D8428B" w:rsidRDefault="003F0564" w:rsidP="007C2792">
            <w:pPr>
              <w:pStyle w:val="Tabletext0"/>
            </w:pPr>
            <w:r w:rsidRPr="00D8428B">
              <w:t>PBS indication:</w:t>
            </w:r>
          </w:p>
        </w:tc>
        <w:tc>
          <w:tcPr>
            <w:tcW w:w="4059" w:type="pct"/>
            <w:gridSpan w:val="5"/>
            <w:tcBorders>
              <w:top w:val="single" w:sz="4" w:space="0" w:color="auto"/>
              <w:left w:val="single" w:sz="4" w:space="0" w:color="auto"/>
              <w:bottom w:val="single" w:sz="4" w:space="0" w:color="auto"/>
              <w:right w:val="single" w:sz="4" w:space="0" w:color="auto"/>
            </w:tcBorders>
          </w:tcPr>
          <w:p w14:paraId="2EE1C927" w14:textId="77777777" w:rsidR="003F0564" w:rsidRPr="002B44EB" w:rsidRDefault="003F0564" w:rsidP="007C2792">
            <w:pPr>
              <w:pStyle w:val="Tabletext0"/>
            </w:pPr>
            <w:r w:rsidRPr="002B44EB">
              <w:t>Severe psoriatic arthritis</w:t>
            </w:r>
          </w:p>
        </w:tc>
      </w:tr>
      <w:tr w:rsidR="003F0564" w:rsidRPr="00D8428B" w14:paraId="47576B8B"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Pr>
          <w:p w14:paraId="2C1B39FD" w14:textId="77777777" w:rsidR="003F0564" w:rsidRPr="00D8428B" w:rsidRDefault="003F0564" w:rsidP="007C2792">
            <w:pPr>
              <w:pStyle w:val="Tabletext0"/>
            </w:pPr>
            <w:r w:rsidRPr="00D8428B">
              <w:t>Restriction:</w:t>
            </w:r>
          </w:p>
        </w:tc>
        <w:tc>
          <w:tcPr>
            <w:tcW w:w="4059" w:type="pct"/>
            <w:gridSpan w:val="5"/>
            <w:tcBorders>
              <w:top w:val="single" w:sz="4" w:space="0" w:color="auto"/>
              <w:left w:val="single" w:sz="4" w:space="0" w:color="auto"/>
              <w:bottom w:val="single" w:sz="4" w:space="0" w:color="auto"/>
              <w:right w:val="single" w:sz="4" w:space="0" w:color="auto"/>
            </w:tcBorders>
          </w:tcPr>
          <w:p w14:paraId="2B8C7B00" w14:textId="5D4F69E6" w:rsidR="003F0564" w:rsidRPr="002B44EB" w:rsidRDefault="003F0564" w:rsidP="007C2792">
            <w:pPr>
              <w:pStyle w:val="Tabletext0"/>
            </w:pPr>
            <w:r w:rsidRPr="002B44EB">
              <w:t>Authority required</w:t>
            </w:r>
            <w:r w:rsidR="002B44EB" w:rsidRPr="002B44EB">
              <w:t xml:space="preserve"> – in Writing</w:t>
            </w:r>
          </w:p>
        </w:tc>
      </w:tr>
      <w:tr w:rsidR="003F0564" w:rsidRPr="00D8428B" w14:paraId="717160AA"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hideMark/>
          </w:tcPr>
          <w:p w14:paraId="7FC58457" w14:textId="77777777" w:rsidR="003F0564" w:rsidRPr="00D8428B" w:rsidRDefault="003F0564" w:rsidP="007C2792">
            <w:pPr>
              <w:pStyle w:val="Tabletext0"/>
            </w:pPr>
            <w:r w:rsidRPr="00D8428B">
              <w:t>Treatment phase:</w:t>
            </w:r>
          </w:p>
        </w:tc>
        <w:tc>
          <w:tcPr>
            <w:tcW w:w="4059" w:type="pct"/>
            <w:gridSpan w:val="5"/>
            <w:tcBorders>
              <w:top w:val="single" w:sz="4" w:space="0" w:color="auto"/>
              <w:left w:val="single" w:sz="4" w:space="0" w:color="auto"/>
              <w:bottom w:val="single" w:sz="4" w:space="0" w:color="auto"/>
              <w:right w:val="single" w:sz="4" w:space="0" w:color="auto"/>
            </w:tcBorders>
          </w:tcPr>
          <w:p w14:paraId="5772FD6F" w14:textId="77777777" w:rsidR="003F0564" w:rsidRPr="003F0564" w:rsidRDefault="003F0564" w:rsidP="007C2792">
            <w:pPr>
              <w:pStyle w:val="Tabletext0"/>
              <w:rPr>
                <w:highlight w:val="yellow"/>
              </w:rPr>
            </w:pPr>
            <w:r w:rsidRPr="00B03662">
              <w:t xml:space="preserve">Initial treatment – initial 1 (new patient) </w:t>
            </w:r>
          </w:p>
        </w:tc>
      </w:tr>
      <w:tr w:rsidR="003F0564" w:rsidRPr="00D8428B" w14:paraId="1ED0763D"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hideMark/>
          </w:tcPr>
          <w:p w14:paraId="259655B1" w14:textId="77777777" w:rsidR="003F0564" w:rsidRPr="00D8428B" w:rsidRDefault="003F0564" w:rsidP="007C2792">
            <w:pPr>
              <w:pStyle w:val="Tabletext0"/>
            </w:pPr>
            <w:r w:rsidRPr="00D8428B">
              <w:t>Clinical criteria:</w:t>
            </w:r>
          </w:p>
        </w:tc>
        <w:tc>
          <w:tcPr>
            <w:tcW w:w="4059" w:type="pct"/>
            <w:gridSpan w:val="5"/>
            <w:tcBorders>
              <w:top w:val="single" w:sz="4" w:space="0" w:color="auto"/>
              <w:left w:val="single" w:sz="4" w:space="0" w:color="auto"/>
              <w:bottom w:val="single" w:sz="4" w:space="0" w:color="auto"/>
              <w:right w:val="single" w:sz="4" w:space="0" w:color="auto"/>
            </w:tcBorders>
          </w:tcPr>
          <w:p w14:paraId="13622B90" w14:textId="77777777" w:rsidR="003F0564" w:rsidRPr="00AB3BF5" w:rsidRDefault="003F0564" w:rsidP="007C2792">
            <w:pPr>
              <w:pStyle w:val="TableText"/>
              <w:keepNext w:val="0"/>
              <w:rPr>
                <w:rFonts w:cs="Arial"/>
              </w:rPr>
            </w:pPr>
            <w:r w:rsidRPr="00AB3BF5">
              <w:rPr>
                <w:rFonts w:cs="Arial"/>
              </w:rPr>
              <w:t>Patient must not have received PBS-subsidised treatment with a biological medicine for this condition,</w:t>
            </w:r>
          </w:p>
          <w:p w14:paraId="382DF8FF" w14:textId="77777777" w:rsidR="003F0564" w:rsidRPr="00AB3BF5" w:rsidRDefault="003F0564" w:rsidP="007C2792">
            <w:pPr>
              <w:pStyle w:val="TableText"/>
              <w:keepNext w:val="0"/>
              <w:rPr>
                <w:rFonts w:cs="Arial"/>
              </w:rPr>
            </w:pPr>
            <w:r w:rsidRPr="00AB3BF5">
              <w:rPr>
                <w:rFonts w:cs="Arial"/>
              </w:rPr>
              <w:t>AND</w:t>
            </w:r>
          </w:p>
          <w:p w14:paraId="56B625A1" w14:textId="77777777" w:rsidR="003F0564" w:rsidRPr="00AB3BF5" w:rsidRDefault="003F0564" w:rsidP="007C2792">
            <w:pPr>
              <w:pStyle w:val="TableText"/>
              <w:keepNext w:val="0"/>
              <w:rPr>
                <w:rFonts w:cs="Arial"/>
              </w:rPr>
            </w:pPr>
            <w:r w:rsidRPr="00AB3BF5">
              <w:rPr>
                <w:rFonts w:cs="Arial"/>
              </w:rPr>
              <w:t>Patient must have failed to achieve an adequate response to methotrexate at a dose of at least 20 mg weekly for a minimum period of 3 months,</w:t>
            </w:r>
          </w:p>
          <w:p w14:paraId="24CE66E9" w14:textId="77777777" w:rsidR="003F0564" w:rsidRPr="00AB3BF5" w:rsidRDefault="003F0564" w:rsidP="007C2792">
            <w:pPr>
              <w:pStyle w:val="TableText"/>
              <w:keepNext w:val="0"/>
              <w:rPr>
                <w:rFonts w:cs="Arial"/>
              </w:rPr>
            </w:pPr>
            <w:r w:rsidRPr="00AB3BF5">
              <w:rPr>
                <w:rFonts w:cs="Arial"/>
              </w:rPr>
              <w:t>AND</w:t>
            </w:r>
          </w:p>
          <w:p w14:paraId="1D4EAED2" w14:textId="77777777" w:rsidR="003F0564" w:rsidRPr="00AB3BF5" w:rsidRDefault="003F0564" w:rsidP="007C2792">
            <w:pPr>
              <w:pStyle w:val="TableText"/>
              <w:keepNext w:val="0"/>
              <w:rPr>
                <w:rFonts w:cs="Arial"/>
              </w:rPr>
            </w:pPr>
            <w:r w:rsidRPr="00AB3BF5">
              <w:rPr>
                <w:rFonts w:cs="Arial"/>
              </w:rPr>
              <w:t>Patient must have failed to achieve an adequate response to sulfasalazine at a dose of at least 2 g per day for a minimum period of 3 months; OR</w:t>
            </w:r>
          </w:p>
          <w:p w14:paraId="6E956E46" w14:textId="77777777" w:rsidR="003F0564" w:rsidRPr="00AB3BF5" w:rsidRDefault="003F0564" w:rsidP="007C2792">
            <w:pPr>
              <w:pStyle w:val="TableText"/>
              <w:keepNext w:val="0"/>
              <w:rPr>
                <w:rFonts w:cs="Arial"/>
              </w:rPr>
            </w:pPr>
            <w:r w:rsidRPr="00AB3BF5">
              <w:rPr>
                <w:rFonts w:cs="Arial"/>
              </w:rPr>
              <w:t>Patient must have failed to achieve an adequate response to leflunomide at a dose of up to 20 mg daily for a minimum period of 3 months,</w:t>
            </w:r>
          </w:p>
          <w:p w14:paraId="75B47846" w14:textId="77777777" w:rsidR="003F0564" w:rsidRPr="00AB3BF5" w:rsidRDefault="003F0564" w:rsidP="007C2792">
            <w:pPr>
              <w:pStyle w:val="TableText"/>
              <w:keepNext w:val="0"/>
              <w:rPr>
                <w:rFonts w:cs="Arial"/>
              </w:rPr>
            </w:pPr>
            <w:r w:rsidRPr="00AB3BF5">
              <w:rPr>
                <w:rFonts w:cs="Arial"/>
              </w:rPr>
              <w:t>AND</w:t>
            </w:r>
          </w:p>
          <w:p w14:paraId="27771795" w14:textId="3A9FDCED" w:rsidR="003F0564" w:rsidRPr="003F0564" w:rsidRDefault="003F0564" w:rsidP="007C2792">
            <w:pPr>
              <w:pStyle w:val="Tabletext0"/>
              <w:rPr>
                <w:highlight w:val="yellow"/>
              </w:rPr>
            </w:pPr>
            <w:r w:rsidRPr="00AB3BF5">
              <w:rPr>
                <w:rFonts w:cs="Arial"/>
              </w:rPr>
              <w:t xml:space="preserve">Patient must not receive more than </w:t>
            </w:r>
            <w:r w:rsidR="00AB3BF5" w:rsidRPr="00AB3BF5">
              <w:rPr>
                <w:rFonts w:cs="Arial"/>
              </w:rPr>
              <w:t>16</w:t>
            </w:r>
            <w:r w:rsidRPr="00AB3BF5">
              <w:rPr>
                <w:rFonts w:cs="Arial"/>
              </w:rPr>
              <w:t xml:space="preserve"> weeks of treatment under this restriction.</w:t>
            </w:r>
          </w:p>
        </w:tc>
      </w:tr>
      <w:tr w:rsidR="003F0564" w:rsidRPr="00D8428B" w14:paraId="272355C1"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Pr>
          <w:p w14:paraId="3E54C419" w14:textId="77777777" w:rsidR="003F0564" w:rsidRPr="00D8428B" w:rsidRDefault="003F0564" w:rsidP="007C2792">
            <w:pPr>
              <w:pStyle w:val="Tabletext0"/>
              <w:rPr>
                <w:bCs/>
              </w:rPr>
            </w:pPr>
            <w:r w:rsidRPr="00D8428B">
              <w:rPr>
                <w:bCs/>
              </w:rPr>
              <w:t>Treatment phase:</w:t>
            </w:r>
          </w:p>
        </w:tc>
        <w:tc>
          <w:tcPr>
            <w:tcW w:w="4059" w:type="pct"/>
            <w:gridSpan w:val="5"/>
            <w:tcBorders>
              <w:top w:val="single" w:sz="4" w:space="0" w:color="auto"/>
              <w:left w:val="single" w:sz="4" w:space="0" w:color="auto"/>
              <w:bottom w:val="single" w:sz="4" w:space="0" w:color="auto"/>
              <w:right w:val="single" w:sz="4" w:space="0" w:color="auto"/>
            </w:tcBorders>
          </w:tcPr>
          <w:p w14:paraId="54F3C6ED" w14:textId="77777777" w:rsidR="003F0564" w:rsidRPr="00071D80" w:rsidRDefault="003F0564" w:rsidP="007C2792">
            <w:pPr>
              <w:pStyle w:val="TableText"/>
              <w:keepNext w:val="0"/>
              <w:rPr>
                <w:rFonts w:cs="Arial"/>
              </w:rPr>
            </w:pPr>
            <w:r w:rsidRPr="00071D80">
              <w:t>Initial 2 (change or recommencement of treatment after a break in biological medicine of less than 5 years)</w:t>
            </w:r>
          </w:p>
        </w:tc>
      </w:tr>
      <w:tr w:rsidR="003F0564" w:rsidRPr="00D8428B" w14:paraId="403A8B24"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Pr>
          <w:p w14:paraId="119D96EC" w14:textId="77777777" w:rsidR="003F0564" w:rsidRPr="00D8428B" w:rsidRDefault="003F0564" w:rsidP="007C2792">
            <w:pPr>
              <w:pStyle w:val="Tabletext0"/>
            </w:pPr>
            <w:r w:rsidRPr="00D8428B">
              <w:t>Clinical criteria:</w:t>
            </w:r>
          </w:p>
        </w:tc>
        <w:tc>
          <w:tcPr>
            <w:tcW w:w="4059" w:type="pct"/>
            <w:gridSpan w:val="5"/>
            <w:tcBorders>
              <w:top w:val="single" w:sz="4" w:space="0" w:color="auto"/>
              <w:left w:val="single" w:sz="4" w:space="0" w:color="auto"/>
              <w:bottom w:val="single" w:sz="4" w:space="0" w:color="auto"/>
              <w:right w:val="single" w:sz="4" w:space="0" w:color="auto"/>
            </w:tcBorders>
          </w:tcPr>
          <w:p w14:paraId="65B38BFC" w14:textId="77777777" w:rsidR="003F0564" w:rsidRPr="00071D80" w:rsidRDefault="003F0564" w:rsidP="007C2792">
            <w:pPr>
              <w:pStyle w:val="TableText"/>
              <w:keepNext w:val="0"/>
            </w:pPr>
            <w:r w:rsidRPr="00071D80">
              <w:t>Patient must have received prior PBS-subsidised treatment with a biological medicine for this condition in this treatment cycle,</w:t>
            </w:r>
          </w:p>
          <w:p w14:paraId="340E41DA" w14:textId="77777777" w:rsidR="003F0564" w:rsidRPr="00071D80" w:rsidRDefault="003F0564" w:rsidP="007C2792">
            <w:pPr>
              <w:pStyle w:val="TableText"/>
              <w:keepNext w:val="0"/>
            </w:pPr>
            <w:r w:rsidRPr="00071D80">
              <w:t>AND</w:t>
            </w:r>
          </w:p>
          <w:p w14:paraId="220112FA" w14:textId="77777777" w:rsidR="003F0564" w:rsidRPr="00071D80" w:rsidRDefault="003F0564" w:rsidP="007C2792">
            <w:pPr>
              <w:pStyle w:val="TableText"/>
              <w:keepNext w:val="0"/>
            </w:pPr>
            <w:r w:rsidRPr="00071D80">
              <w:t>Patient must not have already failed, or ceased to respond to, PBS-subsidised treatment with 3 biological medicines for this condition within this treatment cycle,</w:t>
            </w:r>
          </w:p>
          <w:p w14:paraId="1E41BEF0" w14:textId="77777777" w:rsidR="003F0564" w:rsidRPr="00071D80" w:rsidRDefault="003F0564" w:rsidP="007C2792">
            <w:pPr>
              <w:pStyle w:val="TableText"/>
              <w:keepNext w:val="0"/>
            </w:pPr>
            <w:r w:rsidRPr="00071D80">
              <w:t>AND</w:t>
            </w:r>
          </w:p>
          <w:p w14:paraId="5B46C6EA" w14:textId="77777777" w:rsidR="003F0564" w:rsidRPr="00071D80" w:rsidRDefault="003F0564" w:rsidP="007C2792">
            <w:pPr>
              <w:pStyle w:val="TableText"/>
              <w:keepNext w:val="0"/>
            </w:pPr>
            <w:r w:rsidRPr="00071D80">
              <w:t>Patient must not have already failed, or ceased to respond to, PBS-subsidised treatment with this drug for this condition during the current treatment cycle,</w:t>
            </w:r>
          </w:p>
          <w:p w14:paraId="4549F505" w14:textId="77777777" w:rsidR="003F0564" w:rsidRPr="00071D80" w:rsidRDefault="003F0564" w:rsidP="007C2792">
            <w:pPr>
              <w:pStyle w:val="TableText"/>
              <w:keepNext w:val="0"/>
            </w:pPr>
            <w:r w:rsidRPr="00071D80">
              <w:t>AND</w:t>
            </w:r>
          </w:p>
          <w:p w14:paraId="41499DE1" w14:textId="2A93A2D6" w:rsidR="003F0564" w:rsidRPr="00071D80" w:rsidRDefault="003F0564" w:rsidP="007C2792">
            <w:pPr>
              <w:pStyle w:val="TableText"/>
              <w:keepNext w:val="0"/>
              <w:rPr>
                <w:rFonts w:cs="Arial"/>
              </w:rPr>
            </w:pPr>
            <w:r w:rsidRPr="00071D80">
              <w:t xml:space="preserve">Patient must not receive more than </w:t>
            </w:r>
            <w:r w:rsidR="00071D80">
              <w:t>16</w:t>
            </w:r>
            <w:r w:rsidRPr="00071D80">
              <w:t xml:space="preserve"> weeks of treatment under this restriction.</w:t>
            </w:r>
          </w:p>
        </w:tc>
      </w:tr>
      <w:tr w:rsidR="003F0564" w:rsidRPr="00D8428B" w14:paraId="10A956B9"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Pr>
          <w:p w14:paraId="20F8CC15" w14:textId="77777777" w:rsidR="003F0564" w:rsidRPr="00246860" w:rsidRDefault="003F0564" w:rsidP="007C2792">
            <w:pPr>
              <w:pStyle w:val="Tabletext0"/>
            </w:pPr>
            <w:r w:rsidRPr="00246860">
              <w:t>Treatment phase:</w:t>
            </w:r>
          </w:p>
        </w:tc>
        <w:tc>
          <w:tcPr>
            <w:tcW w:w="4059" w:type="pct"/>
            <w:gridSpan w:val="5"/>
            <w:tcBorders>
              <w:top w:val="single" w:sz="4" w:space="0" w:color="auto"/>
              <w:left w:val="single" w:sz="4" w:space="0" w:color="auto"/>
              <w:bottom w:val="single" w:sz="4" w:space="0" w:color="auto"/>
              <w:right w:val="single" w:sz="4" w:space="0" w:color="auto"/>
            </w:tcBorders>
          </w:tcPr>
          <w:p w14:paraId="03B9F99B" w14:textId="77777777" w:rsidR="003F0564" w:rsidRPr="00246860" w:rsidRDefault="003F0564" w:rsidP="007C2792">
            <w:pPr>
              <w:pStyle w:val="TableText"/>
              <w:keepNext w:val="0"/>
              <w:rPr>
                <w:rFonts w:cs="Arial"/>
              </w:rPr>
            </w:pPr>
            <w:r w:rsidRPr="00246860">
              <w:t>Initial 3 (recommencement of treatment after a break in biological medicine of more than 5 years)</w:t>
            </w:r>
          </w:p>
        </w:tc>
      </w:tr>
      <w:tr w:rsidR="003F0564" w:rsidRPr="00D8428B" w14:paraId="6D9467F6"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Pr>
          <w:p w14:paraId="4B70BF83" w14:textId="77777777" w:rsidR="003F0564" w:rsidRPr="00246860" w:rsidRDefault="003F0564" w:rsidP="007C2792">
            <w:pPr>
              <w:pStyle w:val="Tabletext0"/>
            </w:pPr>
            <w:r w:rsidRPr="00246860">
              <w:t>Clinical criteria:</w:t>
            </w:r>
          </w:p>
        </w:tc>
        <w:tc>
          <w:tcPr>
            <w:tcW w:w="4059" w:type="pct"/>
            <w:gridSpan w:val="5"/>
            <w:tcBorders>
              <w:top w:val="single" w:sz="4" w:space="0" w:color="auto"/>
              <w:left w:val="single" w:sz="4" w:space="0" w:color="auto"/>
              <w:bottom w:val="single" w:sz="4" w:space="0" w:color="auto"/>
              <w:right w:val="single" w:sz="4" w:space="0" w:color="auto"/>
            </w:tcBorders>
          </w:tcPr>
          <w:p w14:paraId="3F6FE94B" w14:textId="77777777" w:rsidR="003F0564" w:rsidRPr="00246860" w:rsidRDefault="003F0564" w:rsidP="007C2792">
            <w:pPr>
              <w:pStyle w:val="TableText"/>
              <w:keepNext w:val="0"/>
            </w:pPr>
            <w:r w:rsidRPr="00246860">
              <w:t>Patient must have previously received PBS-subsidised treatment with a biological medicine for this condition,</w:t>
            </w:r>
          </w:p>
          <w:p w14:paraId="4355C0E1" w14:textId="77777777" w:rsidR="003F0564" w:rsidRPr="00246860" w:rsidRDefault="003F0564" w:rsidP="007C2792">
            <w:pPr>
              <w:pStyle w:val="TableText"/>
              <w:keepNext w:val="0"/>
            </w:pPr>
            <w:r w:rsidRPr="00246860">
              <w:t>AND</w:t>
            </w:r>
          </w:p>
          <w:p w14:paraId="4BD56163" w14:textId="77777777" w:rsidR="003F0564" w:rsidRPr="00246860" w:rsidRDefault="003F0564" w:rsidP="007C2792">
            <w:pPr>
              <w:pStyle w:val="TableText"/>
              <w:keepNext w:val="0"/>
            </w:pPr>
            <w:r w:rsidRPr="00246860">
              <w:t>Patient must have a break in treatment of 5 years or more from the most recently approved PBS-subsidised biological medicine for this condition,</w:t>
            </w:r>
          </w:p>
          <w:p w14:paraId="5405F126" w14:textId="77777777" w:rsidR="003F0564" w:rsidRPr="00246860" w:rsidRDefault="003F0564" w:rsidP="007C2792">
            <w:pPr>
              <w:pStyle w:val="TableText"/>
              <w:keepNext w:val="0"/>
            </w:pPr>
            <w:r w:rsidRPr="00246860">
              <w:t>AND</w:t>
            </w:r>
          </w:p>
          <w:p w14:paraId="03012503" w14:textId="77777777" w:rsidR="003F0564" w:rsidRPr="00246860" w:rsidRDefault="003F0564" w:rsidP="007C2792">
            <w:pPr>
              <w:pStyle w:val="TableText"/>
              <w:keepNext w:val="0"/>
            </w:pPr>
            <w:r w:rsidRPr="00246860">
              <w:t xml:space="preserve">The condition must have an elevated erythrocyte sedimentation rate (ESR) greater than 25 mm per hour; OR </w:t>
            </w:r>
          </w:p>
          <w:p w14:paraId="5DF58E46" w14:textId="77777777" w:rsidR="003F0564" w:rsidRPr="00246860" w:rsidRDefault="003F0564" w:rsidP="007C2792">
            <w:pPr>
              <w:pStyle w:val="TableText"/>
              <w:keepNext w:val="0"/>
            </w:pPr>
            <w:r w:rsidRPr="00246860">
              <w:t>The condition must have a C-reactive protein (CRP) level greater than 15 mg per L,</w:t>
            </w:r>
          </w:p>
          <w:p w14:paraId="305FF763" w14:textId="77777777" w:rsidR="003F0564" w:rsidRPr="00246860" w:rsidRDefault="003F0564" w:rsidP="007C2792">
            <w:pPr>
              <w:pStyle w:val="TableText"/>
              <w:keepNext w:val="0"/>
            </w:pPr>
            <w:r w:rsidRPr="00246860">
              <w:t>AND</w:t>
            </w:r>
          </w:p>
          <w:p w14:paraId="6CA26748" w14:textId="77777777" w:rsidR="003F0564" w:rsidRPr="00246860" w:rsidRDefault="003F0564" w:rsidP="007C2792">
            <w:pPr>
              <w:pStyle w:val="TableText"/>
              <w:keepNext w:val="0"/>
            </w:pPr>
            <w:r w:rsidRPr="00246860">
              <w:t>The condition must have either (a) a total active joint count of at least 20 active (swollen and tender) joints; or (b) at least 4 active major joints,</w:t>
            </w:r>
          </w:p>
          <w:p w14:paraId="2D611896" w14:textId="77777777" w:rsidR="003F0564" w:rsidRPr="00246860" w:rsidRDefault="003F0564" w:rsidP="007C2792">
            <w:pPr>
              <w:pStyle w:val="TableText"/>
              <w:keepNext w:val="0"/>
            </w:pPr>
            <w:r w:rsidRPr="00246860">
              <w:t>AND</w:t>
            </w:r>
          </w:p>
          <w:p w14:paraId="00F90DD5" w14:textId="62EDFE8B" w:rsidR="003F0564" w:rsidRPr="00246860" w:rsidRDefault="003F0564" w:rsidP="007C2792">
            <w:pPr>
              <w:pStyle w:val="TableText"/>
              <w:keepNext w:val="0"/>
              <w:rPr>
                <w:rFonts w:cs="Arial"/>
              </w:rPr>
            </w:pPr>
            <w:r w:rsidRPr="00246860">
              <w:t xml:space="preserve">Patient must not receive more than </w:t>
            </w:r>
            <w:r w:rsidR="00246860" w:rsidRPr="00246860">
              <w:t xml:space="preserve">16 </w:t>
            </w:r>
            <w:r w:rsidRPr="00246860">
              <w:t>weeks of treatment under this restriction.</w:t>
            </w:r>
          </w:p>
        </w:tc>
      </w:tr>
      <w:tr w:rsidR="003F0564" w:rsidRPr="00D8428B" w14:paraId="530BF280"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Pr>
          <w:p w14:paraId="7165426D" w14:textId="559346B1" w:rsidR="003F0564" w:rsidRPr="00D8428B" w:rsidRDefault="00482477" w:rsidP="007C2792">
            <w:pPr>
              <w:pStyle w:val="Tabletext0"/>
            </w:pPr>
            <w:r>
              <w:lastRenderedPageBreak/>
              <w:t>Treatment phase:</w:t>
            </w:r>
          </w:p>
        </w:tc>
        <w:tc>
          <w:tcPr>
            <w:tcW w:w="4059" w:type="pct"/>
            <w:gridSpan w:val="5"/>
            <w:tcBorders>
              <w:top w:val="single" w:sz="4" w:space="0" w:color="auto"/>
              <w:left w:val="single" w:sz="4" w:space="0" w:color="auto"/>
              <w:bottom w:val="single" w:sz="4" w:space="0" w:color="auto"/>
              <w:right w:val="single" w:sz="4" w:space="0" w:color="auto"/>
            </w:tcBorders>
          </w:tcPr>
          <w:p w14:paraId="54B230EE" w14:textId="5F23AA34" w:rsidR="003F0564" w:rsidRPr="003F0564" w:rsidRDefault="0033042A" w:rsidP="007C2792">
            <w:pPr>
              <w:pStyle w:val="Tabletext0"/>
              <w:rPr>
                <w:color w:val="000000"/>
                <w:highlight w:val="yellow"/>
              </w:rPr>
            </w:pPr>
            <w:r w:rsidRPr="00EE407C">
              <w:t>Transitioning from non-PBS to PBS-subsidised supply - 'Grandfather' arrangements</w:t>
            </w:r>
          </w:p>
        </w:tc>
      </w:tr>
      <w:tr w:rsidR="003F0564" w:rsidRPr="00D8428B" w14:paraId="3A9D2E76"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Pr>
          <w:p w14:paraId="0C6302C0" w14:textId="5D41ABAE" w:rsidR="003F0564" w:rsidRPr="00D8428B" w:rsidRDefault="00482477" w:rsidP="007C2792">
            <w:pPr>
              <w:pStyle w:val="Tabletext0"/>
            </w:pPr>
            <w:r>
              <w:t>Clinical criteria:</w:t>
            </w:r>
          </w:p>
        </w:tc>
        <w:tc>
          <w:tcPr>
            <w:tcW w:w="4059" w:type="pct"/>
            <w:gridSpan w:val="5"/>
            <w:tcBorders>
              <w:top w:val="single" w:sz="4" w:space="0" w:color="auto"/>
              <w:left w:val="single" w:sz="4" w:space="0" w:color="auto"/>
              <w:bottom w:val="single" w:sz="4" w:space="0" w:color="auto"/>
              <w:right w:val="single" w:sz="4" w:space="0" w:color="auto"/>
            </w:tcBorders>
          </w:tcPr>
          <w:p w14:paraId="790CBDD4"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 xml:space="preserve">Patient must have received treatment with this drug for this PBS indication prior to </w:t>
            </w:r>
            <w:r>
              <w:rPr>
                <w:rFonts w:ascii="Arial Narrow" w:hAnsi="Arial Narrow"/>
                <w:sz w:val="20"/>
                <w:szCs w:val="20"/>
              </w:rPr>
              <w:t>[LISTING DATE]</w:t>
            </w:r>
          </w:p>
          <w:p w14:paraId="15E68318"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AND</w:t>
            </w:r>
          </w:p>
          <w:p w14:paraId="7C4EA08D"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Patient must be receiving treatment with this drug for this condition at the time of application,</w:t>
            </w:r>
          </w:p>
          <w:p w14:paraId="0E5E77AD"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AND</w:t>
            </w:r>
          </w:p>
          <w:p w14:paraId="00DCA85E"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Patient must have failed to achieve an adequate response to methotrexate at a dose of at least 20 mg weekly for a minimum period of 3 months prior to initiating non-PBS subsidised treatment with this drug for this condition,</w:t>
            </w:r>
          </w:p>
          <w:p w14:paraId="58575751" w14:textId="77777777" w:rsidR="005C3DB9" w:rsidRPr="00057C21" w:rsidRDefault="005C3DB9" w:rsidP="005C3DB9">
            <w:pPr>
              <w:rPr>
                <w:rFonts w:ascii="Arial Narrow" w:hAnsi="Arial Narrow"/>
                <w:sz w:val="20"/>
                <w:szCs w:val="20"/>
              </w:rPr>
            </w:pPr>
            <w:r>
              <w:rPr>
                <w:rFonts w:ascii="Arial Narrow" w:hAnsi="Arial Narrow"/>
                <w:sz w:val="20"/>
                <w:szCs w:val="20"/>
              </w:rPr>
              <w:t>AND</w:t>
            </w:r>
          </w:p>
          <w:p w14:paraId="6D34A00E"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Patient must have failed to achieve an adequate response to sulfasalazine at a dose of at least 2 g per day for a minimum period of 3 months prior to initiating non-PBS subsidised treatment with this drug for this condition; OR</w:t>
            </w:r>
          </w:p>
          <w:p w14:paraId="2526245B"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Patient must have failed to achieve an adequate response to leflunomide at a dose of up to 20 mg daily for a minimum period of 3 months prior to initiating non-PBS subsidised treatment with this drug for this condition,</w:t>
            </w:r>
          </w:p>
          <w:p w14:paraId="10554965"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AND</w:t>
            </w:r>
          </w:p>
          <w:p w14:paraId="593396BF"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Patient must have demonstrated an adequate response following at least 12 weeks of non-PBS-subsidised treatment with this drug for this condition,</w:t>
            </w:r>
          </w:p>
          <w:p w14:paraId="2AF956A1" w14:textId="77777777" w:rsidR="005C3DB9" w:rsidRPr="00057C21" w:rsidRDefault="005C3DB9" w:rsidP="005C3DB9">
            <w:pPr>
              <w:rPr>
                <w:rFonts w:ascii="Arial Narrow" w:hAnsi="Arial Narrow"/>
                <w:sz w:val="20"/>
                <w:szCs w:val="20"/>
              </w:rPr>
            </w:pPr>
            <w:r w:rsidRPr="00057C21">
              <w:rPr>
                <w:rFonts w:ascii="Arial Narrow" w:hAnsi="Arial Narrow"/>
                <w:sz w:val="20"/>
                <w:szCs w:val="20"/>
              </w:rPr>
              <w:t>AND</w:t>
            </w:r>
          </w:p>
          <w:p w14:paraId="3C8E4FEE" w14:textId="715C9AE2" w:rsidR="003F0564" w:rsidRPr="003F0564" w:rsidRDefault="005C3DB9" w:rsidP="005C3DB9">
            <w:pPr>
              <w:pStyle w:val="Tabletext0"/>
              <w:rPr>
                <w:color w:val="000000"/>
                <w:highlight w:val="yellow"/>
              </w:rPr>
            </w:pPr>
            <w:r w:rsidRPr="00057C21">
              <w:rPr>
                <w:rFonts w:cs="Arial"/>
                <w:szCs w:val="20"/>
              </w:rPr>
              <w:t>Patient must not receive more than 24 weeks of treatment under this restriction</w:t>
            </w:r>
            <w:r>
              <w:rPr>
                <w:rFonts w:cs="Arial"/>
                <w:szCs w:val="20"/>
              </w:rPr>
              <w:t>.</w:t>
            </w:r>
          </w:p>
        </w:tc>
      </w:tr>
      <w:tr w:rsidR="00482477" w:rsidRPr="00D8428B" w14:paraId="693B0745"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Pr>
          <w:p w14:paraId="5DA18267" w14:textId="59E4135D" w:rsidR="00482477" w:rsidRPr="00D8428B" w:rsidRDefault="00482477" w:rsidP="00482477">
            <w:pPr>
              <w:pStyle w:val="Tabletext0"/>
            </w:pPr>
            <w:r w:rsidRPr="00D8428B">
              <w:t>Treatment phase:</w:t>
            </w:r>
          </w:p>
        </w:tc>
        <w:tc>
          <w:tcPr>
            <w:tcW w:w="4059" w:type="pct"/>
            <w:gridSpan w:val="5"/>
            <w:tcBorders>
              <w:top w:val="single" w:sz="4" w:space="0" w:color="auto"/>
              <w:left w:val="single" w:sz="4" w:space="0" w:color="auto"/>
              <w:bottom w:val="single" w:sz="4" w:space="0" w:color="auto"/>
              <w:right w:val="single" w:sz="4" w:space="0" w:color="auto"/>
            </w:tcBorders>
          </w:tcPr>
          <w:p w14:paraId="181498EA" w14:textId="1DC7C3CF" w:rsidR="00482477" w:rsidRPr="0033042A" w:rsidRDefault="00482477" w:rsidP="00482477">
            <w:pPr>
              <w:pStyle w:val="TableText"/>
              <w:keepNext w:val="0"/>
            </w:pPr>
            <w:r w:rsidRPr="0033042A">
              <w:rPr>
                <w:color w:val="000000"/>
              </w:rPr>
              <w:t>Continuing treatment</w:t>
            </w:r>
          </w:p>
        </w:tc>
      </w:tr>
      <w:tr w:rsidR="00482477" w:rsidRPr="00D8428B" w14:paraId="4911EC02" w14:textId="77777777" w:rsidTr="0033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Pr>
          <w:p w14:paraId="5A53DC15" w14:textId="13AF9AB1" w:rsidR="00482477" w:rsidRPr="00D8428B" w:rsidRDefault="00482477" w:rsidP="00482477">
            <w:pPr>
              <w:pStyle w:val="Tabletext0"/>
            </w:pPr>
            <w:r w:rsidRPr="00D8428B">
              <w:t>Clinical criteria:</w:t>
            </w:r>
          </w:p>
        </w:tc>
        <w:tc>
          <w:tcPr>
            <w:tcW w:w="4059" w:type="pct"/>
            <w:gridSpan w:val="5"/>
            <w:tcBorders>
              <w:top w:val="single" w:sz="4" w:space="0" w:color="auto"/>
              <w:left w:val="single" w:sz="4" w:space="0" w:color="auto"/>
              <w:bottom w:val="single" w:sz="4" w:space="0" w:color="auto"/>
              <w:right w:val="single" w:sz="4" w:space="0" w:color="auto"/>
            </w:tcBorders>
          </w:tcPr>
          <w:p w14:paraId="52CE3E82" w14:textId="77777777" w:rsidR="00482477" w:rsidRPr="0033042A" w:rsidRDefault="00482477" w:rsidP="00482477">
            <w:pPr>
              <w:pStyle w:val="TableText"/>
              <w:keepNext w:val="0"/>
            </w:pPr>
            <w:r w:rsidRPr="0033042A">
              <w:t>Patient must have received this drug as their most recent course of PBS-subsidised biological medicine treatment for this condition,</w:t>
            </w:r>
          </w:p>
          <w:p w14:paraId="4D40E2A2" w14:textId="77777777" w:rsidR="00482477" w:rsidRPr="0033042A" w:rsidRDefault="00482477" w:rsidP="00482477">
            <w:pPr>
              <w:pStyle w:val="TableText"/>
              <w:keepNext w:val="0"/>
            </w:pPr>
            <w:r w:rsidRPr="0033042A">
              <w:t>AND</w:t>
            </w:r>
          </w:p>
          <w:p w14:paraId="4D433FC9" w14:textId="77777777" w:rsidR="00482477" w:rsidRPr="0033042A" w:rsidRDefault="00482477" w:rsidP="00482477">
            <w:pPr>
              <w:pStyle w:val="TableText"/>
              <w:keepNext w:val="0"/>
            </w:pPr>
            <w:r w:rsidRPr="0033042A">
              <w:t>Patient must have demonstrated an adequate response to treatment with this drug,</w:t>
            </w:r>
          </w:p>
          <w:p w14:paraId="27F2E12E" w14:textId="77777777" w:rsidR="00482477" w:rsidRPr="0033042A" w:rsidRDefault="00482477" w:rsidP="00482477">
            <w:pPr>
              <w:pStyle w:val="TableText"/>
              <w:keepNext w:val="0"/>
            </w:pPr>
            <w:r w:rsidRPr="0033042A">
              <w:t>AND</w:t>
            </w:r>
          </w:p>
          <w:p w14:paraId="5E2EEB9E" w14:textId="2BB56F6A" w:rsidR="00482477" w:rsidRPr="0033042A" w:rsidRDefault="00482477" w:rsidP="00482477">
            <w:pPr>
              <w:pStyle w:val="TableText"/>
              <w:keepNext w:val="0"/>
            </w:pPr>
            <w:r w:rsidRPr="0033042A">
              <w:t>Patient must not receive more than 24 weeks of treatment under this restriction.</w:t>
            </w:r>
          </w:p>
        </w:tc>
      </w:tr>
    </w:tbl>
    <w:p w14:paraId="63E28AE7" w14:textId="77777777" w:rsidR="00B60939" w:rsidRPr="00882085" w:rsidRDefault="00B60939" w:rsidP="004B1CB4"/>
    <w:p w14:paraId="1E74CB00" w14:textId="08508D34" w:rsidR="00411BE4" w:rsidRPr="00411BE4" w:rsidRDefault="00411BE4" w:rsidP="00226307">
      <w:pPr>
        <w:pStyle w:val="ExecSumBodyText"/>
        <w:ind w:left="709" w:hanging="709"/>
      </w:pPr>
      <w:r w:rsidRPr="00411BE4">
        <w:t xml:space="preserve">The submission requested identical listings for both the 150 mg pre-filled syringe and pre-filled pen for subcutaneous injection. The requested maximum quantities permit up to </w:t>
      </w:r>
      <w:r w:rsidR="00BF78D7">
        <w:t>28</w:t>
      </w:r>
      <w:r w:rsidRPr="00411BE4">
        <w:t xml:space="preserve"> weeks of initial treatment (three doses) followed by 24 weeks of continuing therapy (two doses). The submission stated that this is in line with the PBS listing for </w:t>
      </w:r>
      <w:proofErr w:type="spellStart"/>
      <w:r w:rsidRPr="00411BE4">
        <w:t>ustekinumab</w:t>
      </w:r>
      <w:proofErr w:type="spellEnd"/>
      <w:r w:rsidRPr="00411BE4">
        <w:t xml:space="preserve"> for </w:t>
      </w:r>
      <w:proofErr w:type="spellStart"/>
      <w:r w:rsidR="00712153">
        <w:t>PsA</w:t>
      </w:r>
      <w:proofErr w:type="spellEnd"/>
      <w:r w:rsidRPr="00411BE4">
        <w:t>, which has an equivalent dosing schedule to risankizumab.</w:t>
      </w:r>
    </w:p>
    <w:p w14:paraId="533613E6" w14:textId="77777777" w:rsidR="00D3452D" w:rsidRPr="00226307" w:rsidRDefault="00411BE4" w:rsidP="00226307">
      <w:pPr>
        <w:pStyle w:val="ExecSumBodyText"/>
        <w:ind w:left="709" w:hanging="709"/>
      </w:pPr>
      <w:r w:rsidRPr="00A80098">
        <w:t>A special pricing arrangement was requested for risankizumab</w:t>
      </w:r>
      <w:r>
        <w:t>, but the submission did not nominate an effective price</w:t>
      </w:r>
      <w:r w:rsidRPr="00A80098">
        <w:t>. The s</w:t>
      </w:r>
      <w:r>
        <w:t>ubmission</w:t>
      </w:r>
      <w:r w:rsidRPr="00A80098">
        <w:t xml:space="preserve"> advised that once the effective price for </w:t>
      </w:r>
      <w:proofErr w:type="spellStart"/>
      <w:r w:rsidRPr="00A80098">
        <w:t>guselkumab</w:t>
      </w:r>
      <w:proofErr w:type="spellEnd"/>
      <w:r w:rsidRPr="00A80098">
        <w:t xml:space="preserve"> is known, the effective price for risankizumab will be calculated.</w:t>
      </w:r>
    </w:p>
    <w:p w14:paraId="69151113" w14:textId="6244E6A1" w:rsidR="00D3452D" w:rsidRPr="00226307" w:rsidRDefault="00D3452D" w:rsidP="00226307">
      <w:pPr>
        <w:pStyle w:val="ExecSumBodyText"/>
        <w:ind w:left="709" w:hanging="709"/>
      </w:pPr>
      <w:r w:rsidRPr="00411BE4">
        <w:t xml:space="preserve">The requested published DPMQ for risankizumab for severe </w:t>
      </w:r>
      <w:proofErr w:type="spellStart"/>
      <w:r w:rsidR="00712153">
        <w:t>PsA</w:t>
      </w:r>
      <w:proofErr w:type="spellEnd"/>
      <w:r w:rsidRPr="00411BE4">
        <w:t xml:space="preserve"> is the same as for the PBS listing for risankizumab for the treatment of psoriasis ($5,400.51).</w:t>
      </w:r>
    </w:p>
    <w:p w14:paraId="13B557EA" w14:textId="7377DDB3" w:rsidR="009D09EB" w:rsidRPr="009D09EB" w:rsidRDefault="009D09EB" w:rsidP="00226307">
      <w:pPr>
        <w:pStyle w:val="ExecSumBodyText"/>
        <w:ind w:left="709" w:hanging="709"/>
      </w:pPr>
      <w:r w:rsidRPr="009D09EB">
        <w:t xml:space="preserve">The requested restriction </w:t>
      </w:r>
      <w:r>
        <w:t>i</w:t>
      </w:r>
      <w:r w:rsidRPr="009D09EB">
        <w:t xml:space="preserve">s the same as the PBS restrictions for </w:t>
      </w:r>
      <w:proofErr w:type="spellStart"/>
      <w:r w:rsidRPr="009D09EB">
        <w:t>guselkumab</w:t>
      </w:r>
      <w:proofErr w:type="spellEnd"/>
      <w:r w:rsidRPr="009D09EB">
        <w:t xml:space="preserve"> and other PBS-listed </w:t>
      </w:r>
      <w:r w:rsidR="00560E48">
        <w:t>biologic disease-modifying anti-rheumatic drugs (</w:t>
      </w:r>
      <w:proofErr w:type="spellStart"/>
      <w:r w:rsidRPr="009D09EB">
        <w:t>bDMARDs</w:t>
      </w:r>
      <w:proofErr w:type="spellEnd"/>
      <w:r w:rsidR="00560E48">
        <w:t>)</w:t>
      </w:r>
      <w:r w:rsidRPr="009D09EB">
        <w:t xml:space="preserve"> for severe </w:t>
      </w:r>
      <w:proofErr w:type="spellStart"/>
      <w:r w:rsidRPr="009D09EB">
        <w:t>PsA.</w:t>
      </w:r>
      <w:proofErr w:type="spellEnd"/>
    </w:p>
    <w:p w14:paraId="70AB5387" w14:textId="7DA08962" w:rsidR="009D09EB" w:rsidRPr="009D09EB" w:rsidRDefault="009D09EB" w:rsidP="00226307">
      <w:pPr>
        <w:pStyle w:val="ExecSumBodyText"/>
        <w:ind w:left="709" w:hanging="709"/>
      </w:pPr>
      <w:r w:rsidRPr="009D09EB">
        <w:t xml:space="preserve">The requested restrictions are narrower than the proposed TGA indication, that specifies only the treatment of active </w:t>
      </w:r>
      <w:proofErr w:type="spellStart"/>
      <w:r w:rsidR="00780922">
        <w:t>PsA</w:t>
      </w:r>
      <w:proofErr w:type="spellEnd"/>
      <w:r w:rsidRPr="009D09EB">
        <w:t xml:space="preserve"> in adults. The proposed TGA indication also specifies that risankizumab may be used as monotherapy or in combination with</w:t>
      </w:r>
      <w:r w:rsidR="00850343">
        <w:t xml:space="preserve"> conventional synthetic </w:t>
      </w:r>
      <w:r w:rsidR="00560E48">
        <w:t xml:space="preserve">DMARDs </w:t>
      </w:r>
      <w:r w:rsidR="00780922">
        <w:t>(</w:t>
      </w:r>
      <w:proofErr w:type="spellStart"/>
      <w:r w:rsidR="00850343">
        <w:t>cs</w:t>
      </w:r>
      <w:r w:rsidRPr="009D09EB">
        <w:t>DMARDs</w:t>
      </w:r>
      <w:proofErr w:type="spellEnd"/>
      <w:r w:rsidR="00780922">
        <w:t>)</w:t>
      </w:r>
      <w:r w:rsidRPr="009D09EB">
        <w:t>, while the requested restrictions do not mention co-administered therapies.</w:t>
      </w:r>
    </w:p>
    <w:p w14:paraId="059997BC" w14:textId="760E2080" w:rsidR="00F67A69" w:rsidRDefault="009D09EB" w:rsidP="00226307">
      <w:pPr>
        <w:pStyle w:val="ExecSumBodyText"/>
        <w:ind w:left="709" w:hanging="709"/>
      </w:pPr>
      <w:r w:rsidRPr="009D09EB">
        <w:lastRenderedPageBreak/>
        <w:t xml:space="preserve">A grandfathering restriction was also requested to allow </w:t>
      </w:r>
      <w:r w:rsidR="00C619FE" w:rsidRPr="00C619FE">
        <w:rPr>
          <w:color w:val="000000"/>
          <w:w w:val="63"/>
          <w:shd w:val="solid" w:color="000000" w:fill="000000"/>
          <w:fitText w:val="480" w:id="-1502405888"/>
          <w14:textFill>
            <w14:solidFill>
              <w14:srgbClr w14:val="000000">
                <w14:alpha w14:val="100000"/>
              </w14:srgbClr>
            </w14:solidFill>
          </w14:textFill>
        </w:rPr>
        <w:t>||</w:t>
      </w:r>
      <w:proofErr w:type="gramStart"/>
      <w:r w:rsidR="00C619FE" w:rsidRPr="00C619FE">
        <w:rPr>
          <w:color w:val="000000"/>
          <w:w w:val="63"/>
          <w:shd w:val="solid" w:color="000000" w:fill="000000"/>
          <w:fitText w:val="480" w:id="-1502405888"/>
          <w14:textFill>
            <w14:solidFill>
              <w14:srgbClr w14:val="000000">
                <w14:alpha w14:val="100000"/>
              </w14:srgbClr>
            </w14:solidFill>
          </w14:textFill>
        </w:rPr>
        <w:t>|  |</w:t>
      </w:r>
      <w:proofErr w:type="gramEnd"/>
      <w:r w:rsidR="00C619FE" w:rsidRPr="00C619FE">
        <w:rPr>
          <w:color w:val="000000"/>
          <w:w w:val="63"/>
          <w:shd w:val="solid" w:color="000000" w:fill="000000"/>
          <w:fitText w:val="480" w:id="-1502405888"/>
          <w14:textFill>
            <w14:solidFill>
              <w14:srgbClr w14:val="000000">
                <w14:alpha w14:val="100000"/>
              </w14:srgbClr>
            </w14:solidFill>
          </w14:textFill>
        </w:rPr>
        <w:t>||</w:t>
      </w:r>
      <w:r w:rsidRPr="009D09EB">
        <w:t xml:space="preserve"> patients enrolled in the long-term extension phases of the risankizumab clinical trials to transition to PBS-subsidised risankizumab treatment.</w:t>
      </w:r>
    </w:p>
    <w:p w14:paraId="14243F0A" w14:textId="77777777" w:rsidR="00C372DA" w:rsidRPr="00C33D30" w:rsidRDefault="00C372DA" w:rsidP="00C372DA">
      <w:pPr>
        <w:ind w:firstLine="709"/>
        <w:rPr>
          <w:rFonts w:asciiTheme="minorHAnsi" w:hAnsiTheme="minorHAnsi"/>
          <w:i/>
        </w:rPr>
      </w:pPr>
      <w:bookmarkStart w:id="5" w:name="_Hlk76375324"/>
      <w:r w:rsidRPr="00C33D30">
        <w:rPr>
          <w:rFonts w:asciiTheme="minorHAnsi" w:hAnsiTheme="minorHAnsi"/>
          <w:i/>
        </w:rPr>
        <w:t>For more detail on PBAC’s view, see section 7 PBAC outcome.</w:t>
      </w:r>
    </w:p>
    <w:p w14:paraId="7075B85C" w14:textId="1655A25A" w:rsidR="00B50DB8" w:rsidRPr="00407F2D" w:rsidRDefault="00203181" w:rsidP="004E18E9">
      <w:pPr>
        <w:pStyle w:val="2-SectionHeading"/>
      </w:pPr>
      <w:bookmarkStart w:id="6" w:name="_Toc93484126"/>
      <w:bookmarkEnd w:id="5"/>
      <w:r>
        <w:t xml:space="preserve">Population and </w:t>
      </w:r>
      <w:r w:rsidR="008E0D3C">
        <w:t>d</w:t>
      </w:r>
      <w:r>
        <w:t>isease</w:t>
      </w:r>
      <w:bookmarkEnd w:id="6"/>
    </w:p>
    <w:p w14:paraId="54924429" w14:textId="700242B4" w:rsidR="00151CCB" w:rsidRPr="00D8428B" w:rsidRDefault="00956F1E" w:rsidP="00A117B2">
      <w:pPr>
        <w:pStyle w:val="ExecSumBodyText"/>
        <w:ind w:left="709" w:hanging="709"/>
      </w:pPr>
      <w:proofErr w:type="spellStart"/>
      <w:r>
        <w:t>Ps</w:t>
      </w:r>
      <w:r w:rsidRPr="00956F1E">
        <w:t>A</w:t>
      </w:r>
      <w:proofErr w:type="spellEnd"/>
      <w:r w:rsidRPr="00956F1E">
        <w:t xml:space="preserve"> is a common, chronic systemic inflammatory disease classified as a subtype of </w:t>
      </w:r>
      <w:proofErr w:type="spellStart"/>
      <w:r w:rsidRPr="00956F1E">
        <w:t>spondyloarthritis</w:t>
      </w:r>
      <w:proofErr w:type="spellEnd"/>
      <w:r w:rsidRPr="00956F1E">
        <w:t xml:space="preserve">, characterised by features of arthritis and psoriasis. </w:t>
      </w:r>
      <w:r w:rsidR="00266D09">
        <w:t>It</w:t>
      </w:r>
      <w:r w:rsidRPr="00956F1E">
        <w:t xml:space="preserve"> is a clinically heterogeneous and progressive condition with flares and remission, with a prevalence estimated to be between 0.02% to 0.17% across regions (Li et al, 2012; Scottie et al, 2018). No Australian-specific prevalence estimates are available. </w:t>
      </w:r>
      <w:proofErr w:type="spellStart"/>
      <w:r w:rsidRPr="00956F1E">
        <w:t>PsA</w:t>
      </w:r>
      <w:proofErr w:type="spellEnd"/>
      <w:r w:rsidRPr="00956F1E">
        <w:t xml:space="preserve"> can develop at any age but appears in most patients between 30 and 50 years of age, affecting men and women equally (Duarte et al 2012). Varying combinations of disease manifestations occur, such as axial joint inflammation, </w:t>
      </w:r>
      <w:proofErr w:type="spellStart"/>
      <w:r w:rsidRPr="00956F1E">
        <w:t>enthesitis</w:t>
      </w:r>
      <w:proofErr w:type="spellEnd"/>
      <w:r w:rsidRPr="00956F1E">
        <w:t xml:space="preserve"> (inflammation of the sites where tendons or ligaments insert into the bone), dactylitis (severe inflammation of finger or toe joints), and anterior uveitis (inflammation of the middle layer of the eye).</w:t>
      </w:r>
      <w:r w:rsidR="00591D98" w:rsidRPr="00D8428B">
        <w:t xml:space="preserve"> </w:t>
      </w:r>
    </w:p>
    <w:p w14:paraId="50C15CAF" w14:textId="61BA8898" w:rsidR="00956F1E" w:rsidRDefault="00956F1E" w:rsidP="00226307">
      <w:pPr>
        <w:pStyle w:val="ExecSumBodyText"/>
        <w:ind w:left="709" w:hanging="709"/>
      </w:pPr>
      <w:r w:rsidRPr="00956F1E">
        <w:t>Risankizumab is a humanised monoclonal antibody that inhibits IL-23. IL-23 is a key upstream regulator of multiple cytokines, including TNF and IL-17, that drive the induction and maintenance of psoriatic arthritis pathogenesis. IL-23 inhibitors encompass a broader inflammatory pathway than TNF inhibitors (</w:t>
      </w:r>
      <w:proofErr w:type="gramStart"/>
      <w:r w:rsidRPr="00956F1E">
        <w:t>e.g.</w:t>
      </w:r>
      <w:proofErr w:type="gramEnd"/>
      <w:r w:rsidRPr="00956F1E">
        <w:t xml:space="preserve"> adalimumab) or IL-17 inhibitors (e.g. </w:t>
      </w:r>
      <w:proofErr w:type="spellStart"/>
      <w:r w:rsidRPr="00956F1E">
        <w:t>ixekizumab</w:t>
      </w:r>
      <w:proofErr w:type="spellEnd"/>
      <w:r w:rsidRPr="00956F1E">
        <w:t xml:space="preserve">, </w:t>
      </w:r>
      <w:proofErr w:type="spellStart"/>
      <w:r w:rsidRPr="00956F1E">
        <w:t>secukinumab</w:t>
      </w:r>
      <w:proofErr w:type="spellEnd"/>
      <w:r w:rsidRPr="00956F1E">
        <w:t>).</w:t>
      </w:r>
      <w:r w:rsidR="00135BFD" w:rsidRPr="00135BFD">
        <w:t xml:space="preserve"> Risankizumab was listed on the PBS for the treatment of severe chronic plaque psoriasis on 1 December 2019.</w:t>
      </w:r>
    </w:p>
    <w:p w14:paraId="3C896D58" w14:textId="705C7F13" w:rsidR="00591D98" w:rsidRDefault="007146B6" w:rsidP="00226307">
      <w:pPr>
        <w:pStyle w:val="ExecSumBodyText"/>
        <w:ind w:left="709" w:hanging="709"/>
      </w:pPr>
      <w:r w:rsidRPr="007146B6">
        <w:t xml:space="preserve">The submission positioned risankizumab as an alternative to other </w:t>
      </w:r>
      <w:proofErr w:type="spellStart"/>
      <w:r w:rsidRPr="007146B6">
        <w:t>bDMARDs</w:t>
      </w:r>
      <w:proofErr w:type="spellEnd"/>
      <w:r w:rsidRPr="007146B6">
        <w:t xml:space="preserve"> as </w:t>
      </w:r>
      <w:proofErr w:type="gramStart"/>
      <w:r w:rsidRPr="007146B6">
        <w:t>second-line</w:t>
      </w:r>
      <w:proofErr w:type="gramEnd"/>
      <w:r w:rsidRPr="007146B6">
        <w:t xml:space="preserve"> (or subsequent-line) therapy in patients who have failed to achieve or maintain an adequate response to at least two </w:t>
      </w:r>
      <w:proofErr w:type="spellStart"/>
      <w:r w:rsidRPr="007146B6">
        <w:t>csDMARDs</w:t>
      </w:r>
      <w:proofErr w:type="spellEnd"/>
      <w:r w:rsidRPr="007146B6">
        <w:t xml:space="preserve"> (methotrexate and either leflunomide or sulfasalazine).</w:t>
      </w:r>
    </w:p>
    <w:p w14:paraId="51E5AE96" w14:textId="136A63B1" w:rsidR="00B50DB8" w:rsidRPr="00407F2D" w:rsidRDefault="00B50DB8" w:rsidP="004E18E9">
      <w:pPr>
        <w:pStyle w:val="2-SectionHeading"/>
      </w:pPr>
      <w:bookmarkStart w:id="7" w:name="_Toc93484127"/>
      <w:r w:rsidRPr="00407F2D">
        <w:t>Comparator</w:t>
      </w:r>
      <w:bookmarkEnd w:id="7"/>
    </w:p>
    <w:p w14:paraId="5F4156F4" w14:textId="77777777" w:rsidR="004F2B61" w:rsidRPr="00226307" w:rsidRDefault="004231F0" w:rsidP="00226307">
      <w:pPr>
        <w:pStyle w:val="ExecSumBodyText"/>
        <w:ind w:left="709" w:hanging="709"/>
      </w:pPr>
      <w:r>
        <w:t xml:space="preserve">The submission nominated </w:t>
      </w:r>
      <w:proofErr w:type="spellStart"/>
      <w:r>
        <w:t>guselkumab</w:t>
      </w:r>
      <w:proofErr w:type="spellEnd"/>
      <w:r>
        <w:t xml:space="preserve"> as the main comparator. The main arguments provided in support of this nomination were</w:t>
      </w:r>
      <w:r w:rsidR="00560832">
        <w:t xml:space="preserve"> that </w:t>
      </w:r>
      <w:proofErr w:type="spellStart"/>
      <w:r w:rsidR="00560832">
        <w:t>guselkumab</w:t>
      </w:r>
      <w:proofErr w:type="spellEnd"/>
      <w:r w:rsidR="00560832">
        <w:t xml:space="preserve"> is an IL-23 inhibitor, a pharmacological analogue to risankizumab; and is currently the only IL-23 inhibitor listed on the PBS for patients with severe </w:t>
      </w:r>
      <w:proofErr w:type="spellStart"/>
      <w:r w:rsidR="00560832">
        <w:t>PsA.</w:t>
      </w:r>
      <w:proofErr w:type="spellEnd"/>
    </w:p>
    <w:p w14:paraId="4CEA88CA" w14:textId="68B1BE0F" w:rsidR="004F2B61" w:rsidRPr="00226307" w:rsidRDefault="004F2B61" w:rsidP="00226307">
      <w:pPr>
        <w:pStyle w:val="ExecSumBodyText"/>
        <w:ind w:left="709" w:hanging="709"/>
      </w:pPr>
      <w:r w:rsidRPr="00D8428B">
        <w:t xml:space="preserve">Currently, there are </w:t>
      </w:r>
      <w:r>
        <w:t xml:space="preserve">eleven </w:t>
      </w:r>
      <w:proofErr w:type="spellStart"/>
      <w:r>
        <w:t>bDMARDs</w:t>
      </w:r>
      <w:proofErr w:type="spellEnd"/>
      <w:r w:rsidRPr="00D8428B">
        <w:t xml:space="preserve"> listed on the PBS for the treatment of severe </w:t>
      </w:r>
      <w:proofErr w:type="spellStart"/>
      <w:r w:rsidRPr="00D8428B">
        <w:t>PsA</w:t>
      </w:r>
      <w:proofErr w:type="spellEnd"/>
      <w:r w:rsidRPr="00D8428B">
        <w:t xml:space="preserve"> across </w:t>
      </w:r>
      <w:r>
        <w:t xml:space="preserve">five </w:t>
      </w:r>
      <w:r w:rsidRPr="00D8428B">
        <w:t xml:space="preserve">classes of medicines with different mechanisms of action: </w:t>
      </w:r>
    </w:p>
    <w:p w14:paraId="5C8E86EC" w14:textId="16D517C9" w:rsidR="004F2B61" w:rsidRPr="00D8428B" w:rsidRDefault="004F2B61" w:rsidP="005C3782">
      <w:pPr>
        <w:pStyle w:val="ListParagraph"/>
        <w:numPr>
          <w:ilvl w:val="0"/>
          <w:numId w:val="18"/>
        </w:numPr>
        <w:ind w:left="1134" w:hanging="425"/>
      </w:pPr>
      <w:r w:rsidRPr="00D8428B">
        <w:t xml:space="preserve">TNF inhibitors: adalimumab, etanercept, golimumab, infliximab, certolizumab </w:t>
      </w:r>
      <w:proofErr w:type="gramStart"/>
      <w:r w:rsidRPr="00D8428B">
        <w:t>pegol;</w:t>
      </w:r>
      <w:proofErr w:type="gramEnd"/>
    </w:p>
    <w:p w14:paraId="62DAE7E5" w14:textId="77777777" w:rsidR="004F2B61" w:rsidRPr="00D8428B" w:rsidRDefault="004F2B61" w:rsidP="005C3782">
      <w:pPr>
        <w:pStyle w:val="ListParagraph"/>
        <w:numPr>
          <w:ilvl w:val="0"/>
          <w:numId w:val="18"/>
        </w:numPr>
        <w:ind w:left="1134" w:hanging="425"/>
      </w:pPr>
      <w:r w:rsidRPr="00D8428B">
        <w:t xml:space="preserve">IL-17 inhibitors: </w:t>
      </w:r>
      <w:proofErr w:type="spellStart"/>
      <w:r w:rsidRPr="00D8428B">
        <w:t>secukinumab</w:t>
      </w:r>
      <w:proofErr w:type="spellEnd"/>
      <w:r w:rsidRPr="00D8428B">
        <w:t xml:space="preserve">, </w:t>
      </w:r>
      <w:proofErr w:type="spellStart"/>
      <w:proofErr w:type="gramStart"/>
      <w:r w:rsidRPr="00D8428B">
        <w:t>ixekizumab</w:t>
      </w:r>
      <w:proofErr w:type="spellEnd"/>
      <w:r w:rsidRPr="00D8428B">
        <w:t>;</w:t>
      </w:r>
      <w:proofErr w:type="gramEnd"/>
    </w:p>
    <w:p w14:paraId="02FF2612" w14:textId="77777777" w:rsidR="004F2B61" w:rsidRDefault="004F2B61" w:rsidP="005C3782">
      <w:pPr>
        <w:pStyle w:val="ListParagraph"/>
        <w:numPr>
          <w:ilvl w:val="0"/>
          <w:numId w:val="18"/>
        </w:numPr>
        <w:ind w:left="1134" w:hanging="425"/>
      </w:pPr>
      <w:r w:rsidRPr="00D8428B">
        <w:t xml:space="preserve">IL-12/23 inhibitors: </w:t>
      </w:r>
      <w:proofErr w:type="spellStart"/>
      <w:proofErr w:type="gramStart"/>
      <w:r w:rsidRPr="00D8428B">
        <w:t>ustekinumab</w:t>
      </w:r>
      <w:proofErr w:type="spellEnd"/>
      <w:r w:rsidRPr="00D8428B">
        <w:t>;</w:t>
      </w:r>
      <w:proofErr w:type="gramEnd"/>
      <w:r w:rsidRPr="00D8428B">
        <w:t xml:space="preserve"> </w:t>
      </w:r>
    </w:p>
    <w:p w14:paraId="0C35E76E" w14:textId="77777777" w:rsidR="004F2B61" w:rsidRDefault="004F2B61" w:rsidP="005C3782">
      <w:pPr>
        <w:pStyle w:val="ListParagraph"/>
        <w:numPr>
          <w:ilvl w:val="0"/>
          <w:numId w:val="18"/>
        </w:numPr>
        <w:ind w:left="1134" w:hanging="425"/>
      </w:pPr>
      <w:r>
        <w:t xml:space="preserve">IL-23 inhibitors: </w:t>
      </w:r>
      <w:proofErr w:type="spellStart"/>
      <w:r>
        <w:t>guselkumab</w:t>
      </w:r>
      <w:proofErr w:type="spellEnd"/>
      <w:r>
        <w:t xml:space="preserve">; </w:t>
      </w:r>
      <w:r w:rsidRPr="00D8428B">
        <w:t>and</w:t>
      </w:r>
    </w:p>
    <w:p w14:paraId="03869843" w14:textId="77777777" w:rsidR="004F2B61" w:rsidRDefault="004F2B61" w:rsidP="005C3782">
      <w:pPr>
        <w:pStyle w:val="ListParagraph"/>
        <w:numPr>
          <w:ilvl w:val="0"/>
          <w:numId w:val="18"/>
        </w:numPr>
        <w:spacing w:after="120"/>
        <w:ind w:left="1134" w:hanging="425"/>
      </w:pPr>
      <w:r w:rsidRPr="00D8428B">
        <w:lastRenderedPageBreak/>
        <w:t>JAK inhibitor</w:t>
      </w:r>
      <w:r>
        <w:t>s</w:t>
      </w:r>
      <w:r w:rsidRPr="00D8428B">
        <w:t>: tofacitinib</w:t>
      </w:r>
      <w:r>
        <w:t xml:space="preserve">, </w:t>
      </w:r>
      <w:proofErr w:type="spellStart"/>
      <w:r>
        <w:t>upadacitinib</w:t>
      </w:r>
      <w:proofErr w:type="spellEnd"/>
      <w:r w:rsidRPr="00D8428B">
        <w:t>.</w:t>
      </w:r>
    </w:p>
    <w:p w14:paraId="4854EB13" w14:textId="7EADB963" w:rsidR="00CC2DBC" w:rsidRPr="00F02B3C" w:rsidRDefault="00CC2DBC" w:rsidP="00226307">
      <w:pPr>
        <w:pStyle w:val="ExecSumBodyText"/>
        <w:ind w:left="709" w:hanging="709"/>
      </w:pPr>
      <w:r w:rsidRPr="00F02B3C">
        <w:t xml:space="preserve">Although the nomination of </w:t>
      </w:r>
      <w:proofErr w:type="spellStart"/>
      <w:r w:rsidRPr="00F02B3C">
        <w:t>guselkumab</w:t>
      </w:r>
      <w:proofErr w:type="spellEnd"/>
      <w:r w:rsidRPr="00F02B3C">
        <w:t xml:space="preserve"> as the main comparator was considered reasonable, </w:t>
      </w:r>
      <w:r w:rsidR="00CE1F42" w:rsidRPr="00F02B3C">
        <w:t xml:space="preserve">risankizumab could replace </w:t>
      </w:r>
      <w:r w:rsidRPr="00F02B3C">
        <w:t xml:space="preserve">any of the current PBS-listed </w:t>
      </w:r>
      <w:proofErr w:type="spellStart"/>
      <w:r w:rsidRPr="00F02B3C">
        <w:t>bDMARDs</w:t>
      </w:r>
      <w:proofErr w:type="spellEnd"/>
      <w:r w:rsidRPr="00F02B3C">
        <w:t xml:space="preserve">. The submission’s financial estimates </w:t>
      </w:r>
      <w:proofErr w:type="gramStart"/>
      <w:r w:rsidRPr="00F02B3C">
        <w:t>were based on an assumption</w:t>
      </w:r>
      <w:proofErr w:type="gramEnd"/>
      <w:r w:rsidRPr="00F02B3C">
        <w:t xml:space="preserve"> that risankizumab would take a proportion of market share from all of the current PBS-listed </w:t>
      </w:r>
      <w:proofErr w:type="spellStart"/>
      <w:r w:rsidRPr="00F02B3C">
        <w:t>bDMARDs</w:t>
      </w:r>
      <w:proofErr w:type="spellEnd"/>
      <w:r w:rsidRPr="00F02B3C">
        <w:t xml:space="preserve"> for </w:t>
      </w:r>
      <w:proofErr w:type="spellStart"/>
      <w:r w:rsidRPr="00F02B3C">
        <w:t>PsA.</w:t>
      </w:r>
      <w:proofErr w:type="spellEnd"/>
      <w:r w:rsidRPr="00F02B3C">
        <w:t xml:space="preserve"> This is consistent with the PBAC’s consideration of </w:t>
      </w:r>
      <w:proofErr w:type="spellStart"/>
      <w:r w:rsidRPr="00F02B3C">
        <w:t>guselkumab</w:t>
      </w:r>
      <w:proofErr w:type="spellEnd"/>
      <w:r w:rsidRPr="00F02B3C">
        <w:t xml:space="preserve"> for the treatment of </w:t>
      </w:r>
      <w:proofErr w:type="spellStart"/>
      <w:r w:rsidRPr="00F02B3C">
        <w:t>PsA</w:t>
      </w:r>
      <w:proofErr w:type="spellEnd"/>
      <w:r w:rsidRPr="00F02B3C">
        <w:t xml:space="preserve">, whereby </w:t>
      </w:r>
      <w:proofErr w:type="spellStart"/>
      <w:r w:rsidRPr="00F02B3C">
        <w:t>guselkumab</w:t>
      </w:r>
      <w:proofErr w:type="spellEnd"/>
      <w:r w:rsidRPr="00F02B3C">
        <w:t xml:space="preserve"> could replace any of the current PBS-listed </w:t>
      </w:r>
      <w:proofErr w:type="spellStart"/>
      <w:r w:rsidRPr="00F02B3C">
        <w:t>bDMARDs</w:t>
      </w:r>
      <w:proofErr w:type="spellEnd"/>
      <w:r w:rsidRPr="00F02B3C">
        <w:t xml:space="preserve"> for severe </w:t>
      </w:r>
      <w:proofErr w:type="spellStart"/>
      <w:r w:rsidRPr="00F02B3C">
        <w:t>PsA</w:t>
      </w:r>
      <w:proofErr w:type="spellEnd"/>
      <w:r w:rsidRPr="00F02B3C">
        <w:t xml:space="preserve"> (</w:t>
      </w:r>
      <w:r w:rsidR="00C46FB9">
        <w:t>p</w:t>
      </w:r>
      <w:r w:rsidRPr="00F02B3C">
        <w:t xml:space="preserve">ara 5.1, </w:t>
      </w:r>
      <w:proofErr w:type="spellStart"/>
      <w:r w:rsidRPr="00F02B3C">
        <w:t>guselkumab</w:t>
      </w:r>
      <w:proofErr w:type="spellEnd"/>
      <w:r w:rsidRPr="00F02B3C">
        <w:t xml:space="preserve"> </w:t>
      </w:r>
      <w:r w:rsidR="008B6808" w:rsidRPr="00F02B3C">
        <w:t>Public Summary Document (</w:t>
      </w:r>
      <w:r w:rsidRPr="00F02B3C">
        <w:t>PSD</w:t>
      </w:r>
      <w:r w:rsidR="008B6808" w:rsidRPr="00F02B3C">
        <w:t>)</w:t>
      </w:r>
      <w:r w:rsidRPr="00F02B3C">
        <w:t>, November 2020 PBAC meeting).</w:t>
      </w:r>
    </w:p>
    <w:p w14:paraId="1E5CA968" w14:textId="0FE46720" w:rsidR="002E1071" w:rsidRPr="00F02B3C" w:rsidRDefault="00AA6BD8" w:rsidP="00226307">
      <w:pPr>
        <w:pStyle w:val="ExecSumBodyText"/>
        <w:ind w:left="709" w:hanging="709"/>
      </w:pPr>
      <w:r w:rsidRPr="00F02B3C">
        <w:t xml:space="preserve">In the context of the cost-minimisation approach taken by the submission, a further consideration for PBAC is that, under Section 101(3B) of the </w:t>
      </w:r>
      <w:r w:rsidRPr="00C46FB9">
        <w:rPr>
          <w:i/>
          <w:iCs/>
        </w:rPr>
        <w:t>National Health Act 1953</w:t>
      </w:r>
      <w:r w:rsidRPr="00F02B3C">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14:paraId="30A067BB" w14:textId="127A5FA1" w:rsidR="00B50DB8" w:rsidRPr="00C372DA" w:rsidRDefault="00CC2DBC" w:rsidP="00226307">
      <w:pPr>
        <w:pStyle w:val="ExecSumBodyText"/>
        <w:ind w:left="709" w:hanging="709"/>
        <w:rPr>
          <w:i/>
          <w:iCs/>
        </w:rPr>
      </w:pPr>
      <w:r w:rsidRPr="00F02B3C">
        <w:t xml:space="preserve">The PBAC has previously considered that </w:t>
      </w:r>
      <w:proofErr w:type="spellStart"/>
      <w:r w:rsidRPr="00F02B3C">
        <w:t>ustekinumab</w:t>
      </w:r>
      <w:proofErr w:type="spellEnd"/>
      <w:r w:rsidRPr="00F02B3C">
        <w:t xml:space="preserve">, </w:t>
      </w:r>
      <w:proofErr w:type="spellStart"/>
      <w:r w:rsidRPr="00F02B3C">
        <w:t>secukinumab</w:t>
      </w:r>
      <w:proofErr w:type="spellEnd"/>
      <w:r w:rsidRPr="00F02B3C">
        <w:t xml:space="preserve">, certolizumab pegol and tofacitinib were ‘lower tier’ medicines and etanercept, adalimumab, infliximab, </w:t>
      </w:r>
      <w:proofErr w:type="spellStart"/>
      <w:r w:rsidRPr="00F02B3C">
        <w:t>ixekizumab</w:t>
      </w:r>
      <w:proofErr w:type="spellEnd"/>
      <w:r w:rsidRPr="00F02B3C">
        <w:t xml:space="preserve"> and golimumab were ‘higher tier’ medicines for the treatment of </w:t>
      </w:r>
      <w:proofErr w:type="spellStart"/>
      <w:r w:rsidRPr="00F02B3C">
        <w:t>PsA</w:t>
      </w:r>
      <w:proofErr w:type="spellEnd"/>
      <w:r w:rsidRPr="00F02B3C">
        <w:t xml:space="preserve"> (para 5.2, </w:t>
      </w:r>
      <w:proofErr w:type="spellStart"/>
      <w:r w:rsidRPr="00F02B3C">
        <w:t>guselkumab</w:t>
      </w:r>
      <w:proofErr w:type="spellEnd"/>
      <w:r w:rsidRPr="00F02B3C">
        <w:t xml:space="preserve"> PSD, November 2020 PBAC meeting). The PBAC recommended listing </w:t>
      </w:r>
      <w:proofErr w:type="spellStart"/>
      <w:r w:rsidRPr="00F02B3C">
        <w:t>guselkumab</w:t>
      </w:r>
      <w:proofErr w:type="spellEnd"/>
      <w:r w:rsidRPr="00F02B3C">
        <w:t xml:space="preserve"> on a cost minimisation basis with the least costly </w:t>
      </w:r>
      <w:proofErr w:type="spellStart"/>
      <w:r w:rsidRPr="00F02B3C">
        <w:t>bDMARD</w:t>
      </w:r>
      <w:proofErr w:type="spellEnd"/>
      <w:r w:rsidRPr="00F02B3C">
        <w:t xml:space="preserve"> for severe </w:t>
      </w:r>
      <w:proofErr w:type="spellStart"/>
      <w:r w:rsidRPr="00F02B3C">
        <w:t>PsA.</w:t>
      </w:r>
      <w:proofErr w:type="spellEnd"/>
      <w:r w:rsidRPr="00F02B3C">
        <w:t xml:space="preserve"> The PBAC considered that </w:t>
      </w:r>
      <w:proofErr w:type="spellStart"/>
      <w:r w:rsidRPr="00F02B3C">
        <w:t>guselkumab</w:t>
      </w:r>
      <w:proofErr w:type="spellEnd"/>
      <w:r w:rsidRPr="00F02B3C">
        <w:t xml:space="preserve"> must be less expensive than the ‘higher tier’ </w:t>
      </w:r>
      <w:proofErr w:type="spellStart"/>
      <w:r w:rsidRPr="00F02B3C">
        <w:t>bDMARDs</w:t>
      </w:r>
      <w:proofErr w:type="spellEnd"/>
      <w:r w:rsidRPr="00F02B3C">
        <w:t xml:space="preserve"> to account for the lack of evidence to support non-inferiority to the higher tier </w:t>
      </w:r>
      <w:proofErr w:type="gramStart"/>
      <w:r w:rsidRPr="00F02B3C">
        <w:t>medicines, and</w:t>
      </w:r>
      <w:proofErr w:type="gramEnd"/>
      <w:r w:rsidRPr="00F02B3C">
        <w:t xml:space="preserve"> could not be any more costly than any of the ‘lower tier’ </w:t>
      </w:r>
      <w:proofErr w:type="spellStart"/>
      <w:r w:rsidRPr="00F02B3C">
        <w:t>bDMARDs</w:t>
      </w:r>
      <w:proofErr w:type="spellEnd"/>
      <w:r w:rsidRPr="00F02B3C">
        <w:t xml:space="preserve"> currently listed on the PBS for this condition (para 7.1, </w:t>
      </w:r>
      <w:proofErr w:type="spellStart"/>
      <w:r w:rsidRPr="00F02B3C">
        <w:t>guselkumab</w:t>
      </w:r>
      <w:proofErr w:type="spellEnd"/>
      <w:r w:rsidRPr="00F02B3C">
        <w:t xml:space="preserve"> PSD, November 2020 PBAC meeting).</w:t>
      </w:r>
      <w:r w:rsidR="00BC591F" w:rsidRPr="00F02B3C">
        <w:t xml:space="preserve"> </w:t>
      </w:r>
    </w:p>
    <w:p w14:paraId="01B3FAD6" w14:textId="77777777" w:rsidR="00C372DA" w:rsidRPr="00C33D30" w:rsidRDefault="00C372DA" w:rsidP="00C372DA">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407F2D" w:rsidRDefault="00223D5A" w:rsidP="00223D5A">
      <w:pPr>
        <w:pStyle w:val="2-SectionHeading"/>
        <w:numPr>
          <w:ilvl w:val="0"/>
          <w:numId w:val="1"/>
        </w:numPr>
      </w:pPr>
      <w:bookmarkStart w:id="8" w:name="_Toc93484128"/>
      <w:bookmarkStart w:id="9" w:name="_Toc22897640"/>
      <w:r>
        <w:t>C</w:t>
      </w:r>
      <w:r w:rsidRPr="00407F2D">
        <w:t>onsideration of the evidence</w:t>
      </w:r>
      <w:bookmarkEnd w:id="8"/>
    </w:p>
    <w:p w14:paraId="6A48F329" w14:textId="3C370C9B" w:rsidR="00C372DA" w:rsidRPr="00C372DA" w:rsidRDefault="00C372DA" w:rsidP="00C372DA">
      <w:pPr>
        <w:pStyle w:val="3-SubsectionHeading"/>
      </w:pPr>
      <w:bookmarkStart w:id="10" w:name="_Hlk76375935"/>
      <w:bookmarkStart w:id="11" w:name="_Toc93484129"/>
      <w:r w:rsidRPr="006E1229">
        <w:t>Sponsor hearing</w:t>
      </w:r>
    </w:p>
    <w:p w14:paraId="0BA56BBA" w14:textId="26EB61D7" w:rsidR="00C372DA" w:rsidRPr="00F91542" w:rsidRDefault="00C372DA" w:rsidP="00C372DA">
      <w:pPr>
        <w:widowControl w:val="0"/>
        <w:numPr>
          <w:ilvl w:val="1"/>
          <w:numId w:val="1"/>
        </w:numPr>
        <w:spacing w:after="120"/>
        <w:ind w:left="720" w:hanging="720"/>
        <w:rPr>
          <w:rFonts w:cs="Calibri"/>
          <w:bCs/>
          <w:snapToGrid w:val="0"/>
        </w:rPr>
      </w:pPr>
      <w:r w:rsidRPr="00F91542">
        <w:rPr>
          <w:rFonts w:cs="Calibri"/>
          <w:bCs/>
          <w:snapToGrid w:val="0"/>
        </w:rPr>
        <w:t>There was no hearing for this item.</w:t>
      </w:r>
    </w:p>
    <w:p w14:paraId="17CBD00D" w14:textId="77777777" w:rsidR="00C372DA" w:rsidRPr="006E1229" w:rsidRDefault="00C372DA" w:rsidP="00C372DA">
      <w:pPr>
        <w:pStyle w:val="3-SubsectionHeading"/>
      </w:pPr>
      <w:r w:rsidRPr="006E1229">
        <w:t>Consumer comments</w:t>
      </w:r>
    </w:p>
    <w:p w14:paraId="00F94F14" w14:textId="714549AF" w:rsidR="00C372DA" w:rsidRPr="00836F75" w:rsidRDefault="00C372DA" w:rsidP="00C372DA">
      <w:pPr>
        <w:widowControl w:val="0"/>
        <w:numPr>
          <w:ilvl w:val="1"/>
          <w:numId w:val="1"/>
        </w:numPr>
        <w:spacing w:after="120"/>
        <w:ind w:left="720" w:hanging="720"/>
        <w:rPr>
          <w:rFonts w:asciiTheme="minorHAnsi" w:hAnsiTheme="minorHAnsi"/>
          <w:bCs/>
          <w:snapToGrid w:val="0"/>
        </w:rPr>
      </w:pPr>
      <w:bookmarkStart w:id="12" w:name="_Hlk76382618"/>
      <w:r w:rsidRPr="00836F75">
        <w:rPr>
          <w:rFonts w:asciiTheme="minorHAnsi" w:hAnsiTheme="minorHAnsi"/>
          <w:bCs/>
          <w:snapToGrid w:val="0"/>
        </w:rPr>
        <w:t xml:space="preserve">The PBAC noted and welcomed the input from </w:t>
      </w:r>
      <w:r>
        <w:rPr>
          <w:rFonts w:asciiTheme="minorHAnsi" w:hAnsiTheme="minorHAnsi"/>
          <w:bCs/>
          <w:snapToGrid w:val="0"/>
        </w:rPr>
        <w:t xml:space="preserve">consumer organisation Creaky Joints Australia </w:t>
      </w:r>
      <w:r w:rsidRPr="00836F75">
        <w:rPr>
          <w:rFonts w:asciiTheme="minorHAnsi" w:hAnsiTheme="minorHAnsi"/>
          <w:bCs/>
          <w:snapToGrid w:val="0"/>
        </w:rPr>
        <w:t xml:space="preserve">via the Consumer Comments facility on the PBS website. The comments </w:t>
      </w:r>
      <w:r>
        <w:rPr>
          <w:rFonts w:asciiTheme="minorHAnsi" w:hAnsiTheme="minorHAnsi"/>
          <w:bCs/>
          <w:snapToGrid w:val="0"/>
        </w:rPr>
        <w:t xml:space="preserve">outlined the benefit of an additional treatment option for patients </w:t>
      </w:r>
      <w:r w:rsidR="001D00E8">
        <w:rPr>
          <w:rFonts w:asciiTheme="minorHAnsi" w:hAnsiTheme="minorHAnsi"/>
          <w:bCs/>
          <w:snapToGrid w:val="0"/>
        </w:rPr>
        <w:t>with severe psoriatic arthritis.</w:t>
      </w:r>
    </w:p>
    <w:bookmarkEnd w:id="10"/>
    <w:bookmarkEnd w:id="12"/>
    <w:p w14:paraId="609C0765" w14:textId="694880A1" w:rsidR="00B60939" w:rsidRPr="00C9624D" w:rsidRDefault="00B60939" w:rsidP="002E4F02">
      <w:pPr>
        <w:pStyle w:val="3-SubsectionHeading"/>
      </w:pPr>
      <w:r w:rsidRPr="00C9624D">
        <w:lastRenderedPageBreak/>
        <w:t>Clinical trials</w:t>
      </w:r>
      <w:bookmarkEnd w:id="9"/>
      <w:bookmarkEnd w:id="11"/>
    </w:p>
    <w:p w14:paraId="714A6C37" w14:textId="37C8F7E9" w:rsidR="00294576" w:rsidRDefault="00856427" w:rsidP="00226307">
      <w:pPr>
        <w:pStyle w:val="ExecSumBodyText"/>
        <w:ind w:left="709" w:hanging="709"/>
      </w:pPr>
      <w:r>
        <w:t>T</w:t>
      </w:r>
      <w:r w:rsidR="00294576">
        <w:t xml:space="preserve">he submission was based on an indirect comparison of two randomised trials of risankizumab, and two randomised trials of </w:t>
      </w:r>
      <w:proofErr w:type="spellStart"/>
      <w:r w:rsidR="00294576">
        <w:t>guselkumab</w:t>
      </w:r>
      <w:proofErr w:type="spellEnd"/>
      <w:r w:rsidR="00294576">
        <w:t>, with placebo as common reference:</w:t>
      </w:r>
    </w:p>
    <w:p w14:paraId="4F267AA2" w14:textId="7954FEE5" w:rsidR="00294576" w:rsidRDefault="00294576" w:rsidP="005C3782">
      <w:pPr>
        <w:pStyle w:val="ListParagraph"/>
        <w:numPr>
          <w:ilvl w:val="0"/>
          <w:numId w:val="18"/>
        </w:numPr>
        <w:ind w:left="1134" w:hanging="425"/>
      </w:pPr>
      <w:r>
        <w:t>Risankizumab versus placebo: one trial (</w:t>
      </w:r>
      <w:proofErr w:type="spellStart"/>
      <w:r>
        <w:t>KEEPsAKE</w:t>
      </w:r>
      <w:proofErr w:type="spellEnd"/>
      <w:r>
        <w:t xml:space="preserve"> 1</w:t>
      </w:r>
      <w:r w:rsidR="00F05D89">
        <w:t>, N=</w:t>
      </w:r>
      <w:r w:rsidR="005015FB">
        <w:t>964</w:t>
      </w:r>
      <w:r>
        <w:t xml:space="preserve">) in </w:t>
      </w:r>
      <w:proofErr w:type="spellStart"/>
      <w:r w:rsidR="00230A8C">
        <w:t>PsA</w:t>
      </w:r>
      <w:proofErr w:type="spellEnd"/>
      <w:r w:rsidR="00230A8C">
        <w:t xml:space="preserve"> </w:t>
      </w:r>
      <w:r>
        <w:t xml:space="preserve">patients with an inadequate response to </w:t>
      </w:r>
      <w:proofErr w:type="spellStart"/>
      <w:r>
        <w:t>csDMARDs</w:t>
      </w:r>
      <w:proofErr w:type="spellEnd"/>
      <w:r>
        <w:t xml:space="preserve"> (referred to as </w:t>
      </w:r>
      <w:proofErr w:type="spellStart"/>
      <w:r>
        <w:t>csDMARD</w:t>
      </w:r>
      <w:proofErr w:type="spellEnd"/>
      <w:r>
        <w:t>-IR in the submission); and one trial (</w:t>
      </w:r>
      <w:proofErr w:type="spellStart"/>
      <w:r>
        <w:t>KEEPsAKE</w:t>
      </w:r>
      <w:proofErr w:type="spellEnd"/>
      <w:r>
        <w:t xml:space="preserve"> 2</w:t>
      </w:r>
      <w:r w:rsidR="005015FB">
        <w:t>, N=</w:t>
      </w:r>
      <w:r w:rsidR="0042089A">
        <w:t>443</w:t>
      </w:r>
      <w:r>
        <w:t xml:space="preserve">) in a mixed population of patients with an inadequate response to either </w:t>
      </w:r>
      <w:proofErr w:type="spellStart"/>
      <w:r>
        <w:t>csDMARDs</w:t>
      </w:r>
      <w:proofErr w:type="spellEnd"/>
      <w:r>
        <w:t xml:space="preserve"> or </w:t>
      </w:r>
      <w:proofErr w:type="spellStart"/>
      <w:r>
        <w:t>bDMARD</w:t>
      </w:r>
      <w:r w:rsidR="00EC4AB0">
        <w:t>s</w:t>
      </w:r>
      <w:proofErr w:type="spellEnd"/>
      <w:r>
        <w:t xml:space="preserve"> (</w:t>
      </w:r>
      <w:proofErr w:type="spellStart"/>
      <w:r>
        <w:t>bDMARD</w:t>
      </w:r>
      <w:proofErr w:type="spellEnd"/>
      <w:r>
        <w:t xml:space="preserve">-IR and </w:t>
      </w:r>
      <w:proofErr w:type="spellStart"/>
      <w:r>
        <w:t>csDMARD</w:t>
      </w:r>
      <w:proofErr w:type="spellEnd"/>
      <w:r>
        <w:t>-IR</w:t>
      </w:r>
      <w:proofErr w:type="gramStart"/>
      <w:r>
        <w:t>);</w:t>
      </w:r>
      <w:proofErr w:type="gramEnd"/>
    </w:p>
    <w:p w14:paraId="17DE34DC" w14:textId="0B6B1795" w:rsidR="007F1017" w:rsidRPr="002E4F02" w:rsidRDefault="00294576" w:rsidP="005C3782">
      <w:pPr>
        <w:pStyle w:val="ListParagraph"/>
        <w:numPr>
          <w:ilvl w:val="0"/>
          <w:numId w:val="18"/>
        </w:numPr>
        <w:spacing w:after="120"/>
        <w:ind w:left="1134" w:hanging="425"/>
      </w:pPr>
      <w:proofErr w:type="spellStart"/>
      <w:r>
        <w:t>Guselkumab</w:t>
      </w:r>
      <w:proofErr w:type="spellEnd"/>
      <w:r>
        <w:t xml:space="preserve"> versus placebo: one trial (DISCOVER 2</w:t>
      </w:r>
      <w:r w:rsidR="0042089A">
        <w:t>, N=739</w:t>
      </w:r>
      <w:r>
        <w:t xml:space="preserve">) in a </w:t>
      </w:r>
      <w:proofErr w:type="spellStart"/>
      <w:r>
        <w:t>csDMARD</w:t>
      </w:r>
      <w:proofErr w:type="spellEnd"/>
      <w:r>
        <w:t xml:space="preserve">-IR </w:t>
      </w:r>
      <w:proofErr w:type="spellStart"/>
      <w:r w:rsidR="00230A8C">
        <w:t>PsA</w:t>
      </w:r>
      <w:proofErr w:type="spellEnd"/>
      <w:r w:rsidR="00230A8C">
        <w:t xml:space="preserve"> </w:t>
      </w:r>
      <w:r>
        <w:t>patient population; and one trial (DISCOVER 1</w:t>
      </w:r>
      <w:r w:rsidR="0042089A">
        <w:t>, N=</w:t>
      </w:r>
      <w:r w:rsidR="00381DDE">
        <w:t>381</w:t>
      </w:r>
      <w:r>
        <w:t>) in a mixed population (</w:t>
      </w:r>
      <w:proofErr w:type="spellStart"/>
      <w:r>
        <w:t>bDMARD</w:t>
      </w:r>
      <w:proofErr w:type="spellEnd"/>
      <w:r>
        <w:t xml:space="preserve">-IR and </w:t>
      </w:r>
      <w:proofErr w:type="spellStart"/>
      <w:r>
        <w:t>csDMARD</w:t>
      </w:r>
      <w:proofErr w:type="spellEnd"/>
      <w:r>
        <w:t>-IR).</w:t>
      </w:r>
      <w:r w:rsidR="00BC591F" w:rsidRPr="002E4F02">
        <w:t xml:space="preserve"> </w:t>
      </w:r>
    </w:p>
    <w:p w14:paraId="2B59ABAC" w14:textId="56096874" w:rsidR="00862502" w:rsidRPr="00B50DB8" w:rsidRDefault="00A73134" w:rsidP="00226307">
      <w:pPr>
        <w:pStyle w:val="ExecSumBodyText"/>
        <w:ind w:left="709" w:hanging="709"/>
      </w:pPr>
      <w:r w:rsidRPr="00226307">
        <w:t>Details of the trials presented in the submission are provided in the table below.</w:t>
      </w:r>
    </w:p>
    <w:p w14:paraId="7DE3A286" w14:textId="477B19ED" w:rsidR="008E0D3C" w:rsidRDefault="008E0D3C" w:rsidP="0064506A">
      <w:pPr>
        <w:pStyle w:val="Caption"/>
      </w:pPr>
      <w:r w:rsidRPr="00042AE7">
        <w:lastRenderedPageBreak/>
        <w:t>Table</w:t>
      </w:r>
      <w:r w:rsidR="0064506A">
        <w:t xml:space="preserve"> </w:t>
      </w:r>
      <w:fldSimple w:instr=" SEQ Table \* ARABIC ">
        <w:r w:rsidR="00001652">
          <w:rPr>
            <w:noProof/>
          </w:rPr>
          <w:t>2</w:t>
        </w:r>
      </w:fldSimple>
      <w:r w:rsidRPr="00042AE7">
        <w:t>:</w:t>
      </w:r>
      <w:r w:rsidR="00BC591F" w:rsidRPr="00042AE7">
        <w:t xml:space="preserve"> </w:t>
      </w:r>
      <w:r w:rsidRPr="00042AE7">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52"/>
        <w:gridCol w:w="5275"/>
        <w:gridCol w:w="2490"/>
      </w:tblGrid>
      <w:tr w:rsidR="00E43747" w:rsidRPr="006B23DA" w14:paraId="67378626" w14:textId="77777777" w:rsidTr="00E43747">
        <w:trPr>
          <w:tblHeader/>
        </w:trPr>
        <w:tc>
          <w:tcPr>
            <w:tcW w:w="694" w:type="pct"/>
            <w:vAlign w:val="center"/>
          </w:tcPr>
          <w:p w14:paraId="37DF58B0" w14:textId="77777777" w:rsidR="00E43747" w:rsidRPr="006B23DA" w:rsidRDefault="00E43747" w:rsidP="005B53DA">
            <w:pPr>
              <w:pStyle w:val="Tableheadingrow"/>
              <w:keepLines/>
              <w:rPr>
                <w:szCs w:val="20"/>
              </w:rPr>
            </w:pPr>
            <w:r w:rsidRPr="006B23DA">
              <w:rPr>
                <w:szCs w:val="20"/>
              </w:rPr>
              <w:t>Trial ID</w:t>
            </w:r>
          </w:p>
        </w:tc>
        <w:tc>
          <w:tcPr>
            <w:tcW w:w="2925" w:type="pct"/>
            <w:vAlign w:val="center"/>
          </w:tcPr>
          <w:p w14:paraId="0E5A2E55" w14:textId="77777777" w:rsidR="00E43747" w:rsidRPr="006B23DA" w:rsidRDefault="00E43747" w:rsidP="005B53DA">
            <w:pPr>
              <w:pStyle w:val="Tableheadingrow"/>
              <w:keepLines/>
              <w:rPr>
                <w:szCs w:val="20"/>
              </w:rPr>
            </w:pPr>
            <w:r w:rsidRPr="006B23DA">
              <w:rPr>
                <w:szCs w:val="20"/>
              </w:rPr>
              <w:t>Protocol title/ Publication title</w:t>
            </w:r>
          </w:p>
        </w:tc>
        <w:tc>
          <w:tcPr>
            <w:tcW w:w="1381" w:type="pct"/>
            <w:vAlign w:val="center"/>
          </w:tcPr>
          <w:p w14:paraId="34B036EA" w14:textId="77777777" w:rsidR="00E43747" w:rsidRPr="006B23DA" w:rsidRDefault="00E43747" w:rsidP="005B53DA">
            <w:pPr>
              <w:pStyle w:val="Tableheadingrow"/>
              <w:keepLines/>
              <w:rPr>
                <w:szCs w:val="20"/>
              </w:rPr>
            </w:pPr>
            <w:r w:rsidRPr="006B23DA">
              <w:rPr>
                <w:szCs w:val="20"/>
              </w:rPr>
              <w:t>Publication citation</w:t>
            </w:r>
          </w:p>
        </w:tc>
      </w:tr>
      <w:tr w:rsidR="00E43747" w:rsidRPr="006B23DA" w14:paraId="35775031" w14:textId="77777777" w:rsidTr="007C2792">
        <w:tc>
          <w:tcPr>
            <w:tcW w:w="5000" w:type="pct"/>
            <w:gridSpan w:val="3"/>
            <w:vAlign w:val="center"/>
          </w:tcPr>
          <w:p w14:paraId="58224329" w14:textId="77777777" w:rsidR="00E43747" w:rsidRPr="006B23DA" w:rsidRDefault="00E43747" w:rsidP="005B53DA">
            <w:pPr>
              <w:pStyle w:val="Tableheadingrow"/>
              <w:keepLines/>
              <w:rPr>
                <w:szCs w:val="20"/>
              </w:rPr>
            </w:pPr>
            <w:r w:rsidRPr="006B23DA">
              <w:rPr>
                <w:szCs w:val="20"/>
              </w:rPr>
              <w:t>Risankizumab trials</w:t>
            </w:r>
          </w:p>
        </w:tc>
      </w:tr>
      <w:tr w:rsidR="00E43747" w:rsidRPr="006B23DA" w14:paraId="1541AFE1" w14:textId="77777777" w:rsidTr="00E43747">
        <w:trPr>
          <w:trHeight w:val="938"/>
        </w:trPr>
        <w:tc>
          <w:tcPr>
            <w:tcW w:w="694" w:type="pct"/>
            <w:vAlign w:val="center"/>
          </w:tcPr>
          <w:p w14:paraId="3D4C288A" w14:textId="77777777" w:rsidR="00E43747" w:rsidRPr="006B23DA" w:rsidRDefault="00E43747" w:rsidP="005B53DA">
            <w:pPr>
              <w:pStyle w:val="TableText"/>
              <w:keepLines/>
              <w:rPr>
                <w:szCs w:val="20"/>
              </w:rPr>
            </w:pPr>
            <w:proofErr w:type="spellStart"/>
            <w:r w:rsidRPr="006B23DA">
              <w:rPr>
                <w:szCs w:val="20"/>
              </w:rPr>
              <w:t>KEEPsAKE</w:t>
            </w:r>
            <w:proofErr w:type="spellEnd"/>
            <w:r w:rsidRPr="006B23DA">
              <w:rPr>
                <w:szCs w:val="20"/>
              </w:rPr>
              <w:t xml:space="preserve"> 1</w:t>
            </w:r>
          </w:p>
        </w:tc>
        <w:tc>
          <w:tcPr>
            <w:tcW w:w="2925" w:type="pct"/>
          </w:tcPr>
          <w:p w14:paraId="2DBC0D93" w14:textId="77777777" w:rsidR="00E43747" w:rsidRPr="006B23DA" w:rsidRDefault="00E43747" w:rsidP="005B53DA">
            <w:pPr>
              <w:pStyle w:val="TableText"/>
              <w:keepLines/>
              <w:rPr>
                <w:szCs w:val="20"/>
              </w:rPr>
            </w:pPr>
            <w:r w:rsidRPr="006B23DA">
              <w:rPr>
                <w:szCs w:val="20"/>
              </w:rPr>
              <w:t>A Phase 3, Randomized, Double-Blind, Study Comparing Risankizumab to Placebo in Subjects with Active Psoriatic Arthritis (</w:t>
            </w:r>
            <w:proofErr w:type="spellStart"/>
            <w:r w:rsidRPr="006B23DA">
              <w:rPr>
                <w:szCs w:val="20"/>
              </w:rPr>
              <w:t>PsA</w:t>
            </w:r>
            <w:proofErr w:type="spellEnd"/>
            <w:r w:rsidRPr="006B23DA">
              <w:rPr>
                <w:szCs w:val="20"/>
              </w:rPr>
              <w:t>) Who Have a History of Inadequate Response to or Intolerance to at Least One Disease Modifying Anti-Rheumatic Drug (DMARD) Therapy (</w:t>
            </w:r>
            <w:proofErr w:type="spellStart"/>
            <w:r w:rsidRPr="006B23DA">
              <w:rPr>
                <w:szCs w:val="20"/>
              </w:rPr>
              <w:t>KEEPsAKE</w:t>
            </w:r>
            <w:proofErr w:type="spellEnd"/>
            <w:r w:rsidRPr="006B23DA">
              <w:rPr>
                <w:szCs w:val="20"/>
              </w:rPr>
              <w:t xml:space="preserve"> 1) (NCT03675308)</w:t>
            </w:r>
          </w:p>
        </w:tc>
        <w:tc>
          <w:tcPr>
            <w:tcW w:w="1381" w:type="pct"/>
          </w:tcPr>
          <w:p w14:paraId="22619945" w14:textId="77777777" w:rsidR="00E43747" w:rsidRPr="006B23DA" w:rsidRDefault="00E43747" w:rsidP="005B53DA">
            <w:pPr>
              <w:pStyle w:val="TableText"/>
              <w:keepLines/>
              <w:rPr>
                <w:szCs w:val="20"/>
              </w:rPr>
            </w:pPr>
            <w:r w:rsidRPr="006B23DA">
              <w:rPr>
                <w:szCs w:val="20"/>
              </w:rPr>
              <w:t>Clinical Study Report, February 2021</w:t>
            </w:r>
          </w:p>
        </w:tc>
      </w:tr>
      <w:tr w:rsidR="00E43747" w:rsidRPr="006B23DA" w14:paraId="45EFE29F" w14:textId="77777777" w:rsidTr="00E43747">
        <w:trPr>
          <w:trHeight w:val="918"/>
        </w:trPr>
        <w:tc>
          <w:tcPr>
            <w:tcW w:w="694" w:type="pct"/>
            <w:vAlign w:val="center"/>
          </w:tcPr>
          <w:p w14:paraId="14050CFA" w14:textId="77777777" w:rsidR="00E43747" w:rsidRPr="006B23DA" w:rsidRDefault="00E43747" w:rsidP="005B53DA">
            <w:pPr>
              <w:pStyle w:val="TableText"/>
              <w:keepLines/>
              <w:rPr>
                <w:szCs w:val="20"/>
              </w:rPr>
            </w:pPr>
            <w:proofErr w:type="spellStart"/>
            <w:r w:rsidRPr="006B23DA">
              <w:rPr>
                <w:szCs w:val="20"/>
              </w:rPr>
              <w:t>KEEPsAKE</w:t>
            </w:r>
            <w:proofErr w:type="spellEnd"/>
            <w:r w:rsidRPr="006B23DA">
              <w:rPr>
                <w:szCs w:val="20"/>
              </w:rPr>
              <w:t xml:space="preserve"> 2</w:t>
            </w:r>
          </w:p>
        </w:tc>
        <w:tc>
          <w:tcPr>
            <w:tcW w:w="2925" w:type="pct"/>
          </w:tcPr>
          <w:p w14:paraId="20CF9C2D" w14:textId="77777777" w:rsidR="00E43747" w:rsidRPr="006B23DA" w:rsidRDefault="00E43747" w:rsidP="005B53DA">
            <w:pPr>
              <w:pStyle w:val="TableText"/>
              <w:keepLines/>
              <w:rPr>
                <w:szCs w:val="20"/>
              </w:rPr>
            </w:pPr>
            <w:r w:rsidRPr="006B23DA">
              <w:rPr>
                <w:szCs w:val="20"/>
              </w:rPr>
              <w:t>A Phase 3, Randomized, Double-Blind Study comparing Risankizumab to Placebo in Subjects with Active Psoriatic Arthritis Including Those Who Have a history of Inadequate response or Intolerance to Biologic Therapy(</w:t>
            </w:r>
            <w:proofErr w:type="spellStart"/>
            <w:r w:rsidRPr="006B23DA">
              <w:rPr>
                <w:szCs w:val="20"/>
              </w:rPr>
              <w:t>ies</w:t>
            </w:r>
            <w:proofErr w:type="spellEnd"/>
            <w:r w:rsidRPr="006B23DA">
              <w:rPr>
                <w:szCs w:val="20"/>
              </w:rPr>
              <w:t>) (</w:t>
            </w:r>
            <w:proofErr w:type="spellStart"/>
            <w:r w:rsidRPr="006B23DA">
              <w:rPr>
                <w:szCs w:val="20"/>
              </w:rPr>
              <w:t>KEEPsAKE</w:t>
            </w:r>
            <w:proofErr w:type="spellEnd"/>
            <w:r w:rsidRPr="006B23DA">
              <w:rPr>
                <w:szCs w:val="20"/>
              </w:rPr>
              <w:t xml:space="preserve"> 2) (NCT03671148)</w:t>
            </w:r>
          </w:p>
        </w:tc>
        <w:tc>
          <w:tcPr>
            <w:tcW w:w="1381" w:type="pct"/>
          </w:tcPr>
          <w:p w14:paraId="57A73D84" w14:textId="77777777" w:rsidR="00E43747" w:rsidRPr="006B23DA" w:rsidRDefault="00E43747" w:rsidP="005B53DA">
            <w:pPr>
              <w:pStyle w:val="TableText"/>
              <w:keepLines/>
              <w:rPr>
                <w:szCs w:val="20"/>
              </w:rPr>
            </w:pPr>
            <w:r w:rsidRPr="006B23DA">
              <w:rPr>
                <w:szCs w:val="20"/>
              </w:rPr>
              <w:t>Clinical Study Report, February 2021</w:t>
            </w:r>
          </w:p>
        </w:tc>
      </w:tr>
      <w:tr w:rsidR="00E43747" w:rsidRPr="006B23DA" w14:paraId="60CCB90D" w14:textId="77777777" w:rsidTr="007C2792">
        <w:tc>
          <w:tcPr>
            <w:tcW w:w="5000" w:type="pct"/>
            <w:gridSpan w:val="3"/>
            <w:tcBorders>
              <w:top w:val="single" w:sz="4" w:space="0" w:color="auto"/>
              <w:bottom w:val="single" w:sz="4" w:space="0" w:color="auto"/>
            </w:tcBorders>
            <w:vAlign w:val="center"/>
          </w:tcPr>
          <w:p w14:paraId="419DE0FA" w14:textId="77777777" w:rsidR="00E43747" w:rsidRPr="006B23DA" w:rsidRDefault="00E43747" w:rsidP="005B53DA">
            <w:pPr>
              <w:pStyle w:val="TableText"/>
              <w:keepLines/>
              <w:rPr>
                <w:b/>
                <w:bCs w:val="0"/>
                <w:i/>
                <w:szCs w:val="20"/>
              </w:rPr>
            </w:pPr>
            <w:proofErr w:type="spellStart"/>
            <w:r w:rsidRPr="006B23DA">
              <w:rPr>
                <w:b/>
                <w:bCs w:val="0"/>
                <w:szCs w:val="20"/>
              </w:rPr>
              <w:t>Guselkumab</w:t>
            </w:r>
            <w:proofErr w:type="spellEnd"/>
            <w:r w:rsidRPr="006B23DA">
              <w:rPr>
                <w:b/>
                <w:bCs w:val="0"/>
                <w:szCs w:val="20"/>
              </w:rPr>
              <w:t xml:space="preserve"> trials</w:t>
            </w:r>
          </w:p>
        </w:tc>
      </w:tr>
      <w:tr w:rsidR="00E43747" w:rsidRPr="006B23DA" w14:paraId="2A82C100" w14:textId="77777777" w:rsidTr="00E43747">
        <w:tc>
          <w:tcPr>
            <w:tcW w:w="694" w:type="pct"/>
            <w:vMerge w:val="restart"/>
            <w:tcBorders>
              <w:top w:val="single" w:sz="4" w:space="0" w:color="auto"/>
            </w:tcBorders>
            <w:vAlign w:val="center"/>
          </w:tcPr>
          <w:p w14:paraId="28E40695" w14:textId="77777777" w:rsidR="00E43747" w:rsidRPr="006B23DA" w:rsidRDefault="00E43747" w:rsidP="005B53DA">
            <w:pPr>
              <w:pStyle w:val="TableText"/>
              <w:keepLines/>
              <w:rPr>
                <w:szCs w:val="20"/>
              </w:rPr>
            </w:pPr>
            <w:r w:rsidRPr="006B23DA">
              <w:rPr>
                <w:szCs w:val="20"/>
              </w:rPr>
              <w:t>DISCOVER 2</w:t>
            </w:r>
          </w:p>
        </w:tc>
        <w:tc>
          <w:tcPr>
            <w:tcW w:w="2925" w:type="pct"/>
            <w:tcBorders>
              <w:top w:val="single" w:sz="4" w:space="0" w:color="auto"/>
              <w:bottom w:val="nil"/>
            </w:tcBorders>
            <w:vAlign w:val="center"/>
          </w:tcPr>
          <w:p w14:paraId="4EDD5A52" w14:textId="77777777" w:rsidR="00E43747" w:rsidRPr="006B23DA" w:rsidRDefault="00E43747" w:rsidP="005B53DA">
            <w:pPr>
              <w:pStyle w:val="TableText"/>
              <w:keepLines/>
              <w:rPr>
                <w:szCs w:val="20"/>
              </w:rPr>
            </w:pPr>
            <w:proofErr w:type="spellStart"/>
            <w:r w:rsidRPr="006B23DA">
              <w:rPr>
                <w:szCs w:val="20"/>
              </w:rPr>
              <w:t>Mease</w:t>
            </w:r>
            <w:proofErr w:type="spellEnd"/>
            <w:r w:rsidRPr="006B23DA">
              <w:rPr>
                <w:szCs w:val="20"/>
              </w:rPr>
              <w:t xml:space="preserve"> PJ, Rahman P, Gottlieb AB, et al. </w:t>
            </w:r>
            <w:proofErr w:type="spellStart"/>
            <w:r w:rsidRPr="006B23DA">
              <w:rPr>
                <w:szCs w:val="20"/>
              </w:rPr>
              <w:t>Guselkumab</w:t>
            </w:r>
            <w:proofErr w:type="spellEnd"/>
            <w:r w:rsidRPr="006B23DA">
              <w:rPr>
                <w:szCs w:val="20"/>
              </w:rPr>
              <w:t xml:space="preserve"> in biologic-naive patients with active psoriatic arthritis (DISCOVER-2): a double-blind, randomised, placebo-controlled phase 3 trial. </w:t>
            </w:r>
          </w:p>
        </w:tc>
        <w:tc>
          <w:tcPr>
            <w:tcW w:w="1381" w:type="pct"/>
            <w:tcBorders>
              <w:top w:val="single" w:sz="4" w:space="0" w:color="auto"/>
              <w:bottom w:val="nil"/>
            </w:tcBorders>
          </w:tcPr>
          <w:p w14:paraId="1CDECD9D" w14:textId="77777777" w:rsidR="00E43747" w:rsidRPr="006B23DA" w:rsidRDefault="00E43747" w:rsidP="005B53DA">
            <w:pPr>
              <w:pStyle w:val="TableText"/>
              <w:keepLines/>
              <w:rPr>
                <w:i/>
                <w:szCs w:val="20"/>
              </w:rPr>
            </w:pPr>
            <w:r w:rsidRPr="006B23DA">
              <w:rPr>
                <w:i/>
                <w:iCs/>
                <w:szCs w:val="20"/>
              </w:rPr>
              <w:t>Lancet</w:t>
            </w:r>
            <w:r w:rsidRPr="006B23DA">
              <w:rPr>
                <w:szCs w:val="20"/>
              </w:rPr>
              <w:t xml:space="preserve"> 2020; 395(10230):1126-1136</w:t>
            </w:r>
          </w:p>
        </w:tc>
      </w:tr>
      <w:tr w:rsidR="00E43747" w:rsidRPr="006B23DA" w14:paraId="0E3CDFF1" w14:textId="77777777" w:rsidTr="00E43747">
        <w:tc>
          <w:tcPr>
            <w:tcW w:w="694" w:type="pct"/>
            <w:vMerge/>
            <w:tcBorders>
              <w:bottom w:val="single" w:sz="4" w:space="0" w:color="auto"/>
            </w:tcBorders>
            <w:vAlign w:val="center"/>
          </w:tcPr>
          <w:p w14:paraId="7532E2FB" w14:textId="77777777" w:rsidR="00E43747" w:rsidRPr="006B23DA" w:rsidRDefault="00E43747" w:rsidP="005B53DA">
            <w:pPr>
              <w:pStyle w:val="TableText"/>
              <w:keepLines/>
              <w:rPr>
                <w:szCs w:val="20"/>
              </w:rPr>
            </w:pPr>
          </w:p>
        </w:tc>
        <w:tc>
          <w:tcPr>
            <w:tcW w:w="2925" w:type="pct"/>
            <w:tcBorders>
              <w:top w:val="nil"/>
              <w:bottom w:val="single" w:sz="4" w:space="0" w:color="auto"/>
            </w:tcBorders>
            <w:vAlign w:val="center"/>
          </w:tcPr>
          <w:p w14:paraId="3C3AAA0D" w14:textId="70108EBD" w:rsidR="00E43747" w:rsidRPr="006B23DA" w:rsidRDefault="00E43747" w:rsidP="005B53DA">
            <w:pPr>
              <w:pStyle w:val="TableText"/>
              <w:keepLines/>
              <w:rPr>
                <w:szCs w:val="20"/>
              </w:rPr>
            </w:pPr>
            <w:proofErr w:type="spellStart"/>
            <w:r w:rsidRPr="006B23DA">
              <w:rPr>
                <w:szCs w:val="20"/>
              </w:rPr>
              <w:t>Mcinnes</w:t>
            </w:r>
            <w:proofErr w:type="spellEnd"/>
            <w:r w:rsidRPr="006B23DA">
              <w:rPr>
                <w:szCs w:val="20"/>
              </w:rPr>
              <w:t xml:space="preserve"> I, Rahman P, Gottlieb AB, et al. Efficacy and safety of </w:t>
            </w:r>
            <w:proofErr w:type="spellStart"/>
            <w:r w:rsidRPr="006B23DA">
              <w:rPr>
                <w:szCs w:val="20"/>
              </w:rPr>
              <w:t>guselkumab</w:t>
            </w:r>
            <w:proofErr w:type="spellEnd"/>
            <w:r w:rsidRPr="006B23DA">
              <w:rPr>
                <w:szCs w:val="20"/>
              </w:rPr>
              <w:t>, a monoclonal antibody specific to the P19-subunit of interleukin-23, through week 52 of a phase 3, randomized, double-blind, placebo-controlled study conducted in biologic-naive patients with active psoriatic arthritis.</w:t>
            </w:r>
          </w:p>
        </w:tc>
        <w:tc>
          <w:tcPr>
            <w:tcW w:w="1381" w:type="pct"/>
            <w:tcBorders>
              <w:top w:val="nil"/>
              <w:bottom w:val="single" w:sz="4" w:space="0" w:color="auto"/>
            </w:tcBorders>
          </w:tcPr>
          <w:p w14:paraId="319A79BC" w14:textId="77777777" w:rsidR="00E43747" w:rsidRPr="006B23DA" w:rsidRDefault="00E43747" w:rsidP="005B53DA">
            <w:pPr>
              <w:pStyle w:val="TableText"/>
              <w:keepLines/>
              <w:rPr>
                <w:i/>
                <w:iCs/>
                <w:szCs w:val="20"/>
              </w:rPr>
            </w:pPr>
            <w:r w:rsidRPr="006B23DA">
              <w:rPr>
                <w:i/>
                <w:iCs/>
                <w:szCs w:val="20"/>
              </w:rPr>
              <w:t>Arthritis and Rheumatology</w:t>
            </w:r>
            <w:r w:rsidRPr="006B23DA">
              <w:rPr>
                <w:szCs w:val="20"/>
              </w:rPr>
              <w:t xml:space="preserve"> 2021; 73(4):604-616</w:t>
            </w:r>
          </w:p>
        </w:tc>
      </w:tr>
      <w:tr w:rsidR="00E43747" w:rsidRPr="006B23DA" w14:paraId="20F70854" w14:textId="77777777" w:rsidTr="00E43747">
        <w:tc>
          <w:tcPr>
            <w:tcW w:w="694" w:type="pct"/>
            <w:tcBorders>
              <w:top w:val="single" w:sz="4" w:space="0" w:color="auto"/>
              <w:bottom w:val="nil"/>
            </w:tcBorders>
            <w:vAlign w:val="center"/>
          </w:tcPr>
          <w:p w14:paraId="5067CE55" w14:textId="77777777" w:rsidR="00E43747" w:rsidRPr="006B23DA" w:rsidRDefault="00E43747" w:rsidP="005B53DA">
            <w:pPr>
              <w:pStyle w:val="TableText"/>
              <w:keepLines/>
              <w:rPr>
                <w:szCs w:val="20"/>
              </w:rPr>
            </w:pPr>
          </w:p>
        </w:tc>
        <w:tc>
          <w:tcPr>
            <w:tcW w:w="2925" w:type="pct"/>
            <w:vMerge w:val="restart"/>
            <w:tcBorders>
              <w:top w:val="single" w:sz="4" w:space="0" w:color="auto"/>
            </w:tcBorders>
            <w:vAlign w:val="center"/>
          </w:tcPr>
          <w:p w14:paraId="39636C0B" w14:textId="4640D4A2" w:rsidR="00E43747" w:rsidRPr="006B23DA" w:rsidRDefault="00E43747" w:rsidP="005B53DA">
            <w:pPr>
              <w:pStyle w:val="TableText"/>
              <w:keepLines/>
              <w:rPr>
                <w:szCs w:val="20"/>
              </w:rPr>
            </w:pPr>
            <w:proofErr w:type="spellStart"/>
            <w:r w:rsidRPr="006B23DA">
              <w:rPr>
                <w:szCs w:val="20"/>
              </w:rPr>
              <w:t>Deodhar</w:t>
            </w:r>
            <w:proofErr w:type="spellEnd"/>
            <w:r w:rsidRPr="006B23DA">
              <w:rPr>
                <w:szCs w:val="20"/>
              </w:rPr>
              <w:t xml:space="preserve"> A, Helliwell PS, </w:t>
            </w:r>
            <w:proofErr w:type="spellStart"/>
            <w:r w:rsidRPr="006B23DA">
              <w:rPr>
                <w:szCs w:val="20"/>
              </w:rPr>
              <w:t>Boehncke</w:t>
            </w:r>
            <w:proofErr w:type="spellEnd"/>
            <w:r w:rsidRPr="006B23DA">
              <w:rPr>
                <w:szCs w:val="20"/>
              </w:rPr>
              <w:t xml:space="preserve"> WH, et al. </w:t>
            </w:r>
            <w:proofErr w:type="spellStart"/>
            <w:r w:rsidRPr="006B23DA">
              <w:rPr>
                <w:szCs w:val="20"/>
              </w:rPr>
              <w:t>Guselkumab</w:t>
            </w:r>
            <w:proofErr w:type="spellEnd"/>
            <w:r w:rsidRPr="006B23DA">
              <w:rPr>
                <w:szCs w:val="20"/>
              </w:rPr>
              <w:t xml:space="preserve"> in patients with active psoriatic arthritis who were biologic-naive or had previously received TNFα inhibitor treatment (DISCOVER-1): a double-blind, randomised, placebo-controlled phase 3 trial.</w:t>
            </w:r>
          </w:p>
        </w:tc>
        <w:tc>
          <w:tcPr>
            <w:tcW w:w="1381" w:type="pct"/>
            <w:tcBorders>
              <w:top w:val="single" w:sz="4" w:space="0" w:color="auto"/>
              <w:bottom w:val="nil"/>
            </w:tcBorders>
            <w:vAlign w:val="center"/>
          </w:tcPr>
          <w:p w14:paraId="3634C1AE" w14:textId="77777777" w:rsidR="00E43747" w:rsidRPr="006B23DA" w:rsidRDefault="00E43747" w:rsidP="005B53DA">
            <w:pPr>
              <w:pStyle w:val="TableText"/>
              <w:keepLines/>
              <w:rPr>
                <w:szCs w:val="20"/>
              </w:rPr>
            </w:pPr>
            <w:r w:rsidRPr="006B23DA">
              <w:rPr>
                <w:i/>
                <w:iCs/>
                <w:szCs w:val="20"/>
              </w:rPr>
              <w:t>Lancet</w:t>
            </w:r>
            <w:r w:rsidRPr="006B23DA">
              <w:rPr>
                <w:szCs w:val="20"/>
              </w:rPr>
              <w:t xml:space="preserve"> 2020; 395(10230):1115-1125.</w:t>
            </w:r>
          </w:p>
        </w:tc>
      </w:tr>
      <w:tr w:rsidR="00E43747" w:rsidRPr="006B23DA" w14:paraId="56BB64E6" w14:textId="77777777" w:rsidTr="00E43747">
        <w:tc>
          <w:tcPr>
            <w:tcW w:w="694" w:type="pct"/>
            <w:vMerge w:val="restart"/>
            <w:tcBorders>
              <w:top w:val="nil"/>
            </w:tcBorders>
            <w:vAlign w:val="center"/>
          </w:tcPr>
          <w:p w14:paraId="4007495F" w14:textId="77777777" w:rsidR="00E43747" w:rsidRPr="006B23DA" w:rsidRDefault="00E43747" w:rsidP="005B53DA">
            <w:pPr>
              <w:pStyle w:val="TableText"/>
              <w:keepLines/>
              <w:rPr>
                <w:szCs w:val="20"/>
              </w:rPr>
            </w:pPr>
            <w:r w:rsidRPr="006B23DA">
              <w:rPr>
                <w:szCs w:val="20"/>
              </w:rPr>
              <w:t>DISCOVER 1</w:t>
            </w:r>
          </w:p>
        </w:tc>
        <w:tc>
          <w:tcPr>
            <w:tcW w:w="2925" w:type="pct"/>
            <w:vMerge/>
            <w:vAlign w:val="center"/>
          </w:tcPr>
          <w:p w14:paraId="72968698" w14:textId="77777777" w:rsidR="00E43747" w:rsidRPr="006B23DA" w:rsidRDefault="00E43747" w:rsidP="005B53DA">
            <w:pPr>
              <w:pStyle w:val="TableText"/>
              <w:keepLines/>
              <w:rPr>
                <w:szCs w:val="20"/>
              </w:rPr>
            </w:pPr>
          </w:p>
        </w:tc>
        <w:tc>
          <w:tcPr>
            <w:tcW w:w="1381" w:type="pct"/>
            <w:tcBorders>
              <w:top w:val="nil"/>
              <w:bottom w:val="nil"/>
            </w:tcBorders>
            <w:vAlign w:val="center"/>
          </w:tcPr>
          <w:p w14:paraId="13B66132" w14:textId="77777777" w:rsidR="00E43747" w:rsidRPr="006B23DA" w:rsidRDefault="00E43747" w:rsidP="005B53DA">
            <w:pPr>
              <w:pStyle w:val="TableText"/>
              <w:keepLines/>
              <w:rPr>
                <w:szCs w:val="20"/>
              </w:rPr>
            </w:pPr>
          </w:p>
        </w:tc>
      </w:tr>
      <w:tr w:rsidR="00E43747" w:rsidRPr="006B23DA" w14:paraId="01B3207E" w14:textId="77777777" w:rsidTr="00E43747">
        <w:tc>
          <w:tcPr>
            <w:tcW w:w="694" w:type="pct"/>
            <w:vMerge/>
            <w:vAlign w:val="center"/>
          </w:tcPr>
          <w:p w14:paraId="6E1AAC0F" w14:textId="77777777" w:rsidR="00E43747" w:rsidRPr="006B23DA" w:rsidRDefault="00E43747" w:rsidP="005B53DA">
            <w:pPr>
              <w:pStyle w:val="TableText"/>
              <w:keepLines/>
              <w:rPr>
                <w:szCs w:val="20"/>
              </w:rPr>
            </w:pPr>
          </w:p>
        </w:tc>
        <w:tc>
          <w:tcPr>
            <w:tcW w:w="2925" w:type="pct"/>
            <w:vMerge/>
            <w:tcBorders>
              <w:bottom w:val="single" w:sz="4" w:space="0" w:color="auto"/>
            </w:tcBorders>
            <w:vAlign w:val="center"/>
          </w:tcPr>
          <w:p w14:paraId="1047B9DB" w14:textId="77777777" w:rsidR="00E43747" w:rsidRPr="006B23DA" w:rsidRDefault="00E43747" w:rsidP="005B53DA">
            <w:pPr>
              <w:pStyle w:val="TableText"/>
              <w:keepLines/>
              <w:rPr>
                <w:szCs w:val="20"/>
              </w:rPr>
            </w:pPr>
          </w:p>
        </w:tc>
        <w:tc>
          <w:tcPr>
            <w:tcW w:w="1381" w:type="pct"/>
            <w:tcBorders>
              <w:top w:val="nil"/>
              <w:bottom w:val="single" w:sz="4" w:space="0" w:color="auto"/>
            </w:tcBorders>
            <w:vAlign w:val="center"/>
          </w:tcPr>
          <w:p w14:paraId="2AB1CA85" w14:textId="77777777" w:rsidR="00E43747" w:rsidRPr="006B23DA" w:rsidRDefault="00E43747" w:rsidP="005B53DA">
            <w:pPr>
              <w:pStyle w:val="TableText"/>
              <w:keepLines/>
              <w:rPr>
                <w:szCs w:val="20"/>
              </w:rPr>
            </w:pPr>
          </w:p>
        </w:tc>
      </w:tr>
      <w:tr w:rsidR="00E43747" w:rsidRPr="006B23DA" w14:paraId="5EF5C30D" w14:textId="77777777" w:rsidTr="00E43747">
        <w:tc>
          <w:tcPr>
            <w:tcW w:w="694" w:type="pct"/>
            <w:vMerge/>
            <w:tcBorders>
              <w:bottom w:val="single" w:sz="4" w:space="0" w:color="auto"/>
            </w:tcBorders>
            <w:vAlign w:val="center"/>
          </w:tcPr>
          <w:p w14:paraId="4FF242E3" w14:textId="77777777" w:rsidR="00E43747" w:rsidRPr="006B23DA" w:rsidRDefault="00E43747" w:rsidP="005B53DA">
            <w:pPr>
              <w:pStyle w:val="TableText"/>
              <w:keepLines/>
              <w:rPr>
                <w:szCs w:val="20"/>
              </w:rPr>
            </w:pPr>
          </w:p>
        </w:tc>
        <w:tc>
          <w:tcPr>
            <w:tcW w:w="2925" w:type="pct"/>
            <w:tcBorders>
              <w:top w:val="nil"/>
              <w:bottom w:val="single" w:sz="4" w:space="0" w:color="auto"/>
            </w:tcBorders>
            <w:vAlign w:val="center"/>
          </w:tcPr>
          <w:p w14:paraId="1BFCD264" w14:textId="77777777" w:rsidR="00E43747" w:rsidRPr="006B23DA" w:rsidRDefault="00E43747" w:rsidP="005B53DA">
            <w:pPr>
              <w:pStyle w:val="TableText"/>
              <w:keepLines/>
              <w:rPr>
                <w:szCs w:val="20"/>
              </w:rPr>
            </w:pPr>
            <w:proofErr w:type="spellStart"/>
            <w:r w:rsidRPr="006B23DA">
              <w:rPr>
                <w:szCs w:val="20"/>
              </w:rPr>
              <w:t>Ritchlin</w:t>
            </w:r>
            <w:proofErr w:type="spellEnd"/>
            <w:r w:rsidRPr="006B23DA">
              <w:rPr>
                <w:szCs w:val="20"/>
              </w:rPr>
              <w:t xml:space="preserve"> CT, Helliwell PS, </w:t>
            </w:r>
            <w:proofErr w:type="spellStart"/>
            <w:r w:rsidRPr="006B23DA">
              <w:rPr>
                <w:szCs w:val="20"/>
              </w:rPr>
              <w:t>Boehncke</w:t>
            </w:r>
            <w:proofErr w:type="spellEnd"/>
            <w:r w:rsidRPr="006B23DA">
              <w:rPr>
                <w:szCs w:val="20"/>
              </w:rPr>
              <w:t xml:space="preserve"> WH, et al. </w:t>
            </w:r>
            <w:proofErr w:type="spellStart"/>
            <w:r w:rsidRPr="006B23DA">
              <w:rPr>
                <w:szCs w:val="20"/>
              </w:rPr>
              <w:t>Guselkumab</w:t>
            </w:r>
            <w:proofErr w:type="spellEnd"/>
            <w:r w:rsidRPr="006B23DA">
              <w:rPr>
                <w:szCs w:val="20"/>
              </w:rPr>
              <w:t xml:space="preserve">, an inhibitor of the IL-23p19 subunit, provides sustained improvement in signs and symptoms of active psoriatic arthritis: </w:t>
            </w:r>
            <w:proofErr w:type="gramStart"/>
            <w:r w:rsidRPr="006B23DA">
              <w:rPr>
                <w:szCs w:val="20"/>
              </w:rPr>
              <w:t>1 year</w:t>
            </w:r>
            <w:proofErr w:type="gramEnd"/>
            <w:r w:rsidRPr="006B23DA">
              <w:rPr>
                <w:szCs w:val="20"/>
              </w:rPr>
              <w:t xml:space="preserve"> results of a phase III randomised study of patients who were biologic-naïve or TNFα inhibitor-experienced. </w:t>
            </w:r>
          </w:p>
        </w:tc>
        <w:tc>
          <w:tcPr>
            <w:tcW w:w="1381" w:type="pct"/>
            <w:tcBorders>
              <w:top w:val="nil"/>
              <w:bottom w:val="single" w:sz="4" w:space="0" w:color="auto"/>
            </w:tcBorders>
            <w:vAlign w:val="center"/>
          </w:tcPr>
          <w:p w14:paraId="4D1FFB3A" w14:textId="77777777" w:rsidR="00E43747" w:rsidRPr="006B23DA" w:rsidRDefault="00E43747" w:rsidP="005B53DA">
            <w:pPr>
              <w:pStyle w:val="TableText"/>
              <w:keepLines/>
              <w:rPr>
                <w:szCs w:val="20"/>
              </w:rPr>
            </w:pPr>
            <w:r w:rsidRPr="006B23DA">
              <w:rPr>
                <w:i/>
                <w:iCs/>
                <w:szCs w:val="20"/>
              </w:rPr>
              <w:t>RMD Open</w:t>
            </w:r>
            <w:r w:rsidRPr="006B23DA">
              <w:rPr>
                <w:szCs w:val="20"/>
              </w:rPr>
              <w:t xml:space="preserve"> 2021 Feb;7(1): e001457</w:t>
            </w:r>
          </w:p>
        </w:tc>
      </w:tr>
      <w:tr w:rsidR="00E43747" w:rsidRPr="006B23DA" w14:paraId="370477F0" w14:textId="77777777" w:rsidTr="00E43747">
        <w:tc>
          <w:tcPr>
            <w:tcW w:w="694" w:type="pct"/>
            <w:vMerge w:val="restart"/>
            <w:tcBorders>
              <w:top w:val="nil"/>
            </w:tcBorders>
            <w:vAlign w:val="center"/>
          </w:tcPr>
          <w:p w14:paraId="1548A18B" w14:textId="77777777" w:rsidR="00E43747" w:rsidRPr="006B23DA" w:rsidRDefault="00E43747" w:rsidP="005B53DA">
            <w:pPr>
              <w:pStyle w:val="TableText"/>
              <w:keepLines/>
              <w:rPr>
                <w:szCs w:val="20"/>
              </w:rPr>
            </w:pPr>
            <w:r w:rsidRPr="006B23DA">
              <w:rPr>
                <w:szCs w:val="20"/>
              </w:rPr>
              <w:t>DISCOVER 1 and 2</w:t>
            </w:r>
          </w:p>
        </w:tc>
        <w:tc>
          <w:tcPr>
            <w:tcW w:w="2925" w:type="pct"/>
            <w:tcBorders>
              <w:top w:val="nil"/>
              <w:bottom w:val="single" w:sz="4" w:space="0" w:color="auto"/>
            </w:tcBorders>
          </w:tcPr>
          <w:p w14:paraId="1E6A007A" w14:textId="77777777" w:rsidR="00E43747" w:rsidRPr="006B23DA" w:rsidRDefault="00E43747" w:rsidP="005B53DA">
            <w:pPr>
              <w:pStyle w:val="TableText"/>
              <w:keepLines/>
              <w:rPr>
                <w:szCs w:val="20"/>
              </w:rPr>
            </w:pPr>
            <w:proofErr w:type="spellStart"/>
            <w:r w:rsidRPr="006B23DA">
              <w:rPr>
                <w:szCs w:val="20"/>
              </w:rPr>
              <w:t>Mease</w:t>
            </w:r>
            <w:proofErr w:type="spellEnd"/>
            <w:r w:rsidRPr="006B23DA">
              <w:rPr>
                <w:szCs w:val="20"/>
              </w:rPr>
              <w:t xml:space="preserve"> PJ Helliwell PS Gladman DD et al. Efficacy of </w:t>
            </w:r>
            <w:proofErr w:type="spellStart"/>
            <w:r w:rsidRPr="006B23DA">
              <w:rPr>
                <w:szCs w:val="20"/>
              </w:rPr>
              <w:t>guselkumab</w:t>
            </w:r>
            <w:proofErr w:type="spellEnd"/>
            <w:r w:rsidRPr="006B23DA">
              <w:rPr>
                <w:szCs w:val="20"/>
              </w:rPr>
              <w:t xml:space="preserve"> on axial involvement in patients with active psoriatic arthritis and sacroiliitis: a post-hoc analysis of the phase 3 DISCOVER-1 and DISCOVER-2 studies. </w:t>
            </w:r>
          </w:p>
        </w:tc>
        <w:tc>
          <w:tcPr>
            <w:tcW w:w="1381" w:type="pct"/>
            <w:tcBorders>
              <w:top w:val="nil"/>
              <w:bottom w:val="single" w:sz="4" w:space="0" w:color="auto"/>
            </w:tcBorders>
            <w:vAlign w:val="center"/>
          </w:tcPr>
          <w:p w14:paraId="63A11DE3" w14:textId="77777777" w:rsidR="00E43747" w:rsidRPr="006B23DA" w:rsidRDefault="00E43747" w:rsidP="005B53DA">
            <w:pPr>
              <w:pStyle w:val="TableText"/>
              <w:keepLines/>
              <w:rPr>
                <w:szCs w:val="20"/>
              </w:rPr>
            </w:pPr>
            <w:r w:rsidRPr="006B23DA">
              <w:rPr>
                <w:i/>
                <w:iCs/>
                <w:szCs w:val="20"/>
              </w:rPr>
              <w:t>Lancet Rheumatology</w:t>
            </w:r>
            <w:r w:rsidRPr="006B23DA">
              <w:rPr>
                <w:szCs w:val="20"/>
              </w:rPr>
              <w:t xml:space="preserve"> 2021; 3(10): E715-E723</w:t>
            </w:r>
          </w:p>
        </w:tc>
      </w:tr>
      <w:tr w:rsidR="00E43747" w:rsidRPr="006B23DA" w14:paraId="70B7CB4B" w14:textId="77777777" w:rsidTr="00E43747">
        <w:tc>
          <w:tcPr>
            <w:tcW w:w="694" w:type="pct"/>
            <w:vMerge/>
            <w:vAlign w:val="center"/>
          </w:tcPr>
          <w:p w14:paraId="417A104C" w14:textId="77777777" w:rsidR="00E43747" w:rsidRPr="006B23DA" w:rsidRDefault="00E43747" w:rsidP="005B53DA">
            <w:pPr>
              <w:pStyle w:val="TableText"/>
              <w:keepLines/>
              <w:rPr>
                <w:szCs w:val="20"/>
              </w:rPr>
            </w:pPr>
          </w:p>
        </w:tc>
        <w:tc>
          <w:tcPr>
            <w:tcW w:w="2925" w:type="pct"/>
            <w:tcBorders>
              <w:top w:val="nil"/>
              <w:bottom w:val="single" w:sz="4" w:space="0" w:color="auto"/>
            </w:tcBorders>
          </w:tcPr>
          <w:p w14:paraId="02D012D9" w14:textId="77777777" w:rsidR="00E43747" w:rsidRPr="006B23DA" w:rsidRDefault="00E43747" w:rsidP="005B53DA">
            <w:pPr>
              <w:pStyle w:val="TableText"/>
              <w:keepLines/>
              <w:rPr>
                <w:szCs w:val="20"/>
              </w:rPr>
            </w:pPr>
            <w:r w:rsidRPr="006B23DA">
              <w:rPr>
                <w:szCs w:val="20"/>
              </w:rPr>
              <w:t xml:space="preserve">Sweet K., Song Q, </w:t>
            </w:r>
            <w:proofErr w:type="spellStart"/>
            <w:r w:rsidRPr="006B23DA">
              <w:rPr>
                <w:szCs w:val="20"/>
              </w:rPr>
              <w:t>Loza</w:t>
            </w:r>
            <w:proofErr w:type="spellEnd"/>
            <w:r w:rsidRPr="006B23DA">
              <w:rPr>
                <w:szCs w:val="20"/>
              </w:rPr>
              <w:t xml:space="preserve"> MJ et al. </w:t>
            </w:r>
            <w:proofErr w:type="spellStart"/>
            <w:r w:rsidRPr="006B23DA">
              <w:rPr>
                <w:szCs w:val="20"/>
              </w:rPr>
              <w:t>Guselkumab</w:t>
            </w:r>
            <w:proofErr w:type="spellEnd"/>
            <w:r w:rsidRPr="006B23DA">
              <w:rPr>
                <w:szCs w:val="20"/>
              </w:rPr>
              <w:t xml:space="preserve"> induces robust reduction in acute phase proteins and type 17 effector cytokines in active psoriatic arthritis: Results from phase 3 trials.</w:t>
            </w:r>
          </w:p>
        </w:tc>
        <w:tc>
          <w:tcPr>
            <w:tcW w:w="1381" w:type="pct"/>
            <w:tcBorders>
              <w:top w:val="nil"/>
              <w:bottom w:val="single" w:sz="4" w:space="0" w:color="auto"/>
            </w:tcBorders>
            <w:vAlign w:val="center"/>
          </w:tcPr>
          <w:p w14:paraId="036FBD24" w14:textId="77777777" w:rsidR="00E43747" w:rsidRPr="006B23DA" w:rsidRDefault="00E43747" w:rsidP="005B53DA">
            <w:pPr>
              <w:pStyle w:val="TableText"/>
              <w:keepLines/>
              <w:rPr>
                <w:szCs w:val="20"/>
              </w:rPr>
            </w:pPr>
            <w:r w:rsidRPr="006B23DA">
              <w:rPr>
                <w:i/>
                <w:iCs/>
                <w:szCs w:val="20"/>
              </w:rPr>
              <w:t>RMD Open</w:t>
            </w:r>
            <w:r w:rsidRPr="006B23DA">
              <w:rPr>
                <w:szCs w:val="20"/>
              </w:rPr>
              <w:t xml:space="preserve"> 2021; 7(2): e001679</w:t>
            </w:r>
          </w:p>
        </w:tc>
      </w:tr>
      <w:tr w:rsidR="00E43747" w:rsidRPr="006B23DA" w14:paraId="24AD7A01" w14:textId="77777777" w:rsidTr="00E43747">
        <w:tc>
          <w:tcPr>
            <w:tcW w:w="694" w:type="pct"/>
            <w:vMerge/>
            <w:vAlign w:val="center"/>
          </w:tcPr>
          <w:p w14:paraId="55FEFC70" w14:textId="77777777" w:rsidR="00E43747" w:rsidRPr="006B23DA" w:rsidRDefault="00E43747" w:rsidP="005B53DA">
            <w:pPr>
              <w:pStyle w:val="TableText"/>
              <w:keepLines/>
              <w:rPr>
                <w:szCs w:val="20"/>
              </w:rPr>
            </w:pPr>
          </w:p>
        </w:tc>
        <w:tc>
          <w:tcPr>
            <w:tcW w:w="2925" w:type="pct"/>
            <w:tcBorders>
              <w:top w:val="nil"/>
              <w:bottom w:val="single" w:sz="4" w:space="0" w:color="auto"/>
            </w:tcBorders>
          </w:tcPr>
          <w:p w14:paraId="32273D83" w14:textId="77777777" w:rsidR="00E43747" w:rsidRPr="006B23DA" w:rsidRDefault="00E43747" w:rsidP="005B53DA">
            <w:pPr>
              <w:pStyle w:val="TableText"/>
              <w:keepLines/>
              <w:rPr>
                <w:szCs w:val="20"/>
              </w:rPr>
            </w:pPr>
            <w:r w:rsidRPr="006B23DA">
              <w:rPr>
                <w:szCs w:val="20"/>
              </w:rPr>
              <w:t xml:space="preserve">Rahman P, </w:t>
            </w:r>
            <w:proofErr w:type="spellStart"/>
            <w:r w:rsidRPr="006B23DA">
              <w:rPr>
                <w:szCs w:val="20"/>
              </w:rPr>
              <w:t>Mease</w:t>
            </w:r>
            <w:proofErr w:type="spellEnd"/>
            <w:r w:rsidRPr="006B23DA">
              <w:rPr>
                <w:szCs w:val="20"/>
              </w:rPr>
              <w:t xml:space="preserve"> PJ, Helliwell PS et al. </w:t>
            </w:r>
            <w:proofErr w:type="spellStart"/>
            <w:r w:rsidRPr="006B23DA">
              <w:rPr>
                <w:szCs w:val="20"/>
              </w:rPr>
              <w:t>Guselkumab</w:t>
            </w:r>
            <w:proofErr w:type="spellEnd"/>
            <w:r w:rsidRPr="006B23DA">
              <w:rPr>
                <w:szCs w:val="20"/>
              </w:rPr>
              <w:t xml:space="preserve"> demonstrated an independent treatment effect in reducing fatigue after adjustment for clinical response-results from two phase 3 clinical trials of 1120 patients with active psoriatic arthritis. </w:t>
            </w:r>
          </w:p>
        </w:tc>
        <w:tc>
          <w:tcPr>
            <w:tcW w:w="1381" w:type="pct"/>
            <w:tcBorders>
              <w:top w:val="nil"/>
              <w:bottom w:val="single" w:sz="4" w:space="0" w:color="auto"/>
            </w:tcBorders>
            <w:vAlign w:val="center"/>
          </w:tcPr>
          <w:p w14:paraId="266FA8DA" w14:textId="77777777" w:rsidR="00E43747" w:rsidRPr="006B23DA" w:rsidRDefault="00E43747" w:rsidP="005B53DA">
            <w:pPr>
              <w:pStyle w:val="TableText"/>
              <w:keepLines/>
              <w:rPr>
                <w:szCs w:val="20"/>
              </w:rPr>
            </w:pPr>
            <w:r w:rsidRPr="006B23DA">
              <w:rPr>
                <w:i/>
                <w:iCs/>
                <w:szCs w:val="20"/>
              </w:rPr>
              <w:t>Arthritis Research and Therapy</w:t>
            </w:r>
            <w:r w:rsidRPr="006B23DA">
              <w:rPr>
                <w:szCs w:val="20"/>
              </w:rPr>
              <w:t xml:space="preserve"> 2021; 23(1): Article 190</w:t>
            </w:r>
          </w:p>
        </w:tc>
      </w:tr>
      <w:tr w:rsidR="00E43747" w:rsidRPr="006B23DA" w14:paraId="4FCD6252" w14:textId="77777777" w:rsidTr="00E43747">
        <w:tc>
          <w:tcPr>
            <w:tcW w:w="694" w:type="pct"/>
            <w:vMerge/>
            <w:tcBorders>
              <w:bottom w:val="single" w:sz="4" w:space="0" w:color="auto"/>
            </w:tcBorders>
            <w:vAlign w:val="center"/>
          </w:tcPr>
          <w:p w14:paraId="2E2E44CB" w14:textId="77777777" w:rsidR="00E43747" w:rsidRPr="006B23DA" w:rsidRDefault="00E43747" w:rsidP="005B53DA">
            <w:pPr>
              <w:pStyle w:val="TableText"/>
              <w:keepLines/>
              <w:rPr>
                <w:szCs w:val="20"/>
              </w:rPr>
            </w:pPr>
          </w:p>
        </w:tc>
        <w:tc>
          <w:tcPr>
            <w:tcW w:w="2925" w:type="pct"/>
            <w:tcBorders>
              <w:top w:val="nil"/>
              <w:bottom w:val="single" w:sz="4" w:space="0" w:color="auto"/>
            </w:tcBorders>
          </w:tcPr>
          <w:p w14:paraId="4011DDB6" w14:textId="77777777" w:rsidR="00E43747" w:rsidRPr="006B23DA" w:rsidRDefault="00E43747" w:rsidP="005B53DA">
            <w:pPr>
              <w:pStyle w:val="TableText"/>
              <w:keepLines/>
              <w:rPr>
                <w:szCs w:val="20"/>
              </w:rPr>
            </w:pPr>
            <w:proofErr w:type="spellStart"/>
            <w:r w:rsidRPr="006B23DA">
              <w:rPr>
                <w:szCs w:val="20"/>
              </w:rPr>
              <w:t>McGonagle</w:t>
            </w:r>
            <w:proofErr w:type="spellEnd"/>
            <w:r w:rsidRPr="006B23DA">
              <w:rPr>
                <w:szCs w:val="20"/>
              </w:rPr>
              <w:t xml:space="preserve"> D, McInnes IB, </w:t>
            </w:r>
            <w:proofErr w:type="spellStart"/>
            <w:r w:rsidRPr="006B23DA">
              <w:rPr>
                <w:szCs w:val="20"/>
              </w:rPr>
              <w:t>Deodhar</w:t>
            </w:r>
            <w:proofErr w:type="spellEnd"/>
            <w:r w:rsidRPr="006B23DA">
              <w:rPr>
                <w:szCs w:val="20"/>
              </w:rPr>
              <w:t xml:space="preserve"> A, et al. Resolution of </w:t>
            </w:r>
            <w:proofErr w:type="spellStart"/>
            <w:r w:rsidRPr="006B23DA">
              <w:rPr>
                <w:szCs w:val="20"/>
              </w:rPr>
              <w:t>Enthesitis</w:t>
            </w:r>
            <w:proofErr w:type="spellEnd"/>
            <w:r w:rsidRPr="006B23DA">
              <w:rPr>
                <w:szCs w:val="20"/>
              </w:rPr>
              <w:t xml:space="preserve"> by </w:t>
            </w:r>
            <w:proofErr w:type="spellStart"/>
            <w:r w:rsidRPr="006B23DA">
              <w:rPr>
                <w:szCs w:val="20"/>
              </w:rPr>
              <w:t>Guselkumab</w:t>
            </w:r>
            <w:proofErr w:type="spellEnd"/>
            <w:r w:rsidRPr="006B23DA">
              <w:rPr>
                <w:szCs w:val="20"/>
              </w:rPr>
              <w:t xml:space="preserve"> and Relationships to Disease Burden: 1-Year Results of Two Phase-3 Psoriatic Arthritis Studies.</w:t>
            </w:r>
          </w:p>
        </w:tc>
        <w:tc>
          <w:tcPr>
            <w:tcW w:w="1381" w:type="pct"/>
            <w:tcBorders>
              <w:top w:val="nil"/>
              <w:bottom w:val="single" w:sz="4" w:space="0" w:color="auto"/>
            </w:tcBorders>
            <w:vAlign w:val="center"/>
          </w:tcPr>
          <w:p w14:paraId="08737147" w14:textId="77777777" w:rsidR="00E43747" w:rsidRPr="006B23DA" w:rsidRDefault="00E43747" w:rsidP="005B53DA">
            <w:pPr>
              <w:pStyle w:val="TableText"/>
              <w:keepLines/>
              <w:rPr>
                <w:szCs w:val="20"/>
              </w:rPr>
            </w:pPr>
            <w:r w:rsidRPr="006B23DA">
              <w:rPr>
                <w:i/>
                <w:iCs/>
                <w:szCs w:val="20"/>
              </w:rPr>
              <w:t>Rheumatology</w:t>
            </w:r>
            <w:r w:rsidRPr="006B23DA">
              <w:rPr>
                <w:szCs w:val="20"/>
              </w:rPr>
              <w:t xml:space="preserve"> 2021; 60(11): 5337–5350</w:t>
            </w:r>
          </w:p>
        </w:tc>
      </w:tr>
    </w:tbl>
    <w:p w14:paraId="41CC9CA9" w14:textId="77777777" w:rsidR="00E43747" w:rsidRDefault="00E43747" w:rsidP="00E43747">
      <w:pPr>
        <w:pStyle w:val="TableFigureFooter"/>
      </w:pPr>
      <w:r>
        <w:t>Source: Table 2-4, pp36-39; Table 2-5, pp40-41 of the submission.</w:t>
      </w:r>
    </w:p>
    <w:p w14:paraId="61A2CD51" w14:textId="77777777" w:rsidR="00E43747" w:rsidRDefault="00E43747" w:rsidP="00E43747">
      <w:pPr>
        <w:pStyle w:val="TableFigureFooter"/>
      </w:pPr>
      <w:r w:rsidRPr="00D22E53">
        <w:t>Note: Abstracts of studies with full publications are not presented.</w:t>
      </w:r>
    </w:p>
    <w:p w14:paraId="1DD06D7D" w14:textId="4CFCD655" w:rsidR="007F1017" w:rsidRPr="00EC5836" w:rsidRDefault="008F120A" w:rsidP="00226307">
      <w:pPr>
        <w:pStyle w:val="ExecSumBodyText"/>
        <w:ind w:left="709" w:hanging="709"/>
      </w:pPr>
      <w:r w:rsidRPr="00B50DB8">
        <w:t>The key features of the randomised trials are summarised in the table below.</w:t>
      </w:r>
    </w:p>
    <w:p w14:paraId="355E2F15" w14:textId="3DEA2125" w:rsidR="007F1017" w:rsidRPr="00EC5836" w:rsidRDefault="007F1017" w:rsidP="0064506A">
      <w:pPr>
        <w:pStyle w:val="Caption"/>
      </w:pPr>
      <w:r w:rsidRPr="00EC5836">
        <w:lastRenderedPageBreak/>
        <w:t xml:space="preserve">Table </w:t>
      </w:r>
      <w:fldSimple w:instr=" SEQ Table \* ARABIC ">
        <w:r w:rsidR="00001652">
          <w:rPr>
            <w:noProof/>
          </w:rPr>
          <w:t>3</w:t>
        </w:r>
      </w:fldSimple>
      <w:r w:rsidRPr="00EC583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53"/>
        <w:gridCol w:w="525"/>
        <w:gridCol w:w="1163"/>
        <w:gridCol w:w="821"/>
        <w:gridCol w:w="2031"/>
        <w:gridCol w:w="2031"/>
        <w:gridCol w:w="1293"/>
      </w:tblGrid>
      <w:tr w:rsidR="002B469B" w:rsidRPr="00B41614" w14:paraId="252782B5" w14:textId="77777777" w:rsidTr="00E04951">
        <w:trPr>
          <w:tblHeader/>
        </w:trPr>
        <w:tc>
          <w:tcPr>
            <w:tcW w:w="640" w:type="pct"/>
            <w:shd w:val="clear" w:color="auto" w:fill="auto"/>
            <w:vAlign w:val="center"/>
          </w:tcPr>
          <w:p w14:paraId="5F66AFF8" w14:textId="77777777" w:rsidR="002B469B" w:rsidRPr="00B41614" w:rsidRDefault="002B469B" w:rsidP="005B53DA">
            <w:pPr>
              <w:pStyle w:val="Tableheadingrow"/>
              <w:keepLines/>
            </w:pPr>
            <w:r w:rsidRPr="00B41614">
              <w:t>Trial</w:t>
            </w:r>
          </w:p>
        </w:tc>
        <w:tc>
          <w:tcPr>
            <w:tcW w:w="291" w:type="pct"/>
            <w:shd w:val="clear" w:color="auto" w:fill="auto"/>
            <w:vAlign w:val="center"/>
          </w:tcPr>
          <w:p w14:paraId="0179ABC4" w14:textId="77777777" w:rsidR="002B469B" w:rsidRPr="00B41614" w:rsidRDefault="002B469B" w:rsidP="005B53DA">
            <w:pPr>
              <w:pStyle w:val="Tableheadingrow"/>
              <w:keepLines/>
              <w:jc w:val="center"/>
            </w:pPr>
            <w:r w:rsidRPr="00B41614">
              <w:t>N</w:t>
            </w:r>
          </w:p>
        </w:tc>
        <w:tc>
          <w:tcPr>
            <w:tcW w:w="645" w:type="pct"/>
            <w:shd w:val="clear" w:color="auto" w:fill="auto"/>
            <w:vAlign w:val="center"/>
          </w:tcPr>
          <w:p w14:paraId="33BF3C8B" w14:textId="77777777" w:rsidR="002B469B" w:rsidRPr="00B41614" w:rsidRDefault="002B469B" w:rsidP="005B53DA">
            <w:pPr>
              <w:pStyle w:val="Tableheadingrow"/>
              <w:keepLines/>
              <w:jc w:val="center"/>
            </w:pPr>
            <w:r w:rsidRPr="00B41614">
              <w:t>Design/ duration</w:t>
            </w:r>
          </w:p>
        </w:tc>
        <w:tc>
          <w:tcPr>
            <w:tcW w:w="455" w:type="pct"/>
            <w:shd w:val="clear" w:color="auto" w:fill="auto"/>
            <w:vAlign w:val="center"/>
          </w:tcPr>
          <w:p w14:paraId="4A827F22" w14:textId="77777777" w:rsidR="002B469B" w:rsidRPr="00B41614" w:rsidRDefault="002B469B" w:rsidP="005B53DA">
            <w:pPr>
              <w:pStyle w:val="Tableheadingrow"/>
              <w:keepLines/>
              <w:jc w:val="center"/>
            </w:pPr>
            <w:r w:rsidRPr="00B41614">
              <w:t>Risk of bias</w:t>
            </w:r>
          </w:p>
        </w:tc>
        <w:tc>
          <w:tcPr>
            <w:tcW w:w="1126" w:type="pct"/>
            <w:vAlign w:val="center"/>
          </w:tcPr>
          <w:p w14:paraId="1A898342" w14:textId="34438093" w:rsidR="002B469B" w:rsidRPr="00B41614" w:rsidRDefault="004E63A4" w:rsidP="005B53DA">
            <w:pPr>
              <w:pStyle w:val="Tableheadingrow"/>
              <w:keepLines/>
              <w:jc w:val="center"/>
            </w:pPr>
            <w:r>
              <w:t>Treatments</w:t>
            </w:r>
          </w:p>
        </w:tc>
        <w:tc>
          <w:tcPr>
            <w:tcW w:w="1126" w:type="pct"/>
            <w:shd w:val="clear" w:color="auto" w:fill="auto"/>
            <w:vAlign w:val="center"/>
          </w:tcPr>
          <w:p w14:paraId="0B540A24" w14:textId="6CF1FD26" w:rsidR="002B469B" w:rsidRPr="00B41614" w:rsidRDefault="002B469B" w:rsidP="005B53DA">
            <w:pPr>
              <w:pStyle w:val="Tableheadingrow"/>
              <w:keepLines/>
              <w:jc w:val="center"/>
            </w:pPr>
            <w:r w:rsidRPr="00B41614">
              <w:t>Patient population</w:t>
            </w:r>
          </w:p>
        </w:tc>
        <w:tc>
          <w:tcPr>
            <w:tcW w:w="717" w:type="pct"/>
            <w:shd w:val="clear" w:color="auto" w:fill="auto"/>
            <w:vAlign w:val="center"/>
          </w:tcPr>
          <w:p w14:paraId="0979EA8B" w14:textId="7B07C2D3" w:rsidR="002B469B" w:rsidRPr="00B41614" w:rsidRDefault="002B469B" w:rsidP="005B53DA">
            <w:pPr>
              <w:pStyle w:val="Tableheadingrow"/>
              <w:keepLines/>
              <w:jc w:val="center"/>
            </w:pPr>
            <w:r w:rsidRPr="00B41614">
              <w:t>Outcomes</w:t>
            </w:r>
          </w:p>
        </w:tc>
      </w:tr>
      <w:tr w:rsidR="002B469B" w:rsidRPr="00E2771E" w14:paraId="37D596FC" w14:textId="77777777" w:rsidTr="002B469B">
        <w:tc>
          <w:tcPr>
            <w:tcW w:w="5000" w:type="pct"/>
            <w:gridSpan w:val="7"/>
          </w:tcPr>
          <w:p w14:paraId="77CE13AC" w14:textId="7DAA5624" w:rsidR="002B469B" w:rsidRPr="00B41614" w:rsidRDefault="002B469B" w:rsidP="005B53DA">
            <w:pPr>
              <w:pStyle w:val="Tableheadingrow"/>
              <w:keepLines/>
            </w:pPr>
            <w:r>
              <w:t>Risankizumab versus placebo</w:t>
            </w:r>
          </w:p>
        </w:tc>
      </w:tr>
      <w:tr w:rsidR="002A1783" w:rsidRPr="00E2771E" w14:paraId="1269A237" w14:textId="77777777" w:rsidTr="00E04951">
        <w:trPr>
          <w:trHeight w:val="1121"/>
        </w:trPr>
        <w:tc>
          <w:tcPr>
            <w:tcW w:w="640" w:type="pct"/>
            <w:shd w:val="clear" w:color="auto" w:fill="auto"/>
            <w:vAlign w:val="center"/>
          </w:tcPr>
          <w:p w14:paraId="180E11CC" w14:textId="185FD212" w:rsidR="002A1783" w:rsidRPr="00E2771E" w:rsidRDefault="002A1783" w:rsidP="005B53DA">
            <w:pPr>
              <w:pStyle w:val="TableText"/>
              <w:keepLines/>
              <w:rPr>
                <w:lang w:val="en-US"/>
              </w:rPr>
            </w:pPr>
            <w:proofErr w:type="spellStart"/>
            <w:r>
              <w:rPr>
                <w:lang w:val="en-US"/>
              </w:rPr>
              <w:t>KEEPsAKE</w:t>
            </w:r>
            <w:proofErr w:type="spellEnd"/>
            <w:r>
              <w:rPr>
                <w:lang w:val="en-US"/>
              </w:rPr>
              <w:t xml:space="preserve"> 1</w:t>
            </w:r>
          </w:p>
        </w:tc>
        <w:tc>
          <w:tcPr>
            <w:tcW w:w="291" w:type="pct"/>
            <w:shd w:val="clear" w:color="auto" w:fill="auto"/>
            <w:vAlign w:val="center"/>
          </w:tcPr>
          <w:p w14:paraId="6ECD8730" w14:textId="5C292A0D" w:rsidR="002A1783" w:rsidRPr="00E2771E" w:rsidRDefault="002A1783" w:rsidP="005B53DA">
            <w:pPr>
              <w:pStyle w:val="TableText"/>
              <w:keepLines/>
              <w:jc w:val="center"/>
              <w:rPr>
                <w:lang w:val="en-US"/>
              </w:rPr>
            </w:pPr>
            <w:r>
              <w:rPr>
                <w:lang w:val="en-US"/>
              </w:rPr>
              <w:t>964</w:t>
            </w:r>
          </w:p>
        </w:tc>
        <w:tc>
          <w:tcPr>
            <w:tcW w:w="645" w:type="pct"/>
            <w:shd w:val="clear" w:color="auto" w:fill="auto"/>
            <w:vAlign w:val="center"/>
          </w:tcPr>
          <w:p w14:paraId="644A02A7" w14:textId="27798EDC" w:rsidR="002A1783" w:rsidRPr="004E752D" w:rsidRDefault="002A1783" w:rsidP="005B53DA">
            <w:pPr>
              <w:pStyle w:val="TableText"/>
              <w:keepLines/>
              <w:jc w:val="center"/>
              <w:rPr>
                <w:vertAlign w:val="superscript"/>
                <w:lang w:val="en-US"/>
              </w:rPr>
            </w:pPr>
            <w:r w:rsidRPr="00E2771E">
              <w:rPr>
                <w:lang w:val="en-US"/>
              </w:rPr>
              <w:t xml:space="preserve">R, </w:t>
            </w:r>
            <w:r w:rsidR="00367FA9">
              <w:rPr>
                <w:lang w:val="en-US"/>
              </w:rPr>
              <w:t xml:space="preserve">MC, </w:t>
            </w:r>
            <w:r w:rsidRPr="00E2771E">
              <w:rPr>
                <w:lang w:val="en-US"/>
              </w:rPr>
              <w:t>DB</w:t>
            </w:r>
            <w:r w:rsidR="00CE3472">
              <w:rPr>
                <w:lang w:val="en-US"/>
              </w:rPr>
              <w:t xml:space="preserve"> </w:t>
            </w:r>
            <w:r>
              <w:rPr>
                <w:lang w:val="en-US"/>
              </w:rPr>
              <w:t xml:space="preserve">24 weeks; OL 184 weeks </w:t>
            </w:r>
            <w:r>
              <w:rPr>
                <w:vertAlign w:val="superscript"/>
                <w:lang w:val="en-US"/>
              </w:rPr>
              <w:t>a</w:t>
            </w:r>
          </w:p>
        </w:tc>
        <w:tc>
          <w:tcPr>
            <w:tcW w:w="455" w:type="pct"/>
            <w:shd w:val="clear" w:color="auto" w:fill="auto"/>
            <w:vAlign w:val="center"/>
          </w:tcPr>
          <w:p w14:paraId="0654B02A" w14:textId="77777777" w:rsidR="002A1783" w:rsidRPr="00E2771E" w:rsidRDefault="002A1783" w:rsidP="005B53DA">
            <w:pPr>
              <w:pStyle w:val="TableText"/>
              <w:keepLines/>
              <w:jc w:val="center"/>
              <w:rPr>
                <w:lang w:val="en-US"/>
              </w:rPr>
            </w:pPr>
            <w:r w:rsidRPr="00E2771E">
              <w:rPr>
                <w:lang w:val="en-US"/>
              </w:rPr>
              <w:t>Low</w:t>
            </w:r>
          </w:p>
        </w:tc>
        <w:tc>
          <w:tcPr>
            <w:tcW w:w="1126" w:type="pct"/>
            <w:vMerge w:val="restart"/>
          </w:tcPr>
          <w:p w14:paraId="7118C503" w14:textId="32B0705C" w:rsidR="002A1783" w:rsidRPr="00762BAD" w:rsidRDefault="002A1783" w:rsidP="005B53DA">
            <w:pPr>
              <w:pStyle w:val="ListParagraph"/>
              <w:keepLines/>
              <w:numPr>
                <w:ilvl w:val="0"/>
                <w:numId w:val="19"/>
              </w:numPr>
              <w:spacing w:after="40"/>
              <w:ind w:left="113" w:hanging="113"/>
              <w:contextualSpacing w:val="0"/>
              <w:jc w:val="left"/>
              <w:rPr>
                <w:rFonts w:ascii="Arial Narrow" w:hAnsi="Arial Narrow"/>
                <w:sz w:val="20"/>
                <w:szCs w:val="20"/>
              </w:rPr>
            </w:pPr>
            <w:r w:rsidRPr="00762BAD">
              <w:rPr>
                <w:rFonts w:ascii="Arial Narrow" w:hAnsi="Arial Narrow"/>
                <w:sz w:val="20"/>
                <w:szCs w:val="20"/>
              </w:rPr>
              <w:t>SC risankizumab 150 mg at Week 0, 4, and every 12 weeks thereafter</w:t>
            </w:r>
          </w:p>
          <w:p w14:paraId="17477D53" w14:textId="77777777" w:rsidR="002A1783" w:rsidRDefault="002A1783" w:rsidP="005B53DA">
            <w:pPr>
              <w:pStyle w:val="ListParagraph"/>
              <w:keepLines/>
              <w:numPr>
                <w:ilvl w:val="0"/>
                <w:numId w:val="19"/>
              </w:numPr>
              <w:spacing w:after="40"/>
              <w:ind w:left="113" w:hanging="113"/>
              <w:contextualSpacing w:val="0"/>
              <w:jc w:val="left"/>
              <w:rPr>
                <w:rFonts w:ascii="Arial Narrow" w:hAnsi="Arial Narrow"/>
                <w:sz w:val="20"/>
                <w:szCs w:val="20"/>
              </w:rPr>
            </w:pPr>
            <w:r w:rsidRPr="00D8428B">
              <w:rPr>
                <w:rFonts w:ascii="Arial Narrow" w:hAnsi="Arial Narrow"/>
                <w:sz w:val="20"/>
                <w:szCs w:val="20"/>
              </w:rPr>
              <w:t xml:space="preserve">PBO at Week 0, 4 and every </w:t>
            </w:r>
            <w:r>
              <w:rPr>
                <w:rFonts w:ascii="Arial Narrow" w:hAnsi="Arial Narrow"/>
                <w:sz w:val="20"/>
                <w:szCs w:val="20"/>
              </w:rPr>
              <w:t>12</w:t>
            </w:r>
            <w:r w:rsidRPr="00D8428B">
              <w:rPr>
                <w:rFonts w:ascii="Arial Narrow" w:hAnsi="Arial Narrow"/>
                <w:sz w:val="20"/>
                <w:szCs w:val="20"/>
              </w:rPr>
              <w:t xml:space="preserve"> weeks thereafter</w:t>
            </w:r>
          </w:p>
          <w:p w14:paraId="4627BC9E" w14:textId="14C871D7" w:rsidR="002A1783" w:rsidRPr="000C6D82" w:rsidRDefault="002A1783" w:rsidP="005B53DA">
            <w:pPr>
              <w:pStyle w:val="ListParagraph"/>
              <w:keepLines/>
              <w:numPr>
                <w:ilvl w:val="0"/>
                <w:numId w:val="19"/>
              </w:numPr>
              <w:spacing w:after="40"/>
              <w:ind w:left="113" w:hanging="113"/>
              <w:contextualSpacing w:val="0"/>
              <w:jc w:val="left"/>
              <w:rPr>
                <w:rFonts w:ascii="Arial Narrow" w:hAnsi="Arial Narrow"/>
                <w:sz w:val="20"/>
                <w:szCs w:val="20"/>
              </w:rPr>
            </w:pPr>
            <w:r>
              <w:rPr>
                <w:rFonts w:ascii="Arial Narrow" w:hAnsi="Arial Narrow"/>
                <w:sz w:val="20"/>
                <w:szCs w:val="20"/>
              </w:rPr>
              <w:t>From</w:t>
            </w:r>
            <w:r w:rsidRPr="000C6D82">
              <w:rPr>
                <w:rFonts w:ascii="Arial Narrow" w:hAnsi="Arial Narrow"/>
                <w:sz w:val="20"/>
                <w:szCs w:val="20"/>
              </w:rPr>
              <w:t xml:space="preserve"> Week 24, </w:t>
            </w:r>
            <w:r>
              <w:rPr>
                <w:rFonts w:ascii="Arial Narrow" w:hAnsi="Arial Narrow"/>
                <w:sz w:val="20"/>
                <w:szCs w:val="20"/>
              </w:rPr>
              <w:t>all patients received open label</w:t>
            </w:r>
            <w:r w:rsidRPr="000C6D82">
              <w:rPr>
                <w:rFonts w:ascii="Arial Narrow" w:hAnsi="Arial Narrow"/>
                <w:sz w:val="20"/>
                <w:szCs w:val="20"/>
              </w:rPr>
              <w:t xml:space="preserve"> </w:t>
            </w:r>
            <w:r>
              <w:rPr>
                <w:rFonts w:ascii="Arial Narrow" w:hAnsi="Arial Narrow"/>
                <w:sz w:val="20"/>
                <w:szCs w:val="20"/>
              </w:rPr>
              <w:t>risankizumab 150 mg every 12 weeks</w:t>
            </w:r>
          </w:p>
        </w:tc>
        <w:tc>
          <w:tcPr>
            <w:tcW w:w="1126" w:type="pct"/>
            <w:shd w:val="clear" w:color="auto" w:fill="auto"/>
            <w:vAlign w:val="center"/>
          </w:tcPr>
          <w:p w14:paraId="79F6F985" w14:textId="3876FC8B" w:rsidR="002A1783" w:rsidRPr="003768C2" w:rsidRDefault="00950A9F" w:rsidP="005B53DA">
            <w:pPr>
              <w:keepLines/>
              <w:spacing w:after="40"/>
              <w:jc w:val="left"/>
              <w:rPr>
                <w:rFonts w:ascii="Arial Narrow" w:hAnsi="Arial Narrow"/>
                <w:sz w:val="20"/>
                <w:szCs w:val="20"/>
              </w:rPr>
            </w:pPr>
            <w:r w:rsidRPr="00D8428B">
              <w:rPr>
                <w:rFonts w:ascii="Arial Narrow" w:hAnsi="Arial Narrow"/>
                <w:sz w:val="20"/>
                <w:szCs w:val="20"/>
              </w:rPr>
              <w:t xml:space="preserve">Adults with active </w:t>
            </w:r>
            <w:proofErr w:type="spellStart"/>
            <w:r w:rsidRPr="00D8428B">
              <w:rPr>
                <w:rFonts w:ascii="Arial Narrow" w:hAnsi="Arial Narrow"/>
                <w:sz w:val="20"/>
                <w:szCs w:val="20"/>
              </w:rPr>
              <w:t>PsA</w:t>
            </w:r>
            <w:proofErr w:type="spellEnd"/>
            <w:r w:rsidR="00A63988">
              <w:rPr>
                <w:rFonts w:ascii="Arial Narrow" w:hAnsi="Arial Narrow"/>
                <w:sz w:val="20"/>
                <w:szCs w:val="20"/>
              </w:rPr>
              <w:t xml:space="preserve"> with inadequate response to </w:t>
            </w:r>
            <w:proofErr w:type="spellStart"/>
            <w:r w:rsidR="003768C2">
              <w:rPr>
                <w:rFonts w:ascii="Arial Narrow" w:hAnsi="Arial Narrow"/>
                <w:sz w:val="20"/>
                <w:szCs w:val="20"/>
              </w:rPr>
              <w:t>csDMARDs</w:t>
            </w:r>
            <w:proofErr w:type="spellEnd"/>
            <w:r w:rsidR="003768C2">
              <w:rPr>
                <w:rFonts w:ascii="Arial Narrow" w:hAnsi="Arial Narrow"/>
                <w:sz w:val="20"/>
                <w:szCs w:val="20"/>
              </w:rPr>
              <w:t xml:space="preserve">. Naïve to </w:t>
            </w:r>
            <w:proofErr w:type="spellStart"/>
            <w:r w:rsidR="003768C2">
              <w:rPr>
                <w:rFonts w:ascii="Arial Narrow" w:hAnsi="Arial Narrow"/>
                <w:sz w:val="20"/>
                <w:szCs w:val="20"/>
              </w:rPr>
              <w:t>bDMARD</w:t>
            </w:r>
            <w:proofErr w:type="spellEnd"/>
            <w:r w:rsidR="003768C2">
              <w:rPr>
                <w:rFonts w:ascii="Arial Narrow" w:hAnsi="Arial Narrow"/>
                <w:sz w:val="20"/>
                <w:szCs w:val="20"/>
              </w:rPr>
              <w:t xml:space="preserve"> treatment.</w:t>
            </w:r>
          </w:p>
        </w:tc>
        <w:tc>
          <w:tcPr>
            <w:tcW w:w="717" w:type="pct"/>
            <w:vMerge w:val="restart"/>
            <w:shd w:val="clear" w:color="auto" w:fill="auto"/>
            <w:vAlign w:val="center"/>
          </w:tcPr>
          <w:p w14:paraId="37933C95" w14:textId="77777777" w:rsidR="002A1783" w:rsidRDefault="002A1783" w:rsidP="005B53DA">
            <w:pPr>
              <w:keepLines/>
              <w:spacing w:after="40"/>
              <w:jc w:val="left"/>
              <w:rPr>
                <w:rFonts w:ascii="Arial Narrow" w:hAnsi="Arial Narrow"/>
                <w:sz w:val="20"/>
                <w:szCs w:val="20"/>
              </w:rPr>
            </w:pPr>
            <w:r w:rsidRPr="00D8428B">
              <w:rPr>
                <w:rFonts w:ascii="Arial Narrow" w:hAnsi="Arial Narrow"/>
                <w:sz w:val="20"/>
                <w:szCs w:val="20"/>
              </w:rPr>
              <w:t>ACR20, ACR50,</w:t>
            </w:r>
            <w:r>
              <w:rPr>
                <w:rFonts w:ascii="Arial Narrow" w:hAnsi="Arial Narrow"/>
                <w:sz w:val="20"/>
                <w:szCs w:val="20"/>
              </w:rPr>
              <w:t xml:space="preserve"> PASI75 and HAQ-DI improvement</w:t>
            </w:r>
            <w:r w:rsidRPr="00D8428B">
              <w:rPr>
                <w:rFonts w:ascii="Arial Narrow" w:hAnsi="Arial Narrow"/>
                <w:sz w:val="20"/>
                <w:szCs w:val="20"/>
              </w:rPr>
              <w:t xml:space="preserve"> at Week 24</w:t>
            </w:r>
          </w:p>
          <w:p w14:paraId="38D65AE4" w14:textId="7E986623" w:rsidR="002A1783" w:rsidRPr="00E2771E" w:rsidRDefault="002A1783" w:rsidP="005B53DA">
            <w:pPr>
              <w:keepLines/>
              <w:spacing w:after="40"/>
              <w:jc w:val="left"/>
              <w:rPr>
                <w:lang w:val="en-US"/>
              </w:rPr>
            </w:pPr>
            <w:r w:rsidRPr="00D8428B">
              <w:rPr>
                <w:rFonts w:ascii="Arial Narrow" w:hAnsi="Arial Narrow"/>
                <w:sz w:val="20"/>
                <w:szCs w:val="20"/>
              </w:rPr>
              <w:t>Safety</w:t>
            </w:r>
          </w:p>
        </w:tc>
      </w:tr>
      <w:tr w:rsidR="002A1783" w:rsidRPr="00E2771E" w14:paraId="1F660063" w14:textId="77777777" w:rsidTr="00E04951">
        <w:tc>
          <w:tcPr>
            <w:tcW w:w="640" w:type="pct"/>
            <w:shd w:val="clear" w:color="auto" w:fill="auto"/>
            <w:vAlign w:val="center"/>
          </w:tcPr>
          <w:p w14:paraId="7980D319" w14:textId="7FAE2754" w:rsidR="002A1783" w:rsidRPr="00E2771E" w:rsidRDefault="002A1783" w:rsidP="005B53DA">
            <w:pPr>
              <w:pStyle w:val="TableText"/>
              <w:keepLines/>
              <w:rPr>
                <w:lang w:val="en-US"/>
              </w:rPr>
            </w:pPr>
            <w:proofErr w:type="spellStart"/>
            <w:r>
              <w:rPr>
                <w:lang w:val="en-US"/>
              </w:rPr>
              <w:t>KEEPsAKE</w:t>
            </w:r>
            <w:proofErr w:type="spellEnd"/>
            <w:r>
              <w:rPr>
                <w:lang w:val="en-US"/>
              </w:rPr>
              <w:t xml:space="preserve"> 2</w:t>
            </w:r>
          </w:p>
        </w:tc>
        <w:tc>
          <w:tcPr>
            <w:tcW w:w="291" w:type="pct"/>
            <w:shd w:val="clear" w:color="auto" w:fill="auto"/>
            <w:vAlign w:val="center"/>
          </w:tcPr>
          <w:p w14:paraId="5E2F4BFC" w14:textId="2088C882" w:rsidR="002A1783" w:rsidRPr="00E2771E" w:rsidRDefault="002A1783" w:rsidP="005B53DA">
            <w:pPr>
              <w:pStyle w:val="TableText"/>
              <w:keepLines/>
              <w:jc w:val="center"/>
              <w:rPr>
                <w:lang w:val="en-US"/>
              </w:rPr>
            </w:pPr>
            <w:r>
              <w:rPr>
                <w:lang w:val="en-US"/>
              </w:rPr>
              <w:t>443</w:t>
            </w:r>
          </w:p>
        </w:tc>
        <w:tc>
          <w:tcPr>
            <w:tcW w:w="645" w:type="pct"/>
            <w:shd w:val="clear" w:color="auto" w:fill="auto"/>
            <w:vAlign w:val="center"/>
          </w:tcPr>
          <w:p w14:paraId="4A6F2C92" w14:textId="660F300C" w:rsidR="002A1783" w:rsidRPr="00E2771E" w:rsidRDefault="002A1783" w:rsidP="005B53DA">
            <w:pPr>
              <w:pStyle w:val="TableText"/>
              <w:keepLines/>
              <w:jc w:val="center"/>
              <w:rPr>
                <w:lang w:val="en-US"/>
              </w:rPr>
            </w:pPr>
            <w:r w:rsidRPr="00E2771E">
              <w:rPr>
                <w:lang w:val="en-US"/>
              </w:rPr>
              <w:t xml:space="preserve">R, </w:t>
            </w:r>
            <w:r w:rsidR="00367FA9">
              <w:rPr>
                <w:lang w:val="en-US"/>
              </w:rPr>
              <w:t xml:space="preserve">MC, </w:t>
            </w:r>
            <w:r w:rsidRPr="00E2771E">
              <w:rPr>
                <w:lang w:val="en-US"/>
              </w:rPr>
              <w:t>DB</w:t>
            </w:r>
          </w:p>
          <w:p w14:paraId="527B9191" w14:textId="5D22E17B" w:rsidR="002A1783" w:rsidRPr="004E752D" w:rsidRDefault="002A1783" w:rsidP="005B53DA">
            <w:pPr>
              <w:pStyle w:val="TableText"/>
              <w:keepLines/>
              <w:jc w:val="center"/>
              <w:rPr>
                <w:vertAlign w:val="superscript"/>
                <w:lang w:val="en-US"/>
              </w:rPr>
            </w:pPr>
            <w:r>
              <w:rPr>
                <w:lang w:val="en-US"/>
              </w:rPr>
              <w:t xml:space="preserve">24 weeks; OL 184 weeks </w:t>
            </w:r>
            <w:r>
              <w:rPr>
                <w:vertAlign w:val="superscript"/>
                <w:lang w:val="en-US"/>
              </w:rPr>
              <w:t>a</w:t>
            </w:r>
          </w:p>
        </w:tc>
        <w:tc>
          <w:tcPr>
            <w:tcW w:w="455" w:type="pct"/>
            <w:shd w:val="clear" w:color="auto" w:fill="auto"/>
            <w:vAlign w:val="center"/>
          </w:tcPr>
          <w:p w14:paraId="698C4BDA" w14:textId="21EE0856" w:rsidR="002A1783" w:rsidRPr="00E2771E" w:rsidRDefault="002A1783" w:rsidP="005B53DA">
            <w:pPr>
              <w:pStyle w:val="TableText"/>
              <w:keepLines/>
              <w:jc w:val="center"/>
              <w:rPr>
                <w:lang w:val="en-US"/>
              </w:rPr>
            </w:pPr>
            <w:r>
              <w:rPr>
                <w:lang w:val="en-US"/>
              </w:rPr>
              <w:t>Low</w:t>
            </w:r>
          </w:p>
        </w:tc>
        <w:tc>
          <w:tcPr>
            <w:tcW w:w="1126" w:type="pct"/>
            <w:vMerge/>
          </w:tcPr>
          <w:p w14:paraId="0344F420" w14:textId="77777777" w:rsidR="002A1783" w:rsidRPr="00E2771E" w:rsidRDefault="002A1783" w:rsidP="005B53DA">
            <w:pPr>
              <w:pStyle w:val="TableText"/>
              <w:keepLines/>
              <w:jc w:val="center"/>
              <w:rPr>
                <w:lang w:val="en-US"/>
              </w:rPr>
            </w:pPr>
          </w:p>
        </w:tc>
        <w:tc>
          <w:tcPr>
            <w:tcW w:w="1126" w:type="pct"/>
            <w:shd w:val="clear" w:color="auto" w:fill="auto"/>
            <w:vAlign w:val="center"/>
          </w:tcPr>
          <w:p w14:paraId="4646E4C7" w14:textId="3618B3B1" w:rsidR="002A1783" w:rsidRPr="00E2771E" w:rsidRDefault="00391A43" w:rsidP="005B53DA">
            <w:pPr>
              <w:pStyle w:val="TableText"/>
              <w:keepLines/>
              <w:rPr>
                <w:lang w:val="en-US"/>
              </w:rPr>
            </w:pPr>
            <w:r w:rsidRPr="00D8428B">
              <w:rPr>
                <w:szCs w:val="20"/>
              </w:rPr>
              <w:t xml:space="preserve">Adults with active </w:t>
            </w:r>
            <w:proofErr w:type="spellStart"/>
            <w:r w:rsidRPr="00D8428B">
              <w:rPr>
                <w:szCs w:val="20"/>
              </w:rPr>
              <w:t>PsA</w:t>
            </w:r>
            <w:proofErr w:type="spellEnd"/>
            <w:r>
              <w:rPr>
                <w:szCs w:val="20"/>
              </w:rPr>
              <w:t xml:space="preserve"> with inadequate response to </w:t>
            </w:r>
            <w:proofErr w:type="spellStart"/>
            <w:r>
              <w:rPr>
                <w:szCs w:val="20"/>
              </w:rPr>
              <w:t>csDMARDs</w:t>
            </w:r>
            <w:proofErr w:type="spellEnd"/>
            <w:r>
              <w:rPr>
                <w:szCs w:val="20"/>
              </w:rPr>
              <w:t>.</w:t>
            </w:r>
            <w:r w:rsidR="00FA544F">
              <w:rPr>
                <w:szCs w:val="20"/>
              </w:rPr>
              <w:t xml:space="preserve"> ~50% of enrolled patients could have previous history of one or two </w:t>
            </w:r>
            <w:proofErr w:type="spellStart"/>
            <w:r w:rsidR="00182411">
              <w:rPr>
                <w:szCs w:val="20"/>
              </w:rPr>
              <w:t>bDMARDs</w:t>
            </w:r>
            <w:proofErr w:type="spellEnd"/>
          </w:p>
        </w:tc>
        <w:tc>
          <w:tcPr>
            <w:tcW w:w="717" w:type="pct"/>
            <w:vMerge/>
            <w:shd w:val="clear" w:color="auto" w:fill="auto"/>
            <w:vAlign w:val="center"/>
          </w:tcPr>
          <w:p w14:paraId="7008DF28" w14:textId="092071E2" w:rsidR="002A1783" w:rsidRPr="00E2771E" w:rsidRDefault="002A1783" w:rsidP="005B53DA">
            <w:pPr>
              <w:pStyle w:val="TableText"/>
              <w:keepLines/>
              <w:rPr>
                <w:lang w:val="en-US"/>
              </w:rPr>
            </w:pPr>
          </w:p>
        </w:tc>
      </w:tr>
      <w:tr w:rsidR="002B469B" w:rsidRPr="00E2771E" w14:paraId="47825D24" w14:textId="77777777" w:rsidTr="00FB266D">
        <w:tc>
          <w:tcPr>
            <w:tcW w:w="640" w:type="pct"/>
            <w:shd w:val="clear" w:color="auto" w:fill="auto"/>
            <w:vAlign w:val="center"/>
          </w:tcPr>
          <w:p w14:paraId="0E2E0F5F" w14:textId="77777777" w:rsidR="002B469B" w:rsidRPr="00E2771E" w:rsidRDefault="002B469B" w:rsidP="005B53DA">
            <w:pPr>
              <w:pStyle w:val="TableText"/>
              <w:keepLines/>
              <w:rPr>
                <w:lang w:val="en-US"/>
              </w:rPr>
            </w:pPr>
            <w:r w:rsidRPr="00E2771E">
              <w:rPr>
                <w:lang w:val="en-US"/>
              </w:rPr>
              <w:t>Meta-analysis</w:t>
            </w:r>
          </w:p>
        </w:tc>
        <w:tc>
          <w:tcPr>
            <w:tcW w:w="291" w:type="pct"/>
            <w:shd w:val="clear" w:color="auto" w:fill="auto"/>
            <w:vAlign w:val="center"/>
          </w:tcPr>
          <w:p w14:paraId="181078A5" w14:textId="2CA714DF" w:rsidR="002B469B" w:rsidRPr="00E2771E" w:rsidRDefault="002B469B" w:rsidP="005B53DA">
            <w:pPr>
              <w:pStyle w:val="TableText"/>
              <w:keepLines/>
              <w:jc w:val="center"/>
              <w:rPr>
                <w:lang w:val="en-US"/>
              </w:rPr>
            </w:pPr>
            <w:r>
              <w:rPr>
                <w:lang w:val="en-US"/>
              </w:rPr>
              <w:t>1</w:t>
            </w:r>
            <w:r w:rsidRPr="00E2771E">
              <w:rPr>
                <w:lang w:val="en-US"/>
              </w:rPr>
              <w:t>4</w:t>
            </w:r>
            <w:r>
              <w:rPr>
                <w:lang w:val="en-US"/>
              </w:rPr>
              <w:t>07</w:t>
            </w:r>
          </w:p>
        </w:tc>
        <w:tc>
          <w:tcPr>
            <w:tcW w:w="4069" w:type="pct"/>
            <w:gridSpan w:val="5"/>
          </w:tcPr>
          <w:p w14:paraId="1D0798EC" w14:textId="6655F332" w:rsidR="002B469B" w:rsidRPr="00E2771E" w:rsidRDefault="002B469B" w:rsidP="005B53DA">
            <w:pPr>
              <w:pStyle w:val="TableText"/>
              <w:keepLines/>
              <w:rPr>
                <w:lang w:val="en-US"/>
              </w:rPr>
            </w:pPr>
            <w:r w:rsidRPr="00E2771E">
              <w:rPr>
                <w:lang w:val="en-US"/>
              </w:rPr>
              <w:t xml:space="preserve">Included </w:t>
            </w:r>
            <w:proofErr w:type="spellStart"/>
            <w:r>
              <w:rPr>
                <w:lang w:val="en-US"/>
              </w:rPr>
              <w:t>KEEPsAKE</w:t>
            </w:r>
            <w:proofErr w:type="spellEnd"/>
            <w:r>
              <w:rPr>
                <w:lang w:val="en-US"/>
              </w:rPr>
              <w:t xml:space="preserve"> 2 and </w:t>
            </w:r>
            <w:proofErr w:type="spellStart"/>
            <w:r>
              <w:rPr>
                <w:lang w:val="en-US"/>
              </w:rPr>
              <w:t>KEEPsAKE</w:t>
            </w:r>
            <w:proofErr w:type="spellEnd"/>
            <w:r>
              <w:rPr>
                <w:lang w:val="en-US"/>
              </w:rPr>
              <w:t xml:space="preserve"> 1</w:t>
            </w:r>
            <w:r w:rsidRPr="00E2771E">
              <w:rPr>
                <w:lang w:val="en-US"/>
              </w:rPr>
              <w:t xml:space="preserve">; </w:t>
            </w:r>
            <w:r>
              <w:rPr>
                <w:lang w:val="en-US"/>
              </w:rPr>
              <w:t>assessed efficacy and safety outcomes</w:t>
            </w:r>
          </w:p>
        </w:tc>
      </w:tr>
      <w:tr w:rsidR="002B469B" w:rsidRPr="00E2771E" w14:paraId="6DA0ED30" w14:textId="77777777" w:rsidTr="002B469B">
        <w:tc>
          <w:tcPr>
            <w:tcW w:w="5000" w:type="pct"/>
            <w:gridSpan w:val="7"/>
          </w:tcPr>
          <w:p w14:paraId="6F3C0BE3" w14:textId="1DF7B56E" w:rsidR="002B469B" w:rsidRPr="00B41614" w:rsidRDefault="002B469B" w:rsidP="005B53DA">
            <w:pPr>
              <w:pStyle w:val="Tableheadingrow"/>
              <w:keepLines/>
            </w:pPr>
            <w:proofErr w:type="spellStart"/>
            <w:r>
              <w:t>Guselkumab</w:t>
            </w:r>
            <w:proofErr w:type="spellEnd"/>
            <w:r>
              <w:t xml:space="preserve"> versus placebo</w:t>
            </w:r>
          </w:p>
        </w:tc>
      </w:tr>
      <w:tr w:rsidR="00E04951" w:rsidRPr="00E2771E" w14:paraId="70207CD8" w14:textId="77777777" w:rsidTr="00E04951">
        <w:trPr>
          <w:trHeight w:val="1365"/>
        </w:trPr>
        <w:tc>
          <w:tcPr>
            <w:tcW w:w="640" w:type="pct"/>
            <w:shd w:val="clear" w:color="auto" w:fill="auto"/>
            <w:vAlign w:val="center"/>
          </w:tcPr>
          <w:p w14:paraId="51B82FAA" w14:textId="4961F396" w:rsidR="00E04951" w:rsidRPr="00E2771E" w:rsidRDefault="00E04951" w:rsidP="005B53DA">
            <w:pPr>
              <w:pStyle w:val="TableText"/>
              <w:keepLines/>
              <w:rPr>
                <w:lang w:val="en-US"/>
              </w:rPr>
            </w:pPr>
            <w:r>
              <w:rPr>
                <w:lang w:val="en-US"/>
              </w:rPr>
              <w:t>DISCOVER 2</w:t>
            </w:r>
          </w:p>
        </w:tc>
        <w:tc>
          <w:tcPr>
            <w:tcW w:w="291" w:type="pct"/>
            <w:shd w:val="clear" w:color="auto" w:fill="auto"/>
            <w:vAlign w:val="center"/>
          </w:tcPr>
          <w:p w14:paraId="220975E2" w14:textId="3D8732AF" w:rsidR="00E04951" w:rsidRPr="00D75007" w:rsidRDefault="00E04951" w:rsidP="005B53DA">
            <w:pPr>
              <w:pStyle w:val="TableText"/>
              <w:keepLines/>
              <w:jc w:val="center"/>
              <w:rPr>
                <w:vertAlign w:val="superscript"/>
                <w:lang w:val="en-US"/>
              </w:rPr>
            </w:pPr>
            <w:r>
              <w:rPr>
                <w:lang w:val="en-US"/>
              </w:rPr>
              <w:t>494</w:t>
            </w:r>
            <w:r>
              <w:rPr>
                <w:vertAlign w:val="superscript"/>
                <w:lang w:val="en-US"/>
              </w:rPr>
              <w:t xml:space="preserve"> b</w:t>
            </w:r>
          </w:p>
        </w:tc>
        <w:tc>
          <w:tcPr>
            <w:tcW w:w="645" w:type="pct"/>
            <w:shd w:val="clear" w:color="auto" w:fill="auto"/>
            <w:vAlign w:val="center"/>
          </w:tcPr>
          <w:p w14:paraId="5FFC32DF" w14:textId="3432CA86" w:rsidR="00E04951" w:rsidRPr="00E2771E" w:rsidRDefault="00E04951" w:rsidP="005B53DA">
            <w:pPr>
              <w:pStyle w:val="TableText"/>
              <w:keepLines/>
              <w:jc w:val="center"/>
              <w:rPr>
                <w:lang w:val="en-US"/>
              </w:rPr>
            </w:pPr>
            <w:r w:rsidRPr="00E2771E">
              <w:rPr>
                <w:lang w:val="en-US"/>
              </w:rPr>
              <w:t>R,</w:t>
            </w:r>
            <w:r>
              <w:rPr>
                <w:lang w:val="en-US"/>
              </w:rPr>
              <w:t xml:space="preserve"> MC,</w:t>
            </w:r>
            <w:r w:rsidRPr="00E2771E">
              <w:rPr>
                <w:lang w:val="en-US"/>
              </w:rPr>
              <w:t xml:space="preserve"> DB</w:t>
            </w:r>
            <w:r>
              <w:rPr>
                <w:lang w:val="en-US"/>
              </w:rPr>
              <w:t xml:space="preserve"> 24 weeks; OL 76 weeks</w:t>
            </w:r>
          </w:p>
        </w:tc>
        <w:tc>
          <w:tcPr>
            <w:tcW w:w="455" w:type="pct"/>
            <w:shd w:val="clear" w:color="auto" w:fill="auto"/>
            <w:vAlign w:val="center"/>
          </w:tcPr>
          <w:p w14:paraId="693871B2" w14:textId="0B463BC9" w:rsidR="00E04951" w:rsidRPr="00E2771E" w:rsidRDefault="00E04951" w:rsidP="005B53DA">
            <w:pPr>
              <w:pStyle w:val="TableText"/>
              <w:keepLines/>
              <w:jc w:val="center"/>
              <w:rPr>
                <w:lang w:val="en-US"/>
              </w:rPr>
            </w:pPr>
            <w:r>
              <w:rPr>
                <w:lang w:val="en-US"/>
              </w:rPr>
              <w:t>Low</w:t>
            </w:r>
          </w:p>
        </w:tc>
        <w:tc>
          <w:tcPr>
            <w:tcW w:w="1126" w:type="pct"/>
            <w:vMerge w:val="restart"/>
          </w:tcPr>
          <w:p w14:paraId="09907234" w14:textId="77777777" w:rsidR="00E04951" w:rsidRPr="00D8428B" w:rsidRDefault="00E04951" w:rsidP="005B53DA">
            <w:pPr>
              <w:pStyle w:val="ListParagraph"/>
              <w:keepLines/>
              <w:numPr>
                <w:ilvl w:val="0"/>
                <w:numId w:val="19"/>
              </w:numPr>
              <w:ind w:left="113" w:hanging="113"/>
              <w:contextualSpacing w:val="0"/>
              <w:jc w:val="left"/>
              <w:rPr>
                <w:rFonts w:ascii="Arial Narrow" w:hAnsi="Arial Narrow"/>
                <w:sz w:val="20"/>
                <w:szCs w:val="20"/>
              </w:rPr>
            </w:pPr>
            <w:r w:rsidRPr="00D8428B">
              <w:rPr>
                <w:rFonts w:ascii="Arial Narrow" w:hAnsi="Arial Narrow"/>
                <w:sz w:val="20"/>
                <w:szCs w:val="20"/>
              </w:rPr>
              <w:t xml:space="preserve">SC </w:t>
            </w:r>
            <w:proofErr w:type="spellStart"/>
            <w:r w:rsidRPr="00D8428B">
              <w:rPr>
                <w:rFonts w:ascii="Arial Narrow" w:hAnsi="Arial Narrow"/>
                <w:sz w:val="20"/>
                <w:szCs w:val="20"/>
              </w:rPr>
              <w:t>guselkumab</w:t>
            </w:r>
            <w:proofErr w:type="spellEnd"/>
            <w:r w:rsidRPr="00D8428B">
              <w:rPr>
                <w:rFonts w:ascii="Arial Narrow" w:hAnsi="Arial Narrow"/>
                <w:sz w:val="20"/>
                <w:szCs w:val="20"/>
              </w:rPr>
              <w:t xml:space="preserve"> 100 mg at Week 0, 4, and: </w:t>
            </w:r>
          </w:p>
          <w:p w14:paraId="0579E706" w14:textId="77777777" w:rsidR="00E04951" w:rsidRPr="00D8428B" w:rsidRDefault="00E04951" w:rsidP="005B53DA">
            <w:pPr>
              <w:pStyle w:val="ListParagraph"/>
              <w:keepLines/>
              <w:numPr>
                <w:ilvl w:val="0"/>
                <w:numId w:val="20"/>
              </w:numPr>
              <w:ind w:left="253" w:hanging="141"/>
              <w:contextualSpacing w:val="0"/>
              <w:jc w:val="left"/>
              <w:rPr>
                <w:rFonts w:ascii="Arial Narrow" w:hAnsi="Arial Narrow"/>
                <w:sz w:val="20"/>
                <w:szCs w:val="20"/>
              </w:rPr>
            </w:pPr>
            <w:r w:rsidRPr="00D8428B">
              <w:rPr>
                <w:rFonts w:ascii="Arial Narrow" w:hAnsi="Arial Narrow"/>
                <w:sz w:val="20"/>
                <w:szCs w:val="20"/>
              </w:rPr>
              <w:t xml:space="preserve">every 4 weeks thereafter, or </w:t>
            </w:r>
          </w:p>
          <w:p w14:paraId="30A07226" w14:textId="77777777" w:rsidR="00E04951" w:rsidRPr="00D8428B" w:rsidRDefault="00E04951" w:rsidP="005B53DA">
            <w:pPr>
              <w:pStyle w:val="ListParagraph"/>
              <w:keepLines/>
              <w:numPr>
                <w:ilvl w:val="0"/>
                <w:numId w:val="20"/>
              </w:numPr>
              <w:ind w:left="255" w:hanging="142"/>
              <w:contextualSpacing w:val="0"/>
              <w:jc w:val="left"/>
              <w:rPr>
                <w:rFonts w:ascii="Arial Narrow" w:hAnsi="Arial Narrow"/>
                <w:sz w:val="20"/>
                <w:szCs w:val="20"/>
              </w:rPr>
            </w:pPr>
            <w:r w:rsidRPr="00D8428B">
              <w:rPr>
                <w:rFonts w:ascii="Arial Narrow" w:hAnsi="Arial Narrow"/>
                <w:sz w:val="20"/>
                <w:szCs w:val="20"/>
              </w:rPr>
              <w:t>every 8 weeks thereafter</w:t>
            </w:r>
          </w:p>
          <w:p w14:paraId="432AC2BD" w14:textId="77777777" w:rsidR="00E04951" w:rsidRDefault="00E04951" w:rsidP="005B53DA">
            <w:pPr>
              <w:pStyle w:val="ListParagraph"/>
              <w:keepLines/>
              <w:numPr>
                <w:ilvl w:val="0"/>
                <w:numId w:val="19"/>
              </w:numPr>
              <w:spacing w:after="40"/>
              <w:ind w:left="113" w:hanging="113"/>
              <w:contextualSpacing w:val="0"/>
              <w:jc w:val="left"/>
              <w:rPr>
                <w:rFonts w:ascii="Arial Narrow" w:hAnsi="Arial Narrow"/>
                <w:sz w:val="20"/>
                <w:szCs w:val="20"/>
              </w:rPr>
            </w:pPr>
            <w:r w:rsidRPr="00D8428B">
              <w:rPr>
                <w:rFonts w:ascii="Arial Narrow" w:hAnsi="Arial Narrow"/>
                <w:sz w:val="20"/>
                <w:szCs w:val="20"/>
              </w:rPr>
              <w:t>PBO at Week 0, 4 and every 4 weeks thereafter</w:t>
            </w:r>
          </w:p>
          <w:p w14:paraId="65DE60D9" w14:textId="1B4BF1DB" w:rsidR="00E04951" w:rsidRPr="00C82DD4" w:rsidRDefault="00E04951" w:rsidP="005B53DA">
            <w:pPr>
              <w:pStyle w:val="ListParagraph"/>
              <w:keepLines/>
              <w:numPr>
                <w:ilvl w:val="0"/>
                <w:numId w:val="19"/>
              </w:numPr>
              <w:spacing w:after="40"/>
              <w:ind w:left="113" w:hanging="113"/>
              <w:contextualSpacing w:val="0"/>
              <w:jc w:val="left"/>
              <w:rPr>
                <w:rFonts w:ascii="Arial Narrow" w:hAnsi="Arial Narrow"/>
                <w:sz w:val="20"/>
                <w:szCs w:val="20"/>
              </w:rPr>
            </w:pPr>
            <w:r w:rsidRPr="00C82DD4">
              <w:rPr>
                <w:rFonts w:ascii="Arial Narrow" w:hAnsi="Arial Narrow"/>
                <w:sz w:val="20"/>
                <w:szCs w:val="20"/>
              </w:rPr>
              <w:t xml:space="preserve">At Week 24, PBO-treated patients crossed over to receive </w:t>
            </w:r>
            <w:proofErr w:type="spellStart"/>
            <w:r w:rsidRPr="00C82DD4">
              <w:rPr>
                <w:rFonts w:ascii="Arial Narrow" w:hAnsi="Arial Narrow"/>
                <w:sz w:val="20"/>
                <w:szCs w:val="20"/>
              </w:rPr>
              <w:t>guselkumab</w:t>
            </w:r>
            <w:proofErr w:type="spellEnd"/>
            <w:r w:rsidRPr="00C82DD4">
              <w:rPr>
                <w:rFonts w:ascii="Arial Narrow" w:hAnsi="Arial Narrow"/>
                <w:sz w:val="20"/>
                <w:szCs w:val="20"/>
              </w:rPr>
              <w:t xml:space="preserve"> 100 mg </w:t>
            </w:r>
            <w:r>
              <w:rPr>
                <w:rFonts w:ascii="Arial Narrow" w:hAnsi="Arial Narrow"/>
                <w:sz w:val="20"/>
                <w:szCs w:val="20"/>
              </w:rPr>
              <w:t>every 4 weeks</w:t>
            </w:r>
            <w:r w:rsidRPr="00C82DD4">
              <w:rPr>
                <w:rFonts w:ascii="Arial Narrow" w:hAnsi="Arial Narrow"/>
                <w:sz w:val="20"/>
                <w:szCs w:val="20"/>
              </w:rPr>
              <w:t>.</w:t>
            </w:r>
          </w:p>
        </w:tc>
        <w:tc>
          <w:tcPr>
            <w:tcW w:w="1126" w:type="pct"/>
            <w:shd w:val="clear" w:color="auto" w:fill="auto"/>
            <w:vAlign w:val="center"/>
          </w:tcPr>
          <w:p w14:paraId="356EADF4" w14:textId="7BBB92B4" w:rsidR="00E04951" w:rsidRPr="00E2771E" w:rsidRDefault="00E04951" w:rsidP="005B53DA">
            <w:pPr>
              <w:pStyle w:val="TableText"/>
              <w:keepLines/>
              <w:rPr>
                <w:lang w:val="en-US"/>
              </w:rPr>
            </w:pPr>
            <w:r w:rsidRPr="00D8428B">
              <w:rPr>
                <w:szCs w:val="20"/>
              </w:rPr>
              <w:t xml:space="preserve">Adults with active </w:t>
            </w:r>
            <w:proofErr w:type="spellStart"/>
            <w:r w:rsidRPr="00D8428B">
              <w:rPr>
                <w:szCs w:val="20"/>
              </w:rPr>
              <w:t>PsA</w:t>
            </w:r>
            <w:proofErr w:type="spellEnd"/>
            <w:r>
              <w:rPr>
                <w:szCs w:val="20"/>
              </w:rPr>
              <w:t xml:space="preserve"> with inadequate response to </w:t>
            </w:r>
            <w:proofErr w:type="spellStart"/>
            <w:r>
              <w:rPr>
                <w:szCs w:val="20"/>
              </w:rPr>
              <w:t>csDMARDs</w:t>
            </w:r>
            <w:proofErr w:type="spellEnd"/>
            <w:r>
              <w:rPr>
                <w:szCs w:val="20"/>
              </w:rPr>
              <w:t xml:space="preserve">. Naïve to </w:t>
            </w:r>
            <w:proofErr w:type="spellStart"/>
            <w:r>
              <w:rPr>
                <w:szCs w:val="20"/>
              </w:rPr>
              <w:t>bDMARD</w:t>
            </w:r>
            <w:proofErr w:type="spellEnd"/>
            <w:r>
              <w:rPr>
                <w:szCs w:val="20"/>
              </w:rPr>
              <w:t xml:space="preserve"> treatment.</w:t>
            </w:r>
          </w:p>
        </w:tc>
        <w:tc>
          <w:tcPr>
            <w:tcW w:w="717" w:type="pct"/>
            <w:vMerge w:val="restart"/>
            <w:shd w:val="clear" w:color="auto" w:fill="auto"/>
            <w:vAlign w:val="center"/>
          </w:tcPr>
          <w:p w14:paraId="259BEB71" w14:textId="4BD8E569" w:rsidR="00A269BA" w:rsidRDefault="00A269BA" w:rsidP="005B53DA">
            <w:pPr>
              <w:keepLines/>
              <w:spacing w:after="40"/>
              <w:jc w:val="left"/>
              <w:rPr>
                <w:rFonts w:ascii="Arial Narrow" w:hAnsi="Arial Narrow"/>
                <w:sz w:val="20"/>
                <w:szCs w:val="20"/>
              </w:rPr>
            </w:pPr>
            <w:r w:rsidRPr="00D8428B">
              <w:rPr>
                <w:rFonts w:ascii="Arial Narrow" w:hAnsi="Arial Narrow"/>
                <w:sz w:val="20"/>
                <w:szCs w:val="20"/>
              </w:rPr>
              <w:t>ACR20, ACR50,</w:t>
            </w:r>
            <w:r>
              <w:rPr>
                <w:rFonts w:ascii="Arial Narrow" w:hAnsi="Arial Narrow"/>
                <w:sz w:val="20"/>
                <w:szCs w:val="20"/>
              </w:rPr>
              <w:t xml:space="preserve"> PASI75 and HAQ-DI improvement</w:t>
            </w:r>
            <w:r w:rsidRPr="00D8428B">
              <w:rPr>
                <w:rFonts w:ascii="Arial Narrow" w:hAnsi="Arial Narrow"/>
                <w:sz w:val="20"/>
                <w:szCs w:val="20"/>
              </w:rPr>
              <w:t xml:space="preserve"> at Week 24</w:t>
            </w:r>
          </w:p>
          <w:p w14:paraId="0DE39D91" w14:textId="69A4111C" w:rsidR="00E04951" w:rsidRPr="00E2771E" w:rsidRDefault="00A269BA" w:rsidP="005B53DA">
            <w:pPr>
              <w:pStyle w:val="TableText"/>
              <w:keepLines/>
              <w:rPr>
                <w:lang w:val="en-US"/>
              </w:rPr>
            </w:pPr>
            <w:r w:rsidRPr="00D8428B">
              <w:rPr>
                <w:szCs w:val="20"/>
              </w:rPr>
              <w:t>Safety</w:t>
            </w:r>
          </w:p>
        </w:tc>
      </w:tr>
      <w:tr w:rsidR="00E04951" w:rsidRPr="00E2771E" w14:paraId="2E4E34C5" w14:textId="77777777" w:rsidTr="00E04951">
        <w:tc>
          <w:tcPr>
            <w:tcW w:w="640" w:type="pct"/>
            <w:shd w:val="clear" w:color="auto" w:fill="auto"/>
            <w:vAlign w:val="center"/>
          </w:tcPr>
          <w:p w14:paraId="29625B03" w14:textId="5A6EB1E0" w:rsidR="00E04951" w:rsidRPr="00E2771E" w:rsidRDefault="00E04951" w:rsidP="005B53DA">
            <w:pPr>
              <w:pStyle w:val="TableText"/>
              <w:keepLines/>
              <w:rPr>
                <w:lang w:val="en-US"/>
              </w:rPr>
            </w:pPr>
            <w:r>
              <w:rPr>
                <w:lang w:val="en-US"/>
              </w:rPr>
              <w:t>DISCOVER 1</w:t>
            </w:r>
          </w:p>
        </w:tc>
        <w:tc>
          <w:tcPr>
            <w:tcW w:w="291" w:type="pct"/>
            <w:shd w:val="clear" w:color="auto" w:fill="auto"/>
            <w:vAlign w:val="center"/>
          </w:tcPr>
          <w:p w14:paraId="3D4A5556" w14:textId="32A3D802" w:rsidR="00E04951" w:rsidRPr="0043622F" w:rsidRDefault="00E04951" w:rsidP="005B53DA">
            <w:pPr>
              <w:pStyle w:val="TableText"/>
              <w:keepLines/>
              <w:jc w:val="center"/>
              <w:rPr>
                <w:lang w:val="en-US"/>
              </w:rPr>
            </w:pPr>
            <w:r>
              <w:rPr>
                <w:lang w:val="en-US"/>
              </w:rPr>
              <w:t xml:space="preserve">253 </w:t>
            </w:r>
            <w:r w:rsidRPr="0043622F">
              <w:rPr>
                <w:vertAlign w:val="superscript"/>
                <w:lang w:val="en-US"/>
              </w:rPr>
              <w:t>b</w:t>
            </w:r>
            <w:r>
              <w:rPr>
                <w:lang w:val="en-US"/>
              </w:rPr>
              <w:t xml:space="preserve"> </w:t>
            </w:r>
          </w:p>
        </w:tc>
        <w:tc>
          <w:tcPr>
            <w:tcW w:w="645" w:type="pct"/>
            <w:shd w:val="clear" w:color="auto" w:fill="auto"/>
            <w:vAlign w:val="center"/>
          </w:tcPr>
          <w:p w14:paraId="67B89683" w14:textId="7E93BB06" w:rsidR="00E04951" w:rsidRPr="0043622F" w:rsidRDefault="00E04951" w:rsidP="005B53DA">
            <w:pPr>
              <w:keepLines/>
              <w:spacing w:after="40"/>
              <w:jc w:val="center"/>
              <w:rPr>
                <w:rFonts w:ascii="Arial Narrow" w:eastAsiaTheme="majorEastAsia" w:hAnsi="Arial Narrow" w:cstheme="majorBidi"/>
                <w:bCs/>
                <w:sz w:val="20"/>
                <w:lang w:val="en-US"/>
              </w:rPr>
            </w:pPr>
            <w:r w:rsidRPr="0043622F">
              <w:rPr>
                <w:rFonts w:ascii="Arial Narrow" w:eastAsiaTheme="majorEastAsia" w:hAnsi="Arial Narrow" w:cstheme="majorBidi"/>
                <w:bCs/>
                <w:sz w:val="20"/>
                <w:lang w:val="en-US"/>
              </w:rPr>
              <w:t>R,</w:t>
            </w:r>
            <w:r>
              <w:rPr>
                <w:rFonts w:ascii="Arial Narrow" w:eastAsiaTheme="majorEastAsia" w:hAnsi="Arial Narrow" w:cstheme="majorBidi"/>
                <w:bCs/>
                <w:sz w:val="20"/>
                <w:lang w:val="en-US"/>
              </w:rPr>
              <w:t xml:space="preserve"> MC,</w:t>
            </w:r>
            <w:r w:rsidRPr="0043622F">
              <w:rPr>
                <w:rFonts w:ascii="Arial Narrow" w:eastAsiaTheme="majorEastAsia" w:hAnsi="Arial Narrow" w:cstheme="majorBidi"/>
                <w:bCs/>
                <w:sz w:val="20"/>
                <w:lang w:val="en-US"/>
              </w:rPr>
              <w:t xml:space="preserve"> DB 24 weeks; </w:t>
            </w:r>
            <w:r>
              <w:rPr>
                <w:rFonts w:ascii="Arial Narrow" w:eastAsiaTheme="majorEastAsia" w:hAnsi="Arial Narrow" w:cstheme="majorBidi"/>
                <w:bCs/>
                <w:sz w:val="20"/>
                <w:lang w:val="en-US"/>
              </w:rPr>
              <w:t xml:space="preserve">OL 52 </w:t>
            </w:r>
            <w:r w:rsidRPr="0043622F">
              <w:rPr>
                <w:rFonts w:ascii="Arial Narrow" w:eastAsiaTheme="majorEastAsia" w:hAnsi="Arial Narrow" w:cstheme="majorBidi"/>
                <w:bCs/>
                <w:sz w:val="20"/>
                <w:lang w:val="en-US"/>
              </w:rPr>
              <w:t>weeks</w:t>
            </w:r>
          </w:p>
        </w:tc>
        <w:tc>
          <w:tcPr>
            <w:tcW w:w="455" w:type="pct"/>
            <w:shd w:val="clear" w:color="auto" w:fill="auto"/>
            <w:vAlign w:val="center"/>
          </w:tcPr>
          <w:p w14:paraId="2F730A5D" w14:textId="15C0A6CF" w:rsidR="00E04951" w:rsidRPr="00E2771E" w:rsidRDefault="00E04951" w:rsidP="005B53DA">
            <w:pPr>
              <w:pStyle w:val="TableText"/>
              <w:keepLines/>
              <w:jc w:val="center"/>
              <w:rPr>
                <w:lang w:val="en-US"/>
              </w:rPr>
            </w:pPr>
            <w:r>
              <w:rPr>
                <w:lang w:val="en-US"/>
              </w:rPr>
              <w:t>Low</w:t>
            </w:r>
          </w:p>
        </w:tc>
        <w:tc>
          <w:tcPr>
            <w:tcW w:w="1126" w:type="pct"/>
            <w:vMerge/>
          </w:tcPr>
          <w:p w14:paraId="78B72A23" w14:textId="77777777" w:rsidR="00E04951" w:rsidRPr="00E2771E" w:rsidRDefault="00E04951" w:rsidP="005B53DA">
            <w:pPr>
              <w:pStyle w:val="TableText"/>
              <w:keepLines/>
              <w:rPr>
                <w:lang w:val="en-US"/>
              </w:rPr>
            </w:pPr>
          </w:p>
        </w:tc>
        <w:tc>
          <w:tcPr>
            <w:tcW w:w="1126" w:type="pct"/>
            <w:shd w:val="clear" w:color="auto" w:fill="auto"/>
            <w:vAlign w:val="center"/>
          </w:tcPr>
          <w:p w14:paraId="6B616567" w14:textId="53F11186" w:rsidR="00E04951" w:rsidRPr="00E2771E" w:rsidRDefault="00E04951" w:rsidP="005B53DA">
            <w:pPr>
              <w:pStyle w:val="TableText"/>
              <w:keepLines/>
              <w:rPr>
                <w:lang w:val="en-US"/>
              </w:rPr>
            </w:pPr>
            <w:r w:rsidRPr="00D8428B">
              <w:rPr>
                <w:szCs w:val="20"/>
              </w:rPr>
              <w:t xml:space="preserve">Adults with active </w:t>
            </w:r>
            <w:proofErr w:type="spellStart"/>
            <w:r w:rsidRPr="00D8428B">
              <w:rPr>
                <w:szCs w:val="20"/>
              </w:rPr>
              <w:t>PsA</w:t>
            </w:r>
            <w:proofErr w:type="spellEnd"/>
            <w:r>
              <w:rPr>
                <w:szCs w:val="20"/>
              </w:rPr>
              <w:t xml:space="preserve"> with inadequate response to </w:t>
            </w:r>
            <w:proofErr w:type="spellStart"/>
            <w:r>
              <w:rPr>
                <w:szCs w:val="20"/>
              </w:rPr>
              <w:t>csDMARDs</w:t>
            </w:r>
            <w:proofErr w:type="spellEnd"/>
            <w:r>
              <w:rPr>
                <w:szCs w:val="20"/>
              </w:rPr>
              <w:t>. ~30% of enrolled patients could have previous history of one or two TNF-inhibitors</w:t>
            </w:r>
          </w:p>
        </w:tc>
        <w:tc>
          <w:tcPr>
            <w:tcW w:w="717" w:type="pct"/>
            <w:vMerge/>
            <w:shd w:val="clear" w:color="auto" w:fill="auto"/>
            <w:vAlign w:val="center"/>
          </w:tcPr>
          <w:p w14:paraId="3D52D8A6" w14:textId="39956823" w:rsidR="00E04951" w:rsidRPr="00E2771E" w:rsidRDefault="00E04951" w:rsidP="005B53DA">
            <w:pPr>
              <w:pStyle w:val="TableText"/>
              <w:keepLines/>
              <w:rPr>
                <w:lang w:val="en-US"/>
              </w:rPr>
            </w:pPr>
          </w:p>
        </w:tc>
      </w:tr>
      <w:tr w:rsidR="00FB266D" w:rsidRPr="00E2771E" w14:paraId="5ADF5F58" w14:textId="77777777" w:rsidTr="00FB266D">
        <w:tc>
          <w:tcPr>
            <w:tcW w:w="640" w:type="pct"/>
            <w:shd w:val="clear" w:color="auto" w:fill="auto"/>
            <w:vAlign w:val="center"/>
          </w:tcPr>
          <w:p w14:paraId="7CCFAA0C" w14:textId="57A71D85" w:rsidR="00FB266D" w:rsidRDefault="00FB266D" w:rsidP="005B53DA">
            <w:pPr>
              <w:pStyle w:val="TableText"/>
              <w:keepLines/>
              <w:rPr>
                <w:lang w:val="en-US"/>
              </w:rPr>
            </w:pPr>
            <w:r>
              <w:rPr>
                <w:lang w:val="en-US"/>
              </w:rPr>
              <w:t>Meta-analysis</w:t>
            </w:r>
          </w:p>
        </w:tc>
        <w:tc>
          <w:tcPr>
            <w:tcW w:w="291" w:type="pct"/>
            <w:shd w:val="clear" w:color="auto" w:fill="auto"/>
            <w:vAlign w:val="center"/>
          </w:tcPr>
          <w:p w14:paraId="45BB839F" w14:textId="41E3C6C8" w:rsidR="00FB266D" w:rsidRPr="00977CAB" w:rsidRDefault="00FB266D" w:rsidP="005B53DA">
            <w:pPr>
              <w:pStyle w:val="TableText"/>
              <w:keepLines/>
              <w:jc w:val="center"/>
              <w:rPr>
                <w:vertAlign w:val="superscript"/>
                <w:lang w:val="en-US"/>
              </w:rPr>
            </w:pPr>
            <w:r>
              <w:rPr>
                <w:lang w:val="en-US"/>
              </w:rPr>
              <w:t xml:space="preserve">747 </w:t>
            </w:r>
            <w:r>
              <w:rPr>
                <w:vertAlign w:val="superscript"/>
                <w:lang w:val="en-US"/>
              </w:rPr>
              <w:t>b</w:t>
            </w:r>
          </w:p>
        </w:tc>
        <w:tc>
          <w:tcPr>
            <w:tcW w:w="4069" w:type="pct"/>
            <w:gridSpan w:val="5"/>
          </w:tcPr>
          <w:p w14:paraId="5A611E97" w14:textId="36940510" w:rsidR="00FB266D" w:rsidRPr="00E2771E" w:rsidRDefault="00FB266D" w:rsidP="005B53DA">
            <w:pPr>
              <w:pStyle w:val="TableText"/>
              <w:keepLines/>
              <w:rPr>
                <w:lang w:val="en-US"/>
              </w:rPr>
            </w:pPr>
            <w:r>
              <w:rPr>
                <w:lang w:val="en-US"/>
              </w:rPr>
              <w:t xml:space="preserve">Included DISCOVER 2 and DISCOVER 1; assessed efficacy and safety </w:t>
            </w:r>
            <w:r w:rsidR="002E5F07">
              <w:rPr>
                <w:lang w:val="en-US"/>
              </w:rPr>
              <w:t>outcomes.</w:t>
            </w:r>
          </w:p>
        </w:tc>
      </w:tr>
    </w:tbl>
    <w:p w14:paraId="094B2297" w14:textId="5EC7203F" w:rsidR="006C20B7" w:rsidRDefault="006C20B7" w:rsidP="006C20B7">
      <w:pPr>
        <w:pStyle w:val="TableFigureFooter"/>
      </w:pPr>
      <w:r>
        <w:t>Source: Table</w:t>
      </w:r>
      <w:r w:rsidR="00AB4AE4">
        <w:t xml:space="preserve"> 2-7, p</w:t>
      </w:r>
      <w:r w:rsidR="00367FA9">
        <w:t>p49-50</w:t>
      </w:r>
      <w:r w:rsidR="00174DB1">
        <w:t xml:space="preserve">; Table 2-10, </w:t>
      </w:r>
      <w:r w:rsidR="00A63988">
        <w:t>pp58-59</w:t>
      </w:r>
      <w:r w:rsidR="00367FA9">
        <w:t xml:space="preserve"> of the submission</w:t>
      </w:r>
      <w:r>
        <w:t>.</w:t>
      </w:r>
    </w:p>
    <w:p w14:paraId="227AB71A" w14:textId="068E36EA" w:rsidR="006C20B7" w:rsidRPr="007F1017" w:rsidRDefault="00367FA9" w:rsidP="006C20B7">
      <w:pPr>
        <w:pStyle w:val="TableFigureFooter"/>
        <w:rPr>
          <w:szCs w:val="18"/>
        </w:rPr>
      </w:pPr>
      <w:r>
        <w:t>Abbreviations:</w:t>
      </w:r>
      <w:r w:rsidR="007B1684">
        <w:t xml:space="preserve"> </w:t>
      </w:r>
      <w:r w:rsidR="00754059">
        <w:t xml:space="preserve">ACR, American College of Rheumatology; </w:t>
      </w:r>
      <w:proofErr w:type="spellStart"/>
      <w:r w:rsidR="00DF00BC">
        <w:t>bDMARDs</w:t>
      </w:r>
      <w:proofErr w:type="spellEnd"/>
      <w:r w:rsidR="00DF00BC">
        <w:t xml:space="preserve">, biological disease-modifying anti-rheumatic drugs; </w:t>
      </w:r>
      <w:proofErr w:type="spellStart"/>
      <w:r w:rsidR="007B1684">
        <w:t>csDMARDs</w:t>
      </w:r>
      <w:proofErr w:type="spellEnd"/>
      <w:r w:rsidR="007B1684">
        <w:t>; conventional synthetic disease-modifying anti-rheumatic drugs;</w:t>
      </w:r>
      <w:r>
        <w:t xml:space="preserve"> </w:t>
      </w:r>
      <w:r w:rsidR="006C20B7" w:rsidRPr="0072416F">
        <w:t>DB</w:t>
      </w:r>
      <w:r>
        <w:t>,</w:t>
      </w:r>
      <w:r w:rsidR="006C20B7">
        <w:t xml:space="preserve"> </w:t>
      </w:r>
      <w:r w:rsidR="006C20B7" w:rsidRPr="0072416F">
        <w:t>double blind; MC</w:t>
      </w:r>
      <w:r>
        <w:t>,</w:t>
      </w:r>
      <w:r w:rsidR="006C20B7">
        <w:t xml:space="preserve"> </w:t>
      </w:r>
      <w:r w:rsidR="006C20B7" w:rsidRPr="0072416F">
        <w:t>multi-centre; OL</w:t>
      </w:r>
      <w:r>
        <w:t>,</w:t>
      </w:r>
      <w:r w:rsidR="006C20B7">
        <w:t xml:space="preserve"> </w:t>
      </w:r>
      <w:r w:rsidR="006C20B7" w:rsidRPr="0072416F">
        <w:t xml:space="preserve">open label; </w:t>
      </w:r>
      <w:r w:rsidR="00B45FEB" w:rsidRPr="00377A5B">
        <w:rPr>
          <w:rFonts w:eastAsia="Calibri"/>
        </w:rPr>
        <w:t>PASI, Psoriasis Area and Severity Index</w:t>
      </w:r>
      <w:r w:rsidR="00B45FEB">
        <w:rPr>
          <w:rFonts w:eastAsia="Calibri"/>
        </w:rPr>
        <w:t>;</w:t>
      </w:r>
      <w:r w:rsidR="00B45FEB">
        <w:t xml:space="preserve"> </w:t>
      </w:r>
      <w:proofErr w:type="spellStart"/>
      <w:r>
        <w:t>PsA</w:t>
      </w:r>
      <w:proofErr w:type="spellEnd"/>
      <w:r>
        <w:t xml:space="preserve">, psoriatic arthritis; </w:t>
      </w:r>
      <w:r w:rsidR="006C20B7" w:rsidRPr="0072416F">
        <w:t>R</w:t>
      </w:r>
      <w:r>
        <w:t>,</w:t>
      </w:r>
      <w:r w:rsidR="006C20B7">
        <w:t xml:space="preserve"> </w:t>
      </w:r>
      <w:r w:rsidR="006C20B7" w:rsidRPr="0072416F">
        <w:t>randomised.</w:t>
      </w:r>
    </w:p>
    <w:p w14:paraId="73A51C64" w14:textId="672C2E1B" w:rsidR="004E752D" w:rsidRPr="004E752D" w:rsidRDefault="003209BC" w:rsidP="00EC5836">
      <w:pPr>
        <w:pStyle w:val="TableFigureFooter"/>
      </w:pPr>
      <w:proofErr w:type="spellStart"/>
      <w:proofErr w:type="gramStart"/>
      <w:r w:rsidRPr="00D8428B">
        <w:rPr>
          <w:vertAlign w:val="superscript"/>
        </w:rPr>
        <w:t>a</w:t>
      </w:r>
      <w:proofErr w:type="spellEnd"/>
      <w:proofErr w:type="gramEnd"/>
      <w:r>
        <w:rPr>
          <w:vertAlign w:val="superscript"/>
        </w:rPr>
        <w:t xml:space="preserve"> </w:t>
      </w:r>
      <w:r w:rsidR="004E752D">
        <w:t xml:space="preserve">open-label phase of the </w:t>
      </w:r>
      <w:proofErr w:type="spellStart"/>
      <w:r w:rsidR="004E752D">
        <w:t>KEEPsAKE</w:t>
      </w:r>
      <w:proofErr w:type="spellEnd"/>
      <w:r w:rsidR="004E752D">
        <w:t xml:space="preserve"> trials </w:t>
      </w:r>
      <w:r w:rsidR="00A250A1">
        <w:t>is</w:t>
      </w:r>
      <w:r w:rsidR="004E752D">
        <w:t xml:space="preserve"> ongoing.</w:t>
      </w:r>
    </w:p>
    <w:p w14:paraId="4DBCB71A" w14:textId="02219192" w:rsidR="0064506A" w:rsidRDefault="004E752D" w:rsidP="00EC5836">
      <w:pPr>
        <w:pStyle w:val="TableFigureFooter"/>
      </w:pPr>
      <w:r>
        <w:rPr>
          <w:vertAlign w:val="superscript"/>
        </w:rPr>
        <w:t xml:space="preserve">b </w:t>
      </w:r>
      <w:r w:rsidR="003209BC" w:rsidRPr="00D8428B">
        <w:t xml:space="preserve">excluding patients randomised to </w:t>
      </w:r>
      <w:proofErr w:type="spellStart"/>
      <w:r w:rsidR="00977CAB">
        <w:t>guselkumab</w:t>
      </w:r>
      <w:proofErr w:type="spellEnd"/>
      <w:r w:rsidR="00977CAB">
        <w:t xml:space="preserve"> 4-weekly </w:t>
      </w:r>
      <w:r w:rsidR="003209BC" w:rsidRPr="00D8428B">
        <w:t xml:space="preserve">arms which were not relevant to the </w:t>
      </w:r>
      <w:r w:rsidR="00CF200B">
        <w:t>indirect comparison</w:t>
      </w:r>
      <w:r w:rsidR="003209BC" w:rsidRPr="00D8428B">
        <w:t xml:space="preserve"> in the submission</w:t>
      </w:r>
    </w:p>
    <w:p w14:paraId="00CC1507" w14:textId="5B245113" w:rsidR="00C70FCF" w:rsidRPr="00F02B3C" w:rsidRDefault="00840A01" w:rsidP="00226307">
      <w:pPr>
        <w:pStyle w:val="ExecSumBodyText"/>
        <w:ind w:left="709" w:hanging="709"/>
      </w:pPr>
      <w:r w:rsidRPr="00F02B3C">
        <w:t xml:space="preserve">The eligibility criteria for the included trials allowed for less severe disease symptoms than the requested restriction of severe </w:t>
      </w:r>
      <w:proofErr w:type="spellStart"/>
      <w:r w:rsidRPr="00F02B3C">
        <w:t>PsA</w:t>
      </w:r>
      <w:proofErr w:type="spellEnd"/>
      <w:r w:rsidRPr="00F02B3C">
        <w:t xml:space="preserve"> (</w:t>
      </w:r>
      <w:proofErr w:type="gramStart"/>
      <w:r w:rsidRPr="00F02B3C">
        <w:t>e.g.</w:t>
      </w:r>
      <w:proofErr w:type="gramEnd"/>
      <w:r w:rsidRPr="00F02B3C">
        <w:t xml:space="preserve"> at least 3 or 5 swollen joints and 3 or 5 tender joints at screening and baseline in the trials, compared to at least 20 active swollen and tender joints in the requested restriction). However, baseline patient characteristics for active </w:t>
      </w:r>
      <w:proofErr w:type="spellStart"/>
      <w:r w:rsidRPr="00F02B3C">
        <w:t>PsA</w:t>
      </w:r>
      <w:proofErr w:type="spellEnd"/>
      <w:r w:rsidRPr="00F02B3C">
        <w:t xml:space="preserve"> were more comparable to the requested restrictions, with mean number of tender joints ranging from 17 to 23 across the trials. </w:t>
      </w:r>
    </w:p>
    <w:p w14:paraId="61BC9638" w14:textId="5765454C" w:rsidR="00633D4E" w:rsidRPr="00F02B3C" w:rsidRDefault="00843F17" w:rsidP="00226307">
      <w:pPr>
        <w:pStyle w:val="ExecSumBodyText"/>
        <w:ind w:left="709" w:hanging="709"/>
      </w:pPr>
      <w:r w:rsidRPr="00F02B3C">
        <w:t>The risankizumab</w:t>
      </w:r>
      <w:r w:rsidR="00C70FCF" w:rsidRPr="00F02B3C">
        <w:t xml:space="preserve"> and </w:t>
      </w:r>
      <w:proofErr w:type="spellStart"/>
      <w:r w:rsidR="00C70FCF" w:rsidRPr="00F02B3C">
        <w:t>guselkumab</w:t>
      </w:r>
      <w:proofErr w:type="spellEnd"/>
      <w:r w:rsidRPr="00F02B3C">
        <w:t xml:space="preserve"> trials included </w:t>
      </w:r>
      <w:proofErr w:type="spellStart"/>
      <w:r w:rsidRPr="00F02B3C">
        <w:t>bDMARD</w:t>
      </w:r>
      <w:proofErr w:type="spellEnd"/>
      <w:r w:rsidRPr="00F02B3C">
        <w:t xml:space="preserve">-naïve and </w:t>
      </w:r>
      <w:r w:rsidR="001A1910" w:rsidRPr="00F02B3C">
        <w:t>e</w:t>
      </w:r>
      <w:r w:rsidRPr="00F02B3C">
        <w:t xml:space="preserve">xperienced patients, which aligns with the proposed PBS listing that does not preclude prior </w:t>
      </w:r>
      <w:proofErr w:type="spellStart"/>
      <w:r w:rsidR="001A1910" w:rsidRPr="00F02B3C">
        <w:t>bDMARD</w:t>
      </w:r>
      <w:proofErr w:type="spellEnd"/>
      <w:r w:rsidRPr="00F02B3C">
        <w:t xml:space="preserve"> therapy.</w:t>
      </w:r>
    </w:p>
    <w:p w14:paraId="4A4FE085" w14:textId="1C5613CC" w:rsidR="00B60939" w:rsidRPr="00C9624D" w:rsidRDefault="00B60939" w:rsidP="00EC5836">
      <w:pPr>
        <w:pStyle w:val="3-SubsectionHeading"/>
      </w:pPr>
      <w:bookmarkStart w:id="13" w:name="_Toc22897641"/>
      <w:bookmarkStart w:id="14" w:name="_Toc93484130"/>
      <w:r w:rsidRPr="00C9624D">
        <w:t>Comparative effectiveness</w:t>
      </w:r>
      <w:bookmarkEnd w:id="13"/>
      <w:bookmarkEnd w:id="14"/>
    </w:p>
    <w:p w14:paraId="0E0ECCF4" w14:textId="08E02405" w:rsidR="00673396" w:rsidRPr="00F02B3C" w:rsidRDefault="006B18B6" w:rsidP="00226307">
      <w:pPr>
        <w:pStyle w:val="ExecSumBodyText"/>
        <w:ind w:left="709" w:hanging="709"/>
      </w:pPr>
      <w:r w:rsidRPr="00754B6F">
        <w:t>The primary outcome for all trials was the proportion of patients who achieved 20% improvement on the American College of Rheumatology measure (ACR20) at Week</w:t>
      </w:r>
      <w:r w:rsidR="00C46FB9">
        <w:t> </w:t>
      </w:r>
      <w:r w:rsidRPr="00754B6F">
        <w:t>24</w:t>
      </w:r>
      <w:r w:rsidR="00C9561D">
        <w:t xml:space="preserve">, with </w:t>
      </w:r>
      <w:r w:rsidRPr="00754B6F">
        <w:t xml:space="preserve">the proportion of patients who achieved 50% improvement (ACR50) at </w:t>
      </w:r>
      <w:r w:rsidRPr="00754B6F">
        <w:lastRenderedPageBreak/>
        <w:t>Week</w:t>
      </w:r>
      <w:r w:rsidR="00C46FB9">
        <w:t> </w:t>
      </w:r>
      <w:r w:rsidRPr="00754B6F">
        <w:t>24</w:t>
      </w:r>
      <w:r w:rsidR="00C9561D">
        <w:t xml:space="preserve"> a key secondary outcome</w:t>
      </w:r>
      <w:r w:rsidRPr="00754B6F">
        <w:t>.</w:t>
      </w:r>
      <w:r>
        <w:t xml:space="preserve"> </w:t>
      </w:r>
      <w:r w:rsidR="00705B9F" w:rsidRPr="00F02B3C">
        <w:t>The PBAC has previously considered that ACR50 was more relevant than ACR20 because it better reflected the current PBS criteria for response to initial therapy. However, ACR20 has also been used to support non-inferiority (</w:t>
      </w:r>
      <w:r w:rsidR="00C46FB9">
        <w:t>p</w:t>
      </w:r>
      <w:r w:rsidR="00705B9F" w:rsidRPr="00F02B3C">
        <w:t xml:space="preserve">ara 6.8, tofacitinib PSD, November 2018 PBAC meeting, </w:t>
      </w:r>
      <w:proofErr w:type="gramStart"/>
      <w:r w:rsidR="00705B9F" w:rsidRPr="00F02B3C">
        <w:t>and also</w:t>
      </w:r>
      <w:proofErr w:type="gramEnd"/>
      <w:r w:rsidR="00705B9F" w:rsidRPr="00F02B3C">
        <w:t xml:space="preserve"> noted in </w:t>
      </w:r>
      <w:r w:rsidR="00C46FB9">
        <w:t>p</w:t>
      </w:r>
      <w:r w:rsidR="00705B9F" w:rsidRPr="00F02B3C">
        <w:t xml:space="preserve">ara 6.9, </w:t>
      </w:r>
      <w:proofErr w:type="spellStart"/>
      <w:r w:rsidR="00705B9F" w:rsidRPr="00F02B3C">
        <w:t>guselkumab</w:t>
      </w:r>
      <w:proofErr w:type="spellEnd"/>
      <w:r w:rsidR="00705B9F" w:rsidRPr="00F02B3C">
        <w:t xml:space="preserve"> PSD, November 2020 PBAC meeting).</w:t>
      </w:r>
    </w:p>
    <w:p w14:paraId="29FE2759" w14:textId="7AA0BA57" w:rsidR="00D61822" w:rsidRDefault="00D61822" w:rsidP="00226307">
      <w:pPr>
        <w:pStyle w:val="ExecSumBodyText"/>
        <w:ind w:left="709" w:hanging="709"/>
      </w:pPr>
      <w:r w:rsidRPr="00226307">
        <w:t xml:space="preserve">The submission’s non-inferiority margins nominated for ACR50 and ACR20 </w:t>
      </w:r>
      <w:r w:rsidR="002657CC">
        <w:t>were</w:t>
      </w:r>
      <w:r w:rsidRPr="00226307">
        <w:t xml:space="preserve"> consistent with the PBAC’s previous considerations of biologics in </w:t>
      </w:r>
      <w:proofErr w:type="spellStart"/>
      <w:r w:rsidRPr="00226307">
        <w:t>PsA.</w:t>
      </w:r>
      <w:proofErr w:type="spellEnd"/>
      <w:r w:rsidRPr="00226307">
        <w:t xml:space="preserve"> As outlined in the tofacitinib PSD, “For non-inferiority to be demonstrated, the submission stated that the lower bound of the 95% confidence interval (CI) around the relative risk (RR) must exceed 0.29 for ACR50 and 0.46 for ACR20” (</w:t>
      </w:r>
      <w:r w:rsidR="00184096">
        <w:t>p</w:t>
      </w:r>
      <w:r w:rsidRPr="00226307">
        <w:t xml:space="preserve">ara 6.9, </w:t>
      </w:r>
      <w:r w:rsidR="00184096">
        <w:t>t</w:t>
      </w:r>
      <w:r w:rsidRPr="00226307">
        <w:t xml:space="preserve">ofacitinib PSD November 2018; see also </w:t>
      </w:r>
      <w:proofErr w:type="spellStart"/>
      <w:r w:rsidRPr="00226307">
        <w:t>guselkumab</w:t>
      </w:r>
      <w:proofErr w:type="spellEnd"/>
      <w:r w:rsidRPr="00226307">
        <w:t xml:space="preserve"> PSD, November 2020 PBAC meeting; </w:t>
      </w:r>
      <w:proofErr w:type="spellStart"/>
      <w:r w:rsidRPr="00226307">
        <w:t>upadacitinib</w:t>
      </w:r>
      <w:proofErr w:type="spellEnd"/>
      <w:r w:rsidRPr="00226307">
        <w:t xml:space="preserve"> PSD, March 2021 PBAC meeting).</w:t>
      </w:r>
    </w:p>
    <w:p w14:paraId="3BE753F8" w14:textId="0DA19816" w:rsidR="00673396" w:rsidRDefault="000655AD" w:rsidP="00226307">
      <w:pPr>
        <w:pStyle w:val="ExecSumBodyText"/>
        <w:ind w:left="709" w:hanging="709"/>
      </w:pPr>
      <w:r>
        <w:t xml:space="preserve">Secondary outcomes included the Psoriasis Area and Severity Index (PASI), a widely used tool to measure psoriasis severity, and the Health Assessment Questionnaire-Disability Index (HAQ-DI), a patient-reported measure of </w:t>
      </w:r>
      <w:r w:rsidR="002713AD">
        <w:t>fine movements and locomotor activities of the upper and lower extremities.</w:t>
      </w:r>
    </w:p>
    <w:p w14:paraId="0B5429AF" w14:textId="2F02714A" w:rsidR="00EC30AD" w:rsidRPr="00D8428B" w:rsidRDefault="00EC30AD" w:rsidP="00EC30AD">
      <w:pPr>
        <w:pStyle w:val="4-SubsectSubhead"/>
      </w:pPr>
      <w:r>
        <w:t>Risankizumab versus placebo</w:t>
      </w:r>
    </w:p>
    <w:p w14:paraId="14214920" w14:textId="44ACC13D" w:rsidR="00DA3167" w:rsidRPr="00EC5836" w:rsidRDefault="002E2DEA" w:rsidP="00226307">
      <w:pPr>
        <w:pStyle w:val="ExecSumBodyText"/>
        <w:ind w:left="709" w:hanging="709"/>
      </w:pPr>
      <w:r>
        <w:t xml:space="preserve">Individual trial results for the two risankizumab trials </w:t>
      </w:r>
      <w:proofErr w:type="spellStart"/>
      <w:r>
        <w:t>KEEPsAKE</w:t>
      </w:r>
      <w:proofErr w:type="spellEnd"/>
      <w:r>
        <w:t xml:space="preserve"> 1 and </w:t>
      </w:r>
      <w:proofErr w:type="spellStart"/>
      <w:r>
        <w:t>KEEPsAKE</w:t>
      </w:r>
      <w:proofErr w:type="spellEnd"/>
      <w:r>
        <w:t xml:space="preserve"> 2 are presented below, as well as the meta-analysed results of both trials for each outcome conducted for the submission. </w:t>
      </w:r>
      <w:r w:rsidR="005263EB">
        <w:t>D</w:t>
      </w:r>
      <w:r w:rsidR="005263EB" w:rsidRPr="002A1552">
        <w:t xml:space="preserve">espite the differences in the patient populations in terms of the level of treatment experience in both </w:t>
      </w:r>
      <w:proofErr w:type="spellStart"/>
      <w:r w:rsidR="005263EB" w:rsidRPr="002A1552">
        <w:t>KEEP</w:t>
      </w:r>
      <w:r w:rsidR="00184096">
        <w:t>s</w:t>
      </w:r>
      <w:r w:rsidR="005263EB" w:rsidRPr="002A1552">
        <w:t>AKE</w:t>
      </w:r>
      <w:proofErr w:type="spellEnd"/>
      <w:r w:rsidR="005263EB" w:rsidRPr="002A1552">
        <w:t xml:space="preserve"> trials, </w:t>
      </w:r>
      <w:r w:rsidR="005263EB">
        <w:t xml:space="preserve">the submission noted that the </w:t>
      </w:r>
      <w:r w:rsidR="005263EB" w:rsidRPr="002A1552">
        <w:t>heterogeneity across the two trials when meta-analy</w:t>
      </w:r>
      <w:r w:rsidR="005263EB">
        <w:t>sed</w:t>
      </w:r>
      <w:r w:rsidR="005263EB" w:rsidRPr="002A1552">
        <w:t xml:space="preserve"> was low (I</w:t>
      </w:r>
      <w:r w:rsidR="005263EB" w:rsidRPr="000B5E5F">
        <w:rPr>
          <w:vertAlign w:val="superscript"/>
        </w:rPr>
        <w:t>2</w:t>
      </w:r>
      <w:r w:rsidR="005263EB" w:rsidRPr="002A1552">
        <w:t xml:space="preserve"> between 0% and </w:t>
      </w:r>
      <w:r w:rsidR="0017175D">
        <w:t>27</w:t>
      </w:r>
      <w:r w:rsidR="005263EB" w:rsidRPr="002A1552">
        <w:t xml:space="preserve">%) and not statistically significant across any of the efficacy outcomes. Therefore, it was considered appropriate to meta-analyse the KEEPSAKE 1 and KEEPSAKE 2 trial data for each outcome using the </w:t>
      </w:r>
      <w:r w:rsidR="005263EB">
        <w:t>full analysis set.</w:t>
      </w:r>
    </w:p>
    <w:p w14:paraId="312F0965" w14:textId="10CFE8A2" w:rsidR="005D26B4" w:rsidRDefault="00173565" w:rsidP="00754059">
      <w:pPr>
        <w:pStyle w:val="Caption"/>
      </w:pPr>
      <w:r w:rsidRPr="00EC5836">
        <w:lastRenderedPageBreak/>
        <w:t xml:space="preserve">Table </w:t>
      </w:r>
      <w:fldSimple w:instr=" SEQ Table \* ARABIC ">
        <w:r w:rsidR="00001652">
          <w:rPr>
            <w:noProof/>
          </w:rPr>
          <w:t>4</w:t>
        </w:r>
      </w:fldSimple>
      <w:r w:rsidR="005D26B4" w:rsidRPr="00EC5836">
        <w:t xml:space="preserve">: Results of </w:t>
      </w:r>
      <w:r w:rsidR="00754059">
        <w:t>key efficacy outcomes across the risankizumab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401"/>
        <w:gridCol w:w="1401"/>
        <w:gridCol w:w="1679"/>
        <w:gridCol w:w="1538"/>
        <w:gridCol w:w="1457"/>
      </w:tblGrid>
      <w:tr w:rsidR="007D3AC6" w:rsidRPr="00B84117" w14:paraId="313CA39B" w14:textId="77777777" w:rsidTr="005B53DA">
        <w:trPr>
          <w:tblHeader/>
        </w:trPr>
        <w:tc>
          <w:tcPr>
            <w:tcW w:w="853" w:type="pct"/>
            <w:vAlign w:val="center"/>
          </w:tcPr>
          <w:p w14:paraId="3B3945E9" w14:textId="77777777" w:rsidR="002E2DEA" w:rsidRPr="00B84117" w:rsidRDefault="002E2DEA" w:rsidP="005B53DA">
            <w:pPr>
              <w:pStyle w:val="Tableheadingrow"/>
              <w:keepLines/>
            </w:pPr>
            <w:r w:rsidRPr="00B84117">
              <w:t>Trial ID</w:t>
            </w:r>
          </w:p>
        </w:tc>
        <w:tc>
          <w:tcPr>
            <w:tcW w:w="777" w:type="pct"/>
            <w:vAlign w:val="center"/>
          </w:tcPr>
          <w:p w14:paraId="1F3BE1B3" w14:textId="77777777" w:rsidR="002E2DEA" w:rsidRDefault="002E2DEA" w:rsidP="005B53DA">
            <w:pPr>
              <w:pStyle w:val="Tableheadingrow"/>
              <w:keepLines/>
              <w:jc w:val="center"/>
            </w:pPr>
            <w:r>
              <w:t>Risankizumab</w:t>
            </w:r>
          </w:p>
          <w:p w14:paraId="574E52A3" w14:textId="77777777" w:rsidR="002E2DEA" w:rsidRPr="00B84117" w:rsidRDefault="002E2DEA" w:rsidP="005B53DA">
            <w:pPr>
              <w:pStyle w:val="Tableheadingrow"/>
              <w:keepLines/>
              <w:jc w:val="center"/>
            </w:pPr>
            <w:r>
              <w:t>n/N (%)</w:t>
            </w:r>
          </w:p>
        </w:tc>
        <w:tc>
          <w:tcPr>
            <w:tcW w:w="777" w:type="pct"/>
            <w:vAlign w:val="center"/>
          </w:tcPr>
          <w:p w14:paraId="72C52369" w14:textId="77777777" w:rsidR="002E2DEA" w:rsidRDefault="002E2DEA" w:rsidP="005B53DA">
            <w:pPr>
              <w:pStyle w:val="Tableheadingrow"/>
              <w:keepLines/>
              <w:jc w:val="center"/>
            </w:pPr>
            <w:r>
              <w:t>Placebo</w:t>
            </w:r>
          </w:p>
          <w:p w14:paraId="0FEC5814" w14:textId="77777777" w:rsidR="002E2DEA" w:rsidRPr="00B84117" w:rsidRDefault="002E2DEA" w:rsidP="005B53DA">
            <w:pPr>
              <w:pStyle w:val="Tableheadingrow"/>
              <w:keepLines/>
              <w:jc w:val="center"/>
            </w:pPr>
            <w:r>
              <w:t>n/N (%)</w:t>
            </w:r>
          </w:p>
        </w:tc>
        <w:tc>
          <w:tcPr>
            <w:tcW w:w="931" w:type="pct"/>
          </w:tcPr>
          <w:p w14:paraId="78FB9E26" w14:textId="77777777" w:rsidR="002E2DEA" w:rsidRDefault="002E2DEA" w:rsidP="005B53DA">
            <w:pPr>
              <w:pStyle w:val="Tableheadingrow"/>
              <w:keepLines/>
              <w:jc w:val="center"/>
            </w:pPr>
            <w:r>
              <w:t>Odds ratio</w:t>
            </w:r>
          </w:p>
          <w:p w14:paraId="67EF226C" w14:textId="77777777" w:rsidR="002E2DEA" w:rsidRPr="00B84117" w:rsidRDefault="002E2DEA" w:rsidP="005B53DA">
            <w:pPr>
              <w:pStyle w:val="Tableheadingrow"/>
              <w:keepLines/>
              <w:jc w:val="center"/>
            </w:pPr>
            <w:r>
              <w:t>(95% CI)</w:t>
            </w:r>
          </w:p>
        </w:tc>
        <w:tc>
          <w:tcPr>
            <w:tcW w:w="853" w:type="pct"/>
            <w:vAlign w:val="center"/>
          </w:tcPr>
          <w:p w14:paraId="5C086492" w14:textId="77777777" w:rsidR="002E2DEA" w:rsidRPr="00B84117" w:rsidRDefault="002E2DEA" w:rsidP="005B53DA">
            <w:pPr>
              <w:pStyle w:val="Tableheadingrow"/>
              <w:keepLines/>
              <w:jc w:val="center"/>
            </w:pPr>
            <w:r w:rsidRPr="00B84117">
              <w:t>Relative risk (95% CI)</w:t>
            </w:r>
          </w:p>
        </w:tc>
        <w:tc>
          <w:tcPr>
            <w:tcW w:w="809" w:type="pct"/>
            <w:vAlign w:val="center"/>
          </w:tcPr>
          <w:p w14:paraId="49071EFD" w14:textId="77777777" w:rsidR="002E2DEA" w:rsidRPr="00B84117" w:rsidRDefault="002E2DEA" w:rsidP="005B53DA">
            <w:pPr>
              <w:pStyle w:val="Tableheadingrow"/>
              <w:keepLines/>
              <w:jc w:val="center"/>
            </w:pPr>
            <w:r w:rsidRPr="00B84117">
              <w:t>Risk difference (95% CI)</w:t>
            </w:r>
          </w:p>
        </w:tc>
      </w:tr>
      <w:tr w:rsidR="002E2DEA" w:rsidRPr="00B84117" w14:paraId="5B7AA997" w14:textId="77777777" w:rsidTr="005B53DA">
        <w:trPr>
          <w:tblHeader/>
        </w:trPr>
        <w:tc>
          <w:tcPr>
            <w:tcW w:w="5000" w:type="pct"/>
            <w:gridSpan w:val="6"/>
            <w:vAlign w:val="center"/>
          </w:tcPr>
          <w:p w14:paraId="7E5D4706" w14:textId="77777777" w:rsidR="002E2DEA" w:rsidRPr="00B84117" w:rsidRDefault="002E2DEA" w:rsidP="005B53DA">
            <w:pPr>
              <w:pStyle w:val="Tableheadingrow"/>
              <w:keepLines/>
            </w:pPr>
            <w:r>
              <w:t>ACR20 response at week 24</w:t>
            </w:r>
          </w:p>
        </w:tc>
      </w:tr>
      <w:tr w:rsidR="007D3AC6" w:rsidRPr="00B1011F" w14:paraId="17747899" w14:textId="77777777" w:rsidTr="005B53DA">
        <w:tc>
          <w:tcPr>
            <w:tcW w:w="853" w:type="pct"/>
            <w:vAlign w:val="center"/>
          </w:tcPr>
          <w:p w14:paraId="0BC8DBCD" w14:textId="77777777" w:rsidR="002E2DEA" w:rsidRPr="00B1011F" w:rsidRDefault="002E2DEA" w:rsidP="005B53DA">
            <w:pPr>
              <w:pStyle w:val="TableText"/>
              <w:keepLines/>
            </w:pPr>
            <w:r>
              <w:t>KEEPSAKE 1</w:t>
            </w:r>
          </w:p>
        </w:tc>
        <w:tc>
          <w:tcPr>
            <w:tcW w:w="777" w:type="pct"/>
            <w:vAlign w:val="center"/>
          </w:tcPr>
          <w:p w14:paraId="33A50810" w14:textId="77777777" w:rsidR="002E2DEA" w:rsidRPr="00B1011F" w:rsidRDefault="002E2DEA" w:rsidP="005B53DA">
            <w:pPr>
              <w:pStyle w:val="TableText"/>
              <w:keepLines/>
              <w:jc w:val="center"/>
            </w:pPr>
            <w:r>
              <w:t>277/483 (57.4)</w:t>
            </w:r>
          </w:p>
        </w:tc>
        <w:tc>
          <w:tcPr>
            <w:tcW w:w="777" w:type="pct"/>
            <w:vAlign w:val="center"/>
          </w:tcPr>
          <w:p w14:paraId="5D331751" w14:textId="77777777" w:rsidR="002E2DEA" w:rsidRPr="00B1011F" w:rsidRDefault="002E2DEA" w:rsidP="005B53DA">
            <w:pPr>
              <w:pStyle w:val="TableText"/>
              <w:keepLines/>
              <w:jc w:val="center"/>
            </w:pPr>
            <w:r>
              <w:t>161/481 (33.5)</w:t>
            </w:r>
          </w:p>
        </w:tc>
        <w:tc>
          <w:tcPr>
            <w:tcW w:w="931" w:type="pct"/>
          </w:tcPr>
          <w:p w14:paraId="0C125F89" w14:textId="77777777" w:rsidR="002E2DEA" w:rsidRPr="008C7BFB" w:rsidRDefault="002E2DEA" w:rsidP="005B53DA">
            <w:pPr>
              <w:pStyle w:val="TableText"/>
              <w:keepLines/>
              <w:jc w:val="center"/>
              <w:rPr>
                <w:b/>
                <w:bCs w:val="0"/>
              </w:rPr>
            </w:pPr>
            <w:r w:rsidRPr="008C7BFB">
              <w:rPr>
                <w:b/>
                <w:bCs w:val="0"/>
              </w:rPr>
              <w:t xml:space="preserve">2.67 (2.06, 3.47) </w:t>
            </w:r>
          </w:p>
        </w:tc>
        <w:tc>
          <w:tcPr>
            <w:tcW w:w="853" w:type="pct"/>
          </w:tcPr>
          <w:p w14:paraId="37E7CDD5" w14:textId="77777777" w:rsidR="002E2DEA" w:rsidRPr="008C7BFB" w:rsidRDefault="002E2DEA" w:rsidP="005B53DA">
            <w:pPr>
              <w:pStyle w:val="TableText"/>
              <w:keepLines/>
              <w:jc w:val="center"/>
              <w:rPr>
                <w:b/>
                <w:bCs w:val="0"/>
              </w:rPr>
            </w:pPr>
            <w:r w:rsidRPr="008C7BFB">
              <w:rPr>
                <w:b/>
                <w:bCs w:val="0"/>
              </w:rPr>
              <w:t>1.71 (1.48, 1.99)</w:t>
            </w:r>
          </w:p>
        </w:tc>
        <w:tc>
          <w:tcPr>
            <w:tcW w:w="809" w:type="pct"/>
          </w:tcPr>
          <w:p w14:paraId="52D02DA8" w14:textId="77777777" w:rsidR="002E2DEA" w:rsidRPr="008C7BFB" w:rsidRDefault="002E2DEA" w:rsidP="005B53DA">
            <w:pPr>
              <w:pStyle w:val="TableText"/>
              <w:keepLines/>
              <w:jc w:val="center"/>
              <w:rPr>
                <w:b/>
                <w:bCs w:val="0"/>
              </w:rPr>
            </w:pPr>
            <w:r w:rsidRPr="008C7BFB">
              <w:rPr>
                <w:b/>
                <w:bCs w:val="0"/>
              </w:rPr>
              <w:t xml:space="preserve">0.24 (0.18, 0.30) </w:t>
            </w:r>
          </w:p>
        </w:tc>
      </w:tr>
      <w:tr w:rsidR="007D3AC6" w:rsidRPr="00B1011F" w14:paraId="07100E17" w14:textId="77777777" w:rsidTr="005B53DA">
        <w:tc>
          <w:tcPr>
            <w:tcW w:w="853" w:type="pct"/>
            <w:vAlign w:val="center"/>
          </w:tcPr>
          <w:p w14:paraId="6A435501" w14:textId="77777777" w:rsidR="002E2DEA" w:rsidRPr="00B1011F" w:rsidRDefault="002E2DEA" w:rsidP="005B53DA">
            <w:pPr>
              <w:pStyle w:val="TableText"/>
              <w:keepLines/>
            </w:pPr>
            <w:r>
              <w:t>KEEPSAKE 2</w:t>
            </w:r>
          </w:p>
        </w:tc>
        <w:tc>
          <w:tcPr>
            <w:tcW w:w="777" w:type="pct"/>
            <w:vAlign w:val="center"/>
          </w:tcPr>
          <w:p w14:paraId="3420F5E2" w14:textId="77777777" w:rsidR="002E2DEA" w:rsidRPr="00B1011F" w:rsidRDefault="002E2DEA" w:rsidP="005B53DA">
            <w:pPr>
              <w:pStyle w:val="TableText"/>
              <w:keepLines/>
              <w:jc w:val="center"/>
            </w:pPr>
            <w:r>
              <w:t>115/224 (51.3)</w:t>
            </w:r>
          </w:p>
        </w:tc>
        <w:tc>
          <w:tcPr>
            <w:tcW w:w="777" w:type="pct"/>
            <w:vAlign w:val="center"/>
          </w:tcPr>
          <w:p w14:paraId="6F85B5DE" w14:textId="77777777" w:rsidR="002E2DEA" w:rsidRPr="00B1011F" w:rsidRDefault="002E2DEA" w:rsidP="005B53DA">
            <w:pPr>
              <w:pStyle w:val="TableText"/>
              <w:keepLines/>
              <w:jc w:val="center"/>
            </w:pPr>
            <w:r>
              <w:t>58/219 (26.5)</w:t>
            </w:r>
          </w:p>
        </w:tc>
        <w:tc>
          <w:tcPr>
            <w:tcW w:w="931" w:type="pct"/>
          </w:tcPr>
          <w:p w14:paraId="779EEC86" w14:textId="77777777" w:rsidR="002E2DEA" w:rsidRPr="008C7BFB" w:rsidRDefault="002E2DEA" w:rsidP="005B53DA">
            <w:pPr>
              <w:pStyle w:val="TableText"/>
              <w:keepLines/>
              <w:jc w:val="center"/>
              <w:rPr>
                <w:b/>
                <w:bCs w:val="0"/>
              </w:rPr>
            </w:pPr>
            <w:r w:rsidRPr="008C7BFB">
              <w:rPr>
                <w:b/>
                <w:bCs w:val="0"/>
              </w:rPr>
              <w:t>2.93 (1.97, 4.36)</w:t>
            </w:r>
          </w:p>
        </w:tc>
        <w:tc>
          <w:tcPr>
            <w:tcW w:w="853" w:type="pct"/>
          </w:tcPr>
          <w:p w14:paraId="26E4B9A8" w14:textId="77777777" w:rsidR="002E2DEA" w:rsidRPr="008C7BFB" w:rsidRDefault="002E2DEA" w:rsidP="005B53DA">
            <w:pPr>
              <w:pStyle w:val="TableText"/>
              <w:keepLines/>
              <w:jc w:val="center"/>
              <w:rPr>
                <w:b/>
                <w:bCs w:val="0"/>
              </w:rPr>
            </w:pPr>
            <w:r w:rsidRPr="008C7BFB">
              <w:rPr>
                <w:b/>
                <w:bCs w:val="0"/>
              </w:rPr>
              <w:t xml:space="preserve"> 1.94 (1.50, 2.50)</w:t>
            </w:r>
          </w:p>
        </w:tc>
        <w:tc>
          <w:tcPr>
            <w:tcW w:w="809" w:type="pct"/>
          </w:tcPr>
          <w:p w14:paraId="2FB327F1" w14:textId="77777777" w:rsidR="002E2DEA" w:rsidRPr="008C7BFB" w:rsidRDefault="002E2DEA" w:rsidP="005B53DA">
            <w:pPr>
              <w:pStyle w:val="TableText"/>
              <w:keepLines/>
              <w:jc w:val="center"/>
              <w:rPr>
                <w:b/>
                <w:bCs w:val="0"/>
              </w:rPr>
            </w:pPr>
            <w:r w:rsidRPr="008C7BFB">
              <w:rPr>
                <w:b/>
                <w:bCs w:val="0"/>
              </w:rPr>
              <w:t>0.25 (0.16, 0.34)</w:t>
            </w:r>
          </w:p>
        </w:tc>
      </w:tr>
      <w:tr w:rsidR="007D3AC6" w:rsidRPr="00B1011F" w14:paraId="2947CD73" w14:textId="77777777" w:rsidTr="005B53DA">
        <w:tc>
          <w:tcPr>
            <w:tcW w:w="853" w:type="pct"/>
            <w:vAlign w:val="center"/>
          </w:tcPr>
          <w:p w14:paraId="0DF92B0D" w14:textId="77777777" w:rsidR="002E2DEA" w:rsidRPr="00B1011F" w:rsidRDefault="002E2DEA" w:rsidP="005B53DA">
            <w:pPr>
              <w:pStyle w:val="TableText"/>
              <w:keepLines/>
            </w:pPr>
            <w:r>
              <w:t>Meta-analysis</w:t>
            </w:r>
          </w:p>
        </w:tc>
        <w:tc>
          <w:tcPr>
            <w:tcW w:w="777" w:type="pct"/>
            <w:vAlign w:val="center"/>
          </w:tcPr>
          <w:p w14:paraId="2AF54905" w14:textId="77777777" w:rsidR="002E2DEA" w:rsidRPr="00B1011F" w:rsidRDefault="002E2DEA" w:rsidP="005B53DA">
            <w:pPr>
              <w:pStyle w:val="TableText"/>
              <w:keepLines/>
              <w:jc w:val="center"/>
            </w:pPr>
            <w:r>
              <w:t>-</w:t>
            </w:r>
          </w:p>
        </w:tc>
        <w:tc>
          <w:tcPr>
            <w:tcW w:w="777" w:type="pct"/>
            <w:vAlign w:val="center"/>
          </w:tcPr>
          <w:p w14:paraId="1EFF209B" w14:textId="77777777" w:rsidR="002E2DEA" w:rsidRPr="00B1011F" w:rsidRDefault="002E2DEA" w:rsidP="005B53DA">
            <w:pPr>
              <w:pStyle w:val="TableText"/>
              <w:keepLines/>
              <w:jc w:val="center"/>
            </w:pPr>
            <w:r>
              <w:t>-</w:t>
            </w:r>
          </w:p>
        </w:tc>
        <w:tc>
          <w:tcPr>
            <w:tcW w:w="931" w:type="pct"/>
          </w:tcPr>
          <w:p w14:paraId="3C92A157" w14:textId="77777777" w:rsidR="002E2DEA" w:rsidRPr="008C7BFB" w:rsidRDefault="002E2DEA" w:rsidP="005B53DA">
            <w:pPr>
              <w:pStyle w:val="TableText"/>
              <w:keepLines/>
              <w:jc w:val="center"/>
              <w:rPr>
                <w:b/>
                <w:bCs w:val="0"/>
              </w:rPr>
            </w:pPr>
            <w:r w:rsidRPr="008C7BFB">
              <w:rPr>
                <w:b/>
                <w:bCs w:val="0"/>
              </w:rPr>
              <w:t>2.75 (2.21, 3.42)</w:t>
            </w:r>
          </w:p>
        </w:tc>
        <w:tc>
          <w:tcPr>
            <w:tcW w:w="853" w:type="pct"/>
          </w:tcPr>
          <w:p w14:paraId="604467F0" w14:textId="77777777" w:rsidR="002E2DEA" w:rsidRPr="008C7BFB" w:rsidRDefault="002E2DEA" w:rsidP="005B53DA">
            <w:pPr>
              <w:pStyle w:val="TableText"/>
              <w:keepLines/>
              <w:jc w:val="center"/>
              <w:rPr>
                <w:b/>
                <w:bCs w:val="0"/>
              </w:rPr>
            </w:pPr>
            <w:r w:rsidRPr="008C7BFB">
              <w:rPr>
                <w:b/>
                <w:bCs w:val="0"/>
              </w:rPr>
              <w:t>1.77 (1.56, 2.01)</w:t>
            </w:r>
          </w:p>
        </w:tc>
        <w:tc>
          <w:tcPr>
            <w:tcW w:w="809" w:type="pct"/>
          </w:tcPr>
          <w:p w14:paraId="3B543A27" w14:textId="77777777" w:rsidR="002E2DEA" w:rsidRPr="008C7BFB" w:rsidRDefault="002E2DEA" w:rsidP="005B53DA">
            <w:pPr>
              <w:pStyle w:val="TableText"/>
              <w:keepLines/>
              <w:jc w:val="center"/>
              <w:rPr>
                <w:b/>
                <w:bCs w:val="0"/>
              </w:rPr>
            </w:pPr>
            <w:r w:rsidRPr="008C7BFB">
              <w:rPr>
                <w:b/>
                <w:bCs w:val="0"/>
              </w:rPr>
              <w:t>0.24 (0.19, 0.29)</w:t>
            </w:r>
          </w:p>
        </w:tc>
      </w:tr>
      <w:tr w:rsidR="007D3AC6" w:rsidRPr="00B1011F" w14:paraId="266ED125" w14:textId="77777777" w:rsidTr="005B53DA">
        <w:tc>
          <w:tcPr>
            <w:tcW w:w="2407" w:type="pct"/>
            <w:gridSpan w:val="3"/>
            <w:vAlign w:val="center"/>
          </w:tcPr>
          <w:p w14:paraId="42A1821A" w14:textId="77777777" w:rsidR="002E2DEA" w:rsidRDefault="002E2DEA" w:rsidP="005B53DA">
            <w:pPr>
              <w:pStyle w:val="TableText"/>
              <w:keepLines/>
              <w:jc w:val="right"/>
            </w:pPr>
            <w:r>
              <w:t>Heterogeneity: I</w:t>
            </w:r>
            <w:r>
              <w:rPr>
                <w:vertAlign w:val="superscript"/>
              </w:rPr>
              <w:t>2</w:t>
            </w:r>
            <w:r>
              <w:t xml:space="preserve"> (p-value)</w:t>
            </w:r>
          </w:p>
        </w:tc>
        <w:tc>
          <w:tcPr>
            <w:tcW w:w="931" w:type="pct"/>
          </w:tcPr>
          <w:p w14:paraId="49090AAB" w14:textId="77777777" w:rsidR="002E2DEA" w:rsidRPr="00B1011F" w:rsidRDefault="002E2DEA" w:rsidP="005B53DA">
            <w:pPr>
              <w:pStyle w:val="TableText"/>
              <w:keepLines/>
              <w:jc w:val="center"/>
            </w:pPr>
            <w:r>
              <w:t>0% (0.71)</w:t>
            </w:r>
          </w:p>
        </w:tc>
        <w:tc>
          <w:tcPr>
            <w:tcW w:w="853" w:type="pct"/>
            <w:vAlign w:val="center"/>
          </w:tcPr>
          <w:p w14:paraId="7AEB192F" w14:textId="77777777" w:rsidR="002E2DEA" w:rsidRPr="00B1011F" w:rsidRDefault="002E2DEA" w:rsidP="005B53DA">
            <w:pPr>
              <w:pStyle w:val="TableText"/>
              <w:keepLines/>
              <w:jc w:val="center"/>
            </w:pPr>
            <w:r>
              <w:t>0% (0.41)</w:t>
            </w:r>
          </w:p>
        </w:tc>
        <w:tc>
          <w:tcPr>
            <w:tcW w:w="809" w:type="pct"/>
            <w:vAlign w:val="center"/>
          </w:tcPr>
          <w:p w14:paraId="283222D3" w14:textId="77777777" w:rsidR="002E2DEA" w:rsidRPr="00B1011F" w:rsidRDefault="002E2DEA" w:rsidP="005B53DA">
            <w:pPr>
              <w:pStyle w:val="TableText"/>
              <w:keepLines/>
              <w:jc w:val="center"/>
            </w:pPr>
            <w:r>
              <w:t>0% (0.86)</w:t>
            </w:r>
          </w:p>
        </w:tc>
      </w:tr>
      <w:tr w:rsidR="002E2DEA" w:rsidRPr="00B1011F" w14:paraId="154D65C6" w14:textId="77777777" w:rsidTr="005B53DA">
        <w:tc>
          <w:tcPr>
            <w:tcW w:w="5000" w:type="pct"/>
            <w:gridSpan w:val="6"/>
            <w:vAlign w:val="center"/>
          </w:tcPr>
          <w:p w14:paraId="045A3FC7" w14:textId="77777777" w:rsidR="002E2DEA" w:rsidRPr="00F42830" w:rsidRDefault="002E2DEA" w:rsidP="005B53DA">
            <w:pPr>
              <w:pStyle w:val="TableText"/>
              <w:keepLines/>
              <w:rPr>
                <w:b/>
                <w:bCs w:val="0"/>
              </w:rPr>
            </w:pPr>
            <w:r>
              <w:rPr>
                <w:b/>
                <w:bCs w:val="0"/>
              </w:rPr>
              <w:t>ACR50 response at week 24</w:t>
            </w:r>
          </w:p>
        </w:tc>
      </w:tr>
      <w:tr w:rsidR="007D3AC6" w:rsidRPr="00B1011F" w14:paraId="31AB8BA5" w14:textId="77777777" w:rsidTr="005B53DA">
        <w:tc>
          <w:tcPr>
            <w:tcW w:w="853" w:type="pct"/>
            <w:vAlign w:val="center"/>
          </w:tcPr>
          <w:p w14:paraId="55462469" w14:textId="77777777" w:rsidR="002E2DEA" w:rsidRDefault="002E2DEA" w:rsidP="005B53DA">
            <w:pPr>
              <w:pStyle w:val="TableText"/>
              <w:keepLines/>
            </w:pPr>
            <w:r>
              <w:t>KEEPSAKE 1</w:t>
            </w:r>
          </w:p>
        </w:tc>
        <w:tc>
          <w:tcPr>
            <w:tcW w:w="777" w:type="pct"/>
            <w:vAlign w:val="center"/>
          </w:tcPr>
          <w:p w14:paraId="7EEFB4EB" w14:textId="77777777" w:rsidR="002E2DEA" w:rsidRPr="00B1011F" w:rsidRDefault="002E2DEA" w:rsidP="005B53DA">
            <w:pPr>
              <w:pStyle w:val="TableText"/>
              <w:keepLines/>
              <w:jc w:val="center"/>
            </w:pPr>
            <w:r>
              <w:t>162/483 (33.5)</w:t>
            </w:r>
          </w:p>
        </w:tc>
        <w:tc>
          <w:tcPr>
            <w:tcW w:w="777" w:type="pct"/>
            <w:vAlign w:val="center"/>
          </w:tcPr>
          <w:p w14:paraId="4CFCA756" w14:textId="77777777" w:rsidR="002E2DEA" w:rsidRPr="00B1011F" w:rsidRDefault="002E2DEA" w:rsidP="005B53DA">
            <w:pPr>
              <w:pStyle w:val="TableText"/>
              <w:keepLines/>
              <w:jc w:val="center"/>
            </w:pPr>
            <w:r>
              <w:t>54/481 (11.2)</w:t>
            </w:r>
          </w:p>
        </w:tc>
        <w:tc>
          <w:tcPr>
            <w:tcW w:w="931" w:type="pct"/>
          </w:tcPr>
          <w:p w14:paraId="13AC73C6" w14:textId="77777777" w:rsidR="002E2DEA" w:rsidRPr="00DA65D0" w:rsidRDefault="002E2DEA" w:rsidP="005B53DA">
            <w:pPr>
              <w:pStyle w:val="TableText"/>
              <w:keepLines/>
              <w:jc w:val="center"/>
              <w:rPr>
                <w:b/>
                <w:bCs w:val="0"/>
              </w:rPr>
            </w:pPr>
            <w:r w:rsidRPr="00DA65D0">
              <w:rPr>
                <w:b/>
                <w:bCs w:val="0"/>
              </w:rPr>
              <w:t>3.99 (2.84, 5.61)</w:t>
            </w:r>
          </w:p>
        </w:tc>
        <w:tc>
          <w:tcPr>
            <w:tcW w:w="853" w:type="pct"/>
            <w:vAlign w:val="center"/>
          </w:tcPr>
          <w:p w14:paraId="59E22B20" w14:textId="77777777" w:rsidR="002E2DEA" w:rsidRPr="00DA65D0" w:rsidRDefault="002E2DEA" w:rsidP="005B53DA">
            <w:pPr>
              <w:pStyle w:val="TableText"/>
              <w:keepLines/>
              <w:jc w:val="center"/>
              <w:rPr>
                <w:b/>
                <w:bCs w:val="0"/>
              </w:rPr>
            </w:pPr>
            <w:r w:rsidRPr="00DA65D0">
              <w:rPr>
                <w:b/>
                <w:bCs w:val="0"/>
              </w:rPr>
              <w:t>2.99 (2.26, 3.96)</w:t>
            </w:r>
          </w:p>
        </w:tc>
        <w:tc>
          <w:tcPr>
            <w:tcW w:w="809" w:type="pct"/>
            <w:vAlign w:val="center"/>
          </w:tcPr>
          <w:p w14:paraId="549D4D4E" w14:textId="77777777" w:rsidR="002E2DEA" w:rsidRPr="00DA65D0" w:rsidRDefault="002E2DEA" w:rsidP="005B53DA">
            <w:pPr>
              <w:pStyle w:val="TableText"/>
              <w:keepLines/>
              <w:jc w:val="center"/>
              <w:rPr>
                <w:b/>
                <w:bCs w:val="0"/>
              </w:rPr>
            </w:pPr>
            <w:r w:rsidRPr="00DA65D0">
              <w:rPr>
                <w:b/>
                <w:bCs w:val="0"/>
              </w:rPr>
              <w:t>0.22 (0.17, 0.27)</w:t>
            </w:r>
          </w:p>
        </w:tc>
      </w:tr>
      <w:tr w:rsidR="007D3AC6" w:rsidRPr="00B1011F" w14:paraId="47E82768" w14:textId="77777777" w:rsidTr="005B53DA">
        <w:tc>
          <w:tcPr>
            <w:tcW w:w="853" w:type="pct"/>
            <w:vAlign w:val="center"/>
          </w:tcPr>
          <w:p w14:paraId="1D18F868" w14:textId="77777777" w:rsidR="002E2DEA" w:rsidRDefault="002E2DEA" w:rsidP="005B53DA">
            <w:pPr>
              <w:pStyle w:val="TableText"/>
              <w:keepLines/>
            </w:pPr>
            <w:r>
              <w:t>KEEPSAKE 2</w:t>
            </w:r>
          </w:p>
        </w:tc>
        <w:tc>
          <w:tcPr>
            <w:tcW w:w="777" w:type="pct"/>
            <w:vAlign w:val="center"/>
          </w:tcPr>
          <w:p w14:paraId="61FE81D9" w14:textId="77777777" w:rsidR="002E2DEA" w:rsidRPr="00B1011F" w:rsidRDefault="002E2DEA" w:rsidP="005B53DA">
            <w:pPr>
              <w:pStyle w:val="TableText"/>
              <w:keepLines/>
              <w:jc w:val="center"/>
            </w:pPr>
            <w:r>
              <w:t>59/224 (26.3)</w:t>
            </w:r>
          </w:p>
        </w:tc>
        <w:tc>
          <w:tcPr>
            <w:tcW w:w="777" w:type="pct"/>
            <w:vAlign w:val="center"/>
          </w:tcPr>
          <w:p w14:paraId="7BC85A63" w14:textId="77777777" w:rsidR="002E2DEA" w:rsidRPr="00B1011F" w:rsidRDefault="002E2DEA" w:rsidP="005B53DA">
            <w:pPr>
              <w:pStyle w:val="TableText"/>
              <w:keepLines/>
              <w:jc w:val="center"/>
            </w:pPr>
            <w:r>
              <w:t>20/219 (9.1)</w:t>
            </w:r>
          </w:p>
        </w:tc>
        <w:tc>
          <w:tcPr>
            <w:tcW w:w="931" w:type="pct"/>
          </w:tcPr>
          <w:p w14:paraId="50409222" w14:textId="77777777" w:rsidR="002E2DEA" w:rsidRPr="00DA65D0" w:rsidRDefault="002E2DEA" w:rsidP="005B53DA">
            <w:pPr>
              <w:pStyle w:val="TableText"/>
              <w:keepLines/>
              <w:jc w:val="center"/>
              <w:rPr>
                <w:b/>
                <w:bCs w:val="0"/>
              </w:rPr>
            </w:pPr>
            <w:r w:rsidRPr="00DA65D0">
              <w:rPr>
                <w:b/>
                <w:bCs w:val="0"/>
              </w:rPr>
              <w:t>3.56 (2.06, 6.15)</w:t>
            </w:r>
          </w:p>
        </w:tc>
        <w:tc>
          <w:tcPr>
            <w:tcW w:w="853" w:type="pct"/>
            <w:vAlign w:val="center"/>
          </w:tcPr>
          <w:p w14:paraId="5832FA17" w14:textId="77777777" w:rsidR="002E2DEA" w:rsidRPr="00DA65D0" w:rsidRDefault="002E2DEA" w:rsidP="005B53DA">
            <w:pPr>
              <w:pStyle w:val="TableText"/>
              <w:keepLines/>
              <w:jc w:val="center"/>
              <w:rPr>
                <w:b/>
                <w:bCs w:val="0"/>
              </w:rPr>
            </w:pPr>
            <w:r w:rsidRPr="00DA65D0">
              <w:rPr>
                <w:b/>
                <w:bCs w:val="0"/>
              </w:rPr>
              <w:t>2.88 (1.80, 4.62)</w:t>
            </w:r>
          </w:p>
        </w:tc>
        <w:tc>
          <w:tcPr>
            <w:tcW w:w="809" w:type="pct"/>
            <w:vAlign w:val="center"/>
          </w:tcPr>
          <w:p w14:paraId="36B13918" w14:textId="77777777" w:rsidR="002E2DEA" w:rsidRPr="00DA65D0" w:rsidRDefault="002E2DEA" w:rsidP="005B53DA">
            <w:pPr>
              <w:pStyle w:val="TableText"/>
              <w:keepLines/>
              <w:jc w:val="center"/>
              <w:rPr>
                <w:b/>
                <w:bCs w:val="0"/>
              </w:rPr>
            </w:pPr>
            <w:r w:rsidRPr="00DA65D0">
              <w:rPr>
                <w:b/>
                <w:bCs w:val="0"/>
              </w:rPr>
              <w:t>0.17 (0.10, 0.24)</w:t>
            </w:r>
          </w:p>
        </w:tc>
      </w:tr>
      <w:tr w:rsidR="007D3AC6" w:rsidRPr="00B1011F" w14:paraId="7C913349" w14:textId="77777777" w:rsidTr="005B53DA">
        <w:tc>
          <w:tcPr>
            <w:tcW w:w="853" w:type="pct"/>
            <w:vAlign w:val="center"/>
          </w:tcPr>
          <w:p w14:paraId="303CAAE2" w14:textId="77777777" w:rsidR="002E2DEA" w:rsidRDefault="002E2DEA" w:rsidP="005B53DA">
            <w:pPr>
              <w:pStyle w:val="TableText"/>
              <w:keepLines/>
            </w:pPr>
            <w:r>
              <w:t>Meta-analysis</w:t>
            </w:r>
          </w:p>
        </w:tc>
        <w:tc>
          <w:tcPr>
            <w:tcW w:w="777" w:type="pct"/>
            <w:vAlign w:val="center"/>
          </w:tcPr>
          <w:p w14:paraId="22745B5F" w14:textId="77777777" w:rsidR="002E2DEA" w:rsidRPr="00B1011F" w:rsidRDefault="002E2DEA" w:rsidP="005B53DA">
            <w:pPr>
              <w:pStyle w:val="TableText"/>
              <w:keepLines/>
              <w:jc w:val="center"/>
            </w:pPr>
            <w:r>
              <w:t>-</w:t>
            </w:r>
          </w:p>
        </w:tc>
        <w:tc>
          <w:tcPr>
            <w:tcW w:w="777" w:type="pct"/>
            <w:vAlign w:val="center"/>
          </w:tcPr>
          <w:p w14:paraId="64E218FC" w14:textId="77777777" w:rsidR="002E2DEA" w:rsidRPr="00B1011F" w:rsidRDefault="002E2DEA" w:rsidP="005B53DA">
            <w:pPr>
              <w:pStyle w:val="TableText"/>
              <w:keepLines/>
              <w:jc w:val="center"/>
            </w:pPr>
            <w:r>
              <w:t>-</w:t>
            </w:r>
          </w:p>
        </w:tc>
        <w:tc>
          <w:tcPr>
            <w:tcW w:w="931" w:type="pct"/>
          </w:tcPr>
          <w:p w14:paraId="50E574B5" w14:textId="77777777" w:rsidR="002E2DEA" w:rsidRPr="00DA65D0" w:rsidRDefault="002E2DEA" w:rsidP="005B53DA">
            <w:pPr>
              <w:pStyle w:val="TableText"/>
              <w:keepLines/>
              <w:jc w:val="center"/>
              <w:rPr>
                <w:b/>
                <w:bCs w:val="0"/>
              </w:rPr>
            </w:pPr>
            <w:r w:rsidRPr="00DA65D0">
              <w:rPr>
                <w:b/>
                <w:bCs w:val="0"/>
              </w:rPr>
              <w:t>3.87 (2.89, 5.16)</w:t>
            </w:r>
          </w:p>
        </w:tc>
        <w:tc>
          <w:tcPr>
            <w:tcW w:w="853" w:type="pct"/>
            <w:vAlign w:val="center"/>
          </w:tcPr>
          <w:p w14:paraId="0DBB1295" w14:textId="77777777" w:rsidR="002E2DEA" w:rsidRPr="00DA65D0" w:rsidRDefault="002E2DEA" w:rsidP="005B53DA">
            <w:pPr>
              <w:pStyle w:val="TableText"/>
              <w:keepLines/>
              <w:jc w:val="center"/>
              <w:rPr>
                <w:b/>
                <w:bCs w:val="0"/>
              </w:rPr>
            </w:pPr>
            <w:r w:rsidRPr="00DA65D0">
              <w:rPr>
                <w:b/>
                <w:bCs w:val="0"/>
              </w:rPr>
              <w:t>2.96 (2.33, 3.77)</w:t>
            </w:r>
          </w:p>
        </w:tc>
        <w:tc>
          <w:tcPr>
            <w:tcW w:w="809" w:type="pct"/>
            <w:vAlign w:val="center"/>
          </w:tcPr>
          <w:p w14:paraId="5CC494E6" w14:textId="77777777" w:rsidR="002E2DEA" w:rsidRPr="00DA65D0" w:rsidRDefault="002E2DEA" w:rsidP="005B53DA">
            <w:pPr>
              <w:pStyle w:val="TableText"/>
              <w:keepLines/>
              <w:jc w:val="center"/>
              <w:rPr>
                <w:b/>
                <w:bCs w:val="0"/>
              </w:rPr>
            </w:pPr>
            <w:r w:rsidRPr="00DA65D0">
              <w:rPr>
                <w:b/>
                <w:bCs w:val="0"/>
              </w:rPr>
              <w:t>0.20 (0.15, 0.25)</w:t>
            </w:r>
          </w:p>
        </w:tc>
      </w:tr>
      <w:tr w:rsidR="007D3AC6" w:rsidRPr="00B1011F" w14:paraId="45B78762" w14:textId="77777777" w:rsidTr="005B53DA">
        <w:tc>
          <w:tcPr>
            <w:tcW w:w="2407" w:type="pct"/>
            <w:gridSpan w:val="3"/>
            <w:vAlign w:val="center"/>
          </w:tcPr>
          <w:p w14:paraId="696981C3" w14:textId="77777777" w:rsidR="002E2DEA" w:rsidRPr="00B1011F" w:rsidRDefault="002E2DEA" w:rsidP="005B53DA">
            <w:pPr>
              <w:pStyle w:val="TableText"/>
              <w:keepLines/>
              <w:jc w:val="right"/>
            </w:pPr>
            <w:r>
              <w:t>Heterogeneity: I</w:t>
            </w:r>
            <w:r>
              <w:rPr>
                <w:vertAlign w:val="superscript"/>
              </w:rPr>
              <w:t>2</w:t>
            </w:r>
            <w:r>
              <w:t xml:space="preserve"> (p-value)</w:t>
            </w:r>
          </w:p>
        </w:tc>
        <w:tc>
          <w:tcPr>
            <w:tcW w:w="931" w:type="pct"/>
          </w:tcPr>
          <w:p w14:paraId="0FA3F4A1" w14:textId="77777777" w:rsidR="002E2DEA" w:rsidRPr="00B1011F" w:rsidRDefault="002E2DEA" w:rsidP="005B53DA">
            <w:pPr>
              <w:pStyle w:val="TableText"/>
              <w:keepLines/>
              <w:jc w:val="center"/>
            </w:pPr>
            <w:r>
              <w:t>0% (0.73)</w:t>
            </w:r>
          </w:p>
        </w:tc>
        <w:tc>
          <w:tcPr>
            <w:tcW w:w="853" w:type="pct"/>
            <w:vAlign w:val="center"/>
          </w:tcPr>
          <w:p w14:paraId="1FEC6F59" w14:textId="77777777" w:rsidR="002E2DEA" w:rsidRPr="00B1011F" w:rsidRDefault="002E2DEA" w:rsidP="005B53DA">
            <w:pPr>
              <w:pStyle w:val="TableText"/>
              <w:keepLines/>
              <w:jc w:val="center"/>
            </w:pPr>
            <w:r>
              <w:t>0% (0.90)</w:t>
            </w:r>
          </w:p>
        </w:tc>
        <w:tc>
          <w:tcPr>
            <w:tcW w:w="809" w:type="pct"/>
            <w:vAlign w:val="center"/>
          </w:tcPr>
          <w:p w14:paraId="4C787F46" w14:textId="77777777" w:rsidR="002E2DEA" w:rsidRPr="00B1011F" w:rsidRDefault="002E2DEA" w:rsidP="005B53DA">
            <w:pPr>
              <w:pStyle w:val="TableText"/>
              <w:keepLines/>
              <w:jc w:val="center"/>
            </w:pPr>
            <w:r>
              <w:t>27% (0.24)</w:t>
            </w:r>
          </w:p>
        </w:tc>
      </w:tr>
      <w:tr w:rsidR="00B45FEB" w:rsidRPr="00B1011F" w14:paraId="5FA59ACA" w14:textId="77777777" w:rsidTr="005B53DA">
        <w:tc>
          <w:tcPr>
            <w:tcW w:w="5000" w:type="pct"/>
            <w:gridSpan w:val="6"/>
            <w:vAlign w:val="center"/>
          </w:tcPr>
          <w:p w14:paraId="79918B9A" w14:textId="357B22EE" w:rsidR="00B45FEB" w:rsidRPr="0013006D" w:rsidRDefault="00B45FEB" w:rsidP="005B53DA">
            <w:pPr>
              <w:pStyle w:val="TableText"/>
              <w:keepLines/>
              <w:rPr>
                <w:b/>
                <w:bCs w:val="0"/>
                <w:vertAlign w:val="superscript"/>
              </w:rPr>
            </w:pPr>
            <w:r>
              <w:rPr>
                <w:b/>
                <w:bCs w:val="0"/>
              </w:rPr>
              <w:t>PASI75 response at week 24</w:t>
            </w:r>
            <w:r w:rsidR="0013006D">
              <w:rPr>
                <w:b/>
                <w:bCs w:val="0"/>
              </w:rPr>
              <w:t xml:space="preserve"> </w:t>
            </w:r>
            <w:r w:rsidR="0013006D">
              <w:rPr>
                <w:b/>
                <w:bCs w:val="0"/>
                <w:vertAlign w:val="superscript"/>
              </w:rPr>
              <w:t>a</w:t>
            </w:r>
          </w:p>
        </w:tc>
      </w:tr>
      <w:tr w:rsidR="00371FD9" w:rsidRPr="008C7BFB" w14:paraId="3B80584F" w14:textId="77777777" w:rsidTr="005B53DA">
        <w:tc>
          <w:tcPr>
            <w:tcW w:w="853" w:type="pct"/>
            <w:vAlign w:val="center"/>
          </w:tcPr>
          <w:p w14:paraId="0584FF68" w14:textId="77777777" w:rsidR="007D3AC6" w:rsidRPr="00B1011F" w:rsidRDefault="007D3AC6" w:rsidP="005B53DA">
            <w:pPr>
              <w:pStyle w:val="TableText"/>
              <w:keepLines/>
            </w:pPr>
            <w:r>
              <w:t>KEEPSAKE 1</w:t>
            </w:r>
          </w:p>
        </w:tc>
        <w:tc>
          <w:tcPr>
            <w:tcW w:w="777" w:type="pct"/>
            <w:vAlign w:val="center"/>
          </w:tcPr>
          <w:p w14:paraId="5A46DB66" w14:textId="77777777" w:rsidR="007D3AC6" w:rsidRPr="00B1011F" w:rsidRDefault="007D3AC6" w:rsidP="005B53DA">
            <w:pPr>
              <w:pStyle w:val="TableText"/>
              <w:keepLines/>
              <w:jc w:val="center"/>
            </w:pPr>
            <w:r>
              <w:t>185/273 (67.8)</w:t>
            </w:r>
          </w:p>
        </w:tc>
        <w:tc>
          <w:tcPr>
            <w:tcW w:w="777" w:type="pct"/>
            <w:vAlign w:val="center"/>
          </w:tcPr>
          <w:p w14:paraId="6B5BAEBF" w14:textId="77777777" w:rsidR="007D3AC6" w:rsidRPr="00B1011F" w:rsidRDefault="007D3AC6" w:rsidP="005B53DA">
            <w:pPr>
              <w:pStyle w:val="TableText"/>
              <w:keepLines/>
              <w:jc w:val="center"/>
            </w:pPr>
            <w:r>
              <w:t>45/272 (16.5)</w:t>
            </w:r>
          </w:p>
        </w:tc>
        <w:tc>
          <w:tcPr>
            <w:tcW w:w="931" w:type="pct"/>
          </w:tcPr>
          <w:p w14:paraId="374BB54C" w14:textId="77777777" w:rsidR="007D3AC6" w:rsidRPr="008C7BFB" w:rsidRDefault="007D3AC6" w:rsidP="005B53DA">
            <w:pPr>
              <w:pStyle w:val="TableText"/>
              <w:keepLines/>
              <w:jc w:val="center"/>
              <w:rPr>
                <w:b/>
                <w:bCs w:val="0"/>
              </w:rPr>
            </w:pPr>
            <w:r>
              <w:rPr>
                <w:b/>
                <w:bCs w:val="0"/>
              </w:rPr>
              <w:t>10.60 (7.05, 15.95)</w:t>
            </w:r>
          </w:p>
        </w:tc>
        <w:tc>
          <w:tcPr>
            <w:tcW w:w="853" w:type="pct"/>
          </w:tcPr>
          <w:p w14:paraId="6E76EB44" w14:textId="77777777" w:rsidR="007D3AC6" w:rsidRPr="008C7BFB" w:rsidRDefault="007D3AC6" w:rsidP="005B53DA">
            <w:pPr>
              <w:pStyle w:val="TableText"/>
              <w:keepLines/>
              <w:jc w:val="center"/>
              <w:rPr>
                <w:b/>
                <w:bCs w:val="0"/>
              </w:rPr>
            </w:pPr>
            <w:r>
              <w:rPr>
                <w:b/>
                <w:bCs w:val="0"/>
              </w:rPr>
              <w:t>4.10 (3.10, 5.42)</w:t>
            </w:r>
          </w:p>
        </w:tc>
        <w:tc>
          <w:tcPr>
            <w:tcW w:w="809" w:type="pct"/>
          </w:tcPr>
          <w:p w14:paraId="632C748E" w14:textId="77777777" w:rsidR="007D3AC6" w:rsidRPr="008C7BFB" w:rsidRDefault="007D3AC6" w:rsidP="005B53DA">
            <w:pPr>
              <w:pStyle w:val="TableText"/>
              <w:keepLines/>
              <w:jc w:val="center"/>
              <w:rPr>
                <w:b/>
                <w:bCs w:val="0"/>
              </w:rPr>
            </w:pPr>
            <w:r>
              <w:rPr>
                <w:b/>
                <w:bCs w:val="0"/>
              </w:rPr>
              <w:t>0.51 (0.44, 0.58)</w:t>
            </w:r>
          </w:p>
        </w:tc>
      </w:tr>
      <w:tr w:rsidR="00371FD9" w:rsidRPr="008C7BFB" w14:paraId="5FD67AB6" w14:textId="77777777" w:rsidTr="005B53DA">
        <w:tc>
          <w:tcPr>
            <w:tcW w:w="853" w:type="pct"/>
            <w:vAlign w:val="center"/>
          </w:tcPr>
          <w:p w14:paraId="45C897AE" w14:textId="77777777" w:rsidR="007D3AC6" w:rsidRPr="00B1011F" w:rsidRDefault="007D3AC6" w:rsidP="005B53DA">
            <w:pPr>
              <w:pStyle w:val="TableText"/>
              <w:keepLines/>
            </w:pPr>
            <w:r>
              <w:t>KEEPSAKE 2</w:t>
            </w:r>
          </w:p>
        </w:tc>
        <w:tc>
          <w:tcPr>
            <w:tcW w:w="777" w:type="pct"/>
            <w:vAlign w:val="center"/>
          </w:tcPr>
          <w:p w14:paraId="3B6FC4E7" w14:textId="77777777" w:rsidR="007D3AC6" w:rsidRPr="00B1011F" w:rsidRDefault="007D3AC6" w:rsidP="005B53DA">
            <w:pPr>
              <w:pStyle w:val="TableText"/>
              <w:keepLines/>
              <w:jc w:val="center"/>
            </w:pPr>
            <w:r>
              <w:t>87/123 (70.7)</w:t>
            </w:r>
          </w:p>
        </w:tc>
        <w:tc>
          <w:tcPr>
            <w:tcW w:w="777" w:type="pct"/>
            <w:vAlign w:val="center"/>
          </w:tcPr>
          <w:p w14:paraId="49E1B1D3" w14:textId="77777777" w:rsidR="007D3AC6" w:rsidRPr="00B1011F" w:rsidRDefault="007D3AC6" w:rsidP="005B53DA">
            <w:pPr>
              <w:pStyle w:val="TableText"/>
              <w:keepLines/>
              <w:jc w:val="center"/>
            </w:pPr>
            <w:r>
              <w:t>19/119 (16.0)</w:t>
            </w:r>
          </w:p>
        </w:tc>
        <w:tc>
          <w:tcPr>
            <w:tcW w:w="931" w:type="pct"/>
          </w:tcPr>
          <w:p w14:paraId="726FD8AC" w14:textId="77777777" w:rsidR="007D3AC6" w:rsidRPr="008C7BFB" w:rsidRDefault="007D3AC6" w:rsidP="005B53DA">
            <w:pPr>
              <w:pStyle w:val="TableText"/>
              <w:keepLines/>
              <w:jc w:val="center"/>
              <w:rPr>
                <w:b/>
                <w:bCs w:val="0"/>
              </w:rPr>
            </w:pPr>
            <w:r>
              <w:rPr>
                <w:b/>
                <w:bCs w:val="0"/>
              </w:rPr>
              <w:t>12.72 (6.80, 23.78)</w:t>
            </w:r>
          </w:p>
        </w:tc>
        <w:tc>
          <w:tcPr>
            <w:tcW w:w="853" w:type="pct"/>
          </w:tcPr>
          <w:p w14:paraId="47D82356" w14:textId="77777777" w:rsidR="007D3AC6" w:rsidRPr="008C7BFB" w:rsidRDefault="007D3AC6" w:rsidP="005B53DA">
            <w:pPr>
              <w:pStyle w:val="TableText"/>
              <w:keepLines/>
              <w:jc w:val="center"/>
              <w:rPr>
                <w:b/>
                <w:bCs w:val="0"/>
              </w:rPr>
            </w:pPr>
            <w:r>
              <w:rPr>
                <w:b/>
                <w:bCs w:val="0"/>
              </w:rPr>
              <w:t>4.43 (2.89, 6.79)</w:t>
            </w:r>
          </w:p>
        </w:tc>
        <w:tc>
          <w:tcPr>
            <w:tcW w:w="809" w:type="pct"/>
          </w:tcPr>
          <w:p w14:paraId="49D086F6" w14:textId="77777777" w:rsidR="007D3AC6" w:rsidRPr="008C7BFB" w:rsidRDefault="007D3AC6" w:rsidP="005B53DA">
            <w:pPr>
              <w:pStyle w:val="TableText"/>
              <w:keepLines/>
              <w:jc w:val="center"/>
              <w:rPr>
                <w:b/>
                <w:bCs w:val="0"/>
              </w:rPr>
            </w:pPr>
            <w:r>
              <w:rPr>
                <w:b/>
                <w:bCs w:val="0"/>
              </w:rPr>
              <w:t>0.55 (0.44, 0.65)</w:t>
            </w:r>
          </w:p>
        </w:tc>
      </w:tr>
      <w:tr w:rsidR="00371FD9" w:rsidRPr="008C7BFB" w14:paraId="1DD4B2B0" w14:textId="77777777" w:rsidTr="005B53DA">
        <w:tc>
          <w:tcPr>
            <w:tcW w:w="853" w:type="pct"/>
            <w:vAlign w:val="center"/>
          </w:tcPr>
          <w:p w14:paraId="422E6ECF" w14:textId="77777777" w:rsidR="007D3AC6" w:rsidRPr="00B1011F" w:rsidRDefault="007D3AC6" w:rsidP="005B53DA">
            <w:pPr>
              <w:pStyle w:val="TableText"/>
              <w:keepLines/>
            </w:pPr>
            <w:r>
              <w:t>Meta-analysis</w:t>
            </w:r>
          </w:p>
        </w:tc>
        <w:tc>
          <w:tcPr>
            <w:tcW w:w="777" w:type="pct"/>
            <w:vAlign w:val="center"/>
          </w:tcPr>
          <w:p w14:paraId="0A5DDB1C" w14:textId="10D7C46C" w:rsidR="007D3AC6" w:rsidRPr="00B1011F" w:rsidRDefault="007D3AC6" w:rsidP="005B53DA">
            <w:pPr>
              <w:pStyle w:val="TableText"/>
              <w:keepLines/>
              <w:jc w:val="center"/>
            </w:pPr>
            <w:r>
              <w:t>-</w:t>
            </w:r>
          </w:p>
        </w:tc>
        <w:tc>
          <w:tcPr>
            <w:tcW w:w="777" w:type="pct"/>
            <w:vAlign w:val="center"/>
          </w:tcPr>
          <w:p w14:paraId="4DAB87D4" w14:textId="02F82BA2" w:rsidR="007D3AC6" w:rsidRPr="00B1011F" w:rsidRDefault="007D3AC6" w:rsidP="005B53DA">
            <w:pPr>
              <w:pStyle w:val="TableText"/>
              <w:keepLines/>
              <w:jc w:val="center"/>
            </w:pPr>
            <w:r>
              <w:t>-</w:t>
            </w:r>
          </w:p>
        </w:tc>
        <w:tc>
          <w:tcPr>
            <w:tcW w:w="931" w:type="pct"/>
          </w:tcPr>
          <w:p w14:paraId="4886B4DE" w14:textId="77777777" w:rsidR="007D3AC6" w:rsidRPr="008C7BFB" w:rsidRDefault="007D3AC6" w:rsidP="005B53DA">
            <w:pPr>
              <w:pStyle w:val="TableText"/>
              <w:keepLines/>
              <w:jc w:val="center"/>
              <w:rPr>
                <w:b/>
                <w:bCs w:val="0"/>
              </w:rPr>
            </w:pPr>
            <w:r>
              <w:rPr>
                <w:b/>
                <w:bCs w:val="0"/>
              </w:rPr>
              <w:t>11.20 (7.95, 15.76)</w:t>
            </w:r>
          </w:p>
        </w:tc>
        <w:tc>
          <w:tcPr>
            <w:tcW w:w="853" w:type="pct"/>
          </w:tcPr>
          <w:p w14:paraId="72D59537" w14:textId="77777777" w:rsidR="007D3AC6" w:rsidRPr="008C7BFB" w:rsidRDefault="007D3AC6" w:rsidP="005B53DA">
            <w:pPr>
              <w:pStyle w:val="TableText"/>
              <w:keepLines/>
              <w:jc w:val="center"/>
              <w:rPr>
                <w:b/>
                <w:bCs w:val="0"/>
              </w:rPr>
            </w:pPr>
            <w:r>
              <w:rPr>
                <w:b/>
                <w:bCs w:val="0"/>
              </w:rPr>
              <w:t>4.19 (3.32, 5.30)</w:t>
            </w:r>
          </w:p>
        </w:tc>
        <w:tc>
          <w:tcPr>
            <w:tcW w:w="809" w:type="pct"/>
          </w:tcPr>
          <w:p w14:paraId="06CA66C1" w14:textId="77777777" w:rsidR="007D3AC6" w:rsidRPr="008C7BFB" w:rsidRDefault="007D3AC6" w:rsidP="005B53DA">
            <w:pPr>
              <w:pStyle w:val="TableText"/>
              <w:keepLines/>
              <w:jc w:val="center"/>
              <w:rPr>
                <w:b/>
                <w:bCs w:val="0"/>
              </w:rPr>
            </w:pPr>
            <w:r>
              <w:rPr>
                <w:b/>
                <w:bCs w:val="0"/>
              </w:rPr>
              <w:t>0.52 (0.46, 0.58)</w:t>
            </w:r>
          </w:p>
        </w:tc>
      </w:tr>
      <w:tr w:rsidR="007D3AC6" w:rsidRPr="00B1011F" w14:paraId="39875370" w14:textId="77777777" w:rsidTr="005B53DA">
        <w:tc>
          <w:tcPr>
            <w:tcW w:w="2407" w:type="pct"/>
            <w:gridSpan w:val="3"/>
            <w:vAlign w:val="center"/>
          </w:tcPr>
          <w:p w14:paraId="03D7C2BD" w14:textId="77777777" w:rsidR="007D3AC6" w:rsidRDefault="007D3AC6" w:rsidP="005B53DA">
            <w:pPr>
              <w:pStyle w:val="TableText"/>
              <w:keepLines/>
              <w:jc w:val="right"/>
            </w:pPr>
            <w:r>
              <w:t>Heterogeneity I</w:t>
            </w:r>
            <w:r>
              <w:rPr>
                <w:vertAlign w:val="superscript"/>
              </w:rPr>
              <w:t>2</w:t>
            </w:r>
            <w:r>
              <w:t xml:space="preserve"> (p-value)</w:t>
            </w:r>
          </w:p>
        </w:tc>
        <w:tc>
          <w:tcPr>
            <w:tcW w:w="931" w:type="pct"/>
          </w:tcPr>
          <w:p w14:paraId="07567400" w14:textId="77777777" w:rsidR="007D3AC6" w:rsidRPr="00B1011F" w:rsidRDefault="007D3AC6" w:rsidP="005B53DA">
            <w:pPr>
              <w:pStyle w:val="TableText"/>
              <w:keepLines/>
              <w:jc w:val="center"/>
            </w:pPr>
            <w:r>
              <w:t>0% (0.63)</w:t>
            </w:r>
          </w:p>
        </w:tc>
        <w:tc>
          <w:tcPr>
            <w:tcW w:w="853" w:type="pct"/>
            <w:vAlign w:val="center"/>
          </w:tcPr>
          <w:p w14:paraId="1AACE557" w14:textId="77777777" w:rsidR="007D3AC6" w:rsidRPr="00B1011F" w:rsidRDefault="007D3AC6" w:rsidP="005B53DA">
            <w:pPr>
              <w:pStyle w:val="TableText"/>
              <w:keepLines/>
              <w:jc w:val="center"/>
            </w:pPr>
            <w:r>
              <w:t>0% (0.76)</w:t>
            </w:r>
          </w:p>
        </w:tc>
        <w:tc>
          <w:tcPr>
            <w:tcW w:w="809" w:type="pct"/>
            <w:vAlign w:val="center"/>
          </w:tcPr>
          <w:p w14:paraId="75E6FD10" w14:textId="77777777" w:rsidR="007D3AC6" w:rsidRPr="00B1011F" w:rsidRDefault="007D3AC6" w:rsidP="005B53DA">
            <w:pPr>
              <w:pStyle w:val="TableText"/>
              <w:keepLines/>
              <w:jc w:val="center"/>
            </w:pPr>
            <w:r>
              <w:t>0% (0.58)</w:t>
            </w:r>
          </w:p>
        </w:tc>
      </w:tr>
      <w:tr w:rsidR="0013006D" w:rsidRPr="00B1011F" w14:paraId="697EA4ED" w14:textId="77777777" w:rsidTr="005B53DA">
        <w:tc>
          <w:tcPr>
            <w:tcW w:w="5000" w:type="pct"/>
            <w:gridSpan w:val="6"/>
            <w:vAlign w:val="center"/>
          </w:tcPr>
          <w:p w14:paraId="680D839A" w14:textId="54B08987" w:rsidR="0013006D" w:rsidRPr="0013006D" w:rsidRDefault="0013006D" w:rsidP="005B53DA">
            <w:pPr>
              <w:pStyle w:val="TableText"/>
              <w:keepLines/>
              <w:rPr>
                <w:b/>
                <w:bCs w:val="0"/>
                <w:vertAlign w:val="superscript"/>
              </w:rPr>
            </w:pPr>
            <w:r>
              <w:rPr>
                <w:b/>
                <w:bCs w:val="0"/>
              </w:rPr>
              <w:t xml:space="preserve">HAQ-DI improvement </w:t>
            </w:r>
            <w:r w:rsidRPr="0013006D">
              <w:rPr>
                <w:b/>
                <w:bCs w:val="0"/>
              </w:rPr>
              <w:t xml:space="preserve">≥0.35 </w:t>
            </w:r>
            <w:r>
              <w:rPr>
                <w:b/>
                <w:bCs w:val="0"/>
              </w:rPr>
              <w:t xml:space="preserve">at week 24 </w:t>
            </w:r>
            <w:r>
              <w:rPr>
                <w:b/>
                <w:bCs w:val="0"/>
                <w:vertAlign w:val="superscript"/>
              </w:rPr>
              <w:t>b</w:t>
            </w:r>
          </w:p>
        </w:tc>
      </w:tr>
      <w:tr w:rsidR="006C57CE" w:rsidRPr="008C7BFB" w14:paraId="6D4C4C7D" w14:textId="77777777" w:rsidTr="005B53DA">
        <w:tc>
          <w:tcPr>
            <w:tcW w:w="854" w:type="pct"/>
            <w:vAlign w:val="center"/>
          </w:tcPr>
          <w:p w14:paraId="351BF6F6" w14:textId="77777777" w:rsidR="0013006D" w:rsidRPr="00B1011F" w:rsidRDefault="0013006D" w:rsidP="005B53DA">
            <w:pPr>
              <w:pStyle w:val="TableText"/>
              <w:keepLines/>
            </w:pPr>
            <w:r>
              <w:t>KEEPSAKE 1</w:t>
            </w:r>
          </w:p>
        </w:tc>
        <w:tc>
          <w:tcPr>
            <w:tcW w:w="776" w:type="pct"/>
            <w:vAlign w:val="center"/>
          </w:tcPr>
          <w:p w14:paraId="0CDE01A7" w14:textId="77777777" w:rsidR="0013006D" w:rsidRPr="00B1011F" w:rsidRDefault="0013006D" w:rsidP="005B53DA">
            <w:pPr>
              <w:pStyle w:val="TableText"/>
              <w:keepLines/>
              <w:jc w:val="center"/>
            </w:pPr>
            <w:r>
              <w:t>208/414 (50.3)</w:t>
            </w:r>
          </w:p>
        </w:tc>
        <w:tc>
          <w:tcPr>
            <w:tcW w:w="777" w:type="pct"/>
            <w:vAlign w:val="center"/>
          </w:tcPr>
          <w:p w14:paraId="3BF225AE" w14:textId="77777777" w:rsidR="0013006D" w:rsidRPr="00B1011F" w:rsidRDefault="0013006D" w:rsidP="005B53DA">
            <w:pPr>
              <w:pStyle w:val="TableText"/>
              <w:keepLines/>
              <w:jc w:val="center"/>
            </w:pPr>
            <w:r>
              <w:t>117/419 (27.9)</w:t>
            </w:r>
          </w:p>
        </w:tc>
        <w:tc>
          <w:tcPr>
            <w:tcW w:w="931" w:type="pct"/>
          </w:tcPr>
          <w:p w14:paraId="539C5F06" w14:textId="77777777" w:rsidR="0013006D" w:rsidRPr="008C7BFB" w:rsidRDefault="0013006D" w:rsidP="005B53DA">
            <w:pPr>
              <w:pStyle w:val="TableText"/>
              <w:keepLines/>
              <w:jc w:val="center"/>
              <w:rPr>
                <w:b/>
                <w:bCs w:val="0"/>
              </w:rPr>
            </w:pPr>
            <w:r>
              <w:rPr>
                <w:b/>
                <w:bCs w:val="0"/>
              </w:rPr>
              <w:t>2.61 (1.96, 3.47)</w:t>
            </w:r>
          </w:p>
        </w:tc>
        <w:tc>
          <w:tcPr>
            <w:tcW w:w="853" w:type="pct"/>
          </w:tcPr>
          <w:p w14:paraId="30F648B7" w14:textId="77777777" w:rsidR="0013006D" w:rsidRPr="008C7BFB" w:rsidRDefault="0013006D" w:rsidP="005B53DA">
            <w:pPr>
              <w:pStyle w:val="TableText"/>
              <w:keepLines/>
              <w:jc w:val="center"/>
              <w:rPr>
                <w:b/>
                <w:bCs w:val="0"/>
              </w:rPr>
            </w:pPr>
            <w:r>
              <w:rPr>
                <w:b/>
                <w:bCs w:val="0"/>
              </w:rPr>
              <w:t>1.80 (1.50, 2.16)</w:t>
            </w:r>
          </w:p>
        </w:tc>
        <w:tc>
          <w:tcPr>
            <w:tcW w:w="809" w:type="pct"/>
          </w:tcPr>
          <w:p w14:paraId="73505EA8" w14:textId="77777777" w:rsidR="0013006D" w:rsidRPr="008C7BFB" w:rsidRDefault="0013006D" w:rsidP="005B53DA">
            <w:pPr>
              <w:pStyle w:val="TableText"/>
              <w:keepLines/>
              <w:jc w:val="center"/>
              <w:rPr>
                <w:b/>
                <w:bCs w:val="0"/>
              </w:rPr>
            </w:pPr>
            <w:r>
              <w:rPr>
                <w:b/>
                <w:bCs w:val="0"/>
              </w:rPr>
              <w:t>0.22 (0.16, 0.29)</w:t>
            </w:r>
          </w:p>
        </w:tc>
      </w:tr>
      <w:tr w:rsidR="006C57CE" w:rsidRPr="008C7BFB" w14:paraId="60F006BB" w14:textId="77777777" w:rsidTr="005B53DA">
        <w:tc>
          <w:tcPr>
            <w:tcW w:w="854" w:type="pct"/>
            <w:vAlign w:val="center"/>
          </w:tcPr>
          <w:p w14:paraId="231F422F" w14:textId="77777777" w:rsidR="0013006D" w:rsidRPr="00B1011F" w:rsidRDefault="0013006D" w:rsidP="005B53DA">
            <w:pPr>
              <w:pStyle w:val="TableText"/>
              <w:keepLines/>
            </w:pPr>
            <w:r>
              <w:t>KEEPSAKE 2</w:t>
            </w:r>
          </w:p>
        </w:tc>
        <w:tc>
          <w:tcPr>
            <w:tcW w:w="776" w:type="pct"/>
            <w:vAlign w:val="center"/>
          </w:tcPr>
          <w:p w14:paraId="013AD8C6" w14:textId="77777777" w:rsidR="0013006D" w:rsidRPr="00B1011F" w:rsidRDefault="0013006D" w:rsidP="005B53DA">
            <w:pPr>
              <w:pStyle w:val="TableText"/>
              <w:keepLines/>
              <w:jc w:val="center"/>
            </w:pPr>
            <w:r>
              <w:t>78/196 (39.9)</w:t>
            </w:r>
          </w:p>
        </w:tc>
        <w:tc>
          <w:tcPr>
            <w:tcW w:w="777" w:type="pct"/>
            <w:vAlign w:val="center"/>
          </w:tcPr>
          <w:p w14:paraId="499AD349" w14:textId="77777777" w:rsidR="0013006D" w:rsidRPr="00B1011F" w:rsidRDefault="0013006D" w:rsidP="005B53DA">
            <w:pPr>
              <w:pStyle w:val="TableText"/>
              <w:keepLines/>
              <w:jc w:val="center"/>
            </w:pPr>
            <w:r>
              <w:t>44/187 (23.6)</w:t>
            </w:r>
          </w:p>
        </w:tc>
        <w:tc>
          <w:tcPr>
            <w:tcW w:w="931" w:type="pct"/>
          </w:tcPr>
          <w:p w14:paraId="53A86991" w14:textId="77777777" w:rsidR="0013006D" w:rsidRPr="008C7BFB" w:rsidRDefault="0013006D" w:rsidP="005B53DA">
            <w:pPr>
              <w:pStyle w:val="TableText"/>
              <w:keepLines/>
              <w:jc w:val="center"/>
              <w:rPr>
                <w:b/>
                <w:bCs w:val="0"/>
              </w:rPr>
            </w:pPr>
            <w:r>
              <w:rPr>
                <w:b/>
                <w:bCs w:val="0"/>
              </w:rPr>
              <w:t>2.15 (1.38, 3.34)</w:t>
            </w:r>
          </w:p>
        </w:tc>
        <w:tc>
          <w:tcPr>
            <w:tcW w:w="853" w:type="pct"/>
          </w:tcPr>
          <w:p w14:paraId="7EE6C101" w14:textId="77777777" w:rsidR="0013006D" w:rsidRPr="008C7BFB" w:rsidRDefault="0013006D" w:rsidP="005B53DA">
            <w:pPr>
              <w:pStyle w:val="TableText"/>
              <w:keepLines/>
              <w:jc w:val="center"/>
              <w:rPr>
                <w:b/>
                <w:bCs w:val="0"/>
              </w:rPr>
            </w:pPr>
            <w:r>
              <w:rPr>
                <w:b/>
                <w:bCs w:val="0"/>
              </w:rPr>
              <w:t>1.69 (1.24, 2.31)</w:t>
            </w:r>
          </w:p>
        </w:tc>
        <w:tc>
          <w:tcPr>
            <w:tcW w:w="809" w:type="pct"/>
          </w:tcPr>
          <w:p w14:paraId="758741B0" w14:textId="77777777" w:rsidR="0013006D" w:rsidRPr="008C7BFB" w:rsidRDefault="0013006D" w:rsidP="005B53DA">
            <w:pPr>
              <w:pStyle w:val="TableText"/>
              <w:keepLines/>
              <w:jc w:val="center"/>
              <w:rPr>
                <w:b/>
                <w:bCs w:val="0"/>
              </w:rPr>
            </w:pPr>
            <w:r>
              <w:rPr>
                <w:b/>
                <w:bCs w:val="0"/>
              </w:rPr>
              <w:t>0.16 (0.07, 0.25)</w:t>
            </w:r>
          </w:p>
        </w:tc>
      </w:tr>
      <w:tr w:rsidR="006C57CE" w:rsidRPr="008C7BFB" w14:paraId="42EAF269" w14:textId="77777777" w:rsidTr="005B53DA">
        <w:tc>
          <w:tcPr>
            <w:tcW w:w="854" w:type="pct"/>
            <w:vAlign w:val="center"/>
          </w:tcPr>
          <w:p w14:paraId="733F0F45" w14:textId="77777777" w:rsidR="0013006D" w:rsidRPr="00B1011F" w:rsidRDefault="0013006D" w:rsidP="005B53DA">
            <w:pPr>
              <w:pStyle w:val="TableText"/>
              <w:keepLines/>
            </w:pPr>
            <w:r>
              <w:t>Meta-analysis</w:t>
            </w:r>
          </w:p>
        </w:tc>
        <w:tc>
          <w:tcPr>
            <w:tcW w:w="776" w:type="pct"/>
            <w:vAlign w:val="center"/>
          </w:tcPr>
          <w:p w14:paraId="5539B404" w14:textId="3F08B4A0" w:rsidR="0013006D" w:rsidRPr="00B1011F" w:rsidRDefault="00371FD9" w:rsidP="005B53DA">
            <w:pPr>
              <w:pStyle w:val="TableText"/>
              <w:keepLines/>
              <w:jc w:val="center"/>
            </w:pPr>
            <w:r>
              <w:t>-</w:t>
            </w:r>
          </w:p>
        </w:tc>
        <w:tc>
          <w:tcPr>
            <w:tcW w:w="777" w:type="pct"/>
            <w:vAlign w:val="center"/>
          </w:tcPr>
          <w:p w14:paraId="21BBD14D" w14:textId="26A64482" w:rsidR="0013006D" w:rsidRPr="00B1011F" w:rsidRDefault="00371FD9" w:rsidP="005B53DA">
            <w:pPr>
              <w:pStyle w:val="TableText"/>
              <w:keepLines/>
              <w:jc w:val="center"/>
            </w:pPr>
            <w:r>
              <w:t>-</w:t>
            </w:r>
          </w:p>
        </w:tc>
        <w:tc>
          <w:tcPr>
            <w:tcW w:w="931" w:type="pct"/>
          </w:tcPr>
          <w:p w14:paraId="3D593444" w14:textId="77777777" w:rsidR="0013006D" w:rsidRPr="008C7BFB" w:rsidRDefault="0013006D" w:rsidP="005B53DA">
            <w:pPr>
              <w:pStyle w:val="TableText"/>
              <w:keepLines/>
              <w:jc w:val="center"/>
              <w:rPr>
                <w:b/>
                <w:bCs w:val="0"/>
              </w:rPr>
            </w:pPr>
            <w:r>
              <w:rPr>
                <w:b/>
                <w:bCs w:val="0"/>
              </w:rPr>
              <w:t>2.46 (1.93, 3.13)</w:t>
            </w:r>
          </w:p>
        </w:tc>
        <w:tc>
          <w:tcPr>
            <w:tcW w:w="853" w:type="pct"/>
          </w:tcPr>
          <w:p w14:paraId="2236DE82" w14:textId="77777777" w:rsidR="0013006D" w:rsidRPr="008C7BFB" w:rsidRDefault="0013006D" w:rsidP="005B53DA">
            <w:pPr>
              <w:pStyle w:val="TableText"/>
              <w:keepLines/>
              <w:jc w:val="center"/>
              <w:rPr>
                <w:b/>
                <w:bCs w:val="0"/>
              </w:rPr>
            </w:pPr>
            <w:r>
              <w:rPr>
                <w:b/>
                <w:bCs w:val="0"/>
              </w:rPr>
              <w:t>1.77 (1.51, 2.07)</w:t>
            </w:r>
          </w:p>
        </w:tc>
        <w:tc>
          <w:tcPr>
            <w:tcW w:w="809" w:type="pct"/>
          </w:tcPr>
          <w:p w14:paraId="2E02F7D8" w14:textId="77777777" w:rsidR="0013006D" w:rsidRPr="008C7BFB" w:rsidRDefault="0013006D" w:rsidP="005B53DA">
            <w:pPr>
              <w:pStyle w:val="TableText"/>
              <w:keepLines/>
              <w:jc w:val="center"/>
              <w:rPr>
                <w:b/>
                <w:bCs w:val="0"/>
              </w:rPr>
            </w:pPr>
            <w:r>
              <w:rPr>
                <w:b/>
                <w:bCs w:val="0"/>
              </w:rPr>
              <w:t>0.20 (0.15, 0.26)</w:t>
            </w:r>
          </w:p>
        </w:tc>
      </w:tr>
      <w:tr w:rsidR="0013006D" w:rsidRPr="00B1011F" w14:paraId="65741643" w14:textId="77777777" w:rsidTr="005B53DA">
        <w:tc>
          <w:tcPr>
            <w:tcW w:w="2407" w:type="pct"/>
            <w:gridSpan w:val="3"/>
            <w:vAlign w:val="center"/>
          </w:tcPr>
          <w:p w14:paraId="4A6270EC" w14:textId="77777777" w:rsidR="0013006D" w:rsidRDefault="0013006D" w:rsidP="005B53DA">
            <w:pPr>
              <w:pStyle w:val="TableText"/>
              <w:keepLines/>
              <w:jc w:val="right"/>
            </w:pPr>
            <w:r>
              <w:t>Heterogeneity I</w:t>
            </w:r>
            <w:r>
              <w:rPr>
                <w:vertAlign w:val="superscript"/>
              </w:rPr>
              <w:t>2</w:t>
            </w:r>
            <w:r>
              <w:t xml:space="preserve"> (p-value)</w:t>
            </w:r>
          </w:p>
        </w:tc>
        <w:tc>
          <w:tcPr>
            <w:tcW w:w="931" w:type="pct"/>
          </w:tcPr>
          <w:p w14:paraId="3D92F237" w14:textId="77777777" w:rsidR="0013006D" w:rsidRPr="00B1011F" w:rsidRDefault="0013006D" w:rsidP="005B53DA">
            <w:pPr>
              <w:pStyle w:val="TableText"/>
              <w:keepLines/>
              <w:jc w:val="center"/>
            </w:pPr>
            <w:r>
              <w:t>0% (0.47)</w:t>
            </w:r>
          </w:p>
        </w:tc>
        <w:tc>
          <w:tcPr>
            <w:tcW w:w="853" w:type="pct"/>
            <w:vAlign w:val="center"/>
          </w:tcPr>
          <w:p w14:paraId="4962F1B6" w14:textId="77777777" w:rsidR="0013006D" w:rsidRPr="00B1011F" w:rsidRDefault="0013006D" w:rsidP="005B53DA">
            <w:pPr>
              <w:pStyle w:val="TableText"/>
              <w:keepLines/>
              <w:jc w:val="center"/>
            </w:pPr>
            <w:r>
              <w:t>0% (0.74)</w:t>
            </w:r>
          </w:p>
        </w:tc>
        <w:tc>
          <w:tcPr>
            <w:tcW w:w="809" w:type="pct"/>
            <w:vAlign w:val="center"/>
          </w:tcPr>
          <w:p w14:paraId="73DFA2C3" w14:textId="77777777" w:rsidR="0013006D" w:rsidRPr="00B1011F" w:rsidRDefault="0013006D" w:rsidP="005B53DA">
            <w:pPr>
              <w:pStyle w:val="TableText"/>
              <w:keepLines/>
              <w:jc w:val="center"/>
            </w:pPr>
            <w:r>
              <w:t>0% (0.29)</w:t>
            </w:r>
          </w:p>
        </w:tc>
      </w:tr>
    </w:tbl>
    <w:p w14:paraId="2CD1841C" w14:textId="4DAEB93C" w:rsidR="002E2DEA" w:rsidRPr="00B1011F" w:rsidRDefault="002E2DEA" w:rsidP="002E2DEA">
      <w:pPr>
        <w:pStyle w:val="TableFigureFooter"/>
        <w:rPr>
          <w:sz w:val="20"/>
        </w:rPr>
      </w:pPr>
      <w:r>
        <w:t>Source: Table 2-19 p75; Table 2-20, p77</w:t>
      </w:r>
      <w:r w:rsidR="007D3AC6">
        <w:t>; Table 2-21, p78</w:t>
      </w:r>
      <w:r w:rsidR="0013006D">
        <w:t>; Table 2-22, p79</w:t>
      </w:r>
      <w:r>
        <w:t xml:space="preserve"> </w:t>
      </w:r>
      <w:r w:rsidRPr="00D13A3E">
        <w:t xml:space="preserve">of the </w:t>
      </w:r>
      <w:r>
        <w:t>submission.</w:t>
      </w:r>
    </w:p>
    <w:p w14:paraId="7CC5E0EA" w14:textId="5E5F29EA" w:rsidR="002E2DEA" w:rsidRDefault="002E2DEA" w:rsidP="002E2DEA">
      <w:pPr>
        <w:pStyle w:val="TableFigureFooter"/>
        <w:rPr>
          <w:rFonts w:eastAsia="Calibri"/>
        </w:rPr>
      </w:pPr>
      <w:r>
        <w:rPr>
          <w:rFonts w:eastAsia="Calibri"/>
        </w:rPr>
        <w:t xml:space="preserve">Abbreviations: </w:t>
      </w:r>
      <w:r w:rsidR="00754059">
        <w:rPr>
          <w:rFonts w:eastAsia="Calibri"/>
        </w:rPr>
        <w:t xml:space="preserve">ACR, American College of Rheumatology; </w:t>
      </w:r>
      <w:r w:rsidRPr="00B40358">
        <w:rPr>
          <w:rFonts w:eastAsia="Calibri"/>
        </w:rPr>
        <w:t>CI</w:t>
      </w:r>
      <w:r>
        <w:rPr>
          <w:rFonts w:eastAsia="Calibri"/>
        </w:rPr>
        <w:t>,</w:t>
      </w:r>
      <w:r w:rsidRPr="00B40358">
        <w:rPr>
          <w:rFonts w:eastAsia="Calibri"/>
        </w:rPr>
        <w:t xml:space="preserve"> confidence interval; </w:t>
      </w:r>
      <w:r>
        <w:rPr>
          <w:rFonts w:eastAsia="Calibri"/>
        </w:rPr>
        <w:t>FAS, full analysis set</w:t>
      </w:r>
      <w:r w:rsidR="00754059">
        <w:rPr>
          <w:rFonts w:eastAsia="Calibri"/>
        </w:rPr>
        <w:t>;</w:t>
      </w:r>
      <w:r w:rsidR="00754059" w:rsidRPr="00754059">
        <w:rPr>
          <w:rFonts w:eastAsia="Calibri"/>
        </w:rPr>
        <w:t xml:space="preserve"> </w:t>
      </w:r>
      <w:r w:rsidR="00B45FEB">
        <w:rPr>
          <w:rFonts w:eastAsia="Calibri"/>
        </w:rPr>
        <w:t>HAQ-DI, Health Assessment Questionnaire – Disability Index;</w:t>
      </w:r>
      <w:r w:rsidR="00B45FEB" w:rsidRPr="00377A5B">
        <w:rPr>
          <w:rFonts w:eastAsia="Calibri"/>
        </w:rPr>
        <w:t xml:space="preserve"> </w:t>
      </w:r>
      <w:r w:rsidR="00754059" w:rsidRPr="00377A5B">
        <w:rPr>
          <w:rFonts w:eastAsia="Calibri"/>
        </w:rPr>
        <w:t>PASI, Psoriasis Area and Severity Index</w:t>
      </w:r>
    </w:p>
    <w:p w14:paraId="333C05D0" w14:textId="00B2A6C1" w:rsidR="002E2DEA" w:rsidRDefault="002E2DEA" w:rsidP="002E2DEA">
      <w:pPr>
        <w:pStyle w:val="TableFigureFooter"/>
        <w:rPr>
          <w:rFonts w:eastAsia="Calibri"/>
        </w:rPr>
      </w:pPr>
      <w:r w:rsidRPr="00760F9E">
        <w:rPr>
          <w:rFonts w:eastAsia="Calibri"/>
          <w:b/>
        </w:rPr>
        <w:t>Bold</w:t>
      </w:r>
      <w:r>
        <w:rPr>
          <w:rFonts w:eastAsia="Calibri"/>
        </w:rPr>
        <w:t xml:space="preserve"> indicates statistically significant results</w:t>
      </w:r>
    </w:p>
    <w:p w14:paraId="26783EBF" w14:textId="72F240A5" w:rsidR="0013006D" w:rsidRDefault="0013006D" w:rsidP="002E2DEA">
      <w:pPr>
        <w:pStyle w:val="TableFigureFooter"/>
        <w:rPr>
          <w:rFonts w:eastAsia="Calibri"/>
        </w:rPr>
      </w:pPr>
      <w:proofErr w:type="spellStart"/>
      <w:r>
        <w:rPr>
          <w:vertAlign w:val="superscript"/>
        </w:rPr>
        <w:t>a</w:t>
      </w:r>
      <w:proofErr w:type="spellEnd"/>
      <w:r>
        <w:t> The PASI75 outcome was only measured in patients with at least 3% of their body surface area (BSA) affected by psoriasis at baseline.</w:t>
      </w:r>
    </w:p>
    <w:p w14:paraId="30480937" w14:textId="63C9DD00" w:rsidR="002E2DEA" w:rsidRDefault="0013006D" w:rsidP="002E2DEA">
      <w:pPr>
        <w:pStyle w:val="TableFigureFooter"/>
        <w:rPr>
          <w:rFonts w:eastAsia="Calibri"/>
        </w:rPr>
      </w:pPr>
      <w:r>
        <w:rPr>
          <w:rFonts w:eastAsia="Calibri"/>
          <w:vertAlign w:val="superscript"/>
        </w:rPr>
        <w:t xml:space="preserve">b </w:t>
      </w:r>
      <w:proofErr w:type="gramStart"/>
      <w:r>
        <w:rPr>
          <w:rFonts w:eastAsia="Calibri"/>
        </w:rPr>
        <w:t>The</w:t>
      </w:r>
      <w:proofErr w:type="gramEnd"/>
      <w:r>
        <w:rPr>
          <w:rFonts w:eastAsia="Calibri"/>
        </w:rPr>
        <w:t xml:space="preserve"> analysis for HAQ-DI improvement at Week 24 is in patients with a HAQ-DI score of at least 0.35 at baseline. </w:t>
      </w:r>
      <w:r w:rsidRPr="009D49EE">
        <w:rPr>
          <w:rFonts w:eastAsia="Calibri"/>
        </w:rPr>
        <w:t>The clinically meaningful improvement in HAQ-DI is defined as change from baseline ≤ -0.35.</w:t>
      </w:r>
    </w:p>
    <w:p w14:paraId="62F94E32" w14:textId="52304741" w:rsidR="00E15731" w:rsidRDefault="00E070D4" w:rsidP="00226307">
      <w:pPr>
        <w:pStyle w:val="ExecSumBodyText"/>
        <w:ind w:left="709" w:hanging="709"/>
      </w:pPr>
      <w:r>
        <w:t xml:space="preserve">A statistically significantly greater proportion of risankizumab-treated patients </w:t>
      </w:r>
      <w:r w:rsidR="00BA6FFD">
        <w:t xml:space="preserve">compared to those treated with placebo </w:t>
      </w:r>
      <w:r>
        <w:t xml:space="preserve">achieved all </w:t>
      </w:r>
      <w:r w:rsidR="00BA6FFD">
        <w:t>key efficacy outcomes at Week 24 in both risankizumab trials. Meta-analysed results for each outcome were also statistically significantly different in favour of risankizumab, with low heterogeneity across the trials</w:t>
      </w:r>
      <w:r w:rsidR="001302B3">
        <w:t>.</w:t>
      </w:r>
    </w:p>
    <w:p w14:paraId="1B5E1EB6" w14:textId="018AF659" w:rsidR="00EC30AD" w:rsidRPr="00D8428B" w:rsidRDefault="00EC30AD" w:rsidP="00EC30AD">
      <w:pPr>
        <w:pStyle w:val="4-SubsectSubhead"/>
      </w:pPr>
      <w:r>
        <w:t xml:space="preserve">Risankizumab versus </w:t>
      </w:r>
      <w:proofErr w:type="spellStart"/>
      <w:r>
        <w:t>guselkumab</w:t>
      </w:r>
      <w:proofErr w:type="spellEnd"/>
    </w:p>
    <w:p w14:paraId="05855D1A" w14:textId="1922B2E3" w:rsidR="00E15731" w:rsidRPr="00F02B3C" w:rsidRDefault="00E15731" w:rsidP="00226307">
      <w:pPr>
        <w:pStyle w:val="ExecSumBodyText"/>
        <w:ind w:left="709" w:hanging="709"/>
      </w:pPr>
      <w:r w:rsidRPr="00771588">
        <w:t>The submission conducted an indirect comparison of efficacy and safety data from the meta-analysed risankizumab trials (</w:t>
      </w:r>
      <w:proofErr w:type="spellStart"/>
      <w:r w:rsidRPr="00771588">
        <w:t>KEEPsAKE</w:t>
      </w:r>
      <w:proofErr w:type="spellEnd"/>
      <w:r w:rsidRPr="00771588">
        <w:t xml:space="preserve"> 1 and </w:t>
      </w:r>
      <w:proofErr w:type="spellStart"/>
      <w:r w:rsidRPr="00771588">
        <w:t>KEEPsAKE</w:t>
      </w:r>
      <w:proofErr w:type="spellEnd"/>
      <w:r w:rsidRPr="00771588">
        <w:t xml:space="preserve"> 2), and the meta-analysed </w:t>
      </w:r>
      <w:proofErr w:type="spellStart"/>
      <w:r w:rsidRPr="00771588">
        <w:t>guselkumab</w:t>
      </w:r>
      <w:proofErr w:type="spellEnd"/>
      <w:r w:rsidRPr="00771588">
        <w:t xml:space="preserve"> trials (DISCOVER 2 and DISCOVER 1). The submission noted that the main concern with the included trial data was the potential for heterogeneity due to the different inclusion criteria in terms of patient treatment experience</w:t>
      </w:r>
      <w:r>
        <w:t xml:space="preserve">. </w:t>
      </w:r>
      <w:r w:rsidRPr="00972894">
        <w:t xml:space="preserve">The submission argued that the low heterogeneity observed across the trials for each treatment when meta-analysed indicated that the different trial populations did not cause any significant impact to the measure of comparative treatment effect for risankizumab versus </w:t>
      </w:r>
      <w:proofErr w:type="spellStart"/>
      <w:r w:rsidRPr="00972894">
        <w:t>guselkumab</w:t>
      </w:r>
      <w:proofErr w:type="spellEnd"/>
      <w:r w:rsidRPr="00972894">
        <w:t>.</w:t>
      </w:r>
      <w:r>
        <w:t xml:space="preserve"> </w:t>
      </w:r>
      <w:r w:rsidRPr="00F02B3C">
        <w:t xml:space="preserve">Low heterogeneity within the risankizumab and </w:t>
      </w:r>
      <w:proofErr w:type="spellStart"/>
      <w:r w:rsidRPr="00F02B3C">
        <w:t>guselkumab</w:t>
      </w:r>
      <w:proofErr w:type="spellEnd"/>
      <w:r w:rsidRPr="00F02B3C">
        <w:t xml:space="preserve"> trials and between prior treatment subgroups in the </w:t>
      </w:r>
      <w:proofErr w:type="spellStart"/>
      <w:r w:rsidRPr="00F02B3C">
        <w:t>KEEPsAKE</w:t>
      </w:r>
      <w:proofErr w:type="spellEnd"/>
      <w:r w:rsidRPr="00F02B3C">
        <w:t xml:space="preserve"> 2 trial, and comparable event rates across placebo arms, suggest that it was reasonable to conduct an indirect comparison between the risankizumab and </w:t>
      </w:r>
      <w:proofErr w:type="spellStart"/>
      <w:r w:rsidRPr="00F02B3C">
        <w:t>guselkumab</w:t>
      </w:r>
      <w:proofErr w:type="spellEnd"/>
      <w:r w:rsidRPr="00F02B3C">
        <w:t xml:space="preserve"> trials.</w:t>
      </w:r>
    </w:p>
    <w:p w14:paraId="6FC081EA" w14:textId="2DEEA9AB" w:rsidR="00E15731" w:rsidRDefault="00E15731" w:rsidP="00226307">
      <w:pPr>
        <w:pStyle w:val="ExecSumBodyText"/>
        <w:ind w:left="709" w:hanging="709"/>
      </w:pPr>
      <w:r w:rsidRPr="00032EDE">
        <w:lastRenderedPageBreak/>
        <w:t xml:space="preserve">Results of the indirect comparison of risankizumab and </w:t>
      </w:r>
      <w:proofErr w:type="spellStart"/>
      <w:r w:rsidRPr="00032EDE">
        <w:t>guselkumab</w:t>
      </w:r>
      <w:proofErr w:type="spellEnd"/>
      <w:r w:rsidRPr="00032EDE">
        <w:t xml:space="preserve"> for efficacy outcomes are presented in </w:t>
      </w:r>
      <w:r>
        <w:t>the table below</w:t>
      </w:r>
      <w:r w:rsidRPr="00032EDE">
        <w:t>.</w:t>
      </w:r>
    </w:p>
    <w:p w14:paraId="3C0638D3" w14:textId="3947DCB3" w:rsidR="00B941E2" w:rsidRPr="0089275D" w:rsidRDefault="00B941E2" w:rsidP="00B941E2">
      <w:pPr>
        <w:pStyle w:val="Caption"/>
      </w:pPr>
      <w:r w:rsidRPr="0089275D">
        <w:t>Table</w:t>
      </w:r>
      <w:r>
        <w:t xml:space="preserve"> </w:t>
      </w:r>
      <w:fldSimple w:instr=" SEQ Table \* ARABIC ">
        <w:r w:rsidR="00001652">
          <w:rPr>
            <w:noProof/>
          </w:rPr>
          <w:t>5</w:t>
        </w:r>
      </w:fldSimple>
      <w:r w:rsidRPr="0089275D">
        <w:t>: Summary of results of the indirect comparison</w:t>
      </w:r>
      <w:r>
        <w:t xml:space="preserve"> of risankizumab and </w:t>
      </w:r>
      <w:proofErr w:type="spellStart"/>
      <w:r>
        <w:t>guselkumab</w:t>
      </w:r>
      <w:proofErr w:type="spellEnd"/>
      <w:r w:rsidRPr="0089275D">
        <w:t xml:space="preserve"> for </w:t>
      </w:r>
      <w:r>
        <w:t>efficacy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67"/>
        <w:gridCol w:w="1360"/>
        <w:gridCol w:w="1545"/>
        <w:gridCol w:w="1603"/>
        <w:gridCol w:w="1517"/>
      </w:tblGrid>
      <w:tr w:rsidR="00B941E2" w:rsidRPr="0012305B" w14:paraId="28B4FA64" w14:textId="77777777" w:rsidTr="005B53DA">
        <w:trPr>
          <w:tblHeader/>
        </w:trPr>
        <w:tc>
          <w:tcPr>
            <w:tcW w:w="1668" w:type="dxa"/>
            <w:vAlign w:val="center"/>
          </w:tcPr>
          <w:p w14:paraId="55BEC8EC" w14:textId="77777777" w:rsidR="00B941E2" w:rsidRPr="0012305B" w:rsidRDefault="00B941E2" w:rsidP="007C2792">
            <w:pPr>
              <w:pStyle w:val="Tableheadingrow"/>
            </w:pPr>
            <w:r>
              <w:t>Comparison</w:t>
            </w:r>
          </w:p>
        </w:tc>
        <w:tc>
          <w:tcPr>
            <w:tcW w:w="1417" w:type="dxa"/>
            <w:vAlign w:val="center"/>
          </w:tcPr>
          <w:p w14:paraId="132EF083" w14:textId="77777777" w:rsidR="00B941E2" w:rsidRDefault="00B941E2" w:rsidP="007C2792">
            <w:pPr>
              <w:pStyle w:val="Tableheadingrow"/>
              <w:jc w:val="center"/>
            </w:pPr>
            <w:proofErr w:type="spellStart"/>
            <w:r>
              <w:t>bDMARD</w:t>
            </w:r>
            <w:proofErr w:type="spellEnd"/>
          </w:p>
          <w:p w14:paraId="0ACD7EDA" w14:textId="77777777" w:rsidR="00B941E2" w:rsidRPr="0012305B" w:rsidRDefault="00B941E2" w:rsidP="007C2792">
            <w:pPr>
              <w:pStyle w:val="Tableheadingrow"/>
              <w:jc w:val="center"/>
            </w:pPr>
            <w:r>
              <w:t>n/N (%)</w:t>
            </w:r>
          </w:p>
        </w:tc>
        <w:tc>
          <w:tcPr>
            <w:tcW w:w="1418" w:type="dxa"/>
            <w:vAlign w:val="center"/>
          </w:tcPr>
          <w:p w14:paraId="08881996" w14:textId="77777777" w:rsidR="00B941E2" w:rsidRDefault="00B941E2" w:rsidP="007C2792">
            <w:pPr>
              <w:pStyle w:val="Tableheadingrow"/>
              <w:jc w:val="center"/>
            </w:pPr>
            <w:r>
              <w:t>Placebo</w:t>
            </w:r>
          </w:p>
          <w:p w14:paraId="684A3F4B" w14:textId="77777777" w:rsidR="00B941E2" w:rsidRPr="0012305B" w:rsidRDefault="00B941E2" w:rsidP="007C2792">
            <w:pPr>
              <w:pStyle w:val="Tableheadingrow"/>
              <w:jc w:val="center"/>
            </w:pPr>
            <w:r>
              <w:t>n/N (%)</w:t>
            </w:r>
          </w:p>
        </w:tc>
        <w:tc>
          <w:tcPr>
            <w:tcW w:w="1595" w:type="dxa"/>
            <w:vAlign w:val="center"/>
          </w:tcPr>
          <w:p w14:paraId="036B1C1B" w14:textId="77777777" w:rsidR="00B941E2" w:rsidRDefault="00B941E2" w:rsidP="007C2792">
            <w:pPr>
              <w:pStyle w:val="Tableheadingrow"/>
              <w:jc w:val="center"/>
            </w:pPr>
            <w:r>
              <w:t>Odds ratio</w:t>
            </w:r>
          </w:p>
          <w:p w14:paraId="3F21F4F3" w14:textId="77777777" w:rsidR="00B941E2" w:rsidRPr="0012305B" w:rsidRDefault="00B941E2" w:rsidP="007C2792">
            <w:pPr>
              <w:pStyle w:val="Tableheadingrow"/>
              <w:jc w:val="center"/>
            </w:pPr>
            <w:r>
              <w:t>(95% CI)</w:t>
            </w:r>
          </w:p>
        </w:tc>
        <w:tc>
          <w:tcPr>
            <w:tcW w:w="1688" w:type="dxa"/>
            <w:vAlign w:val="center"/>
          </w:tcPr>
          <w:p w14:paraId="14BEF083" w14:textId="77777777" w:rsidR="00B941E2" w:rsidRDefault="00B941E2" w:rsidP="007C2792">
            <w:pPr>
              <w:pStyle w:val="Tableheadingrow"/>
              <w:jc w:val="center"/>
            </w:pPr>
            <w:r>
              <w:t>Relative risk</w:t>
            </w:r>
          </w:p>
          <w:p w14:paraId="7C1D8A15" w14:textId="77777777" w:rsidR="00B941E2" w:rsidRPr="0012305B" w:rsidRDefault="00B941E2" w:rsidP="007C2792">
            <w:pPr>
              <w:pStyle w:val="Tableheadingrow"/>
              <w:jc w:val="center"/>
            </w:pPr>
            <w:r>
              <w:t>(95% CI)</w:t>
            </w:r>
          </w:p>
        </w:tc>
        <w:tc>
          <w:tcPr>
            <w:tcW w:w="1575" w:type="dxa"/>
            <w:shd w:val="clear" w:color="auto" w:fill="auto"/>
            <w:vAlign w:val="center"/>
          </w:tcPr>
          <w:p w14:paraId="14474630" w14:textId="77777777" w:rsidR="00B941E2" w:rsidRDefault="00B941E2" w:rsidP="007C2792">
            <w:pPr>
              <w:pStyle w:val="Tableheadingrow"/>
              <w:jc w:val="center"/>
            </w:pPr>
            <w:r>
              <w:t>Risk difference</w:t>
            </w:r>
          </w:p>
          <w:p w14:paraId="0D5C4AF9" w14:textId="77777777" w:rsidR="00B941E2" w:rsidRPr="0012305B" w:rsidRDefault="00B941E2" w:rsidP="007C2792">
            <w:pPr>
              <w:pStyle w:val="Tableheadingrow"/>
              <w:jc w:val="center"/>
            </w:pPr>
            <w:r>
              <w:t>(95% CI)</w:t>
            </w:r>
          </w:p>
        </w:tc>
      </w:tr>
      <w:tr w:rsidR="00B941E2" w:rsidRPr="0012305B" w14:paraId="2B0674AE" w14:textId="77777777" w:rsidTr="005B53DA">
        <w:trPr>
          <w:tblHeader/>
        </w:trPr>
        <w:tc>
          <w:tcPr>
            <w:tcW w:w="9361" w:type="dxa"/>
            <w:gridSpan w:val="6"/>
            <w:vAlign w:val="center"/>
          </w:tcPr>
          <w:p w14:paraId="41F69031" w14:textId="77777777" w:rsidR="00B941E2" w:rsidRPr="0012305B" w:rsidRDefault="00B941E2" w:rsidP="007C2792">
            <w:pPr>
              <w:pStyle w:val="Tableheadingrow"/>
            </w:pPr>
            <w:r>
              <w:t>ACR20 response at Week 24 (non-inferiority margin 0.46 for RR)</w:t>
            </w:r>
          </w:p>
        </w:tc>
      </w:tr>
      <w:tr w:rsidR="00B941E2" w:rsidRPr="00823081" w14:paraId="3FE2902A" w14:textId="77777777" w:rsidTr="005B53DA">
        <w:tc>
          <w:tcPr>
            <w:tcW w:w="1668" w:type="dxa"/>
            <w:vAlign w:val="center"/>
          </w:tcPr>
          <w:p w14:paraId="31B6F8A0" w14:textId="77777777" w:rsidR="00B941E2" w:rsidRPr="00823081" w:rsidRDefault="00B941E2" w:rsidP="007C2792">
            <w:pPr>
              <w:pStyle w:val="TableText"/>
            </w:pPr>
            <w:r w:rsidRPr="00823081">
              <w:t>Risankizumab</w:t>
            </w:r>
          </w:p>
        </w:tc>
        <w:tc>
          <w:tcPr>
            <w:tcW w:w="1417" w:type="dxa"/>
            <w:vAlign w:val="center"/>
          </w:tcPr>
          <w:p w14:paraId="536CDB8E" w14:textId="77777777" w:rsidR="00B941E2" w:rsidRPr="00823081" w:rsidRDefault="00B941E2" w:rsidP="007C2792">
            <w:pPr>
              <w:pStyle w:val="TableText"/>
              <w:jc w:val="center"/>
              <w:rPr>
                <w:szCs w:val="20"/>
              </w:rPr>
            </w:pPr>
            <w:r w:rsidRPr="00823081">
              <w:rPr>
                <w:rFonts w:cstheme="minorHAnsi"/>
                <w:szCs w:val="20"/>
              </w:rPr>
              <w:t>392/707 (55.5)</w:t>
            </w:r>
          </w:p>
        </w:tc>
        <w:tc>
          <w:tcPr>
            <w:tcW w:w="1418" w:type="dxa"/>
            <w:vAlign w:val="center"/>
          </w:tcPr>
          <w:p w14:paraId="122FB0BA" w14:textId="77777777" w:rsidR="00B941E2" w:rsidRPr="00823081" w:rsidRDefault="00B941E2" w:rsidP="007C2792">
            <w:pPr>
              <w:pStyle w:val="TableText"/>
              <w:jc w:val="center"/>
              <w:rPr>
                <w:szCs w:val="20"/>
              </w:rPr>
            </w:pPr>
            <w:r w:rsidRPr="00823081">
              <w:rPr>
                <w:rFonts w:cstheme="minorHAnsi"/>
                <w:szCs w:val="20"/>
              </w:rPr>
              <w:t>219/700 (31.</w:t>
            </w:r>
            <w:r>
              <w:rPr>
                <w:rFonts w:cstheme="minorHAnsi"/>
                <w:szCs w:val="20"/>
              </w:rPr>
              <w:t>3</w:t>
            </w:r>
            <w:r w:rsidRPr="00823081">
              <w:rPr>
                <w:rFonts w:cstheme="minorHAnsi"/>
                <w:szCs w:val="20"/>
              </w:rPr>
              <w:t>)</w:t>
            </w:r>
          </w:p>
        </w:tc>
        <w:tc>
          <w:tcPr>
            <w:tcW w:w="1595" w:type="dxa"/>
          </w:tcPr>
          <w:p w14:paraId="4A9B96C0" w14:textId="77777777" w:rsidR="00B941E2" w:rsidRPr="00B8268F" w:rsidRDefault="00B941E2" w:rsidP="007C2792">
            <w:pPr>
              <w:pStyle w:val="TableText"/>
              <w:jc w:val="center"/>
              <w:rPr>
                <w:szCs w:val="20"/>
              </w:rPr>
            </w:pPr>
            <w:r w:rsidRPr="00B8268F">
              <w:t>2.75 (2.21, 3.42)</w:t>
            </w:r>
          </w:p>
        </w:tc>
        <w:tc>
          <w:tcPr>
            <w:tcW w:w="1688" w:type="dxa"/>
          </w:tcPr>
          <w:p w14:paraId="4DF33305" w14:textId="77777777" w:rsidR="00B941E2" w:rsidRPr="00B8268F" w:rsidRDefault="00B941E2" w:rsidP="007C2792">
            <w:pPr>
              <w:pStyle w:val="TableText"/>
              <w:jc w:val="center"/>
              <w:rPr>
                <w:szCs w:val="20"/>
              </w:rPr>
            </w:pPr>
            <w:r w:rsidRPr="00B8268F">
              <w:t>1.77 (1.56, 2.01)</w:t>
            </w:r>
          </w:p>
        </w:tc>
        <w:tc>
          <w:tcPr>
            <w:tcW w:w="1575" w:type="dxa"/>
            <w:shd w:val="clear" w:color="auto" w:fill="auto"/>
          </w:tcPr>
          <w:p w14:paraId="05F9168B" w14:textId="77777777" w:rsidR="00B941E2" w:rsidRPr="00B8268F" w:rsidRDefault="00B941E2" w:rsidP="007C2792">
            <w:pPr>
              <w:pStyle w:val="TableText"/>
              <w:jc w:val="center"/>
              <w:rPr>
                <w:szCs w:val="20"/>
              </w:rPr>
            </w:pPr>
            <w:r w:rsidRPr="00B8268F">
              <w:t>0.24 (0.19, 0.29)</w:t>
            </w:r>
          </w:p>
        </w:tc>
      </w:tr>
      <w:tr w:rsidR="00B941E2" w:rsidRPr="00823081" w14:paraId="4351B6BE" w14:textId="77777777" w:rsidTr="005B53DA">
        <w:tc>
          <w:tcPr>
            <w:tcW w:w="1668" w:type="dxa"/>
            <w:vAlign w:val="center"/>
          </w:tcPr>
          <w:p w14:paraId="71C1618A" w14:textId="77777777" w:rsidR="00B941E2" w:rsidRPr="00823081" w:rsidRDefault="00B941E2" w:rsidP="007C2792">
            <w:pPr>
              <w:pStyle w:val="TableText"/>
            </w:pPr>
            <w:proofErr w:type="spellStart"/>
            <w:r w:rsidRPr="00823081">
              <w:t>Guselkumab</w:t>
            </w:r>
            <w:proofErr w:type="spellEnd"/>
          </w:p>
        </w:tc>
        <w:tc>
          <w:tcPr>
            <w:tcW w:w="1417" w:type="dxa"/>
            <w:vAlign w:val="center"/>
          </w:tcPr>
          <w:p w14:paraId="22C7D383" w14:textId="77777777" w:rsidR="00B941E2" w:rsidRPr="00823081" w:rsidRDefault="00B941E2" w:rsidP="007C2792">
            <w:pPr>
              <w:pStyle w:val="TableText"/>
              <w:jc w:val="center"/>
              <w:rPr>
                <w:szCs w:val="20"/>
              </w:rPr>
            </w:pPr>
            <w:r w:rsidRPr="00823081">
              <w:rPr>
                <w:rFonts w:cstheme="minorHAnsi"/>
                <w:szCs w:val="20"/>
              </w:rPr>
              <w:t>225/375 (60.0)</w:t>
            </w:r>
          </w:p>
        </w:tc>
        <w:tc>
          <w:tcPr>
            <w:tcW w:w="1418" w:type="dxa"/>
            <w:vAlign w:val="center"/>
          </w:tcPr>
          <w:p w14:paraId="6709FD1D" w14:textId="77777777" w:rsidR="00B941E2" w:rsidRPr="00823081" w:rsidRDefault="00B941E2" w:rsidP="007C2792">
            <w:pPr>
              <w:pStyle w:val="TableText"/>
              <w:jc w:val="center"/>
              <w:rPr>
                <w:szCs w:val="20"/>
              </w:rPr>
            </w:pPr>
            <w:r w:rsidRPr="00823081">
              <w:rPr>
                <w:rFonts w:cstheme="minorHAnsi"/>
                <w:szCs w:val="20"/>
              </w:rPr>
              <w:t>109/372 (29.3)</w:t>
            </w:r>
          </w:p>
        </w:tc>
        <w:tc>
          <w:tcPr>
            <w:tcW w:w="1595" w:type="dxa"/>
          </w:tcPr>
          <w:p w14:paraId="0540280A" w14:textId="77777777" w:rsidR="00B941E2" w:rsidRPr="00823081" w:rsidRDefault="00B941E2" w:rsidP="007C2792">
            <w:pPr>
              <w:pStyle w:val="TableText"/>
              <w:jc w:val="center"/>
              <w:rPr>
                <w:szCs w:val="20"/>
              </w:rPr>
            </w:pPr>
            <w:r w:rsidRPr="00D47930">
              <w:t>3.69 (2.71, 5.01)</w:t>
            </w:r>
          </w:p>
        </w:tc>
        <w:tc>
          <w:tcPr>
            <w:tcW w:w="1688" w:type="dxa"/>
          </w:tcPr>
          <w:p w14:paraId="094CCDB2" w14:textId="77777777" w:rsidR="00B941E2" w:rsidRPr="00823081" w:rsidRDefault="00B941E2" w:rsidP="007C2792">
            <w:pPr>
              <w:pStyle w:val="TableText"/>
              <w:jc w:val="center"/>
              <w:rPr>
                <w:szCs w:val="20"/>
              </w:rPr>
            </w:pPr>
            <w:r w:rsidRPr="00D47930">
              <w:t>2.03 (1.70, 2.42)</w:t>
            </w:r>
          </w:p>
        </w:tc>
        <w:tc>
          <w:tcPr>
            <w:tcW w:w="1575" w:type="dxa"/>
            <w:shd w:val="clear" w:color="auto" w:fill="auto"/>
          </w:tcPr>
          <w:p w14:paraId="627BD2C5" w14:textId="77777777" w:rsidR="00B941E2" w:rsidRPr="00823081" w:rsidRDefault="00B941E2" w:rsidP="007C2792">
            <w:pPr>
              <w:pStyle w:val="TableText"/>
              <w:jc w:val="center"/>
              <w:rPr>
                <w:szCs w:val="20"/>
              </w:rPr>
            </w:pPr>
            <w:r w:rsidRPr="00D47930">
              <w:t>0.31 (0.24, 0.37)</w:t>
            </w:r>
          </w:p>
        </w:tc>
      </w:tr>
      <w:tr w:rsidR="00B941E2" w:rsidRPr="00823081" w14:paraId="1FD06740" w14:textId="77777777" w:rsidTr="005B53DA">
        <w:tc>
          <w:tcPr>
            <w:tcW w:w="1668" w:type="dxa"/>
            <w:vAlign w:val="center"/>
          </w:tcPr>
          <w:p w14:paraId="30DC756F" w14:textId="77777777" w:rsidR="00B941E2" w:rsidRPr="00823081" w:rsidRDefault="00B941E2" w:rsidP="007C2792">
            <w:pPr>
              <w:pStyle w:val="TableText"/>
            </w:pPr>
            <w:r>
              <w:t>Indirect comparison</w:t>
            </w:r>
          </w:p>
        </w:tc>
        <w:tc>
          <w:tcPr>
            <w:tcW w:w="1417" w:type="dxa"/>
            <w:vAlign w:val="center"/>
          </w:tcPr>
          <w:p w14:paraId="1491F812" w14:textId="77777777" w:rsidR="00B941E2" w:rsidRPr="00823081" w:rsidRDefault="00B941E2" w:rsidP="007C2792">
            <w:pPr>
              <w:pStyle w:val="TableText"/>
              <w:jc w:val="center"/>
              <w:rPr>
                <w:rFonts w:cstheme="minorHAnsi"/>
                <w:szCs w:val="20"/>
              </w:rPr>
            </w:pPr>
            <w:r>
              <w:rPr>
                <w:rFonts w:cstheme="minorHAnsi"/>
                <w:szCs w:val="20"/>
              </w:rPr>
              <w:t>-</w:t>
            </w:r>
          </w:p>
        </w:tc>
        <w:tc>
          <w:tcPr>
            <w:tcW w:w="1418" w:type="dxa"/>
            <w:vAlign w:val="center"/>
          </w:tcPr>
          <w:p w14:paraId="3EE68EB9" w14:textId="77777777" w:rsidR="00B941E2" w:rsidRPr="00823081" w:rsidRDefault="00B941E2" w:rsidP="007C2792">
            <w:pPr>
              <w:pStyle w:val="TableText"/>
              <w:jc w:val="center"/>
              <w:rPr>
                <w:rFonts w:cstheme="minorHAnsi"/>
                <w:szCs w:val="20"/>
              </w:rPr>
            </w:pPr>
            <w:r>
              <w:rPr>
                <w:rFonts w:cstheme="minorHAnsi"/>
                <w:szCs w:val="20"/>
              </w:rPr>
              <w:t>-</w:t>
            </w:r>
          </w:p>
        </w:tc>
        <w:tc>
          <w:tcPr>
            <w:tcW w:w="1595" w:type="dxa"/>
            <w:vAlign w:val="center"/>
          </w:tcPr>
          <w:p w14:paraId="2DFE3449" w14:textId="77777777" w:rsidR="00B941E2" w:rsidRPr="00823081" w:rsidRDefault="00B941E2" w:rsidP="007C2792">
            <w:pPr>
              <w:pStyle w:val="TableText"/>
              <w:jc w:val="center"/>
              <w:rPr>
                <w:szCs w:val="20"/>
              </w:rPr>
            </w:pPr>
            <w:r w:rsidRPr="00823081">
              <w:rPr>
                <w:rFonts w:cstheme="minorHAnsi"/>
                <w:szCs w:val="20"/>
              </w:rPr>
              <w:t>0.7</w:t>
            </w:r>
            <w:r>
              <w:rPr>
                <w:rFonts w:cstheme="minorHAnsi"/>
                <w:szCs w:val="20"/>
              </w:rPr>
              <w:t>5</w:t>
            </w:r>
            <w:r w:rsidRPr="00823081">
              <w:rPr>
                <w:rFonts w:cstheme="minorHAnsi"/>
                <w:szCs w:val="20"/>
              </w:rPr>
              <w:t xml:space="preserve"> </w:t>
            </w:r>
            <w:r>
              <w:rPr>
                <w:rFonts w:cstheme="minorHAnsi"/>
                <w:szCs w:val="20"/>
              </w:rPr>
              <w:t>(</w:t>
            </w:r>
            <w:r w:rsidRPr="00823081">
              <w:rPr>
                <w:rFonts w:cstheme="minorHAnsi"/>
                <w:szCs w:val="20"/>
              </w:rPr>
              <w:t>0.51, 1.0</w:t>
            </w:r>
            <w:r>
              <w:rPr>
                <w:rFonts w:cstheme="minorHAnsi"/>
                <w:szCs w:val="20"/>
              </w:rPr>
              <w:t>9)</w:t>
            </w:r>
          </w:p>
        </w:tc>
        <w:tc>
          <w:tcPr>
            <w:tcW w:w="1688" w:type="dxa"/>
            <w:vAlign w:val="center"/>
          </w:tcPr>
          <w:p w14:paraId="0C28AFA3" w14:textId="77777777" w:rsidR="00B941E2" w:rsidRPr="00823081" w:rsidRDefault="00B941E2" w:rsidP="007C2792">
            <w:pPr>
              <w:pStyle w:val="TableText"/>
              <w:jc w:val="center"/>
              <w:rPr>
                <w:szCs w:val="20"/>
              </w:rPr>
            </w:pPr>
            <w:r w:rsidRPr="00823081">
              <w:rPr>
                <w:rFonts w:cstheme="minorHAnsi"/>
                <w:szCs w:val="20"/>
              </w:rPr>
              <w:t>0.87</w:t>
            </w:r>
            <w:r>
              <w:rPr>
                <w:rFonts w:cstheme="minorHAnsi"/>
                <w:szCs w:val="20"/>
              </w:rPr>
              <w:t xml:space="preserve"> (</w:t>
            </w:r>
            <w:r w:rsidRPr="00823081">
              <w:rPr>
                <w:rFonts w:cstheme="minorHAnsi"/>
                <w:szCs w:val="20"/>
              </w:rPr>
              <w:t>0.70, 1.08</w:t>
            </w:r>
            <w:r>
              <w:rPr>
                <w:rFonts w:cstheme="minorHAnsi"/>
                <w:szCs w:val="20"/>
              </w:rPr>
              <w:t>)</w:t>
            </w:r>
          </w:p>
        </w:tc>
        <w:tc>
          <w:tcPr>
            <w:tcW w:w="1575" w:type="dxa"/>
            <w:shd w:val="clear" w:color="auto" w:fill="auto"/>
            <w:vAlign w:val="center"/>
          </w:tcPr>
          <w:p w14:paraId="0FE6AEE6" w14:textId="77777777" w:rsidR="00B941E2" w:rsidRPr="00823081" w:rsidRDefault="00B941E2" w:rsidP="007C2792">
            <w:pPr>
              <w:pStyle w:val="TableText"/>
              <w:jc w:val="center"/>
              <w:rPr>
                <w:szCs w:val="20"/>
              </w:rPr>
            </w:pPr>
            <w:r w:rsidRPr="00823081">
              <w:rPr>
                <w:rFonts w:cstheme="minorHAnsi"/>
                <w:szCs w:val="20"/>
              </w:rPr>
              <w:t xml:space="preserve">-0.07 </w:t>
            </w:r>
            <w:r>
              <w:rPr>
                <w:rFonts w:cstheme="minorHAnsi"/>
                <w:szCs w:val="20"/>
              </w:rPr>
              <w:t>(</w:t>
            </w:r>
            <w:r w:rsidRPr="00823081">
              <w:rPr>
                <w:rFonts w:cstheme="minorHAnsi"/>
                <w:szCs w:val="20"/>
              </w:rPr>
              <w:t>-0.15, 0.01</w:t>
            </w:r>
            <w:r>
              <w:rPr>
                <w:rFonts w:cstheme="minorHAnsi"/>
                <w:szCs w:val="20"/>
              </w:rPr>
              <w:t>)</w:t>
            </w:r>
          </w:p>
        </w:tc>
      </w:tr>
      <w:tr w:rsidR="00B941E2" w:rsidRPr="00823081" w14:paraId="75DFF914" w14:textId="77777777" w:rsidTr="005B53DA">
        <w:trPr>
          <w:tblHeader/>
        </w:trPr>
        <w:tc>
          <w:tcPr>
            <w:tcW w:w="9361" w:type="dxa"/>
            <w:gridSpan w:val="6"/>
            <w:vAlign w:val="center"/>
          </w:tcPr>
          <w:p w14:paraId="1915D6D9" w14:textId="77777777" w:rsidR="00B941E2" w:rsidRPr="00823081" w:rsidRDefault="00B941E2" w:rsidP="007C2792">
            <w:pPr>
              <w:pStyle w:val="Tableheadingrow"/>
              <w:rPr>
                <w:szCs w:val="20"/>
              </w:rPr>
            </w:pPr>
            <w:r w:rsidRPr="00823081">
              <w:rPr>
                <w:szCs w:val="20"/>
              </w:rPr>
              <w:t>ACR50 response at Week 24 (non-inferiority margin 0.29 for RR)</w:t>
            </w:r>
          </w:p>
        </w:tc>
      </w:tr>
      <w:tr w:rsidR="00B941E2" w:rsidRPr="00823081" w14:paraId="1914A45B" w14:textId="77777777" w:rsidTr="005B53DA">
        <w:tc>
          <w:tcPr>
            <w:tcW w:w="1668" w:type="dxa"/>
            <w:vAlign w:val="center"/>
          </w:tcPr>
          <w:p w14:paraId="2C636196" w14:textId="77777777" w:rsidR="00B941E2" w:rsidRPr="00823081" w:rsidRDefault="00B941E2" w:rsidP="007C2792">
            <w:pPr>
              <w:pStyle w:val="TableText"/>
            </w:pPr>
            <w:r w:rsidRPr="00823081">
              <w:t>Risankizumab</w:t>
            </w:r>
          </w:p>
        </w:tc>
        <w:tc>
          <w:tcPr>
            <w:tcW w:w="1417" w:type="dxa"/>
            <w:vAlign w:val="center"/>
          </w:tcPr>
          <w:p w14:paraId="7BA391ED" w14:textId="77777777" w:rsidR="00B941E2" w:rsidRPr="00823081" w:rsidRDefault="00B941E2" w:rsidP="007C2792">
            <w:pPr>
              <w:pStyle w:val="TableText"/>
              <w:jc w:val="center"/>
              <w:rPr>
                <w:szCs w:val="20"/>
              </w:rPr>
            </w:pPr>
            <w:r w:rsidRPr="00823081">
              <w:rPr>
                <w:rFonts w:cstheme="minorHAnsi"/>
                <w:szCs w:val="20"/>
              </w:rPr>
              <w:t>221/707 (31.</w:t>
            </w:r>
            <w:r>
              <w:rPr>
                <w:rFonts w:cstheme="minorHAnsi"/>
                <w:szCs w:val="20"/>
              </w:rPr>
              <w:t>3</w:t>
            </w:r>
            <w:r w:rsidRPr="00823081">
              <w:rPr>
                <w:rFonts w:cstheme="minorHAnsi"/>
                <w:szCs w:val="20"/>
              </w:rPr>
              <w:t>)</w:t>
            </w:r>
          </w:p>
        </w:tc>
        <w:tc>
          <w:tcPr>
            <w:tcW w:w="1418" w:type="dxa"/>
            <w:vAlign w:val="center"/>
          </w:tcPr>
          <w:p w14:paraId="4D223A84" w14:textId="77777777" w:rsidR="00B941E2" w:rsidRPr="00823081" w:rsidRDefault="00B941E2" w:rsidP="007C2792">
            <w:pPr>
              <w:pStyle w:val="TableText"/>
              <w:jc w:val="center"/>
              <w:rPr>
                <w:szCs w:val="20"/>
              </w:rPr>
            </w:pPr>
            <w:r w:rsidRPr="00823081">
              <w:rPr>
                <w:rFonts w:cstheme="minorHAnsi"/>
                <w:szCs w:val="20"/>
              </w:rPr>
              <w:t>74/700 (10.</w:t>
            </w:r>
            <w:r>
              <w:rPr>
                <w:rFonts w:cstheme="minorHAnsi"/>
                <w:szCs w:val="20"/>
              </w:rPr>
              <w:t>6</w:t>
            </w:r>
            <w:r w:rsidRPr="00823081">
              <w:rPr>
                <w:rFonts w:cstheme="minorHAnsi"/>
                <w:szCs w:val="20"/>
              </w:rPr>
              <w:t>)</w:t>
            </w:r>
          </w:p>
        </w:tc>
        <w:tc>
          <w:tcPr>
            <w:tcW w:w="1595" w:type="dxa"/>
          </w:tcPr>
          <w:p w14:paraId="352BB8E3" w14:textId="77777777" w:rsidR="00B941E2" w:rsidRPr="00B8268F" w:rsidRDefault="00B941E2" w:rsidP="007C2792">
            <w:pPr>
              <w:pStyle w:val="TableText"/>
              <w:jc w:val="center"/>
              <w:rPr>
                <w:szCs w:val="20"/>
              </w:rPr>
            </w:pPr>
            <w:r w:rsidRPr="00B8268F">
              <w:t>3.87 (2.89, 5.16)</w:t>
            </w:r>
          </w:p>
        </w:tc>
        <w:tc>
          <w:tcPr>
            <w:tcW w:w="1688" w:type="dxa"/>
            <w:vAlign w:val="center"/>
          </w:tcPr>
          <w:p w14:paraId="6960BB9F" w14:textId="77777777" w:rsidR="00B941E2" w:rsidRPr="00B8268F" w:rsidRDefault="00B941E2" w:rsidP="007C2792">
            <w:pPr>
              <w:pStyle w:val="TableText"/>
              <w:jc w:val="center"/>
              <w:rPr>
                <w:szCs w:val="20"/>
              </w:rPr>
            </w:pPr>
            <w:r w:rsidRPr="00B8268F">
              <w:t>2.96 (2.33, 3.77)</w:t>
            </w:r>
          </w:p>
        </w:tc>
        <w:tc>
          <w:tcPr>
            <w:tcW w:w="1575" w:type="dxa"/>
            <w:shd w:val="clear" w:color="auto" w:fill="auto"/>
            <w:vAlign w:val="center"/>
          </w:tcPr>
          <w:p w14:paraId="3F0AB6D3" w14:textId="77777777" w:rsidR="00B941E2" w:rsidRPr="00B8268F" w:rsidRDefault="00B941E2" w:rsidP="007C2792">
            <w:pPr>
              <w:pStyle w:val="TableText"/>
              <w:jc w:val="center"/>
              <w:rPr>
                <w:szCs w:val="20"/>
              </w:rPr>
            </w:pPr>
            <w:r w:rsidRPr="00B8268F">
              <w:t>0.20 (0.15, 0.25)</w:t>
            </w:r>
          </w:p>
        </w:tc>
      </w:tr>
      <w:tr w:rsidR="00B941E2" w:rsidRPr="00823081" w14:paraId="6E655E83" w14:textId="77777777" w:rsidTr="005B53DA">
        <w:tc>
          <w:tcPr>
            <w:tcW w:w="1668" w:type="dxa"/>
            <w:vAlign w:val="center"/>
          </w:tcPr>
          <w:p w14:paraId="47F1F985" w14:textId="77777777" w:rsidR="00B941E2" w:rsidRPr="00823081" w:rsidRDefault="00B941E2" w:rsidP="007C2792">
            <w:pPr>
              <w:pStyle w:val="TableText"/>
            </w:pPr>
            <w:proofErr w:type="spellStart"/>
            <w:r w:rsidRPr="00823081">
              <w:t>Guselkumab</w:t>
            </w:r>
            <w:proofErr w:type="spellEnd"/>
          </w:p>
        </w:tc>
        <w:tc>
          <w:tcPr>
            <w:tcW w:w="1417" w:type="dxa"/>
            <w:vAlign w:val="center"/>
          </w:tcPr>
          <w:p w14:paraId="28FE4194" w14:textId="77777777" w:rsidR="00B941E2" w:rsidRPr="00823081" w:rsidRDefault="00B941E2" w:rsidP="007C2792">
            <w:pPr>
              <w:pStyle w:val="TableText"/>
              <w:jc w:val="center"/>
              <w:rPr>
                <w:szCs w:val="20"/>
              </w:rPr>
            </w:pPr>
            <w:r w:rsidRPr="00823081">
              <w:rPr>
                <w:rFonts w:cstheme="minorHAnsi"/>
                <w:szCs w:val="20"/>
              </w:rPr>
              <w:t>116/375 (30.9)</w:t>
            </w:r>
          </w:p>
        </w:tc>
        <w:tc>
          <w:tcPr>
            <w:tcW w:w="1418" w:type="dxa"/>
            <w:vAlign w:val="center"/>
          </w:tcPr>
          <w:p w14:paraId="3D269193" w14:textId="77777777" w:rsidR="00B941E2" w:rsidRPr="00823081" w:rsidRDefault="00B941E2" w:rsidP="007C2792">
            <w:pPr>
              <w:pStyle w:val="TableText"/>
              <w:jc w:val="center"/>
              <w:rPr>
                <w:szCs w:val="20"/>
              </w:rPr>
            </w:pPr>
            <w:r w:rsidRPr="00823081">
              <w:rPr>
                <w:rFonts w:cstheme="minorHAnsi"/>
                <w:szCs w:val="20"/>
              </w:rPr>
              <w:t>46/372 (12.</w:t>
            </w:r>
            <w:r>
              <w:rPr>
                <w:rFonts w:cstheme="minorHAnsi"/>
                <w:szCs w:val="20"/>
              </w:rPr>
              <w:t>4</w:t>
            </w:r>
            <w:r w:rsidRPr="00823081">
              <w:rPr>
                <w:rFonts w:cstheme="minorHAnsi"/>
                <w:szCs w:val="20"/>
              </w:rPr>
              <w:t>)</w:t>
            </w:r>
          </w:p>
        </w:tc>
        <w:tc>
          <w:tcPr>
            <w:tcW w:w="1595" w:type="dxa"/>
          </w:tcPr>
          <w:p w14:paraId="0BAB80D5" w14:textId="77777777" w:rsidR="00B941E2" w:rsidRPr="00823081" w:rsidRDefault="00B941E2" w:rsidP="007C2792">
            <w:pPr>
              <w:pStyle w:val="TableText"/>
              <w:jc w:val="center"/>
              <w:rPr>
                <w:szCs w:val="20"/>
              </w:rPr>
            </w:pPr>
            <w:r w:rsidRPr="008B5A85">
              <w:t>3.22 (2.08, 4.97)</w:t>
            </w:r>
          </w:p>
        </w:tc>
        <w:tc>
          <w:tcPr>
            <w:tcW w:w="1688" w:type="dxa"/>
          </w:tcPr>
          <w:p w14:paraId="4D7A2958" w14:textId="77777777" w:rsidR="00B941E2" w:rsidRPr="00823081" w:rsidRDefault="00B941E2" w:rsidP="007C2792">
            <w:pPr>
              <w:pStyle w:val="TableText"/>
              <w:jc w:val="center"/>
              <w:rPr>
                <w:szCs w:val="20"/>
              </w:rPr>
            </w:pPr>
            <w:r w:rsidRPr="008B5A85">
              <w:t>2.55 (1.70, 3.81)</w:t>
            </w:r>
          </w:p>
        </w:tc>
        <w:tc>
          <w:tcPr>
            <w:tcW w:w="1575" w:type="dxa"/>
            <w:shd w:val="clear" w:color="auto" w:fill="auto"/>
          </w:tcPr>
          <w:p w14:paraId="6290F71F" w14:textId="77777777" w:rsidR="00B941E2" w:rsidRPr="00823081" w:rsidRDefault="00B941E2" w:rsidP="007C2792">
            <w:pPr>
              <w:pStyle w:val="TableText"/>
              <w:jc w:val="center"/>
              <w:rPr>
                <w:szCs w:val="20"/>
              </w:rPr>
            </w:pPr>
            <w:r w:rsidRPr="008B5A85">
              <w:t>0.19 (0.13, 0.24)</w:t>
            </w:r>
          </w:p>
        </w:tc>
      </w:tr>
      <w:tr w:rsidR="00B941E2" w:rsidRPr="00823081" w14:paraId="50CD4A9D" w14:textId="77777777" w:rsidTr="005B53DA">
        <w:tc>
          <w:tcPr>
            <w:tcW w:w="1668" w:type="dxa"/>
            <w:vAlign w:val="center"/>
          </w:tcPr>
          <w:p w14:paraId="41E7CA44" w14:textId="77777777" w:rsidR="00B941E2" w:rsidRPr="00823081" w:rsidRDefault="00B941E2" w:rsidP="007C2792">
            <w:pPr>
              <w:pStyle w:val="TableText"/>
            </w:pPr>
            <w:r>
              <w:t>Indirect comparison</w:t>
            </w:r>
          </w:p>
        </w:tc>
        <w:tc>
          <w:tcPr>
            <w:tcW w:w="1417" w:type="dxa"/>
            <w:vAlign w:val="center"/>
          </w:tcPr>
          <w:p w14:paraId="74476426" w14:textId="77777777" w:rsidR="00B941E2" w:rsidRPr="00823081" w:rsidRDefault="00B941E2" w:rsidP="007C2792">
            <w:pPr>
              <w:pStyle w:val="TableText"/>
              <w:jc w:val="center"/>
              <w:rPr>
                <w:rFonts w:cstheme="minorHAnsi"/>
                <w:szCs w:val="20"/>
              </w:rPr>
            </w:pPr>
            <w:r>
              <w:rPr>
                <w:rFonts w:cstheme="minorHAnsi"/>
                <w:szCs w:val="20"/>
              </w:rPr>
              <w:t>-</w:t>
            </w:r>
          </w:p>
        </w:tc>
        <w:tc>
          <w:tcPr>
            <w:tcW w:w="1418" w:type="dxa"/>
            <w:vAlign w:val="center"/>
          </w:tcPr>
          <w:p w14:paraId="71D9F0A6" w14:textId="77777777" w:rsidR="00B941E2" w:rsidRPr="00823081" w:rsidRDefault="00B941E2" w:rsidP="007C2792">
            <w:pPr>
              <w:pStyle w:val="TableText"/>
              <w:jc w:val="center"/>
              <w:rPr>
                <w:rFonts w:cstheme="minorHAnsi"/>
                <w:szCs w:val="20"/>
              </w:rPr>
            </w:pPr>
            <w:r>
              <w:rPr>
                <w:rFonts w:cstheme="minorHAnsi"/>
                <w:szCs w:val="20"/>
              </w:rPr>
              <w:t>-</w:t>
            </w:r>
          </w:p>
        </w:tc>
        <w:tc>
          <w:tcPr>
            <w:tcW w:w="1595" w:type="dxa"/>
            <w:vAlign w:val="center"/>
          </w:tcPr>
          <w:p w14:paraId="50F21168" w14:textId="77777777" w:rsidR="00B941E2" w:rsidRPr="00823081" w:rsidRDefault="00B941E2" w:rsidP="007C2792">
            <w:pPr>
              <w:pStyle w:val="TableText"/>
              <w:jc w:val="center"/>
              <w:rPr>
                <w:szCs w:val="20"/>
              </w:rPr>
            </w:pPr>
            <w:r w:rsidRPr="00823081">
              <w:rPr>
                <w:rFonts w:cstheme="minorHAnsi"/>
                <w:szCs w:val="20"/>
              </w:rPr>
              <w:t>1.20</w:t>
            </w:r>
            <w:r>
              <w:rPr>
                <w:rFonts w:cstheme="minorHAnsi"/>
                <w:szCs w:val="20"/>
              </w:rPr>
              <w:t xml:space="preserve"> (</w:t>
            </w:r>
            <w:r w:rsidRPr="00823081">
              <w:rPr>
                <w:rFonts w:cstheme="minorHAnsi"/>
                <w:szCs w:val="20"/>
              </w:rPr>
              <w:t>0.71, 2.0</w:t>
            </w:r>
            <w:r>
              <w:rPr>
                <w:rFonts w:cstheme="minorHAnsi"/>
                <w:szCs w:val="20"/>
              </w:rPr>
              <w:t>3)</w:t>
            </w:r>
          </w:p>
        </w:tc>
        <w:tc>
          <w:tcPr>
            <w:tcW w:w="1688" w:type="dxa"/>
            <w:vAlign w:val="center"/>
          </w:tcPr>
          <w:p w14:paraId="71929B6B" w14:textId="77777777" w:rsidR="00B941E2" w:rsidRPr="00823081" w:rsidRDefault="00B941E2" w:rsidP="007C2792">
            <w:pPr>
              <w:pStyle w:val="TableText"/>
              <w:jc w:val="center"/>
              <w:rPr>
                <w:szCs w:val="20"/>
              </w:rPr>
            </w:pPr>
            <w:r w:rsidRPr="00823081">
              <w:rPr>
                <w:rFonts w:cstheme="minorHAnsi"/>
                <w:szCs w:val="20"/>
              </w:rPr>
              <w:t xml:space="preserve">1.16 </w:t>
            </w:r>
            <w:r>
              <w:rPr>
                <w:rFonts w:cstheme="minorHAnsi"/>
                <w:szCs w:val="20"/>
              </w:rPr>
              <w:t>(</w:t>
            </w:r>
            <w:r w:rsidRPr="00823081">
              <w:rPr>
                <w:rFonts w:cstheme="minorHAnsi"/>
                <w:szCs w:val="20"/>
              </w:rPr>
              <w:t>0.7</w:t>
            </w:r>
            <w:r>
              <w:rPr>
                <w:rFonts w:cstheme="minorHAnsi"/>
                <w:szCs w:val="20"/>
              </w:rPr>
              <w:t>3</w:t>
            </w:r>
            <w:r w:rsidRPr="00823081">
              <w:rPr>
                <w:rFonts w:cstheme="minorHAnsi"/>
                <w:szCs w:val="20"/>
              </w:rPr>
              <w:t>, 1.8</w:t>
            </w:r>
            <w:r>
              <w:rPr>
                <w:rFonts w:cstheme="minorHAnsi"/>
                <w:szCs w:val="20"/>
              </w:rPr>
              <w:t>6)</w:t>
            </w:r>
          </w:p>
        </w:tc>
        <w:tc>
          <w:tcPr>
            <w:tcW w:w="1575" w:type="dxa"/>
            <w:shd w:val="clear" w:color="auto" w:fill="auto"/>
            <w:vAlign w:val="center"/>
          </w:tcPr>
          <w:p w14:paraId="20615381" w14:textId="77777777" w:rsidR="00B941E2" w:rsidRPr="00823081" w:rsidRDefault="00B941E2" w:rsidP="007C2792">
            <w:pPr>
              <w:pStyle w:val="TableText"/>
              <w:jc w:val="center"/>
              <w:rPr>
                <w:szCs w:val="20"/>
              </w:rPr>
            </w:pPr>
            <w:r w:rsidRPr="00823081">
              <w:rPr>
                <w:rFonts w:cstheme="minorHAnsi"/>
                <w:szCs w:val="20"/>
              </w:rPr>
              <w:t xml:space="preserve">0.01 </w:t>
            </w:r>
            <w:r>
              <w:rPr>
                <w:rFonts w:cstheme="minorHAnsi"/>
                <w:szCs w:val="20"/>
              </w:rPr>
              <w:t>(</w:t>
            </w:r>
            <w:r w:rsidRPr="00823081">
              <w:rPr>
                <w:rFonts w:cstheme="minorHAnsi"/>
                <w:szCs w:val="20"/>
              </w:rPr>
              <w:t>-0.06,</w:t>
            </w:r>
            <w:r>
              <w:rPr>
                <w:rFonts w:cstheme="minorHAnsi"/>
                <w:szCs w:val="20"/>
              </w:rPr>
              <w:t xml:space="preserve"> </w:t>
            </w:r>
            <w:r w:rsidRPr="00823081">
              <w:rPr>
                <w:rFonts w:cstheme="minorHAnsi"/>
                <w:szCs w:val="20"/>
              </w:rPr>
              <w:t>0.08</w:t>
            </w:r>
            <w:r>
              <w:rPr>
                <w:rFonts w:cstheme="minorHAnsi"/>
                <w:szCs w:val="20"/>
              </w:rPr>
              <w:t>)</w:t>
            </w:r>
          </w:p>
        </w:tc>
      </w:tr>
      <w:tr w:rsidR="00B941E2" w:rsidRPr="00823081" w14:paraId="13E98363" w14:textId="77777777" w:rsidTr="005B53DA">
        <w:trPr>
          <w:tblHeader/>
        </w:trPr>
        <w:tc>
          <w:tcPr>
            <w:tcW w:w="9361" w:type="dxa"/>
            <w:gridSpan w:val="6"/>
            <w:vAlign w:val="center"/>
          </w:tcPr>
          <w:p w14:paraId="6EB43F33" w14:textId="77777777" w:rsidR="00B941E2" w:rsidRPr="00823081" w:rsidRDefault="00B941E2" w:rsidP="007C2792">
            <w:pPr>
              <w:pStyle w:val="Tableheadingrow"/>
              <w:rPr>
                <w:szCs w:val="20"/>
              </w:rPr>
            </w:pPr>
            <w:r w:rsidRPr="00823081">
              <w:rPr>
                <w:szCs w:val="20"/>
              </w:rPr>
              <w:t>PASI75 response at Week 24</w:t>
            </w:r>
          </w:p>
        </w:tc>
      </w:tr>
      <w:tr w:rsidR="00B941E2" w:rsidRPr="00823081" w14:paraId="2CCB9213" w14:textId="77777777" w:rsidTr="005B53DA">
        <w:tc>
          <w:tcPr>
            <w:tcW w:w="1668" w:type="dxa"/>
            <w:vAlign w:val="center"/>
          </w:tcPr>
          <w:p w14:paraId="00622A2F" w14:textId="77777777" w:rsidR="00B941E2" w:rsidRPr="00823081" w:rsidRDefault="00B941E2" w:rsidP="007C2792">
            <w:pPr>
              <w:pStyle w:val="TableText"/>
            </w:pPr>
            <w:r w:rsidRPr="00823081">
              <w:t>Risankizumab</w:t>
            </w:r>
          </w:p>
        </w:tc>
        <w:tc>
          <w:tcPr>
            <w:tcW w:w="1417" w:type="dxa"/>
            <w:vAlign w:val="center"/>
          </w:tcPr>
          <w:p w14:paraId="50F90FE9" w14:textId="77777777" w:rsidR="00B941E2" w:rsidRPr="00823081" w:rsidRDefault="00B941E2" w:rsidP="007C2792">
            <w:pPr>
              <w:pStyle w:val="TableText"/>
              <w:jc w:val="center"/>
              <w:rPr>
                <w:szCs w:val="20"/>
              </w:rPr>
            </w:pPr>
            <w:r w:rsidRPr="00823081">
              <w:rPr>
                <w:rFonts w:cstheme="minorHAnsi"/>
                <w:szCs w:val="20"/>
              </w:rPr>
              <w:t>272/396 (68.</w:t>
            </w:r>
            <w:r>
              <w:rPr>
                <w:rFonts w:cstheme="minorHAnsi"/>
                <w:szCs w:val="20"/>
              </w:rPr>
              <w:t>7</w:t>
            </w:r>
            <w:r w:rsidRPr="00823081">
              <w:rPr>
                <w:rFonts w:cstheme="minorHAnsi"/>
                <w:szCs w:val="20"/>
              </w:rPr>
              <w:t>)</w:t>
            </w:r>
          </w:p>
        </w:tc>
        <w:tc>
          <w:tcPr>
            <w:tcW w:w="1418" w:type="dxa"/>
            <w:vAlign w:val="center"/>
          </w:tcPr>
          <w:p w14:paraId="7DE43861" w14:textId="77777777" w:rsidR="00B941E2" w:rsidRPr="00823081" w:rsidRDefault="00B941E2" w:rsidP="007C2792">
            <w:pPr>
              <w:pStyle w:val="TableText"/>
              <w:jc w:val="center"/>
              <w:rPr>
                <w:szCs w:val="20"/>
              </w:rPr>
            </w:pPr>
            <w:r w:rsidRPr="00823081">
              <w:rPr>
                <w:rFonts w:cstheme="minorHAnsi"/>
                <w:szCs w:val="20"/>
              </w:rPr>
              <w:t>64/391 (16.</w:t>
            </w:r>
            <w:r>
              <w:rPr>
                <w:rFonts w:cstheme="minorHAnsi"/>
                <w:szCs w:val="20"/>
              </w:rPr>
              <w:t>4</w:t>
            </w:r>
            <w:r w:rsidRPr="00823081">
              <w:rPr>
                <w:rFonts w:cstheme="minorHAnsi"/>
                <w:szCs w:val="20"/>
              </w:rPr>
              <w:t>)</w:t>
            </w:r>
          </w:p>
        </w:tc>
        <w:tc>
          <w:tcPr>
            <w:tcW w:w="1595" w:type="dxa"/>
          </w:tcPr>
          <w:p w14:paraId="3753EE8E" w14:textId="77777777" w:rsidR="00B941E2" w:rsidRPr="00B8268F" w:rsidRDefault="00B941E2" w:rsidP="007C2792">
            <w:pPr>
              <w:pStyle w:val="TableText"/>
              <w:jc w:val="center"/>
              <w:rPr>
                <w:szCs w:val="20"/>
              </w:rPr>
            </w:pPr>
            <w:r w:rsidRPr="00B8268F">
              <w:t>11.20 (7.95,15.76)</w:t>
            </w:r>
          </w:p>
        </w:tc>
        <w:tc>
          <w:tcPr>
            <w:tcW w:w="1688" w:type="dxa"/>
          </w:tcPr>
          <w:p w14:paraId="29F3873E" w14:textId="77777777" w:rsidR="00B941E2" w:rsidRPr="00B8268F" w:rsidRDefault="00B941E2" w:rsidP="007C2792">
            <w:pPr>
              <w:pStyle w:val="TableText"/>
              <w:jc w:val="center"/>
              <w:rPr>
                <w:szCs w:val="20"/>
              </w:rPr>
            </w:pPr>
            <w:r w:rsidRPr="00B8268F">
              <w:t>4.19 (3.32, 5.30)</w:t>
            </w:r>
          </w:p>
        </w:tc>
        <w:tc>
          <w:tcPr>
            <w:tcW w:w="1575" w:type="dxa"/>
            <w:shd w:val="clear" w:color="auto" w:fill="auto"/>
          </w:tcPr>
          <w:p w14:paraId="7E981E33" w14:textId="77777777" w:rsidR="00B941E2" w:rsidRPr="00B8268F" w:rsidRDefault="00B941E2" w:rsidP="007C2792">
            <w:pPr>
              <w:pStyle w:val="TableText"/>
              <w:jc w:val="center"/>
              <w:rPr>
                <w:szCs w:val="20"/>
              </w:rPr>
            </w:pPr>
            <w:r w:rsidRPr="00B8268F">
              <w:t>0.52 (0.46, 0.58)</w:t>
            </w:r>
          </w:p>
        </w:tc>
      </w:tr>
      <w:tr w:rsidR="00B941E2" w:rsidRPr="00823081" w14:paraId="5E07365D" w14:textId="77777777" w:rsidTr="005B53DA">
        <w:tc>
          <w:tcPr>
            <w:tcW w:w="1668" w:type="dxa"/>
            <w:vAlign w:val="center"/>
          </w:tcPr>
          <w:p w14:paraId="18AFAD02" w14:textId="77777777" w:rsidR="00B941E2" w:rsidRPr="00823081" w:rsidRDefault="00B941E2" w:rsidP="007C2792">
            <w:pPr>
              <w:pStyle w:val="TableText"/>
            </w:pPr>
            <w:proofErr w:type="spellStart"/>
            <w:r w:rsidRPr="00823081">
              <w:t>Guselkumab</w:t>
            </w:r>
            <w:proofErr w:type="spellEnd"/>
          </w:p>
        </w:tc>
        <w:tc>
          <w:tcPr>
            <w:tcW w:w="1417" w:type="dxa"/>
            <w:vAlign w:val="center"/>
          </w:tcPr>
          <w:p w14:paraId="268CF1DB" w14:textId="77777777" w:rsidR="00B941E2" w:rsidRPr="00823081" w:rsidRDefault="00B941E2" w:rsidP="007C2792">
            <w:pPr>
              <w:pStyle w:val="TableText"/>
              <w:jc w:val="center"/>
              <w:rPr>
                <w:szCs w:val="20"/>
              </w:rPr>
            </w:pPr>
            <w:r w:rsidRPr="00823081">
              <w:rPr>
                <w:rFonts w:cstheme="minorHAnsi"/>
                <w:szCs w:val="20"/>
              </w:rPr>
              <w:t>201/258 (77.9)</w:t>
            </w:r>
          </w:p>
        </w:tc>
        <w:tc>
          <w:tcPr>
            <w:tcW w:w="1418" w:type="dxa"/>
            <w:vAlign w:val="center"/>
          </w:tcPr>
          <w:p w14:paraId="08272705" w14:textId="77777777" w:rsidR="00B941E2" w:rsidRPr="00823081" w:rsidRDefault="00B941E2" w:rsidP="007C2792">
            <w:pPr>
              <w:pStyle w:val="TableText"/>
              <w:jc w:val="center"/>
              <w:rPr>
                <w:szCs w:val="20"/>
              </w:rPr>
            </w:pPr>
            <w:r w:rsidRPr="00823081">
              <w:rPr>
                <w:rFonts w:cstheme="minorHAnsi"/>
                <w:szCs w:val="20"/>
              </w:rPr>
              <w:t>53/261 (20.3)</w:t>
            </w:r>
          </w:p>
        </w:tc>
        <w:tc>
          <w:tcPr>
            <w:tcW w:w="1595" w:type="dxa"/>
          </w:tcPr>
          <w:p w14:paraId="611090BA" w14:textId="77777777" w:rsidR="00B941E2" w:rsidRPr="00823081" w:rsidRDefault="00B941E2" w:rsidP="007C2792">
            <w:pPr>
              <w:pStyle w:val="TableText"/>
              <w:jc w:val="center"/>
              <w:rPr>
                <w:szCs w:val="20"/>
              </w:rPr>
            </w:pPr>
            <w:r w:rsidRPr="00FF7FAA">
              <w:t>14.09 (9.20,21.57)</w:t>
            </w:r>
          </w:p>
        </w:tc>
        <w:tc>
          <w:tcPr>
            <w:tcW w:w="1688" w:type="dxa"/>
          </w:tcPr>
          <w:p w14:paraId="538D2C53" w14:textId="77777777" w:rsidR="00B941E2" w:rsidRPr="00823081" w:rsidRDefault="00B941E2" w:rsidP="007C2792">
            <w:pPr>
              <w:pStyle w:val="TableText"/>
              <w:jc w:val="center"/>
              <w:rPr>
                <w:szCs w:val="20"/>
              </w:rPr>
            </w:pPr>
            <w:r w:rsidRPr="00FF7FAA">
              <w:t>4.01 (2.64, 6.09)</w:t>
            </w:r>
          </w:p>
        </w:tc>
        <w:tc>
          <w:tcPr>
            <w:tcW w:w="1575" w:type="dxa"/>
            <w:shd w:val="clear" w:color="auto" w:fill="auto"/>
          </w:tcPr>
          <w:p w14:paraId="69EA568C" w14:textId="77777777" w:rsidR="00B941E2" w:rsidRPr="00823081" w:rsidRDefault="00B941E2" w:rsidP="007C2792">
            <w:pPr>
              <w:pStyle w:val="TableText"/>
              <w:jc w:val="center"/>
              <w:rPr>
                <w:szCs w:val="20"/>
              </w:rPr>
            </w:pPr>
            <w:r w:rsidRPr="00FF7FAA">
              <w:t>0.58 (0.51, 0.65)</w:t>
            </w:r>
          </w:p>
        </w:tc>
      </w:tr>
      <w:tr w:rsidR="00B941E2" w:rsidRPr="00823081" w14:paraId="54EF7A7C" w14:textId="77777777" w:rsidTr="005B53DA">
        <w:tc>
          <w:tcPr>
            <w:tcW w:w="1668" w:type="dxa"/>
            <w:vAlign w:val="center"/>
          </w:tcPr>
          <w:p w14:paraId="55BD7124" w14:textId="77777777" w:rsidR="00B941E2" w:rsidRPr="00823081" w:rsidRDefault="00B941E2" w:rsidP="007C2792">
            <w:pPr>
              <w:pStyle w:val="TableText"/>
            </w:pPr>
            <w:r>
              <w:t>Indirect comparison</w:t>
            </w:r>
          </w:p>
        </w:tc>
        <w:tc>
          <w:tcPr>
            <w:tcW w:w="1417" w:type="dxa"/>
            <w:vAlign w:val="center"/>
          </w:tcPr>
          <w:p w14:paraId="5FAA465F" w14:textId="77777777" w:rsidR="00B941E2" w:rsidRPr="00823081" w:rsidRDefault="00B941E2" w:rsidP="007C2792">
            <w:pPr>
              <w:pStyle w:val="TableText"/>
              <w:jc w:val="center"/>
              <w:rPr>
                <w:rFonts w:cstheme="minorHAnsi"/>
                <w:szCs w:val="20"/>
              </w:rPr>
            </w:pPr>
            <w:r>
              <w:rPr>
                <w:rFonts w:cstheme="minorHAnsi"/>
                <w:szCs w:val="20"/>
              </w:rPr>
              <w:t>-</w:t>
            </w:r>
          </w:p>
        </w:tc>
        <w:tc>
          <w:tcPr>
            <w:tcW w:w="1418" w:type="dxa"/>
            <w:vAlign w:val="center"/>
          </w:tcPr>
          <w:p w14:paraId="225A919D" w14:textId="77777777" w:rsidR="00B941E2" w:rsidRPr="00823081" w:rsidRDefault="00B941E2" w:rsidP="007C2792">
            <w:pPr>
              <w:pStyle w:val="TableText"/>
              <w:jc w:val="center"/>
              <w:rPr>
                <w:rFonts w:cstheme="minorHAnsi"/>
                <w:szCs w:val="20"/>
              </w:rPr>
            </w:pPr>
            <w:r>
              <w:rPr>
                <w:rFonts w:cstheme="minorHAnsi"/>
                <w:szCs w:val="20"/>
              </w:rPr>
              <w:t>-</w:t>
            </w:r>
          </w:p>
        </w:tc>
        <w:tc>
          <w:tcPr>
            <w:tcW w:w="1595" w:type="dxa"/>
            <w:vAlign w:val="center"/>
          </w:tcPr>
          <w:p w14:paraId="07910B7B" w14:textId="77777777" w:rsidR="00B941E2" w:rsidRPr="00823081" w:rsidRDefault="00B941E2" w:rsidP="007C2792">
            <w:pPr>
              <w:pStyle w:val="TableText"/>
              <w:jc w:val="center"/>
              <w:rPr>
                <w:szCs w:val="20"/>
              </w:rPr>
            </w:pPr>
            <w:r w:rsidRPr="00823081">
              <w:rPr>
                <w:rFonts w:cstheme="minorHAnsi"/>
                <w:szCs w:val="20"/>
              </w:rPr>
              <w:t>0.</w:t>
            </w:r>
            <w:r>
              <w:rPr>
                <w:rFonts w:cstheme="minorHAnsi"/>
                <w:szCs w:val="20"/>
              </w:rPr>
              <w:t>80 (</w:t>
            </w:r>
            <w:r w:rsidRPr="00823081">
              <w:rPr>
                <w:rFonts w:cstheme="minorHAnsi"/>
                <w:szCs w:val="20"/>
              </w:rPr>
              <w:t>0.46, 1.37</w:t>
            </w:r>
            <w:r>
              <w:rPr>
                <w:rFonts w:cstheme="minorHAnsi"/>
                <w:szCs w:val="20"/>
              </w:rPr>
              <w:t>)</w:t>
            </w:r>
          </w:p>
        </w:tc>
        <w:tc>
          <w:tcPr>
            <w:tcW w:w="1688" w:type="dxa"/>
            <w:vAlign w:val="center"/>
          </w:tcPr>
          <w:p w14:paraId="6272202F" w14:textId="77777777" w:rsidR="00B941E2" w:rsidRPr="00823081" w:rsidRDefault="00B941E2" w:rsidP="007C2792">
            <w:pPr>
              <w:pStyle w:val="TableText"/>
              <w:jc w:val="center"/>
              <w:rPr>
                <w:szCs w:val="20"/>
              </w:rPr>
            </w:pPr>
            <w:r w:rsidRPr="00823081">
              <w:rPr>
                <w:rFonts w:cstheme="minorHAnsi"/>
                <w:szCs w:val="20"/>
              </w:rPr>
              <w:t>1.05</w:t>
            </w:r>
            <w:r>
              <w:rPr>
                <w:rFonts w:cstheme="minorHAnsi"/>
                <w:szCs w:val="20"/>
              </w:rPr>
              <w:t xml:space="preserve"> (</w:t>
            </w:r>
            <w:r w:rsidRPr="00823081">
              <w:rPr>
                <w:rFonts w:cstheme="minorHAnsi"/>
                <w:szCs w:val="20"/>
              </w:rPr>
              <w:t>0.6</w:t>
            </w:r>
            <w:r>
              <w:rPr>
                <w:rFonts w:cstheme="minorHAnsi"/>
                <w:szCs w:val="20"/>
              </w:rPr>
              <w:t>5</w:t>
            </w:r>
            <w:r w:rsidRPr="00823081">
              <w:rPr>
                <w:rFonts w:cstheme="minorHAnsi"/>
                <w:szCs w:val="20"/>
              </w:rPr>
              <w:t>, 1.6</w:t>
            </w:r>
            <w:r>
              <w:rPr>
                <w:rFonts w:cstheme="minorHAnsi"/>
                <w:szCs w:val="20"/>
              </w:rPr>
              <w:t>9)</w:t>
            </w:r>
          </w:p>
        </w:tc>
        <w:tc>
          <w:tcPr>
            <w:tcW w:w="1575" w:type="dxa"/>
            <w:shd w:val="clear" w:color="auto" w:fill="auto"/>
            <w:vAlign w:val="center"/>
          </w:tcPr>
          <w:p w14:paraId="4F49953F" w14:textId="77777777" w:rsidR="00B941E2" w:rsidRPr="00823081" w:rsidRDefault="00B941E2" w:rsidP="007C2792">
            <w:pPr>
              <w:pStyle w:val="TableText"/>
              <w:jc w:val="center"/>
              <w:rPr>
                <w:szCs w:val="20"/>
              </w:rPr>
            </w:pPr>
            <w:r w:rsidRPr="00823081">
              <w:rPr>
                <w:rFonts w:cstheme="minorHAnsi"/>
                <w:szCs w:val="20"/>
              </w:rPr>
              <w:t xml:space="preserve">-0.06 </w:t>
            </w:r>
            <w:r>
              <w:rPr>
                <w:rFonts w:cstheme="minorHAnsi"/>
                <w:szCs w:val="20"/>
              </w:rPr>
              <w:t>(</w:t>
            </w:r>
            <w:r w:rsidRPr="00823081">
              <w:rPr>
                <w:rFonts w:cstheme="minorHAnsi"/>
                <w:szCs w:val="20"/>
              </w:rPr>
              <w:t>-0.15,</w:t>
            </w:r>
            <w:r>
              <w:rPr>
                <w:rFonts w:cstheme="minorHAnsi"/>
                <w:szCs w:val="20"/>
              </w:rPr>
              <w:t xml:space="preserve"> </w:t>
            </w:r>
            <w:r w:rsidRPr="00823081">
              <w:rPr>
                <w:rFonts w:cstheme="minorHAnsi"/>
                <w:szCs w:val="20"/>
              </w:rPr>
              <w:t>0.03</w:t>
            </w:r>
            <w:r>
              <w:rPr>
                <w:rFonts w:cstheme="minorHAnsi"/>
                <w:szCs w:val="20"/>
              </w:rPr>
              <w:t>)</w:t>
            </w:r>
          </w:p>
        </w:tc>
      </w:tr>
      <w:tr w:rsidR="00B941E2" w:rsidRPr="00823081" w14:paraId="264DF060" w14:textId="77777777" w:rsidTr="005B53DA">
        <w:trPr>
          <w:tblHeader/>
        </w:trPr>
        <w:tc>
          <w:tcPr>
            <w:tcW w:w="9361" w:type="dxa"/>
            <w:gridSpan w:val="6"/>
            <w:vAlign w:val="center"/>
          </w:tcPr>
          <w:p w14:paraId="023AD6C5" w14:textId="77777777" w:rsidR="00B941E2" w:rsidRPr="00823081" w:rsidRDefault="00B941E2" w:rsidP="007C2792">
            <w:pPr>
              <w:pStyle w:val="Tableheadingrow"/>
              <w:rPr>
                <w:szCs w:val="20"/>
              </w:rPr>
            </w:pPr>
            <w:r w:rsidRPr="00823081">
              <w:rPr>
                <w:szCs w:val="20"/>
              </w:rPr>
              <w:t>HAQ-DI improvement ≥ 0.35 at Week 24</w:t>
            </w:r>
          </w:p>
        </w:tc>
      </w:tr>
      <w:tr w:rsidR="00B941E2" w:rsidRPr="00823081" w14:paraId="7E875E51" w14:textId="77777777" w:rsidTr="005B53DA">
        <w:tc>
          <w:tcPr>
            <w:tcW w:w="1668" w:type="dxa"/>
            <w:vAlign w:val="center"/>
          </w:tcPr>
          <w:p w14:paraId="170B5E2F" w14:textId="77777777" w:rsidR="00B941E2" w:rsidRPr="00823081" w:rsidRDefault="00B941E2" w:rsidP="007C2792">
            <w:pPr>
              <w:pStyle w:val="TableText"/>
            </w:pPr>
            <w:r w:rsidRPr="00823081">
              <w:t>Risankizumab</w:t>
            </w:r>
          </w:p>
        </w:tc>
        <w:tc>
          <w:tcPr>
            <w:tcW w:w="1417" w:type="dxa"/>
            <w:vAlign w:val="center"/>
          </w:tcPr>
          <w:p w14:paraId="2A28EA3F" w14:textId="77777777" w:rsidR="00B941E2" w:rsidRPr="00823081" w:rsidRDefault="00B941E2" w:rsidP="007C2792">
            <w:pPr>
              <w:pStyle w:val="TableText"/>
              <w:jc w:val="center"/>
              <w:rPr>
                <w:szCs w:val="20"/>
              </w:rPr>
            </w:pPr>
            <w:r w:rsidRPr="00823081">
              <w:rPr>
                <w:rFonts w:cstheme="minorHAnsi"/>
                <w:szCs w:val="20"/>
              </w:rPr>
              <w:t>286/610 (46.9)</w:t>
            </w:r>
          </w:p>
        </w:tc>
        <w:tc>
          <w:tcPr>
            <w:tcW w:w="1418" w:type="dxa"/>
            <w:vAlign w:val="center"/>
          </w:tcPr>
          <w:p w14:paraId="7EAF3D10" w14:textId="77777777" w:rsidR="00B941E2" w:rsidRPr="00823081" w:rsidRDefault="00B941E2" w:rsidP="007C2792">
            <w:pPr>
              <w:pStyle w:val="TableText"/>
              <w:jc w:val="center"/>
              <w:rPr>
                <w:szCs w:val="20"/>
              </w:rPr>
            </w:pPr>
            <w:r w:rsidRPr="00823081">
              <w:rPr>
                <w:rFonts w:cstheme="minorHAnsi"/>
                <w:szCs w:val="20"/>
              </w:rPr>
              <w:t>161/606 (26.</w:t>
            </w:r>
            <w:r>
              <w:rPr>
                <w:rFonts w:cstheme="minorHAnsi"/>
                <w:szCs w:val="20"/>
              </w:rPr>
              <w:t>6</w:t>
            </w:r>
            <w:r w:rsidRPr="00823081">
              <w:rPr>
                <w:rFonts w:cstheme="minorHAnsi"/>
                <w:szCs w:val="20"/>
              </w:rPr>
              <w:t>)</w:t>
            </w:r>
          </w:p>
        </w:tc>
        <w:tc>
          <w:tcPr>
            <w:tcW w:w="1595" w:type="dxa"/>
          </w:tcPr>
          <w:p w14:paraId="23C68846" w14:textId="77777777" w:rsidR="00B941E2" w:rsidRPr="00B8268F" w:rsidRDefault="00B941E2" w:rsidP="007C2792">
            <w:pPr>
              <w:pStyle w:val="TableText"/>
              <w:jc w:val="center"/>
              <w:rPr>
                <w:szCs w:val="20"/>
              </w:rPr>
            </w:pPr>
            <w:r w:rsidRPr="00B8268F">
              <w:t>2.46 (1.93, 3.13)</w:t>
            </w:r>
          </w:p>
        </w:tc>
        <w:tc>
          <w:tcPr>
            <w:tcW w:w="1688" w:type="dxa"/>
          </w:tcPr>
          <w:p w14:paraId="1266A9D8" w14:textId="77777777" w:rsidR="00B941E2" w:rsidRPr="00B8268F" w:rsidRDefault="00B941E2" w:rsidP="007C2792">
            <w:pPr>
              <w:pStyle w:val="TableText"/>
              <w:jc w:val="center"/>
              <w:rPr>
                <w:szCs w:val="20"/>
              </w:rPr>
            </w:pPr>
            <w:r w:rsidRPr="00B8268F">
              <w:t>1.77 (1.51, 2.07)</w:t>
            </w:r>
          </w:p>
        </w:tc>
        <w:tc>
          <w:tcPr>
            <w:tcW w:w="1575" w:type="dxa"/>
            <w:shd w:val="clear" w:color="auto" w:fill="auto"/>
          </w:tcPr>
          <w:p w14:paraId="078E70BB" w14:textId="77777777" w:rsidR="00B941E2" w:rsidRPr="00B8268F" w:rsidRDefault="00B941E2" w:rsidP="007C2792">
            <w:pPr>
              <w:pStyle w:val="TableText"/>
              <w:jc w:val="center"/>
              <w:rPr>
                <w:szCs w:val="20"/>
              </w:rPr>
            </w:pPr>
            <w:r w:rsidRPr="00B8268F">
              <w:t>0.20 (0.15, 0.26)</w:t>
            </w:r>
          </w:p>
        </w:tc>
      </w:tr>
      <w:tr w:rsidR="00B941E2" w:rsidRPr="00823081" w14:paraId="2416311B" w14:textId="77777777" w:rsidTr="005B53DA">
        <w:tc>
          <w:tcPr>
            <w:tcW w:w="1668" w:type="dxa"/>
            <w:vAlign w:val="center"/>
          </w:tcPr>
          <w:p w14:paraId="2A3A45F5" w14:textId="77777777" w:rsidR="00B941E2" w:rsidRPr="00823081" w:rsidRDefault="00B941E2" w:rsidP="007C2792">
            <w:pPr>
              <w:pStyle w:val="TableText"/>
            </w:pPr>
            <w:proofErr w:type="spellStart"/>
            <w:r w:rsidRPr="00823081">
              <w:t>Guselkumab</w:t>
            </w:r>
            <w:proofErr w:type="spellEnd"/>
          </w:p>
        </w:tc>
        <w:tc>
          <w:tcPr>
            <w:tcW w:w="1417" w:type="dxa"/>
            <w:vAlign w:val="center"/>
          </w:tcPr>
          <w:p w14:paraId="189A9DA6" w14:textId="77777777" w:rsidR="00B941E2" w:rsidRPr="00823081" w:rsidRDefault="00B941E2" w:rsidP="007C2792">
            <w:pPr>
              <w:pStyle w:val="TableText"/>
              <w:jc w:val="center"/>
              <w:rPr>
                <w:rFonts w:cstheme="minorHAnsi"/>
                <w:szCs w:val="20"/>
              </w:rPr>
            </w:pPr>
            <w:r w:rsidRPr="00823081">
              <w:rPr>
                <w:rFonts w:cstheme="minorHAnsi"/>
                <w:szCs w:val="20"/>
              </w:rPr>
              <w:t>171/340 (50.</w:t>
            </w:r>
            <w:r>
              <w:rPr>
                <w:rFonts w:cstheme="minorHAnsi"/>
                <w:szCs w:val="20"/>
              </w:rPr>
              <w:t>3</w:t>
            </w:r>
            <w:r w:rsidRPr="00823081">
              <w:rPr>
                <w:rFonts w:cstheme="minorHAnsi"/>
                <w:szCs w:val="20"/>
              </w:rPr>
              <w:t>)</w:t>
            </w:r>
          </w:p>
        </w:tc>
        <w:tc>
          <w:tcPr>
            <w:tcW w:w="1418" w:type="dxa"/>
            <w:vAlign w:val="center"/>
          </w:tcPr>
          <w:p w14:paraId="7E9EB461" w14:textId="77777777" w:rsidR="00B941E2" w:rsidRPr="00823081" w:rsidRDefault="00B941E2" w:rsidP="007C2792">
            <w:pPr>
              <w:pStyle w:val="TableText"/>
              <w:jc w:val="center"/>
              <w:rPr>
                <w:rFonts w:cstheme="minorHAnsi"/>
                <w:szCs w:val="20"/>
              </w:rPr>
            </w:pPr>
            <w:r w:rsidRPr="00823081">
              <w:rPr>
                <w:rFonts w:cstheme="minorHAnsi"/>
                <w:szCs w:val="20"/>
              </w:rPr>
              <w:t>106/346 (30.6)</w:t>
            </w:r>
          </w:p>
        </w:tc>
        <w:tc>
          <w:tcPr>
            <w:tcW w:w="1595" w:type="dxa"/>
          </w:tcPr>
          <w:p w14:paraId="297AED98" w14:textId="77777777" w:rsidR="00B941E2" w:rsidRPr="00823081" w:rsidRDefault="00B941E2" w:rsidP="007C2792">
            <w:pPr>
              <w:pStyle w:val="TableText"/>
              <w:jc w:val="center"/>
              <w:rPr>
                <w:rFonts w:cstheme="minorHAnsi"/>
                <w:szCs w:val="20"/>
              </w:rPr>
            </w:pPr>
            <w:r w:rsidRPr="00823E9D">
              <w:t>2.29 (1.68, 3.13)</w:t>
            </w:r>
          </w:p>
        </w:tc>
        <w:tc>
          <w:tcPr>
            <w:tcW w:w="1688" w:type="dxa"/>
          </w:tcPr>
          <w:p w14:paraId="6BF99989" w14:textId="77777777" w:rsidR="00B941E2" w:rsidRPr="00823081" w:rsidRDefault="00B941E2" w:rsidP="007C2792">
            <w:pPr>
              <w:pStyle w:val="TableText"/>
              <w:jc w:val="center"/>
              <w:rPr>
                <w:rFonts w:cstheme="minorHAnsi"/>
                <w:szCs w:val="20"/>
              </w:rPr>
            </w:pPr>
            <w:r w:rsidRPr="00823E9D">
              <w:t>1.64 (1.36, 1.99)</w:t>
            </w:r>
          </w:p>
        </w:tc>
        <w:tc>
          <w:tcPr>
            <w:tcW w:w="1575" w:type="dxa"/>
            <w:shd w:val="clear" w:color="auto" w:fill="auto"/>
          </w:tcPr>
          <w:p w14:paraId="61841B3F" w14:textId="77777777" w:rsidR="00B941E2" w:rsidRPr="00823081" w:rsidRDefault="00B941E2" w:rsidP="007C2792">
            <w:pPr>
              <w:pStyle w:val="TableText"/>
              <w:jc w:val="center"/>
              <w:rPr>
                <w:rFonts w:cstheme="minorHAnsi"/>
                <w:szCs w:val="20"/>
              </w:rPr>
            </w:pPr>
            <w:r w:rsidRPr="00823E9D">
              <w:t>0.20 (0.12, 0.27)</w:t>
            </w:r>
          </w:p>
        </w:tc>
      </w:tr>
      <w:tr w:rsidR="00B941E2" w:rsidRPr="00823081" w14:paraId="384F9DEC" w14:textId="77777777" w:rsidTr="005B53DA">
        <w:tc>
          <w:tcPr>
            <w:tcW w:w="1668" w:type="dxa"/>
            <w:vAlign w:val="center"/>
          </w:tcPr>
          <w:p w14:paraId="02669DE6" w14:textId="77777777" w:rsidR="00B941E2" w:rsidRPr="00823081" w:rsidRDefault="00B941E2" w:rsidP="007C2792">
            <w:pPr>
              <w:pStyle w:val="TableText"/>
            </w:pPr>
            <w:r>
              <w:t>Indirect comparison</w:t>
            </w:r>
          </w:p>
        </w:tc>
        <w:tc>
          <w:tcPr>
            <w:tcW w:w="1417" w:type="dxa"/>
            <w:vAlign w:val="center"/>
          </w:tcPr>
          <w:p w14:paraId="35C41FCD" w14:textId="77777777" w:rsidR="00B941E2" w:rsidRPr="00823081" w:rsidRDefault="00B941E2" w:rsidP="007C2792">
            <w:pPr>
              <w:pStyle w:val="TableText"/>
              <w:jc w:val="center"/>
              <w:rPr>
                <w:szCs w:val="20"/>
              </w:rPr>
            </w:pPr>
            <w:r>
              <w:rPr>
                <w:rFonts w:cstheme="minorHAnsi"/>
                <w:szCs w:val="20"/>
              </w:rPr>
              <w:t>-</w:t>
            </w:r>
          </w:p>
        </w:tc>
        <w:tc>
          <w:tcPr>
            <w:tcW w:w="1418" w:type="dxa"/>
            <w:vAlign w:val="center"/>
          </w:tcPr>
          <w:p w14:paraId="4004CB80" w14:textId="77777777" w:rsidR="00B941E2" w:rsidRPr="00823081" w:rsidRDefault="00B941E2" w:rsidP="007C2792">
            <w:pPr>
              <w:pStyle w:val="TableText"/>
              <w:jc w:val="center"/>
              <w:rPr>
                <w:szCs w:val="20"/>
              </w:rPr>
            </w:pPr>
            <w:r>
              <w:rPr>
                <w:rFonts w:cstheme="minorHAnsi"/>
                <w:szCs w:val="20"/>
              </w:rPr>
              <w:t>-</w:t>
            </w:r>
          </w:p>
        </w:tc>
        <w:tc>
          <w:tcPr>
            <w:tcW w:w="1595" w:type="dxa"/>
            <w:vAlign w:val="center"/>
          </w:tcPr>
          <w:p w14:paraId="12FFB7AF" w14:textId="77777777" w:rsidR="00B941E2" w:rsidRPr="00823081" w:rsidRDefault="00B941E2" w:rsidP="007C2792">
            <w:pPr>
              <w:pStyle w:val="TableText"/>
              <w:jc w:val="center"/>
            </w:pPr>
            <w:r w:rsidRPr="00823081">
              <w:rPr>
                <w:rFonts w:cstheme="minorHAnsi"/>
                <w:szCs w:val="20"/>
              </w:rPr>
              <w:t>1.07</w:t>
            </w:r>
            <w:r>
              <w:rPr>
                <w:rFonts w:cstheme="minorHAnsi"/>
                <w:szCs w:val="20"/>
              </w:rPr>
              <w:t xml:space="preserve"> (</w:t>
            </w:r>
            <w:r w:rsidRPr="00823081">
              <w:rPr>
                <w:rFonts w:cstheme="minorHAnsi"/>
                <w:szCs w:val="20"/>
              </w:rPr>
              <w:t>0.72, 1.59</w:t>
            </w:r>
            <w:r>
              <w:rPr>
                <w:rFonts w:cstheme="minorHAnsi"/>
                <w:szCs w:val="20"/>
              </w:rPr>
              <w:t>)</w:t>
            </w:r>
          </w:p>
        </w:tc>
        <w:tc>
          <w:tcPr>
            <w:tcW w:w="1688" w:type="dxa"/>
            <w:vAlign w:val="center"/>
          </w:tcPr>
          <w:p w14:paraId="7736614E" w14:textId="77777777" w:rsidR="00B941E2" w:rsidRPr="00823081" w:rsidRDefault="00B941E2" w:rsidP="007C2792">
            <w:pPr>
              <w:pStyle w:val="TableText"/>
              <w:jc w:val="center"/>
            </w:pPr>
            <w:r w:rsidRPr="00823081">
              <w:rPr>
                <w:rFonts w:cstheme="minorHAnsi"/>
                <w:szCs w:val="20"/>
              </w:rPr>
              <w:t>1.0</w:t>
            </w:r>
            <w:r>
              <w:rPr>
                <w:rFonts w:cstheme="minorHAnsi"/>
                <w:szCs w:val="20"/>
              </w:rPr>
              <w:t>8 (</w:t>
            </w:r>
            <w:r w:rsidRPr="00823081">
              <w:rPr>
                <w:rFonts w:cstheme="minorHAnsi"/>
                <w:szCs w:val="20"/>
              </w:rPr>
              <w:t>0.84, 1.38</w:t>
            </w:r>
            <w:r>
              <w:rPr>
                <w:rFonts w:cstheme="minorHAnsi"/>
                <w:szCs w:val="20"/>
              </w:rPr>
              <w:t>)</w:t>
            </w:r>
          </w:p>
        </w:tc>
        <w:tc>
          <w:tcPr>
            <w:tcW w:w="1575" w:type="dxa"/>
            <w:shd w:val="clear" w:color="auto" w:fill="auto"/>
            <w:vAlign w:val="center"/>
          </w:tcPr>
          <w:p w14:paraId="7C3FD808" w14:textId="77777777" w:rsidR="00B941E2" w:rsidRPr="00823081" w:rsidRDefault="00B941E2" w:rsidP="007C2792">
            <w:pPr>
              <w:pStyle w:val="TableText"/>
              <w:jc w:val="center"/>
            </w:pPr>
            <w:r w:rsidRPr="00823081">
              <w:rPr>
                <w:rFonts w:cstheme="minorHAnsi"/>
                <w:szCs w:val="20"/>
              </w:rPr>
              <w:t>0</w:t>
            </w:r>
            <w:r>
              <w:rPr>
                <w:rFonts w:cstheme="minorHAnsi"/>
                <w:szCs w:val="20"/>
              </w:rPr>
              <w:t xml:space="preserve"> (</w:t>
            </w:r>
            <w:r w:rsidRPr="00823081">
              <w:rPr>
                <w:rFonts w:cstheme="minorHAnsi"/>
                <w:szCs w:val="20"/>
              </w:rPr>
              <w:t>-0.09, 0.09</w:t>
            </w:r>
            <w:r>
              <w:rPr>
                <w:rFonts w:cstheme="minorHAnsi"/>
                <w:szCs w:val="20"/>
              </w:rPr>
              <w:t>)</w:t>
            </w:r>
          </w:p>
        </w:tc>
      </w:tr>
    </w:tbl>
    <w:p w14:paraId="616A39AE" w14:textId="77777777" w:rsidR="00B941E2" w:rsidRPr="00823081" w:rsidRDefault="00B941E2" w:rsidP="00B941E2">
      <w:pPr>
        <w:pStyle w:val="TableFigureFooter"/>
      </w:pPr>
      <w:r w:rsidRPr="00823081">
        <w:t>Source: 2-</w:t>
      </w:r>
      <w:r>
        <w:t>31,</w:t>
      </w:r>
      <w:r w:rsidRPr="00823081">
        <w:t xml:space="preserve"> p9</w:t>
      </w:r>
      <w:r>
        <w:t>4</w:t>
      </w:r>
      <w:r w:rsidRPr="00823081">
        <w:t xml:space="preserve"> of the submission.</w:t>
      </w:r>
    </w:p>
    <w:p w14:paraId="4333A4F9" w14:textId="77777777" w:rsidR="00B941E2" w:rsidRPr="00B941E2" w:rsidRDefault="00B941E2" w:rsidP="00B941E2">
      <w:pPr>
        <w:pStyle w:val="TableFigureFooter"/>
      </w:pPr>
      <w:r>
        <w:t xml:space="preserve">Abbreviations: ACR, American College of Rheumatology; </w:t>
      </w:r>
      <w:proofErr w:type="spellStart"/>
      <w:r>
        <w:t>bDMARD</w:t>
      </w:r>
      <w:proofErr w:type="spellEnd"/>
      <w:r>
        <w:t xml:space="preserve">, biologic disease-modifying anti-rheumatic drug; CI, confidence interval; </w:t>
      </w:r>
      <w:r w:rsidRPr="00032EDE">
        <w:t>HAQ-DI</w:t>
      </w:r>
      <w:r>
        <w:t>,</w:t>
      </w:r>
      <w:r w:rsidRPr="00032EDE">
        <w:t xml:space="preserve"> Health Assessment Questionnaire – Disability Index; </w:t>
      </w:r>
      <w:proofErr w:type="gramStart"/>
      <w:r w:rsidRPr="00032EDE">
        <w:t>OR,</w:t>
      </w:r>
      <w:proofErr w:type="gramEnd"/>
      <w:r w:rsidRPr="00032EDE">
        <w:t xml:space="preserve"> odds ratio; PASI, Psoriasis Area and Severity Index; PBO, placebo; RD, risk difference; RR, relative risk</w:t>
      </w:r>
    </w:p>
    <w:p w14:paraId="26A9E9AC" w14:textId="055079C4" w:rsidR="00B941E2" w:rsidRPr="00F02B3C" w:rsidRDefault="00822DDD" w:rsidP="00226307">
      <w:pPr>
        <w:pStyle w:val="ExecSumBodyText"/>
        <w:ind w:left="709" w:hanging="709"/>
      </w:pPr>
      <w:r w:rsidRPr="00F559E6">
        <w:t xml:space="preserve">The non-inferiority margins for ACR20 and ACR50 were met for the comparison of risankizumab and </w:t>
      </w:r>
      <w:proofErr w:type="spellStart"/>
      <w:r w:rsidRPr="00F559E6">
        <w:t>guselkumab</w:t>
      </w:r>
      <w:proofErr w:type="spellEnd"/>
      <w:r w:rsidRPr="00F559E6">
        <w:t>, with the lower 95% confidence interval of the relative risk for ACR20 and ACR50 exceeding 0.46 and 0.29, respectively. There were no statistically significant differences between treatments noted for any of the measured efficacy outcomes.</w:t>
      </w:r>
      <w:r>
        <w:t xml:space="preserve"> </w:t>
      </w:r>
      <w:r w:rsidRPr="00F02B3C">
        <w:t>The lack of a statistically significant difference for the PASI75 and HAQ-DI outcomes may not be sufficient to establish non-inferiority</w:t>
      </w:r>
      <w:r w:rsidR="004017F0" w:rsidRPr="00F02B3C">
        <w:t xml:space="preserve"> for these variables</w:t>
      </w:r>
      <w:r w:rsidRPr="00F02B3C">
        <w:t>.</w:t>
      </w:r>
    </w:p>
    <w:p w14:paraId="5CDDA5A8" w14:textId="330B14F4" w:rsidR="00EC30AD" w:rsidRPr="00D8428B" w:rsidRDefault="00EC30AD" w:rsidP="00EC30AD">
      <w:pPr>
        <w:pStyle w:val="4-SubsectSubhead"/>
      </w:pPr>
      <w:r>
        <w:t xml:space="preserve">Risankizumab versus other PBS-listed </w:t>
      </w:r>
      <w:proofErr w:type="spellStart"/>
      <w:r>
        <w:t>bDMARDs</w:t>
      </w:r>
      <w:proofErr w:type="spellEnd"/>
      <w:r>
        <w:t xml:space="preserve"> for </w:t>
      </w:r>
      <w:proofErr w:type="spellStart"/>
      <w:r>
        <w:t>PsA</w:t>
      </w:r>
      <w:proofErr w:type="spellEnd"/>
    </w:p>
    <w:p w14:paraId="75DBCCEE" w14:textId="5F46DEF4" w:rsidR="00A36FD9" w:rsidRDefault="00A36FD9" w:rsidP="00226307">
      <w:pPr>
        <w:pStyle w:val="ExecSumBodyText"/>
        <w:ind w:left="709" w:hanging="709"/>
      </w:pPr>
      <w:r>
        <w:t xml:space="preserve">To inform the PBAC of the relative effectiveness of risankizumab versus other PBS-listed therapies for the treatment of </w:t>
      </w:r>
      <w:proofErr w:type="spellStart"/>
      <w:r>
        <w:t>PsA</w:t>
      </w:r>
      <w:proofErr w:type="spellEnd"/>
      <w:r>
        <w:t xml:space="preserve">, a series of indirect comparisons across the induction phase were performed using the data from the indirect comparison reported in the </w:t>
      </w:r>
      <w:proofErr w:type="spellStart"/>
      <w:r>
        <w:t>guselkumab</w:t>
      </w:r>
      <w:proofErr w:type="spellEnd"/>
      <w:r>
        <w:t xml:space="preserve"> </w:t>
      </w:r>
      <w:r w:rsidR="009D78CF">
        <w:t>PSD</w:t>
      </w:r>
      <w:r>
        <w:t xml:space="preserve"> from the November 2020 PBAC meeting. This indirect comparison compared ACR20 and ACR50 response rates after the induction phase of each trial (between Week 12, Week</w:t>
      </w:r>
      <w:r w:rsidR="00937545">
        <w:t> </w:t>
      </w:r>
      <w:proofErr w:type="gramStart"/>
      <w:r>
        <w:t>16</w:t>
      </w:r>
      <w:proofErr w:type="gramEnd"/>
      <w:r>
        <w:t xml:space="preserve"> and Week</w:t>
      </w:r>
      <w:r w:rsidR="00937545">
        <w:t> </w:t>
      </w:r>
      <w:r>
        <w:t>24 across all treatments).</w:t>
      </w:r>
    </w:p>
    <w:p w14:paraId="346265FE" w14:textId="6618EA9B" w:rsidR="00A36FD9" w:rsidRDefault="00A842EE" w:rsidP="00226307">
      <w:pPr>
        <w:pStyle w:val="ExecSumBodyText"/>
        <w:ind w:left="709" w:hanging="709"/>
      </w:pPr>
      <w:r w:rsidRPr="003B1DAA">
        <w:t xml:space="preserve">The submission’s indirect comparison of risankizumab with other PBS-listed </w:t>
      </w:r>
      <w:proofErr w:type="spellStart"/>
      <w:r w:rsidRPr="003B1DAA">
        <w:t>bDMARDs</w:t>
      </w:r>
      <w:proofErr w:type="spellEnd"/>
      <w:r w:rsidRPr="003B1DAA">
        <w:t xml:space="preserve"> included data </w:t>
      </w:r>
      <w:r w:rsidR="00633B80">
        <w:t xml:space="preserve">from the </w:t>
      </w:r>
      <w:proofErr w:type="spellStart"/>
      <w:r w:rsidR="00633B80">
        <w:t>guselkumab</w:t>
      </w:r>
      <w:proofErr w:type="spellEnd"/>
      <w:r w:rsidR="00633B80">
        <w:t xml:space="preserve"> DISCOVER trials, and the </w:t>
      </w:r>
      <w:r w:rsidRPr="003B1DAA">
        <w:t>following</w:t>
      </w:r>
      <w:r w:rsidR="00633B80">
        <w:t xml:space="preserve"> additional</w:t>
      </w:r>
      <w:r w:rsidRPr="003B1DAA">
        <w:t xml:space="preserve"> treatments and trials:</w:t>
      </w:r>
    </w:p>
    <w:p w14:paraId="784C9BC9" w14:textId="77777777" w:rsidR="00A36FD9" w:rsidRPr="003B1DAA" w:rsidRDefault="00A36FD9" w:rsidP="005C3782">
      <w:pPr>
        <w:pStyle w:val="ListParagraph"/>
        <w:numPr>
          <w:ilvl w:val="0"/>
          <w:numId w:val="18"/>
        </w:numPr>
        <w:ind w:left="1134" w:hanging="425"/>
      </w:pPr>
      <w:r w:rsidRPr="003B1DAA">
        <w:lastRenderedPageBreak/>
        <w:t>Ustekinumab: PSUMMIT-1 (N=515) and PSUMMIT-2 (N=312)</w:t>
      </w:r>
    </w:p>
    <w:p w14:paraId="2E015832" w14:textId="77777777" w:rsidR="00A36FD9" w:rsidRPr="003B1DAA" w:rsidRDefault="00A36FD9" w:rsidP="005C3782">
      <w:pPr>
        <w:pStyle w:val="ListParagraph"/>
        <w:numPr>
          <w:ilvl w:val="0"/>
          <w:numId w:val="18"/>
        </w:numPr>
        <w:ind w:left="1134" w:hanging="425"/>
      </w:pPr>
      <w:r w:rsidRPr="003B1DAA">
        <w:t>Adalimumab: ADEPT (N=313), Genovese (2007; N=100)</w:t>
      </w:r>
    </w:p>
    <w:p w14:paraId="04A1387B" w14:textId="77777777" w:rsidR="00A36FD9" w:rsidRPr="003B1DAA" w:rsidRDefault="00A36FD9" w:rsidP="005C3782">
      <w:pPr>
        <w:pStyle w:val="ListParagraph"/>
        <w:numPr>
          <w:ilvl w:val="0"/>
          <w:numId w:val="18"/>
        </w:numPr>
        <w:ind w:left="1134" w:hanging="425"/>
      </w:pPr>
      <w:proofErr w:type="spellStart"/>
      <w:r w:rsidRPr="003B1DAA">
        <w:t>Secukinumab</w:t>
      </w:r>
      <w:proofErr w:type="spellEnd"/>
      <w:r w:rsidRPr="003B1DAA">
        <w:t>: FUTURE 2 (N=397), FUTURE 3 (N=414) and FUTURE 5 (N=996)</w:t>
      </w:r>
    </w:p>
    <w:p w14:paraId="380070A5" w14:textId="77777777" w:rsidR="00A36FD9" w:rsidRPr="003B1DAA" w:rsidRDefault="00A36FD9" w:rsidP="005C3782">
      <w:pPr>
        <w:pStyle w:val="ListParagraph"/>
        <w:numPr>
          <w:ilvl w:val="0"/>
          <w:numId w:val="18"/>
        </w:numPr>
        <w:ind w:left="1134" w:hanging="425"/>
      </w:pPr>
      <w:r w:rsidRPr="003B1DAA">
        <w:t>Certolizumab pegol: RAPID-</w:t>
      </w:r>
      <w:proofErr w:type="spellStart"/>
      <w:r w:rsidRPr="003B1DAA">
        <w:t>PsA</w:t>
      </w:r>
      <w:proofErr w:type="spellEnd"/>
      <w:r w:rsidRPr="003B1DAA">
        <w:t xml:space="preserve"> (N=409)</w:t>
      </w:r>
    </w:p>
    <w:p w14:paraId="03EE38FF" w14:textId="0C55158C" w:rsidR="00A36FD9" w:rsidRDefault="00A36FD9" w:rsidP="005C3782">
      <w:pPr>
        <w:pStyle w:val="ListParagraph"/>
        <w:numPr>
          <w:ilvl w:val="0"/>
          <w:numId w:val="18"/>
        </w:numPr>
        <w:spacing w:after="120"/>
        <w:ind w:left="1134" w:hanging="425"/>
      </w:pPr>
      <w:r w:rsidRPr="003B1DAA">
        <w:t>Tofacitinib: OPAL Broaden (N=422).</w:t>
      </w:r>
    </w:p>
    <w:p w14:paraId="3CC14E31" w14:textId="3FFE5AF8" w:rsidR="004558C8" w:rsidRPr="00D86231" w:rsidRDefault="00A36FD9" w:rsidP="003A6F51">
      <w:pPr>
        <w:pStyle w:val="ExecSumBodyText"/>
        <w:ind w:left="709" w:hanging="709"/>
      </w:pPr>
      <w:r w:rsidRPr="00F145C7">
        <w:t>The non-inferiority margins for ACR20 and ACR50 response rates were met in all comparison</w:t>
      </w:r>
      <w:r>
        <w:t>s</w:t>
      </w:r>
      <w:r w:rsidRPr="00F145C7">
        <w:t xml:space="preserve"> except for risankizumab (week 24) </w:t>
      </w:r>
      <w:r>
        <w:t>versus</w:t>
      </w:r>
      <w:r w:rsidRPr="00F145C7">
        <w:t xml:space="preserve"> adalimumab (week 12), as the lower RR 95% CI did not exceed 0.46 for ACR20 (RR = 0.717, 95%CI: 0.355, 1.448, p=0.3533) and did not exceed 0.29 for ACR50 (RR = 0.506, 95%CI 0.228, 1.125, p=0.2165).</w:t>
      </w:r>
      <w:r>
        <w:t xml:space="preserve"> The submission noted that this result was consistent with the comparison of </w:t>
      </w:r>
      <w:proofErr w:type="spellStart"/>
      <w:r>
        <w:t>guselkumab</w:t>
      </w:r>
      <w:proofErr w:type="spellEnd"/>
      <w:r>
        <w:t xml:space="preserve"> with adalimumab in the November 2020 </w:t>
      </w:r>
      <w:proofErr w:type="spellStart"/>
      <w:r>
        <w:t>guselkumab</w:t>
      </w:r>
      <w:proofErr w:type="spellEnd"/>
      <w:r>
        <w:t xml:space="preserve"> submission, in which </w:t>
      </w:r>
      <w:proofErr w:type="spellStart"/>
      <w:r>
        <w:t>guselkumab</w:t>
      </w:r>
      <w:proofErr w:type="spellEnd"/>
      <w:r>
        <w:t xml:space="preserve"> did not meet non-inferiority versus adalimumab (</w:t>
      </w:r>
      <w:r w:rsidR="00184096">
        <w:t>p</w:t>
      </w:r>
      <w:r>
        <w:t xml:space="preserve">ara 5.2, </w:t>
      </w:r>
      <w:proofErr w:type="spellStart"/>
      <w:r>
        <w:t>guselkumab</w:t>
      </w:r>
      <w:proofErr w:type="spellEnd"/>
      <w:r>
        <w:t xml:space="preserve"> PSD, November 2020 PBAC submission).</w:t>
      </w:r>
      <w:r w:rsidR="004558C8">
        <w:t xml:space="preserve"> </w:t>
      </w:r>
    </w:p>
    <w:p w14:paraId="1452C351" w14:textId="0D19F1B0" w:rsidR="00B60939" w:rsidRPr="00C9624D" w:rsidRDefault="00B60939" w:rsidP="00D86231">
      <w:pPr>
        <w:pStyle w:val="3-SubsectionHeading"/>
      </w:pPr>
      <w:bookmarkStart w:id="15" w:name="_Toc22897642"/>
      <w:bookmarkStart w:id="16" w:name="_Toc93484131"/>
      <w:r w:rsidRPr="00C9624D">
        <w:t>Comparative harms</w:t>
      </w:r>
      <w:bookmarkEnd w:id="15"/>
      <w:bookmarkEnd w:id="16"/>
    </w:p>
    <w:p w14:paraId="3FC4B139" w14:textId="6718E2A2" w:rsidR="00BA365F" w:rsidRPr="00BA365F" w:rsidRDefault="00BA365F" w:rsidP="00226307">
      <w:pPr>
        <w:pStyle w:val="ExecSumBodyText"/>
        <w:ind w:left="709" w:hanging="709"/>
      </w:pPr>
      <w:r w:rsidRPr="00226307">
        <w:t xml:space="preserve">In both </w:t>
      </w:r>
      <w:proofErr w:type="spellStart"/>
      <w:r w:rsidRPr="00226307">
        <w:t>KEEPsAKE</w:t>
      </w:r>
      <w:proofErr w:type="spellEnd"/>
      <w:r w:rsidRPr="00226307">
        <w:t xml:space="preserve"> trials, similar proportions of patients across treatment arms experienced any treatment emergent adverse event (TEAE), serious TEAEs, or discontinuations due to TEAE. Only one TEAE, upper respiratory tract infection, was reported at 5% or greater incidence (in </w:t>
      </w:r>
      <w:proofErr w:type="spellStart"/>
      <w:r w:rsidRPr="00226307">
        <w:t>KEEPsAKE</w:t>
      </w:r>
      <w:proofErr w:type="spellEnd"/>
      <w:r w:rsidRPr="00226307">
        <w:t xml:space="preserve"> 2 only), and occurred in both treatment arms (risankizumab 7.6%, placebo 5.5%). No deaths occurred during the double-blind treatment phase of either trial.</w:t>
      </w:r>
    </w:p>
    <w:p w14:paraId="11DFA979" w14:textId="77777777" w:rsidR="00BA365F" w:rsidRPr="00BA365F" w:rsidRDefault="00BA365F" w:rsidP="00226307">
      <w:pPr>
        <w:pStyle w:val="ExecSumBodyText"/>
        <w:ind w:left="709" w:hanging="709"/>
      </w:pPr>
      <w:r w:rsidRPr="00226307">
        <w:t xml:space="preserve">TEAEs of interest included major adverse cardiovascular events (MACE and extended MACE), serious infections, malignant tumours, and non-melanoma skin cancers. Similar proportions of risankizumab and placebo-treated patients for experienced these outcomes in both trials, and very few patients overall experienced these adverse events. The submission noted that active tuberculosis, opportunistic infections (excluding tuberculosis and herpes zoster), serious anaphylactic reactions, and adjudicated anaphylactic reactions did not occur in either treatment arm in </w:t>
      </w:r>
      <w:proofErr w:type="spellStart"/>
      <w:r w:rsidRPr="00226307">
        <w:t>KEEPsAKE</w:t>
      </w:r>
      <w:proofErr w:type="spellEnd"/>
      <w:r w:rsidRPr="00226307">
        <w:t xml:space="preserve"> 1 or </w:t>
      </w:r>
      <w:proofErr w:type="spellStart"/>
      <w:r w:rsidRPr="00226307">
        <w:t>KEEPsAKE</w:t>
      </w:r>
      <w:proofErr w:type="spellEnd"/>
      <w:r w:rsidRPr="00226307">
        <w:t xml:space="preserve"> 2.</w:t>
      </w:r>
    </w:p>
    <w:p w14:paraId="4B9E2C0D" w14:textId="6EA4DDFE" w:rsidR="00BA365F" w:rsidRPr="00F02B3C" w:rsidRDefault="00C9734A" w:rsidP="007C2792">
      <w:pPr>
        <w:pStyle w:val="ExecSumBodyText"/>
        <w:ind w:left="709" w:hanging="709"/>
      </w:pPr>
      <w:r>
        <w:t>An</w:t>
      </w:r>
      <w:r w:rsidR="00BA365F" w:rsidRPr="00032EDE">
        <w:t xml:space="preserve"> indirect comparison of risankizumab and </w:t>
      </w:r>
      <w:proofErr w:type="spellStart"/>
      <w:r w:rsidR="00BA365F" w:rsidRPr="00032EDE">
        <w:t>guselkumab</w:t>
      </w:r>
      <w:proofErr w:type="spellEnd"/>
      <w:r w:rsidR="00BA365F" w:rsidRPr="00032EDE">
        <w:t xml:space="preserve"> for </w:t>
      </w:r>
      <w:r w:rsidR="00BA365F">
        <w:t>safet</w:t>
      </w:r>
      <w:r w:rsidR="00BA365F" w:rsidRPr="00032EDE">
        <w:t xml:space="preserve">y outcomes </w:t>
      </w:r>
      <w:r>
        <w:t xml:space="preserve">compared the frequency of treatment-emergent adverse events, serious adverse events and those leading to treatment discontinuation. </w:t>
      </w:r>
      <w:r w:rsidR="00BA365F" w:rsidRPr="00F02B3C">
        <w:t xml:space="preserve">There were no statistically significant differences between risankizumab and </w:t>
      </w:r>
      <w:proofErr w:type="spellStart"/>
      <w:r w:rsidR="00BA365F" w:rsidRPr="00F02B3C">
        <w:t>guselkumab</w:t>
      </w:r>
      <w:proofErr w:type="spellEnd"/>
      <w:r w:rsidR="00BA365F" w:rsidRPr="00F02B3C">
        <w:t xml:space="preserve"> for any of the safety outcome</w:t>
      </w:r>
      <w:r w:rsidRPr="00F02B3C">
        <w:t>s, however the</w:t>
      </w:r>
      <w:r w:rsidR="00BA365F" w:rsidRPr="00F02B3C">
        <w:t xml:space="preserve"> lack of a statistically significant difference for the safety outcomes may not be sufficient to establish non-inferiority.</w:t>
      </w:r>
    </w:p>
    <w:p w14:paraId="7A1772B6" w14:textId="5E660E86" w:rsidR="00B60939" w:rsidRPr="00C9624D" w:rsidRDefault="00B60939" w:rsidP="00E9094A">
      <w:pPr>
        <w:pStyle w:val="3-SubsectionHeading"/>
      </w:pPr>
      <w:bookmarkStart w:id="17" w:name="_Toc22897644"/>
      <w:bookmarkStart w:id="18" w:name="_Toc93484132"/>
      <w:r w:rsidRPr="00C9624D">
        <w:t>Clinical claim</w:t>
      </w:r>
      <w:bookmarkEnd w:id="17"/>
      <w:bookmarkEnd w:id="18"/>
    </w:p>
    <w:p w14:paraId="18E63AFF" w14:textId="4218D188" w:rsidR="003A6F51" w:rsidRPr="00F02B3C" w:rsidRDefault="003A6F51" w:rsidP="00254B41">
      <w:pPr>
        <w:pStyle w:val="ExecSumBodyText"/>
        <w:spacing w:after="80"/>
        <w:ind w:left="709" w:hanging="709"/>
        <w:rPr>
          <w:rFonts w:eastAsia="Calibri"/>
        </w:rPr>
      </w:pPr>
      <w:r w:rsidRPr="003A6F51">
        <w:rPr>
          <w:rFonts w:eastAsia="Calibri"/>
        </w:rPr>
        <w:t xml:space="preserve">The submission described risankizumab as non-inferior in terms of effectiveness and non-inferior in terms of safety compared with </w:t>
      </w:r>
      <w:proofErr w:type="spellStart"/>
      <w:r w:rsidRPr="003A6F51">
        <w:rPr>
          <w:rFonts w:eastAsia="Calibri"/>
        </w:rPr>
        <w:t>guselkumab</w:t>
      </w:r>
      <w:proofErr w:type="spellEnd"/>
      <w:r w:rsidRPr="003A6F51">
        <w:rPr>
          <w:rFonts w:eastAsia="Calibri"/>
        </w:rPr>
        <w:t xml:space="preserve">. </w:t>
      </w:r>
      <w:r w:rsidR="00520C92" w:rsidRPr="00F02B3C">
        <w:rPr>
          <w:rFonts w:eastAsia="Calibri"/>
        </w:rPr>
        <w:t>Based on the evidence presented, this claim was adequately supported.</w:t>
      </w:r>
    </w:p>
    <w:p w14:paraId="58ECDEAB" w14:textId="0D6A9EA4" w:rsidR="003A6F51" w:rsidRDefault="003A6F51" w:rsidP="00254B41">
      <w:pPr>
        <w:pStyle w:val="ExecSumBodyText"/>
        <w:spacing w:after="100"/>
        <w:ind w:left="709" w:hanging="709"/>
        <w:rPr>
          <w:rFonts w:eastAsia="Calibri"/>
        </w:rPr>
      </w:pPr>
      <w:r w:rsidRPr="00F02B3C">
        <w:rPr>
          <w:rFonts w:eastAsia="Calibri"/>
        </w:rPr>
        <w:lastRenderedPageBreak/>
        <w:t xml:space="preserve">The submission did not make an explicit claim of non-inferiority of risankizumab compared to other PBS-listed </w:t>
      </w:r>
      <w:proofErr w:type="spellStart"/>
      <w:r w:rsidRPr="00F02B3C">
        <w:rPr>
          <w:rFonts w:eastAsia="Calibri"/>
        </w:rPr>
        <w:t>bDMARDs</w:t>
      </w:r>
      <w:proofErr w:type="spellEnd"/>
      <w:r w:rsidRPr="00F02B3C">
        <w:rPr>
          <w:rFonts w:eastAsia="Calibri"/>
        </w:rPr>
        <w:t xml:space="preserve"> for the treatment of severe psoriatic arthritis. The evidence presented in the submission supported non-inferiority of risankizumab to the other </w:t>
      </w:r>
      <w:proofErr w:type="spellStart"/>
      <w:r w:rsidRPr="00F02B3C">
        <w:rPr>
          <w:rFonts w:eastAsia="Calibri"/>
        </w:rPr>
        <w:t>bDMARDs</w:t>
      </w:r>
      <w:proofErr w:type="spellEnd"/>
      <w:r w:rsidRPr="00F02B3C">
        <w:rPr>
          <w:rFonts w:eastAsia="Calibri"/>
        </w:rPr>
        <w:t xml:space="preserve"> for ACR20 and ACR50 efficacy outcomes, </w:t>
      </w:r>
      <w:proofErr w:type="gramStart"/>
      <w:r w:rsidRPr="00F02B3C">
        <w:rPr>
          <w:rFonts w:eastAsia="Calibri"/>
        </w:rPr>
        <w:t>with the exception of</w:t>
      </w:r>
      <w:proofErr w:type="gramEnd"/>
      <w:r w:rsidRPr="00F02B3C">
        <w:rPr>
          <w:rFonts w:eastAsia="Calibri"/>
        </w:rPr>
        <w:t xml:space="preserve"> adalimumab.</w:t>
      </w:r>
    </w:p>
    <w:p w14:paraId="3CEA69FC" w14:textId="69F12F9E" w:rsidR="001D00E8" w:rsidRPr="00A117B2" w:rsidRDefault="001D00E8" w:rsidP="00254B41">
      <w:pPr>
        <w:widowControl w:val="0"/>
        <w:numPr>
          <w:ilvl w:val="1"/>
          <w:numId w:val="1"/>
        </w:numPr>
        <w:spacing w:after="100"/>
        <w:ind w:left="720" w:hanging="720"/>
        <w:rPr>
          <w:rFonts w:asciiTheme="minorHAnsi" w:hAnsiTheme="minorHAnsi"/>
          <w:snapToGrid w:val="0"/>
          <w:szCs w:val="20"/>
        </w:rPr>
      </w:pPr>
      <w:bookmarkStart w:id="19" w:name="_Hlk76376200"/>
      <w:r w:rsidRPr="00C77B60">
        <w:rPr>
          <w:rFonts w:asciiTheme="minorHAnsi" w:hAnsiTheme="minorHAnsi"/>
          <w:iCs/>
          <w:snapToGrid w:val="0"/>
        </w:rPr>
        <w:t>The</w:t>
      </w:r>
      <w:r w:rsidRPr="00C77B60">
        <w:rPr>
          <w:rFonts w:asciiTheme="minorHAnsi" w:hAnsiTheme="minorHAnsi"/>
          <w:snapToGrid w:val="0"/>
          <w:szCs w:val="20"/>
        </w:rPr>
        <w:t xml:space="preserve"> PBAC considered that the claim of non-inferior comparative effectiveness</w:t>
      </w:r>
      <w:r w:rsidR="003D0C27" w:rsidRPr="00C77B60">
        <w:rPr>
          <w:rFonts w:asciiTheme="minorHAnsi" w:hAnsiTheme="minorHAnsi"/>
          <w:snapToGrid w:val="0"/>
          <w:szCs w:val="20"/>
        </w:rPr>
        <w:t xml:space="preserve"> and safety to </w:t>
      </w:r>
      <w:proofErr w:type="spellStart"/>
      <w:r w:rsidR="003D0C27" w:rsidRPr="00C77B60">
        <w:rPr>
          <w:rFonts w:asciiTheme="minorHAnsi" w:hAnsiTheme="minorHAnsi"/>
          <w:snapToGrid w:val="0"/>
          <w:szCs w:val="20"/>
        </w:rPr>
        <w:t>guselkumab</w:t>
      </w:r>
      <w:proofErr w:type="spellEnd"/>
      <w:r w:rsidR="003D0C27" w:rsidRPr="00C77B60">
        <w:rPr>
          <w:rFonts w:asciiTheme="minorHAnsi" w:hAnsiTheme="minorHAnsi"/>
          <w:snapToGrid w:val="0"/>
          <w:szCs w:val="20"/>
        </w:rPr>
        <w:t xml:space="preserve"> (and by extension, to other lower tier </w:t>
      </w:r>
      <w:proofErr w:type="spellStart"/>
      <w:r w:rsidR="003D0C27" w:rsidRPr="00C77B60">
        <w:rPr>
          <w:rFonts w:asciiTheme="minorHAnsi" w:hAnsiTheme="minorHAnsi"/>
          <w:snapToGrid w:val="0"/>
          <w:szCs w:val="20"/>
        </w:rPr>
        <w:t>bDMARDs</w:t>
      </w:r>
      <w:proofErr w:type="spellEnd"/>
      <w:r w:rsidR="003D0C27" w:rsidRPr="00C77B60">
        <w:rPr>
          <w:rFonts w:asciiTheme="minorHAnsi" w:hAnsiTheme="minorHAnsi"/>
          <w:snapToGrid w:val="0"/>
          <w:szCs w:val="20"/>
        </w:rPr>
        <w:t xml:space="preserve"> for </w:t>
      </w:r>
      <w:proofErr w:type="spellStart"/>
      <w:r w:rsidR="003D0C27" w:rsidRPr="00C77B60">
        <w:rPr>
          <w:rFonts w:asciiTheme="minorHAnsi" w:hAnsiTheme="minorHAnsi"/>
          <w:snapToGrid w:val="0"/>
          <w:szCs w:val="20"/>
        </w:rPr>
        <w:t>PsA</w:t>
      </w:r>
      <w:proofErr w:type="spellEnd"/>
      <w:r w:rsidR="003D0C27" w:rsidRPr="00C77B60">
        <w:rPr>
          <w:rFonts w:asciiTheme="minorHAnsi" w:hAnsiTheme="minorHAnsi"/>
          <w:snapToGrid w:val="0"/>
          <w:szCs w:val="20"/>
        </w:rPr>
        <w:t xml:space="preserve">) </w:t>
      </w:r>
      <w:r w:rsidRPr="00C77B60">
        <w:rPr>
          <w:rFonts w:asciiTheme="minorHAnsi" w:hAnsiTheme="minorHAnsi"/>
          <w:snapToGrid w:val="0"/>
          <w:szCs w:val="20"/>
        </w:rPr>
        <w:t>was reasonable</w:t>
      </w:r>
      <w:r w:rsidR="003D0C27" w:rsidRPr="00C77B60">
        <w:rPr>
          <w:rFonts w:asciiTheme="minorHAnsi" w:hAnsiTheme="minorHAnsi"/>
          <w:snapToGrid w:val="0"/>
          <w:szCs w:val="20"/>
        </w:rPr>
        <w:t>.</w:t>
      </w:r>
      <w:bookmarkEnd w:id="19"/>
    </w:p>
    <w:p w14:paraId="74A1172E" w14:textId="128C170E" w:rsidR="00B60939" w:rsidRPr="00C9624D" w:rsidRDefault="00B60939" w:rsidP="00E9094A">
      <w:pPr>
        <w:pStyle w:val="3-SubsectionHeading"/>
      </w:pPr>
      <w:bookmarkStart w:id="20" w:name="_Toc22897645"/>
      <w:bookmarkStart w:id="21" w:name="_Toc93484133"/>
      <w:r w:rsidRPr="00C9624D">
        <w:t>Economic analysis</w:t>
      </w:r>
      <w:bookmarkEnd w:id="20"/>
      <w:bookmarkEnd w:id="21"/>
      <w:r w:rsidR="00491B3A" w:rsidRPr="00C9624D">
        <w:t xml:space="preserve"> </w:t>
      </w:r>
    </w:p>
    <w:p w14:paraId="60A460ED" w14:textId="1F5AA21B" w:rsidR="007C235D" w:rsidRDefault="0048662D" w:rsidP="00254B41">
      <w:pPr>
        <w:pStyle w:val="ExecSumBodyText"/>
        <w:spacing w:after="80"/>
        <w:ind w:left="709" w:hanging="709"/>
      </w:pPr>
      <w:r>
        <w:t xml:space="preserve">The submission presented a cost-minimisation analysis </w:t>
      </w:r>
      <w:r w:rsidR="00EB0C85">
        <w:t>of</w:t>
      </w:r>
      <w:r>
        <w:t xml:space="preserve"> risankizumab versus </w:t>
      </w:r>
      <w:proofErr w:type="spellStart"/>
      <w:r>
        <w:t>guselkumab</w:t>
      </w:r>
      <w:proofErr w:type="spellEnd"/>
      <w:r>
        <w:t>.</w:t>
      </w:r>
      <w:r w:rsidR="009A7706" w:rsidRPr="009A7706">
        <w:t xml:space="preserve"> </w:t>
      </w:r>
      <w:r w:rsidR="009A7706">
        <w:t>E</w:t>
      </w:r>
      <w:r w:rsidR="009A7706" w:rsidRPr="00245564">
        <w:t>qui-effective doses were estimated based on trial-based regimens, which are the same as those proposed in the draft Product Information</w:t>
      </w:r>
      <w:r w:rsidR="009A7706">
        <w:t xml:space="preserve"> for risankizumab</w:t>
      </w:r>
      <w:r w:rsidR="009A7706" w:rsidRPr="00245564">
        <w:t xml:space="preserve">, and the Product Information for </w:t>
      </w:r>
      <w:proofErr w:type="spellStart"/>
      <w:r w:rsidR="009A7706" w:rsidRPr="00245564">
        <w:t>guselkumab</w:t>
      </w:r>
      <w:proofErr w:type="spellEnd"/>
      <w:r w:rsidR="009A7706" w:rsidRPr="00245564">
        <w:t>.</w:t>
      </w:r>
      <w:r w:rsidR="009A7706" w:rsidRPr="009A7706">
        <w:t xml:space="preserve"> </w:t>
      </w:r>
    </w:p>
    <w:p w14:paraId="14C1E8F9" w14:textId="38B4B92D" w:rsidR="00275C5A" w:rsidRPr="00226307" w:rsidRDefault="009A7706" w:rsidP="00254B41">
      <w:pPr>
        <w:pStyle w:val="ExecSumBodyText"/>
        <w:spacing w:after="80"/>
        <w:ind w:left="709" w:hanging="709"/>
      </w:pPr>
      <w:r w:rsidRPr="00245564">
        <w:t>The equi-effective doses for initial and continuing therapy are</w:t>
      </w:r>
      <w:r>
        <w:t>:</w:t>
      </w:r>
      <w:r w:rsidRPr="009A7706">
        <w:t xml:space="preserve"> Risankizumab 150</w:t>
      </w:r>
      <w:r w:rsidR="00937545">
        <w:t> </w:t>
      </w:r>
      <w:r w:rsidRPr="009A7706">
        <w:t xml:space="preserve">mg Week 0, 4 </w:t>
      </w:r>
      <w:r w:rsidR="00AD24AE">
        <w:t>and</w:t>
      </w:r>
      <w:r w:rsidRPr="009A7706">
        <w:t xml:space="preserve"> then every 12 weeks; and</w:t>
      </w:r>
      <w:r>
        <w:t xml:space="preserve"> </w:t>
      </w:r>
      <w:proofErr w:type="spellStart"/>
      <w:r>
        <w:t>g</w:t>
      </w:r>
      <w:r w:rsidRPr="009A7706">
        <w:t>uselkumab</w:t>
      </w:r>
      <w:proofErr w:type="spellEnd"/>
      <w:r w:rsidRPr="009A7706">
        <w:t xml:space="preserve"> 100</w:t>
      </w:r>
      <w:r w:rsidR="00937545">
        <w:t> </w:t>
      </w:r>
      <w:r w:rsidRPr="009A7706">
        <w:t>mg at Week 0, 4 and then every 8 weeks</w:t>
      </w:r>
      <w:r>
        <w:t>.</w:t>
      </w:r>
    </w:p>
    <w:p w14:paraId="06D9DFDB" w14:textId="63B0D9EC" w:rsidR="009A7706" w:rsidRPr="00977A64" w:rsidRDefault="009A7706" w:rsidP="00254B41">
      <w:pPr>
        <w:pStyle w:val="ExecSumBodyText"/>
        <w:spacing w:after="100"/>
        <w:ind w:left="709" w:hanging="709"/>
      </w:pPr>
      <w:r w:rsidRPr="00294AF7">
        <w:t>To account for differences in loading doses and dose frequency in both products, the cost-minimisation was calculated over 24 months.</w:t>
      </w:r>
      <w:r>
        <w:t xml:space="preserve"> </w:t>
      </w:r>
      <w:r w:rsidRPr="00977A64">
        <w:t xml:space="preserve">The PBAC previously considered the equi-effective doses of </w:t>
      </w:r>
      <w:proofErr w:type="spellStart"/>
      <w:r w:rsidRPr="00977A64">
        <w:t>guselkumab</w:t>
      </w:r>
      <w:proofErr w:type="spellEnd"/>
      <w:r w:rsidRPr="00977A64">
        <w:t xml:space="preserve"> (100</w:t>
      </w:r>
      <w:r w:rsidR="00937545">
        <w:t> </w:t>
      </w:r>
      <w:r w:rsidRPr="00977A64">
        <w:t>mg at week 0 and 4 then every 8</w:t>
      </w:r>
      <w:r w:rsidR="00937545">
        <w:t> </w:t>
      </w:r>
      <w:r w:rsidRPr="00977A64">
        <w:t xml:space="preserve">weeks) and alternative </w:t>
      </w:r>
      <w:proofErr w:type="spellStart"/>
      <w:r w:rsidRPr="00977A64">
        <w:t>bDMARDs</w:t>
      </w:r>
      <w:proofErr w:type="spellEnd"/>
      <w:r w:rsidRPr="00977A64">
        <w:t xml:space="preserve"> could be derived from the product information and with reference to previously recommended equi-effective doses collated in the PBS Therapeutic Relativity Sheets. The cost-minimisation analysis should be conducted over two years using approved ex-manufacturer prices consistent with methodology previously accepted by the PBAC for </w:t>
      </w:r>
      <w:proofErr w:type="spellStart"/>
      <w:r w:rsidRPr="00977A64">
        <w:t>bDMARDs</w:t>
      </w:r>
      <w:proofErr w:type="spellEnd"/>
      <w:r w:rsidRPr="00977A64">
        <w:t xml:space="preserve"> (</w:t>
      </w:r>
      <w:r w:rsidR="00184096">
        <w:t>p</w:t>
      </w:r>
      <w:r w:rsidRPr="00977A64">
        <w:t xml:space="preserve">ara 7.3, </w:t>
      </w:r>
      <w:proofErr w:type="spellStart"/>
      <w:r w:rsidRPr="00977A64">
        <w:t>guselkumab</w:t>
      </w:r>
      <w:proofErr w:type="spellEnd"/>
      <w:r w:rsidRPr="00977A64">
        <w:t xml:space="preserve"> PSD, November 2020 PBAC meeting).</w:t>
      </w:r>
    </w:p>
    <w:p w14:paraId="399928AA" w14:textId="06032322" w:rsidR="007C235D" w:rsidRPr="00977A64" w:rsidRDefault="0026207F" w:rsidP="00254B41">
      <w:pPr>
        <w:pStyle w:val="ExecSumBodyText"/>
        <w:spacing w:after="100"/>
        <w:ind w:left="709" w:hanging="709"/>
      </w:pPr>
      <w:r w:rsidRPr="00977A64">
        <w:t>Results of the cost-</w:t>
      </w:r>
      <w:r w:rsidR="007C235D" w:rsidRPr="00977A64">
        <w:t>minimisation</w:t>
      </w:r>
      <w:r w:rsidRPr="00977A64">
        <w:t xml:space="preserve"> </w:t>
      </w:r>
      <w:r w:rsidR="007C235D" w:rsidRPr="00977A64">
        <w:t>analysis are presented in the table below</w:t>
      </w:r>
      <w:r w:rsidR="008C5739" w:rsidRPr="00977A64">
        <w:t>.</w:t>
      </w:r>
      <w:r w:rsidR="007C235D" w:rsidRPr="00977A64">
        <w:t xml:space="preserve"> The analysis was based on the published price of </w:t>
      </w:r>
      <w:proofErr w:type="spellStart"/>
      <w:r w:rsidR="007C235D" w:rsidRPr="00977A64">
        <w:t>guselkumab</w:t>
      </w:r>
      <w:proofErr w:type="spellEnd"/>
      <w:r w:rsidR="007C235D" w:rsidRPr="00977A64">
        <w:t xml:space="preserve">, with the submission noting that the effective price of risankizumab will be calculated once the effective price of </w:t>
      </w:r>
      <w:proofErr w:type="spellStart"/>
      <w:r w:rsidR="007C235D" w:rsidRPr="00977A64">
        <w:t>guselkumab</w:t>
      </w:r>
      <w:proofErr w:type="spellEnd"/>
      <w:r w:rsidR="007C235D" w:rsidRPr="00977A64">
        <w:t xml:space="preserve"> is known. </w:t>
      </w:r>
    </w:p>
    <w:p w14:paraId="178A6E66" w14:textId="29658A75" w:rsidR="00001652" w:rsidRPr="00656188" w:rsidRDefault="00001652" w:rsidP="00001652">
      <w:pPr>
        <w:pStyle w:val="Caption"/>
      </w:pPr>
      <w:r w:rsidRPr="00656188">
        <w:t>Table</w:t>
      </w:r>
      <w:r>
        <w:t xml:space="preserve"> </w:t>
      </w:r>
      <w:fldSimple w:instr=" SEQ Table \* ARABIC ">
        <w:r w:rsidR="00374CE2">
          <w:rPr>
            <w:noProof/>
          </w:rPr>
          <w:t>6</w:t>
        </w:r>
      </w:fldSimple>
      <w:r w:rsidRPr="00656188">
        <w:t>: Results of the cost-minimisation analysis</w:t>
      </w:r>
      <w:r>
        <w:t xml:space="preserve"> (Published ex-manufacturer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3043"/>
        <w:gridCol w:w="3041"/>
      </w:tblGrid>
      <w:tr w:rsidR="00001652" w:rsidRPr="00383B78" w14:paraId="28AB6405" w14:textId="77777777" w:rsidTr="002222C1">
        <w:tc>
          <w:tcPr>
            <w:tcW w:w="2972" w:type="dxa"/>
          </w:tcPr>
          <w:p w14:paraId="34B9F6E1" w14:textId="77777777" w:rsidR="00001652" w:rsidRPr="00383B78" w:rsidRDefault="00001652" w:rsidP="002222C1">
            <w:pPr>
              <w:pStyle w:val="Tableheadingrow"/>
              <w:keepLines/>
            </w:pPr>
            <w:r>
              <w:t>Component</w:t>
            </w:r>
          </w:p>
        </w:tc>
        <w:tc>
          <w:tcPr>
            <w:tcW w:w="3081" w:type="dxa"/>
          </w:tcPr>
          <w:p w14:paraId="5D40D593" w14:textId="77777777" w:rsidR="00001652" w:rsidRPr="00383B78" w:rsidRDefault="00001652" w:rsidP="002222C1">
            <w:pPr>
              <w:pStyle w:val="Tableheadingrow"/>
              <w:keepLines/>
              <w:jc w:val="center"/>
            </w:pPr>
            <w:r>
              <w:t>Risankizumab</w:t>
            </w:r>
          </w:p>
        </w:tc>
        <w:tc>
          <w:tcPr>
            <w:tcW w:w="3081" w:type="dxa"/>
          </w:tcPr>
          <w:p w14:paraId="1B4E5F51" w14:textId="77777777" w:rsidR="00001652" w:rsidRPr="00383B78" w:rsidRDefault="00001652" w:rsidP="002222C1">
            <w:pPr>
              <w:pStyle w:val="Tableheadingrow"/>
              <w:keepLines/>
              <w:jc w:val="center"/>
            </w:pPr>
            <w:proofErr w:type="spellStart"/>
            <w:r>
              <w:t>Guselkumab</w:t>
            </w:r>
            <w:proofErr w:type="spellEnd"/>
          </w:p>
        </w:tc>
      </w:tr>
      <w:tr w:rsidR="00001652" w14:paraId="1C96381B" w14:textId="77777777" w:rsidTr="002222C1">
        <w:tc>
          <w:tcPr>
            <w:tcW w:w="2972" w:type="dxa"/>
          </w:tcPr>
          <w:p w14:paraId="5228D321" w14:textId="77777777" w:rsidR="00001652" w:rsidRDefault="00001652" w:rsidP="002222C1">
            <w:pPr>
              <w:pStyle w:val="TableText"/>
              <w:keepLines/>
            </w:pPr>
            <w:r>
              <w:t>Total costs AEMP over 2 years</w:t>
            </w:r>
          </w:p>
        </w:tc>
        <w:tc>
          <w:tcPr>
            <w:tcW w:w="3081" w:type="dxa"/>
          </w:tcPr>
          <w:p w14:paraId="0338857D" w14:textId="77777777" w:rsidR="00001652" w:rsidRDefault="00001652" w:rsidP="002222C1">
            <w:pPr>
              <w:pStyle w:val="TableText"/>
              <w:keepLines/>
              <w:jc w:val="center"/>
            </w:pPr>
            <w:r>
              <w:t>$49,067.37</w:t>
            </w:r>
          </w:p>
        </w:tc>
        <w:tc>
          <w:tcPr>
            <w:tcW w:w="3081" w:type="dxa"/>
          </w:tcPr>
          <w:p w14:paraId="2A65C07D" w14:textId="77777777" w:rsidR="00001652" w:rsidRDefault="00001652" w:rsidP="002222C1">
            <w:pPr>
              <w:pStyle w:val="TableText"/>
              <w:keepLines/>
              <w:jc w:val="center"/>
            </w:pPr>
            <w:r>
              <w:t>$49,067.37</w:t>
            </w:r>
          </w:p>
        </w:tc>
      </w:tr>
      <w:tr w:rsidR="00001652" w14:paraId="1D7993A9" w14:textId="77777777" w:rsidTr="002222C1">
        <w:tc>
          <w:tcPr>
            <w:tcW w:w="2972" w:type="dxa"/>
          </w:tcPr>
          <w:p w14:paraId="49F3333B" w14:textId="77777777" w:rsidR="00001652" w:rsidRDefault="00001652" w:rsidP="002222C1">
            <w:pPr>
              <w:pStyle w:val="TableText"/>
              <w:keepLines/>
            </w:pPr>
            <w:r>
              <w:t>Total packs over 2 years</w:t>
            </w:r>
          </w:p>
        </w:tc>
        <w:tc>
          <w:tcPr>
            <w:tcW w:w="3081" w:type="dxa"/>
          </w:tcPr>
          <w:p w14:paraId="12014CF5" w14:textId="77777777" w:rsidR="00001652" w:rsidRDefault="00001652" w:rsidP="002222C1">
            <w:pPr>
              <w:pStyle w:val="TableText"/>
              <w:keepLines/>
              <w:jc w:val="center"/>
            </w:pPr>
            <w:r>
              <w:t>9.33</w:t>
            </w:r>
          </w:p>
        </w:tc>
        <w:tc>
          <w:tcPr>
            <w:tcW w:w="3081" w:type="dxa"/>
          </w:tcPr>
          <w:p w14:paraId="56F20368" w14:textId="77777777" w:rsidR="00001652" w:rsidRDefault="00001652" w:rsidP="002222C1">
            <w:pPr>
              <w:pStyle w:val="TableText"/>
              <w:keepLines/>
              <w:jc w:val="center"/>
            </w:pPr>
            <w:r>
              <w:t>13.5</w:t>
            </w:r>
          </w:p>
        </w:tc>
      </w:tr>
      <w:tr w:rsidR="00001652" w14:paraId="226791B7" w14:textId="77777777" w:rsidTr="002222C1">
        <w:tc>
          <w:tcPr>
            <w:tcW w:w="2972" w:type="dxa"/>
            <w:vAlign w:val="center"/>
          </w:tcPr>
          <w:p w14:paraId="5C227CEE" w14:textId="77777777" w:rsidR="00001652" w:rsidRDefault="00001652" w:rsidP="002222C1">
            <w:pPr>
              <w:pStyle w:val="TableText"/>
              <w:keepLines/>
            </w:pPr>
            <w:r>
              <w:t>AEMP per pack</w:t>
            </w:r>
          </w:p>
        </w:tc>
        <w:tc>
          <w:tcPr>
            <w:tcW w:w="3081" w:type="dxa"/>
          </w:tcPr>
          <w:p w14:paraId="321F9BB1" w14:textId="77777777" w:rsidR="00001652" w:rsidRPr="00084D61" w:rsidRDefault="00001652" w:rsidP="002222C1">
            <w:pPr>
              <w:pStyle w:val="TableText"/>
              <w:keepLines/>
              <w:jc w:val="center"/>
              <w:rPr>
                <w:vertAlign w:val="superscript"/>
              </w:rPr>
            </w:pPr>
            <w:r>
              <w:t>$5,257.22 ($</w:t>
            </w:r>
            <w:proofErr w:type="gramStart"/>
            <w:r>
              <w:t>5,239.29)</w:t>
            </w:r>
            <w:r>
              <w:rPr>
                <w:vertAlign w:val="superscript"/>
              </w:rPr>
              <w:t>a</w:t>
            </w:r>
            <w:proofErr w:type="gramEnd"/>
          </w:p>
        </w:tc>
        <w:tc>
          <w:tcPr>
            <w:tcW w:w="3081" w:type="dxa"/>
          </w:tcPr>
          <w:p w14:paraId="01A497FE" w14:textId="77777777" w:rsidR="00001652" w:rsidRDefault="00001652" w:rsidP="002222C1">
            <w:pPr>
              <w:pStyle w:val="TableText"/>
              <w:keepLines/>
              <w:jc w:val="center"/>
            </w:pPr>
            <w:r>
              <w:t>$3,634.62</w:t>
            </w:r>
          </w:p>
        </w:tc>
      </w:tr>
    </w:tbl>
    <w:p w14:paraId="7A4DD3EC" w14:textId="77777777" w:rsidR="00001652" w:rsidRDefault="00001652" w:rsidP="00001652">
      <w:pPr>
        <w:pStyle w:val="TableFigureFooter"/>
      </w:pPr>
      <w:r>
        <w:t>Source: Table 3-4, p112 of the submission.</w:t>
      </w:r>
    </w:p>
    <w:p w14:paraId="16C80427" w14:textId="77777777" w:rsidR="00001652" w:rsidRDefault="00001652" w:rsidP="00001652">
      <w:pPr>
        <w:pStyle w:val="TableFigureFooter"/>
      </w:pPr>
      <w:r>
        <w:t>Abbreviations: AEMP, approved ex-manufacturer price</w:t>
      </w:r>
    </w:p>
    <w:p w14:paraId="12540E55" w14:textId="77777777" w:rsidR="00001652" w:rsidRPr="00084D61" w:rsidRDefault="00001652" w:rsidP="00001652">
      <w:pPr>
        <w:pStyle w:val="TableFigureFooter"/>
      </w:pPr>
      <w:r>
        <w:rPr>
          <w:vertAlign w:val="superscript"/>
        </w:rPr>
        <w:t>a</w:t>
      </w:r>
      <w:r>
        <w:t xml:space="preserve"> Current published AEMP for risankizumab for chronic plaque psoriasis</w:t>
      </w:r>
    </w:p>
    <w:p w14:paraId="508BF541" w14:textId="77777777" w:rsidR="009E13E6" w:rsidRDefault="00001652" w:rsidP="009E13E6">
      <w:pPr>
        <w:pStyle w:val="ExecSumBodyText"/>
        <w:ind w:left="709" w:hanging="709"/>
      </w:pPr>
      <w:r>
        <w:rPr>
          <w:rFonts w:ascii="Calibri" w:hAnsi="Calibri"/>
          <w:snapToGrid/>
        </w:rPr>
        <w:t xml:space="preserve">The submission proposed that the published ex-manufacturer price for risankizumab for </w:t>
      </w:r>
      <w:proofErr w:type="spellStart"/>
      <w:r>
        <w:rPr>
          <w:rFonts w:ascii="Calibri" w:hAnsi="Calibri"/>
          <w:snapToGrid/>
        </w:rPr>
        <w:t>PsA</w:t>
      </w:r>
      <w:proofErr w:type="spellEnd"/>
      <w:r>
        <w:rPr>
          <w:rFonts w:ascii="Calibri" w:hAnsi="Calibri"/>
          <w:snapToGrid/>
        </w:rPr>
        <w:t xml:space="preserve"> be $5,239.29, the same as the current published ex-manufacturer price for risankizumab for chronic plaque psoriasis.</w:t>
      </w:r>
    </w:p>
    <w:p w14:paraId="79437CFB" w14:textId="12A518CA" w:rsidR="001E2F24" w:rsidRPr="00977A64" w:rsidRDefault="00001652" w:rsidP="0089079F">
      <w:pPr>
        <w:pStyle w:val="ExecSumBodyText"/>
        <w:ind w:left="709" w:hanging="709"/>
      </w:pPr>
      <w:r w:rsidRPr="00977A64">
        <w:rPr>
          <w:rFonts w:ascii="Calibri" w:hAnsi="Calibri"/>
          <w:snapToGrid/>
        </w:rPr>
        <w:t xml:space="preserve">In the estimation of financial </w:t>
      </w:r>
      <w:proofErr w:type="gramStart"/>
      <w:r w:rsidRPr="00977A64">
        <w:rPr>
          <w:rFonts w:ascii="Calibri" w:hAnsi="Calibri"/>
          <w:snapToGrid/>
        </w:rPr>
        <w:t>impact</w:t>
      </w:r>
      <w:proofErr w:type="gramEnd"/>
      <w:r w:rsidRPr="00977A64">
        <w:rPr>
          <w:rFonts w:ascii="Calibri" w:hAnsi="Calibri"/>
          <w:snapToGrid/>
        </w:rPr>
        <w:t xml:space="preserve"> the submission assumed 10 scripts over two years for risankizumab and 14 scripts over two years for </w:t>
      </w:r>
      <w:proofErr w:type="spellStart"/>
      <w:r w:rsidRPr="00977A64">
        <w:rPr>
          <w:rFonts w:ascii="Calibri" w:hAnsi="Calibri"/>
          <w:snapToGrid/>
        </w:rPr>
        <w:t>ixekizumab</w:t>
      </w:r>
      <w:proofErr w:type="spellEnd"/>
      <w:r w:rsidRPr="00977A64">
        <w:rPr>
          <w:rFonts w:ascii="Calibri" w:hAnsi="Calibri"/>
          <w:snapToGrid/>
        </w:rPr>
        <w:t xml:space="preserve">, which has the same </w:t>
      </w:r>
      <w:r w:rsidRPr="00977A64">
        <w:rPr>
          <w:rFonts w:ascii="Calibri" w:hAnsi="Calibri"/>
          <w:snapToGrid/>
        </w:rPr>
        <w:lastRenderedPageBreak/>
        <w:t xml:space="preserve">dosing schedule as </w:t>
      </w:r>
      <w:proofErr w:type="spellStart"/>
      <w:r w:rsidRPr="00977A64">
        <w:rPr>
          <w:rFonts w:ascii="Calibri" w:hAnsi="Calibri"/>
          <w:snapToGrid/>
        </w:rPr>
        <w:t>guselkumab</w:t>
      </w:r>
      <w:proofErr w:type="spellEnd"/>
      <w:r w:rsidRPr="00977A64">
        <w:rPr>
          <w:rFonts w:ascii="Calibri" w:hAnsi="Calibri"/>
          <w:snapToGrid/>
        </w:rPr>
        <w:t xml:space="preserve"> (Dose at Week 0, 4 and every 8 weeks thereafter). Similarly, in the November 2020 submission for </w:t>
      </w:r>
      <w:proofErr w:type="spellStart"/>
      <w:r w:rsidRPr="00977A64">
        <w:rPr>
          <w:rFonts w:ascii="Calibri" w:hAnsi="Calibri"/>
          <w:snapToGrid/>
        </w:rPr>
        <w:t>guselkumab</w:t>
      </w:r>
      <w:proofErr w:type="spellEnd"/>
      <w:r w:rsidRPr="00977A64">
        <w:rPr>
          <w:rFonts w:ascii="Calibri" w:hAnsi="Calibri"/>
          <w:snapToGrid/>
        </w:rPr>
        <w:t xml:space="preserve">, 14 scripts over two years were used for </w:t>
      </w:r>
      <w:proofErr w:type="spellStart"/>
      <w:r w:rsidRPr="00977A64">
        <w:rPr>
          <w:rFonts w:ascii="Calibri" w:hAnsi="Calibri"/>
          <w:snapToGrid/>
        </w:rPr>
        <w:t>guselkumab</w:t>
      </w:r>
      <w:proofErr w:type="spellEnd"/>
      <w:r w:rsidRPr="00977A64">
        <w:rPr>
          <w:rFonts w:ascii="Calibri" w:hAnsi="Calibri"/>
          <w:snapToGrid/>
        </w:rPr>
        <w:t xml:space="preserve">, and 10 scripts over two years for </w:t>
      </w:r>
      <w:proofErr w:type="spellStart"/>
      <w:r w:rsidRPr="00977A64">
        <w:rPr>
          <w:rFonts w:ascii="Calibri" w:hAnsi="Calibri"/>
          <w:snapToGrid/>
        </w:rPr>
        <w:t>ustekinumab</w:t>
      </w:r>
      <w:proofErr w:type="spellEnd"/>
      <w:r w:rsidRPr="00977A64">
        <w:rPr>
          <w:rFonts w:ascii="Calibri" w:hAnsi="Calibri"/>
          <w:snapToGrid/>
        </w:rPr>
        <w:t xml:space="preserve"> (which has the same dosing schedule as risankizumab; </w:t>
      </w:r>
      <w:r w:rsidR="00184096">
        <w:rPr>
          <w:rFonts w:ascii="Calibri" w:hAnsi="Calibri"/>
          <w:snapToGrid/>
        </w:rPr>
        <w:t>para</w:t>
      </w:r>
      <w:r w:rsidRPr="00977A64">
        <w:rPr>
          <w:rFonts w:ascii="Calibri" w:hAnsi="Calibri"/>
          <w:snapToGrid/>
        </w:rPr>
        <w:t xml:space="preserve"> 6.32, </w:t>
      </w:r>
      <w:proofErr w:type="spellStart"/>
      <w:r w:rsidRPr="00977A64">
        <w:rPr>
          <w:rFonts w:ascii="Calibri" w:hAnsi="Calibri"/>
          <w:snapToGrid/>
        </w:rPr>
        <w:t>guselkumab</w:t>
      </w:r>
      <w:proofErr w:type="spellEnd"/>
      <w:r w:rsidRPr="00977A64">
        <w:rPr>
          <w:rFonts w:ascii="Calibri" w:hAnsi="Calibri"/>
          <w:snapToGrid/>
        </w:rPr>
        <w:t xml:space="preserve"> PSD, November 2020 PBAC meeting). Using</w:t>
      </w:r>
      <w:r w:rsidR="006456B7" w:rsidRPr="00977A64">
        <w:rPr>
          <w:rFonts w:ascii="Calibri" w:hAnsi="Calibri"/>
          <w:snapToGrid/>
        </w:rPr>
        <w:t xml:space="preserve"> the same assumptions as used in the financial estimates (</w:t>
      </w:r>
      <w:r w:rsidRPr="00977A64">
        <w:rPr>
          <w:rFonts w:ascii="Calibri" w:hAnsi="Calibri"/>
          <w:snapToGrid/>
        </w:rPr>
        <w:t xml:space="preserve">10 scripts over two years for risankizumab and 14 scripts over two years for </w:t>
      </w:r>
      <w:proofErr w:type="spellStart"/>
      <w:r w:rsidRPr="00977A64">
        <w:rPr>
          <w:rFonts w:ascii="Calibri" w:hAnsi="Calibri"/>
          <w:snapToGrid/>
        </w:rPr>
        <w:t>guselkumab</w:t>
      </w:r>
      <w:proofErr w:type="spellEnd"/>
      <w:r w:rsidR="006456B7" w:rsidRPr="00977A64">
        <w:rPr>
          <w:rFonts w:ascii="Calibri" w:hAnsi="Calibri"/>
          <w:snapToGrid/>
        </w:rPr>
        <w:t>)</w:t>
      </w:r>
      <w:r w:rsidRPr="00977A64">
        <w:rPr>
          <w:rFonts w:ascii="Calibri" w:hAnsi="Calibri"/>
          <w:snapToGrid/>
        </w:rPr>
        <w:t xml:space="preserve"> for the cost-minimisation analysis, resulted in total costs (AEMP) over two years of $50,884.68, with </w:t>
      </w:r>
      <w:r w:rsidR="006456B7" w:rsidRPr="00977A64">
        <w:rPr>
          <w:rFonts w:ascii="Calibri" w:hAnsi="Calibri"/>
          <w:snapToGrid/>
        </w:rPr>
        <w:t>a</w:t>
      </w:r>
      <w:r w:rsidRPr="00977A64">
        <w:rPr>
          <w:rFonts w:ascii="Calibri" w:hAnsi="Calibri"/>
          <w:snapToGrid/>
        </w:rPr>
        <w:t xml:space="preserve"> cost-minimised AEMP for risankizumab $5,088.47.</w:t>
      </w:r>
    </w:p>
    <w:p w14:paraId="5CFE994C" w14:textId="77777777" w:rsidR="006E7BA3" w:rsidRDefault="006E7BA3" w:rsidP="006E7BA3">
      <w:pPr>
        <w:pStyle w:val="3-SubsectionHeading"/>
      </w:pPr>
      <w:bookmarkStart w:id="22" w:name="_Toc22897646"/>
      <w:bookmarkStart w:id="23" w:name="_Toc22898858"/>
      <w:bookmarkStart w:id="24" w:name="_Toc93484134"/>
      <w:r w:rsidRPr="002C2775">
        <w:t>Drug cost/patient/</w:t>
      </w:r>
      <w:r>
        <w:t>2-year period</w:t>
      </w:r>
      <w:bookmarkEnd w:id="22"/>
      <w:bookmarkEnd w:id="23"/>
      <w:bookmarkEnd w:id="24"/>
    </w:p>
    <w:p w14:paraId="2E4BDED0" w14:textId="62B4BFFE" w:rsidR="006E7BA3" w:rsidRPr="00977A64" w:rsidRDefault="006E7BA3" w:rsidP="0079581E">
      <w:pPr>
        <w:pStyle w:val="ExecSumBodyText"/>
        <w:ind w:left="709" w:hanging="709"/>
        <w:rPr>
          <w:rFonts w:ascii="Calibri" w:hAnsi="Calibri"/>
          <w:snapToGrid/>
        </w:rPr>
      </w:pPr>
      <w:r w:rsidRPr="0079581E">
        <w:rPr>
          <w:rFonts w:ascii="Calibri" w:hAnsi="Calibri"/>
          <w:snapToGrid/>
        </w:rPr>
        <w:t xml:space="preserve">The costs per patient per 2-year period, incorporating loading doses, are summarised in the table below. Estimates in the economic evaluation and financial implications assumed full adherence and persistence. Note that </w:t>
      </w:r>
      <w:proofErr w:type="spellStart"/>
      <w:r w:rsidRPr="0079581E">
        <w:rPr>
          <w:rFonts w:ascii="Calibri" w:hAnsi="Calibri"/>
          <w:snapToGrid/>
        </w:rPr>
        <w:t>guselkumab</w:t>
      </w:r>
      <w:proofErr w:type="spellEnd"/>
      <w:r w:rsidRPr="0079581E">
        <w:rPr>
          <w:rFonts w:ascii="Calibri" w:hAnsi="Calibri"/>
          <w:snapToGrid/>
        </w:rPr>
        <w:t xml:space="preserve"> was not included in estimating the financial implications of listing risankizumab, as it was listed on the PBS in July 2021 and full year data were not available. </w:t>
      </w:r>
      <w:proofErr w:type="spellStart"/>
      <w:r w:rsidRPr="0079581E">
        <w:rPr>
          <w:rFonts w:ascii="Calibri" w:hAnsi="Calibri"/>
          <w:snapToGrid/>
        </w:rPr>
        <w:t>Guselkumab</w:t>
      </w:r>
      <w:proofErr w:type="spellEnd"/>
      <w:r w:rsidRPr="0079581E">
        <w:rPr>
          <w:rFonts w:ascii="Calibri" w:hAnsi="Calibri"/>
          <w:snapToGrid/>
        </w:rPr>
        <w:t xml:space="preserve"> estimates for financial implications were based on the dosing of </w:t>
      </w:r>
      <w:proofErr w:type="spellStart"/>
      <w:r w:rsidRPr="0079581E">
        <w:rPr>
          <w:rFonts w:ascii="Calibri" w:hAnsi="Calibri"/>
          <w:snapToGrid/>
        </w:rPr>
        <w:t>ixekizumab</w:t>
      </w:r>
      <w:proofErr w:type="spellEnd"/>
      <w:r w:rsidRPr="0079581E">
        <w:rPr>
          <w:rFonts w:ascii="Calibri" w:hAnsi="Calibri"/>
          <w:snapToGrid/>
        </w:rPr>
        <w:t xml:space="preserve"> in which has the same dosing schedule</w:t>
      </w:r>
      <w:r w:rsidR="00B930D3" w:rsidRPr="0079581E">
        <w:rPr>
          <w:rFonts w:ascii="Calibri" w:hAnsi="Calibri"/>
          <w:snapToGrid/>
        </w:rPr>
        <w:t xml:space="preserve"> as </w:t>
      </w:r>
      <w:proofErr w:type="spellStart"/>
      <w:r w:rsidR="00B930D3" w:rsidRPr="0079581E">
        <w:rPr>
          <w:rFonts w:ascii="Calibri" w:hAnsi="Calibri"/>
          <w:snapToGrid/>
        </w:rPr>
        <w:t>guselkumab</w:t>
      </w:r>
      <w:proofErr w:type="spellEnd"/>
      <w:r w:rsidRPr="0079581E">
        <w:rPr>
          <w:rFonts w:ascii="Calibri" w:hAnsi="Calibri"/>
          <w:snapToGrid/>
        </w:rPr>
        <w:t>.</w:t>
      </w:r>
      <w:r w:rsidRPr="0079581E">
        <w:rPr>
          <w:rFonts w:ascii="Calibri" w:hAnsi="Calibri"/>
          <w:i/>
          <w:iCs/>
          <w:snapToGrid/>
        </w:rPr>
        <w:t xml:space="preserve"> </w:t>
      </w:r>
      <w:r w:rsidRPr="00977A64">
        <w:rPr>
          <w:rFonts w:ascii="Calibri" w:hAnsi="Calibri"/>
          <w:snapToGrid/>
        </w:rPr>
        <w:t xml:space="preserve">This is consistent with estimates used in the November 2020 </w:t>
      </w:r>
      <w:proofErr w:type="spellStart"/>
      <w:r w:rsidRPr="00977A64">
        <w:rPr>
          <w:rFonts w:ascii="Calibri" w:hAnsi="Calibri"/>
          <w:snapToGrid/>
        </w:rPr>
        <w:t>guselkumab</w:t>
      </w:r>
      <w:proofErr w:type="spellEnd"/>
      <w:r w:rsidRPr="00977A64">
        <w:rPr>
          <w:rFonts w:ascii="Calibri" w:hAnsi="Calibri"/>
          <w:snapToGrid/>
        </w:rPr>
        <w:t xml:space="preserve"> submission (</w:t>
      </w:r>
      <w:r w:rsidR="00184096">
        <w:rPr>
          <w:rFonts w:ascii="Calibri" w:hAnsi="Calibri"/>
          <w:snapToGrid/>
        </w:rPr>
        <w:t>para</w:t>
      </w:r>
      <w:r w:rsidR="00921495" w:rsidRPr="00977A64">
        <w:rPr>
          <w:rFonts w:ascii="Calibri" w:hAnsi="Calibri"/>
          <w:snapToGrid/>
        </w:rPr>
        <w:t xml:space="preserve"> </w:t>
      </w:r>
      <w:r w:rsidR="003347ED" w:rsidRPr="00977A64">
        <w:rPr>
          <w:rFonts w:ascii="Calibri" w:hAnsi="Calibri"/>
          <w:snapToGrid/>
        </w:rPr>
        <w:t xml:space="preserve">6.32, </w:t>
      </w:r>
      <w:proofErr w:type="spellStart"/>
      <w:r w:rsidR="003347ED" w:rsidRPr="00977A64">
        <w:rPr>
          <w:rFonts w:ascii="Calibri" w:hAnsi="Calibri"/>
          <w:snapToGrid/>
        </w:rPr>
        <w:t>guselkumab</w:t>
      </w:r>
      <w:proofErr w:type="spellEnd"/>
      <w:r w:rsidR="003347ED" w:rsidRPr="00977A64">
        <w:rPr>
          <w:rFonts w:ascii="Calibri" w:hAnsi="Calibri"/>
          <w:snapToGrid/>
        </w:rPr>
        <w:t xml:space="preserve"> PSD, November 2020 PBAC meeting</w:t>
      </w:r>
      <w:r w:rsidRPr="00977A64">
        <w:rPr>
          <w:rFonts w:ascii="Calibri" w:hAnsi="Calibri"/>
          <w:snapToGrid/>
        </w:rPr>
        <w:t>).</w:t>
      </w:r>
    </w:p>
    <w:p w14:paraId="2FAFA21D" w14:textId="16C1F0D8" w:rsidR="006E7BA3" w:rsidRDefault="006E7BA3" w:rsidP="006E7BA3">
      <w:pPr>
        <w:pStyle w:val="Caption"/>
      </w:pPr>
      <w:r>
        <w:t xml:space="preserve">Table </w:t>
      </w:r>
      <w:fldSimple w:instr=" SEQ Table \* ARABIC ">
        <w:r w:rsidR="00374CE2">
          <w:rPr>
            <w:noProof/>
          </w:rPr>
          <w:t>7</w:t>
        </w:r>
      </w:fldSimple>
      <w:r>
        <w:t xml:space="preserve">: Drug cost per patient over a </w:t>
      </w:r>
      <w:r w:rsidR="006456B7">
        <w:t>two-year</w:t>
      </w:r>
      <w:r>
        <w:t xml:space="preserve"> period for risankizumab and </w:t>
      </w:r>
      <w:proofErr w:type="spellStart"/>
      <w:r>
        <w:t>guselkumab</w:t>
      </w:r>
      <w:proofErr w:type="spellEnd"/>
    </w:p>
    <w:tbl>
      <w:tblPr>
        <w:tblStyle w:val="TableGrid"/>
        <w:tblW w:w="5000" w:type="pct"/>
        <w:tblCellMar>
          <w:left w:w="28" w:type="dxa"/>
          <w:right w:w="28" w:type="dxa"/>
        </w:tblCellMar>
        <w:tblLook w:val="04A0" w:firstRow="1" w:lastRow="0" w:firstColumn="1" w:lastColumn="0" w:noHBand="0" w:noVBand="1"/>
      </w:tblPr>
      <w:tblGrid>
        <w:gridCol w:w="1556"/>
        <w:gridCol w:w="1865"/>
        <w:gridCol w:w="1865"/>
        <w:gridCol w:w="1865"/>
        <w:gridCol w:w="1866"/>
      </w:tblGrid>
      <w:tr w:rsidR="006E7BA3" w:rsidRPr="00796286" w14:paraId="4F303CFA" w14:textId="77777777" w:rsidTr="002222C1">
        <w:tc>
          <w:tcPr>
            <w:tcW w:w="1555" w:type="dxa"/>
            <w:vMerge w:val="restart"/>
            <w:vAlign w:val="center"/>
          </w:tcPr>
          <w:p w14:paraId="7FEAF01F" w14:textId="77777777" w:rsidR="006E7BA3" w:rsidRPr="00796286" w:rsidRDefault="006E7BA3" w:rsidP="002222C1">
            <w:pPr>
              <w:keepNext/>
              <w:keepLines/>
              <w:jc w:val="left"/>
              <w:rPr>
                <w:rFonts w:ascii="Arial Narrow" w:hAnsi="Arial Narrow"/>
                <w:b/>
                <w:bCs/>
                <w:sz w:val="20"/>
                <w:szCs w:val="20"/>
              </w:rPr>
            </w:pPr>
          </w:p>
        </w:tc>
        <w:tc>
          <w:tcPr>
            <w:tcW w:w="3730" w:type="dxa"/>
            <w:gridSpan w:val="2"/>
            <w:vAlign w:val="center"/>
          </w:tcPr>
          <w:p w14:paraId="730AE14D" w14:textId="77777777" w:rsidR="006E7BA3" w:rsidRPr="00796286" w:rsidRDefault="006E7BA3" w:rsidP="002222C1">
            <w:pPr>
              <w:keepNext/>
              <w:keepLines/>
              <w:jc w:val="center"/>
              <w:rPr>
                <w:rFonts w:ascii="Arial Narrow" w:hAnsi="Arial Narrow"/>
                <w:b/>
                <w:bCs/>
                <w:sz w:val="20"/>
                <w:szCs w:val="20"/>
              </w:rPr>
            </w:pPr>
            <w:r w:rsidRPr="00796286">
              <w:rPr>
                <w:rFonts w:ascii="Arial Narrow" w:hAnsi="Arial Narrow"/>
                <w:b/>
                <w:bCs/>
                <w:sz w:val="20"/>
                <w:szCs w:val="20"/>
              </w:rPr>
              <w:t>Risankizumab</w:t>
            </w:r>
          </w:p>
        </w:tc>
        <w:tc>
          <w:tcPr>
            <w:tcW w:w="3731" w:type="dxa"/>
            <w:gridSpan w:val="2"/>
            <w:vAlign w:val="center"/>
          </w:tcPr>
          <w:p w14:paraId="0372338C" w14:textId="77777777" w:rsidR="006E7BA3" w:rsidRPr="00796286" w:rsidRDefault="006E7BA3" w:rsidP="002222C1">
            <w:pPr>
              <w:keepNext/>
              <w:keepLines/>
              <w:jc w:val="center"/>
              <w:rPr>
                <w:rFonts w:ascii="Arial Narrow" w:hAnsi="Arial Narrow"/>
                <w:b/>
                <w:bCs/>
                <w:sz w:val="20"/>
                <w:szCs w:val="20"/>
              </w:rPr>
            </w:pPr>
            <w:proofErr w:type="spellStart"/>
            <w:r w:rsidRPr="00796286">
              <w:rPr>
                <w:rFonts w:ascii="Arial Narrow" w:hAnsi="Arial Narrow"/>
                <w:b/>
                <w:bCs/>
                <w:sz w:val="20"/>
                <w:szCs w:val="20"/>
              </w:rPr>
              <w:t>Guselkumab</w:t>
            </w:r>
            <w:proofErr w:type="spellEnd"/>
          </w:p>
        </w:tc>
      </w:tr>
      <w:tr w:rsidR="006E7BA3" w:rsidRPr="00796286" w14:paraId="5E4325B2" w14:textId="77777777" w:rsidTr="002222C1">
        <w:tc>
          <w:tcPr>
            <w:tcW w:w="1555" w:type="dxa"/>
            <w:vMerge/>
          </w:tcPr>
          <w:p w14:paraId="08A028BA" w14:textId="77777777" w:rsidR="006E7BA3" w:rsidRPr="00796286" w:rsidRDefault="006E7BA3" w:rsidP="002222C1">
            <w:pPr>
              <w:keepNext/>
              <w:keepLines/>
              <w:jc w:val="left"/>
              <w:rPr>
                <w:rFonts w:ascii="Arial Narrow" w:hAnsi="Arial Narrow"/>
                <w:b/>
                <w:bCs/>
                <w:sz w:val="20"/>
                <w:szCs w:val="20"/>
              </w:rPr>
            </w:pPr>
          </w:p>
        </w:tc>
        <w:tc>
          <w:tcPr>
            <w:tcW w:w="1865" w:type="dxa"/>
            <w:vAlign w:val="center"/>
          </w:tcPr>
          <w:p w14:paraId="03471C40" w14:textId="77777777" w:rsidR="006E7BA3" w:rsidRPr="00796286" w:rsidRDefault="006E7BA3" w:rsidP="002222C1">
            <w:pPr>
              <w:keepNext/>
              <w:keepLines/>
              <w:jc w:val="center"/>
              <w:rPr>
                <w:rFonts w:ascii="Arial Narrow" w:hAnsi="Arial Narrow"/>
                <w:b/>
                <w:bCs/>
                <w:sz w:val="20"/>
                <w:szCs w:val="20"/>
              </w:rPr>
            </w:pPr>
            <w:r>
              <w:rPr>
                <w:rFonts w:ascii="Arial Narrow" w:hAnsi="Arial Narrow"/>
                <w:b/>
                <w:bCs/>
                <w:sz w:val="20"/>
                <w:szCs w:val="20"/>
              </w:rPr>
              <w:t>Economic evaluation</w:t>
            </w:r>
          </w:p>
        </w:tc>
        <w:tc>
          <w:tcPr>
            <w:tcW w:w="1865" w:type="dxa"/>
            <w:vAlign w:val="center"/>
          </w:tcPr>
          <w:p w14:paraId="5A136AF6" w14:textId="77777777" w:rsidR="006E7BA3" w:rsidRPr="00796286" w:rsidRDefault="006E7BA3" w:rsidP="002222C1">
            <w:pPr>
              <w:keepNext/>
              <w:keepLines/>
              <w:jc w:val="center"/>
              <w:rPr>
                <w:rFonts w:ascii="Arial Narrow" w:hAnsi="Arial Narrow"/>
                <w:b/>
                <w:bCs/>
                <w:sz w:val="20"/>
                <w:szCs w:val="20"/>
              </w:rPr>
            </w:pPr>
            <w:r w:rsidRPr="00796286">
              <w:rPr>
                <w:rFonts w:ascii="Arial Narrow" w:hAnsi="Arial Narrow"/>
                <w:b/>
                <w:bCs/>
                <w:sz w:val="20"/>
                <w:szCs w:val="20"/>
              </w:rPr>
              <w:t>Financial implications</w:t>
            </w:r>
          </w:p>
        </w:tc>
        <w:tc>
          <w:tcPr>
            <w:tcW w:w="1865" w:type="dxa"/>
            <w:vAlign w:val="center"/>
          </w:tcPr>
          <w:p w14:paraId="35FB438D" w14:textId="77777777" w:rsidR="006E7BA3" w:rsidRPr="00796286" w:rsidRDefault="006E7BA3" w:rsidP="002222C1">
            <w:pPr>
              <w:keepNext/>
              <w:keepLines/>
              <w:jc w:val="center"/>
              <w:rPr>
                <w:rFonts w:ascii="Arial Narrow" w:hAnsi="Arial Narrow"/>
                <w:b/>
                <w:bCs/>
                <w:sz w:val="20"/>
                <w:szCs w:val="20"/>
              </w:rPr>
            </w:pPr>
            <w:r>
              <w:rPr>
                <w:rFonts w:ascii="Arial Narrow" w:hAnsi="Arial Narrow"/>
                <w:b/>
                <w:bCs/>
                <w:sz w:val="20"/>
                <w:szCs w:val="20"/>
              </w:rPr>
              <w:t>Economic evaluation</w:t>
            </w:r>
          </w:p>
        </w:tc>
        <w:tc>
          <w:tcPr>
            <w:tcW w:w="1866" w:type="dxa"/>
            <w:vAlign w:val="center"/>
          </w:tcPr>
          <w:p w14:paraId="035B3D16" w14:textId="77777777" w:rsidR="006E7BA3" w:rsidRPr="00796286" w:rsidRDefault="006E7BA3" w:rsidP="002222C1">
            <w:pPr>
              <w:keepNext/>
              <w:keepLines/>
              <w:jc w:val="center"/>
              <w:rPr>
                <w:rFonts w:ascii="Arial Narrow" w:hAnsi="Arial Narrow"/>
                <w:b/>
                <w:bCs/>
                <w:sz w:val="20"/>
                <w:szCs w:val="20"/>
              </w:rPr>
            </w:pPr>
            <w:r w:rsidRPr="00796286">
              <w:rPr>
                <w:rFonts w:ascii="Arial Narrow" w:hAnsi="Arial Narrow"/>
                <w:b/>
                <w:bCs/>
                <w:sz w:val="20"/>
                <w:szCs w:val="20"/>
              </w:rPr>
              <w:t>Financial implications</w:t>
            </w:r>
          </w:p>
        </w:tc>
      </w:tr>
      <w:tr w:rsidR="006E7BA3" w:rsidRPr="003F77C4" w14:paraId="30318004" w14:textId="77777777" w:rsidTr="002222C1">
        <w:tc>
          <w:tcPr>
            <w:tcW w:w="1555" w:type="dxa"/>
            <w:vAlign w:val="center"/>
          </w:tcPr>
          <w:p w14:paraId="5109FA0D" w14:textId="77777777" w:rsidR="006E7BA3" w:rsidRPr="003F77C4" w:rsidRDefault="006E7BA3" w:rsidP="002222C1">
            <w:pPr>
              <w:keepNext/>
              <w:keepLines/>
              <w:jc w:val="left"/>
              <w:rPr>
                <w:rFonts w:ascii="Arial Narrow" w:hAnsi="Arial Narrow"/>
                <w:sz w:val="20"/>
                <w:szCs w:val="20"/>
              </w:rPr>
            </w:pPr>
            <w:r w:rsidRPr="003F77C4">
              <w:rPr>
                <w:rFonts w:ascii="Arial Narrow" w:hAnsi="Arial Narrow"/>
                <w:sz w:val="20"/>
                <w:szCs w:val="20"/>
              </w:rPr>
              <w:t>Dosing schedule</w:t>
            </w:r>
          </w:p>
        </w:tc>
        <w:tc>
          <w:tcPr>
            <w:tcW w:w="3730" w:type="dxa"/>
            <w:gridSpan w:val="2"/>
            <w:vAlign w:val="center"/>
          </w:tcPr>
          <w:p w14:paraId="06CA9D24" w14:textId="77777777" w:rsidR="006E7BA3" w:rsidRPr="003F77C4" w:rsidRDefault="006E7BA3" w:rsidP="002222C1">
            <w:pPr>
              <w:keepNext/>
              <w:keepLines/>
              <w:jc w:val="center"/>
              <w:rPr>
                <w:rFonts w:ascii="Arial Narrow" w:hAnsi="Arial Narrow"/>
                <w:sz w:val="20"/>
                <w:szCs w:val="20"/>
              </w:rPr>
            </w:pPr>
            <w:r w:rsidRPr="003F77C4">
              <w:rPr>
                <w:rFonts w:ascii="Arial Narrow" w:hAnsi="Arial Narrow"/>
                <w:sz w:val="20"/>
                <w:szCs w:val="20"/>
              </w:rPr>
              <w:t xml:space="preserve">150 mg at </w:t>
            </w:r>
            <w:r>
              <w:rPr>
                <w:rFonts w:ascii="Arial Narrow" w:hAnsi="Arial Narrow"/>
                <w:sz w:val="20"/>
                <w:szCs w:val="20"/>
              </w:rPr>
              <w:t>W</w:t>
            </w:r>
            <w:r w:rsidRPr="003F77C4">
              <w:rPr>
                <w:rFonts w:ascii="Arial Narrow" w:hAnsi="Arial Narrow"/>
                <w:sz w:val="20"/>
                <w:szCs w:val="20"/>
              </w:rPr>
              <w:t>eek</w:t>
            </w:r>
            <w:r>
              <w:rPr>
                <w:rFonts w:ascii="Arial Narrow" w:hAnsi="Arial Narrow"/>
                <w:sz w:val="20"/>
                <w:szCs w:val="20"/>
              </w:rPr>
              <w:t>s</w:t>
            </w:r>
            <w:r w:rsidRPr="003F77C4">
              <w:rPr>
                <w:rFonts w:ascii="Arial Narrow" w:hAnsi="Arial Narrow"/>
                <w:sz w:val="20"/>
                <w:szCs w:val="20"/>
              </w:rPr>
              <w:t xml:space="preserve"> 0 </w:t>
            </w:r>
            <w:r>
              <w:rPr>
                <w:rFonts w:ascii="Arial Narrow" w:hAnsi="Arial Narrow"/>
                <w:sz w:val="20"/>
                <w:szCs w:val="20"/>
              </w:rPr>
              <w:t xml:space="preserve">and </w:t>
            </w:r>
            <w:r w:rsidRPr="003F77C4">
              <w:rPr>
                <w:rFonts w:ascii="Arial Narrow" w:hAnsi="Arial Narrow"/>
                <w:sz w:val="20"/>
                <w:szCs w:val="20"/>
              </w:rPr>
              <w:t>4</w:t>
            </w:r>
            <w:r>
              <w:rPr>
                <w:rFonts w:ascii="Arial Narrow" w:hAnsi="Arial Narrow"/>
                <w:sz w:val="20"/>
                <w:szCs w:val="20"/>
              </w:rPr>
              <w:t>, then</w:t>
            </w:r>
            <w:r w:rsidRPr="003F77C4">
              <w:rPr>
                <w:rFonts w:ascii="Arial Narrow" w:hAnsi="Arial Narrow"/>
                <w:sz w:val="20"/>
                <w:szCs w:val="20"/>
              </w:rPr>
              <w:t xml:space="preserve"> every 12 weeks</w:t>
            </w:r>
          </w:p>
        </w:tc>
        <w:tc>
          <w:tcPr>
            <w:tcW w:w="3731" w:type="dxa"/>
            <w:gridSpan w:val="2"/>
            <w:vAlign w:val="center"/>
          </w:tcPr>
          <w:p w14:paraId="25FB2E72" w14:textId="77777777" w:rsidR="006E7BA3" w:rsidRPr="003F77C4" w:rsidRDefault="006E7BA3" w:rsidP="002222C1">
            <w:pPr>
              <w:keepNext/>
              <w:keepLines/>
              <w:jc w:val="center"/>
              <w:rPr>
                <w:rFonts w:ascii="Arial Narrow" w:hAnsi="Arial Narrow"/>
                <w:sz w:val="20"/>
                <w:szCs w:val="20"/>
              </w:rPr>
            </w:pPr>
            <w:r w:rsidRPr="003F77C4">
              <w:rPr>
                <w:rFonts w:ascii="Arial Narrow" w:hAnsi="Arial Narrow"/>
                <w:sz w:val="20"/>
                <w:szCs w:val="20"/>
              </w:rPr>
              <w:t xml:space="preserve">100 mg at </w:t>
            </w:r>
            <w:r>
              <w:rPr>
                <w:rFonts w:ascii="Arial Narrow" w:hAnsi="Arial Narrow"/>
                <w:sz w:val="20"/>
                <w:szCs w:val="20"/>
              </w:rPr>
              <w:t>W</w:t>
            </w:r>
            <w:r w:rsidRPr="003F77C4">
              <w:rPr>
                <w:rFonts w:ascii="Arial Narrow" w:hAnsi="Arial Narrow"/>
                <w:sz w:val="20"/>
                <w:szCs w:val="20"/>
              </w:rPr>
              <w:t>eek</w:t>
            </w:r>
            <w:r>
              <w:rPr>
                <w:rFonts w:ascii="Arial Narrow" w:hAnsi="Arial Narrow"/>
                <w:sz w:val="20"/>
                <w:szCs w:val="20"/>
              </w:rPr>
              <w:t>s</w:t>
            </w:r>
            <w:r w:rsidRPr="003F77C4">
              <w:rPr>
                <w:rFonts w:ascii="Arial Narrow" w:hAnsi="Arial Narrow"/>
                <w:sz w:val="20"/>
                <w:szCs w:val="20"/>
              </w:rPr>
              <w:t xml:space="preserve"> 0 </w:t>
            </w:r>
            <w:r>
              <w:rPr>
                <w:rFonts w:ascii="Arial Narrow" w:hAnsi="Arial Narrow"/>
                <w:sz w:val="20"/>
                <w:szCs w:val="20"/>
              </w:rPr>
              <w:t xml:space="preserve">and </w:t>
            </w:r>
            <w:r w:rsidRPr="003F77C4">
              <w:rPr>
                <w:rFonts w:ascii="Arial Narrow" w:hAnsi="Arial Narrow"/>
                <w:sz w:val="20"/>
                <w:szCs w:val="20"/>
              </w:rPr>
              <w:t>4</w:t>
            </w:r>
            <w:r>
              <w:rPr>
                <w:rFonts w:ascii="Arial Narrow" w:hAnsi="Arial Narrow"/>
                <w:sz w:val="20"/>
                <w:szCs w:val="20"/>
              </w:rPr>
              <w:t>, then</w:t>
            </w:r>
            <w:r w:rsidRPr="003F77C4">
              <w:rPr>
                <w:rFonts w:ascii="Arial Narrow" w:hAnsi="Arial Narrow"/>
                <w:sz w:val="20"/>
                <w:szCs w:val="20"/>
              </w:rPr>
              <w:t xml:space="preserve"> every 8 weeks</w:t>
            </w:r>
          </w:p>
        </w:tc>
      </w:tr>
      <w:tr w:rsidR="006E7BA3" w:rsidRPr="003F77C4" w14:paraId="74B7415F" w14:textId="77777777" w:rsidTr="002222C1">
        <w:tc>
          <w:tcPr>
            <w:tcW w:w="1555" w:type="dxa"/>
            <w:vAlign w:val="center"/>
          </w:tcPr>
          <w:p w14:paraId="7608E08F" w14:textId="77777777" w:rsidR="006E7BA3" w:rsidRPr="003F77C4" w:rsidRDefault="006E7BA3" w:rsidP="002222C1">
            <w:pPr>
              <w:keepNext/>
              <w:keepLines/>
              <w:jc w:val="left"/>
              <w:rPr>
                <w:rFonts w:ascii="Arial Narrow" w:hAnsi="Arial Narrow"/>
                <w:sz w:val="20"/>
                <w:szCs w:val="20"/>
              </w:rPr>
            </w:pPr>
            <w:r w:rsidRPr="003F77C4">
              <w:rPr>
                <w:rFonts w:ascii="Arial Narrow" w:hAnsi="Arial Narrow"/>
                <w:sz w:val="20"/>
                <w:szCs w:val="20"/>
              </w:rPr>
              <w:t>Price per dose</w:t>
            </w:r>
          </w:p>
        </w:tc>
        <w:tc>
          <w:tcPr>
            <w:tcW w:w="3730" w:type="dxa"/>
            <w:gridSpan w:val="2"/>
            <w:vAlign w:val="center"/>
          </w:tcPr>
          <w:p w14:paraId="4D9BB640" w14:textId="77777777" w:rsidR="006E7BA3" w:rsidRPr="003F77C4" w:rsidRDefault="006E7BA3" w:rsidP="002222C1">
            <w:pPr>
              <w:keepNext/>
              <w:keepLines/>
              <w:jc w:val="center"/>
              <w:rPr>
                <w:rFonts w:ascii="Arial Narrow" w:hAnsi="Arial Narrow"/>
                <w:sz w:val="20"/>
                <w:szCs w:val="20"/>
              </w:rPr>
            </w:pPr>
            <w:r w:rsidRPr="003F77C4">
              <w:rPr>
                <w:rFonts w:ascii="Arial Narrow" w:hAnsi="Arial Narrow"/>
                <w:sz w:val="20"/>
                <w:szCs w:val="20"/>
              </w:rPr>
              <w:t>Proposed published DPMQ $5,400.51</w:t>
            </w:r>
          </w:p>
        </w:tc>
        <w:tc>
          <w:tcPr>
            <w:tcW w:w="3731" w:type="dxa"/>
            <w:gridSpan w:val="2"/>
            <w:vAlign w:val="center"/>
          </w:tcPr>
          <w:p w14:paraId="69AB8918" w14:textId="77777777" w:rsidR="006E7BA3" w:rsidRPr="003F77C4" w:rsidRDefault="006E7BA3" w:rsidP="002222C1">
            <w:pPr>
              <w:keepNext/>
              <w:keepLines/>
              <w:jc w:val="center"/>
              <w:rPr>
                <w:rFonts w:ascii="Arial Narrow" w:hAnsi="Arial Narrow"/>
                <w:sz w:val="20"/>
                <w:szCs w:val="20"/>
              </w:rPr>
            </w:pPr>
            <w:r w:rsidRPr="003F77C4">
              <w:rPr>
                <w:rFonts w:ascii="Arial Narrow" w:hAnsi="Arial Narrow"/>
                <w:sz w:val="20"/>
                <w:szCs w:val="20"/>
              </w:rPr>
              <w:t>Published DPMQ $3,795.84</w:t>
            </w:r>
          </w:p>
        </w:tc>
      </w:tr>
      <w:tr w:rsidR="006E7BA3" w:rsidRPr="003F77C4" w14:paraId="4B7785FF" w14:textId="77777777" w:rsidTr="002222C1">
        <w:tc>
          <w:tcPr>
            <w:tcW w:w="1555" w:type="dxa"/>
            <w:vAlign w:val="center"/>
          </w:tcPr>
          <w:p w14:paraId="3553C9AE" w14:textId="77777777" w:rsidR="006E7BA3" w:rsidRPr="003F77C4" w:rsidRDefault="006E7BA3" w:rsidP="002222C1">
            <w:pPr>
              <w:keepNext/>
              <w:keepLines/>
              <w:jc w:val="left"/>
              <w:rPr>
                <w:rFonts w:ascii="Arial Narrow" w:hAnsi="Arial Narrow"/>
                <w:sz w:val="20"/>
                <w:szCs w:val="20"/>
              </w:rPr>
            </w:pPr>
            <w:r>
              <w:rPr>
                <w:rFonts w:ascii="Arial Narrow" w:hAnsi="Arial Narrow"/>
                <w:sz w:val="20"/>
                <w:szCs w:val="20"/>
              </w:rPr>
              <w:t>D</w:t>
            </w:r>
            <w:r w:rsidRPr="003F77C4">
              <w:rPr>
                <w:rFonts w:ascii="Arial Narrow" w:hAnsi="Arial Narrow"/>
                <w:sz w:val="20"/>
                <w:szCs w:val="20"/>
              </w:rPr>
              <w:t>oses per 2</w:t>
            </w:r>
            <w:r>
              <w:rPr>
                <w:rFonts w:ascii="Arial Narrow" w:hAnsi="Arial Narrow"/>
                <w:sz w:val="20"/>
                <w:szCs w:val="20"/>
              </w:rPr>
              <w:t>-</w:t>
            </w:r>
            <w:r w:rsidRPr="003F77C4">
              <w:rPr>
                <w:rFonts w:ascii="Arial Narrow" w:hAnsi="Arial Narrow"/>
                <w:sz w:val="20"/>
                <w:szCs w:val="20"/>
              </w:rPr>
              <w:t>year period</w:t>
            </w:r>
          </w:p>
        </w:tc>
        <w:tc>
          <w:tcPr>
            <w:tcW w:w="1865" w:type="dxa"/>
            <w:vAlign w:val="center"/>
          </w:tcPr>
          <w:p w14:paraId="6A6CEEE7" w14:textId="77777777" w:rsidR="006E7BA3" w:rsidRDefault="006E7BA3" w:rsidP="002222C1">
            <w:pPr>
              <w:keepNext/>
              <w:keepLines/>
              <w:jc w:val="center"/>
              <w:rPr>
                <w:rFonts w:ascii="Arial Narrow" w:hAnsi="Arial Narrow"/>
                <w:sz w:val="20"/>
                <w:szCs w:val="20"/>
              </w:rPr>
            </w:pPr>
            <w:r>
              <w:rPr>
                <w:rFonts w:ascii="Arial Narrow" w:hAnsi="Arial Narrow"/>
                <w:sz w:val="20"/>
                <w:szCs w:val="20"/>
              </w:rPr>
              <w:t>9.333</w:t>
            </w:r>
          </w:p>
          <w:p w14:paraId="7015F3D3" w14:textId="77777777" w:rsidR="006E7BA3" w:rsidRPr="003F77C4" w:rsidRDefault="006E7BA3" w:rsidP="002222C1">
            <w:pPr>
              <w:keepNext/>
              <w:keepLines/>
              <w:jc w:val="center"/>
              <w:rPr>
                <w:rFonts w:ascii="Arial Narrow" w:hAnsi="Arial Narrow"/>
                <w:sz w:val="20"/>
                <w:szCs w:val="20"/>
              </w:rPr>
            </w:pPr>
            <w:r>
              <w:rPr>
                <w:rFonts w:ascii="Arial Narrow" w:hAnsi="Arial Narrow"/>
                <w:sz w:val="20"/>
                <w:szCs w:val="20"/>
              </w:rPr>
              <w:t>(0.25 (=1/4) doses/week for 4 weeks + 0.0833 (=1/12) doses/week for 100 weeks)</w:t>
            </w:r>
          </w:p>
        </w:tc>
        <w:tc>
          <w:tcPr>
            <w:tcW w:w="1865" w:type="dxa"/>
            <w:vAlign w:val="center"/>
          </w:tcPr>
          <w:p w14:paraId="1537D2AD" w14:textId="77777777" w:rsidR="006E7BA3" w:rsidRDefault="006E7BA3" w:rsidP="002222C1">
            <w:pPr>
              <w:keepNext/>
              <w:keepLines/>
              <w:jc w:val="center"/>
              <w:rPr>
                <w:rFonts w:ascii="Arial Narrow" w:hAnsi="Arial Narrow"/>
                <w:sz w:val="20"/>
                <w:szCs w:val="20"/>
              </w:rPr>
            </w:pPr>
            <w:r w:rsidRPr="003F77C4">
              <w:rPr>
                <w:rFonts w:ascii="Arial Narrow" w:hAnsi="Arial Narrow"/>
                <w:sz w:val="20"/>
                <w:szCs w:val="20"/>
              </w:rPr>
              <w:t>10</w:t>
            </w:r>
          </w:p>
          <w:p w14:paraId="1999F56A" w14:textId="77777777" w:rsidR="006E7BA3" w:rsidRPr="003F77C4" w:rsidRDefault="006E7BA3" w:rsidP="002222C1">
            <w:pPr>
              <w:keepNext/>
              <w:keepLines/>
              <w:jc w:val="center"/>
              <w:rPr>
                <w:rFonts w:ascii="Arial Narrow" w:hAnsi="Arial Narrow"/>
                <w:sz w:val="20"/>
                <w:szCs w:val="20"/>
              </w:rPr>
            </w:pPr>
            <w:r w:rsidRPr="003F77C4">
              <w:rPr>
                <w:rFonts w:ascii="Arial Narrow" w:hAnsi="Arial Narrow"/>
                <w:sz w:val="20"/>
                <w:szCs w:val="20"/>
              </w:rPr>
              <w:t>(Weeks 0, 4, 16, 28, 40, 52, 64, 76, 88, 100)</w:t>
            </w:r>
          </w:p>
        </w:tc>
        <w:tc>
          <w:tcPr>
            <w:tcW w:w="1865" w:type="dxa"/>
            <w:vAlign w:val="center"/>
          </w:tcPr>
          <w:p w14:paraId="4268B0AF" w14:textId="77777777" w:rsidR="006E7BA3" w:rsidRDefault="006E7BA3" w:rsidP="002222C1">
            <w:pPr>
              <w:keepNext/>
              <w:keepLines/>
              <w:jc w:val="center"/>
              <w:rPr>
                <w:rFonts w:ascii="Arial Narrow" w:hAnsi="Arial Narrow"/>
                <w:sz w:val="20"/>
                <w:szCs w:val="20"/>
              </w:rPr>
            </w:pPr>
            <w:r>
              <w:rPr>
                <w:rFonts w:ascii="Arial Narrow" w:hAnsi="Arial Narrow"/>
                <w:sz w:val="20"/>
                <w:szCs w:val="20"/>
              </w:rPr>
              <w:t>13.5</w:t>
            </w:r>
          </w:p>
          <w:p w14:paraId="454F06DC" w14:textId="77777777" w:rsidR="006E7BA3" w:rsidRPr="003F77C4" w:rsidRDefault="006E7BA3" w:rsidP="002222C1">
            <w:pPr>
              <w:keepNext/>
              <w:keepLines/>
              <w:jc w:val="center"/>
              <w:rPr>
                <w:rFonts w:ascii="Arial Narrow" w:hAnsi="Arial Narrow"/>
                <w:sz w:val="20"/>
                <w:szCs w:val="20"/>
              </w:rPr>
            </w:pPr>
            <w:r>
              <w:rPr>
                <w:rFonts w:ascii="Arial Narrow" w:hAnsi="Arial Narrow"/>
                <w:sz w:val="20"/>
                <w:szCs w:val="20"/>
              </w:rPr>
              <w:t>(0.25 (=1/4) doses/week for 4 weeks + 0.125 (=1/8) doses/week for 100 weeks)</w:t>
            </w:r>
          </w:p>
        </w:tc>
        <w:tc>
          <w:tcPr>
            <w:tcW w:w="1866" w:type="dxa"/>
            <w:vAlign w:val="center"/>
          </w:tcPr>
          <w:p w14:paraId="03C7053C" w14:textId="77777777" w:rsidR="006E7BA3" w:rsidRDefault="006E7BA3" w:rsidP="002222C1">
            <w:pPr>
              <w:keepNext/>
              <w:keepLines/>
              <w:jc w:val="center"/>
              <w:rPr>
                <w:rFonts w:ascii="Arial Narrow" w:hAnsi="Arial Narrow"/>
                <w:sz w:val="20"/>
                <w:szCs w:val="20"/>
              </w:rPr>
            </w:pPr>
            <w:r w:rsidRPr="003F77C4">
              <w:rPr>
                <w:rFonts w:ascii="Arial Narrow" w:hAnsi="Arial Narrow"/>
                <w:sz w:val="20"/>
                <w:szCs w:val="20"/>
              </w:rPr>
              <w:t>14</w:t>
            </w:r>
          </w:p>
          <w:p w14:paraId="05208413" w14:textId="77777777" w:rsidR="006E7BA3" w:rsidRPr="003F77C4" w:rsidRDefault="006E7BA3" w:rsidP="002222C1">
            <w:pPr>
              <w:keepNext/>
              <w:keepLines/>
              <w:jc w:val="center"/>
              <w:rPr>
                <w:rFonts w:ascii="Arial Narrow" w:hAnsi="Arial Narrow"/>
                <w:sz w:val="20"/>
                <w:szCs w:val="20"/>
              </w:rPr>
            </w:pPr>
            <w:r w:rsidRPr="003F77C4">
              <w:rPr>
                <w:rFonts w:ascii="Arial Narrow" w:hAnsi="Arial Narrow"/>
                <w:sz w:val="20"/>
                <w:szCs w:val="20"/>
              </w:rPr>
              <w:t>(Weeks 0, 4, 12, 20, 28, 36, 44, 52, 60, 68, 76, 84, 92, 100)</w:t>
            </w:r>
          </w:p>
        </w:tc>
      </w:tr>
      <w:tr w:rsidR="006E7BA3" w:rsidRPr="003F77C4" w14:paraId="304C6D0C" w14:textId="77777777" w:rsidTr="002222C1">
        <w:tc>
          <w:tcPr>
            <w:tcW w:w="1555" w:type="dxa"/>
            <w:vAlign w:val="center"/>
          </w:tcPr>
          <w:p w14:paraId="435C7136" w14:textId="77777777" w:rsidR="006E7BA3" w:rsidRPr="003F77C4" w:rsidRDefault="006E7BA3" w:rsidP="002222C1">
            <w:pPr>
              <w:keepNext/>
              <w:keepLines/>
              <w:jc w:val="left"/>
              <w:rPr>
                <w:rFonts w:ascii="Arial Narrow" w:hAnsi="Arial Narrow"/>
                <w:sz w:val="20"/>
                <w:szCs w:val="20"/>
              </w:rPr>
            </w:pPr>
            <w:r>
              <w:rPr>
                <w:rFonts w:ascii="Arial Narrow" w:hAnsi="Arial Narrow"/>
                <w:sz w:val="20"/>
                <w:szCs w:val="20"/>
              </w:rPr>
              <w:t>Cost per patient over 2 years</w:t>
            </w:r>
          </w:p>
        </w:tc>
        <w:tc>
          <w:tcPr>
            <w:tcW w:w="1865" w:type="dxa"/>
            <w:vAlign w:val="center"/>
          </w:tcPr>
          <w:p w14:paraId="4C6FFBD5" w14:textId="77777777" w:rsidR="006E7BA3" w:rsidRPr="003F77C4" w:rsidRDefault="006E7BA3" w:rsidP="002222C1">
            <w:pPr>
              <w:keepNext/>
              <w:keepLines/>
              <w:jc w:val="center"/>
              <w:rPr>
                <w:rFonts w:ascii="Arial Narrow" w:hAnsi="Arial Narrow"/>
                <w:sz w:val="20"/>
                <w:szCs w:val="20"/>
              </w:rPr>
            </w:pPr>
            <w:r>
              <w:rPr>
                <w:rFonts w:ascii="Arial Narrow" w:hAnsi="Arial Narrow"/>
                <w:sz w:val="20"/>
                <w:szCs w:val="20"/>
              </w:rPr>
              <w:t>$50,404.76</w:t>
            </w:r>
          </w:p>
        </w:tc>
        <w:tc>
          <w:tcPr>
            <w:tcW w:w="1865" w:type="dxa"/>
            <w:vAlign w:val="center"/>
          </w:tcPr>
          <w:p w14:paraId="7F1D04B3" w14:textId="77777777" w:rsidR="006E7BA3" w:rsidRPr="003F77C4" w:rsidRDefault="006E7BA3" w:rsidP="002222C1">
            <w:pPr>
              <w:keepNext/>
              <w:keepLines/>
              <w:jc w:val="center"/>
              <w:rPr>
                <w:rFonts w:ascii="Arial Narrow" w:hAnsi="Arial Narrow"/>
                <w:sz w:val="20"/>
                <w:szCs w:val="20"/>
              </w:rPr>
            </w:pPr>
            <w:r>
              <w:rPr>
                <w:rFonts w:ascii="Arial Narrow" w:hAnsi="Arial Narrow"/>
                <w:sz w:val="20"/>
                <w:szCs w:val="20"/>
              </w:rPr>
              <w:t>$54,005.10</w:t>
            </w:r>
          </w:p>
        </w:tc>
        <w:tc>
          <w:tcPr>
            <w:tcW w:w="1865" w:type="dxa"/>
            <w:vAlign w:val="center"/>
          </w:tcPr>
          <w:p w14:paraId="174A3D91" w14:textId="77777777" w:rsidR="006E7BA3" w:rsidRPr="003F77C4" w:rsidRDefault="006E7BA3" w:rsidP="002222C1">
            <w:pPr>
              <w:keepNext/>
              <w:keepLines/>
              <w:jc w:val="center"/>
              <w:rPr>
                <w:rFonts w:ascii="Arial Narrow" w:hAnsi="Arial Narrow"/>
                <w:sz w:val="20"/>
                <w:szCs w:val="20"/>
              </w:rPr>
            </w:pPr>
            <w:r w:rsidRPr="00796286">
              <w:rPr>
                <w:rFonts w:ascii="Arial Narrow" w:hAnsi="Arial Narrow"/>
                <w:sz w:val="20"/>
                <w:szCs w:val="20"/>
              </w:rPr>
              <w:t>$51,243.84</w:t>
            </w:r>
          </w:p>
        </w:tc>
        <w:tc>
          <w:tcPr>
            <w:tcW w:w="1866" w:type="dxa"/>
            <w:vAlign w:val="center"/>
          </w:tcPr>
          <w:p w14:paraId="1628A4F1" w14:textId="77777777" w:rsidR="006E7BA3" w:rsidRPr="003F77C4" w:rsidRDefault="006E7BA3" w:rsidP="002222C1">
            <w:pPr>
              <w:keepNext/>
              <w:keepLines/>
              <w:jc w:val="center"/>
              <w:rPr>
                <w:rFonts w:ascii="Arial Narrow" w:hAnsi="Arial Narrow"/>
                <w:sz w:val="20"/>
                <w:szCs w:val="20"/>
              </w:rPr>
            </w:pPr>
            <w:r>
              <w:rPr>
                <w:rFonts w:ascii="Arial Narrow" w:hAnsi="Arial Narrow"/>
                <w:sz w:val="20"/>
                <w:szCs w:val="20"/>
              </w:rPr>
              <w:t>$53,141.76</w:t>
            </w:r>
          </w:p>
        </w:tc>
      </w:tr>
    </w:tbl>
    <w:p w14:paraId="7F002160" w14:textId="77777777" w:rsidR="006E7BA3" w:rsidRPr="00A930AB" w:rsidRDefault="006E7BA3" w:rsidP="006E7BA3">
      <w:pPr>
        <w:pStyle w:val="TableFigureFooter"/>
      </w:pPr>
      <w:r w:rsidRPr="00796286">
        <w:t>Source: constructed during the evaluation using ‘Attachment 7.1 Section 3 Workbook – Cost min RISA vs GUS’ and ‘Attachment 8.1 UCM-Release-3-Workbook-v3’ spreadsheets provided with the submission</w:t>
      </w:r>
    </w:p>
    <w:p w14:paraId="430D4CAC" w14:textId="77777777" w:rsidR="006E7BA3" w:rsidRPr="00C9624D" w:rsidRDefault="006E7BA3" w:rsidP="006E7BA3">
      <w:pPr>
        <w:pStyle w:val="3-SubsectionHeading"/>
      </w:pPr>
      <w:bookmarkStart w:id="25" w:name="_Toc22897647"/>
      <w:bookmarkStart w:id="26" w:name="_Toc22898859"/>
      <w:bookmarkStart w:id="27" w:name="_Toc93484135"/>
      <w:r w:rsidRPr="00C9624D">
        <w:t>Estimated PBS usage &amp; financial implications</w:t>
      </w:r>
      <w:bookmarkEnd w:id="25"/>
      <w:bookmarkEnd w:id="26"/>
      <w:bookmarkEnd w:id="27"/>
    </w:p>
    <w:p w14:paraId="7043326E" w14:textId="1DE37392" w:rsidR="006E7BA3" w:rsidRPr="0079581E" w:rsidRDefault="006E7BA3" w:rsidP="0079581E">
      <w:pPr>
        <w:pStyle w:val="ExecSumBodyText"/>
        <w:ind w:left="709" w:hanging="709"/>
      </w:pPr>
      <w:r>
        <w:t>This submission w</w:t>
      </w:r>
      <w:r w:rsidR="00977A64">
        <w:t xml:space="preserve">as </w:t>
      </w:r>
      <w:r>
        <w:t>not considered by DUSC</w:t>
      </w:r>
      <w:r w:rsidRPr="00F9417D">
        <w:t>.</w:t>
      </w:r>
    </w:p>
    <w:p w14:paraId="5CF29EE5" w14:textId="77777777" w:rsidR="006E7BA3" w:rsidRPr="0079581E" w:rsidRDefault="006E7BA3" w:rsidP="0079581E">
      <w:pPr>
        <w:pStyle w:val="ExecSumBodyText"/>
        <w:ind w:left="709" w:hanging="709"/>
      </w:pPr>
      <w:r w:rsidRPr="00133214">
        <w:t>The submission used a market share approach to estimate the extent of use and financial implications associated with listing risankizumab on the PBS for severe psoriatic arthritis (</w:t>
      </w:r>
      <w:proofErr w:type="spellStart"/>
      <w:r w:rsidRPr="00133214">
        <w:t>PsA</w:t>
      </w:r>
      <w:proofErr w:type="spellEnd"/>
      <w:r w:rsidRPr="00133214">
        <w:t>).</w:t>
      </w:r>
    </w:p>
    <w:p w14:paraId="62C6979F" w14:textId="77777777" w:rsidR="006E7BA3" w:rsidRPr="0079581E" w:rsidRDefault="006E7BA3" w:rsidP="0079581E">
      <w:pPr>
        <w:pStyle w:val="ExecSumBodyText"/>
        <w:ind w:left="709" w:hanging="709"/>
      </w:pPr>
      <w:r>
        <w:t>The sources of data used in the financial estimates are presented in the table below.</w:t>
      </w:r>
    </w:p>
    <w:p w14:paraId="77B3A632" w14:textId="299A6314" w:rsidR="006E7BA3" w:rsidRPr="00A52C42" w:rsidRDefault="006E7BA3" w:rsidP="006E7BA3">
      <w:pPr>
        <w:pStyle w:val="Caption"/>
      </w:pPr>
      <w:r w:rsidRPr="00A52C42">
        <w:lastRenderedPageBreak/>
        <w:t xml:space="preserve">Table </w:t>
      </w:r>
      <w:fldSimple w:instr=" SEQ Table \* ARABIC ">
        <w:r w:rsidR="00374CE2">
          <w:rPr>
            <w:noProof/>
          </w:rPr>
          <w:t>8</w:t>
        </w:r>
      </w:fldSimple>
      <w:r w:rsidRPr="00A52C42">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6E7BA3" w:rsidRPr="003D1DE4" w14:paraId="0E8F8312" w14:textId="77777777" w:rsidTr="007C2792">
        <w:trPr>
          <w:tblHeader/>
        </w:trPr>
        <w:tc>
          <w:tcPr>
            <w:tcW w:w="950" w:type="pct"/>
            <w:shd w:val="clear" w:color="auto" w:fill="auto"/>
            <w:vAlign w:val="center"/>
          </w:tcPr>
          <w:p w14:paraId="41FBBA89" w14:textId="77777777" w:rsidR="006E7BA3" w:rsidRPr="003D1DE4" w:rsidRDefault="006E7BA3" w:rsidP="002222C1">
            <w:pPr>
              <w:pStyle w:val="Tableheadingrow"/>
              <w:keepLines/>
            </w:pPr>
            <w:r>
              <w:t>Parameter</w:t>
            </w:r>
          </w:p>
        </w:tc>
        <w:tc>
          <w:tcPr>
            <w:tcW w:w="2270" w:type="pct"/>
            <w:shd w:val="clear" w:color="auto" w:fill="auto"/>
            <w:vAlign w:val="center"/>
          </w:tcPr>
          <w:p w14:paraId="712FE2AC" w14:textId="77777777" w:rsidR="006E7BA3" w:rsidRPr="003D1DE4" w:rsidRDefault="006E7BA3" w:rsidP="002222C1">
            <w:pPr>
              <w:pStyle w:val="Tableheadingrow"/>
              <w:keepLines/>
            </w:pPr>
            <w:r>
              <w:t>Value applied and source</w:t>
            </w:r>
          </w:p>
        </w:tc>
        <w:tc>
          <w:tcPr>
            <w:tcW w:w="1780" w:type="pct"/>
            <w:shd w:val="clear" w:color="auto" w:fill="auto"/>
            <w:vAlign w:val="center"/>
          </w:tcPr>
          <w:p w14:paraId="5517D692" w14:textId="77777777" w:rsidR="006E7BA3" w:rsidRPr="00977A64" w:rsidRDefault="006E7BA3" w:rsidP="002222C1">
            <w:pPr>
              <w:pStyle w:val="Tableheadingrow"/>
              <w:keepLines/>
            </w:pPr>
            <w:r w:rsidRPr="00977A64">
              <w:t>Comment</w:t>
            </w:r>
          </w:p>
        </w:tc>
      </w:tr>
      <w:tr w:rsidR="006E7BA3" w:rsidRPr="00E2771E" w14:paraId="25F7BB3A" w14:textId="77777777" w:rsidTr="007C2792">
        <w:tc>
          <w:tcPr>
            <w:tcW w:w="950" w:type="pct"/>
            <w:shd w:val="clear" w:color="auto" w:fill="auto"/>
            <w:vAlign w:val="center"/>
          </w:tcPr>
          <w:p w14:paraId="32A40FD3" w14:textId="77777777" w:rsidR="006E7BA3" w:rsidRPr="00E2771E" w:rsidRDefault="006E7BA3" w:rsidP="002222C1">
            <w:pPr>
              <w:pStyle w:val="TableText"/>
              <w:keepLines/>
              <w:rPr>
                <w:lang w:val="en-US"/>
              </w:rPr>
            </w:pPr>
            <w:r>
              <w:rPr>
                <w:lang w:val="en-US"/>
              </w:rPr>
              <w:t>Eligible patients (existing market)</w:t>
            </w:r>
          </w:p>
        </w:tc>
        <w:tc>
          <w:tcPr>
            <w:tcW w:w="2270" w:type="pct"/>
            <w:shd w:val="clear" w:color="auto" w:fill="auto"/>
            <w:vAlign w:val="center"/>
          </w:tcPr>
          <w:p w14:paraId="5AFFD3AA" w14:textId="77F9A196" w:rsidR="006E7BA3" w:rsidRDefault="00C619FE" w:rsidP="002222C1">
            <w:pPr>
              <w:pStyle w:val="TableText"/>
              <w:keepLines/>
              <w:rPr>
                <w:lang w:val="en-US"/>
              </w:rPr>
            </w:pPr>
            <w:r w:rsidRPr="00C619FE">
              <w:rPr>
                <w:color w:val="000000"/>
                <w:spacing w:val="53"/>
                <w:shd w:val="solid" w:color="000000" w:fill="000000"/>
                <w:fitText w:val="330" w:id="-1502405887"/>
                <w:lang w:val="en-US"/>
                <w14:textFill>
                  <w14:solidFill>
                    <w14:srgbClr w14:val="000000">
                      <w14:alpha w14:val="100000"/>
                    </w14:srgbClr>
                  </w14:solidFill>
                </w14:textFill>
              </w:rPr>
              <w:t>|||</w:t>
            </w:r>
            <w:r w:rsidRPr="00C619FE">
              <w:rPr>
                <w:color w:val="000000"/>
                <w:spacing w:val="1"/>
                <w:shd w:val="solid" w:color="000000" w:fill="000000"/>
                <w:fitText w:val="330" w:id="-1502405887"/>
                <w:lang w:val="en-US"/>
                <w14:textFill>
                  <w14:solidFill>
                    <w14:srgbClr w14:val="000000">
                      <w14:alpha w14:val="100000"/>
                    </w14:srgbClr>
                  </w14:solidFill>
                </w14:textFill>
              </w:rPr>
              <w:t>|</w:t>
            </w:r>
            <w:r w:rsidR="006E7BA3">
              <w:rPr>
                <w:lang w:val="en-US"/>
              </w:rPr>
              <w:t xml:space="preserve"> in Year 1, increasing to </w:t>
            </w:r>
            <w:r w:rsidRPr="00C619FE">
              <w:rPr>
                <w:color w:val="000000"/>
                <w:spacing w:val="53"/>
                <w:shd w:val="solid" w:color="000000" w:fill="000000"/>
                <w:fitText w:val="330" w:id="-1502405886"/>
                <w:lang w:val="en-US"/>
                <w14:textFill>
                  <w14:solidFill>
                    <w14:srgbClr w14:val="000000">
                      <w14:alpha w14:val="100000"/>
                    </w14:srgbClr>
                  </w14:solidFill>
                </w14:textFill>
              </w:rPr>
              <w:t>|||</w:t>
            </w:r>
            <w:r w:rsidRPr="00C619FE">
              <w:rPr>
                <w:color w:val="000000"/>
                <w:spacing w:val="1"/>
                <w:shd w:val="solid" w:color="000000" w:fill="000000"/>
                <w:fitText w:val="330" w:id="-1502405886"/>
                <w:lang w:val="en-US"/>
                <w14:textFill>
                  <w14:solidFill>
                    <w14:srgbClr w14:val="000000">
                      <w14:alpha w14:val="100000"/>
                    </w14:srgbClr>
                  </w14:solidFill>
                </w14:textFill>
              </w:rPr>
              <w:t>|</w:t>
            </w:r>
            <w:r w:rsidR="006E7BA3">
              <w:rPr>
                <w:lang w:val="en-US"/>
              </w:rPr>
              <w:t xml:space="preserve"> in Year 6.</w:t>
            </w:r>
          </w:p>
          <w:p w14:paraId="2367FB93" w14:textId="00D5F0E2" w:rsidR="006E7BA3" w:rsidRPr="00E2771E" w:rsidRDefault="006E7BA3" w:rsidP="002222C1">
            <w:pPr>
              <w:pStyle w:val="TableText"/>
              <w:keepLines/>
              <w:rPr>
                <w:lang w:val="en-US"/>
              </w:rPr>
            </w:pPr>
            <w:r>
              <w:rPr>
                <w:lang w:val="en-US"/>
              </w:rPr>
              <w:t xml:space="preserve">PBS script data for </w:t>
            </w:r>
            <w:r>
              <w:t xml:space="preserve">adalimumab, certolizumab pegol, etanercept, golimumab, infliximab, </w:t>
            </w:r>
            <w:proofErr w:type="spellStart"/>
            <w:r>
              <w:t>ixekizumab</w:t>
            </w:r>
            <w:proofErr w:type="spellEnd"/>
            <w:r>
              <w:t xml:space="preserve">, </w:t>
            </w:r>
            <w:proofErr w:type="spellStart"/>
            <w:r>
              <w:t>secukinumab</w:t>
            </w:r>
            <w:proofErr w:type="spellEnd"/>
            <w:r>
              <w:t xml:space="preserve">, tofacitinib, </w:t>
            </w:r>
            <w:proofErr w:type="spellStart"/>
            <w:r>
              <w:t>ustekinumab</w:t>
            </w:r>
            <w:proofErr w:type="spellEnd"/>
            <w:r>
              <w:t xml:space="preserve"> for psoriatic arthritis</w:t>
            </w:r>
            <w:r>
              <w:rPr>
                <w:lang w:val="en-US"/>
              </w:rPr>
              <w:t xml:space="preserve"> from 2016-2020 were converted to patient numbers by dividing by the average number of scripts per year for each treatment. Annual market growth was based on a linear extrapolation (</w:t>
            </w:r>
            <w:r w:rsidR="00C619FE" w:rsidRPr="00C619FE">
              <w:rPr>
                <w:color w:val="000000"/>
                <w:spacing w:val="53"/>
                <w:shd w:val="solid" w:color="000000" w:fill="000000"/>
                <w:fitText w:val="330" w:id="-1502405885"/>
                <w:lang w:val="en-US"/>
                <w14:textFill>
                  <w14:solidFill>
                    <w14:srgbClr w14:val="000000">
                      <w14:alpha w14:val="100000"/>
                    </w14:srgbClr>
                  </w14:solidFill>
                </w14:textFill>
              </w:rPr>
              <w:t>|||</w:t>
            </w:r>
            <w:r w:rsidR="00C619FE" w:rsidRPr="00C619FE">
              <w:rPr>
                <w:color w:val="000000"/>
                <w:spacing w:val="1"/>
                <w:shd w:val="solid" w:color="000000" w:fill="000000"/>
                <w:fitText w:val="330" w:id="-1502405885"/>
                <w:lang w:val="en-US"/>
                <w14:textFill>
                  <w14:solidFill>
                    <w14:srgbClr w14:val="000000">
                      <w14:alpha w14:val="100000"/>
                    </w14:srgbClr>
                  </w14:solidFill>
                </w14:textFill>
              </w:rPr>
              <w:t>|</w:t>
            </w:r>
            <w:r>
              <w:rPr>
                <w:lang w:val="en-US"/>
              </w:rPr>
              <w:t xml:space="preserve"> additional patients per year).</w:t>
            </w:r>
            <w:r>
              <w:rPr>
                <w:i/>
                <w:lang w:val="en-US"/>
              </w:rPr>
              <w:t xml:space="preserve"> </w:t>
            </w:r>
            <w:r w:rsidRPr="00155B4D">
              <w:rPr>
                <w:iCs/>
                <w:lang w:val="en-US"/>
              </w:rPr>
              <w:t>It was assumed that the listing of risankizumab would not grow the market</w:t>
            </w:r>
            <w:r>
              <w:rPr>
                <w:iCs/>
                <w:lang w:val="en-US"/>
              </w:rPr>
              <w:t>.</w:t>
            </w:r>
          </w:p>
        </w:tc>
        <w:tc>
          <w:tcPr>
            <w:tcW w:w="1780" w:type="pct"/>
            <w:shd w:val="clear" w:color="auto" w:fill="auto"/>
            <w:vAlign w:val="center"/>
          </w:tcPr>
          <w:p w14:paraId="7535A494" w14:textId="15795CD9" w:rsidR="006E7BA3" w:rsidRPr="00977A64" w:rsidRDefault="006E7BA3" w:rsidP="002222C1">
            <w:pPr>
              <w:pStyle w:val="TableText"/>
              <w:keepLines/>
              <w:rPr>
                <w:lang w:val="en-US"/>
              </w:rPr>
            </w:pPr>
            <w:r w:rsidRPr="00977A64">
              <w:rPr>
                <w:lang w:val="en-US"/>
              </w:rPr>
              <w:t xml:space="preserve">It is unclear whether the derivation of patient numbers was reasonable due to inconsistencies between the average number of scripts per year and the number of doses per script for </w:t>
            </w:r>
            <w:proofErr w:type="gramStart"/>
            <w:r w:rsidRPr="00977A64">
              <w:rPr>
                <w:lang w:val="en-US"/>
              </w:rPr>
              <w:t>a number of</w:t>
            </w:r>
            <w:proofErr w:type="gramEnd"/>
            <w:r w:rsidRPr="00977A64">
              <w:rPr>
                <w:lang w:val="en-US"/>
              </w:rPr>
              <w:t xml:space="preserve"> therapies.</w:t>
            </w:r>
          </w:p>
        </w:tc>
      </w:tr>
      <w:tr w:rsidR="006E7BA3" w:rsidRPr="00E2771E" w14:paraId="78650B28" w14:textId="77777777" w:rsidTr="007C2792">
        <w:tc>
          <w:tcPr>
            <w:tcW w:w="950" w:type="pct"/>
            <w:shd w:val="clear" w:color="auto" w:fill="auto"/>
            <w:vAlign w:val="center"/>
          </w:tcPr>
          <w:p w14:paraId="2BD6647B" w14:textId="77777777" w:rsidR="006E7BA3" w:rsidRDefault="006E7BA3" w:rsidP="002222C1">
            <w:pPr>
              <w:pStyle w:val="TableText"/>
              <w:keepLines/>
              <w:rPr>
                <w:lang w:val="en-US"/>
              </w:rPr>
            </w:pPr>
            <w:r>
              <w:rPr>
                <w:lang w:val="en-US"/>
              </w:rPr>
              <w:t>Uptake rate</w:t>
            </w:r>
          </w:p>
        </w:tc>
        <w:tc>
          <w:tcPr>
            <w:tcW w:w="2270" w:type="pct"/>
            <w:shd w:val="clear" w:color="auto" w:fill="auto"/>
            <w:vAlign w:val="center"/>
          </w:tcPr>
          <w:p w14:paraId="5AD9964D" w14:textId="45FB428E" w:rsidR="006E7BA3" w:rsidRDefault="00C619FE" w:rsidP="002222C1">
            <w:pPr>
              <w:pStyle w:val="TableText"/>
              <w:keepLines/>
              <w:rPr>
                <w:lang w:val="en-US"/>
              </w:rPr>
            </w:pPr>
            <w:r w:rsidRPr="00C619FE">
              <w:rPr>
                <w:color w:val="000000"/>
                <w:spacing w:val="53"/>
                <w:shd w:val="solid" w:color="000000" w:fill="000000"/>
                <w:fitText w:val="330" w:id="-1502405884"/>
                <w:lang w:val="en-US"/>
                <w14:textFill>
                  <w14:solidFill>
                    <w14:srgbClr w14:val="000000">
                      <w14:alpha w14:val="100000"/>
                    </w14:srgbClr>
                  </w14:solidFill>
                </w14:textFill>
              </w:rPr>
              <w:t>|||</w:t>
            </w:r>
            <w:r w:rsidRPr="00C619FE">
              <w:rPr>
                <w:color w:val="000000"/>
                <w:spacing w:val="1"/>
                <w:shd w:val="solid" w:color="000000" w:fill="000000"/>
                <w:fitText w:val="330" w:id="-1502405884"/>
                <w:lang w:val="en-US"/>
                <w14:textFill>
                  <w14:solidFill>
                    <w14:srgbClr w14:val="000000">
                      <w14:alpha w14:val="100000"/>
                    </w14:srgbClr>
                  </w14:solidFill>
                </w14:textFill>
              </w:rPr>
              <w:t>|</w:t>
            </w:r>
            <w:r w:rsidR="006E7BA3">
              <w:rPr>
                <w:lang w:val="en-US"/>
              </w:rPr>
              <w:t xml:space="preserve">% in Year 1, increasing to </w:t>
            </w:r>
            <w:r w:rsidRPr="00C619FE">
              <w:rPr>
                <w:color w:val="000000"/>
                <w:spacing w:val="53"/>
                <w:shd w:val="solid" w:color="000000" w:fill="000000"/>
                <w:fitText w:val="330" w:id="-1502405883"/>
                <w:lang w:val="en-US"/>
                <w14:textFill>
                  <w14:solidFill>
                    <w14:srgbClr w14:val="000000">
                      <w14:alpha w14:val="100000"/>
                    </w14:srgbClr>
                  </w14:solidFill>
                </w14:textFill>
              </w:rPr>
              <w:t>|||</w:t>
            </w:r>
            <w:r w:rsidRPr="00C619FE">
              <w:rPr>
                <w:color w:val="000000"/>
                <w:spacing w:val="1"/>
                <w:shd w:val="solid" w:color="000000" w:fill="000000"/>
                <w:fitText w:val="330" w:id="-1502405883"/>
                <w:lang w:val="en-US"/>
                <w14:textFill>
                  <w14:solidFill>
                    <w14:srgbClr w14:val="000000">
                      <w14:alpha w14:val="100000"/>
                    </w14:srgbClr>
                  </w14:solidFill>
                </w14:textFill>
              </w:rPr>
              <w:t>|</w:t>
            </w:r>
            <w:r w:rsidR="006E7BA3">
              <w:rPr>
                <w:lang w:val="en-US"/>
              </w:rPr>
              <w:t>% in Year 6.</w:t>
            </w:r>
            <w:r w:rsidR="006E7BA3">
              <w:rPr>
                <w:i/>
                <w:iCs/>
              </w:rPr>
              <w:t xml:space="preserve"> </w:t>
            </w:r>
            <w:r w:rsidR="006E7BA3" w:rsidRPr="00126A17">
              <w:t>The submission stated that</w:t>
            </w:r>
            <w:r w:rsidR="006E7BA3">
              <w:t xml:space="preserve"> the source was a commercial-in-confidence sponsor forecast.</w:t>
            </w:r>
          </w:p>
        </w:tc>
        <w:tc>
          <w:tcPr>
            <w:tcW w:w="1780" w:type="pct"/>
            <w:shd w:val="clear" w:color="auto" w:fill="auto"/>
            <w:vAlign w:val="center"/>
          </w:tcPr>
          <w:p w14:paraId="6867FD15" w14:textId="77777777" w:rsidR="006E7BA3" w:rsidRPr="00977A64" w:rsidRDefault="006E7BA3" w:rsidP="002222C1">
            <w:pPr>
              <w:pStyle w:val="TableText"/>
              <w:keepLines/>
              <w:rPr>
                <w:lang w:val="en-US"/>
              </w:rPr>
            </w:pPr>
            <w:r w:rsidRPr="00977A64">
              <w:t xml:space="preserve">No further details were provided for uptake rates. </w:t>
            </w:r>
          </w:p>
        </w:tc>
      </w:tr>
      <w:tr w:rsidR="006E7BA3" w:rsidRPr="00E2771E" w14:paraId="7A6A4E66" w14:textId="77777777" w:rsidTr="007C2792">
        <w:tc>
          <w:tcPr>
            <w:tcW w:w="950" w:type="pct"/>
            <w:shd w:val="clear" w:color="auto" w:fill="auto"/>
            <w:vAlign w:val="center"/>
          </w:tcPr>
          <w:p w14:paraId="5769F963" w14:textId="77777777" w:rsidR="006E7BA3" w:rsidRDefault="006E7BA3" w:rsidP="002222C1">
            <w:pPr>
              <w:pStyle w:val="TableText"/>
              <w:keepLines/>
              <w:rPr>
                <w:lang w:val="en-US"/>
              </w:rPr>
            </w:pPr>
            <w:r>
              <w:rPr>
                <w:lang w:val="en-US"/>
              </w:rPr>
              <w:t>Substitution</w:t>
            </w:r>
          </w:p>
        </w:tc>
        <w:tc>
          <w:tcPr>
            <w:tcW w:w="2270" w:type="pct"/>
            <w:shd w:val="clear" w:color="auto" w:fill="auto"/>
            <w:vAlign w:val="center"/>
          </w:tcPr>
          <w:p w14:paraId="17912E8C" w14:textId="38B16D24" w:rsidR="006E7BA3" w:rsidRDefault="006E7BA3" w:rsidP="002222C1">
            <w:pPr>
              <w:pStyle w:val="TableText"/>
              <w:keepLines/>
              <w:rPr>
                <w:lang w:val="en-US"/>
              </w:rPr>
            </w:pPr>
            <w:r>
              <w:rPr>
                <w:lang w:val="en-US"/>
              </w:rPr>
              <w:t>2020 PBS script data for each therapy were inflated by market growth estimates (based on the percentage increase in patient numbers for each year). All therapies were assumed to have the same growth. Substitution with risankizumab was assumed to be the same from each therapy (</w:t>
            </w:r>
            <w:r w:rsidR="00C619FE" w:rsidRPr="00C619FE">
              <w:rPr>
                <w:color w:val="000000"/>
                <w:spacing w:val="53"/>
                <w:shd w:val="solid" w:color="000000" w:fill="000000"/>
                <w:fitText w:val="330" w:id="-1502405882"/>
                <w:lang w:val="en-US"/>
                <w14:textFill>
                  <w14:solidFill>
                    <w14:srgbClr w14:val="000000">
                      <w14:alpha w14:val="100000"/>
                    </w14:srgbClr>
                  </w14:solidFill>
                </w14:textFill>
              </w:rPr>
              <w:t>|||</w:t>
            </w:r>
            <w:r w:rsidR="00C619FE" w:rsidRPr="00C619FE">
              <w:rPr>
                <w:color w:val="000000"/>
                <w:spacing w:val="1"/>
                <w:shd w:val="solid" w:color="000000" w:fill="000000"/>
                <w:fitText w:val="330" w:id="-1502405882"/>
                <w:lang w:val="en-US"/>
                <w14:textFill>
                  <w14:solidFill>
                    <w14:srgbClr w14:val="000000">
                      <w14:alpha w14:val="100000"/>
                    </w14:srgbClr>
                  </w14:solidFill>
                </w14:textFill>
              </w:rPr>
              <w:t>|</w:t>
            </w:r>
            <w:r>
              <w:rPr>
                <w:lang w:val="en-US"/>
              </w:rPr>
              <w:t xml:space="preserve">% in Year 1 to </w:t>
            </w:r>
            <w:r w:rsidR="00C619FE" w:rsidRPr="00C619FE">
              <w:rPr>
                <w:color w:val="000000"/>
                <w:spacing w:val="53"/>
                <w:shd w:val="solid" w:color="000000" w:fill="000000"/>
                <w:fitText w:val="330" w:id="-1502405881"/>
                <w:lang w:val="en-US"/>
                <w14:textFill>
                  <w14:solidFill>
                    <w14:srgbClr w14:val="000000">
                      <w14:alpha w14:val="100000"/>
                    </w14:srgbClr>
                  </w14:solidFill>
                </w14:textFill>
              </w:rPr>
              <w:t>|||</w:t>
            </w:r>
            <w:r w:rsidR="00C619FE" w:rsidRPr="00C619FE">
              <w:rPr>
                <w:color w:val="000000"/>
                <w:spacing w:val="1"/>
                <w:shd w:val="solid" w:color="000000" w:fill="000000"/>
                <w:fitText w:val="330" w:id="-1502405881"/>
                <w:lang w:val="en-US"/>
                <w14:textFill>
                  <w14:solidFill>
                    <w14:srgbClr w14:val="000000">
                      <w14:alpha w14:val="100000"/>
                    </w14:srgbClr>
                  </w14:solidFill>
                </w14:textFill>
              </w:rPr>
              <w:t>|</w:t>
            </w:r>
            <w:r>
              <w:rPr>
                <w:lang w:val="en-US"/>
              </w:rPr>
              <w:t>% in Year 6).</w:t>
            </w:r>
          </w:p>
        </w:tc>
        <w:tc>
          <w:tcPr>
            <w:tcW w:w="1780" w:type="pct"/>
            <w:shd w:val="clear" w:color="auto" w:fill="auto"/>
            <w:vAlign w:val="center"/>
          </w:tcPr>
          <w:p w14:paraId="37B373B2" w14:textId="77777777" w:rsidR="006E7BA3" w:rsidRPr="00977A64" w:rsidRDefault="006E7BA3" w:rsidP="002222C1">
            <w:pPr>
              <w:pStyle w:val="TableText"/>
              <w:keepLines/>
            </w:pPr>
            <w:r w:rsidRPr="00977A64">
              <w:t xml:space="preserve">There are likely to be differences in market growth between therapies and differential substitution with risankizumab. However, this may be a reasonable simplifying assumption. </w:t>
            </w:r>
          </w:p>
        </w:tc>
      </w:tr>
      <w:tr w:rsidR="006E7BA3" w:rsidRPr="00E2771E" w14:paraId="0B036860" w14:textId="77777777" w:rsidTr="007C2792">
        <w:tc>
          <w:tcPr>
            <w:tcW w:w="950" w:type="pct"/>
            <w:shd w:val="clear" w:color="auto" w:fill="auto"/>
            <w:vAlign w:val="center"/>
          </w:tcPr>
          <w:p w14:paraId="5B4E9DFB" w14:textId="77777777" w:rsidR="006E7BA3" w:rsidRDefault="006E7BA3" w:rsidP="002222C1">
            <w:pPr>
              <w:pStyle w:val="TableText"/>
              <w:keepLines/>
              <w:rPr>
                <w:lang w:val="en-US"/>
              </w:rPr>
            </w:pPr>
            <w:r>
              <w:rPr>
                <w:lang w:val="en-US"/>
              </w:rPr>
              <w:t>Grandfathered patients</w:t>
            </w:r>
          </w:p>
        </w:tc>
        <w:tc>
          <w:tcPr>
            <w:tcW w:w="2270" w:type="pct"/>
            <w:shd w:val="clear" w:color="auto" w:fill="auto"/>
            <w:vAlign w:val="center"/>
          </w:tcPr>
          <w:p w14:paraId="720F9AFE" w14:textId="569B91EE" w:rsidR="006E7BA3" w:rsidRPr="00B9620B" w:rsidRDefault="006E7BA3" w:rsidP="002222C1">
            <w:pPr>
              <w:pStyle w:val="TableText"/>
              <w:keepLines/>
              <w:rPr>
                <w:i/>
                <w:iCs/>
                <w:lang w:val="en-US"/>
              </w:rPr>
            </w:pPr>
            <w:r>
              <w:rPr>
                <w:lang w:val="en-US"/>
              </w:rPr>
              <w:t xml:space="preserve">The submission estimated that </w:t>
            </w:r>
            <w:r w:rsidR="00C619FE" w:rsidRPr="00C619FE">
              <w:rPr>
                <w:color w:val="000000"/>
                <w:spacing w:val="53"/>
                <w:shd w:val="solid" w:color="000000" w:fill="000000"/>
                <w:fitText w:val="330" w:id="-1502405880"/>
                <w:lang w:val="en-US"/>
                <w14:textFill>
                  <w14:solidFill>
                    <w14:srgbClr w14:val="000000">
                      <w14:alpha w14:val="100000"/>
                    </w14:srgbClr>
                  </w14:solidFill>
                </w14:textFill>
              </w:rPr>
              <w:t>|||</w:t>
            </w:r>
            <w:r w:rsidR="00C619FE" w:rsidRPr="00C619FE">
              <w:rPr>
                <w:color w:val="000000"/>
                <w:spacing w:val="1"/>
                <w:shd w:val="solid" w:color="000000" w:fill="000000"/>
                <w:fitText w:val="330" w:id="-1502405880"/>
                <w:lang w:val="en-US"/>
                <w14:textFill>
                  <w14:solidFill>
                    <w14:srgbClr w14:val="000000">
                      <w14:alpha w14:val="100000"/>
                    </w14:srgbClr>
                  </w14:solidFill>
                </w14:textFill>
              </w:rPr>
              <w:t>|</w:t>
            </w:r>
            <w:r>
              <w:rPr>
                <w:lang w:val="en-US"/>
              </w:rPr>
              <w:t xml:space="preserve"> patients</w:t>
            </w:r>
            <w:r>
              <w:t xml:space="preserve"> would be eligible for the grandfathered restriction. It was assumed that these patients would otherwise be prescribed one of the alternative therapies available for </w:t>
            </w:r>
            <w:proofErr w:type="spellStart"/>
            <w:r>
              <w:t>PsA</w:t>
            </w:r>
            <w:proofErr w:type="spellEnd"/>
            <w:r>
              <w:t xml:space="preserve"> and would be captured in uptake from continuing patients.</w:t>
            </w:r>
          </w:p>
        </w:tc>
        <w:tc>
          <w:tcPr>
            <w:tcW w:w="1780" w:type="pct"/>
            <w:shd w:val="clear" w:color="auto" w:fill="auto"/>
            <w:vAlign w:val="center"/>
          </w:tcPr>
          <w:p w14:paraId="5BBA094B" w14:textId="0AA846F9" w:rsidR="006E7BA3" w:rsidRPr="00977A64" w:rsidRDefault="0051422E" w:rsidP="002222C1">
            <w:pPr>
              <w:pStyle w:val="TableText"/>
              <w:keepLines/>
            </w:pPr>
            <w:r w:rsidRPr="00977A64">
              <w:t>This assumption does not appear reasonable</w:t>
            </w:r>
            <w:r w:rsidR="006E7BA3" w:rsidRPr="00977A64">
              <w:t xml:space="preserve">, given the small uptake of risankizumab in the first year of listing, which would result in grandfathered patients representing more than </w:t>
            </w:r>
            <w:r w:rsidR="00C619FE" w:rsidRPr="00C619FE">
              <w:rPr>
                <w:color w:val="000000"/>
                <w:spacing w:val="53"/>
                <w:shd w:val="solid" w:color="000000" w:fill="000000"/>
                <w:fitText w:val="330" w:id="-1502405879"/>
                <w14:textFill>
                  <w14:solidFill>
                    <w14:srgbClr w14:val="000000">
                      <w14:alpha w14:val="100000"/>
                    </w14:srgbClr>
                  </w14:solidFill>
                </w14:textFill>
              </w:rPr>
              <w:t>|||</w:t>
            </w:r>
            <w:r w:rsidR="00C619FE" w:rsidRPr="00C619FE">
              <w:rPr>
                <w:color w:val="000000"/>
                <w:spacing w:val="1"/>
                <w:shd w:val="solid" w:color="000000" w:fill="000000"/>
                <w:fitText w:val="330" w:id="-1502405879"/>
                <w14:textFill>
                  <w14:solidFill>
                    <w14:srgbClr w14:val="000000">
                      <w14:alpha w14:val="100000"/>
                    </w14:srgbClr>
                  </w14:solidFill>
                </w14:textFill>
              </w:rPr>
              <w:t>|</w:t>
            </w:r>
            <w:r w:rsidR="006E7BA3" w:rsidRPr="00977A64">
              <w:t>% of risankizumab patients in Year 1 (</w:t>
            </w:r>
            <w:r w:rsidR="00C619FE" w:rsidRPr="00C619FE">
              <w:rPr>
                <w:color w:val="000000"/>
                <w:spacing w:val="53"/>
                <w:shd w:val="solid" w:color="000000" w:fill="000000"/>
                <w:fitText w:val="330" w:id="-1502405878"/>
                <w14:textFill>
                  <w14:solidFill>
                    <w14:srgbClr w14:val="000000">
                      <w14:alpha w14:val="100000"/>
                    </w14:srgbClr>
                  </w14:solidFill>
                </w14:textFill>
              </w:rPr>
              <w:t>|||</w:t>
            </w:r>
            <w:r w:rsidR="00C619FE" w:rsidRPr="00C619FE">
              <w:rPr>
                <w:color w:val="000000"/>
                <w:spacing w:val="1"/>
                <w:shd w:val="solid" w:color="000000" w:fill="000000"/>
                <w:fitText w:val="330" w:id="-1502405878"/>
                <w14:textFill>
                  <w14:solidFill>
                    <w14:srgbClr w14:val="000000">
                      <w14:alpha w14:val="100000"/>
                    </w14:srgbClr>
                  </w14:solidFill>
                </w14:textFill>
              </w:rPr>
              <w:t>|</w:t>
            </w:r>
            <w:r w:rsidR="006E7BA3" w:rsidRPr="00977A64">
              <w:t xml:space="preserve"> patients).</w:t>
            </w:r>
          </w:p>
        </w:tc>
      </w:tr>
      <w:tr w:rsidR="006E7BA3" w:rsidRPr="00E2771E" w14:paraId="54E94F2C" w14:textId="77777777" w:rsidTr="007C2792">
        <w:tc>
          <w:tcPr>
            <w:tcW w:w="950" w:type="pct"/>
            <w:shd w:val="clear" w:color="auto" w:fill="auto"/>
            <w:vAlign w:val="center"/>
          </w:tcPr>
          <w:p w14:paraId="1CC7F475" w14:textId="77777777" w:rsidR="006E7BA3" w:rsidRDefault="006E7BA3" w:rsidP="002222C1">
            <w:pPr>
              <w:pStyle w:val="TableText"/>
              <w:keepLines/>
              <w:rPr>
                <w:lang w:val="en-US"/>
              </w:rPr>
            </w:pPr>
            <w:r>
              <w:rPr>
                <w:lang w:val="en-US"/>
              </w:rPr>
              <w:t>Drug costs</w:t>
            </w:r>
          </w:p>
        </w:tc>
        <w:tc>
          <w:tcPr>
            <w:tcW w:w="2270" w:type="pct"/>
            <w:shd w:val="clear" w:color="auto" w:fill="auto"/>
            <w:vAlign w:val="center"/>
          </w:tcPr>
          <w:p w14:paraId="3DF9EE37" w14:textId="77777777" w:rsidR="006E7BA3" w:rsidRDefault="006E7BA3" w:rsidP="002222C1">
            <w:pPr>
              <w:pStyle w:val="TableText"/>
              <w:keepLines/>
              <w:rPr>
                <w:lang w:val="en-US"/>
              </w:rPr>
            </w:pPr>
            <w:r>
              <w:rPr>
                <w:lang w:val="en-US"/>
              </w:rPr>
              <w:t>Drug costs were based on published DPMQs of existing therapies, and the proposed published DPMQ for risankizumab.</w:t>
            </w:r>
          </w:p>
        </w:tc>
        <w:tc>
          <w:tcPr>
            <w:tcW w:w="1780" w:type="pct"/>
            <w:shd w:val="clear" w:color="auto" w:fill="auto"/>
            <w:vAlign w:val="center"/>
          </w:tcPr>
          <w:p w14:paraId="38349949" w14:textId="48E77D17" w:rsidR="006E7BA3" w:rsidRPr="00977A64" w:rsidRDefault="006E7BA3" w:rsidP="002222C1">
            <w:pPr>
              <w:pStyle w:val="TableText"/>
              <w:keepLines/>
            </w:pPr>
            <w:r w:rsidRPr="00977A64">
              <w:rPr>
                <w:lang w:val="en-US"/>
              </w:rPr>
              <w:t xml:space="preserve">For some therapies, the drug cost applied to </w:t>
            </w:r>
            <w:r w:rsidR="006456B7" w:rsidRPr="00977A64">
              <w:rPr>
                <w:lang w:val="en-US"/>
              </w:rPr>
              <w:t>several PBS</w:t>
            </w:r>
            <w:r w:rsidRPr="00977A64">
              <w:rPr>
                <w:lang w:val="en-US"/>
              </w:rPr>
              <w:t xml:space="preserve"> item numbers was not consistent with the item’s DPMQ</w:t>
            </w:r>
            <w:r w:rsidR="00506797">
              <w:rPr>
                <w:lang w:val="en-US"/>
              </w:rPr>
              <w:t>.</w:t>
            </w:r>
            <w:r w:rsidRPr="00977A64">
              <w:rPr>
                <w:lang w:val="en-US"/>
              </w:rPr>
              <w:t xml:space="preserve"> The overall impact of these inconsistencies was uncertain.</w:t>
            </w:r>
          </w:p>
        </w:tc>
      </w:tr>
      <w:tr w:rsidR="006E7BA3" w:rsidRPr="00E2771E" w14:paraId="7A03751A" w14:textId="77777777" w:rsidTr="007C2792">
        <w:tc>
          <w:tcPr>
            <w:tcW w:w="950" w:type="pct"/>
            <w:shd w:val="clear" w:color="auto" w:fill="auto"/>
            <w:vAlign w:val="center"/>
          </w:tcPr>
          <w:p w14:paraId="158F3A08" w14:textId="77777777" w:rsidR="006E7BA3" w:rsidRPr="00E2771E" w:rsidRDefault="006E7BA3" w:rsidP="002222C1">
            <w:pPr>
              <w:pStyle w:val="TableText"/>
              <w:keepLines/>
              <w:rPr>
                <w:lang w:val="en-US"/>
              </w:rPr>
            </w:pPr>
            <w:r>
              <w:rPr>
                <w:lang w:val="en-US"/>
              </w:rPr>
              <w:t>Patient copayment</w:t>
            </w:r>
          </w:p>
        </w:tc>
        <w:tc>
          <w:tcPr>
            <w:tcW w:w="2270" w:type="pct"/>
            <w:shd w:val="clear" w:color="auto" w:fill="auto"/>
            <w:vAlign w:val="center"/>
          </w:tcPr>
          <w:p w14:paraId="32B1FFBA" w14:textId="77777777" w:rsidR="006E7BA3" w:rsidRPr="00E2771E" w:rsidRDefault="006E7BA3" w:rsidP="002222C1">
            <w:pPr>
              <w:pStyle w:val="TableText"/>
              <w:keepLines/>
              <w:rPr>
                <w:lang w:val="en-US"/>
              </w:rPr>
            </w:pPr>
            <w:r>
              <w:rPr>
                <w:lang w:val="en-US"/>
              </w:rPr>
              <w:t>$27.56. Based on the distribution of scripts by beneficiary type in the existing market in 2020 (</w:t>
            </w:r>
            <w:r>
              <w:t>average PBS copayment $27.67 – 99.13% scripts; average RPBS copayment $4.68 – 0.87% scripts).</w:t>
            </w:r>
          </w:p>
        </w:tc>
        <w:tc>
          <w:tcPr>
            <w:tcW w:w="1780" w:type="pct"/>
            <w:shd w:val="clear" w:color="auto" w:fill="auto"/>
            <w:vAlign w:val="center"/>
          </w:tcPr>
          <w:p w14:paraId="71AC4C99" w14:textId="77777777" w:rsidR="006E7BA3" w:rsidRPr="00977A64" w:rsidRDefault="006E7BA3" w:rsidP="002222C1">
            <w:pPr>
              <w:pStyle w:val="TableText"/>
              <w:keepLines/>
              <w:rPr>
                <w:lang w:val="en-US"/>
              </w:rPr>
            </w:pPr>
            <w:r w:rsidRPr="00977A64">
              <w:rPr>
                <w:lang w:val="en-US"/>
              </w:rPr>
              <w:t>This was appropriate.</w:t>
            </w:r>
          </w:p>
        </w:tc>
      </w:tr>
      <w:tr w:rsidR="006E7BA3" w:rsidRPr="00E2771E" w14:paraId="6B7512EA" w14:textId="77777777" w:rsidTr="007C2792">
        <w:tc>
          <w:tcPr>
            <w:tcW w:w="950" w:type="pct"/>
            <w:shd w:val="clear" w:color="auto" w:fill="auto"/>
            <w:vAlign w:val="center"/>
          </w:tcPr>
          <w:p w14:paraId="71B05975" w14:textId="77777777" w:rsidR="006E7BA3" w:rsidRPr="00E2771E" w:rsidRDefault="006E7BA3" w:rsidP="002222C1">
            <w:pPr>
              <w:pStyle w:val="TableText"/>
              <w:keepLines/>
              <w:rPr>
                <w:lang w:val="en-US"/>
              </w:rPr>
            </w:pPr>
            <w:r>
              <w:rPr>
                <w:lang w:val="en-US"/>
              </w:rPr>
              <w:t>MBS items</w:t>
            </w:r>
          </w:p>
        </w:tc>
        <w:tc>
          <w:tcPr>
            <w:tcW w:w="2270" w:type="pct"/>
            <w:shd w:val="clear" w:color="auto" w:fill="auto"/>
            <w:vAlign w:val="center"/>
          </w:tcPr>
          <w:p w14:paraId="1564D6D1" w14:textId="77777777" w:rsidR="006E7BA3" w:rsidRPr="00E2771E" w:rsidRDefault="006E7BA3" w:rsidP="002222C1">
            <w:pPr>
              <w:pStyle w:val="TableText"/>
              <w:keepLines/>
              <w:rPr>
                <w:lang w:val="en-US"/>
              </w:rPr>
            </w:pPr>
            <w:r>
              <w:rPr>
                <w:lang w:val="en-US"/>
              </w:rPr>
              <w:t>The submission stated that no changes are expected to the volume of MBS items due to the listing of risankizumab.</w:t>
            </w:r>
          </w:p>
        </w:tc>
        <w:tc>
          <w:tcPr>
            <w:tcW w:w="1780" w:type="pct"/>
            <w:shd w:val="clear" w:color="auto" w:fill="auto"/>
            <w:vAlign w:val="center"/>
          </w:tcPr>
          <w:p w14:paraId="5891C666" w14:textId="77777777" w:rsidR="006E7BA3" w:rsidRPr="00977A64" w:rsidRDefault="006E7BA3" w:rsidP="002222C1">
            <w:pPr>
              <w:pStyle w:val="TableText"/>
              <w:keepLines/>
              <w:rPr>
                <w:lang w:val="en-US"/>
              </w:rPr>
            </w:pPr>
            <w:r w:rsidRPr="00977A64">
              <w:rPr>
                <w:lang w:val="en-US"/>
              </w:rPr>
              <w:t>This was appropriate.</w:t>
            </w:r>
          </w:p>
        </w:tc>
      </w:tr>
    </w:tbl>
    <w:p w14:paraId="05638F60" w14:textId="77777777" w:rsidR="006E7BA3" w:rsidRDefault="006E7BA3" w:rsidP="006E7BA3">
      <w:pPr>
        <w:pStyle w:val="TableFigureFooter"/>
      </w:pPr>
      <w:r>
        <w:t>Source: Table 4-1, p114 of the submission and ‘</w:t>
      </w:r>
      <w:r w:rsidRPr="009767C1">
        <w:t>Attachment 8.1 UCM-Release-3-Workbook-v3</w:t>
      </w:r>
      <w:r>
        <w:t>’spreadsheet provided with the submission.</w:t>
      </w:r>
    </w:p>
    <w:p w14:paraId="57800CCC" w14:textId="250794D8" w:rsidR="006E7BA3" w:rsidRPr="00977A64" w:rsidRDefault="006E7BA3" w:rsidP="0079581E">
      <w:pPr>
        <w:pStyle w:val="ExecSumBodyText"/>
        <w:ind w:left="709" w:hanging="709"/>
      </w:pPr>
      <w:r w:rsidRPr="00977A64">
        <w:t xml:space="preserve">For a number of substituted therapies, there were inconsistencies between the number of scripts required over a </w:t>
      </w:r>
      <w:proofErr w:type="gramStart"/>
      <w:r w:rsidRPr="00977A64">
        <w:t>2 year</w:t>
      </w:r>
      <w:proofErr w:type="gramEnd"/>
      <w:r w:rsidRPr="00977A64">
        <w:t xml:space="preserve"> period (used to derive the average annual number of scripts per treatment to inform patient numbers/substitution with risankizumab), the number of doses per script, and the costs applied to item numbers. The overall impact of these inconsistencies on the budget impact model was uncertain.</w:t>
      </w:r>
    </w:p>
    <w:p w14:paraId="6677CD6B" w14:textId="4B365F78" w:rsidR="006E7BA3" w:rsidRPr="00977A64" w:rsidRDefault="006E7BA3" w:rsidP="0079581E">
      <w:pPr>
        <w:pStyle w:val="ExecSumBodyText"/>
        <w:ind w:left="709" w:hanging="709"/>
      </w:pPr>
      <w:proofErr w:type="gramStart"/>
      <w:r w:rsidRPr="00977A64">
        <w:t>A number of</w:t>
      </w:r>
      <w:proofErr w:type="gramEnd"/>
      <w:r w:rsidRPr="00977A64">
        <w:t xml:space="preserve"> errors were identified in the budget impact model which resulted in an underestimate of script numbers</w:t>
      </w:r>
      <w:r w:rsidR="00506797">
        <w:t>.</w:t>
      </w:r>
      <w:r w:rsidRPr="00977A64">
        <w:t xml:space="preserve"> These were corrected during the evaluation.</w:t>
      </w:r>
    </w:p>
    <w:p w14:paraId="1D105D83" w14:textId="40926B5F" w:rsidR="006E7BA3" w:rsidRPr="0079581E" w:rsidRDefault="006E7BA3" w:rsidP="0079581E">
      <w:pPr>
        <w:pStyle w:val="ExecSumBodyText"/>
        <w:ind w:left="709" w:hanging="709"/>
        <w:rPr>
          <w:i/>
          <w:iCs/>
        </w:rPr>
      </w:pPr>
      <w:r>
        <w:lastRenderedPageBreak/>
        <w:t xml:space="preserve">The table below provides a summary of the net financial implications of listing risankizumab on the PBS for </w:t>
      </w:r>
      <w:proofErr w:type="spellStart"/>
      <w:r>
        <w:t>PsA</w:t>
      </w:r>
      <w:proofErr w:type="spellEnd"/>
      <w:r>
        <w:t xml:space="preserve">, </w:t>
      </w:r>
      <w:r w:rsidRPr="00BD3348">
        <w:t xml:space="preserve">based on published prices. </w:t>
      </w:r>
    </w:p>
    <w:p w14:paraId="17E023B0" w14:textId="3721792E" w:rsidR="006E7BA3" w:rsidRDefault="006E7BA3" w:rsidP="006E7BA3">
      <w:pPr>
        <w:pStyle w:val="Caption"/>
      </w:pPr>
      <w:r w:rsidRPr="00606FBA">
        <w:t xml:space="preserve">Table </w:t>
      </w:r>
      <w:fldSimple w:instr=" SEQ Table \* ARABIC ">
        <w:r w:rsidR="00374CE2">
          <w:rPr>
            <w:noProof/>
          </w:rPr>
          <w:t>9</w:t>
        </w:r>
      </w:fldSimple>
      <w:r w:rsidRPr="00606FBA">
        <w:t>: Estimated use and financial implications</w:t>
      </w:r>
    </w:p>
    <w:tbl>
      <w:tblPr>
        <w:tblStyle w:val="TableGrid"/>
        <w:tblW w:w="5000" w:type="pct"/>
        <w:tblCellMar>
          <w:left w:w="57" w:type="dxa"/>
          <w:right w:w="57" w:type="dxa"/>
        </w:tblCellMar>
        <w:tblLook w:val="04A0" w:firstRow="1" w:lastRow="0" w:firstColumn="1" w:lastColumn="0" w:noHBand="0" w:noVBand="1"/>
      </w:tblPr>
      <w:tblGrid>
        <w:gridCol w:w="2547"/>
        <w:gridCol w:w="1078"/>
        <w:gridCol w:w="1078"/>
        <w:gridCol w:w="1079"/>
        <w:gridCol w:w="1078"/>
        <w:gridCol w:w="1078"/>
        <w:gridCol w:w="1079"/>
      </w:tblGrid>
      <w:tr w:rsidR="006E7BA3" w:rsidRPr="00184096" w14:paraId="3814F85C" w14:textId="77777777" w:rsidTr="002222C1">
        <w:tc>
          <w:tcPr>
            <w:tcW w:w="2547" w:type="dxa"/>
          </w:tcPr>
          <w:p w14:paraId="0CC5DA27" w14:textId="77777777" w:rsidR="006E7BA3" w:rsidRPr="00184096" w:rsidRDefault="006E7BA3" w:rsidP="002222C1">
            <w:pPr>
              <w:pStyle w:val="Tableheadingrow"/>
              <w:keepLines/>
              <w:rPr>
                <w:szCs w:val="20"/>
                <w:lang w:val="en-AU"/>
              </w:rPr>
            </w:pPr>
          </w:p>
        </w:tc>
        <w:tc>
          <w:tcPr>
            <w:tcW w:w="1078" w:type="dxa"/>
            <w:shd w:val="clear" w:color="auto" w:fill="auto"/>
            <w:vAlign w:val="center"/>
          </w:tcPr>
          <w:p w14:paraId="1D4EBB06" w14:textId="77777777" w:rsidR="006E7BA3" w:rsidRPr="00184096" w:rsidRDefault="006E7BA3" w:rsidP="002222C1">
            <w:pPr>
              <w:pStyle w:val="Tableheadingrow"/>
              <w:keepLines/>
              <w:jc w:val="center"/>
              <w:rPr>
                <w:szCs w:val="20"/>
                <w:lang w:val="en-AU"/>
              </w:rPr>
            </w:pPr>
            <w:r w:rsidRPr="00184096">
              <w:t>Year 1</w:t>
            </w:r>
          </w:p>
        </w:tc>
        <w:tc>
          <w:tcPr>
            <w:tcW w:w="1078" w:type="dxa"/>
            <w:shd w:val="clear" w:color="auto" w:fill="auto"/>
            <w:vAlign w:val="center"/>
          </w:tcPr>
          <w:p w14:paraId="70699923" w14:textId="77777777" w:rsidR="006E7BA3" w:rsidRPr="00184096" w:rsidRDefault="006E7BA3" w:rsidP="002222C1">
            <w:pPr>
              <w:pStyle w:val="Tableheadingrow"/>
              <w:keepLines/>
              <w:jc w:val="center"/>
              <w:rPr>
                <w:szCs w:val="20"/>
                <w:lang w:val="en-AU"/>
              </w:rPr>
            </w:pPr>
            <w:r w:rsidRPr="00184096">
              <w:t>Year 2</w:t>
            </w:r>
          </w:p>
        </w:tc>
        <w:tc>
          <w:tcPr>
            <w:tcW w:w="1079" w:type="dxa"/>
            <w:shd w:val="clear" w:color="auto" w:fill="auto"/>
            <w:vAlign w:val="center"/>
          </w:tcPr>
          <w:p w14:paraId="1E24CA41" w14:textId="77777777" w:rsidR="006E7BA3" w:rsidRPr="00184096" w:rsidRDefault="006E7BA3" w:rsidP="002222C1">
            <w:pPr>
              <w:pStyle w:val="Tableheadingrow"/>
              <w:keepLines/>
              <w:jc w:val="center"/>
              <w:rPr>
                <w:szCs w:val="20"/>
                <w:lang w:val="en-AU"/>
              </w:rPr>
            </w:pPr>
            <w:r w:rsidRPr="00184096">
              <w:t>Year 3</w:t>
            </w:r>
          </w:p>
        </w:tc>
        <w:tc>
          <w:tcPr>
            <w:tcW w:w="1078" w:type="dxa"/>
            <w:shd w:val="clear" w:color="auto" w:fill="auto"/>
            <w:vAlign w:val="center"/>
          </w:tcPr>
          <w:p w14:paraId="046FE0E1" w14:textId="77777777" w:rsidR="006E7BA3" w:rsidRPr="00184096" w:rsidRDefault="006E7BA3" w:rsidP="002222C1">
            <w:pPr>
              <w:pStyle w:val="Tableheadingrow"/>
              <w:keepLines/>
              <w:jc w:val="center"/>
              <w:rPr>
                <w:szCs w:val="20"/>
                <w:lang w:val="en-AU"/>
              </w:rPr>
            </w:pPr>
            <w:r w:rsidRPr="00184096">
              <w:t>Year 4</w:t>
            </w:r>
          </w:p>
        </w:tc>
        <w:tc>
          <w:tcPr>
            <w:tcW w:w="1078" w:type="dxa"/>
            <w:shd w:val="clear" w:color="auto" w:fill="auto"/>
            <w:vAlign w:val="center"/>
          </w:tcPr>
          <w:p w14:paraId="5312D33B" w14:textId="77777777" w:rsidR="006E7BA3" w:rsidRPr="00184096" w:rsidRDefault="006E7BA3" w:rsidP="002222C1">
            <w:pPr>
              <w:pStyle w:val="Tableheadingrow"/>
              <w:keepLines/>
              <w:jc w:val="center"/>
              <w:rPr>
                <w:szCs w:val="20"/>
                <w:lang w:val="en-AU"/>
              </w:rPr>
            </w:pPr>
            <w:r w:rsidRPr="00184096">
              <w:t>Year 5</w:t>
            </w:r>
          </w:p>
        </w:tc>
        <w:tc>
          <w:tcPr>
            <w:tcW w:w="1079" w:type="dxa"/>
            <w:vAlign w:val="center"/>
          </w:tcPr>
          <w:p w14:paraId="143E60D1" w14:textId="77777777" w:rsidR="006E7BA3" w:rsidRPr="00184096" w:rsidRDefault="006E7BA3" w:rsidP="002222C1">
            <w:pPr>
              <w:pStyle w:val="Tableheadingrow"/>
              <w:keepLines/>
              <w:jc w:val="center"/>
              <w:rPr>
                <w:szCs w:val="20"/>
                <w:lang w:val="en-AU"/>
              </w:rPr>
            </w:pPr>
            <w:r w:rsidRPr="00184096">
              <w:t>Year 6</w:t>
            </w:r>
          </w:p>
        </w:tc>
      </w:tr>
      <w:tr w:rsidR="006E7BA3" w:rsidRPr="00184096" w14:paraId="72095C14" w14:textId="77777777" w:rsidTr="002222C1">
        <w:tc>
          <w:tcPr>
            <w:tcW w:w="9017" w:type="dxa"/>
            <w:gridSpan w:val="7"/>
            <w:tcBorders>
              <w:right w:val="single" w:sz="4" w:space="0" w:color="auto"/>
            </w:tcBorders>
          </w:tcPr>
          <w:p w14:paraId="1788B160" w14:textId="77777777" w:rsidR="006E7BA3" w:rsidRPr="00184096" w:rsidRDefault="006E7BA3" w:rsidP="002222C1">
            <w:pPr>
              <w:pStyle w:val="Tableheadingrow"/>
              <w:keepLines/>
              <w:rPr>
                <w:szCs w:val="20"/>
                <w:lang w:val="en-AU"/>
              </w:rPr>
            </w:pPr>
            <w:r w:rsidRPr="00184096">
              <w:rPr>
                <w:szCs w:val="20"/>
                <w:lang w:val="en-AU"/>
              </w:rPr>
              <w:t>Estimated use and financial implications of risankizumab</w:t>
            </w:r>
          </w:p>
        </w:tc>
      </w:tr>
      <w:tr w:rsidR="006E7BA3" w:rsidRPr="00184096" w14:paraId="789E8A96" w14:textId="77777777" w:rsidTr="002222C1">
        <w:tc>
          <w:tcPr>
            <w:tcW w:w="2547" w:type="dxa"/>
          </w:tcPr>
          <w:p w14:paraId="6C1E71E9" w14:textId="77777777" w:rsidR="006E7BA3" w:rsidRPr="00184096" w:rsidRDefault="006E7BA3" w:rsidP="002222C1">
            <w:pPr>
              <w:pStyle w:val="Tableheadingrow"/>
              <w:keepLines/>
              <w:rPr>
                <w:b w:val="0"/>
                <w:bCs/>
                <w:szCs w:val="20"/>
                <w:lang w:val="en-AU"/>
              </w:rPr>
            </w:pPr>
            <w:r w:rsidRPr="00184096">
              <w:rPr>
                <w:b w:val="0"/>
                <w:bCs/>
                <w:szCs w:val="20"/>
                <w:lang w:val="en-AU"/>
              </w:rPr>
              <w:t>Projected number of patients using existing therapies</w:t>
            </w:r>
          </w:p>
        </w:tc>
        <w:tc>
          <w:tcPr>
            <w:tcW w:w="1078" w:type="dxa"/>
            <w:tcBorders>
              <w:top w:val="single" w:sz="4" w:space="0" w:color="auto"/>
              <w:left w:val="nil"/>
              <w:bottom w:val="single" w:sz="4" w:space="0" w:color="auto"/>
              <w:right w:val="single" w:sz="4" w:space="0" w:color="auto"/>
            </w:tcBorders>
            <w:shd w:val="clear" w:color="auto" w:fill="auto"/>
            <w:vAlign w:val="center"/>
          </w:tcPr>
          <w:p w14:paraId="6704E137" w14:textId="18D1BBC3" w:rsidR="006E7BA3" w:rsidRPr="00937545"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7"/>
                <w14:textFill>
                  <w14:solidFill>
                    <w14:srgbClr w14:val="000000">
                      <w14:alpha w14:val="100000"/>
                    </w14:srgbClr>
                  </w14:solidFill>
                </w14:textFill>
              </w:rPr>
              <w:t xml:space="preserve">　</w:t>
            </w:r>
            <w:r w:rsidR="0053633B" w:rsidRPr="00C619FE">
              <w:rPr>
                <w:rFonts w:cs="Calibri"/>
                <w:b w:val="0"/>
                <w:bCs/>
                <w:color w:val="000000"/>
                <w:szCs w:val="20"/>
                <w:vertAlign w:val="superscript"/>
              </w:rPr>
              <w:t>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140F8A3" w14:textId="3BF4C522" w:rsidR="006E7BA3" w:rsidRPr="00937545"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6"/>
                <w14:textFill>
                  <w14:solidFill>
                    <w14:srgbClr w14:val="000000">
                      <w14:alpha w14:val="100000"/>
                    </w14:srgbClr>
                  </w14:solidFill>
                </w14:textFill>
              </w:rPr>
              <w:t xml:space="preserve">　</w:t>
            </w:r>
            <w:r w:rsidR="0053633B" w:rsidRPr="00E87C1F">
              <w:rPr>
                <w:rFonts w:cs="Calibri"/>
                <w:b w:val="0"/>
                <w:bCs/>
                <w:color w:val="000000"/>
                <w:szCs w:val="20"/>
                <w:vertAlign w:val="superscript"/>
              </w:rPr>
              <w:t>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48F5024" w14:textId="54082079" w:rsidR="006E7BA3" w:rsidRPr="00937545"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5"/>
                <w14:textFill>
                  <w14:solidFill>
                    <w14:srgbClr w14:val="000000">
                      <w14:alpha w14:val="100000"/>
                    </w14:srgbClr>
                  </w14:solidFill>
                </w14:textFill>
              </w:rPr>
              <w:t xml:space="preserve">　</w:t>
            </w:r>
            <w:r w:rsidR="0053633B" w:rsidRPr="00E87C1F">
              <w:rPr>
                <w:rFonts w:cs="Calibri"/>
                <w:b w:val="0"/>
                <w:bCs/>
                <w:color w:val="000000"/>
                <w:szCs w:val="20"/>
                <w:vertAlign w:val="superscript"/>
              </w:rPr>
              <w:t>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902677F" w14:textId="37DD6125" w:rsidR="006E7BA3" w:rsidRPr="00937545"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4"/>
                <w14:textFill>
                  <w14:solidFill>
                    <w14:srgbClr w14:val="000000">
                      <w14:alpha w14:val="100000"/>
                    </w14:srgbClr>
                  </w14:solidFill>
                </w14:textFill>
              </w:rPr>
              <w:t xml:space="preserve">　</w:t>
            </w:r>
            <w:r w:rsidR="0053633B" w:rsidRPr="00E87C1F">
              <w:rPr>
                <w:rFonts w:cs="Calibri"/>
                <w:b w:val="0"/>
                <w:bCs/>
                <w:color w:val="000000"/>
                <w:szCs w:val="20"/>
                <w:vertAlign w:val="superscript"/>
              </w:rPr>
              <w:t>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C4934B3" w14:textId="6247CFC4" w:rsidR="006E7BA3" w:rsidRPr="00937545"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3"/>
                <w14:textFill>
                  <w14:solidFill>
                    <w14:srgbClr w14:val="000000">
                      <w14:alpha w14:val="100000"/>
                    </w14:srgbClr>
                  </w14:solidFill>
                </w14:textFill>
              </w:rPr>
              <w:t xml:space="preserve">　</w:t>
            </w:r>
            <w:r w:rsidR="0053633B" w:rsidRPr="00E87C1F">
              <w:rPr>
                <w:rFonts w:cs="Calibri"/>
                <w:b w:val="0"/>
                <w:bCs/>
                <w:color w:val="000000"/>
                <w:szCs w:val="20"/>
                <w:vertAlign w:val="superscript"/>
              </w:rPr>
              <w:t>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F778E66" w14:textId="2D313424" w:rsidR="006E7BA3" w:rsidRPr="00937545"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9"/>
                <w:szCs w:val="20"/>
                <w:shd w:val="solid" w:color="000000" w:fill="000000"/>
                <w:fitText w:val="130" w:id="-1502405872"/>
                <w14:textFill>
                  <w14:solidFill>
                    <w14:srgbClr w14:val="000000">
                      <w14:alpha w14:val="100000"/>
                    </w14:srgbClr>
                  </w14:solidFill>
                </w14:textFill>
              </w:rPr>
              <w:t xml:space="preserve">　</w:t>
            </w:r>
            <w:r w:rsidRPr="00C619FE">
              <w:rPr>
                <w:rFonts w:cs="Calibri"/>
                <w:b w:val="0"/>
                <w:bCs/>
                <w:color w:val="000000"/>
                <w:w w:val="29"/>
                <w:szCs w:val="20"/>
                <w:shd w:val="solid" w:color="000000" w:fill="000000"/>
                <w:fitText w:val="130" w:id="-1502405872"/>
                <w14:textFill>
                  <w14:solidFill>
                    <w14:srgbClr w14:val="000000">
                      <w14:alpha w14:val="100000"/>
                    </w14:srgbClr>
                  </w14:solidFill>
                </w14:textFill>
              </w:rPr>
              <w:t>|</w:t>
            </w:r>
            <w:r w:rsidRPr="00C619FE">
              <w:rPr>
                <w:rFonts w:cs="Calibri" w:hint="eastAsia"/>
                <w:b w:val="0"/>
                <w:bCs/>
                <w:color w:val="000000"/>
                <w:spacing w:val="2"/>
                <w:w w:val="29"/>
                <w:szCs w:val="20"/>
                <w:shd w:val="solid" w:color="000000" w:fill="000000"/>
                <w:fitText w:val="130" w:id="-1502405872"/>
                <w14:textFill>
                  <w14:solidFill>
                    <w14:srgbClr w14:val="000000">
                      <w14:alpha w14:val="100000"/>
                    </w14:srgbClr>
                  </w14:solidFill>
                </w14:textFill>
              </w:rPr>
              <w:t xml:space="preserve">　</w:t>
            </w:r>
            <w:r w:rsidR="005A69AA">
              <w:rPr>
                <w:rFonts w:cs="Calibri"/>
                <w:b w:val="0"/>
                <w:bCs/>
                <w:color w:val="000000"/>
                <w:szCs w:val="20"/>
                <w:vertAlign w:val="superscript"/>
              </w:rPr>
              <w:t>10</w:t>
            </w:r>
          </w:p>
        </w:tc>
      </w:tr>
      <w:tr w:rsidR="006E7BA3" w:rsidRPr="00184096" w14:paraId="13CC7372" w14:textId="77777777" w:rsidTr="002222C1">
        <w:tc>
          <w:tcPr>
            <w:tcW w:w="2547" w:type="dxa"/>
          </w:tcPr>
          <w:p w14:paraId="75378AC9" w14:textId="77777777" w:rsidR="006E7BA3" w:rsidRPr="00184096" w:rsidRDefault="006E7BA3" w:rsidP="002222C1">
            <w:pPr>
              <w:pStyle w:val="Tableheadingrow"/>
              <w:keepLines/>
              <w:rPr>
                <w:b w:val="0"/>
                <w:bCs/>
                <w:szCs w:val="20"/>
                <w:lang w:val="en-AU"/>
              </w:rPr>
            </w:pPr>
            <w:r w:rsidRPr="00184096">
              <w:rPr>
                <w:b w:val="0"/>
                <w:bCs/>
                <w:szCs w:val="20"/>
              </w:rPr>
              <w:t>Uptake of risankizumab</w:t>
            </w:r>
          </w:p>
        </w:tc>
        <w:tc>
          <w:tcPr>
            <w:tcW w:w="1078" w:type="dxa"/>
            <w:tcBorders>
              <w:top w:val="single" w:sz="4" w:space="0" w:color="auto"/>
              <w:left w:val="nil"/>
              <w:bottom w:val="single" w:sz="4" w:space="0" w:color="auto"/>
              <w:right w:val="single" w:sz="4" w:space="0" w:color="auto"/>
            </w:tcBorders>
            <w:shd w:val="clear" w:color="auto" w:fill="auto"/>
            <w:vAlign w:val="center"/>
          </w:tcPr>
          <w:p w14:paraId="6ED4293E" w14:textId="69237FB9" w:rsidR="006E7BA3" w:rsidRPr="00184096" w:rsidRDefault="00C619FE" w:rsidP="002222C1">
            <w:pPr>
              <w:pStyle w:val="Tableheadingrow"/>
              <w:keepLines/>
              <w:jc w:val="center"/>
              <w:rPr>
                <w:b w:val="0"/>
                <w:bCs/>
                <w:szCs w:val="20"/>
                <w:lang w:val="en-AU"/>
              </w:rPr>
            </w:pPr>
            <w:r w:rsidRPr="00C619FE">
              <w:rPr>
                <w:rFonts w:cs="Calibri" w:hint="eastAsia"/>
                <w:b w:val="0"/>
                <w:bCs/>
                <w:color w:val="000000"/>
                <w:w w:val="31"/>
                <w:szCs w:val="20"/>
                <w:shd w:val="solid" w:color="000000" w:fill="000000"/>
                <w:fitText w:val="140" w:id="-1502405888"/>
                <w14:textFill>
                  <w14:solidFill>
                    <w14:srgbClr w14:val="000000">
                      <w14:alpha w14:val="100000"/>
                    </w14:srgbClr>
                  </w14:solidFill>
                </w14:textFill>
              </w:rPr>
              <w:t xml:space="preserve">　</w:t>
            </w:r>
            <w:r w:rsidRPr="00C619FE">
              <w:rPr>
                <w:rFonts w:cs="Calibri"/>
                <w:b w:val="0"/>
                <w:bCs/>
                <w:color w:val="000000"/>
                <w:w w:val="31"/>
                <w:szCs w:val="20"/>
                <w:shd w:val="solid" w:color="000000" w:fill="000000"/>
                <w:fitText w:val="140" w:id="-1502405888"/>
                <w14:textFill>
                  <w14:solidFill>
                    <w14:srgbClr w14:val="000000">
                      <w14:alpha w14:val="100000"/>
                    </w14:srgbClr>
                  </w14:solidFill>
                </w14:textFill>
              </w:rPr>
              <w:t>|</w:t>
            </w:r>
            <w:r w:rsidRPr="00C619FE">
              <w:rPr>
                <w:rFonts w:cs="Calibri" w:hint="eastAsia"/>
                <w:b w:val="0"/>
                <w:bCs/>
                <w:color w:val="000000"/>
                <w:spacing w:val="4"/>
                <w:w w:val="31"/>
                <w:szCs w:val="20"/>
                <w:shd w:val="solid" w:color="000000" w:fill="000000"/>
                <w:fitText w:val="140" w:id="-1502405888"/>
                <w14:textFill>
                  <w14:solidFill>
                    <w14:srgbClr w14:val="000000">
                      <w14:alpha w14:val="100000"/>
                    </w14:srgbClr>
                  </w14:solidFill>
                </w14:textFill>
              </w:rPr>
              <w:t xml:space="preserve">　</w:t>
            </w:r>
            <w:r w:rsidR="006E7BA3" w:rsidRPr="00184096">
              <w:rPr>
                <w:rFonts w:cs="Calibri"/>
                <w:b w:val="0"/>
                <w:bCs/>
                <w:color w:val="000000"/>
                <w:szCs w:val="20"/>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3F22D6" w14:textId="5EF6F72C" w:rsidR="006E7BA3" w:rsidRPr="00184096" w:rsidRDefault="00C619FE" w:rsidP="002222C1">
            <w:pPr>
              <w:pStyle w:val="Tableheadingrow"/>
              <w:keepLines/>
              <w:jc w:val="center"/>
              <w:rPr>
                <w:b w:val="0"/>
                <w:bCs/>
                <w:szCs w:val="20"/>
                <w:lang w:val="en-AU"/>
              </w:rPr>
            </w:pPr>
            <w:r w:rsidRPr="00C619FE">
              <w:rPr>
                <w:rFonts w:cs="Calibri" w:hint="eastAsia"/>
                <w:b w:val="0"/>
                <w:bCs/>
                <w:color w:val="000000"/>
                <w:w w:val="31"/>
                <w:szCs w:val="20"/>
                <w:shd w:val="solid" w:color="000000" w:fill="000000"/>
                <w:fitText w:val="140" w:id="-1502405887"/>
                <w14:textFill>
                  <w14:solidFill>
                    <w14:srgbClr w14:val="000000">
                      <w14:alpha w14:val="100000"/>
                    </w14:srgbClr>
                  </w14:solidFill>
                </w14:textFill>
              </w:rPr>
              <w:t xml:space="preserve">　</w:t>
            </w:r>
            <w:r w:rsidRPr="00C619FE">
              <w:rPr>
                <w:rFonts w:cs="Calibri"/>
                <w:b w:val="0"/>
                <w:bCs/>
                <w:color w:val="000000"/>
                <w:w w:val="31"/>
                <w:szCs w:val="20"/>
                <w:shd w:val="solid" w:color="000000" w:fill="000000"/>
                <w:fitText w:val="140" w:id="-1502405887"/>
                <w14:textFill>
                  <w14:solidFill>
                    <w14:srgbClr w14:val="000000">
                      <w14:alpha w14:val="100000"/>
                    </w14:srgbClr>
                  </w14:solidFill>
                </w14:textFill>
              </w:rPr>
              <w:t>|</w:t>
            </w:r>
            <w:r w:rsidRPr="00C619FE">
              <w:rPr>
                <w:rFonts w:cs="Calibri" w:hint="eastAsia"/>
                <w:b w:val="0"/>
                <w:bCs/>
                <w:color w:val="000000"/>
                <w:spacing w:val="4"/>
                <w:w w:val="31"/>
                <w:szCs w:val="20"/>
                <w:shd w:val="solid" w:color="000000" w:fill="000000"/>
                <w:fitText w:val="140" w:id="-1502405887"/>
                <w14:textFill>
                  <w14:solidFill>
                    <w14:srgbClr w14:val="000000">
                      <w14:alpha w14:val="100000"/>
                    </w14:srgbClr>
                  </w14:solidFill>
                </w14:textFill>
              </w:rPr>
              <w:t xml:space="preserve">　</w:t>
            </w:r>
            <w:r w:rsidR="006E7BA3" w:rsidRPr="00184096">
              <w:rPr>
                <w:rFonts w:cs="Calibri"/>
                <w:b w:val="0"/>
                <w:bCs/>
                <w:color w:val="000000"/>
                <w:szCs w:val="20"/>
              </w:rPr>
              <w:t>%</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D285A8F" w14:textId="7406DA38" w:rsidR="006E7BA3" w:rsidRPr="00184096" w:rsidRDefault="00C619FE" w:rsidP="002222C1">
            <w:pPr>
              <w:pStyle w:val="Tableheadingrow"/>
              <w:keepLines/>
              <w:jc w:val="center"/>
              <w:rPr>
                <w:b w:val="0"/>
                <w:bCs/>
                <w:szCs w:val="20"/>
                <w:lang w:val="en-AU"/>
              </w:rPr>
            </w:pPr>
            <w:r w:rsidRPr="00C619FE">
              <w:rPr>
                <w:rFonts w:cs="Calibri" w:hint="eastAsia"/>
                <w:b w:val="0"/>
                <w:bCs/>
                <w:color w:val="000000"/>
                <w:w w:val="31"/>
                <w:szCs w:val="20"/>
                <w:shd w:val="solid" w:color="000000" w:fill="000000"/>
                <w:fitText w:val="140" w:id="-1502405886"/>
                <w14:textFill>
                  <w14:solidFill>
                    <w14:srgbClr w14:val="000000">
                      <w14:alpha w14:val="100000"/>
                    </w14:srgbClr>
                  </w14:solidFill>
                </w14:textFill>
              </w:rPr>
              <w:t xml:space="preserve">　</w:t>
            </w:r>
            <w:r w:rsidRPr="00C619FE">
              <w:rPr>
                <w:rFonts w:cs="Calibri"/>
                <w:b w:val="0"/>
                <w:bCs/>
                <w:color w:val="000000"/>
                <w:w w:val="31"/>
                <w:szCs w:val="20"/>
                <w:shd w:val="solid" w:color="000000" w:fill="000000"/>
                <w:fitText w:val="140" w:id="-1502405886"/>
                <w14:textFill>
                  <w14:solidFill>
                    <w14:srgbClr w14:val="000000">
                      <w14:alpha w14:val="100000"/>
                    </w14:srgbClr>
                  </w14:solidFill>
                </w14:textFill>
              </w:rPr>
              <w:t>|</w:t>
            </w:r>
            <w:r w:rsidRPr="00C619FE">
              <w:rPr>
                <w:rFonts w:cs="Calibri" w:hint="eastAsia"/>
                <w:b w:val="0"/>
                <w:bCs/>
                <w:color w:val="000000"/>
                <w:spacing w:val="4"/>
                <w:w w:val="31"/>
                <w:szCs w:val="20"/>
                <w:shd w:val="solid" w:color="000000" w:fill="000000"/>
                <w:fitText w:val="140" w:id="-1502405886"/>
                <w14:textFill>
                  <w14:solidFill>
                    <w14:srgbClr w14:val="000000">
                      <w14:alpha w14:val="100000"/>
                    </w14:srgbClr>
                  </w14:solidFill>
                </w14:textFill>
              </w:rPr>
              <w:t xml:space="preserve">　</w:t>
            </w:r>
            <w:r w:rsidR="006E7BA3" w:rsidRPr="00184096">
              <w:rPr>
                <w:rFonts w:cs="Calibri"/>
                <w:b w:val="0"/>
                <w:bCs/>
                <w:color w:val="000000"/>
                <w:szCs w:val="20"/>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0271298" w14:textId="7598DEBA" w:rsidR="006E7BA3" w:rsidRPr="00184096" w:rsidRDefault="00C619FE" w:rsidP="002222C1">
            <w:pPr>
              <w:pStyle w:val="Tableheadingrow"/>
              <w:keepLines/>
              <w:jc w:val="center"/>
              <w:rPr>
                <w:b w:val="0"/>
                <w:bCs/>
                <w:szCs w:val="20"/>
                <w:lang w:val="en-AU"/>
              </w:rPr>
            </w:pPr>
            <w:r w:rsidRPr="00C619FE">
              <w:rPr>
                <w:rFonts w:cs="Calibri" w:hint="eastAsia"/>
                <w:b w:val="0"/>
                <w:bCs/>
                <w:color w:val="000000"/>
                <w:w w:val="31"/>
                <w:szCs w:val="20"/>
                <w:shd w:val="solid" w:color="000000" w:fill="000000"/>
                <w:fitText w:val="140" w:id="-1502405885"/>
                <w14:textFill>
                  <w14:solidFill>
                    <w14:srgbClr w14:val="000000">
                      <w14:alpha w14:val="100000"/>
                    </w14:srgbClr>
                  </w14:solidFill>
                </w14:textFill>
              </w:rPr>
              <w:t xml:space="preserve">　</w:t>
            </w:r>
            <w:r w:rsidRPr="00C619FE">
              <w:rPr>
                <w:rFonts w:cs="Calibri"/>
                <w:b w:val="0"/>
                <w:bCs/>
                <w:color w:val="000000"/>
                <w:w w:val="31"/>
                <w:szCs w:val="20"/>
                <w:shd w:val="solid" w:color="000000" w:fill="000000"/>
                <w:fitText w:val="140" w:id="-1502405885"/>
                <w14:textFill>
                  <w14:solidFill>
                    <w14:srgbClr w14:val="000000">
                      <w14:alpha w14:val="100000"/>
                    </w14:srgbClr>
                  </w14:solidFill>
                </w14:textFill>
              </w:rPr>
              <w:t>|</w:t>
            </w:r>
            <w:r w:rsidRPr="00C619FE">
              <w:rPr>
                <w:rFonts w:cs="Calibri" w:hint="eastAsia"/>
                <w:b w:val="0"/>
                <w:bCs/>
                <w:color w:val="000000"/>
                <w:spacing w:val="4"/>
                <w:w w:val="31"/>
                <w:szCs w:val="20"/>
                <w:shd w:val="solid" w:color="000000" w:fill="000000"/>
                <w:fitText w:val="140" w:id="-1502405885"/>
                <w14:textFill>
                  <w14:solidFill>
                    <w14:srgbClr w14:val="000000">
                      <w14:alpha w14:val="100000"/>
                    </w14:srgbClr>
                  </w14:solidFill>
                </w14:textFill>
              </w:rPr>
              <w:t xml:space="preserve">　</w:t>
            </w:r>
            <w:r w:rsidR="006E7BA3" w:rsidRPr="00184096">
              <w:rPr>
                <w:rFonts w:cs="Calibri"/>
                <w:b w:val="0"/>
                <w:bCs/>
                <w:color w:val="000000"/>
                <w:szCs w:val="20"/>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6010166" w14:textId="74950B9C" w:rsidR="006E7BA3" w:rsidRPr="00184096" w:rsidRDefault="00C619FE" w:rsidP="002222C1">
            <w:pPr>
              <w:pStyle w:val="Tableheadingrow"/>
              <w:keepLines/>
              <w:jc w:val="center"/>
              <w:rPr>
                <w:b w:val="0"/>
                <w:bCs/>
                <w:szCs w:val="20"/>
                <w:lang w:val="en-AU"/>
              </w:rPr>
            </w:pPr>
            <w:r w:rsidRPr="00C619FE">
              <w:rPr>
                <w:rFonts w:cs="Calibri" w:hint="eastAsia"/>
                <w:b w:val="0"/>
                <w:bCs/>
                <w:color w:val="000000"/>
                <w:w w:val="31"/>
                <w:szCs w:val="20"/>
                <w:shd w:val="solid" w:color="000000" w:fill="000000"/>
                <w:fitText w:val="140" w:id="-1502405884"/>
                <w14:textFill>
                  <w14:solidFill>
                    <w14:srgbClr w14:val="000000">
                      <w14:alpha w14:val="100000"/>
                    </w14:srgbClr>
                  </w14:solidFill>
                </w14:textFill>
              </w:rPr>
              <w:t xml:space="preserve">　</w:t>
            </w:r>
            <w:r w:rsidRPr="00C619FE">
              <w:rPr>
                <w:rFonts w:cs="Calibri"/>
                <w:b w:val="0"/>
                <w:bCs/>
                <w:color w:val="000000"/>
                <w:w w:val="31"/>
                <w:szCs w:val="20"/>
                <w:shd w:val="solid" w:color="000000" w:fill="000000"/>
                <w:fitText w:val="140" w:id="-1502405884"/>
                <w14:textFill>
                  <w14:solidFill>
                    <w14:srgbClr w14:val="000000">
                      <w14:alpha w14:val="100000"/>
                    </w14:srgbClr>
                  </w14:solidFill>
                </w14:textFill>
              </w:rPr>
              <w:t>|</w:t>
            </w:r>
            <w:r w:rsidRPr="00C619FE">
              <w:rPr>
                <w:rFonts w:cs="Calibri" w:hint="eastAsia"/>
                <w:b w:val="0"/>
                <w:bCs/>
                <w:color w:val="000000"/>
                <w:spacing w:val="4"/>
                <w:w w:val="31"/>
                <w:szCs w:val="20"/>
                <w:shd w:val="solid" w:color="000000" w:fill="000000"/>
                <w:fitText w:val="140" w:id="-1502405884"/>
                <w14:textFill>
                  <w14:solidFill>
                    <w14:srgbClr w14:val="000000">
                      <w14:alpha w14:val="100000"/>
                    </w14:srgbClr>
                  </w14:solidFill>
                </w14:textFill>
              </w:rPr>
              <w:t xml:space="preserve">　</w:t>
            </w:r>
            <w:r w:rsidR="006E7BA3" w:rsidRPr="00184096">
              <w:rPr>
                <w:rFonts w:cs="Calibri"/>
                <w:b w:val="0"/>
                <w:bCs/>
                <w:color w:val="000000"/>
                <w:szCs w:val="20"/>
              </w:rPr>
              <w:t>%</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F9F7807" w14:textId="641155E1" w:rsidR="006E7BA3" w:rsidRPr="00184096" w:rsidRDefault="00C619FE" w:rsidP="002222C1">
            <w:pPr>
              <w:pStyle w:val="Tableheadingrow"/>
              <w:keepLines/>
              <w:jc w:val="center"/>
              <w:rPr>
                <w:b w:val="0"/>
                <w:bCs/>
                <w:szCs w:val="20"/>
                <w:lang w:val="en-AU"/>
              </w:rPr>
            </w:pPr>
            <w:r w:rsidRPr="00C619FE">
              <w:rPr>
                <w:rFonts w:cs="Calibri" w:hint="eastAsia"/>
                <w:b w:val="0"/>
                <w:bCs/>
                <w:color w:val="000000"/>
                <w:w w:val="31"/>
                <w:szCs w:val="20"/>
                <w:shd w:val="solid" w:color="000000" w:fill="000000"/>
                <w:fitText w:val="140" w:id="-1502405883"/>
                <w14:textFill>
                  <w14:solidFill>
                    <w14:srgbClr w14:val="000000">
                      <w14:alpha w14:val="100000"/>
                    </w14:srgbClr>
                  </w14:solidFill>
                </w14:textFill>
              </w:rPr>
              <w:t xml:space="preserve">　</w:t>
            </w:r>
            <w:r w:rsidRPr="00C619FE">
              <w:rPr>
                <w:rFonts w:cs="Calibri"/>
                <w:b w:val="0"/>
                <w:bCs/>
                <w:color w:val="000000"/>
                <w:w w:val="31"/>
                <w:szCs w:val="20"/>
                <w:shd w:val="solid" w:color="000000" w:fill="000000"/>
                <w:fitText w:val="140" w:id="-1502405883"/>
                <w14:textFill>
                  <w14:solidFill>
                    <w14:srgbClr w14:val="000000">
                      <w14:alpha w14:val="100000"/>
                    </w14:srgbClr>
                  </w14:solidFill>
                </w14:textFill>
              </w:rPr>
              <w:t>|</w:t>
            </w:r>
            <w:r w:rsidRPr="00C619FE">
              <w:rPr>
                <w:rFonts w:cs="Calibri" w:hint="eastAsia"/>
                <w:b w:val="0"/>
                <w:bCs/>
                <w:color w:val="000000"/>
                <w:spacing w:val="4"/>
                <w:w w:val="31"/>
                <w:szCs w:val="20"/>
                <w:shd w:val="solid" w:color="000000" w:fill="000000"/>
                <w:fitText w:val="140" w:id="-1502405883"/>
                <w14:textFill>
                  <w14:solidFill>
                    <w14:srgbClr w14:val="000000">
                      <w14:alpha w14:val="100000"/>
                    </w14:srgbClr>
                  </w14:solidFill>
                </w14:textFill>
              </w:rPr>
              <w:t xml:space="preserve">　</w:t>
            </w:r>
            <w:r w:rsidR="006E7BA3" w:rsidRPr="00184096">
              <w:rPr>
                <w:rFonts w:cs="Calibri"/>
                <w:b w:val="0"/>
                <w:bCs/>
                <w:color w:val="000000"/>
                <w:szCs w:val="20"/>
              </w:rPr>
              <w:t>%</w:t>
            </w:r>
          </w:p>
        </w:tc>
      </w:tr>
      <w:tr w:rsidR="006E7BA3" w:rsidRPr="00184096" w14:paraId="555FE193" w14:textId="77777777" w:rsidTr="002222C1">
        <w:tc>
          <w:tcPr>
            <w:tcW w:w="2547" w:type="dxa"/>
          </w:tcPr>
          <w:p w14:paraId="25759A28" w14:textId="77777777" w:rsidR="006E7BA3" w:rsidRPr="00184096" w:rsidRDefault="006E7BA3" w:rsidP="002222C1">
            <w:pPr>
              <w:pStyle w:val="Tableheadingrow"/>
              <w:keepLines/>
              <w:rPr>
                <w:b w:val="0"/>
                <w:bCs/>
                <w:szCs w:val="20"/>
                <w:lang w:val="en-AU"/>
              </w:rPr>
            </w:pPr>
            <w:r w:rsidRPr="00184096">
              <w:rPr>
                <w:b w:val="0"/>
                <w:bCs/>
                <w:szCs w:val="20"/>
              </w:rPr>
              <w:t>Risankizumab patients (population × uptake)</w:t>
            </w:r>
          </w:p>
        </w:tc>
        <w:tc>
          <w:tcPr>
            <w:tcW w:w="1078" w:type="dxa"/>
            <w:tcBorders>
              <w:top w:val="single" w:sz="4" w:space="0" w:color="auto"/>
              <w:left w:val="nil"/>
              <w:bottom w:val="single" w:sz="4" w:space="0" w:color="auto"/>
              <w:right w:val="single" w:sz="4" w:space="0" w:color="auto"/>
            </w:tcBorders>
            <w:shd w:val="clear" w:color="auto" w:fill="auto"/>
            <w:vAlign w:val="center"/>
          </w:tcPr>
          <w:p w14:paraId="2BA7BDC9" w14:textId="72341340"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2"/>
                <w14:textFill>
                  <w14:solidFill>
                    <w14:srgbClr w14:val="000000">
                      <w14:alpha w14:val="100000"/>
                    </w14:srgbClr>
                  </w14:solidFill>
                </w14:textFill>
              </w:rPr>
              <w:t xml:space="preserve">　</w:t>
            </w:r>
            <w:r w:rsidR="0053633B" w:rsidRPr="00C619FE">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D2885E9" w14:textId="0022A45A"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1"/>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6A616D4" w14:textId="39E8CABD"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0"/>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C6C564" w14:textId="1412B060"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9"/>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08F6944" w14:textId="546C265F"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8"/>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8C62AAC" w14:textId="094E94CE"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7"/>
                <w14:textFill>
                  <w14:solidFill>
                    <w14:srgbClr w14:val="000000">
                      <w14:alpha w14:val="100000"/>
                    </w14:srgbClr>
                  </w14:solidFill>
                </w14:textFill>
              </w:rPr>
              <w:t xml:space="preserve">　</w:t>
            </w:r>
            <w:r w:rsidR="005A69AA">
              <w:rPr>
                <w:rFonts w:cs="Calibri"/>
                <w:b w:val="0"/>
                <w:bCs/>
                <w:color w:val="000000"/>
                <w:szCs w:val="20"/>
                <w:vertAlign w:val="superscript"/>
              </w:rPr>
              <w:t>5</w:t>
            </w:r>
          </w:p>
        </w:tc>
      </w:tr>
      <w:tr w:rsidR="006E7BA3" w:rsidRPr="00184096" w14:paraId="4E8828A5" w14:textId="77777777" w:rsidTr="002222C1">
        <w:tc>
          <w:tcPr>
            <w:tcW w:w="2547" w:type="dxa"/>
          </w:tcPr>
          <w:p w14:paraId="5A5D9D1E" w14:textId="77777777" w:rsidR="006E7BA3" w:rsidRPr="00184096" w:rsidRDefault="006E7BA3" w:rsidP="002222C1">
            <w:pPr>
              <w:pStyle w:val="Tableheadingrow"/>
              <w:keepLines/>
              <w:rPr>
                <w:b w:val="0"/>
                <w:bCs/>
                <w:szCs w:val="20"/>
                <w:lang w:val="en-AU"/>
              </w:rPr>
            </w:pPr>
            <w:r w:rsidRPr="00184096">
              <w:rPr>
                <w:b w:val="0"/>
                <w:bCs/>
                <w:szCs w:val="20"/>
              </w:rPr>
              <w:t>Risankizumab scripts (patients × 5 scripts/year)</w:t>
            </w:r>
          </w:p>
        </w:tc>
        <w:tc>
          <w:tcPr>
            <w:tcW w:w="1078" w:type="dxa"/>
            <w:tcBorders>
              <w:top w:val="single" w:sz="4" w:space="0" w:color="auto"/>
              <w:left w:val="nil"/>
              <w:bottom w:val="single" w:sz="4" w:space="0" w:color="auto"/>
              <w:right w:val="single" w:sz="4" w:space="0" w:color="auto"/>
            </w:tcBorders>
            <w:shd w:val="clear" w:color="auto" w:fill="auto"/>
            <w:vAlign w:val="center"/>
          </w:tcPr>
          <w:p w14:paraId="54616422" w14:textId="725DC6F8"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6"/>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74B5D32" w14:textId="108C557C"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5"/>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1430FC5" w14:textId="0A32B7DA"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4"/>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4C0D2C7" w14:textId="6DA9FE21"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3"/>
                <w14:textFill>
                  <w14:solidFill>
                    <w14:srgbClr w14:val="000000">
                      <w14:alpha w14:val="100000"/>
                    </w14:srgbClr>
                  </w14:solidFill>
                </w14:textFill>
              </w:rPr>
              <w:t xml:space="preserve">　</w:t>
            </w:r>
            <w:r w:rsidR="005A69AA">
              <w:rPr>
                <w:rFonts w:cs="Calibri"/>
                <w:b w:val="0"/>
                <w:bCs/>
                <w:color w:val="000000"/>
                <w:szCs w:val="20"/>
                <w:vertAlign w:val="superscript"/>
              </w:rPr>
              <w:t>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46310CE" w14:textId="2E454803"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2"/>
                <w14:textFill>
                  <w14:solidFill>
                    <w14:srgbClr w14:val="000000">
                      <w14:alpha w14:val="100000"/>
                    </w14:srgbClr>
                  </w14:solidFill>
                </w14:textFill>
              </w:rPr>
              <w:t xml:space="preserve">　</w:t>
            </w:r>
            <w:r w:rsidR="005A69AA">
              <w:rPr>
                <w:rFonts w:cs="Calibri"/>
                <w:b w:val="0"/>
                <w:bCs/>
                <w:color w:val="000000"/>
                <w:szCs w:val="20"/>
                <w:vertAlign w:val="superscript"/>
              </w:rPr>
              <w:t>8</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78899FB" w14:textId="77AEC700" w:rsidR="006E7BA3" w:rsidRPr="00937545"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8"/>
                <w14:textFill>
                  <w14:solidFill>
                    <w14:srgbClr w14:val="000000">
                      <w14:alpha w14:val="100000"/>
                    </w14:srgbClr>
                  </w14:solidFill>
                </w14:textFill>
              </w:rPr>
              <w:t xml:space="preserve">　</w:t>
            </w:r>
            <w:r w:rsidR="005A69AA">
              <w:rPr>
                <w:rFonts w:cs="Calibri"/>
                <w:b w:val="0"/>
                <w:bCs/>
                <w:color w:val="000000"/>
                <w:szCs w:val="20"/>
                <w:vertAlign w:val="superscript"/>
              </w:rPr>
              <w:t>8</w:t>
            </w:r>
          </w:p>
        </w:tc>
      </w:tr>
      <w:tr w:rsidR="006E7BA3" w:rsidRPr="00184096" w14:paraId="17CA61C9" w14:textId="77777777" w:rsidTr="002222C1">
        <w:tc>
          <w:tcPr>
            <w:tcW w:w="2547" w:type="dxa"/>
          </w:tcPr>
          <w:p w14:paraId="588C2286" w14:textId="1E8CCA06" w:rsidR="006E7BA3" w:rsidRPr="00184096" w:rsidRDefault="006E7BA3" w:rsidP="002222C1">
            <w:pPr>
              <w:pStyle w:val="Tableheadingrow"/>
              <w:keepLines/>
              <w:rPr>
                <w:b w:val="0"/>
                <w:bCs/>
                <w:szCs w:val="20"/>
                <w:lang w:val="en-AU"/>
              </w:rPr>
            </w:pPr>
            <w:r w:rsidRPr="00184096">
              <w:rPr>
                <w:b w:val="0"/>
                <w:bCs/>
                <w:szCs w:val="20"/>
              </w:rPr>
              <w:t>Cost of risankizumab (scripts × $5,400.51)</w:t>
            </w:r>
            <w:r w:rsidR="0053633B">
              <w:rPr>
                <w:b w:val="0"/>
                <w:bCs/>
                <w:szCs w:val="20"/>
              </w:rPr>
              <w:t xml:space="preserve"> ($)</w:t>
            </w:r>
          </w:p>
        </w:tc>
        <w:tc>
          <w:tcPr>
            <w:tcW w:w="1078" w:type="dxa"/>
            <w:vAlign w:val="center"/>
          </w:tcPr>
          <w:p w14:paraId="13154DB1" w14:textId="71CF9AFB"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7"/>
                <w14:textFill>
                  <w14:solidFill>
                    <w14:srgbClr w14:val="000000">
                      <w14:alpha w14:val="100000"/>
                    </w14:srgbClr>
                  </w14:solidFill>
                </w14:textFill>
              </w:rPr>
              <w:t xml:space="preserve">　</w:t>
            </w:r>
            <w:r w:rsidR="0053633B" w:rsidRPr="00C619FE">
              <w:rPr>
                <w:rFonts w:cs="Calibri"/>
                <w:b w:val="0"/>
                <w:bCs/>
                <w:color w:val="000000"/>
                <w:szCs w:val="20"/>
                <w:vertAlign w:val="superscript"/>
              </w:rPr>
              <w:t>4</w:t>
            </w:r>
          </w:p>
        </w:tc>
        <w:tc>
          <w:tcPr>
            <w:tcW w:w="1078" w:type="dxa"/>
            <w:vAlign w:val="center"/>
          </w:tcPr>
          <w:p w14:paraId="33523F11" w14:textId="061E2058"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6"/>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9" w:type="dxa"/>
            <w:vAlign w:val="center"/>
          </w:tcPr>
          <w:p w14:paraId="754A38C1" w14:textId="3FAFF012"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5"/>
                <w14:textFill>
                  <w14:solidFill>
                    <w14:srgbClr w14:val="000000">
                      <w14:alpha w14:val="100000"/>
                    </w14:srgbClr>
                  </w14:solidFill>
                </w14:textFill>
              </w:rPr>
              <w:t xml:space="preserve">　</w:t>
            </w:r>
            <w:r w:rsidR="005A69AA">
              <w:rPr>
                <w:rFonts w:cs="Calibri"/>
                <w:b w:val="0"/>
                <w:bCs/>
                <w:color w:val="000000"/>
                <w:szCs w:val="20"/>
                <w:vertAlign w:val="superscript"/>
              </w:rPr>
              <w:t>7</w:t>
            </w:r>
          </w:p>
        </w:tc>
        <w:tc>
          <w:tcPr>
            <w:tcW w:w="1078" w:type="dxa"/>
            <w:vAlign w:val="center"/>
          </w:tcPr>
          <w:p w14:paraId="3B702C30" w14:textId="656812D3"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4"/>
                <w14:textFill>
                  <w14:solidFill>
                    <w14:srgbClr w14:val="000000">
                      <w14:alpha w14:val="100000"/>
                    </w14:srgbClr>
                  </w14:solidFill>
                </w14:textFill>
              </w:rPr>
              <w:t xml:space="preserve">　</w:t>
            </w:r>
            <w:r w:rsidR="005A69AA">
              <w:rPr>
                <w:rFonts w:cs="Calibri"/>
                <w:b w:val="0"/>
                <w:bCs/>
                <w:color w:val="000000"/>
                <w:szCs w:val="20"/>
                <w:vertAlign w:val="superscript"/>
              </w:rPr>
              <w:t>7</w:t>
            </w:r>
          </w:p>
        </w:tc>
        <w:tc>
          <w:tcPr>
            <w:tcW w:w="1078" w:type="dxa"/>
            <w:vAlign w:val="center"/>
          </w:tcPr>
          <w:p w14:paraId="595C12D0" w14:textId="12AB400A"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3"/>
                <w14:textFill>
                  <w14:solidFill>
                    <w14:srgbClr w14:val="000000">
                      <w14:alpha w14:val="100000"/>
                    </w14:srgbClr>
                  </w14:solidFill>
                </w14:textFill>
              </w:rPr>
              <w:t xml:space="preserve">　</w:t>
            </w:r>
            <w:r w:rsidR="005A69AA">
              <w:rPr>
                <w:rFonts w:cs="Calibri"/>
                <w:b w:val="0"/>
                <w:bCs/>
                <w:color w:val="000000"/>
                <w:szCs w:val="20"/>
                <w:vertAlign w:val="superscript"/>
              </w:rPr>
              <w:t>9</w:t>
            </w:r>
          </w:p>
        </w:tc>
        <w:tc>
          <w:tcPr>
            <w:tcW w:w="1079" w:type="dxa"/>
            <w:vAlign w:val="center"/>
          </w:tcPr>
          <w:p w14:paraId="3C4AAC8D" w14:textId="7D74348D"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2"/>
                <w14:textFill>
                  <w14:solidFill>
                    <w14:srgbClr w14:val="000000">
                      <w14:alpha w14:val="100000"/>
                    </w14:srgbClr>
                  </w14:solidFill>
                </w14:textFill>
              </w:rPr>
              <w:t xml:space="preserve">　</w:t>
            </w:r>
            <w:r w:rsidR="005A69AA">
              <w:rPr>
                <w:rFonts w:cs="Calibri"/>
                <w:b w:val="0"/>
                <w:bCs/>
                <w:color w:val="000000"/>
                <w:szCs w:val="20"/>
                <w:vertAlign w:val="superscript"/>
              </w:rPr>
              <w:t>9</w:t>
            </w:r>
          </w:p>
        </w:tc>
      </w:tr>
      <w:tr w:rsidR="006E7BA3" w:rsidRPr="00184096" w14:paraId="065636E8" w14:textId="77777777" w:rsidTr="002222C1">
        <w:tc>
          <w:tcPr>
            <w:tcW w:w="2547" w:type="dxa"/>
          </w:tcPr>
          <w:p w14:paraId="4A161736" w14:textId="3FEAFF82" w:rsidR="006E7BA3" w:rsidRPr="0053633B" w:rsidRDefault="006E7BA3" w:rsidP="002222C1">
            <w:pPr>
              <w:pStyle w:val="Tableheadingrow"/>
              <w:keepLines/>
              <w:rPr>
                <w:b w:val="0"/>
                <w:bCs/>
                <w:szCs w:val="20"/>
                <w:lang w:val="en-AU"/>
              </w:rPr>
            </w:pPr>
            <w:r w:rsidRPr="00184096">
              <w:rPr>
                <w:b w:val="0"/>
                <w:bCs/>
                <w:szCs w:val="20"/>
              </w:rPr>
              <w:t>Copayments ($27.56/script)</w:t>
            </w:r>
            <w:r w:rsidRPr="00184096">
              <w:rPr>
                <w:b w:val="0"/>
                <w:bCs/>
                <w:szCs w:val="20"/>
                <w:vertAlign w:val="superscript"/>
              </w:rPr>
              <w:t>1</w:t>
            </w:r>
            <w:r w:rsidR="0053633B">
              <w:rPr>
                <w:b w:val="0"/>
                <w:bCs/>
                <w:szCs w:val="20"/>
              </w:rPr>
              <w:t>($)</w:t>
            </w:r>
          </w:p>
        </w:tc>
        <w:tc>
          <w:tcPr>
            <w:tcW w:w="1078" w:type="dxa"/>
          </w:tcPr>
          <w:p w14:paraId="4C855F7D" w14:textId="6714485E"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1"/>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Pr>
          <w:p w14:paraId="33AD1554" w14:textId="3C781138"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8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0"/>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Pr>
          <w:p w14:paraId="121805F8" w14:textId="5C569827"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9"/>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Pr>
          <w:p w14:paraId="3EA9B563" w14:textId="199C90BD"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8"/>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Pr>
          <w:p w14:paraId="0FA07CF2" w14:textId="56720E99"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7"/>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Pr>
          <w:p w14:paraId="1AE60B8F" w14:textId="6602A1D1" w:rsidR="006E7BA3" w:rsidRPr="00C619FE" w:rsidRDefault="00C619FE" w:rsidP="002222C1">
            <w:pPr>
              <w:pStyle w:val="Tableheadingrow"/>
              <w:keepLines/>
              <w:jc w:val="center"/>
              <w:rPr>
                <w:b w:val="0"/>
                <w:bCs/>
                <w:szCs w:val="20"/>
                <w:highlight w:val="yellow"/>
                <w:lang w:val="en-AU"/>
              </w:rPr>
            </w:pPr>
            <w:r w:rsidRPr="00C619FE">
              <w:rPr>
                <w:rFonts w:cs="Calibri" w:hint="eastAsia"/>
                <w:b w:val="0"/>
                <w:bCs/>
                <w:color w:val="000000"/>
                <w:w w:val="22"/>
                <w:szCs w:val="20"/>
                <w:shd w:val="solid" w:color="000000" w:fill="000000"/>
                <w:fitText w:val="100" w:id="-150240587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6"/>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1E9FBC87" w14:textId="77777777" w:rsidTr="002222C1">
        <w:tc>
          <w:tcPr>
            <w:tcW w:w="2547" w:type="dxa"/>
          </w:tcPr>
          <w:p w14:paraId="34852079" w14:textId="4128BDF1" w:rsidR="006E7BA3" w:rsidRPr="00184096" w:rsidRDefault="006E7BA3" w:rsidP="002222C1">
            <w:pPr>
              <w:pStyle w:val="Tableheadingrow"/>
              <w:keepLines/>
              <w:rPr>
                <w:szCs w:val="20"/>
                <w:lang w:val="en-AU"/>
              </w:rPr>
            </w:pPr>
            <w:r w:rsidRPr="00184096">
              <w:rPr>
                <w:szCs w:val="20"/>
              </w:rPr>
              <w:t>Net cost to PBS/RPBS</w:t>
            </w:r>
            <w:r w:rsidR="0053633B">
              <w:rPr>
                <w:szCs w:val="20"/>
              </w:rPr>
              <w:t xml:space="preserve">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23B92A7" w14:textId="3A3DEBF6" w:rsidR="006E7BA3" w:rsidRPr="00C619FE" w:rsidRDefault="00C619FE" w:rsidP="002222C1">
            <w:pPr>
              <w:pStyle w:val="Tableheadingrow"/>
              <w:keepLines/>
              <w:jc w:val="center"/>
              <w:rPr>
                <w:szCs w:val="20"/>
                <w:highlight w:val="yellow"/>
                <w:lang w:val="en-AU"/>
              </w:rPr>
            </w:pPr>
            <w:r w:rsidRPr="00C619FE">
              <w:rPr>
                <w:rFonts w:cs="Calibri" w:hint="eastAsia"/>
                <w:color w:val="000000"/>
                <w:w w:val="31"/>
                <w:szCs w:val="20"/>
                <w:shd w:val="solid" w:color="000000" w:fill="000000"/>
                <w:fitText w:val="140" w:id="-1502405875"/>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875"/>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875"/>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nil"/>
              <w:bottom w:val="single" w:sz="4" w:space="0" w:color="auto"/>
              <w:right w:val="single" w:sz="4" w:space="0" w:color="auto"/>
            </w:tcBorders>
            <w:shd w:val="clear" w:color="auto" w:fill="auto"/>
            <w:vAlign w:val="center"/>
          </w:tcPr>
          <w:p w14:paraId="7276028E" w14:textId="1273AD72" w:rsidR="006E7BA3" w:rsidRPr="00C619FE" w:rsidRDefault="00C619FE" w:rsidP="002222C1">
            <w:pPr>
              <w:pStyle w:val="Tableheadingrow"/>
              <w:keepLines/>
              <w:jc w:val="center"/>
              <w:rPr>
                <w:szCs w:val="20"/>
                <w:highlight w:val="yellow"/>
                <w:lang w:val="en-AU"/>
              </w:rPr>
            </w:pPr>
            <w:r w:rsidRPr="00C619FE">
              <w:rPr>
                <w:rFonts w:cs="Calibri" w:hint="eastAsia"/>
                <w:color w:val="000000"/>
                <w:w w:val="31"/>
                <w:szCs w:val="20"/>
                <w:shd w:val="solid" w:color="000000" w:fill="000000"/>
                <w:fitText w:val="140" w:id="-1502405874"/>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874"/>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874"/>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9" w:type="dxa"/>
            <w:tcBorders>
              <w:top w:val="single" w:sz="4" w:space="0" w:color="auto"/>
              <w:left w:val="nil"/>
              <w:bottom w:val="single" w:sz="4" w:space="0" w:color="auto"/>
              <w:right w:val="single" w:sz="4" w:space="0" w:color="auto"/>
            </w:tcBorders>
            <w:shd w:val="clear" w:color="auto" w:fill="auto"/>
            <w:vAlign w:val="center"/>
          </w:tcPr>
          <w:p w14:paraId="344D0563" w14:textId="6DD768BC" w:rsidR="006E7BA3" w:rsidRPr="00C619FE" w:rsidRDefault="00C619FE" w:rsidP="002222C1">
            <w:pPr>
              <w:pStyle w:val="Tableheadingrow"/>
              <w:keepLines/>
              <w:jc w:val="center"/>
              <w:rPr>
                <w:szCs w:val="20"/>
                <w:highlight w:val="yellow"/>
                <w:lang w:val="en-AU"/>
              </w:rPr>
            </w:pPr>
            <w:r w:rsidRPr="00C619FE">
              <w:rPr>
                <w:rFonts w:cs="Calibri" w:hint="eastAsia"/>
                <w:color w:val="000000"/>
                <w:w w:val="31"/>
                <w:szCs w:val="20"/>
                <w:shd w:val="solid" w:color="000000" w:fill="000000"/>
                <w:fitText w:val="140" w:id="-1502405873"/>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873"/>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873"/>
                <w14:textFill>
                  <w14:solidFill>
                    <w14:srgbClr w14:val="000000">
                      <w14:alpha w14:val="100000"/>
                    </w14:srgbClr>
                  </w14:solidFill>
                </w14:textFill>
              </w:rPr>
              <w:t xml:space="preserve">　</w:t>
            </w:r>
            <w:r w:rsidR="005A69AA">
              <w:rPr>
                <w:rFonts w:cs="Calibri"/>
                <w:b w:val="0"/>
                <w:bCs/>
                <w:color w:val="000000"/>
                <w:szCs w:val="20"/>
                <w:vertAlign w:val="superscript"/>
              </w:rPr>
              <w:t>7</w:t>
            </w:r>
          </w:p>
        </w:tc>
        <w:tc>
          <w:tcPr>
            <w:tcW w:w="1078" w:type="dxa"/>
            <w:tcBorders>
              <w:top w:val="single" w:sz="4" w:space="0" w:color="auto"/>
              <w:left w:val="nil"/>
              <w:bottom w:val="single" w:sz="4" w:space="0" w:color="auto"/>
              <w:right w:val="single" w:sz="4" w:space="0" w:color="auto"/>
            </w:tcBorders>
            <w:shd w:val="clear" w:color="auto" w:fill="auto"/>
            <w:vAlign w:val="center"/>
          </w:tcPr>
          <w:p w14:paraId="09D46DED" w14:textId="4AA47B42" w:rsidR="006E7BA3" w:rsidRPr="00C619FE" w:rsidRDefault="00C619FE" w:rsidP="002222C1">
            <w:pPr>
              <w:pStyle w:val="Tableheadingrow"/>
              <w:keepLines/>
              <w:jc w:val="center"/>
              <w:rPr>
                <w:szCs w:val="20"/>
                <w:highlight w:val="yellow"/>
                <w:lang w:val="en-AU"/>
              </w:rPr>
            </w:pPr>
            <w:r w:rsidRPr="00C619FE">
              <w:rPr>
                <w:rFonts w:cs="Calibri" w:hint="eastAsia"/>
                <w:color w:val="000000"/>
                <w:w w:val="31"/>
                <w:szCs w:val="20"/>
                <w:shd w:val="solid" w:color="000000" w:fill="000000"/>
                <w:fitText w:val="140" w:id="-1502405872"/>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872"/>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872"/>
                <w14:textFill>
                  <w14:solidFill>
                    <w14:srgbClr w14:val="000000">
                      <w14:alpha w14:val="100000"/>
                    </w14:srgbClr>
                  </w14:solidFill>
                </w14:textFill>
              </w:rPr>
              <w:t xml:space="preserve">　</w:t>
            </w:r>
            <w:r w:rsidR="005A69AA">
              <w:rPr>
                <w:rFonts w:cs="Calibri"/>
                <w:b w:val="0"/>
                <w:bCs/>
                <w:color w:val="000000"/>
                <w:szCs w:val="20"/>
                <w:vertAlign w:val="superscript"/>
              </w:rPr>
              <w:t>7</w:t>
            </w:r>
          </w:p>
        </w:tc>
        <w:tc>
          <w:tcPr>
            <w:tcW w:w="1078" w:type="dxa"/>
            <w:tcBorders>
              <w:top w:val="single" w:sz="4" w:space="0" w:color="auto"/>
              <w:left w:val="nil"/>
              <w:bottom w:val="single" w:sz="4" w:space="0" w:color="auto"/>
              <w:right w:val="single" w:sz="4" w:space="0" w:color="auto"/>
            </w:tcBorders>
            <w:shd w:val="clear" w:color="auto" w:fill="auto"/>
            <w:vAlign w:val="center"/>
          </w:tcPr>
          <w:p w14:paraId="3589D119" w14:textId="4435D726" w:rsidR="006E7BA3" w:rsidRPr="00C619FE" w:rsidRDefault="00C619FE" w:rsidP="002222C1">
            <w:pPr>
              <w:pStyle w:val="Tableheadingrow"/>
              <w:keepLines/>
              <w:jc w:val="center"/>
              <w:rPr>
                <w:szCs w:val="20"/>
                <w:highlight w:val="yellow"/>
                <w:lang w:val="en-AU"/>
              </w:rPr>
            </w:pPr>
            <w:r w:rsidRPr="00C619FE">
              <w:rPr>
                <w:rFonts w:cs="Calibri" w:hint="eastAsia"/>
                <w:color w:val="000000"/>
                <w:w w:val="31"/>
                <w:szCs w:val="20"/>
                <w:shd w:val="solid" w:color="000000" w:fill="000000"/>
                <w:fitText w:val="140" w:id="-1502405888"/>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888"/>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888"/>
                <w14:textFill>
                  <w14:solidFill>
                    <w14:srgbClr w14:val="000000">
                      <w14:alpha w14:val="100000"/>
                    </w14:srgbClr>
                  </w14:solidFill>
                </w14:textFill>
              </w:rPr>
              <w:t xml:space="preserve">　</w:t>
            </w:r>
            <w:r w:rsidR="005A69AA">
              <w:rPr>
                <w:rFonts w:cs="Calibri"/>
                <w:b w:val="0"/>
                <w:bCs/>
                <w:color w:val="000000"/>
                <w:szCs w:val="20"/>
                <w:vertAlign w:val="superscript"/>
              </w:rPr>
              <w:t>9</w:t>
            </w:r>
          </w:p>
        </w:tc>
        <w:tc>
          <w:tcPr>
            <w:tcW w:w="1079" w:type="dxa"/>
            <w:tcBorders>
              <w:top w:val="single" w:sz="4" w:space="0" w:color="auto"/>
              <w:left w:val="nil"/>
              <w:bottom w:val="single" w:sz="4" w:space="0" w:color="auto"/>
              <w:right w:val="single" w:sz="4" w:space="0" w:color="auto"/>
            </w:tcBorders>
            <w:shd w:val="clear" w:color="auto" w:fill="auto"/>
            <w:vAlign w:val="center"/>
          </w:tcPr>
          <w:p w14:paraId="0327882C" w14:textId="165956E2" w:rsidR="006E7BA3" w:rsidRPr="00C619FE" w:rsidRDefault="00C619FE" w:rsidP="002222C1">
            <w:pPr>
              <w:pStyle w:val="Tableheadingrow"/>
              <w:keepLines/>
              <w:jc w:val="center"/>
              <w:rPr>
                <w:szCs w:val="20"/>
                <w:highlight w:val="yellow"/>
                <w:lang w:val="en-AU"/>
              </w:rPr>
            </w:pPr>
            <w:r w:rsidRPr="00C619FE">
              <w:rPr>
                <w:rFonts w:cs="Calibri" w:hint="eastAsia"/>
                <w:color w:val="000000"/>
                <w:w w:val="31"/>
                <w:szCs w:val="20"/>
                <w:shd w:val="solid" w:color="000000" w:fill="000000"/>
                <w:fitText w:val="140" w:id="-1502405887"/>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887"/>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887"/>
                <w14:textFill>
                  <w14:solidFill>
                    <w14:srgbClr w14:val="000000">
                      <w14:alpha w14:val="100000"/>
                    </w14:srgbClr>
                  </w14:solidFill>
                </w14:textFill>
              </w:rPr>
              <w:t xml:space="preserve">　</w:t>
            </w:r>
            <w:r w:rsidR="005A69AA">
              <w:rPr>
                <w:rFonts w:cs="Calibri"/>
                <w:b w:val="0"/>
                <w:bCs/>
                <w:color w:val="000000"/>
                <w:szCs w:val="20"/>
                <w:vertAlign w:val="superscript"/>
              </w:rPr>
              <w:t>9</w:t>
            </w:r>
          </w:p>
        </w:tc>
      </w:tr>
      <w:tr w:rsidR="006E7BA3" w:rsidRPr="00184096" w14:paraId="1B08B64C" w14:textId="77777777" w:rsidTr="002222C1">
        <w:tc>
          <w:tcPr>
            <w:tcW w:w="9017" w:type="dxa"/>
            <w:gridSpan w:val="7"/>
            <w:tcBorders>
              <w:right w:val="single" w:sz="4" w:space="0" w:color="auto"/>
            </w:tcBorders>
          </w:tcPr>
          <w:p w14:paraId="711057E4" w14:textId="77777777" w:rsidR="006E7BA3" w:rsidRPr="00184096" w:rsidRDefault="006E7BA3" w:rsidP="002222C1">
            <w:pPr>
              <w:pStyle w:val="Tableheadingrow"/>
              <w:keepLines/>
              <w:rPr>
                <w:rFonts w:cs="Calibri"/>
                <w:color w:val="000000"/>
                <w:szCs w:val="20"/>
              </w:rPr>
            </w:pPr>
            <w:r w:rsidRPr="00184096">
              <w:rPr>
                <w:szCs w:val="20"/>
              </w:rPr>
              <w:t>Estimated changes in use and financial implications of other therapies</w:t>
            </w:r>
          </w:p>
        </w:tc>
      </w:tr>
      <w:tr w:rsidR="00911F7D" w:rsidRPr="00184096" w14:paraId="7BEA1233" w14:textId="77777777" w:rsidTr="002222C1">
        <w:tc>
          <w:tcPr>
            <w:tcW w:w="9017" w:type="dxa"/>
            <w:gridSpan w:val="7"/>
            <w:tcBorders>
              <w:right w:val="single" w:sz="4" w:space="0" w:color="auto"/>
            </w:tcBorders>
          </w:tcPr>
          <w:p w14:paraId="7E4A1A90" w14:textId="77AA8469" w:rsidR="00911F7D" w:rsidRPr="00184096" w:rsidRDefault="00911F7D" w:rsidP="002222C1">
            <w:pPr>
              <w:pStyle w:val="Tableheadingrow"/>
              <w:keepLines/>
              <w:rPr>
                <w:rFonts w:cs="Calibri"/>
                <w:b w:val="0"/>
                <w:bCs/>
                <w:color w:val="000000"/>
                <w:szCs w:val="20"/>
              </w:rPr>
            </w:pPr>
            <w:r w:rsidRPr="00184096">
              <w:rPr>
                <w:b w:val="0"/>
                <w:bCs/>
                <w:szCs w:val="20"/>
              </w:rPr>
              <w:t>Changes in script numbers</w:t>
            </w:r>
          </w:p>
        </w:tc>
      </w:tr>
      <w:tr w:rsidR="006E7BA3" w:rsidRPr="00184096" w14:paraId="305CB2FB" w14:textId="77777777" w:rsidTr="002222C1">
        <w:tc>
          <w:tcPr>
            <w:tcW w:w="2547" w:type="dxa"/>
          </w:tcPr>
          <w:p w14:paraId="5DC93386" w14:textId="77777777" w:rsidR="006E7BA3" w:rsidRPr="00184096" w:rsidRDefault="006E7BA3" w:rsidP="002222C1">
            <w:pPr>
              <w:pStyle w:val="Tableheadingrow"/>
              <w:keepLines/>
              <w:rPr>
                <w:rFonts w:cs="Calibri"/>
                <w:b w:val="0"/>
                <w:bCs/>
                <w:color w:val="000000"/>
                <w:szCs w:val="20"/>
              </w:rPr>
            </w:pPr>
            <w:r w:rsidRPr="00184096">
              <w:rPr>
                <w:rFonts w:cs="Calibri"/>
                <w:b w:val="0"/>
                <w:bCs/>
                <w:color w:val="000000"/>
                <w:szCs w:val="20"/>
              </w:rPr>
              <w:t>- Adalimumab</w:t>
            </w:r>
          </w:p>
        </w:tc>
        <w:tc>
          <w:tcPr>
            <w:tcW w:w="1078" w:type="dxa"/>
            <w:tcBorders>
              <w:top w:val="single" w:sz="4" w:space="0" w:color="auto"/>
              <w:left w:val="nil"/>
              <w:bottom w:val="single" w:sz="4" w:space="0" w:color="auto"/>
              <w:right w:val="single" w:sz="4" w:space="0" w:color="auto"/>
            </w:tcBorders>
            <w:shd w:val="clear" w:color="auto" w:fill="auto"/>
            <w:vAlign w:val="bottom"/>
          </w:tcPr>
          <w:p w14:paraId="0ACA8568" w14:textId="1822A685"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6"/>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66CA593" w14:textId="425C185B"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5"/>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6118B41E" w14:textId="30773773"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4"/>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0BC2DA30" w14:textId="672BD149"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3"/>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D391D82" w14:textId="287B8341"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2"/>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232DD54D" w14:textId="6CF015A1"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1"/>
                <w14:textFill>
                  <w14:solidFill>
                    <w14:srgbClr w14:val="000000">
                      <w14:alpha w14:val="100000"/>
                    </w14:srgbClr>
                  </w14:solidFill>
                </w14:textFill>
              </w:rPr>
              <w:t xml:space="preserve">　</w:t>
            </w:r>
            <w:r w:rsidR="005A69AA">
              <w:rPr>
                <w:rFonts w:cs="Calibri"/>
                <w:b w:val="0"/>
                <w:bCs/>
                <w:color w:val="000000"/>
                <w:szCs w:val="20"/>
                <w:vertAlign w:val="superscript"/>
              </w:rPr>
              <w:t>8</w:t>
            </w:r>
          </w:p>
        </w:tc>
      </w:tr>
      <w:tr w:rsidR="006E7BA3" w:rsidRPr="00184096" w14:paraId="5CCAAA42" w14:textId="77777777" w:rsidTr="002222C1">
        <w:tc>
          <w:tcPr>
            <w:tcW w:w="2547" w:type="dxa"/>
          </w:tcPr>
          <w:p w14:paraId="6F4B1003" w14:textId="77777777" w:rsidR="006E7BA3" w:rsidRPr="00184096" w:rsidRDefault="006E7BA3" w:rsidP="002222C1">
            <w:pPr>
              <w:pStyle w:val="Tableheadingrow"/>
              <w:keepLines/>
              <w:rPr>
                <w:b w:val="0"/>
                <w:bCs/>
                <w:szCs w:val="20"/>
              </w:rPr>
            </w:pPr>
            <w:r w:rsidRPr="00184096">
              <w:rPr>
                <w:rFonts w:cs="Calibri"/>
                <w:b w:val="0"/>
                <w:bCs/>
                <w:color w:val="000000"/>
                <w:szCs w:val="20"/>
              </w:rPr>
              <w:t xml:space="preserve">- </w:t>
            </w:r>
            <w:proofErr w:type="spellStart"/>
            <w:r w:rsidRPr="00184096">
              <w:rPr>
                <w:rFonts w:cs="Calibri"/>
                <w:b w:val="0"/>
                <w:bCs/>
                <w:color w:val="000000"/>
                <w:szCs w:val="20"/>
              </w:rPr>
              <w:t>Secukinumab</w:t>
            </w:r>
            <w:proofErr w:type="spellEnd"/>
          </w:p>
        </w:tc>
        <w:tc>
          <w:tcPr>
            <w:tcW w:w="1078" w:type="dxa"/>
            <w:tcBorders>
              <w:top w:val="single" w:sz="4" w:space="0" w:color="auto"/>
              <w:left w:val="nil"/>
              <w:bottom w:val="single" w:sz="4" w:space="0" w:color="auto"/>
              <w:right w:val="single" w:sz="4" w:space="0" w:color="auto"/>
            </w:tcBorders>
            <w:shd w:val="clear" w:color="auto" w:fill="auto"/>
            <w:vAlign w:val="bottom"/>
          </w:tcPr>
          <w:p w14:paraId="2DB23236" w14:textId="532D76E9"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0"/>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83D037B" w14:textId="00E6F27B"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9"/>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47BB528F" w14:textId="41A240CF"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8"/>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85B1FB9" w14:textId="666801B0"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7"/>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ADCEC00" w14:textId="16E77AE6"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6"/>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68569623" w14:textId="70B45B5F"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5"/>
                <w14:textFill>
                  <w14:solidFill>
                    <w14:srgbClr w14:val="000000">
                      <w14:alpha w14:val="100000"/>
                    </w14:srgbClr>
                  </w14:solidFill>
                </w14:textFill>
              </w:rPr>
              <w:t xml:space="preserve">　</w:t>
            </w:r>
            <w:r w:rsidR="005A69AA">
              <w:rPr>
                <w:rFonts w:cs="Calibri"/>
                <w:b w:val="0"/>
                <w:bCs/>
                <w:color w:val="000000"/>
                <w:szCs w:val="20"/>
                <w:vertAlign w:val="superscript"/>
              </w:rPr>
              <w:t>5</w:t>
            </w:r>
          </w:p>
        </w:tc>
      </w:tr>
      <w:tr w:rsidR="006E7BA3" w:rsidRPr="00184096" w14:paraId="4949588F" w14:textId="77777777" w:rsidTr="002222C1">
        <w:tc>
          <w:tcPr>
            <w:tcW w:w="2547" w:type="dxa"/>
          </w:tcPr>
          <w:p w14:paraId="65F2953E" w14:textId="77777777" w:rsidR="006E7BA3" w:rsidRPr="00184096" w:rsidRDefault="006E7BA3" w:rsidP="002222C1">
            <w:pPr>
              <w:pStyle w:val="Tableheadingrow"/>
              <w:keepLines/>
              <w:rPr>
                <w:b w:val="0"/>
                <w:bCs/>
                <w:szCs w:val="20"/>
              </w:rPr>
            </w:pPr>
            <w:r w:rsidRPr="00184096">
              <w:rPr>
                <w:rFonts w:cs="Calibri"/>
                <w:b w:val="0"/>
                <w:bCs/>
                <w:color w:val="000000"/>
                <w:szCs w:val="20"/>
              </w:rPr>
              <w:t>- Etanercept</w:t>
            </w:r>
          </w:p>
        </w:tc>
        <w:tc>
          <w:tcPr>
            <w:tcW w:w="1078" w:type="dxa"/>
            <w:tcBorders>
              <w:top w:val="single" w:sz="4" w:space="0" w:color="auto"/>
              <w:left w:val="nil"/>
              <w:bottom w:val="single" w:sz="4" w:space="0" w:color="auto"/>
              <w:right w:val="single" w:sz="4" w:space="0" w:color="auto"/>
            </w:tcBorders>
            <w:shd w:val="clear" w:color="auto" w:fill="auto"/>
            <w:vAlign w:val="bottom"/>
          </w:tcPr>
          <w:p w14:paraId="2654619D" w14:textId="1E960E35"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4"/>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0E3181B4" w14:textId="44736FC5"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3"/>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1C499CAD" w14:textId="6816388B"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2"/>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F0C5ADC" w14:textId="5356E0C7"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8"/>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80684BD" w14:textId="486BDD48"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7"/>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1D1EFFD5" w14:textId="72DA67D7"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6"/>
                <w14:textFill>
                  <w14:solidFill>
                    <w14:srgbClr w14:val="000000">
                      <w14:alpha w14:val="100000"/>
                    </w14:srgbClr>
                  </w14:solidFill>
                </w14:textFill>
              </w:rPr>
              <w:t xml:space="preserve">　</w:t>
            </w:r>
            <w:r w:rsidR="005A69AA">
              <w:rPr>
                <w:rFonts w:cs="Calibri"/>
                <w:b w:val="0"/>
                <w:bCs/>
                <w:color w:val="000000"/>
                <w:szCs w:val="20"/>
                <w:vertAlign w:val="superscript"/>
              </w:rPr>
              <w:t>5</w:t>
            </w:r>
          </w:p>
        </w:tc>
      </w:tr>
      <w:tr w:rsidR="006E7BA3" w:rsidRPr="00184096" w14:paraId="09A3FE32" w14:textId="77777777" w:rsidTr="002222C1">
        <w:tc>
          <w:tcPr>
            <w:tcW w:w="2547" w:type="dxa"/>
          </w:tcPr>
          <w:p w14:paraId="1DD7390C" w14:textId="77777777" w:rsidR="006E7BA3" w:rsidRPr="00184096" w:rsidRDefault="006E7BA3" w:rsidP="002222C1">
            <w:pPr>
              <w:pStyle w:val="Tableheadingrow"/>
              <w:keepLines/>
              <w:rPr>
                <w:b w:val="0"/>
                <w:bCs/>
                <w:szCs w:val="20"/>
              </w:rPr>
            </w:pPr>
            <w:r w:rsidRPr="00184096">
              <w:rPr>
                <w:rFonts w:cs="Calibri"/>
                <w:b w:val="0"/>
                <w:bCs/>
                <w:color w:val="000000"/>
                <w:szCs w:val="20"/>
              </w:rPr>
              <w:t>- Golimumab</w:t>
            </w:r>
          </w:p>
        </w:tc>
        <w:tc>
          <w:tcPr>
            <w:tcW w:w="1078" w:type="dxa"/>
            <w:tcBorders>
              <w:top w:val="single" w:sz="4" w:space="0" w:color="auto"/>
              <w:left w:val="nil"/>
              <w:bottom w:val="single" w:sz="4" w:space="0" w:color="auto"/>
              <w:right w:val="single" w:sz="4" w:space="0" w:color="auto"/>
            </w:tcBorders>
            <w:shd w:val="clear" w:color="auto" w:fill="auto"/>
            <w:vAlign w:val="bottom"/>
          </w:tcPr>
          <w:p w14:paraId="64B445B1" w14:textId="059D761B"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5"/>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2E28A50" w14:textId="3F836FF2"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4"/>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77E1184B" w14:textId="32F07D9A"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3"/>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16DF18E" w14:textId="62C8810B"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2"/>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1D89540" w14:textId="6FCC4A73"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1"/>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2CE288B9" w14:textId="54E2DAF1"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8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8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80"/>
                <w14:textFill>
                  <w14:solidFill>
                    <w14:srgbClr w14:val="000000">
                      <w14:alpha w14:val="100000"/>
                    </w14:srgbClr>
                  </w14:solidFill>
                </w14:textFill>
              </w:rPr>
              <w:t xml:space="preserve">　</w:t>
            </w:r>
            <w:r w:rsidR="005A69AA">
              <w:rPr>
                <w:rFonts w:cs="Calibri"/>
                <w:b w:val="0"/>
                <w:bCs/>
                <w:color w:val="000000"/>
                <w:szCs w:val="20"/>
                <w:vertAlign w:val="superscript"/>
              </w:rPr>
              <w:t>5</w:t>
            </w:r>
          </w:p>
        </w:tc>
      </w:tr>
      <w:tr w:rsidR="006E7BA3" w:rsidRPr="00184096" w14:paraId="5CCDBD63" w14:textId="77777777" w:rsidTr="002222C1">
        <w:tc>
          <w:tcPr>
            <w:tcW w:w="2547" w:type="dxa"/>
          </w:tcPr>
          <w:p w14:paraId="735B8799" w14:textId="77777777" w:rsidR="006E7BA3" w:rsidRPr="00184096" w:rsidRDefault="006E7BA3" w:rsidP="002222C1">
            <w:pPr>
              <w:pStyle w:val="Tableheadingrow"/>
              <w:keepLines/>
              <w:rPr>
                <w:b w:val="0"/>
                <w:bCs/>
                <w:szCs w:val="20"/>
              </w:rPr>
            </w:pPr>
            <w:r w:rsidRPr="00184096">
              <w:rPr>
                <w:rFonts w:cs="Calibri"/>
                <w:b w:val="0"/>
                <w:bCs/>
                <w:color w:val="000000"/>
                <w:szCs w:val="20"/>
              </w:rPr>
              <w:t>- Tofacitinib</w:t>
            </w:r>
          </w:p>
        </w:tc>
        <w:tc>
          <w:tcPr>
            <w:tcW w:w="1078" w:type="dxa"/>
            <w:tcBorders>
              <w:top w:val="single" w:sz="4" w:space="0" w:color="auto"/>
              <w:left w:val="nil"/>
              <w:bottom w:val="single" w:sz="4" w:space="0" w:color="auto"/>
              <w:right w:val="single" w:sz="4" w:space="0" w:color="auto"/>
            </w:tcBorders>
            <w:shd w:val="clear" w:color="auto" w:fill="auto"/>
            <w:vAlign w:val="bottom"/>
          </w:tcPr>
          <w:p w14:paraId="196DE4B5" w14:textId="3E1C573C"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9"/>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7EBAB6D" w14:textId="0678B302"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87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87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878"/>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171C4CDE" w14:textId="54E2445C"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2"/>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3BD9314" w14:textId="71A40571"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1"/>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0AC0231C" w14:textId="1C114EA1"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0"/>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080FAF89" w14:textId="31AF7B5A"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9"/>
                <w14:textFill>
                  <w14:solidFill>
                    <w14:srgbClr w14:val="000000">
                      <w14:alpha w14:val="100000"/>
                    </w14:srgbClr>
                  </w14:solidFill>
                </w14:textFill>
              </w:rPr>
              <w:t xml:space="preserve">　</w:t>
            </w:r>
            <w:r w:rsidR="005A69AA">
              <w:rPr>
                <w:rFonts w:cs="Calibri"/>
                <w:b w:val="0"/>
                <w:bCs/>
                <w:color w:val="000000"/>
                <w:szCs w:val="20"/>
                <w:vertAlign w:val="superscript"/>
              </w:rPr>
              <w:t>5</w:t>
            </w:r>
          </w:p>
        </w:tc>
      </w:tr>
      <w:tr w:rsidR="006E7BA3" w:rsidRPr="00184096" w14:paraId="635E09AE" w14:textId="77777777" w:rsidTr="002222C1">
        <w:tc>
          <w:tcPr>
            <w:tcW w:w="2547" w:type="dxa"/>
          </w:tcPr>
          <w:p w14:paraId="5BE755A8" w14:textId="77777777" w:rsidR="006E7BA3" w:rsidRPr="00184096" w:rsidRDefault="006E7BA3" w:rsidP="002222C1">
            <w:pPr>
              <w:pStyle w:val="Tableheadingrow"/>
              <w:keepLines/>
              <w:rPr>
                <w:b w:val="0"/>
                <w:bCs/>
                <w:szCs w:val="20"/>
              </w:rPr>
            </w:pPr>
            <w:r w:rsidRPr="00184096">
              <w:rPr>
                <w:rFonts w:cs="Calibri"/>
                <w:b w:val="0"/>
                <w:bCs/>
                <w:color w:val="000000"/>
                <w:szCs w:val="20"/>
              </w:rPr>
              <w:t>- Certolizumab pegol</w:t>
            </w:r>
          </w:p>
        </w:tc>
        <w:tc>
          <w:tcPr>
            <w:tcW w:w="1078" w:type="dxa"/>
            <w:tcBorders>
              <w:top w:val="single" w:sz="4" w:space="0" w:color="auto"/>
              <w:left w:val="nil"/>
              <w:bottom w:val="single" w:sz="4" w:space="0" w:color="auto"/>
              <w:right w:val="single" w:sz="4" w:space="0" w:color="auto"/>
            </w:tcBorders>
            <w:shd w:val="clear" w:color="auto" w:fill="auto"/>
            <w:vAlign w:val="bottom"/>
          </w:tcPr>
          <w:p w14:paraId="54CDEDF0" w14:textId="702AC010"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8"/>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B2DFD34" w14:textId="01A116AA"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7"/>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2E57BF1C" w14:textId="71102DED"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6"/>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74B5B87" w14:textId="00E73D69"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5"/>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1033963" w14:textId="09AD6022"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4"/>
                <w14:textFill>
                  <w14:solidFill>
                    <w14:srgbClr w14:val="000000">
                      <w14:alpha w14:val="100000"/>
                    </w14:srgbClr>
                  </w14:solidFill>
                </w14:textFill>
              </w:rPr>
              <w:t xml:space="preserve">　</w:t>
            </w:r>
            <w:r w:rsidR="005A69AA">
              <w:rPr>
                <w:rFonts w:cs="Calibri"/>
                <w:b w:val="0"/>
                <w:bCs/>
                <w:color w:val="000000"/>
                <w:szCs w:val="20"/>
                <w:vertAlign w:val="superscript"/>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13BD61CF" w14:textId="054C3D09"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3"/>
                <w14:textFill>
                  <w14:solidFill>
                    <w14:srgbClr w14:val="000000">
                      <w14:alpha w14:val="100000"/>
                    </w14:srgbClr>
                  </w14:solidFill>
                </w14:textFill>
              </w:rPr>
              <w:t xml:space="preserve">　</w:t>
            </w:r>
            <w:r w:rsidR="005A69AA">
              <w:rPr>
                <w:rFonts w:cs="Calibri"/>
                <w:b w:val="0"/>
                <w:bCs/>
                <w:color w:val="000000"/>
                <w:szCs w:val="20"/>
                <w:vertAlign w:val="superscript"/>
              </w:rPr>
              <w:t>5</w:t>
            </w:r>
          </w:p>
        </w:tc>
      </w:tr>
      <w:tr w:rsidR="006E7BA3" w:rsidRPr="00184096" w14:paraId="7874EA3E" w14:textId="77777777" w:rsidTr="002222C1">
        <w:tc>
          <w:tcPr>
            <w:tcW w:w="2547" w:type="dxa"/>
          </w:tcPr>
          <w:p w14:paraId="29A63CFE" w14:textId="77777777" w:rsidR="006E7BA3" w:rsidRPr="00184096" w:rsidRDefault="006E7BA3" w:rsidP="002222C1">
            <w:pPr>
              <w:pStyle w:val="Tableheadingrow"/>
              <w:keepLines/>
              <w:rPr>
                <w:b w:val="0"/>
                <w:bCs/>
                <w:szCs w:val="20"/>
              </w:rPr>
            </w:pPr>
            <w:r w:rsidRPr="00184096">
              <w:rPr>
                <w:rFonts w:cs="Calibri"/>
                <w:b w:val="0"/>
                <w:bCs/>
                <w:color w:val="000000"/>
                <w:szCs w:val="20"/>
              </w:rPr>
              <w:t xml:space="preserve">- </w:t>
            </w:r>
            <w:proofErr w:type="spellStart"/>
            <w:r w:rsidRPr="00184096">
              <w:rPr>
                <w:rFonts w:cs="Calibri"/>
                <w:b w:val="0"/>
                <w:bCs/>
                <w:color w:val="000000"/>
                <w:szCs w:val="20"/>
              </w:rPr>
              <w:t>Ixekizumab</w:t>
            </w:r>
            <w:proofErr w:type="spellEnd"/>
          </w:p>
        </w:tc>
        <w:tc>
          <w:tcPr>
            <w:tcW w:w="1078" w:type="dxa"/>
            <w:tcBorders>
              <w:top w:val="single" w:sz="4" w:space="0" w:color="auto"/>
              <w:left w:val="nil"/>
              <w:bottom w:val="single" w:sz="4" w:space="0" w:color="auto"/>
              <w:right w:val="single" w:sz="4" w:space="0" w:color="auto"/>
            </w:tcBorders>
            <w:shd w:val="clear" w:color="auto" w:fill="auto"/>
            <w:vAlign w:val="bottom"/>
          </w:tcPr>
          <w:p w14:paraId="697E9B83" w14:textId="68F85E3B"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2"/>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920D61E" w14:textId="515B70A4"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1"/>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3BC31B75" w14:textId="1F9A9119"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0"/>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7013A2F" w14:textId="6CFC7402"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9"/>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521FF62" w14:textId="306F0F65"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8"/>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544F1211" w14:textId="2ED8D42C"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7"/>
                <w14:textFill>
                  <w14:solidFill>
                    <w14:srgbClr w14:val="000000">
                      <w14:alpha w14:val="100000"/>
                    </w14:srgbClr>
                  </w14:solidFill>
                </w14:textFill>
              </w:rPr>
              <w:t xml:space="preserve">　</w:t>
            </w:r>
            <w:r w:rsidR="005A69AA">
              <w:rPr>
                <w:rFonts w:cs="Calibri"/>
                <w:b w:val="0"/>
                <w:bCs/>
                <w:color w:val="000000"/>
                <w:szCs w:val="20"/>
                <w:vertAlign w:val="superscript"/>
              </w:rPr>
              <w:t>5</w:t>
            </w:r>
          </w:p>
        </w:tc>
      </w:tr>
      <w:tr w:rsidR="006E7BA3" w:rsidRPr="00184096" w14:paraId="6EA0B8A9" w14:textId="77777777" w:rsidTr="002222C1">
        <w:tc>
          <w:tcPr>
            <w:tcW w:w="2547" w:type="dxa"/>
          </w:tcPr>
          <w:p w14:paraId="384B4515" w14:textId="77777777" w:rsidR="006E7BA3" w:rsidRPr="00184096" w:rsidRDefault="006E7BA3" w:rsidP="002222C1">
            <w:pPr>
              <w:pStyle w:val="Tableheadingrow"/>
              <w:keepLines/>
              <w:rPr>
                <w:rFonts w:cs="Calibri"/>
                <w:b w:val="0"/>
                <w:bCs/>
                <w:color w:val="000000"/>
                <w:szCs w:val="20"/>
              </w:rPr>
            </w:pPr>
            <w:r w:rsidRPr="00184096">
              <w:rPr>
                <w:rFonts w:cs="Calibri"/>
                <w:b w:val="0"/>
                <w:bCs/>
                <w:color w:val="000000"/>
                <w:szCs w:val="20"/>
              </w:rPr>
              <w:t>- Ustekinumab</w:t>
            </w:r>
          </w:p>
        </w:tc>
        <w:tc>
          <w:tcPr>
            <w:tcW w:w="1078" w:type="dxa"/>
            <w:tcBorders>
              <w:top w:val="single" w:sz="4" w:space="0" w:color="auto"/>
              <w:left w:val="nil"/>
              <w:bottom w:val="single" w:sz="4" w:space="0" w:color="auto"/>
              <w:right w:val="single" w:sz="4" w:space="0" w:color="auto"/>
            </w:tcBorders>
            <w:shd w:val="clear" w:color="auto" w:fill="auto"/>
            <w:vAlign w:val="bottom"/>
          </w:tcPr>
          <w:p w14:paraId="3AA61A82" w14:textId="3D22DA7A"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6"/>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153CBF0" w14:textId="0B331BC1"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2"/>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56C38071" w14:textId="5482DB40"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1"/>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523491E" w14:textId="6926ED36"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0"/>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5B8C41C" w14:textId="081957B5"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9"/>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2C485990" w14:textId="4D456AC7"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8"/>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r>
      <w:tr w:rsidR="006E7BA3" w:rsidRPr="00184096" w14:paraId="598DA565" w14:textId="77777777" w:rsidTr="002222C1">
        <w:tc>
          <w:tcPr>
            <w:tcW w:w="2547" w:type="dxa"/>
          </w:tcPr>
          <w:p w14:paraId="26D912F3" w14:textId="77777777" w:rsidR="006E7BA3" w:rsidRPr="00184096" w:rsidRDefault="006E7BA3" w:rsidP="002222C1">
            <w:pPr>
              <w:pStyle w:val="Tableheadingrow"/>
              <w:keepLines/>
              <w:rPr>
                <w:rFonts w:cs="Calibri"/>
                <w:b w:val="0"/>
                <w:bCs/>
                <w:color w:val="000000"/>
                <w:szCs w:val="20"/>
              </w:rPr>
            </w:pPr>
            <w:r w:rsidRPr="00184096">
              <w:rPr>
                <w:rFonts w:cs="Calibri"/>
                <w:b w:val="0"/>
                <w:bCs/>
                <w:color w:val="000000"/>
                <w:szCs w:val="20"/>
              </w:rPr>
              <w:t>- Infliximab</w:t>
            </w:r>
          </w:p>
        </w:tc>
        <w:tc>
          <w:tcPr>
            <w:tcW w:w="1078" w:type="dxa"/>
            <w:tcBorders>
              <w:top w:val="single" w:sz="4" w:space="0" w:color="auto"/>
              <w:left w:val="nil"/>
              <w:bottom w:val="single" w:sz="4" w:space="0" w:color="auto"/>
              <w:right w:val="single" w:sz="4" w:space="0" w:color="auto"/>
            </w:tcBorders>
            <w:shd w:val="clear" w:color="auto" w:fill="auto"/>
            <w:vAlign w:val="bottom"/>
          </w:tcPr>
          <w:p w14:paraId="70B8A8F3" w14:textId="302B26BA"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7"/>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73666B6" w14:textId="164937E2"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6"/>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7D0F5ECE" w14:textId="69AE4187"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5"/>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1B50D6E" w14:textId="5CCDAE20"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4"/>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9D113E6" w14:textId="08C9A106"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3"/>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54F51759" w14:textId="4AE4F9CC" w:rsidR="006E7BA3" w:rsidRPr="0053633B"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2"/>
                <w14:textFill>
                  <w14:solidFill>
                    <w14:srgbClr w14:val="000000">
                      <w14:alpha w14:val="100000"/>
                    </w14:srgbClr>
                  </w14:solidFill>
                </w14:textFill>
              </w:rPr>
              <w:t xml:space="preserve">　</w:t>
            </w:r>
            <w:r w:rsidR="0053633B" w:rsidRPr="00E87C1F">
              <w:rPr>
                <w:rFonts w:cs="Calibri"/>
                <w:b w:val="0"/>
                <w:bCs/>
                <w:color w:val="000000"/>
                <w:szCs w:val="20"/>
                <w:vertAlign w:val="superscript"/>
              </w:rPr>
              <w:t>3</w:t>
            </w:r>
          </w:p>
        </w:tc>
      </w:tr>
      <w:tr w:rsidR="00911F7D" w:rsidRPr="00184096" w14:paraId="3616E88A" w14:textId="77777777" w:rsidTr="002222C1">
        <w:tc>
          <w:tcPr>
            <w:tcW w:w="9017" w:type="dxa"/>
            <w:gridSpan w:val="7"/>
            <w:tcBorders>
              <w:right w:val="single" w:sz="4" w:space="0" w:color="auto"/>
            </w:tcBorders>
          </w:tcPr>
          <w:p w14:paraId="103400FF" w14:textId="2113C39E" w:rsidR="00911F7D" w:rsidRPr="00184096" w:rsidRDefault="00911F7D" w:rsidP="002222C1">
            <w:pPr>
              <w:pStyle w:val="Tableheadingrow"/>
              <w:keepLines/>
              <w:rPr>
                <w:rFonts w:cs="Calibri"/>
                <w:color w:val="000000"/>
                <w:szCs w:val="20"/>
              </w:rPr>
            </w:pPr>
            <w:r w:rsidRPr="00184096">
              <w:rPr>
                <w:rFonts w:cs="Calibri"/>
                <w:b w:val="0"/>
                <w:bCs/>
                <w:color w:val="000000"/>
                <w:szCs w:val="20"/>
              </w:rPr>
              <w:t>PBS/RPBS cost offsets</w:t>
            </w:r>
          </w:p>
        </w:tc>
      </w:tr>
      <w:tr w:rsidR="006E7BA3" w:rsidRPr="00184096" w14:paraId="319A8614" w14:textId="77777777" w:rsidTr="002222C1">
        <w:tc>
          <w:tcPr>
            <w:tcW w:w="2547" w:type="dxa"/>
          </w:tcPr>
          <w:p w14:paraId="27E3CEED" w14:textId="35102A1B" w:rsidR="006E7BA3" w:rsidRPr="00184096" w:rsidRDefault="006E7BA3" w:rsidP="002222C1">
            <w:pPr>
              <w:pStyle w:val="Tableheadingrow"/>
              <w:keepLines/>
              <w:rPr>
                <w:rFonts w:cs="Calibri"/>
                <w:color w:val="000000"/>
                <w:szCs w:val="20"/>
              </w:rPr>
            </w:pPr>
            <w:r w:rsidRPr="00184096">
              <w:rPr>
                <w:rFonts w:cs="Calibri"/>
                <w:b w:val="0"/>
                <w:bCs/>
                <w:color w:val="000000"/>
                <w:szCs w:val="20"/>
              </w:rPr>
              <w:t>- Adalimumab</w:t>
            </w:r>
            <w:r w:rsidR="0053633B">
              <w:rPr>
                <w:rFonts w:cs="Calibri"/>
                <w:b w:val="0"/>
                <w:bCs/>
                <w:color w:val="000000"/>
                <w:szCs w:val="20"/>
              </w:rPr>
              <w:t xml:space="preserve"> ($)</w:t>
            </w:r>
          </w:p>
        </w:tc>
        <w:tc>
          <w:tcPr>
            <w:tcW w:w="1078" w:type="dxa"/>
            <w:tcBorders>
              <w:top w:val="single" w:sz="4" w:space="0" w:color="auto"/>
              <w:left w:val="nil"/>
              <w:bottom w:val="single" w:sz="4" w:space="0" w:color="auto"/>
              <w:right w:val="single" w:sz="4" w:space="0" w:color="auto"/>
            </w:tcBorders>
            <w:shd w:val="clear" w:color="auto" w:fill="auto"/>
            <w:vAlign w:val="center"/>
          </w:tcPr>
          <w:p w14:paraId="698616F0" w14:textId="0B6DCF93"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1"/>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82AE1E8" w14:textId="76437D65"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0"/>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02970A1" w14:textId="2B588881"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9"/>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0D280D1" w14:textId="6AD63E9C"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8"/>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6A4B1D6" w14:textId="1F53E099"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7"/>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74733C9" w14:textId="3B1A36C3"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6"/>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67FA98C3" w14:textId="77777777" w:rsidTr="002222C1">
        <w:tc>
          <w:tcPr>
            <w:tcW w:w="2547" w:type="dxa"/>
          </w:tcPr>
          <w:p w14:paraId="101681DD" w14:textId="7DA5061E" w:rsidR="006E7BA3" w:rsidRPr="00184096" w:rsidRDefault="006E7BA3" w:rsidP="002222C1">
            <w:pPr>
              <w:pStyle w:val="Tableheadingrow"/>
              <w:keepLines/>
              <w:rPr>
                <w:rFonts w:cs="Calibri"/>
                <w:color w:val="000000"/>
                <w:szCs w:val="20"/>
              </w:rPr>
            </w:pPr>
            <w:r w:rsidRPr="00184096">
              <w:rPr>
                <w:rFonts w:cs="Calibri"/>
                <w:b w:val="0"/>
                <w:bCs/>
                <w:color w:val="000000"/>
                <w:szCs w:val="20"/>
              </w:rPr>
              <w:t xml:space="preserve">- </w:t>
            </w:r>
            <w:proofErr w:type="spellStart"/>
            <w:r w:rsidRPr="00184096">
              <w:rPr>
                <w:rFonts w:cs="Calibri"/>
                <w:b w:val="0"/>
                <w:bCs/>
                <w:color w:val="000000"/>
                <w:szCs w:val="20"/>
              </w:rPr>
              <w:t>Secukinumab</w:t>
            </w:r>
            <w:proofErr w:type="spellEnd"/>
            <w:r w:rsidR="0053633B">
              <w:rPr>
                <w:rFonts w:cs="Calibri"/>
                <w:b w:val="0"/>
                <w:bCs/>
                <w:color w:val="000000"/>
                <w:szCs w:val="20"/>
              </w:rPr>
              <w:t xml:space="preserve"> ($)</w:t>
            </w:r>
          </w:p>
        </w:tc>
        <w:tc>
          <w:tcPr>
            <w:tcW w:w="1078" w:type="dxa"/>
            <w:tcBorders>
              <w:top w:val="single" w:sz="4" w:space="0" w:color="auto"/>
              <w:left w:val="nil"/>
              <w:bottom w:val="single" w:sz="4" w:space="0" w:color="auto"/>
              <w:right w:val="single" w:sz="4" w:space="0" w:color="auto"/>
            </w:tcBorders>
            <w:shd w:val="clear" w:color="auto" w:fill="auto"/>
            <w:vAlign w:val="bottom"/>
          </w:tcPr>
          <w:p w14:paraId="4A80B188" w14:textId="016885F6"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2"/>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6279BBA" w14:textId="053860B5"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1"/>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788E08EE" w14:textId="5257AF16"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0"/>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BF994E8" w14:textId="58968594"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9"/>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0D291A0" w14:textId="6A106D67"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8"/>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tcPr>
          <w:p w14:paraId="19297F05" w14:textId="46A7E722"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7"/>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3A7F30EC" w14:textId="77777777" w:rsidTr="002222C1">
        <w:tc>
          <w:tcPr>
            <w:tcW w:w="2547" w:type="dxa"/>
          </w:tcPr>
          <w:p w14:paraId="13C368A7" w14:textId="00B1F5F7" w:rsidR="006E7BA3" w:rsidRPr="00184096" w:rsidRDefault="006E7BA3" w:rsidP="002222C1">
            <w:pPr>
              <w:pStyle w:val="Tableheadingrow"/>
              <w:keepLines/>
              <w:rPr>
                <w:rFonts w:cs="Calibri"/>
                <w:color w:val="000000"/>
                <w:szCs w:val="20"/>
              </w:rPr>
            </w:pPr>
            <w:r w:rsidRPr="00184096">
              <w:rPr>
                <w:rFonts w:cs="Calibri"/>
                <w:b w:val="0"/>
                <w:bCs/>
                <w:color w:val="000000"/>
                <w:szCs w:val="20"/>
              </w:rPr>
              <w:t>- Etanercept</w:t>
            </w:r>
            <w:r w:rsidR="0053633B">
              <w:rPr>
                <w:rFonts w:cs="Calibri"/>
                <w:b w:val="0"/>
                <w:bCs/>
                <w:color w:val="000000"/>
                <w:szCs w:val="20"/>
              </w:rPr>
              <w:t xml:space="preserve"> ($)</w:t>
            </w:r>
          </w:p>
        </w:tc>
        <w:tc>
          <w:tcPr>
            <w:tcW w:w="1078" w:type="dxa"/>
            <w:tcBorders>
              <w:top w:val="single" w:sz="4" w:space="0" w:color="auto"/>
              <w:left w:val="nil"/>
              <w:bottom w:val="single" w:sz="4" w:space="0" w:color="auto"/>
              <w:right w:val="single" w:sz="4" w:space="0" w:color="auto"/>
            </w:tcBorders>
            <w:shd w:val="clear" w:color="auto" w:fill="auto"/>
            <w:vAlign w:val="center"/>
          </w:tcPr>
          <w:p w14:paraId="4A929327" w14:textId="545FF3E3"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6"/>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42419C1" w14:textId="2305FA94"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5"/>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7FCF21B" w14:textId="43854854"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4"/>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DE0CC5A" w14:textId="0761E809"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3"/>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0C6AAB" w14:textId="6E703D25"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2"/>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B64F106" w14:textId="5B6EC665"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1"/>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41053846" w14:textId="77777777" w:rsidTr="002222C1">
        <w:tc>
          <w:tcPr>
            <w:tcW w:w="2547" w:type="dxa"/>
          </w:tcPr>
          <w:p w14:paraId="3C849AFC" w14:textId="14C08840" w:rsidR="006E7BA3" w:rsidRPr="00184096" w:rsidRDefault="006E7BA3" w:rsidP="002222C1">
            <w:pPr>
              <w:pStyle w:val="Tableheadingrow"/>
              <w:keepLines/>
              <w:rPr>
                <w:rFonts w:cs="Calibri"/>
                <w:color w:val="000000"/>
                <w:szCs w:val="20"/>
              </w:rPr>
            </w:pPr>
            <w:r w:rsidRPr="00184096">
              <w:rPr>
                <w:rFonts w:cs="Calibri"/>
                <w:b w:val="0"/>
                <w:bCs/>
                <w:color w:val="000000"/>
                <w:szCs w:val="20"/>
              </w:rPr>
              <w:t>- Golimumab</w:t>
            </w:r>
            <w:r w:rsidR="0053633B">
              <w:rPr>
                <w:rFonts w:cs="Calibri"/>
                <w:b w:val="0"/>
                <w:bCs/>
                <w:color w:val="000000"/>
                <w:szCs w:val="20"/>
              </w:rPr>
              <w:t xml:space="preserve"> ($)</w:t>
            </w:r>
          </w:p>
        </w:tc>
        <w:tc>
          <w:tcPr>
            <w:tcW w:w="1078" w:type="dxa"/>
            <w:tcBorders>
              <w:top w:val="single" w:sz="4" w:space="0" w:color="auto"/>
              <w:left w:val="nil"/>
              <w:bottom w:val="single" w:sz="4" w:space="0" w:color="auto"/>
              <w:right w:val="single" w:sz="4" w:space="0" w:color="auto"/>
            </w:tcBorders>
            <w:shd w:val="clear" w:color="auto" w:fill="auto"/>
            <w:vAlign w:val="center"/>
          </w:tcPr>
          <w:p w14:paraId="463A99CD" w14:textId="6B7C2506"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0"/>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12B28A9" w14:textId="57DFCF36"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9"/>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FC3B767" w14:textId="19D629B5"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8"/>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25FECB9" w14:textId="312EDA74"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7"/>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50923E4" w14:textId="1A5A37B3"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6"/>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AB29B86" w14:textId="5C1AD926"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2"/>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5927A62A" w14:textId="77777777" w:rsidTr="002222C1">
        <w:tc>
          <w:tcPr>
            <w:tcW w:w="2547" w:type="dxa"/>
          </w:tcPr>
          <w:p w14:paraId="004CB20C" w14:textId="2AD5C3F7" w:rsidR="006E7BA3" w:rsidRPr="00184096" w:rsidRDefault="006E7BA3" w:rsidP="002222C1">
            <w:pPr>
              <w:pStyle w:val="Tableheadingrow"/>
              <w:keepLines/>
              <w:rPr>
                <w:rFonts w:cs="Calibri"/>
                <w:color w:val="000000"/>
                <w:szCs w:val="20"/>
              </w:rPr>
            </w:pPr>
            <w:r w:rsidRPr="00184096">
              <w:rPr>
                <w:rFonts w:cs="Calibri"/>
                <w:b w:val="0"/>
                <w:bCs/>
                <w:color w:val="000000"/>
                <w:szCs w:val="20"/>
              </w:rPr>
              <w:t>- Tofacitinib</w:t>
            </w:r>
            <w:r w:rsidR="0053633B">
              <w:rPr>
                <w:rFonts w:cs="Calibri"/>
                <w:b w:val="0"/>
                <w:bCs/>
                <w:color w:val="000000"/>
                <w:szCs w:val="20"/>
              </w:rPr>
              <w:t xml:space="preserve"> ($)</w:t>
            </w:r>
          </w:p>
        </w:tc>
        <w:tc>
          <w:tcPr>
            <w:tcW w:w="1078" w:type="dxa"/>
            <w:tcBorders>
              <w:top w:val="single" w:sz="4" w:space="0" w:color="auto"/>
              <w:left w:val="nil"/>
              <w:bottom w:val="single" w:sz="4" w:space="0" w:color="auto"/>
              <w:right w:val="single" w:sz="4" w:space="0" w:color="auto"/>
            </w:tcBorders>
            <w:shd w:val="clear" w:color="auto" w:fill="auto"/>
            <w:vAlign w:val="center"/>
          </w:tcPr>
          <w:p w14:paraId="195716F5" w14:textId="39E142BD"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1"/>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D186902" w14:textId="25A524AC"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0"/>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C8135D1" w14:textId="635AFE6F"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9"/>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3FA78E7" w14:textId="62E89353"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8"/>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FD1800" w14:textId="6CE6608C"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7"/>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A8E88EC" w14:textId="41A7D854"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6"/>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15A42616" w14:textId="77777777" w:rsidTr="002222C1">
        <w:tc>
          <w:tcPr>
            <w:tcW w:w="2547" w:type="dxa"/>
          </w:tcPr>
          <w:p w14:paraId="611E90B1" w14:textId="59800E5C" w:rsidR="006E7BA3" w:rsidRPr="00184096" w:rsidRDefault="006E7BA3" w:rsidP="002222C1">
            <w:pPr>
              <w:pStyle w:val="Tableheadingrow"/>
              <w:keepLines/>
              <w:rPr>
                <w:rFonts w:cs="Calibri"/>
                <w:color w:val="000000"/>
                <w:szCs w:val="20"/>
              </w:rPr>
            </w:pPr>
            <w:r w:rsidRPr="00184096">
              <w:rPr>
                <w:rFonts w:cs="Calibri"/>
                <w:b w:val="0"/>
                <w:bCs/>
                <w:color w:val="000000"/>
                <w:szCs w:val="20"/>
              </w:rPr>
              <w:t>- Certolizumab pegol</w:t>
            </w:r>
            <w:r w:rsidR="0053633B">
              <w:rPr>
                <w:rFonts w:cs="Calibri"/>
                <w:b w:val="0"/>
                <w:bCs/>
                <w:color w:val="000000"/>
                <w:szCs w:val="20"/>
              </w:rPr>
              <w:t xml:space="preserve"> ($)</w:t>
            </w:r>
          </w:p>
        </w:tc>
        <w:tc>
          <w:tcPr>
            <w:tcW w:w="1078" w:type="dxa"/>
            <w:tcBorders>
              <w:top w:val="single" w:sz="4" w:space="0" w:color="auto"/>
              <w:left w:val="nil"/>
              <w:bottom w:val="single" w:sz="4" w:space="0" w:color="auto"/>
              <w:right w:val="single" w:sz="4" w:space="0" w:color="auto"/>
            </w:tcBorders>
            <w:shd w:val="clear" w:color="auto" w:fill="auto"/>
            <w:vAlign w:val="center"/>
          </w:tcPr>
          <w:p w14:paraId="6CA1C4AB" w14:textId="62DD127D"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5"/>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502C351" w14:textId="2DB90292"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4"/>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60BC32F" w14:textId="06EF85F2"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3"/>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C4BA3DD" w14:textId="78DD654B"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2"/>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CDA1B31" w14:textId="00261788"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1"/>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65212B4" w14:textId="5E41A334"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0"/>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3C818354" w14:textId="77777777" w:rsidTr="002222C1">
        <w:tc>
          <w:tcPr>
            <w:tcW w:w="2547" w:type="dxa"/>
          </w:tcPr>
          <w:p w14:paraId="5555D14A" w14:textId="50DB6DBB" w:rsidR="006E7BA3" w:rsidRPr="00184096" w:rsidRDefault="006E7BA3" w:rsidP="002222C1">
            <w:pPr>
              <w:pStyle w:val="Tableheadingrow"/>
              <w:keepLines/>
              <w:rPr>
                <w:rFonts w:cs="Calibri"/>
                <w:color w:val="000000"/>
                <w:szCs w:val="20"/>
              </w:rPr>
            </w:pPr>
            <w:r w:rsidRPr="00184096">
              <w:rPr>
                <w:rFonts w:cs="Calibri"/>
                <w:b w:val="0"/>
                <w:bCs/>
                <w:color w:val="000000"/>
                <w:szCs w:val="20"/>
              </w:rPr>
              <w:t xml:space="preserve">- </w:t>
            </w:r>
            <w:proofErr w:type="spellStart"/>
            <w:r w:rsidRPr="00184096">
              <w:rPr>
                <w:rFonts w:cs="Calibri"/>
                <w:b w:val="0"/>
                <w:bCs/>
                <w:color w:val="000000"/>
                <w:szCs w:val="20"/>
              </w:rPr>
              <w:t>Ixekizumab</w:t>
            </w:r>
            <w:proofErr w:type="spellEnd"/>
            <w:r w:rsidR="0053633B">
              <w:rPr>
                <w:rFonts w:cs="Calibri"/>
                <w:b w:val="0"/>
                <w:bCs/>
                <w:color w:val="000000"/>
                <w:szCs w:val="20"/>
              </w:rPr>
              <w:t xml:space="preserve"> ($)</w:t>
            </w:r>
          </w:p>
        </w:tc>
        <w:tc>
          <w:tcPr>
            <w:tcW w:w="1078" w:type="dxa"/>
            <w:tcBorders>
              <w:top w:val="single" w:sz="4" w:space="0" w:color="auto"/>
              <w:left w:val="nil"/>
              <w:bottom w:val="single" w:sz="4" w:space="0" w:color="auto"/>
              <w:right w:val="single" w:sz="4" w:space="0" w:color="auto"/>
            </w:tcBorders>
            <w:shd w:val="clear" w:color="auto" w:fill="auto"/>
            <w:vAlign w:val="center"/>
          </w:tcPr>
          <w:p w14:paraId="584ADFAB" w14:textId="03E42DBA"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9"/>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B739084" w14:textId="6860F0D9"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8"/>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7BF949" w14:textId="7DC4FBAB"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7"/>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E173D7C" w14:textId="14DE53C3"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6"/>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C9EA153" w14:textId="0503BF2E"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2"/>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C9FE0D8" w14:textId="467EA58B"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1"/>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32ECBE96" w14:textId="77777777" w:rsidTr="002222C1">
        <w:tc>
          <w:tcPr>
            <w:tcW w:w="2547" w:type="dxa"/>
          </w:tcPr>
          <w:p w14:paraId="4F980495" w14:textId="29AED2D3" w:rsidR="006E7BA3" w:rsidRPr="00184096" w:rsidRDefault="006E7BA3" w:rsidP="002222C1">
            <w:pPr>
              <w:pStyle w:val="Tableheadingrow"/>
              <w:keepLines/>
              <w:rPr>
                <w:rFonts w:cs="Calibri"/>
                <w:color w:val="000000"/>
                <w:szCs w:val="20"/>
              </w:rPr>
            </w:pPr>
            <w:r w:rsidRPr="00184096">
              <w:rPr>
                <w:rFonts w:cs="Calibri"/>
                <w:b w:val="0"/>
                <w:bCs/>
                <w:color w:val="000000"/>
                <w:szCs w:val="20"/>
              </w:rPr>
              <w:t>- Ustekinumab</w:t>
            </w:r>
            <w:r w:rsidR="0053633B">
              <w:rPr>
                <w:rFonts w:cs="Calibri"/>
                <w:b w:val="0"/>
                <w:bCs/>
                <w:color w:val="000000"/>
                <w:szCs w:val="20"/>
              </w:rPr>
              <w:t xml:space="preserve"> ($)</w:t>
            </w:r>
          </w:p>
        </w:tc>
        <w:tc>
          <w:tcPr>
            <w:tcW w:w="1078" w:type="dxa"/>
            <w:tcBorders>
              <w:top w:val="single" w:sz="4" w:space="0" w:color="auto"/>
              <w:left w:val="nil"/>
              <w:bottom w:val="single" w:sz="4" w:space="0" w:color="auto"/>
              <w:right w:val="single" w:sz="4" w:space="0" w:color="auto"/>
            </w:tcBorders>
            <w:shd w:val="clear" w:color="auto" w:fill="auto"/>
            <w:vAlign w:val="center"/>
          </w:tcPr>
          <w:p w14:paraId="15F4A485" w14:textId="44D5CD27"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0"/>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558345E" w14:textId="3CF4477D"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9"/>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3DDE0E1" w14:textId="5DDF9572"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8"/>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8"/>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8"/>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208CC56" w14:textId="675D3E0C"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7"/>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7"/>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7"/>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93ECB6" w14:textId="64D475BD"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6"/>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3ECEA7F" w14:textId="45D02187"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5"/>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60372788" w14:textId="77777777" w:rsidTr="002222C1">
        <w:tc>
          <w:tcPr>
            <w:tcW w:w="2547" w:type="dxa"/>
          </w:tcPr>
          <w:p w14:paraId="3F586007" w14:textId="0A78CF13" w:rsidR="006E7BA3" w:rsidRPr="00184096" w:rsidRDefault="006E7BA3" w:rsidP="002222C1">
            <w:pPr>
              <w:pStyle w:val="Tableheadingrow"/>
              <w:keepLines/>
              <w:rPr>
                <w:rFonts w:cs="Calibri"/>
                <w:color w:val="000000"/>
                <w:szCs w:val="20"/>
              </w:rPr>
            </w:pPr>
            <w:r w:rsidRPr="00184096">
              <w:rPr>
                <w:rFonts w:cs="Calibri"/>
                <w:b w:val="0"/>
                <w:bCs/>
                <w:color w:val="000000"/>
                <w:szCs w:val="20"/>
              </w:rPr>
              <w:t>- Infliximab</w:t>
            </w:r>
            <w:r w:rsidR="0053633B">
              <w:rPr>
                <w:rFonts w:cs="Calibri"/>
                <w:b w:val="0"/>
                <w:bCs/>
                <w:color w:val="000000"/>
                <w:szCs w:val="20"/>
              </w:rPr>
              <w:t xml:space="preserve"> ($)</w:t>
            </w:r>
          </w:p>
        </w:tc>
        <w:tc>
          <w:tcPr>
            <w:tcW w:w="1078" w:type="dxa"/>
            <w:tcBorders>
              <w:top w:val="single" w:sz="4" w:space="0" w:color="auto"/>
              <w:left w:val="nil"/>
              <w:bottom w:val="single" w:sz="4" w:space="0" w:color="auto"/>
              <w:right w:val="single" w:sz="4" w:space="0" w:color="auto"/>
            </w:tcBorders>
            <w:shd w:val="clear" w:color="auto" w:fill="auto"/>
            <w:vAlign w:val="center"/>
          </w:tcPr>
          <w:p w14:paraId="3C68B6B9" w14:textId="1E16E543"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4"/>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36AA4E" w14:textId="51C8F12C"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3"/>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43036AD" w14:textId="06FF3FDE"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2"/>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8AE3123" w14:textId="6535066B"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1"/>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D9FDE96" w14:textId="54EC8E6E"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0"/>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92AF649" w14:textId="54FCA660"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9"/>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090D5067" w14:textId="77777777" w:rsidTr="002222C1">
        <w:tc>
          <w:tcPr>
            <w:tcW w:w="2547" w:type="dxa"/>
          </w:tcPr>
          <w:p w14:paraId="3EF48484" w14:textId="18BE0358" w:rsidR="006E7BA3" w:rsidRPr="00184096" w:rsidRDefault="006E7BA3" w:rsidP="002222C1">
            <w:pPr>
              <w:pStyle w:val="Tableheadingrow"/>
              <w:keepLines/>
              <w:rPr>
                <w:rFonts w:cs="Calibri"/>
                <w:color w:val="000000"/>
                <w:szCs w:val="20"/>
              </w:rPr>
            </w:pPr>
            <w:r w:rsidRPr="00184096">
              <w:rPr>
                <w:b w:val="0"/>
                <w:bCs/>
                <w:szCs w:val="20"/>
              </w:rPr>
              <w:t>Total PBS/RPBS cost</w:t>
            </w:r>
            <w:r w:rsidR="0053633B">
              <w:rPr>
                <w:b w:val="0"/>
                <w:bCs/>
                <w:szCs w:val="20"/>
              </w:rPr>
              <w:t xml:space="preserve"> </w:t>
            </w:r>
            <w:r w:rsidR="0053633B">
              <w:rPr>
                <w:rFonts w:cs="Calibri"/>
                <w:b w:val="0"/>
                <w:bCs/>
                <w:color w:val="000000"/>
                <w:szCs w:val="20"/>
              </w:rPr>
              <w:t>($)</w:t>
            </w:r>
          </w:p>
        </w:tc>
        <w:tc>
          <w:tcPr>
            <w:tcW w:w="1078" w:type="dxa"/>
            <w:tcBorders>
              <w:top w:val="single" w:sz="4" w:space="0" w:color="auto"/>
              <w:left w:val="nil"/>
              <w:bottom w:val="single" w:sz="4" w:space="0" w:color="auto"/>
              <w:right w:val="single" w:sz="4" w:space="0" w:color="auto"/>
            </w:tcBorders>
            <w:shd w:val="clear" w:color="auto" w:fill="auto"/>
            <w:vAlign w:val="center"/>
          </w:tcPr>
          <w:p w14:paraId="458C9C50" w14:textId="3AD35696" w:rsidR="006E7BA3" w:rsidRPr="00C619FE" w:rsidRDefault="00C619FE" w:rsidP="002222C1">
            <w:pPr>
              <w:pStyle w:val="Tableheadingrow"/>
              <w:keepLines/>
              <w:jc w:val="center"/>
              <w:rPr>
                <w:rFonts w:cs="Calibri"/>
                <w:b w:val="0"/>
                <w:bCs/>
                <w:color w:val="000000"/>
                <w:szCs w:val="20"/>
                <w:highlight w:val="yellow"/>
              </w:rPr>
            </w:pPr>
            <w:r w:rsidRPr="00C619FE">
              <w:rPr>
                <w:rFonts w:cs="Calibri"/>
                <w:b w:val="0"/>
                <w:bCs/>
                <w:color w:val="000000"/>
                <w:spacing w:val="49"/>
                <w:szCs w:val="20"/>
                <w:shd w:val="solid" w:color="000000" w:fill="000000"/>
                <w:fitText w:val="320" w:id="-1502405618"/>
                <w14:textFill>
                  <w14:solidFill>
                    <w14:srgbClr w14:val="000000">
                      <w14:alpha w14:val="100000"/>
                    </w14:srgbClr>
                  </w14:solidFill>
                </w14:textFill>
              </w:rPr>
              <w:t>|||</w:t>
            </w:r>
            <w:r w:rsidRPr="00C619FE">
              <w:rPr>
                <w:rFonts w:cs="Calibri"/>
                <w:b w:val="0"/>
                <w:bCs/>
                <w:color w:val="000000"/>
                <w:spacing w:val="3"/>
                <w:szCs w:val="20"/>
                <w:shd w:val="solid" w:color="000000" w:fill="000000"/>
                <w:fitText w:val="320" w:id="-1502405618"/>
                <w14:textFill>
                  <w14:solidFill>
                    <w14:srgbClr w14:val="000000">
                      <w14:alpha w14:val="100000"/>
                    </w14:srgbClr>
                  </w14:solidFill>
                </w14:textFill>
              </w:rPr>
              <w:t>|</w:t>
            </w:r>
            <w:r w:rsidR="005A69AA" w:rsidRPr="00E87C1F">
              <w:rPr>
                <w:rFonts w:cs="Calibri"/>
                <w:b w:val="0"/>
                <w:bCs/>
                <w:color w:val="000000"/>
                <w:szCs w:val="20"/>
                <w:vertAlign w:val="superscript"/>
              </w:rPr>
              <w:t>4</w:t>
            </w:r>
            <w:r w:rsidRPr="00C619FE">
              <w:rPr>
                <w:rFonts w:cs="Calibri"/>
                <w:b w:val="0"/>
                <w:bCs/>
                <w:color w:val="000000"/>
                <w:spacing w:val="174"/>
                <w:szCs w:val="20"/>
                <w:shd w:val="solid" w:color="000000" w:fill="000000"/>
                <w:fitText w:val="260" w:id="-1502405617"/>
                <w14:textFill>
                  <w14:solidFill>
                    <w14:srgbClr w14:val="000000">
                      <w14:alpha w14:val="100000"/>
                    </w14:srgbClr>
                  </w14:solidFill>
                </w14:textFill>
              </w:rPr>
              <w:t>|</w:t>
            </w:r>
            <w:r w:rsidRPr="00C619FE">
              <w:rPr>
                <w:rFonts w:cs="Calibri"/>
                <w:b w:val="0"/>
                <w:bCs/>
                <w:color w:val="000000"/>
                <w:spacing w:val="1"/>
                <w:szCs w:val="20"/>
                <w:shd w:val="solid" w:color="000000" w:fill="000000"/>
                <w:fitText w:val="260" w:id="-1502405617"/>
                <w14:textFill>
                  <w14:solidFill>
                    <w14:srgbClr w14:val="000000">
                      <w14:alpha w14:val="100000"/>
                    </w14:srgbClr>
                  </w14:solidFill>
                </w14:textFill>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E55732B" w14:textId="6A531C75"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1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1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16"/>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F3004BF" w14:textId="267330CA"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2"/>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0330235" w14:textId="77976861"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1"/>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FE8779B" w14:textId="02919A5F"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30"/>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30"/>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30"/>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44152AB" w14:textId="485B6A5C"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629"/>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629"/>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629"/>
                <w14:textFill>
                  <w14:solidFill>
                    <w14:srgbClr w14:val="000000">
                      <w14:alpha w14:val="100000"/>
                    </w14:srgbClr>
                  </w14:solidFill>
                </w14:textFill>
              </w:rPr>
              <w:t xml:space="preserve">　</w:t>
            </w:r>
            <w:r w:rsidR="005A69AA">
              <w:rPr>
                <w:rFonts w:cs="Calibri"/>
                <w:b w:val="0"/>
                <w:bCs/>
                <w:color w:val="000000"/>
                <w:szCs w:val="20"/>
                <w:vertAlign w:val="superscript"/>
              </w:rPr>
              <w:t>7</w:t>
            </w:r>
          </w:p>
        </w:tc>
      </w:tr>
      <w:tr w:rsidR="006E7BA3" w:rsidRPr="00184096" w14:paraId="592561E7" w14:textId="77777777" w:rsidTr="002222C1">
        <w:tc>
          <w:tcPr>
            <w:tcW w:w="2547" w:type="dxa"/>
          </w:tcPr>
          <w:p w14:paraId="5ED230A5" w14:textId="2A486BFC" w:rsidR="006E7BA3" w:rsidRPr="00184096" w:rsidRDefault="006E7BA3" w:rsidP="002222C1">
            <w:pPr>
              <w:pStyle w:val="Tableheadingrow"/>
              <w:keepLines/>
              <w:rPr>
                <w:rFonts w:cs="Calibri"/>
                <w:color w:val="000000"/>
                <w:szCs w:val="20"/>
              </w:rPr>
            </w:pPr>
            <w:r w:rsidRPr="00184096">
              <w:rPr>
                <w:b w:val="0"/>
                <w:bCs/>
                <w:szCs w:val="20"/>
              </w:rPr>
              <w:t>Copayments ($27.56/script)</w:t>
            </w:r>
            <w:r w:rsidRPr="00184096">
              <w:rPr>
                <w:b w:val="0"/>
                <w:bCs/>
                <w:szCs w:val="20"/>
                <w:vertAlign w:val="superscript"/>
              </w:rPr>
              <w:t>1</w:t>
            </w:r>
            <w:r w:rsidR="0053633B">
              <w:rPr>
                <w:b w:val="0"/>
                <w:bCs/>
                <w:szCs w:val="20"/>
                <w:vertAlign w:val="superscript"/>
              </w:rPr>
              <w:t xml:space="preserve"> </w:t>
            </w:r>
            <w:r w:rsidR="0053633B">
              <w:rPr>
                <w:rFonts w:cs="Calibri"/>
                <w:b w:val="0"/>
                <w:bCs/>
                <w:color w:val="000000"/>
                <w:szCs w:val="20"/>
              </w:rPr>
              <w:t>($)</w:t>
            </w:r>
          </w:p>
        </w:tc>
        <w:tc>
          <w:tcPr>
            <w:tcW w:w="1078" w:type="dxa"/>
            <w:tcBorders>
              <w:top w:val="single" w:sz="4" w:space="0" w:color="auto"/>
              <w:left w:val="nil"/>
              <w:bottom w:val="single" w:sz="4" w:space="0" w:color="auto"/>
              <w:right w:val="single" w:sz="4" w:space="0" w:color="auto"/>
            </w:tcBorders>
            <w:shd w:val="clear" w:color="auto" w:fill="auto"/>
            <w:vAlign w:val="center"/>
          </w:tcPr>
          <w:p w14:paraId="40A110BE" w14:textId="0F551294"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376"/>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376"/>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376"/>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E0C2AF4" w14:textId="5C93FE25"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375"/>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375"/>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375"/>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3D8BBFE" w14:textId="5BF2B117"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374"/>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374"/>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374"/>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B0C1BD" w14:textId="38DEFCEC"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373"/>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373"/>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373"/>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405278F" w14:textId="66369B47"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372"/>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372"/>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372"/>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4CB5FC2" w14:textId="3BEC4865" w:rsidR="006E7BA3" w:rsidRPr="00C619FE" w:rsidRDefault="00C619FE" w:rsidP="002222C1">
            <w:pPr>
              <w:pStyle w:val="Tableheadingrow"/>
              <w:keepLines/>
              <w:jc w:val="center"/>
              <w:rPr>
                <w:rFonts w:cs="Calibri"/>
                <w:b w:val="0"/>
                <w:bCs/>
                <w:color w:val="000000"/>
                <w:szCs w:val="20"/>
                <w:highlight w:val="yellow"/>
              </w:rPr>
            </w:pPr>
            <w:r w:rsidRPr="00C619FE">
              <w:rPr>
                <w:rFonts w:cs="Calibri" w:hint="eastAsia"/>
                <w:b w:val="0"/>
                <w:bCs/>
                <w:color w:val="000000"/>
                <w:w w:val="22"/>
                <w:szCs w:val="20"/>
                <w:shd w:val="solid" w:color="000000" w:fill="000000"/>
                <w:fitText w:val="100" w:id="-1502405371"/>
                <w14:textFill>
                  <w14:solidFill>
                    <w14:srgbClr w14:val="000000">
                      <w14:alpha w14:val="100000"/>
                    </w14:srgbClr>
                  </w14:solidFill>
                </w14:textFill>
              </w:rPr>
              <w:t xml:space="preserve">　</w:t>
            </w:r>
            <w:r w:rsidRPr="00C619FE">
              <w:rPr>
                <w:rFonts w:cs="Calibri"/>
                <w:b w:val="0"/>
                <w:bCs/>
                <w:color w:val="000000"/>
                <w:w w:val="22"/>
                <w:szCs w:val="20"/>
                <w:shd w:val="solid" w:color="000000" w:fill="000000"/>
                <w:fitText w:val="100" w:id="-1502405371"/>
                <w14:textFill>
                  <w14:solidFill>
                    <w14:srgbClr w14:val="000000">
                      <w14:alpha w14:val="100000"/>
                    </w14:srgbClr>
                  </w14:solidFill>
                </w14:textFill>
              </w:rPr>
              <w:t>|</w:t>
            </w:r>
            <w:r w:rsidRPr="00C619FE">
              <w:rPr>
                <w:rFonts w:cs="Calibri" w:hint="eastAsia"/>
                <w:b w:val="0"/>
                <w:bCs/>
                <w:color w:val="000000"/>
                <w:spacing w:val="3"/>
                <w:w w:val="22"/>
                <w:szCs w:val="20"/>
                <w:shd w:val="solid" w:color="000000" w:fill="000000"/>
                <w:fitText w:val="100" w:id="-1502405371"/>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r>
      <w:tr w:rsidR="006E7BA3" w:rsidRPr="00184096" w14:paraId="145A27CC" w14:textId="77777777" w:rsidTr="002222C1">
        <w:tc>
          <w:tcPr>
            <w:tcW w:w="2547" w:type="dxa"/>
          </w:tcPr>
          <w:p w14:paraId="0A29BF40" w14:textId="5ACC2D97" w:rsidR="006E7BA3" w:rsidRPr="00184096" w:rsidRDefault="006E7BA3" w:rsidP="002222C1">
            <w:pPr>
              <w:pStyle w:val="Tableheadingrow"/>
              <w:keepLines/>
              <w:rPr>
                <w:rFonts w:cs="Calibri"/>
                <w:color w:val="000000"/>
                <w:szCs w:val="20"/>
              </w:rPr>
            </w:pPr>
            <w:r w:rsidRPr="00184096">
              <w:rPr>
                <w:szCs w:val="20"/>
              </w:rPr>
              <w:t>Net cost offsets to PBS/RPBS</w:t>
            </w:r>
            <w:r w:rsidR="0053633B">
              <w:rPr>
                <w:szCs w:val="20"/>
              </w:rPr>
              <w:t xml:space="preserve"> </w:t>
            </w:r>
            <w:r w:rsidR="0053633B" w:rsidRPr="0053633B">
              <w:rPr>
                <w:szCs w:val="20"/>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E9AB60A" w14:textId="545F3E11" w:rsidR="006E7BA3" w:rsidRPr="00C619FE" w:rsidRDefault="00C619FE" w:rsidP="002222C1">
            <w:pPr>
              <w:pStyle w:val="Tableheadingrow"/>
              <w:keepLines/>
              <w:jc w:val="center"/>
              <w:rPr>
                <w:rFonts w:cs="Calibri"/>
                <w:color w:val="000000"/>
                <w:szCs w:val="20"/>
                <w:highlight w:val="yellow"/>
              </w:rPr>
            </w:pPr>
            <w:r w:rsidRPr="00C619FE">
              <w:rPr>
                <w:rFonts w:cs="Calibri" w:hint="eastAsia"/>
                <w:color w:val="000000"/>
                <w:w w:val="31"/>
                <w:szCs w:val="20"/>
                <w:shd w:val="solid" w:color="000000" w:fill="000000"/>
                <w:fitText w:val="140" w:id="-1502405370"/>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370"/>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370"/>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tcBorders>
              <w:top w:val="single" w:sz="4" w:space="0" w:color="auto"/>
              <w:left w:val="nil"/>
              <w:bottom w:val="single" w:sz="4" w:space="0" w:color="auto"/>
              <w:right w:val="single" w:sz="4" w:space="0" w:color="auto"/>
            </w:tcBorders>
            <w:shd w:val="clear" w:color="auto" w:fill="auto"/>
            <w:vAlign w:val="center"/>
          </w:tcPr>
          <w:p w14:paraId="10469BE4" w14:textId="21FC0FA0" w:rsidR="006E7BA3" w:rsidRPr="00C619FE" w:rsidRDefault="00C619FE" w:rsidP="002222C1">
            <w:pPr>
              <w:pStyle w:val="Tableheadingrow"/>
              <w:keepLines/>
              <w:jc w:val="center"/>
              <w:rPr>
                <w:rFonts w:cs="Calibri"/>
                <w:color w:val="000000"/>
                <w:szCs w:val="20"/>
                <w:highlight w:val="yellow"/>
              </w:rPr>
            </w:pPr>
            <w:r w:rsidRPr="00C619FE">
              <w:rPr>
                <w:rFonts w:cs="Calibri" w:hint="eastAsia"/>
                <w:color w:val="000000"/>
                <w:w w:val="31"/>
                <w:szCs w:val="20"/>
                <w:shd w:val="solid" w:color="000000" w:fill="000000"/>
                <w:fitText w:val="140" w:id="-1502405369"/>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369"/>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369"/>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tcBorders>
              <w:top w:val="single" w:sz="4" w:space="0" w:color="auto"/>
              <w:left w:val="nil"/>
              <w:bottom w:val="single" w:sz="4" w:space="0" w:color="auto"/>
              <w:right w:val="single" w:sz="4" w:space="0" w:color="auto"/>
            </w:tcBorders>
            <w:shd w:val="clear" w:color="auto" w:fill="auto"/>
            <w:vAlign w:val="center"/>
          </w:tcPr>
          <w:p w14:paraId="7FD72FD9" w14:textId="03E72F6F" w:rsidR="006E7BA3" w:rsidRPr="00C619FE" w:rsidRDefault="00C619FE" w:rsidP="002222C1">
            <w:pPr>
              <w:pStyle w:val="Tableheadingrow"/>
              <w:keepLines/>
              <w:jc w:val="center"/>
              <w:rPr>
                <w:rFonts w:cs="Calibri"/>
                <w:color w:val="000000"/>
                <w:szCs w:val="20"/>
                <w:highlight w:val="yellow"/>
              </w:rPr>
            </w:pPr>
            <w:r w:rsidRPr="00C619FE">
              <w:rPr>
                <w:rFonts w:cs="Calibri" w:hint="eastAsia"/>
                <w:color w:val="000000"/>
                <w:w w:val="31"/>
                <w:szCs w:val="20"/>
                <w:shd w:val="solid" w:color="000000" w:fill="000000"/>
                <w:fitText w:val="140" w:id="-1502405368"/>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368"/>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368"/>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8" w:type="dxa"/>
            <w:tcBorders>
              <w:top w:val="single" w:sz="4" w:space="0" w:color="auto"/>
              <w:left w:val="nil"/>
              <w:bottom w:val="single" w:sz="4" w:space="0" w:color="auto"/>
              <w:right w:val="single" w:sz="4" w:space="0" w:color="auto"/>
            </w:tcBorders>
            <w:shd w:val="clear" w:color="auto" w:fill="auto"/>
            <w:vAlign w:val="center"/>
          </w:tcPr>
          <w:p w14:paraId="7D53969B" w14:textId="0A452C75" w:rsidR="006E7BA3" w:rsidRPr="00C619FE" w:rsidRDefault="00C619FE" w:rsidP="002222C1">
            <w:pPr>
              <w:pStyle w:val="Tableheadingrow"/>
              <w:keepLines/>
              <w:jc w:val="center"/>
              <w:rPr>
                <w:rFonts w:cs="Calibri"/>
                <w:color w:val="000000"/>
                <w:szCs w:val="20"/>
                <w:highlight w:val="yellow"/>
              </w:rPr>
            </w:pPr>
            <w:r w:rsidRPr="00C619FE">
              <w:rPr>
                <w:rFonts w:cs="Calibri" w:hint="eastAsia"/>
                <w:color w:val="000000"/>
                <w:w w:val="31"/>
                <w:szCs w:val="20"/>
                <w:shd w:val="solid" w:color="000000" w:fill="000000"/>
                <w:fitText w:val="140" w:id="-1502405367"/>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367"/>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367"/>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8" w:type="dxa"/>
            <w:tcBorders>
              <w:top w:val="single" w:sz="4" w:space="0" w:color="auto"/>
              <w:left w:val="nil"/>
              <w:bottom w:val="single" w:sz="4" w:space="0" w:color="auto"/>
              <w:right w:val="single" w:sz="4" w:space="0" w:color="auto"/>
            </w:tcBorders>
            <w:shd w:val="clear" w:color="auto" w:fill="auto"/>
            <w:vAlign w:val="center"/>
          </w:tcPr>
          <w:p w14:paraId="0AC5C567" w14:textId="725C6825" w:rsidR="006E7BA3" w:rsidRPr="00C619FE" w:rsidRDefault="00C619FE" w:rsidP="002222C1">
            <w:pPr>
              <w:pStyle w:val="Tableheadingrow"/>
              <w:keepLines/>
              <w:jc w:val="center"/>
              <w:rPr>
                <w:rFonts w:cs="Calibri"/>
                <w:color w:val="000000"/>
                <w:szCs w:val="20"/>
                <w:highlight w:val="yellow"/>
              </w:rPr>
            </w:pPr>
            <w:r w:rsidRPr="00C619FE">
              <w:rPr>
                <w:rFonts w:cs="Calibri" w:hint="eastAsia"/>
                <w:color w:val="000000"/>
                <w:w w:val="31"/>
                <w:szCs w:val="20"/>
                <w:shd w:val="solid" w:color="000000" w:fill="000000"/>
                <w:fitText w:val="140" w:id="-1502405366"/>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366"/>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366"/>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9" w:type="dxa"/>
            <w:tcBorders>
              <w:top w:val="single" w:sz="4" w:space="0" w:color="auto"/>
              <w:left w:val="nil"/>
              <w:bottom w:val="single" w:sz="4" w:space="0" w:color="auto"/>
              <w:right w:val="single" w:sz="4" w:space="0" w:color="auto"/>
            </w:tcBorders>
            <w:shd w:val="clear" w:color="auto" w:fill="auto"/>
            <w:vAlign w:val="center"/>
          </w:tcPr>
          <w:p w14:paraId="6032B517" w14:textId="7AFF3251" w:rsidR="006E7BA3" w:rsidRPr="00C619FE" w:rsidRDefault="00C619FE" w:rsidP="002222C1">
            <w:pPr>
              <w:pStyle w:val="Tableheadingrow"/>
              <w:keepLines/>
              <w:jc w:val="center"/>
              <w:rPr>
                <w:rFonts w:cs="Calibri"/>
                <w:color w:val="000000"/>
                <w:szCs w:val="20"/>
                <w:highlight w:val="yellow"/>
              </w:rPr>
            </w:pPr>
            <w:r w:rsidRPr="00C619FE">
              <w:rPr>
                <w:rFonts w:cs="Calibri" w:hint="eastAsia"/>
                <w:color w:val="000000"/>
                <w:w w:val="31"/>
                <w:szCs w:val="20"/>
                <w:shd w:val="solid" w:color="000000" w:fill="000000"/>
                <w:fitText w:val="140" w:id="-1502405365"/>
                <w14:textFill>
                  <w14:solidFill>
                    <w14:srgbClr w14:val="000000">
                      <w14:alpha w14:val="100000"/>
                    </w14:srgbClr>
                  </w14:solidFill>
                </w14:textFill>
              </w:rPr>
              <w:t xml:space="preserve">　</w:t>
            </w:r>
            <w:r w:rsidRPr="00C619FE">
              <w:rPr>
                <w:rFonts w:cs="Calibri"/>
                <w:color w:val="000000"/>
                <w:w w:val="31"/>
                <w:szCs w:val="20"/>
                <w:shd w:val="solid" w:color="000000" w:fill="000000"/>
                <w:fitText w:val="140" w:id="-1502405365"/>
                <w14:textFill>
                  <w14:solidFill>
                    <w14:srgbClr w14:val="000000">
                      <w14:alpha w14:val="100000"/>
                    </w14:srgbClr>
                  </w14:solidFill>
                </w14:textFill>
              </w:rPr>
              <w:t>|</w:t>
            </w:r>
            <w:r w:rsidRPr="00C619FE">
              <w:rPr>
                <w:rFonts w:cs="Calibri" w:hint="eastAsia"/>
                <w:color w:val="000000"/>
                <w:spacing w:val="3"/>
                <w:w w:val="31"/>
                <w:szCs w:val="20"/>
                <w:shd w:val="solid" w:color="000000" w:fill="000000"/>
                <w:fitText w:val="140" w:id="-1502405365"/>
                <w14:textFill>
                  <w14:solidFill>
                    <w14:srgbClr w14:val="000000">
                      <w14:alpha w14:val="100000"/>
                    </w14:srgbClr>
                  </w14:solidFill>
                </w14:textFill>
              </w:rPr>
              <w:t xml:space="preserve">　</w:t>
            </w:r>
            <w:r w:rsidR="005A69AA">
              <w:rPr>
                <w:rFonts w:cs="Calibri"/>
                <w:b w:val="0"/>
                <w:bCs/>
                <w:color w:val="000000"/>
                <w:szCs w:val="20"/>
                <w:vertAlign w:val="superscript"/>
              </w:rPr>
              <w:t>7</w:t>
            </w:r>
          </w:p>
        </w:tc>
      </w:tr>
      <w:tr w:rsidR="006E7BA3" w:rsidRPr="00184096" w14:paraId="0A39AA52" w14:textId="77777777" w:rsidTr="002222C1">
        <w:tc>
          <w:tcPr>
            <w:tcW w:w="9017" w:type="dxa"/>
            <w:gridSpan w:val="7"/>
            <w:tcBorders>
              <w:right w:val="single" w:sz="4" w:space="0" w:color="auto"/>
            </w:tcBorders>
          </w:tcPr>
          <w:p w14:paraId="61B57AEC" w14:textId="77777777" w:rsidR="006E7BA3" w:rsidRPr="00184096" w:rsidRDefault="006E7BA3" w:rsidP="002222C1">
            <w:pPr>
              <w:pStyle w:val="Tableheadingrow"/>
              <w:keepLines/>
              <w:rPr>
                <w:rFonts w:cs="Calibri"/>
                <w:color w:val="000000"/>
                <w:szCs w:val="20"/>
              </w:rPr>
            </w:pPr>
            <w:r w:rsidRPr="00184096">
              <w:rPr>
                <w:szCs w:val="20"/>
              </w:rPr>
              <w:t>Net financial implications to the PBS/RPS (cost of risankizumab minus cost offsets)</w:t>
            </w:r>
          </w:p>
        </w:tc>
      </w:tr>
      <w:tr w:rsidR="006E7BA3" w:rsidRPr="00184096" w14:paraId="1FFDA307" w14:textId="77777777" w:rsidTr="002222C1">
        <w:tc>
          <w:tcPr>
            <w:tcW w:w="2547" w:type="dxa"/>
          </w:tcPr>
          <w:p w14:paraId="6147C58F" w14:textId="42030718" w:rsidR="006E7BA3" w:rsidRPr="00184096" w:rsidRDefault="006E7BA3" w:rsidP="002222C1">
            <w:pPr>
              <w:pStyle w:val="Tableheadingrow"/>
              <w:keepLines/>
              <w:rPr>
                <w:szCs w:val="20"/>
              </w:rPr>
            </w:pPr>
            <w:r w:rsidRPr="00184096">
              <w:rPr>
                <w:szCs w:val="20"/>
              </w:rPr>
              <w:t>Net cost to the PBS/RPBS</w:t>
            </w:r>
            <w:r w:rsidR="0053633B">
              <w:rPr>
                <w:szCs w:val="20"/>
              </w:rPr>
              <w:t xml:space="preserve"> </w:t>
            </w:r>
            <w:r w:rsidR="0053633B" w:rsidRPr="0053633B">
              <w:rPr>
                <w:szCs w:val="20"/>
              </w:rPr>
              <w:t>($)</w:t>
            </w:r>
          </w:p>
        </w:tc>
        <w:tc>
          <w:tcPr>
            <w:tcW w:w="1078" w:type="dxa"/>
            <w:vAlign w:val="center"/>
          </w:tcPr>
          <w:p w14:paraId="1972DA84" w14:textId="6EB51BB3" w:rsidR="006E7BA3" w:rsidRPr="00C619FE" w:rsidRDefault="00C619FE" w:rsidP="002222C1">
            <w:pPr>
              <w:pStyle w:val="Tableheadingrow"/>
              <w:keepLines/>
              <w:jc w:val="center"/>
              <w:rPr>
                <w:rFonts w:cs="Calibri"/>
                <w:color w:val="000000"/>
                <w:szCs w:val="20"/>
                <w:highlight w:val="yellow"/>
              </w:rPr>
            </w:pPr>
            <w:r w:rsidRPr="00C619FE">
              <w:rPr>
                <w:rFonts w:cs="Arial" w:hint="eastAsia"/>
                <w:color w:val="000000"/>
                <w:w w:val="31"/>
                <w:szCs w:val="20"/>
                <w:shd w:val="solid" w:color="000000" w:fill="000000"/>
                <w:fitText w:val="140" w:id="-1502405364"/>
                <w14:textFill>
                  <w14:solidFill>
                    <w14:srgbClr w14:val="000000">
                      <w14:alpha w14:val="100000"/>
                    </w14:srgbClr>
                  </w14:solidFill>
                </w14:textFill>
              </w:rPr>
              <w:t xml:space="preserve">　</w:t>
            </w:r>
            <w:r w:rsidRPr="00C619FE">
              <w:rPr>
                <w:rFonts w:cs="Arial"/>
                <w:color w:val="000000"/>
                <w:w w:val="31"/>
                <w:szCs w:val="20"/>
                <w:shd w:val="solid" w:color="000000" w:fill="000000"/>
                <w:fitText w:val="140" w:id="-1502405364"/>
                <w14:textFill>
                  <w14:solidFill>
                    <w14:srgbClr w14:val="000000">
                      <w14:alpha w14:val="100000"/>
                    </w14:srgbClr>
                  </w14:solidFill>
                </w14:textFill>
              </w:rPr>
              <w:t>|</w:t>
            </w:r>
            <w:r w:rsidRPr="00C619FE">
              <w:rPr>
                <w:rFonts w:cs="Arial" w:hint="eastAsia"/>
                <w:color w:val="000000"/>
                <w:spacing w:val="3"/>
                <w:w w:val="31"/>
                <w:szCs w:val="20"/>
                <w:shd w:val="solid" w:color="000000" w:fill="000000"/>
                <w:fitText w:val="140" w:id="-1502405364"/>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vAlign w:val="center"/>
          </w:tcPr>
          <w:p w14:paraId="6635AC14" w14:textId="48941CBF" w:rsidR="006E7BA3" w:rsidRPr="00C619FE" w:rsidRDefault="00C619FE" w:rsidP="002222C1">
            <w:pPr>
              <w:pStyle w:val="Tableheadingrow"/>
              <w:keepLines/>
              <w:jc w:val="center"/>
              <w:rPr>
                <w:rFonts w:cs="Calibri"/>
                <w:color w:val="000000"/>
                <w:szCs w:val="20"/>
                <w:highlight w:val="yellow"/>
              </w:rPr>
            </w:pPr>
            <w:r w:rsidRPr="00C619FE">
              <w:rPr>
                <w:rFonts w:cs="Arial" w:hint="eastAsia"/>
                <w:color w:val="000000"/>
                <w:w w:val="31"/>
                <w:szCs w:val="20"/>
                <w:shd w:val="solid" w:color="000000" w:fill="000000"/>
                <w:fitText w:val="140" w:id="-1502405363"/>
                <w14:textFill>
                  <w14:solidFill>
                    <w14:srgbClr w14:val="000000">
                      <w14:alpha w14:val="100000"/>
                    </w14:srgbClr>
                  </w14:solidFill>
                </w14:textFill>
              </w:rPr>
              <w:t xml:space="preserve">　</w:t>
            </w:r>
            <w:r w:rsidRPr="00C619FE">
              <w:rPr>
                <w:rFonts w:cs="Arial"/>
                <w:color w:val="000000"/>
                <w:w w:val="31"/>
                <w:szCs w:val="20"/>
                <w:shd w:val="solid" w:color="000000" w:fill="000000"/>
                <w:fitText w:val="140" w:id="-1502405363"/>
                <w14:textFill>
                  <w14:solidFill>
                    <w14:srgbClr w14:val="000000">
                      <w14:alpha w14:val="100000"/>
                    </w14:srgbClr>
                  </w14:solidFill>
                </w14:textFill>
              </w:rPr>
              <w:t>|</w:t>
            </w:r>
            <w:r w:rsidRPr="00C619FE">
              <w:rPr>
                <w:rFonts w:cs="Arial" w:hint="eastAsia"/>
                <w:color w:val="000000"/>
                <w:spacing w:val="3"/>
                <w:w w:val="31"/>
                <w:szCs w:val="20"/>
                <w:shd w:val="solid" w:color="000000" w:fill="000000"/>
                <w:fitText w:val="140" w:id="-1502405363"/>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9" w:type="dxa"/>
            <w:vAlign w:val="center"/>
          </w:tcPr>
          <w:p w14:paraId="341768F6" w14:textId="320379CE" w:rsidR="006E7BA3" w:rsidRPr="00C619FE" w:rsidRDefault="00C619FE" w:rsidP="002222C1">
            <w:pPr>
              <w:pStyle w:val="Tableheadingrow"/>
              <w:keepLines/>
              <w:jc w:val="center"/>
              <w:rPr>
                <w:rFonts w:cs="Calibri"/>
                <w:color w:val="000000"/>
                <w:szCs w:val="20"/>
                <w:highlight w:val="yellow"/>
              </w:rPr>
            </w:pPr>
            <w:r w:rsidRPr="00C619FE">
              <w:rPr>
                <w:rFonts w:cs="Arial" w:hint="eastAsia"/>
                <w:color w:val="000000"/>
                <w:w w:val="31"/>
                <w:szCs w:val="20"/>
                <w:shd w:val="solid" w:color="000000" w:fill="000000"/>
                <w:fitText w:val="140" w:id="-1502405362"/>
                <w14:textFill>
                  <w14:solidFill>
                    <w14:srgbClr w14:val="000000">
                      <w14:alpha w14:val="100000"/>
                    </w14:srgbClr>
                  </w14:solidFill>
                </w14:textFill>
              </w:rPr>
              <w:t xml:space="preserve">　</w:t>
            </w:r>
            <w:r w:rsidRPr="00C619FE">
              <w:rPr>
                <w:rFonts w:cs="Arial"/>
                <w:color w:val="000000"/>
                <w:w w:val="31"/>
                <w:szCs w:val="20"/>
                <w:shd w:val="solid" w:color="000000" w:fill="000000"/>
                <w:fitText w:val="140" w:id="-1502405362"/>
                <w14:textFill>
                  <w14:solidFill>
                    <w14:srgbClr w14:val="000000">
                      <w14:alpha w14:val="100000"/>
                    </w14:srgbClr>
                  </w14:solidFill>
                </w14:textFill>
              </w:rPr>
              <w:t>|</w:t>
            </w:r>
            <w:r w:rsidRPr="00C619FE">
              <w:rPr>
                <w:rFonts w:cs="Arial" w:hint="eastAsia"/>
                <w:color w:val="000000"/>
                <w:spacing w:val="3"/>
                <w:w w:val="31"/>
                <w:szCs w:val="20"/>
                <w:shd w:val="solid" w:color="000000" w:fill="000000"/>
                <w:fitText w:val="140" w:id="-1502405362"/>
                <w14:textFill>
                  <w14:solidFill>
                    <w14:srgbClr w14:val="000000">
                      <w14:alpha w14:val="100000"/>
                    </w14:srgbClr>
                  </w14:solidFill>
                </w14:textFill>
              </w:rPr>
              <w:t xml:space="preserve">　</w:t>
            </w:r>
            <w:r w:rsidR="005A69AA" w:rsidRPr="00E87C1F">
              <w:rPr>
                <w:rFonts w:cs="Calibri"/>
                <w:b w:val="0"/>
                <w:bCs/>
                <w:color w:val="000000"/>
                <w:szCs w:val="20"/>
                <w:vertAlign w:val="superscript"/>
              </w:rPr>
              <w:t>4</w:t>
            </w:r>
          </w:p>
        </w:tc>
        <w:tc>
          <w:tcPr>
            <w:tcW w:w="1078" w:type="dxa"/>
            <w:vAlign w:val="center"/>
          </w:tcPr>
          <w:p w14:paraId="01227C37" w14:textId="5DAEB563" w:rsidR="006E7BA3" w:rsidRPr="00C619FE" w:rsidRDefault="00C619FE" w:rsidP="002222C1">
            <w:pPr>
              <w:pStyle w:val="Tableheadingrow"/>
              <w:keepLines/>
              <w:jc w:val="center"/>
              <w:rPr>
                <w:rFonts w:cs="Calibri"/>
                <w:color w:val="000000"/>
                <w:szCs w:val="20"/>
                <w:highlight w:val="yellow"/>
              </w:rPr>
            </w:pPr>
            <w:r w:rsidRPr="00C619FE">
              <w:rPr>
                <w:rFonts w:cs="Arial" w:hint="eastAsia"/>
                <w:color w:val="000000"/>
                <w:w w:val="31"/>
                <w:szCs w:val="20"/>
                <w:shd w:val="solid" w:color="000000" w:fill="000000"/>
                <w:fitText w:val="140" w:id="-1502405361"/>
                <w14:textFill>
                  <w14:solidFill>
                    <w14:srgbClr w14:val="000000">
                      <w14:alpha w14:val="100000"/>
                    </w14:srgbClr>
                  </w14:solidFill>
                </w14:textFill>
              </w:rPr>
              <w:t xml:space="preserve">　</w:t>
            </w:r>
            <w:r w:rsidRPr="00C619FE">
              <w:rPr>
                <w:rFonts w:cs="Arial"/>
                <w:color w:val="000000"/>
                <w:w w:val="31"/>
                <w:szCs w:val="20"/>
                <w:shd w:val="solid" w:color="000000" w:fill="000000"/>
                <w:fitText w:val="140" w:id="-1502405361"/>
                <w14:textFill>
                  <w14:solidFill>
                    <w14:srgbClr w14:val="000000">
                      <w14:alpha w14:val="100000"/>
                    </w14:srgbClr>
                  </w14:solidFill>
                </w14:textFill>
              </w:rPr>
              <w:t>|</w:t>
            </w:r>
            <w:r w:rsidRPr="00C619FE">
              <w:rPr>
                <w:rFonts w:cs="Arial" w:hint="eastAsia"/>
                <w:color w:val="000000"/>
                <w:spacing w:val="3"/>
                <w:w w:val="31"/>
                <w:szCs w:val="20"/>
                <w:shd w:val="solid" w:color="000000" w:fill="000000"/>
                <w:fitText w:val="140" w:id="-1502405361"/>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8" w:type="dxa"/>
            <w:vAlign w:val="center"/>
          </w:tcPr>
          <w:p w14:paraId="2303EB1A" w14:textId="7CDF454D" w:rsidR="006E7BA3" w:rsidRPr="00C619FE" w:rsidRDefault="00C619FE" w:rsidP="002222C1">
            <w:pPr>
              <w:pStyle w:val="Tableheadingrow"/>
              <w:keepLines/>
              <w:jc w:val="center"/>
              <w:rPr>
                <w:rFonts w:cs="Calibri"/>
                <w:color w:val="000000"/>
                <w:szCs w:val="20"/>
                <w:highlight w:val="yellow"/>
              </w:rPr>
            </w:pPr>
            <w:r w:rsidRPr="00C619FE">
              <w:rPr>
                <w:rFonts w:cs="Arial" w:hint="eastAsia"/>
                <w:color w:val="000000"/>
                <w:w w:val="31"/>
                <w:szCs w:val="20"/>
                <w:shd w:val="solid" w:color="000000" w:fill="000000"/>
                <w:fitText w:val="140" w:id="-1502405360"/>
                <w14:textFill>
                  <w14:solidFill>
                    <w14:srgbClr w14:val="000000">
                      <w14:alpha w14:val="100000"/>
                    </w14:srgbClr>
                  </w14:solidFill>
                </w14:textFill>
              </w:rPr>
              <w:t xml:space="preserve">　</w:t>
            </w:r>
            <w:r w:rsidRPr="00C619FE">
              <w:rPr>
                <w:rFonts w:cs="Arial"/>
                <w:color w:val="000000"/>
                <w:w w:val="31"/>
                <w:szCs w:val="20"/>
                <w:shd w:val="solid" w:color="000000" w:fill="000000"/>
                <w:fitText w:val="140" w:id="-1502405360"/>
                <w14:textFill>
                  <w14:solidFill>
                    <w14:srgbClr w14:val="000000">
                      <w14:alpha w14:val="100000"/>
                    </w14:srgbClr>
                  </w14:solidFill>
                </w14:textFill>
              </w:rPr>
              <w:t>|</w:t>
            </w:r>
            <w:r w:rsidRPr="00C619FE">
              <w:rPr>
                <w:rFonts w:cs="Arial" w:hint="eastAsia"/>
                <w:color w:val="000000"/>
                <w:spacing w:val="3"/>
                <w:w w:val="31"/>
                <w:szCs w:val="20"/>
                <w:shd w:val="solid" w:color="000000" w:fill="000000"/>
                <w:fitText w:val="140" w:id="-1502405360"/>
                <w14:textFill>
                  <w14:solidFill>
                    <w14:srgbClr w14:val="000000">
                      <w14:alpha w14:val="100000"/>
                    </w14:srgbClr>
                  </w14:solidFill>
                </w14:textFill>
              </w:rPr>
              <w:t xml:space="preserve">　</w:t>
            </w:r>
            <w:r w:rsidR="005A69AA">
              <w:rPr>
                <w:rFonts w:cs="Calibri"/>
                <w:b w:val="0"/>
                <w:bCs/>
                <w:color w:val="000000"/>
                <w:szCs w:val="20"/>
                <w:vertAlign w:val="superscript"/>
              </w:rPr>
              <w:t>6</w:t>
            </w:r>
          </w:p>
        </w:tc>
        <w:tc>
          <w:tcPr>
            <w:tcW w:w="1079" w:type="dxa"/>
            <w:vAlign w:val="center"/>
          </w:tcPr>
          <w:p w14:paraId="685F02DC" w14:textId="7810BCEA" w:rsidR="006E7BA3" w:rsidRPr="00C619FE" w:rsidRDefault="00C619FE" w:rsidP="002222C1">
            <w:pPr>
              <w:pStyle w:val="Tableheadingrow"/>
              <w:keepLines/>
              <w:jc w:val="center"/>
              <w:rPr>
                <w:rFonts w:cs="Calibri"/>
                <w:color w:val="000000"/>
                <w:szCs w:val="20"/>
                <w:highlight w:val="yellow"/>
              </w:rPr>
            </w:pPr>
            <w:r w:rsidRPr="00C619FE">
              <w:rPr>
                <w:rFonts w:cs="Arial" w:hint="eastAsia"/>
                <w:color w:val="000000"/>
                <w:w w:val="31"/>
                <w:szCs w:val="20"/>
                <w:shd w:val="solid" w:color="000000" w:fill="000000"/>
                <w:fitText w:val="140" w:id="-1502405376"/>
                <w14:textFill>
                  <w14:solidFill>
                    <w14:srgbClr w14:val="000000">
                      <w14:alpha w14:val="100000"/>
                    </w14:srgbClr>
                  </w14:solidFill>
                </w14:textFill>
              </w:rPr>
              <w:t xml:space="preserve">　</w:t>
            </w:r>
            <w:r w:rsidRPr="00C619FE">
              <w:rPr>
                <w:rFonts w:cs="Arial"/>
                <w:color w:val="000000"/>
                <w:w w:val="31"/>
                <w:szCs w:val="20"/>
                <w:shd w:val="solid" w:color="000000" w:fill="000000"/>
                <w:fitText w:val="140" w:id="-1502405376"/>
                <w14:textFill>
                  <w14:solidFill>
                    <w14:srgbClr w14:val="000000">
                      <w14:alpha w14:val="100000"/>
                    </w14:srgbClr>
                  </w14:solidFill>
                </w14:textFill>
              </w:rPr>
              <w:t>|</w:t>
            </w:r>
            <w:r w:rsidRPr="00C619FE">
              <w:rPr>
                <w:rFonts w:cs="Arial" w:hint="eastAsia"/>
                <w:color w:val="000000"/>
                <w:spacing w:val="3"/>
                <w:w w:val="31"/>
                <w:szCs w:val="20"/>
                <w:shd w:val="solid" w:color="000000" w:fill="000000"/>
                <w:fitText w:val="140" w:id="-1502405376"/>
                <w14:textFill>
                  <w14:solidFill>
                    <w14:srgbClr w14:val="000000">
                      <w14:alpha w14:val="100000"/>
                    </w14:srgbClr>
                  </w14:solidFill>
                </w14:textFill>
              </w:rPr>
              <w:t xml:space="preserve">　</w:t>
            </w:r>
            <w:r w:rsidR="005A69AA">
              <w:rPr>
                <w:rFonts w:cs="Calibri"/>
                <w:b w:val="0"/>
                <w:bCs/>
                <w:color w:val="000000"/>
                <w:szCs w:val="20"/>
                <w:vertAlign w:val="superscript"/>
              </w:rPr>
              <w:t>6</w:t>
            </w:r>
          </w:p>
        </w:tc>
      </w:tr>
    </w:tbl>
    <w:p w14:paraId="60641151" w14:textId="77777777" w:rsidR="006E7BA3" w:rsidRPr="00CA12E3" w:rsidRDefault="006E7BA3" w:rsidP="006E7BA3">
      <w:pPr>
        <w:pStyle w:val="TableFigureFooter"/>
      </w:pPr>
      <w:r w:rsidRPr="00CA12E3">
        <w:t xml:space="preserve">Source: </w:t>
      </w:r>
      <w:r>
        <w:t>‘</w:t>
      </w:r>
      <w:r w:rsidRPr="009767C1">
        <w:t>Attachment 8.1 UCM-Release-3-Workbook-v3</w:t>
      </w:r>
      <w:r>
        <w:t>’spreadsheet provided with the submission.</w:t>
      </w:r>
    </w:p>
    <w:p w14:paraId="79F93F17" w14:textId="5977F731" w:rsidR="006E7BA3" w:rsidRDefault="006E7BA3" w:rsidP="00C619FE">
      <w:pPr>
        <w:pStyle w:val="TableFigureFooter"/>
        <w:spacing w:after="0"/>
      </w:pPr>
      <w:r>
        <w:rPr>
          <w:vertAlign w:val="superscript"/>
        </w:rPr>
        <w:t>1</w:t>
      </w:r>
      <w:r>
        <w:t xml:space="preserve"> Based on an average PBS copayment of $27.76 (99.13% of use) and an average RPBS of $4.66 (0.87% of use); some differences by year due to rounding of RPBS patient numbers in the budget impact model spreadsheet.</w:t>
      </w:r>
    </w:p>
    <w:p w14:paraId="23E6AD8C" w14:textId="06A8274F" w:rsidR="0053633B" w:rsidRPr="00C619FE" w:rsidRDefault="0053633B" w:rsidP="0053633B">
      <w:pPr>
        <w:rPr>
          <w:rFonts w:ascii="Arial Narrow" w:hAnsi="Arial Narrow"/>
          <w:iCs/>
          <w:sz w:val="18"/>
          <w:szCs w:val="18"/>
        </w:rPr>
      </w:pPr>
      <w:r w:rsidRPr="00C619FE">
        <w:rPr>
          <w:rFonts w:ascii="Arial Narrow" w:hAnsi="Arial Narrow"/>
          <w:iCs/>
          <w:sz w:val="18"/>
          <w:szCs w:val="18"/>
        </w:rPr>
        <w:t xml:space="preserve">The redacted values correspond to the following ranges: </w:t>
      </w:r>
    </w:p>
    <w:p w14:paraId="639C98DE" w14:textId="5E581BB5" w:rsidR="0053633B" w:rsidRPr="00C619FE" w:rsidRDefault="0053633B" w:rsidP="0053633B">
      <w:pPr>
        <w:rPr>
          <w:rFonts w:ascii="Arial Narrow" w:hAnsi="Arial Narrow"/>
          <w:iCs/>
          <w:sz w:val="18"/>
          <w:szCs w:val="18"/>
        </w:rPr>
      </w:pPr>
      <w:r w:rsidRPr="00C619FE">
        <w:rPr>
          <w:rFonts w:ascii="Arial Narrow" w:hAnsi="Arial Narrow"/>
          <w:iCs/>
          <w:sz w:val="18"/>
          <w:szCs w:val="18"/>
          <w:vertAlign w:val="superscript"/>
        </w:rPr>
        <w:t>2</w:t>
      </w:r>
      <w:r w:rsidRPr="00C619FE">
        <w:rPr>
          <w:rFonts w:ascii="Arial Narrow" w:hAnsi="Arial Narrow"/>
          <w:iCs/>
          <w:sz w:val="18"/>
          <w:szCs w:val="18"/>
        </w:rPr>
        <w:t xml:space="preserve"> </w:t>
      </w:r>
      <w:r w:rsidR="002D3164" w:rsidRPr="002D3164">
        <w:rPr>
          <w:rFonts w:ascii="Arial Narrow" w:hAnsi="Arial Narrow"/>
          <w:iCs/>
          <w:sz w:val="18"/>
          <w:szCs w:val="18"/>
        </w:rPr>
        <w:t>10,000 to &lt;</w:t>
      </w:r>
      <w:r w:rsidR="002D3164">
        <w:rPr>
          <w:rFonts w:ascii="Arial Narrow" w:hAnsi="Arial Narrow"/>
          <w:iCs/>
          <w:sz w:val="18"/>
          <w:szCs w:val="18"/>
        </w:rPr>
        <w:t> </w:t>
      </w:r>
      <w:r w:rsidR="002D3164" w:rsidRPr="002D3164">
        <w:rPr>
          <w:rFonts w:ascii="Arial Narrow" w:hAnsi="Arial Narrow"/>
          <w:iCs/>
          <w:sz w:val="18"/>
          <w:szCs w:val="18"/>
        </w:rPr>
        <w:t>20,000</w:t>
      </w:r>
    </w:p>
    <w:p w14:paraId="4DC9A51D" w14:textId="0926C09C" w:rsidR="002D3164" w:rsidRDefault="0053633B" w:rsidP="0053633B">
      <w:pPr>
        <w:rPr>
          <w:rFonts w:ascii="Arial Narrow" w:hAnsi="Arial Narrow"/>
          <w:iCs/>
          <w:sz w:val="18"/>
          <w:szCs w:val="18"/>
        </w:rPr>
      </w:pPr>
      <w:r w:rsidRPr="00C619FE">
        <w:rPr>
          <w:rFonts w:ascii="Arial Narrow" w:hAnsi="Arial Narrow"/>
          <w:iCs/>
          <w:sz w:val="18"/>
          <w:szCs w:val="18"/>
          <w:vertAlign w:val="superscript"/>
        </w:rPr>
        <w:t>3</w:t>
      </w:r>
      <w:r w:rsidRPr="00C619FE">
        <w:rPr>
          <w:rFonts w:ascii="Arial Narrow" w:hAnsi="Arial Narrow"/>
          <w:iCs/>
          <w:sz w:val="18"/>
          <w:szCs w:val="18"/>
        </w:rPr>
        <w:t xml:space="preserve"> </w:t>
      </w:r>
      <w:r w:rsidR="002D3164" w:rsidRPr="002D3164">
        <w:rPr>
          <w:rFonts w:ascii="Arial Narrow" w:hAnsi="Arial Narrow"/>
          <w:iCs/>
          <w:sz w:val="18"/>
          <w:szCs w:val="18"/>
        </w:rPr>
        <w:t>&lt;</w:t>
      </w:r>
      <w:r w:rsidR="002D3164">
        <w:rPr>
          <w:rFonts w:ascii="Arial Narrow" w:hAnsi="Arial Narrow"/>
          <w:iCs/>
          <w:sz w:val="18"/>
          <w:szCs w:val="18"/>
        </w:rPr>
        <w:t> </w:t>
      </w:r>
      <w:r w:rsidR="002D3164" w:rsidRPr="002D3164">
        <w:rPr>
          <w:rFonts w:ascii="Arial Narrow" w:hAnsi="Arial Narrow"/>
          <w:iCs/>
          <w:sz w:val="18"/>
          <w:szCs w:val="18"/>
        </w:rPr>
        <w:t>500</w:t>
      </w:r>
    </w:p>
    <w:p w14:paraId="0F2C17D1" w14:textId="70814702" w:rsidR="0053633B" w:rsidRPr="00C619FE" w:rsidRDefault="0053633B" w:rsidP="0053633B">
      <w:pPr>
        <w:rPr>
          <w:rFonts w:ascii="Arial Narrow" w:hAnsi="Arial Narrow"/>
          <w:iCs/>
          <w:sz w:val="18"/>
          <w:szCs w:val="18"/>
        </w:rPr>
      </w:pPr>
      <w:r w:rsidRPr="00C619FE">
        <w:rPr>
          <w:rFonts w:ascii="Arial Narrow" w:hAnsi="Arial Narrow"/>
          <w:iCs/>
          <w:sz w:val="18"/>
          <w:szCs w:val="18"/>
          <w:vertAlign w:val="superscript"/>
        </w:rPr>
        <w:t>4</w:t>
      </w:r>
      <w:r w:rsidRPr="00C619FE">
        <w:rPr>
          <w:rFonts w:ascii="Arial Narrow" w:hAnsi="Arial Narrow"/>
          <w:iCs/>
          <w:sz w:val="18"/>
          <w:szCs w:val="18"/>
        </w:rPr>
        <w:t xml:space="preserve"> </w:t>
      </w:r>
      <w:r w:rsidR="002D3164" w:rsidRPr="002D3164">
        <w:rPr>
          <w:rFonts w:ascii="Arial Narrow" w:hAnsi="Arial Narrow"/>
          <w:iCs/>
          <w:sz w:val="18"/>
          <w:szCs w:val="18"/>
        </w:rPr>
        <w:t>$0 to &lt; $10 million</w:t>
      </w:r>
    </w:p>
    <w:p w14:paraId="3DB05A60" w14:textId="77777777" w:rsidR="002D3164" w:rsidRPr="002D3164" w:rsidRDefault="0053633B" w:rsidP="002D3164">
      <w:pPr>
        <w:rPr>
          <w:rFonts w:ascii="Arial Narrow" w:hAnsi="Arial Narrow"/>
          <w:iCs/>
          <w:sz w:val="18"/>
          <w:szCs w:val="18"/>
        </w:rPr>
      </w:pPr>
      <w:r w:rsidRPr="00C619FE">
        <w:rPr>
          <w:rFonts w:ascii="Arial Narrow" w:hAnsi="Arial Narrow"/>
          <w:iCs/>
          <w:sz w:val="18"/>
          <w:szCs w:val="18"/>
          <w:vertAlign w:val="superscript"/>
        </w:rPr>
        <w:t>5</w:t>
      </w:r>
      <w:r w:rsidRPr="00C619FE">
        <w:rPr>
          <w:rFonts w:ascii="Arial Narrow" w:hAnsi="Arial Narrow"/>
          <w:iCs/>
          <w:sz w:val="18"/>
          <w:szCs w:val="18"/>
        </w:rPr>
        <w:t xml:space="preserve"> </w:t>
      </w:r>
      <w:r w:rsidR="002D3164" w:rsidRPr="002D3164">
        <w:rPr>
          <w:rFonts w:ascii="Arial Narrow" w:hAnsi="Arial Narrow"/>
          <w:iCs/>
          <w:sz w:val="18"/>
          <w:szCs w:val="18"/>
        </w:rPr>
        <w:t>500 to &lt; 5,000</w:t>
      </w:r>
    </w:p>
    <w:p w14:paraId="0F4EC44A" w14:textId="77777777" w:rsidR="002D3164" w:rsidRPr="002D3164" w:rsidRDefault="0053633B" w:rsidP="002D3164">
      <w:pPr>
        <w:rPr>
          <w:rFonts w:ascii="Arial Narrow" w:hAnsi="Arial Narrow"/>
          <w:iCs/>
          <w:sz w:val="18"/>
          <w:szCs w:val="18"/>
        </w:rPr>
      </w:pPr>
      <w:r w:rsidRPr="00C619FE">
        <w:rPr>
          <w:rFonts w:ascii="Arial Narrow" w:hAnsi="Arial Narrow"/>
          <w:iCs/>
          <w:sz w:val="18"/>
          <w:szCs w:val="18"/>
          <w:vertAlign w:val="superscript"/>
        </w:rPr>
        <w:t>6</w:t>
      </w:r>
      <w:r w:rsidRPr="00C619FE">
        <w:rPr>
          <w:rFonts w:ascii="Arial Narrow" w:hAnsi="Arial Narrow"/>
          <w:iCs/>
          <w:sz w:val="18"/>
          <w:szCs w:val="18"/>
        </w:rPr>
        <w:t xml:space="preserve"> </w:t>
      </w:r>
      <w:r w:rsidR="002D3164" w:rsidRPr="002D3164">
        <w:rPr>
          <w:rFonts w:ascii="Arial Narrow" w:hAnsi="Arial Narrow"/>
          <w:iCs/>
          <w:sz w:val="18"/>
          <w:szCs w:val="18"/>
        </w:rPr>
        <w:t>$10 million to &lt; $20 million</w:t>
      </w:r>
    </w:p>
    <w:p w14:paraId="163A82E9" w14:textId="77777777" w:rsidR="002D3164" w:rsidRPr="002D3164" w:rsidRDefault="002D3164" w:rsidP="002D3164">
      <w:pPr>
        <w:pStyle w:val="TableFigureFooter"/>
        <w:rPr>
          <w:iCs/>
        </w:rPr>
      </w:pPr>
      <w:r w:rsidRPr="00C619FE">
        <w:rPr>
          <w:iCs/>
          <w:vertAlign w:val="superscript"/>
        </w:rPr>
        <w:t>7</w:t>
      </w:r>
      <w:r w:rsidRPr="008C77C4">
        <w:rPr>
          <w:iCs/>
        </w:rPr>
        <w:t xml:space="preserve"> </w:t>
      </w:r>
      <w:r w:rsidRPr="002D3164">
        <w:rPr>
          <w:iCs/>
        </w:rPr>
        <w:t>$20 million to &lt; $30 million</w:t>
      </w:r>
    </w:p>
    <w:p w14:paraId="7D0BB2E7" w14:textId="77777777" w:rsidR="002D3164" w:rsidRPr="002D3164" w:rsidRDefault="002D3164" w:rsidP="002D3164">
      <w:pPr>
        <w:pStyle w:val="TableFigureFooter"/>
        <w:rPr>
          <w:iCs/>
        </w:rPr>
      </w:pPr>
      <w:r w:rsidRPr="00C619FE">
        <w:rPr>
          <w:iCs/>
          <w:vertAlign w:val="superscript"/>
        </w:rPr>
        <w:t>8</w:t>
      </w:r>
      <w:r w:rsidRPr="008C77C4">
        <w:rPr>
          <w:iCs/>
        </w:rPr>
        <w:t xml:space="preserve"> </w:t>
      </w:r>
      <w:r w:rsidRPr="002D3164">
        <w:rPr>
          <w:iCs/>
        </w:rPr>
        <w:t>5,000 to &lt; 10,000</w:t>
      </w:r>
    </w:p>
    <w:p w14:paraId="0792E183" w14:textId="74C75E7D" w:rsidR="002D3164" w:rsidRPr="008C77C4" w:rsidRDefault="002D3164" w:rsidP="00C619FE">
      <w:pPr>
        <w:pStyle w:val="TableFigureFooter"/>
        <w:spacing w:after="0"/>
        <w:rPr>
          <w:iCs/>
        </w:rPr>
      </w:pPr>
      <w:r w:rsidRPr="00C619FE">
        <w:rPr>
          <w:iCs/>
          <w:vertAlign w:val="superscript"/>
        </w:rPr>
        <w:lastRenderedPageBreak/>
        <w:t>9</w:t>
      </w:r>
      <w:r w:rsidRPr="008C77C4">
        <w:rPr>
          <w:iCs/>
        </w:rPr>
        <w:t xml:space="preserve"> </w:t>
      </w:r>
      <w:r w:rsidRPr="002D3164">
        <w:rPr>
          <w:iCs/>
        </w:rPr>
        <w:t>$30 million to &lt; $40 million</w:t>
      </w:r>
    </w:p>
    <w:p w14:paraId="5961ED45" w14:textId="0E725DF6" w:rsidR="002D3164" w:rsidRPr="008C77C4" w:rsidRDefault="002D3164" w:rsidP="00C619FE">
      <w:pPr>
        <w:rPr>
          <w:szCs w:val="18"/>
        </w:rPr>
      </w:pPr>
      <w:r w:rsidRPr="00C619FE">
        <w:rPr>
          <w:rFonts w:ascii="Arial Narrow" w:hAnsi="Arial Narrow"/>
          <w:snapToGrid w:val="0"/>
          <w:sz w:val="18"/>
          <w:szCs w:val="18"/>
          <w:vertAlign w:val="superscript"/>
        </w:rPr>
        <w:t>10</w:t>
      </w:r>
      <w:r w:rsidRPr="00C619FE">
        <w:rPr>
          <w:rFonts w:ascii="Arial Narrow" w:hAnsi="Arial Narrow"/>
          <w:snapToGrid w:val="0"/>
          <w:sz w:val="18"/>
          <w:szCs w:val="18"/>
        </w:rPr>
        <w:t xml:space="preserve"> 20,000 to &lt; 30,000</w:t>
      </w:r>
    </w:p>
    <w:p w14:paraId="724318F6" w14:textId="77777777" w:rsidR="002D3164" w:rsidRPr="002D3164" w:rsidRDefault="002D3164" w:rsidP="006E7BA3">
      <w:pPr>
        <w:pStyle w:val="TableFigureFooter"/>
        <w:rPr>
          <w:iCs/>
        </w:rPr>
      </w:pPr>
    </w:p>
    <w:p w14:paraId="69F6606C" w14:textId="622BE3F2" w:rsidR="006E7BA3" w:rsidRPr="0079581E" w:rsidRDefault="006E7BA3">
      <w:pPr>
        <w:pStyle w:val="ExecSumBodyText"/>
        <w:ind w:left="709" w:hanging="709"/>
      </w:pPr>
      <w:r w:rsidRPr="007733C0">
        <w:t>The estimated net cost to the PBS</w:t>
      </w:r>
      <w:r>
        <w:t>/RPBS</w:t>
      </w:r>
      <w:r w:rsidRPr="007733C0">
        <w:t xml:space="preserve"> </w:t>
      </w:r>
      <w:r>
        <w:t xml:space="preserve">of listing risankizumab </w:t>
      </w:r>
      <w:r w:rsidRPr="007733C0">
        <w:t xml:space="preserve">was </w:t>
      </w:r>
      <w:r>
        <w:t xml:space="preserve">estimated to be </w:t>
      </w:r>
      <w:r w:rsidR="002D3164" w:rsidRPr="002D3164">
        <w:t>$0 to &lt; $10 million</w:t>
      </w:r>
      <w:r w:rsidR="002D3164">
        <w:t xml:space="preserve"> </w:t>
      </w:r>
      <w:r w:rsidRPr="007733C0">
        <w:t xml:space="preserve">in Year 1 of listing, increasing to </w:t>
      </w:r>
      <w:r w:rsidR="004A3FF7" w:rsidRPr="004A3FF7">
        <w:t>$10 million to &lt; $20 million</w:t>
      </w:r>
      <w:r w:rsidR="004A3FF7">
        <w:t xml:space="preserve"> </w:t>
      </w:r>
      <w:r w:rsidRPr="007733C0">
        <w:t>in Year 6, a</w:t>
      </w:r>
      <w:r>
        <w:t xml:space="preserve"> total of</w:t>
      </w:r>
      <w:r w:rsidRPr="007733C0">
        <w:t xml:space="preserve"> </w:t>
      </w:r>
      <w:r w:rsidR="004A3FF7" w:rsidRPr="004A3FF7">
        <w:t>$50 million to &lt; $60 million</w:t>
      </w:r>
      <w:r w:rsidRPr="007733C0">
        <w:t xml:space="preserve"> over the first six years of listing</w:t>
      </w:r>
      <w:r>
        <w:t>, based on published prices</w:t>
      </w:r>
      <w:r w:rsidRPr="007733C0">
        <w:t>.</w:t>
      </w:r>
      <w:r w:rsidRPr="002227E8">
        <w:t xml:space="preserve"> </w:t>
      </w:r>
    </w:p>
    <w:p w14:paraId="2BDDEDDF" w14:textId="6EC50F71" w:rsidR="006E7BA3" w:rsidRPr="002068A0" w:rsidRDefault="006E7BA3" w:rsidP="0079581E">
      <w:pPr>
        <w:pStyle w:val="ExecSumBodyText"/>
        <w:ind w:left="709" w:hanging="709"/>
      </w:pPr>
      <w:r w:rsidRPr="008C5A7D">
        <w:t xml:space="preserve">The </w:t>
      </w:r>
      <w:r>
        <w:t>submission stated that the budget impact model, with a net increase in costs to the PBS/RPBS, does not represent the true impact of listing risankizumab, as it is based on published prices of all medicines in the analysis. The submission stated that r</w:t>
      </w:r>
      <w:r w:rsidRPr="00916BD8">
        <w:t xml:space="preserve">isankizumab will be replacing existing treatments </w:t>
      </w:r>
      <w:r>
        <w:t xml:space="preserve">and </w:t>
      </w:r>
      <w:r w:rsidRPr="00916BD8">
        <w:t xml:space="preserve">is not expected to change or grow the established </w:t>
      </w:r>
      <w:proofErr w:type="spellStart"/>
      <w:r w:rsidRPr="00916BD8">
        <w:t>PsA</w:t>
      </w:r>
      <w:proofErr w:type="spellEnd"/>
      <w:r w:rsidRPr="00916BD8">
        <w:t xml:space="preserve"> market</w:t>
      </w:r>
      <w:r>
        <w:t>; and that l</w:t>
      </w:r>
      <w:r w:rsidRPr="00916BD8">
        <w:t>isting is expected to be nil or cost-saving to the government.</w:t>
      </w:r>
      <w:r w:rsidRPr="008C5A7D">
        <w:t xml:space="preserve"> </w:t>
      </w:r>
    </w:p>
    <w:p w14:paraId="2238DEE9" w14:textId="06D7A021" w:rsidR="00576972" w:rsidRDefault="00576972" w:rsidP="00606FBA">
      <w:pPr>
        <w:pStyle w:val="3-SubsectionHeading"/>
      </w:pPr>
      <w:bookmarkStart w:id="28" w:name="_Toc22897648"/>
      <w:bookmarkStart w:id="29" w:name="_Toc93484136"/>
      <w:r w:rsidRPr="00C9624D">
        <w:t>Quality Use of Medicines</w:t>
      </w:r>
      <w:bookmarkEnd w:id="28"/>
      <w:bookmarkEnd w:id="29"/>
    </w:p>
    <w:p w14:paraId="19979ADA" w14:textId="46883696" w:rsidR="00047517" w:rsidRPr="002068A0" w:rsidRDefault="00047517" w:rsidP="00047517">
      <w:pPr>
        <w:pStyle w:val="ExecSumBodyText"/>
        <w:ind w:left="709" w:hanging="709"/>
      </w:pPr>
      <w:bookmarkStart w:id="30" w:name="_Toc22897649"/>
      <w:r w:rsidRPr="00857BBF">
        <w:rPr>
          <w:snapToGrid/>
        </w:rPr>
        <w:t xml:space="preserve">The submission stated that the sponsor has a risk management plan, including an Australian-specific annex submitted to the TGA as part of the dossier. The sponsor will be extending the patient support program to provide support to prescribers and patients with regards to the use of </w:t>
      </w:r>
      <w:r w:rsidR="006456B7">
        <w:rPr>
          <w:snapToGrid/>
        </w:rPr>
        <w:t>risankizumab.</w:t>
      </w:r>
    </w:p>
    <w:bookmarkEnd w:id="30"/>
    <w:p w14:paraId="2D01B549" w14:textId="51FE94C6" w:rsidR="001D00E8" w:rsidRPr="00A117B2" w:rsidRDefault="00C372DA" w:rsidP="00A117B2">
      <w:pPr>
        <w:ind w:firstLine="709"/>
        <w:rPr>
          <w:rFonts w:asciiTheme="minorHAnsi" w:hAnsiTheme="minorHAnsi"/>
          <w:i/>
        </w:rPr>
      </w:pPr>
      <w:r w:rsidRPr="00C33D30">
        <w:rPr>
          <w:rFonts w:asciiTheme="minorHAnsi" w:hAnsiTheme="minorHAnsi"/>
          <w:i/>
        </w:rPr>
        <w:t>For more detail on PBAC’s view, see section 7 PBAC outcome.</w:t>
      </w:r>
    </w:p>
    <w:p w14:paraId="45A35BCA" w14:textId="77777777" w:rsidR="001D00E8" w:rsidRPr="0090150D" w:rsidRDefault="001D00E8" w:rsidP="00A117B2">
      <w:pPr>
        <w:pStyle w:val="2-SectionHeading"/>
        <w:numPr>
          <w:ilvl w:val="0"/>
          <w:numId w:val="1"/>
        </w:numPr>
      </w:pPr>
      <w:bookmarkStart w:id="31" w:name="_Hlk76381249"/>
      <w:bookmarkStart w:id="32" w:name="_Hlk76377955"/>
      <w:r w:rsidRPr="0090150D">
        <w:t>PBAC Outcome</w:t>
      </w:r>
    </w:p>
    <w:p w14:paraId="27051C04" w14:textId="307C7523" w:rsidR="001D00E8" w:rsidRPr="00B82782" w:rsidRDefault="00773CA4" w:rsidP="00B82782">
      <w:pPr>
        <w:pStyle w:val="ExecSumBodyText"/>
        <w:ind w:left="709" w:hanging="709"/>
        <w:rPr>
          <w:lang w:val="en-GB"/>
        </w:rPr>
      </w:pPr>
      <w:r>
        <w:rPr>
          <w:lang w:val="en-GB"/>
        </w:rPr>
        <w:t>The PBAC recommended the General Schedule, Authority Required (in writing) listing of risankizumab (RIS) for the treatment of severe psoriatic arthritis (</w:t>
      </w:r>
      <w:proofErr w:type="spellStart"/>
      <w:r>
        <w:rPr>
          <w:lang w:val="en-GB"/>
        </w:rPr>
        <w:t>PsA</w:t>
      </w:r>
      <w:proofErr w:type="spellEnd"/>
      <w:r>
        <w:rPr>
          <w:lang w:val="en-GB"/>
        </w:rPr>
        <w:t>), on a cost minimisation basis with the least costly biological disease modifying anti-rheumatic drug (</w:t>
      </w:r>
      <w:proofErr w:type="spellStart"/>
      <w:r>
        <w:rPr>
          <w:lang w:val="en-GB"/>
        </w:rPr>
        <w:t>bDMARD</w:t>
      </w:r>
      <w:proofErr w:type="spellEnd"/>
      <w:r>
        <w:rPr>
          <w:lang w:val="en-GB"/>
        </w:rPr>
        <w:t xml:space="preserve">) for this condition. In making his recommendation, the PBAC accepted that any of the currently PBS listed </w:t>
      </w:r>
      <w:proofErr w:type="spellStart"/>
      <w:r>
        <w:rPr>
          <w:lang w:val="en-GB"/>
        </w:rPr>
        <w:t>bDMARDs</w:t>
      </w:r>
      <w:proofErr w:type="spellEnd"/>
      <w:r>
        <w:rPr>
          <w:lang w:val="en-GB"/>
        </w:rPr>
        <w:t xml:space="preserve"> for severe </w:t>
      </w:r>
      <w:proofErr w:type="spellStart"/>
      <w:r>
        <w:rPr>
          <w:lang w:val="en-GB"/>
        </w:rPr>
        <w:t>PsA</w:t>
      </w:r>
      <w:proofErr w:type="spellEnd"/>
      <w:r>
        <w:rPr>
          <w:lang w:val="en-GB"/>
        </w:rPr>
        <w:t xml:space="preserve"> could be an alternative therapy to RIS. </w:t>
      </w:r>
      <w:r w:rsidR="00B82782" w:rsidRPr="00B82782">
        <w:rPr>
          <w:lang w:val="en-GB"/>
        </w:rPr>
        <w:t xml:space="preserve">The PBAC considered that </w:t>
      </w:r>
      <w:r w:rsidR="00B82782">
        <w:rPr>
          <w:lang w:val="en-GB"/>
        </w:rPr>
        <w:t>RIS</w:t>
      </w:r>
      <w:r w:rsidR="00B82782" w:rsidRPr="00B82782">
        <w:rPr>
          <w:lang w:val="en-GB"/>
        </w:rPr>
        <w:t xml:space="preserve"> must</w:t>
      </w:r>
      <w:r w:rsidR="00B82782">
        <w:rPr>
          <w:lang w:val="en-GB"/>
        </w:rPr>
        <w:t xml:space="preserve"> </w:t>
      </w:r>
      <w:r w:rsidR="00B82782" w:rsidRPr="00B82782">
        <w:rPr>
          <w:lang w:val="en-GB"/>
        </w:rPr>
        <w:t xml:space="preserve">be less expensive than the ‘higher tier’ </w:t>
      </w:r>
      <w:proofErr w:type="spellStart"/>
      <w:r w:rsidR="00B82782" w:rsidRPr="00B82782">
        <w:rPr>
          <w:lang w:val="en-GB"/>
        </w:rPr>
        <w:t>bDMARDs</w:t>
      </w:r>
      <w:proofErr w:type="spellEnd"/>
      <w:r w:rsidR="00B82782" w:rsidRPr="00B82782">
        <w:rPr>
          <w:lang w:val="en-GB"/>
        </w:rPr>
        <w:t xml:space="preserve"> to account for the lack of evidence</w:t>
      </w:r>
      <w:r w:rsidR="00B82782">
        <w:rPr>
          <w:lang w:val="en-GB"/>
        </w:rPr>
        <w:t xml:space="preserve"> </w:t>
      </w:r>
      <w:r w:rsidR="00B82782" w:rsidRPr="00B82782">
        <w:rPr>
          <w:lang w:val="en-GB"/>
        </w:rPr>
        <w:t>to support non-inferiority to the higher tier medicines and could not be any more</w:t>
      </w:r>
      <w:r w:rsidR="00B82782">
        <w:rPr>
          <w:lang w:val="en-GB"/>
        </w:rPr>
        <w:t xml:space="preserve"> </w:t>
      </w:r>
      <w:r w:rsidR="00B82782" w:rsidRPr="00B82782">
        <w:rPr>
          <w:lang w:val="en-GB"/>
        </w:rPr>
        <w:t xml:space="preserve">costly than any of the ‘lower tier’ </w:t>
      </w:r>
      <w:proofErr w:type="spellStart"/>
      <w:r w:rsidR="00B82782" w:rsidRPr="00B82782">
        <w:rPr>
          <w:lang w:val="en-GB"/>
        </w:rPr>
        <w:t>bDMARDs</w:t>
      </w:r>
      <w:proofErr w:type="spellEnd"/>
      <w:r w:rsidR="00B82782" w:rsidRPr="00B82782">
        <w:rPr>
          <w:lang w:val="en-GB"/>
        </w:rPr>
        <w:t xml:space="preserve"> currently listed on the PBS for this</w:t>
      </w:r>
      <w:r w:rsidR="00B82782">
        <w:rPr>
          <w:lang w:val="en-GB"/>
        </w:rPr>
        <w:t xml:space="preserve"> </w:t>
      </w:r>
      <w:r w:rsidR="00B82782" w:rsidRPr="00B82782">
        <w:rPr>
          <w:lang w:val="en-GB"/>
        </w:rPr>
        <w:t>condition.</w:t>
      </w:r>
    </w:p>
    <w:p w14:paraId="0A1091CF" w14:textId="402A1AF3" w:rsidR="001D00E8" w:rsidRPr="00CE42B4" w:rsidRDefault="00F9150E" w:rsidP="001D00E8">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that 11 alternative </w:t>
      </w:r>
      <w:proofErr w:type="spellStart"/>
      <w:r>
        <w:rPr>
          <w:rFonts w:asciiTheme="minorHAnsi" w:hAnsiTheme="minorHAnsi"/>
          <w:snapToGrid w:val="0"/>
          <w:lang w:val="en-GB"/>
        </w:rPr>
        <w:t>bDMARDs</w:t>
      </w:r>
      <w:proofErr w:type="spellEnd"/>
      <w:r>
        <w:rPr>
          <w:rFonts w:asciiTheme="minorHAnsi" w:hAnsiTheme="minorHAnsi"/>
          <w:snapToGrid w:val="0"/>
          <w:lang w:val="en-GB"/>
        </w:rPr>
        <w:t xml:space="preserve"> were listed on the PBS for the treatment of </w:t>
      </w:r>
      <w:proofErr w:type="spellStart"/>
      <w:r>
        <w:rPr>
          <w:rFonts w:asciiTheme="minorHAnsi" w:hAnsiTheme="minorHAnsi"/>
          <w:snapToGrid w:val="0"/>
          <w:lang w:val="en-GB"/>
        </w:rPr>
        <w:t>PsA</w:t>
      </w:r>
      <w:proofErr w:type="spellEnd"/>
      <w:r>
        <w:rPr>
          <w:rFonts w:asciiTheme="minorHAnsi" w:hAnsiTheme="minorHAnsi"/>
          <w:snapToGrid w:val="0"/>
          <w:lang w:val="en-GB"/>
        </w:rPr>
        <w:t xml:space="preserve"> at the time of consideration. The PBAC considered that while the clinical need for an additional treatment</w:t>
      </w:r>
      <w:r w:rsidR="00DF7023">
        <w:rPr>
          <w:rFonts w:asciiTheme="minorHAnsi" w:hAnsiTheme="minorHAnsi"/>
          <w:snapToGrid w:val="0"/>
          <w:lang w:val="en-GB"/>
        </w:rPr>
        <w:t xml:space="preserve"> with a similar mechanism of action to another listed </w:t>
      </w:r>
      <w:proofErr w:type="spellStart"/>
      <w:r w:rsidR="00DF7023">
        <w:rPr>
          <w:rFonts w:asciiTheme="minorHAnsi" w:hAnsiTheme="minorHAnsi"/>
          <w:snapToGrid w:val="0"/>
          <w:lang w:val="en-GB"/>
        </w:rPr>
        <w:t>bDMARD</w:t>
      </w:r>
      <w:proofErr w:type="spellEnd"/>
      <w:r w:rsidR="00DF7023">
        <w:rPr>
          <w:rFonts w:asciiTheme="minorHAnsi" w:hAnsiTheme="minorHAnsi"/>
          <w:snapToGrid w:val="0"/>
          <w:lang w:val="en-GB"/>
        </w:rPr>
        <w:t xml:space="preserve"> was low (</w:t>
      </w:r>
      <w:proofErr w:type="spellStart"/>
      <w:r w:rsidR="00DF7023">
        <w:rPr>
          <w:rFonts w:asciiTheme="minorHAnsi" w:hAnsiTheme="minorHAnsi"/>
          <w:snapToGrid w:val="0"/>
          <w:lang w:val="en-GB"/>
        </w:rPr>
        <w:t>guselkumab</w:t>
      </w:r>
      <w:proofErr w:type="spellEnd"/>
      <w:r w:rsidR="00DF7023">
        <w:rPr>
          <w:rFonts w:asciiTheme="minorHAnsi" w:hAnsiTheme="minorHAnsi"/>
          <w:snapToGrid w:val="0"/>
          <w:lang w:val="en-GB"/>
        </w:rPr>
        <w:t>/GUS), the addition of another option may be useful for some patients.</w:t>
      </w:r>
    </w:p>
    <w:p w14:paraId="38B66933" w14:textId="48D4B186" w:rsidR="001D00E8" w:rsidRPr="00CE42B4" w:rsidRDefault="001D00E8" w:rsidP="001D00E8">
      <w:pPr>
        <w:widowControl w:val="0"/>
        <w:numPr>
          <w:ilvl w:val="1"/>
          <w:numId w:val="1"/>
        </w:numPr>
        <w:spacing w:after="120"/>
        <w:ind w:left="720" w:hanging="720"/>
        <w:rPr>
          <w:rFonts w:asciiTheme="minorHAnsi" w:hAnsiTheme="minorHAnsi"/>
          <w:snapToGrid w:val="0"/>
          <w:lang w:val="en-GB"/>
        </w:rPr>
      </w:pPr>
      <w:r w:rsidRPr="00CE42B4">
        <w:rPr>
          <w:rFonts w:asciiTheme="minorHAnsi" w:hAnsiTheme="minorHAnsi"/>
          <w:snapToGrid w:val="0"/>
          <w:lang w:val="en-GB"/>
        </w:rPr>
        <w:t>The PBAC</w:t>
      </w:r>
      <w:r w:rsidR="00DF7023">
        <w:rPr>
          <w:rFonts w:asciiTheme="minorHAnsi" w:hAnsiTheme="minorHAnsi"/>
          <w:snapToGrid w:val="0"/>
          <w:lang w:val="en-GB"/>
        </w:rPr>
        <w:t xml:space="preserve"> considered the equi-effective doses of RIS, based on a dose of either </w:t>
      </w:r>
      <w:r w:rsidR="004A3FF7" w:rsidRPr="00DF7023">
        <w:rPr>
          <w:rFonts w:asciiTheme="minorHAnsi" w:hAnsiTheme="minorHAnsi"/>
          <w:snapToGrid w:val="0"/>
          <w:lang w:val="en-GB"/>
        </w:rPr>
        <w:t>150</w:t>
      </w:r>
      <w:r w:rsidR="004A3FF7">
        <w:rPr>
          <w:rFonts w:asciiTheme="minorHAnsi" w:hAnsiTheme="minorHAnsi"/>
          <w:snapToGrid w:val="0"/>
          <w:lang w:val="en-GB"/>
        </w:rPr>
        <w:t> </w:t>
      </w:r>
      <w:r w:rsidR="00DF7023" w:rsidRPr="00DF7023">
        <w:rPr>
          <w:rFonts w:asciiTheme="minorHAnsi" w:hAnsiTheme="minorHAnsi"/>
          <w:snapToGrid w:val="0"/>
          <w:lang w:val="en-GB"/>
        </w:rPr>
        <w:t xml:space="preserve">mg </w:t>
      </w:r>
      <w:r w:rsidR="00DF7023">
        <w:rPr>
          <w:rFonts w:asciiTheme="minorHAnsi" w:hAnsiTheme="minorHAnsi"/>
          <w:snapToGrid w:val="0"/>
          <w:lang w:val="en-GB"/>
        </w:rPr>
        <w:t>at w</w:t>
      </w:r>
      <w:r w:rsidR="00DF7023" w:rsidRPr="00DF7023">
        <w:rPr>
          <w:rFonts w:asciiTheme="minorHAnsi" w:hAnsiTheme="minorHAnsi"/>
          <w:snapToGrid w:val="0"/>
          <w:lang w:val="en-GB"/>
        </w:rPr>
        <w:t>eek 0, 4 and then every 12 weeks</w:t>
      </w:r>
      <w:r w:rsidR="00DF7023">
        <w:rPr>
          <w:rFonts w:asciiTheme="minorHAnsi" w:hAnsiTheme="minorHAnsi"/>
          <w:snapToGrid w:val="0"/>
          <w:lang w:val="en-GB"/>
        </w:rPr>
        <w:t xml:space="preserve"> for initial treatment</w:t>
      </w:r>
      <w:r w:rsidR="00184096">
        <w:rPr>
          <w:rFonts w:asciiTheme="minorHAnsi" w:hAnsiTheme="minorHAnsi"/>
          <w:snapToGrid w:val="0"/>
          <w:lang w:val="en-GB"/>
        </w:rPr>
        <w:t xml:space="preserve"> </w:t>
      </w:r>
      <w:r w:rsidR="00DF7023">
        <w:rPr>
          <w:rFonts w:asciiTheme="minorHAnsi" w:hAnsiTheme="minorHAnsi"/>
          <w:snapToGrid w:val="0"/>
          <w:lang w:val="en-GB"/>
        </w:rPr>
        <w:t xml:space="preserve">could be derived with reference </w:t>
      </w:r>
      <w:r w:rsidR="00184096">
        <w:rPr>
          <w:rFonts w:asciiTheme="minorHAnsi" w:hAnsiTheme="minorHAnsi"/>
          <w:snapToGrid w:val="0"/>
          <w:lang w:val="en-GB"/>
        </w:rPr>
        <w:t>the</w:t>
      </w:r>
      <w:r w:rsidR="00DF7023">
        <w:rPr>
          <w:rFonts w:asciiTheme="minorHAnsi" w:hAnsiTheme="minorHAnsi"/>
          <w:snapToGrid w:val="0"/>
          <w:lang w:val="en-GB"/>
        </w:rPr>
        <w:t xml:space="preserve"> relevant product information documents for the alternative </w:t>
      </w:r>
      <w:proofErr w:type="spellStart"/>
      <w:r w:rsidR="00DF7023">
        <w:rPr>
          <w:rFonts w:asciiTheme="minorHAnsi" w:hAnsiTheme="minorHAnsi"/>
          <w:snapToGrid w:val="0"/>
          <w:lang w:val="en-GB"/>
        </w:rPr>
        <w:t>bDMARDs</w:t>
      </w:r>
      <w:proofErr w:type="spellEnd"/>
      <w:r w:rsidR="00DF7023">
        <w:rPr>
          <w:rFonts w:asciiTheme="minorHAnsi" w:hAnsiTheme="minorHAnsi"/>
          <w:snapToGrid w:val="0"/>
          <w:lang w:val="en-GB"/>
        </w:rPr>
        <w:t>.</w:t>
      </w:r>
    </w:p>
    <w:p w14:paraId="48EE8971" w14:textId="41885775" w:rsidR="001D00E8" w:rsidRPr="00CE42B4" w:rsidRDefault="00DF7023" w:rsidP="001D00E8">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w:t>
      </w:r>
      <w:r w:rsidR="00585BCE">
        <w:rPr>
          <w:rFonts w:asciiTheme="minorHAnsi" w:hAnsiTheme="minorHAnsi"/>
          <w:snapToGrid w:val="0"/>
          <w:lang w:val="en-GB"/>
        </w:rPr>
        <w:t>Committee</w:t>
      </w:r>
      <w:r>
        <w:rPr>
          <w:rFonts w:asciiTheme="minorHAnsi" w:hAnsiTheme="minorHAnsi"/>
          <w:snapToGrid w:val="0"/>
          <w:lang w:val="en-GB"/>
        </w:rPr>
        <w:t xml:space="preserve"> considered the nominated primary comparator of GUS, as the therapy with the most similar mechanism of action, was reasonable; however also considered </w:t>
      </w:r>
      <w:r>
        <w:rPr>
          <w:rFonts w:asciiTheme="minorHAnsi" w:hAnsiTheme="minorHAnsi"/>
          <w:snapToGrid w:val="0"/>
          <w:lang w:val="en-GB"/>
        </w:rPr>
        <w:lastRenderedPageBreak/>
        <w:t xml:space="preserve">any of the </w:t>
      </w:r>
      <w:proofErr w:type="spellStart"/>
      <w:r>
        <w:rPr>
          <w:rFonts w:asciiTheme="minorHAnsi" w:hAnsiTheme="minorHAnsi"/>
          <w:snapToGrid w:val="0"/>
          <w:lang w:val="en-GB"/>
        </w:rPr>
        <w:t>bDMARDs</w:t>
      </w:r>
      <w:proofErr w:type="spellEnd"/>
      <w:r>
        <w:rPr>
          <w:rFonts w:asciiTheme="minorHAnsi" w:hAnsiTheme="minorHAnsi"/>
          <w:snapToGrid w:val="0"/>
          <w:lang w:val="en-GB"/>
        </w:rPr>
        <w:t xml:space="preserve"> currently listed on the PBS for </w:t>
      </w:r>
      <w:proofErr w:type="spellStart"/>
      <w:r>
        <w:rPr>
          <w:rFonts w:asciiTheme="minorHAnsi" w:hAnsiTheme="minorHAnsi"/>
          <w:snapToGrid w:val="0"/>
          <w:lang w:val="en-GB"/>
        </w:rPr>
        <w:t>PsA</w:t>
      </w:r>
      <w:proofErr w:type="spellEnd"/>
      <w:r w:rsidR="00585BCE">
        <w:rPr>
          <w:rFonts w:asciiTheme="minorHAnsi" w:hAnsiTheme="minorHAnsi"/>
          <w:snapToGrid w:val="0"/>
          <w:lang w:val="en-GB"/>
        </w:rPr>
        <w:t xml:space="preserve"> were relevant alternative therapies. The PBAC noted no evidence of superiority against any of the other alternative therapies was provided.</w:t>
      </w:r>
    </w:p>
    <w:p w14:paraId="6A0C9DAF" w14:textId="22AB5020" w:rsidR="0008732D" w:rsidRDefault="00585BCE" w:rsidP="00BF41E7">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noted non-inferiority margins were met for the indirect comparison of RIS and GUS</w:t>
      </w:r>
      <w:r w:rsidR="00BF41E7">
        <w:rPr>
          <w:rFonts w:asciiTheme="minorHAnsi" w:hAnsiTheme="minorHAnsi"/>
          <w:snapToGrid w:val="0"/>
          <w:lang w:val="en-GB"/>
        </w:rPr>
        <w:t xml:space="preserve"> (a lower tier medicine)</w:t>
      </w:r>
      <w:r>
        <w:rPr>
          <w:rFonts w:asciiTheme="minorHAnsi" w:hAnsiTheme="minorHAnsi"/>
          <w:snapToGrid w:val="0"/>
          <w:lang w:val="en-GB"/>
        </w:rPr>
        <w:t xml:space="preserve">, </w:t>
      </w:r>
      <w:r w:rsidRPr="00585BCE">
        <w:rPr>
          <w:rFonts w:asciiTheme="minorHAnsi" w:hAnsiTheme="minorHAnsi"/>
          <w:snapToGrid w:val="0"/>
          <w:lang w:val="en-GB"/>
        </w:rPr>
        <w:t>with the lower 95% confidence interval of the relative risk for ACR20 and ACR50 exceeding 0.46 and 0.29, respectively.</w:t>
      </w:r>
      <w:r>
        <w:rPr>
          <w:rFonts w:asciiTheme="minorHAnsi" w:hAnsiTheme="minorHAnsi"/>
          <w:snapToGrid w:val="0"/>
          <w:lang w:val="en-GB"/>
        </w:rPr>
        <w:t xml:space="preserve"> With regards to indirect comparisons with other </w:t>
      </w:r>
      <w:proofErr w:type="spellStart"/>
      <w:r>
        <w:rPr>
          <w:rFonts w:asciiTheme="minorHAnsi" w:hAnsiTheme="minorHAnsi"/>
          <w:snapToGrid w:val="0"/>
          <w:lang w:val="en-GB"/>
        </w:rPr>
        <w:t>bDMARDs</w:t>
      </w:r>
      <w:proofErr w:type="spellEnd"/>
      <w:r>
        <w:rPr>
          <w:rFonts w:asciiTheme="minorHAnsi" w:hAnsiTheme="minorHAnsi"/>
          <w:snapToGrid w:val="0"/>
          <w:lang w:val="en-GB"/>
        </w:rPr>
        <w:t xml:space="preserve">, including </w:t>
      </w:r>
      <w:proofErr w:type="spellStart"/>
      <w:r w:rsidRPr="00585BCE">
        <w:rPr>
          <w:rFonts w:asciiTheme="minorHAnsi" w:hAnsiTheme="minorHAnsi"/>
          <w:snapToGrid w:val="0"/>
          <w:lang w:val="en-GB"/>
        </w:rPr>
        <w:t>ustekinumab</w:t>
      </w:r>
      <w:proofErr w:type="spellEnd"/>
      <w:r w:rsidRPr="00585BCE">
        <w:rPr>
          <w:rFonts w:asciiTheme="minorHAnsi" w:hAnsiTheme="minorHAnsi"/>
          <w:snapToGrid w:val="0"/>
          <w:lang w:val="en-GB"/>
        </w:rPr>
        <w:t xml:space="preserve"> (UST), adalimumab (ADA), </w:t>
      </w:r>
      <w:proofErr w:type="spellStart"/>
      <w:r w:rsidRPr="00585BCE">
        <w:rPr>
          <w:rFonts w:asciiTheme="minorHAnsi" w:hAnsiTheme="minorHAnsi"/>
          <w:snapToGrid w:val="0"/>
          <w:lang w:val="en-GB"/>
        </w:rPr>
        <w:t>secukinumab</w:t>
      </w:r>
      <w:proofErr w:type="spellEnd"/>
      <w:r w:rsidRPr="00585BCE">
        <w:rPr>
          <w:rFonts w:asciiTheme="minorHAnsi" w:hAnsiTheme="minorHAnsi"/>
          <w:snapToGrid w:val="0"/>
          <w:lang w:val="en-GB"/>
        </w:rPr>
        <w:t xml:space="preserve"> (SEC), certolizumab pegol (CZP) and tofacitinib (TOF)</w:t>
      </w:r>
      <w:r w:rsidR="00BF41E7">
        <w:rPr>
          <w:rFonts w:asciiTheme="minorHAnsi" w:hAnsiTheme="minorHAnsi"/>
          <w:snapToGrid w:val="0"/>
          <w:lang w:val="en-GB"/>
        </w:rPr>
        <w:t xml:space="preserve">, the PBAC noted the </w:t>
      </w:r>
      <w:r w:rsidRPr="00BF41E7">
        <w:rPr>
          <w:rFonts w:asciiTheme="minorHAnsi" w:hAnsiTheme="minorHAnsi"/>
          <w:snapToGrid w:val="0"/>
          <w:lang w:val="en-GB"/>
        </w:rPr>
        <w:t xml:space="preserve">non-inferiority margins for ACR20 and ACR50 response rates were met in all comparisons except for </w:t>
      </w:r>
      <w:r w:rsidR="003D0C27">
        <w:rPr>
          <w:rFonts w:asciiTheme="minorHAnsi" w:hAnsiTheme="minorHAnsi"/>
          <w:snapToGrid w:val="0"/>
          <w:lang w:val="en-GB"/>
        </w:rPr>
        <w:t xml:space="preserve">RIS </w:t>
      </w:r>
      <w:r w:rsidRPr="00BF41E7">
        <w:rPr>
          <w:rFonts w:asciiTheme="minorHAnsi" w:hAnsiTheme="minorHAnsi"/>
          <w:snapToGrid w:val="0"/>
          <w:lang w:val="en-GB"/>
        </w:rPr>
        <w:t xml:space="preserve">(week 24) versus </w:t>
      </w:r>
      <w:r w:rsidR="003D0C27">
        <w:rPr>
          <w:rFonts w:asciiTheme="minorHAnsi" w:hAnsiTheme="minorHAnsi"/>
          <w:snapToGrid w:val="0"/>
          <w:lang w:val="en-GB"/>
        </w:rPr>
        <w:t>ADA</w:t>
      </w:r>
      <w:r w:rsidRPr="00BF41E7">
        <w:rPr>
          <w:rFonts w:asciiTheme="minorHAnsi" w:hAnsiTheme="minorHAnsi"/>
          <w:snapToGrid w:val="0"/>
          <w:lang w:val="en-GB"/>
        </w:rPr>
        <w:t xml:space="preserve"> (week 12), as the lower RR 95% CI did not exceed 0.46 for ACR20 (RR = </w:t>
      </w:r>
      <w:r w:rsidR="00E25B15">
        <w:rPr>
          <w:rFonts w:asciiTheme="minorHAnsi" w:hAnsiTheme="minorHAnsi"/>
          <w:snapToGrid w:val="0"/>
          <w:lang w:val="en-GB"/>
        </w:rPr>
        <w:t>0.355</w:t>
      </w:r>
      <w:r w:rsidR="00BF41E7">
        <w:rPr>
          <w:rFonts w:asciiTheme="minorHAnsi" w:hAnsiTheme="minorHAnsi"/>
          <w:snapToGrid w:val="0"/>
          <w:lang w:val="en-GB"/>
        </w:rPr>
        <w:t>)</w:t>
      </w:r>
      <w:r w:rsidRPr="00BF41E7">
        <w:rPr>
          <w:rFonts w:asciiTheme="minorHAnsi" w:hAnsiTheme="minorHAnsi"/>
          <w:snapToGrid w:val="0"/>
          <w:lang w:val="en-GB"/>
        </w:rPr>
        <w:t xml:space="preserve"> and did not exceed 0.29 for ACR50 (RR = </w:t>
      </w:r>
      <w:r w:rsidR="00E25B15">
        <w:rPr>
          <w:rFonts w:asciiTheme="minorHAnsi" w:hAnsiTheme="minorHAnsi"/>
          <w:snapToGrid w:val="0"/>
          <w:lang w:val="en-GB"/>
        </w:rPr>
        <w:t>0.228</w:t>
      </w:r>
      <w:r w:rsidRPr="00BF41E7">
        <w:rPr>
          <w:rFonts w:asciiTheme="minorHAnsi" w:hAnsiTheme="minorHAnsi"/>
          <w:snapToGrid w:val="0"/>
          <w:lang w:val="en-GB"/>
        </w:rPr>
        <w:t xml:space="preserve">). </w:t>
      </w:r>
      <w:r w:rsidR="00BF41E7">
        <w:rPr>
          <w:rFonts w:asciiTheme="minorHAnsi" w:hAnsiTheme="minorHAnsi"/>
          <w:snapToGrid w:val="0"/>
          <w:lang w:val="en-GB"/>
        </w:rPr>
        <w:t>The Committee noted this</w:t>
      </w:r>
      <w:r w:rsidR="00697BA0">
        <w:rPr>
          <w:rFonts w:asciiTheme="minorHAnsi" w:hAnsiTheme="minorHAnsi"/>
          <w:snapToGrid w:val="0"/>
          <w:lang w:val="en-GB"/>
        </w:rPr>
        <w:t xml:space="preserve"> conclusion</w:t>
      </w:r>
      <w:r w:rsidR="00BF41E7">
        <w:rPr>
          <w:rFonts w:asciiTheme="minorHAnsi" w:hAnsiTheme="minorHAnsi"/>
          <w:snapToGrid w:val="0"/>
          <w:lang w:val="en-GB"/>
        </w:rPr>
        <w:t xml:space="preserve"> was </w:t>
      </w:r>
      <w:proofErr w:type="gramStart"/>
      <w:r w:rsidR="00BF41E7">
        <w:rPr>
          <w:rFonts w:asciiTheme="minorHAnsi" w:hAnsiTheme="minorHAnsi"/>
          <w:snapToGrid w:val="0"/>
          <w:lang w:val="en-GB"/>
        </w:rPr>
        <w:t>similar to</w:t>
      </w:r>
      <w:proofErr w:type="gramEnd"/>
      <w:r w:rsidR="00BF41E7">
        <w:rPr>
          <w:rFonts w:asciiTheme="minorHAnsi" w:hAnsiTheme="minorHAnsi"/>
          <w:snapToGrid w:val="0"/>
          <w:lang w:val="en-GB"/>
        </w:rPr>
        <w:t xml:space="preserve"> the GUS submission for </w:t>
      </w:r>
      <w:proofErr w:type="spellStart"/>
      <w:r w:rsidR="00BF41E7">
        <w:rPr>
          <w:rFonts w:asciiTheme="minorHAnsi" w:hAnsiTheme="minorHAnsi"/>
          <w:snapToGrid w:val="0"/>
          <w:lang w:val="en-GB"/>
        </w:rPr>
        <w:t>PsA</w:t>
      </w:r>
      <w:proofErr w:type="spellEnd"/>
      <w:r w:rsidR="00BF41E7">
        <w:rPr>
          <w:rFonts w:asciiTheme="minorHAnsi" w:hAnsiTheme="minorHAnsi"/>
          <w:snapToGrid w:val="0"/>
          <w:lang w:val="en-GB"/>
        </w:rPr>
        <w:t xml:space="preserve">, </w:t>
      </w:r>
      <w:r w:rsidRPr="00BF41E7">
        <w:rPr>
          <w:rFonts w:asciiTheme="minorHAnsi" w:hAnsiTheme="minorHAnsi"/>
          <w:snapToGrid w:val="0"/>
          <w:lang w:val="en-GB"/>
        </w:rPr>
        <w:t xml:space="preserve">in which </w:t>
      </w:r>
      <w:r w:rsidR="00BF41E7">
        <w:rPr>
          <w:rFonts w:asciiTheme="minorHAnsi" w:hAnsiTheme="minorHAnsi"/>
          <w:snapToGrid w:val="0"/>
          <w:lang w:val="en-GB"/>
        </w:rPr>
        <w:t>GUS also</w:t>
      </w:r>
      <w:r w:rsidRPr="00BF41E7">
        <w:rPr>
          <w:rFonts w:asciiTheme="minorHAnsi" w:hAnsiTheme="minorHAnsi"/>
          <w:snapToGrid w:val="0"/>
          <w:lang w:val="en-GB"/>
        </w:rPr>
        <w:t xml:space="preserve"> did not meet non-inferiority versus</w:t>
      </w:r>
      <w:r w:rsidR="00BF41E7">
        <w:rPr>
          <w:rFonts w:asciiTheme="minorHAnsi" w:hAnsiTheme="minorHAnsi"/>
          <w:snapToGrid w:val="0"/>
          <w:lang w:val="en-GB"/>
        </w:rPr>
        <w:t xml:space="preserve"> ADA</w:t>
      </w:r>
      <w:r w:rsidRPr="00BF41E7">
        <w:rPr>
          <w:rFonts w:asciiTheme="minorHAnsi" w:hAnsiTheme="minorHAnsi"/>
          <w:snapToGrid w:val="0"/>
          <w:lang w:val="en-GB"/>
        </w:rPr>
        <w:t xml:space="preserve"> (</w:t>
      </w:r>
      <w:r w:rsidR="00184096">
        <w:rPr>
          <w:rFonts w:asciiTheme="minorHAnsi" w:hAnsiTheme="minorHAnsi"/>
          <w:snapToGrid w:val="0"/>
          <w:lang w:val="en-GB"/>
        </w:rPr>
        <w:t>para</w:t>
      </w:r>
      <w:r w:rsidRPr="00BF41E7">
        <w:rPr>
          <w:rFonts w:asciiTheme="minorHAnsi" w:hAnsiTheme="minorHAnsi"/>
          <w:snapToGrid w:val="0"/>
          <w:lang w:val="en-GB"/>
        </w:rPr>
        <w:t xml:space="preserve"> 5.2, </w:t>
      </w:r>
      <w:proofErr w:type="spellStart"/>
      <w:r w:rsidRPr="00BF41E7">
        <w:rPr>
          <w:rFonts w:asciiTheme="minorHAnsi" w:hAnsiTheme="minorHAnsi"/>
          <w:snapToGrid w:val="0"/>
          <w:lang w:val="en-GB"/>
        </w:rPr>
        <w:t>guselkumab</w:t>
      </w:r>
      <w:proofErr w:type="spellEnd"/>
      <w:r w:rsidRPr="00BF41E7">
        <w:rPr>
          <w:rFonts w:asciiTheme="minorHAnsi" w:hAnsiTheme="minorHAnsi"/>
          <w:snapToGrid w:val="0"/>
          <w:lang w:val="en-GB"/>
        </w:rPr>
        <w:t xml:space="preserve"> PSD, November 2020 PBAC submission).</w:t>
      </w:r>
      <w:r w:rsidR="00BF41E7">
        <w:rPr>
          <w:rFonts w:asciiTheme="minorHAnsi" w:hAnsiTheme="minorHAnsi"/>
          <w:snapToGrid w:val="0"/>
          <w:lang w:val="en-GB"/>
        </w:rPr>
        <w:t xml:space="preserve"> </w:t>
      </w:r>
    </w:p>
    <w:p w14:paraId="66F07592" w14:textId="55CD2806" w:rsidR="003D0C27" w:rsidRDefault="0008732D" w:rsidP="003D0C27">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Based on the evidence presented in the submission, t</w:t>
      </w:r>
      <w:r w:rsidR="00BF41E7">
        <w:rPr>
          <w:rFonts w:asciiTheme="minorHAnsi" w:hAnsiTheme="minorHAnsi"/>
          <w:snapToGrid w:val="0"/>
          <w:lang w:val="en-GB"/>
        </w:rPr>
        <w:t xml:space="preserve">he PBAC considered that, overall, the claim of non-inferior comparative effectiveness </w:t>
      </w:r>
      <w:r>
        <w:rPr>
          <w:rFonts w:asciiTheme="minorHAnsi" w:hAnsiTheme="minorHAnsi"/>
          <w:snapToGrid w:val="0"/>
          <w:lang w:val="en-GB"/>
        </w:rPr>
        <w:t xml:space="preserve">to GUS was adequately supported by the data. </w:t>
      </w:r>
      <w:r w:rsidR="003D0C27">
        <w:rPr>
          <w:rFonts w:asciiTheme="minorHAnsi" w:hAnsiTheme="minorHAnsi"/>
          <w:snapToGrid w:val="0"/>
          <w:lang w:val="en-GB"/>
        </w:rPr>
        <w:t>Based on the indirect comparisons presented versus the secondary nominated comparators, the PBAC was also satisfied that RIS is likely to be of non-inferior comparative effectiveness to UST, SEC and TOF. Given the non-inferiority margins were not met for the comparisons of RIS versus ADA (a higher tier medicine), the PBAC considered the evidence presented did not support a conclusion that RIS is of non-inferior comparative effectiveness to ADA.</w:t>
      </w:r>
    </w:p>
    <w:p w14:paraId="490F6722" w14:textId="23626FB9" w:rsidR="003D0C27" w:rsidRPr="003D0C27" w:rsidRDefault="003D0C27" w:rsidP="003D0C27">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the claim of non-inferior comparative safety </w:t>
      </w:r>
      <w:r w:rsidR="00C77B60">
        <w:rPr>
          <w:rFonts w:asciiTheme="minorHAnsi" w:hAnsiTheme="minorHAnsi"/>
          <w:snapToGrid w:val="0"/>
          <w:lang w:val="en-GB"/>
        </w:rPr>
        <w:t xml:space="preserve">to GUS, and by extension to other </w:t>
      </w:r>
      <w:proofErr w:type="spellStart"/>
      <w:r w:rsidR="00C77B60">
        <w:rPr>
          <w:rFonts w:asciiTheme="minorHAnsi" w:hAnsiTheme="minorHAnsi"/>
          <w:snapToGrid w:val="0"/>
          <w:lang w:val="en-GB"/>
        </w:rPr>
        <w:t>bDMARDs</w:t>
      </w:r>
      <w:proofErr w:type="spellEnd"/>
      <w:r w:rsidR="00C77B60">
        <w:rPr>
          <w:rFonts w:asciiTheme="minorHAnsi" w:hAnsiTheme="minorHAnsi"/>
          <w:snapToGrid w:val="0"/>
          <w:lang w:val="en-GB"/>
        </w:rPr>
        <w:t xml:space="preserve"> for </w:t>
      </w:r>
      <w:proofErr w:type="spellStart"/>
      <w:r w:rsidR="00C77B60">
        <w:rPr>
          <w:rFonts w:asciiTheme="minorHAnsi" w:hAnsiTheme="minorHAnsi"/>
          <w:snapToGrid w:val="0"/>
          <w:lang w:val="en-GB"/>
        </w:rPr>
        <w:t>PsA</w:t>
      </w:r>
      <w:proofErr w:type="spellEnd"/>
      <w:r w:rsidR="00C77B60">
        <w:rPr>
          <w:rFonts w:asciiTheme="minorHAnsi" w:hAnsiTheme="minorHAnsi"/>
          <w:snapToGrid w:val="0"/>
          <w:lang w:val="en-GB"/>
        </w:rPr>
        <w:t>, was adequately supported by the available data.</w:t>
      </w:r>
    </w:p>
    <w:p w14:paraId="4BCD7648" w14:textId="0CDB5496" w:rsidR="001D00E8" w:rsidRDefault="00C77B60" w:rsidP="00C77B60">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it would be appropriate to align the listing of RIS </w:t>
      </w:r>
      <w:r w:rsidR="00F83EF0">
        <w:rPr>
          <w:rFonts w:asciiTheme="minorHAnsi" w:hAnsiTheme="minorHAnsi"/>
          <w:snapToGrid w:val="0"/>
          <w:lang w:val="en-GB"/>
        </w:rPr>
        <w:t xml:space="preserve">with </w:t>
      </w:r>
      <w:r>
        <w:rPr>
          <w:rFonts w:asciiTheme="minorHAnsi" w:hAnsiTheme="minorHAnsi"/>
          <w:snapToGrid w:val="0"/>
          <w:lang w:val="en-GB"/>
        </w:rPr>
        <w:t xml:space="preserve">other written authority </w:t>
      </w:r>
      <w:proofErr w:type="spellStart"/>
      <w:r>
        <w:rPr>
          <w:rFonts w:asciiTheme="minorHAnsi" w:hAnsiTheme="minorHAnsi"/>
          <w:snapToGrid w:val="0"/>
          <w:lang w:val="en-GB"/>
        </w:rPr>
        <w:t>bDMARD</w:t>
      </w:r>
      <w:proofErr w:type="spellEnd"/>
      <w:r>
        <w:rPr>
          <w:rFonts w:asciiTheme="minorHAnsi" w:hAnsiTheme="minorHAnsi"/>
          <w:snapToGrid w:val="0"/>
          <w:lang w:val="en-GB"/>
        </w:rPr>
        <w:t xml:space="preserve"> listings for </w:t>
      </w:r>
      <w:proofErr w:type="spellStart"/>
      <w:r>
        <w:rPr>
          <w:rFonts w:asciiTheme="minorHAnsi" w:hAnsiTheme="minorHAnsi"/>
          <w:snapToGrid w:val="0"/>
          <w:lang w:val="en-GB"/>
        </w:rPr>
        <w:t>PsA.</w:t>
      </w:r>
      <w:proofErr w:type="spellEnd"/>
      <w:r>
        <w:rPr>
          <w:rFonts w:asciiTheme="minorHAnsi" w:hAnsiTheme="minorHAnsi"/>
          <w:snapToGrid w:val="0"/>
          <w:lang w:val="en-GB"/>
        </w:rPr>
        <w:t xml:space="preserve"> The Committee noted the flow-on changes to the administrative notes common to </w:t>
      </w:r>
      <w:proofErr w:type="spellStart"/>
      <w:r>
        <w:rPr>
          <w:rFonts w:asciiTheme="minorHAnsi" w:hAnsiTheme="minorHAnsi"/>
          <w:snapToGrid w:val="0"/>
          <w:lang w:val="en-GB"/>
        </w:rPr>
        <w:t>bDMARD</w:t>
      </w:r>
      <w:proofErr w:type="spellEnd"/>
      <w:r>
        <w:rPr>
          <w:rFonts w:asciiTheme="minorHAnsi" w:hAnsiTheme="minorHAnsi"/>
          <w:snapToGrid w:val="0"/>
          <w:lang w:val="en-GB"/>
        </w:rPr>
        <w:t xml:space="preserve"> listings to include RIS in the list of therapies in a </w:t>
      </w:r>
      <w:proofErr w:type="spellStart"/>
      <w:r>
        <w:rPr>
          <w:rFonts w:asciiTheme="minorHAnsi" w:hAnsiTheme="minorHAnsi"/>
          <w:snapToGrid w:val="0"/>
          <w:lang w:val="en-GB"/>
        </w:rPr>
        <w:t>PsA</w:t>
      </w:r>
      <w:proofErr w:type="spellEnd"/>
      <w:r>
        <w:rPr>
          <w:rFonts w:asciiTheme="minorHAnsi" w:hAnsiTheme="minorHAnsi"/>
          <w:snapToGrid w:val="0"/>
          <w:lang w:val="en-GB"/>
        </w:rPr>
        <w:t xml:space="preserve"> treatment cycle.</w:t>
      </w:r>
      <w:r w:rsidR="00E832EF">
        <w:rPr>
          <w:rFonts w:asciiTheme="minorHAnsi" w:hAnsiTheme="minorHAnsi"/>
          <w:snapToGrid w:val="0"/>
          <w:lang w:val="en-GB"/>
        </w:rPr>
        <w:t xml:space="preserve"> The PBAC noted the submission requested a grandfather restriction for approximately </w:t>
      </w:r>
      <w:proofErr w:type="gramStart"/>
      <w:r w:rsidR="00C619FE" w:rsidRPr="007D364B">
        <w:rPr>
          <w:rFonts w:asciiTheme="minorHAnsi" w:hAnsiTheme="minorHAnsi"/>
          <w:snapToGrid w:val="0"/>
          <w:color w:val="000000"/>
          <w:w w:val="15"/>
          <w:shd w:val="solid" w:color="000000" w:fill="000000"/>
          <w:fitText w:val="-20" w:id="-1502405375"/>
          <w:lang w:val="en-GB"/>
          <w14:textFill>
            <w14:solidFill>
              <w14:srgbClr w14:val="000000">
                <w14:alpha w14:val="100000"/>
              </w14:srgbClr>
            </w14:solidFill>
          </w14:textFill>
        </w:rPr>
        <w:t xml:space="preserve">|  </w:t>
      </w:r>
      <w:r w:rsidR="00C619FE" w:rsidRPr="007D364B">
        <w:rPr>
          <w:rFonts w:asciiTheme="minorHAnsi" w:hAnsiTheme="minorHAnsi"/>
          <w:snapToGrid w:val="0"/>
          <w:color w:val="000000"/>
          <w:spacing w:val="-69"/>
          <w:w w:val="15"/>
          <w:shd w:val="solid" w:color="000000" w:fill="000000"/>
          <w:fitText w:val="-20" w:id="-1502405375"/>
          <w:lang w:val="en-GB"/>
          <w14:textFill>
            <w14:solidFill>
              <w14:srgbClr w14:val="000000">
                <w14:alpha w14:val="100000"/>
              </w14:srgbClr>
            </w14:solidFill>
          </w14:textFill>
        </w:rPr>
        <w:t>|</w:t>
      </w:r>
      <w:proofErr w:type="gramEnd"/>
      <w:r w:rsidR="00E832EF">
        <w:rPr>
          <w:rFonts w:asciiTheme="minorHAnsi" w:hAnsiTheme="minorHAnsi"/>
          <w:snapToGrid w:val="0"/>
          <w:lang w:val="en-GB"/>
        </w:rPr>
        <w:t xml:space="preserve"> patients currently enrolled in clinical trials and considered this was reasonable and advised the grandfather restriction should be reviewed after 12 months, consistent with current practice. </w:t>
      </w:r>
    </w:p>
    <w:p w14:paraId="1B4BCDFD" w14:textId="3A854938" w:rsidR="000B7F1C" w:rsidRPr="000B7F1C" w:rsidRDefault="000B7F1C" w:rsidP="000B7F1C">
      <w:pPr>
        <w:widowControl w:val="0"/>
        <w:numPr>
          <w:ilvl w:val="1"/>
          <w:numId w:val="1"/>
        </w:numPr>
        <w:spacing w:after="120"/>
        <w:ind w:left="720" w:hanging="720"/>
        <w:rPr>
          <w:rFonts w:asciiTheme="minorHAnsi" w:hAnsiTheme="minorHAnsi"/>
          <w:snapToGrid w:val="0"/>
          <w:lang w:val="en-GB"/>
        </w:rPr>
      </w:pPr>
      <w:r w:rsidRPr="000B7F1C">
        <w:rPr>
          <w:rFonts w:asciiTheme="minorHAnsi" w:hAnsiTheme="minorHAnsi"/>
          <w:snapToGrid w:val="0"/>
          <w:lang w:val="en-GB"/>
        </w:rPr>
        <w:t>As a claim of non-inferior comparative effectiveness and safety was adequately justified by the evidence provided in the submission, the PBAC considered a cost minimisation approach with costs over two years</w:t>
      </w:r>
      <w:r w:rsidR="00F83EF0">
        <w:rPr>
          <w:rFonts w:asciiTheme="minorHAnsi" w:hAnsiTheme="minorHAnsi"/>
          <w:snapToGrid w:val="0"/>
          <w:lang w:val="en-GB"/>
        </w:rPr>
        <w:t xml:space="preserve"> using effective prices</w:t>
      </w:r>
      <w:r w:rsidRPr="000B7F1C">
        <w:rPr>
          <w:rFonts w:asciiTheme="minorHAnsi" w:hAnsiTheme="minorHAnsi"/>
          <w:snapToGrid w:val="0"/>
          <w:lang w:val="en-GB"/>
        </w:rPr>
        <w:t xml:space="preserve">, consistent with previous approaches for similar </w:t>
      </w:r>
      <w:proofErr w:type="spellStart"/>
      <w:r w:rsidRPr="000B7F1C">
        <w:rPr>
          <w:rFonts w:asciiTheme="minorHAnsi" w:hAnsiTheme="minorHAnsi"/>
          <w:snapToGrid w:val="0"/>
          <w:lang w:val="en-GB"/>
        </w:rPr>
        <w:t>bDMARDs</w:t>
      </w:r>
      <w:proofErr w:type="spellEnd"/>
      <w:r w:rsidRPr="000B7F1C">
        <w:rPr>
          <w:rFonts w:asciiTheme="minorHAnsi" w:hAnsiTheme="minorHAnsi"/>
          <w:snapToGrid w:val="0"/>
          <w:lang w:val="en-GB"/>
        </w:rPr>
        <w:t xml:space="preserve"> was the most appropriate approach to determine the cost-minimised effective price of </w:t>
      </w:r>
      <w:r>
        <w:rPr>
          <w:rFonts w:asciiTheme="minorHAnsi" w:hAnsiTheme="minorHAnsi"/>
          <w:snapToGrid w:val="0"/>
          <w:lang w:val="en-GB"/>
        </w:rPr>
        <w:t xml:space="preserve">RIS in the </w:t>
      </w:r>
      <w:proofErr w:type="spellStart"/>
      <w:r>
        <w:rPr>
          <w:rFonts w:asciiTheme="minorHAnsi" w:hAnsiTheme="minorHAnsi"/>
          <w:snapToGrid w:val="0"/>
          <w:lang w:val="en-GB"/>
        </w:rPr>
        <w:t>PsA</w:t>
      </w:r>
      <w:proofErr w:type="spellEnd"/>
      <w:r>
        <w:rPr>
          <w:rFonts w:asciiTheme="minorHAnsi" w:hAnsiTheme="minorHAnsi"/>
          <w:snapToGrid w:val="0"/>
          <w:lang w:val="en-GB"/>
        </w:rPr>
        <w:t xml:space="preserve"> indication.</w:t>
      </w:r>
    </w:p>
    <w:p w14:paraId="3EC17792" w14:textId="5234269C" w:rsidR="001D00E8" w:rsidRPr="00CE42B4" w:rsidRDefault="000B7F1C" w:rsidP="001D00E8">
      <w:pPr>
        <w:pStyle w:val="ListParagraph"/>
        <w:numPr>
          <w:ilvl w:val="1"/>
          <w:numId w:val="1"/>
        </w:numPr>
        <w:spacing w:after="240"/>
        <w:ind w:hanging="720"/>
        <w:jc w:val="left"/>
        <w:rPr>
          <w:rFonts w:asciiTheme="minorHAnsi" w:hAnsiTheme="minorHAnsi"/>
          <w:snapToGrid w:val="0"/>
          <w:lang w:val="en-GB" w:eastAsia="en-US"/>
        </w:rPr>
      </w:pPr>
      <w:r w:rsidRPr="000B7F1C">
        <w:rPr>
          <w:rFonts w:asciiTheme="minorHAnsi" w:hAnsiTheme="minorHAnsi"/>
          <w:snapToGrid w:val="0"/>
          <w:lang w:val="en-GB"/>
        </w:rPr>
        <w:t>The PBAC considered that, given its recommendation was on a cost minimisation</w:t>
      </w:r>
      <w:r>
        <w:rPr>
          <w:rFonts w:asciiTheme="minorHAnsi" w:hAnsiTheme="minorHAnsi"/>
          <w:snapToGrid w:val="0"/>
          <w:lang w:val="en-GB"/>
        </w:rPr>
        <w:t xml:space="preserve"> </w:t>
      </w:r>
      <w:r w:rsidRPr="000B7F1C">
        <w:rPr>
          <w:rFonts w:asciiTheme="minorHAnsi" w:hAnsiTheme="minorHAnsi"/>
          <w:snapToGrid w:val="0"/>
          <w:lang w:val="en-GB"/>
        </w:rPr>
        <w:t xml:space="preserve">basis to the least costly alternative </w:t>
      </w:r>
      <w:proofErr w:type="spellStart"/>
      <w:r w:rsidRPr="000B7F1C">
        <w:rPr>
          <w:rFonts w:asciiTheme="minorHAnsi" w:hAnsiTheme="minorHAnsi"/>
          <w:snapToGrid w:val="0"/>
          <w:lang w:val="en-GB"/>
        </w:rPr>
        <w:t>bDMARD</w:t>
      </w:r>
      <w:proofErr w:type="spellEnd"/>
      <w:r w:rsidRPr="000B7F1C">
        <w:rPr>
          <w:rFonts w:asciiTheme="minorHAnsi" w:hAnsiTheme="minorHAnsi"/>
          <w:snapToGrid w:val="0"/>
          <w:lang w:val="en-GB"/>
        </w:rPr>
        <w:t xml:space="preserve">, the listing of </w:t>
      </w:r>
      <w:r>
        <w:rPr>
          <w:rFonts w:asciiTheme="minorHAnsi" w:hAnsiTheme="minorHAnsi"/>
          <w:snapToGrid w:val="0"/>
          <w:lang w:val="en-GB"/>
        </w:rPr>
        <w:t xml:space="preserve">RIS for </w:t>
      </w:r>
      <w:proofErr w:type="spellStart"/>
      <w:r>
        <w:rPr>
          <w:rFonts w:asciiTheme="minorHAnsi" w:hAnsiTheme="minorHAnsi"/>
          <w:snapToGrid w:val="0"/>
          <w:lang w:val="en-GB"/>
        </w:rPr>
        <w:t>PsA</w:t>
      </w:r>
      <w:proofErr w:type="spellEnd"/>
      <w:r w:rsidRPr="000B7F1C">
        <w:rPr>
          <w:rFonts w:asciiTheme="minorHAnsi" w:hAnsiTheme="minorHAnsi"/>
          <w:snapToGrid w:val="0"/>
          <w:lang w:val="en-GB"/>
        </w:rPr>
        <w:t xml:space="preserve"> on this basis was likely to be cost neutral or modestly cost saving to the PBS, as it may also substitute for more costly </w:t>
      </w:r>
      <w:proofErr w:type="spellStart"/>
      <w:r w:rsidRPr="000B7F1C">
        <w:rPr>
          <w:rFonts w:asciiTheme="minorHAnsi" w:hAnsiTheme="minorHAnsi"/>
          <w:snapToGrid w:val="0"/>
          <w:lang w:val="en-GB"/>
        </w:rPr>
        <w:t>bDMARDs</w:t>
      </w:r>
      <w:proofErr w:type="spellEnd"/>
      <w:r w:rsidRPr="000B7F1C">
        <w:rPr>
          <w:rFonts w:asciiTheme="minorHAnsi" w:hAnsiTheme="minorHAnsi"/>
          <w:snapToGrid w:val="0"/>
          <w:lang w:val="en-GB"/>
        </w:rPr>
        <w:t xml:space="preserve">. </w:t>
      </w:r>
    </w:p>
    <w:p w14:paraId="66A2E911" w14:textId="7CB495B1" w:rsidR="001D00E8" w:rsidRPr="00525B39" w:rsidRDefault="001D00E8" w:rsidP="001D00E8">
      <w:pPr>
        <w:widowControl w:val="0"/>
        <w:numPr>
          <w:ilvl w:val="1"/>
          <w:numId w:val="1"/>
        </w:numPr>
        <w:spacing w:after="120"/>
        <w:ind w:left="720" w:hanging="720"/>
        <w:rPr>
          <w:rFonts w:asciiTheme="minorHAnsi" w:hAnsiTheme="minorHAnsi"/>
          <w:bCs/>
          <w:snapToGrid w:val="0"/>
          <w:lang w:val="en-GB"/>
        </w:rPr>
      </w:pPr>
      <w:r w:rsidRPr="00525B39">
        <w:rPr>
          <w:rFonts w:asciiTheme="minorHAnsi" w:hAnsiTheme="minorHAnsi"/>
          <w:bCs/>
          <w:snapToGrid w:val="0"/>
          <w:lang w:val="en-GB"/>
        </w:rPr>
        <w:lastRenderedPageBreak/>
        <w:t xml:space="preserve">The PBAC </w:t>
      </w:r>
      <w:r w:rsidR="00C22014">
        <w:rPr>
          <w:rFonts w:asciiTheme="minorHAnsi" w:hAnsiTheme="minorHAnsi"/>
          <w:bCs/>
          <w:snapToGrid w:val="0"/>
          <w:lang w:val="en-GB"/>
        </w:rPr>
        <w:t>advised</w:t>
      </w:r>
      <w:r w:rsidRPr="00525B39">
        <w:rPr>
          <w:rFonts w:asciiTheme="minorHAnsi" w:hAnsiTheme="minorHAnsi"/>
          <w:bCs/>
          <w:snapToGrid w:val="0"/>
          <w:lang w:val="en-GB"/>
        </w:rPr>
        <w:t xml:space="preserve"> </w:t>
      </w:r>
      <w:r w:rsidR="000B7F1C">
        <w:rPr>
          <w:rFonts w:asciiTheme="minorHAnsi" w:hAnsiTheme="minorHAnsi"/>
          <w:bCs/>
          <w:snapToGrid w:val="0"/>
          <w:lang w:val="en-GB"/>
        </w:rPr>
        <w:t xml:space="preserve">current </w:t>
      </w:r>
      <w:r w:rsidR="00C22014">
        <w:rPr>
          <w:rFonts w:asciiTheme="minorHAnsi" w:hAnsiTheme="minorHAnsi"/>
          <w:bCs/>
          <w:snapToGrid w:val="0"/>
          <w:lang w:val="en-GB"/>
        </w:rPr>
        <w:t>arrangements for RIS with regards to Nurse Practitioner prescribing and the Early Supply Rule remained appropriate.</w:t>
      </w:r>
    </w:p>
    <w:p w14:paraId="446424E3" w14:textId="7C24D69B" w:rsidR="001D00E8" w:rsidRPr="007D364B" w:rsidRDefault="001D00E8" w:rsidP="007D364B">
      <w:pPr>
        <w:widowControl w:val="0"/>
        <w:numPr>
          <w:ilvl w:val="1"/>
          <w:numId w:val="1"/>
        </w:numPr>
        <w:spacing w:after="120"/>
        <w:ind w:left="720" w:hanging="720"/>
        <w:rPr>
          <w:rFonts w:asciiTheme="minorHAnsi" w:hAnsiTheme="minorHAnsi"/>
          <w:b/>
          <w:bCs/>
          <w:lang w:val="en-GB"/>
        </w:rPr>
      </w:pPr>
      <w:r w:rsidRPr="00D121C5">
        <w:rPr>
          <w:rFonts w:asciiTheme="minorHAnsi" w:hAnsiTheme="minorHAnsi" w:cstheme="minorHAnsi"/>
          <w:lang w:val="en-GB"/>
        </w:rPr>
        <w:t xml:space="preserve">The PBAC noted that its recommendation was on a cost-minimisation basis and advised that, because </w:t>
      </w:r>
      <w:r w:rsidR="00C22014">
        <w:rPr>
          <w:rFonts w:asciiTheme="minorHAnsi" w:hAnsiTheme="minorHAnsi" w:cstheme="minorHAnsi"/>
          <w:lang w:val="en-GB"/>
        </w:rPr>
        <w:t xml:space="preserve">risankizumab </w:t>
      </w:r>
      <w:r w:rsidRPr="00D121C5">
        <w:rPr>
          <w:rFonts w:asciiTheme="minorHAnsi" w:hAnsiTheme="minorHAnsi" w:cstheme="minorHAnsi"/>
          <w:lang w:val="en-GB"/>
        </w:rPr>
        <w:t>is not expected to provide a 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sidR="00C22014">
        <w:rPr>
          <w:rFonts w:asciiTheme="minorHAnsi" w:hAnsiTheme="minorHAnsi"/>
          <w:bCs/>
          <w:lang w:val="en-GB"/>
        </w:rPr>
        <w:t xml:space="preserve">alternative </w:t>
      </w:r>
      <w:proofErr w:type="spellStart"/>
      <w:r w:rsidR="00C22014">
        <w:rPr>
          <w:rFonts w:asciiTheme="minorHAnsi" w:hAnsiTheme="minorHAnsi"/>
          <w:bCs/>
          <w:lang w:val="en-GB"/>
        </w:rPr>
        <w:t>bDMARDs</w:t>
      </w:r>
      <w:proofErr w:type="spellEnd"/>
      <w:r w:rsidR="00C22014">
        <w:rPr>
          <w:rFonts w:asciiTheme="minorHAnsi" w:hAnsiTheme="minorHAnsi"/>
          <w:bCs/>
          <w:lang w:val="en-GB"/>
        </w:rPr>
        <w:t xml:space="preserve"> </w:t>
      </w:r>
      <w:r w:rsidR="00C22014" w:rsidRPr="007D364B">
        <w:rPr>
          <w:rFonts w:asciiTheme="minorHAnsi" w:hAnsiTheme="minorHAnsi"/>
          <w:bCs/>
          <w:snapToGrid w:val="0"/>
          <w:lang w:val="en-GB"/>
        </w:rPr>
        <w:t>for</w:t>
      </w:r>
      <w:r w:rsidR="00C22014">
        <w:rPr>
          <w:rFonts w:asciiTheme="minorHAnsi" w:hAnsiTheme="minorHAnsi"/>
          <w:bCs/>
          <w:lang w:val="en-GB"/>
        </w:rPr>
        <w:t xml:space="preserve"> this indication </w:t>
      </w:r>
      <w:r w:rsidRPr="00531A05">
        <w:rPr>
          <w:rFonts w:asciiTheme="minorHAnsi" w:hAnsiTheme="minorHAnsi"/>
          <w:bCs/>
          <w:lang w:val="en-GB"/>
        </w:rPr>
        <w:t xml:space="preserve">or not expected to address a high and urgent unmet clinical need given the presence of an alternative therapy, the criteria prescribed by the </w:t>
      </w:r>
      <w:r w:rsidRPr="007A5703">
        <w:rPr>
          <w:rFonts w:asciiTheme="minorHAnsi" w:hAnsiTheme="minorHAnsi"/>
          <w:bCs/>
          <w:i/>
          <w:lang w:val="en-GB"/>
        </w:rPr>
        <w:t>National Health (Pharmaceuticals and Vaccines – Cost Recovery) Regulations 2009</w:t>
      </w:r>
      <w:r w:rsidRPr="00531A05">
        <w:rPr>
          <w:rFonts w:asciiTheme="minorHAnsi" w:hAnsiTheme="minorHAnsi"/>
          <w:bCs/>
          <w:lang w:val="en-GB"/>
        </w:rPr>
        <w:t xml:space="preserve"> for Pricing Pathway A were not met.</w:t>
      </w:r>
    </w:p>
    <w:p w14:paraId="7993EE70" w14:textId="414A00B8" w:rsidR="00C22014" w:rsidRPr="00525B39" w:rsidRDefault="001D00E8" w:rsidP="007D364B">
      <w:pPr>
        <w:widowControl w:val="0"/>
        <w:numPr>
          <w:ilvl w:val="1"/>
          <w:numId w:val="1"/>
        </w:numPr>
        <w:spacing w:after="120"/>
        <w:ind w:left="720" w:hanging="7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sidR="00C22014">
        <w:rPr>
          <w:rFonts w:asciiTheme="minorHAnsi" w:hAnsiTheme="minorHAnsi"/>
          <w:bCs/>
          <w:snapToGrid w:val="0"/>
          <w:lang w:val="en-GB"/>
        </w:rPr>
        <w:t xml:space="preserve"> as it received a </w:t>
      </w:r>
      <w:r w:rsidR="00C22014" w:rsidRPr="007D364B">
        <w:rPr>
          <w:rFonts w:asciiTheme="minorHAnsi" w:hAnsiTheme="minorHAnsi"/>
          <w:bCs/>
          <w:lang w:val="en-GB"/>
        </w:rPr>
        <w:t>positive</w:t>
      </w:r>
      <w:r w:rsidR="00C22014">
        <w:rPr>
          <w:rFonts w:asciiTheme="minorHAnsi" w:hAnsiTheme="minorHAnsi"/>
          <w:bCs/>
          <w:snapToGrid w:val="0"/>
          <w:lang w:val="en-GB"/>
        </w:rPr>
        <w:t xml:space="preserve"> recommendation</w:t>
      </w:r>
      <w:r w:rsidRPr="00525B39">
        <w:rPr>
          <w:rFonts w:asciiTheme="minorHAnsi" w:hAnsiTheme="minorHAnsi"/>
          <w:bCs/>
          <w:snapToGrid w:val="0"/>
          <w:lang w:val="en-GB"/>
        </w:rPr>
        <w:t xml:space="preserve">. </w:t>
      </w:r>
    </w:p>
    <w:p w14:paraId="74C0772F" w14:textId="77777777" w:rsidR="001D00E8" w:rsidRPr="00525B39" w:rsidRDefault="001D00E8" w:rsidP="001D00E8">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70842D1" w14:textId="31B07CDB" w:rsidR="001D00E8" w:rsidRPr="00A117B2" w:rsidRDefault="001D00E8" w:rsidP="00A117B2">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31"/>
    <w:p w14:paraId="3F056EA7" w14:textId="5F969C57" w:rsidR="001D00E8" w:rsidRPr="00A117B2" w:rsidRDefault="001D00E8" w:rsidP="00A117B2">
      <w:pPr>
        <w:pStyle w:val="2-SectionHeading"/>
        <w:numPr>
          <w:ilvl w:val="0"/>
          <w:numId w:val="1"/>
        </w:numPr>
      </w:pPr>
      <w:r w:rsidRPr="00A117B2">
        <w:t>Recommended listing</w:t>
      </w:r>
    </w:p>
    <w:p w14:paraId="268ACBAD" w14:textId="7795EAAB" w:rsidR="001D00E8" w:rsidRPr="00E832EF" w:rsidRDefault="001D00E8" w:rsidP="00E832EF">
      <w:pPr>
        <w:widowControl w:val="0"/>
        <w:numPr>
          <w:ilvl w:val="1"/>
          <w:numId w:val="1"/>
        </w:numPr>
        <w:spacing w:after="120"/>
        <w:ind w:left="720" w:hanging="720"/>
        <w:contextualSpacing/>
        <w:rPr>
          <w:rFonts w:asciiTheme="minorHAnsi" w:hAnsiTheme="minorHAnsi"/>
          <w:b/>
          <w:bCs/>
          <w:snapToGrid w:val="0"/>
        </w:rPr>
      </w:pPr>
      <w:r w:rsidRPr="00E832EF">
        <w:rPr>
          <w:rFonts w:asciiTheme="minorHAnsi" w:hAnsiTheme="minorHAnsi"/>
          <w:bCs/>
          <w:snapToGrid w:val="0"/>
        </w:rPr>
        <w:t>Add new item:</w:t>
      </w:r>
    </w:p>
    <w:bookmarkEnd w:id="32"/>
    <w:p w14:paraId="6E5B9D88" w14:textId="36033F63" w:rsidR="001D00E8" w:rsidRDefault="001D00E8" w:rsidP="001D00E8">
      <w:pPr>
        <w:widowControl w:val="0"/>
        <w:pBdr>
          <w:bottom w:val="single" w:sz="4" w:space="1" w:color="auto"/>
        </w:pBdr>
        <w:rPr>
          <w:rFonts w:asciiTheme="minorHAnsi" w:hAnsiTheme="minorHAnsi"/>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134"/>
        <w:gridCol w:w="1984"/>
        <w:gridCol w:w="1560"/>
        <w:gridCol w:w="850"/>
        <w:gridCol w:w="709"/>
        <w:gridCol w:w="709"/>
        <w:gridCol w:w="1842"/>
      </w:tblGrid>
      <w:tr w:rsidR="00360D5B" w:rsidRPr="008048B3" w14:paraId="2BBC36AC" w14:textId="77777777" w:rsidTr="00560E48">
        <w:trPr>
          <w:cantSplit/>
          <w:trHeight w:val="471"/>
        </w:trPr>
        <w:tc>
          <w:tcPr>
            <w:tcW w:w="3397" w:type="dxa"/>
            <w:gridSpan w:val="3"/>
          </w:tcPr>
          <w:p w14:paraId="0E02A4BD" w14:textId="77777777" w:rsidR="00360D5B" w:rsidRPr="00A117B2" w:rsidRDefault="00360D5B" w:rsidP="00560E48">
            <w:pPr>
              <w:keepNext/>
              <w:tabs>
                <w:tab w:val="left" w:pos="1920"/>
              </w:tabs>
              <w:ind w:left="-57"/>
              <w:rPr>
                <w:rFonts w:ascii="Arial Narrow" w:eastAsia="Calibri" w:hAnsi="Arial Narrow"/>
                <w:b/>
                <w:bCs/>
                <w:sz w:val="20"/>
                <w:szCs w:val="20"/>
              </w:rPr>
            </w:pPr>
            <w:bookmarkStart w:id="33" w:name="_Hlk81232621"/>
            <w:r w:rsidRPr="00A117B2">
              <w:rPr>
                <w:rFonts w:ascii="Arial Narrow" w:eastAsia="Calibri" w:hAnsi="Arial Narrow"/>
                <w:b/>
                <w:bCs/>
                <w:sz w:val="20"/>
                <w:szCs w:val="20"/>
              </w:rPr>
              <w:t>MEDICINAL PRODUCT</w:t>
            </w:r>
            <w:r w:rsidRPr="00A117B2">
              <w:rPr>
                <w:rFonts w:ascii="Arial Narrow" w:eastAsia="Calibri" w:hAnsi="Arial Narrow"/>
                <w:b/>
                <w:bCs/>
                <w:sz w:val="20"/>
                <w:szCs w:val="20"/>
              </w:rPr>
              <w:tab/>
            </w:r>
          </w:p>
          <w:p w14:paraId="1676B02B" w14:textId="77777777" w:rsidR="00360D5B" w:rsidRPr="00A117B2" w:rsidRDefault="00360D5B" w:rsidP="00560E48">
            <w:pPr>
              <w:keepNext/>
              <w:ind w:left="-57"/>
              <w:rPr>
                <w:rFonts w:ascii="Arial Narrow" w:eastAsia="Calibri" w:hAnsi="Arial Narrow"/>
                <w:b/>
                <w:sz w:val="20"/>
                <w:szCs w:val="20"/>
              </w:rPr>
            </w:pPr>
            <w:r w:rsidRPr="00A117B2">
              <w:rPr>
                <w:rFonts w:ascii="Arial Narrow" w:eastAsia="Calibri" w:hAnsi="Arial Narrow"/>
                <w:b/>
                <w:bCs/>
                <w:sz w:val="20"/>
                <w:szCs w:val="20"/>
              </w:rPr>
              <w:t>medicinal product pack</w:t>
            </w:r>
          </w:p>
        </w:tc>
        <w:tc>
          <w:tcPr>
            <w:tcW w:w="1560" w:type="dxa"/>
          </w:tcPr>
          <w:p w14:paraId="62511C5D" w14:textId="77777777" w:rsidR="00360D5B" w:rsidRPr="00A117B2" w:rsidRDefault="00360D5B" w:rsidP="00560E48">
            <w:pPr>
              <w:keepNext/>
              <w:ind w:left="-108"/>
              <w:jc w:val="center"/>
              <w:rPr>
                <w:rFonts w:ascii="Arial Narrow" w:eastAsia="Calibri" w:hAnsi="Arial Narrow"/>
                <w:b/>
                <w:sz w:val="20"/>
                <w:szCs w:val="20"/>
              </w:rPr>
            </w:pPr>
            <w:r w:rsidRPr="00A117B2">
              <w:rPr>
                <w:rFonts w:ascii="Arial Narrow" w:eastAsia="Calibri" w:hAnsi="Arial Narrow"/>
                <w:b/>
                <w:sz w:val="20"/>
                <w:szCs w:val="20"/>
              </w:rPr>
              <w:t>PBS item code</w:t>
            </w:r>
          </w:p>
        </w:tc>
        <w:tc>
          <w:tcPr>
            <w:tcW w:w="850" w:type="dxa"/>
          </w:tcPr>
          <w:p w14:paraId="5CBA0535" w14:textId="77777777" w:rsidR="00360D5B" w:rsidRPr="00A117B2" w:rsidRDefault="00360D5B" w:rsidP="00560E48">
            <w:pPr>
              <w:keepNext/>
              <w:ind w:left="-108"/>
              <w:jc w:val="center"/>
              <w:rPr>
                <w:rFonts w:ascii="Arial Narrow" w:eastAsia="Calibri" w:hAnsi="Arial Narrow"/>
                <w:b/>
                <w:sz w:val="20"/>
                <w:szCs w:val="20"/>
              </w:rPr>
            </w:pPr>
            <w:r w:rsidRPr="00A117B2">
              <w:rPr>
                <w:rFonts w:ascii="Arial Narrow" w:eastAsia="Calibri" w:hAnsi="Arial Narrow"/>
                <w:b/>
                <w:sz w:val="20"/>
                <w:szCs w:val="20"/>
              </w:rPr>
              <w:t>Max. qty packs</w:t>
            </w:r>
          </w:p>
        </w:tc>
        <w:tc>
          <w:tcPr>
            <w:tcW w:w="709" w:type="dxa"/>
          </w:tcPr>
          <w:p w14:paraId="6766B1E5" w14:textId="77777777" w:rsidR="00360D5B" w:rsidRPr="00A117B2" w:rsidRDefault="00360D5B" w:rsidP="00560E48">
            <w:pPr>
              <w:keepNext/>
              <w:ind w:left="-108"/>
              <w:jc w:val="center"/>
              <w:rPr>
                <w:rFonts w:ascii="Arial Narrow" w:eastAsia="Calibri" w:hAnsi="Arial Narrow"/>
                <w:b/>
                <w:sz w:val="20"/>
                <w:szCs w:val="20"/>
              </w:rPr>
            </w:pPr>
            <w:r w:rsidRPr="00A117B2">
              <w:rPr>
                <w:rFonts w:ascii="Arial Narrow" w:eastAsia="Calibri" w:hAnsi="Arial Narrow"/>
                <w:b/>
                <w:sz w:val="20"/>
                <w:szCs w:val="20"/>
              </w:rPr>
              <w:t>Max. qty units</w:t>
            </w:r>
          </w:p>
        </w:tc>
        <w:tc>
          <w:tcPr>
            <w:tcW w:w="709" w:type="dxa"/>
          </w:tcPr>
          <w:p w14:paraId="69C390C1" w14:textId="77777777" w:rsidR="00360D5B" w:rsidRPr="00A117B2" w:rsidRDefault="00360D5B" w:rsidP="00560E48">
            <w:pPr>
              <w:keepNext/>
              <w:ind w:left="-108"/>
              <w:jc w:val="center"/>
              <w:rPr>
                <w:rFonts w:ascii="Arial Narrow" w:eastAsia="Calibri" w:hAnsi="Arial Narrow"/>
                <w:b/>
                <w:sz w:val="20"/>
                <w:szCs w:val="20"/>
              </w:rPr>
            </w:pPr>
            <w:proofErr w:type="gramStart"/>
            <w:r w:rsidRPr="00A117B2">
              <w:rPr>
                <w:rFonts w:ascii="Arial Narrow" w:eastAsia="Calibri" w:hAnsi="Arial Narrow"/>
                <w:b/>
                <w:sz w:val="20"/>
                <w:szCs w:val="20"/>
              </w:rPr>
              <w:t>№.of</w:t>
            </w:r>
            <w:proofErr w:type="gramEnd"/>
          </w:p>
          <w:p w14:paraId="0E9531E7" w14:textId="77777777" w:rsidR="00360D5B" w:rsidRPr="00A117B2" w:rsidRDefault="00360D5B" w:rsidP="00560E48">
            <w:pPr>
              <w:keepNext/>
              <w:ind w:left="-108"/>
              <w:jc w:val="center"/>
              <w:rPr>
                <w:rFonts w:ascii="Arial Narrow" w:eastAsia="Calibri" w:hAnsi="Arial Narrow"/>
                <w:b/>
                <w:sz w:val="20"/>
                <w:szCs w:val="20"/>
              </w:rPr>
            </w:pPr>
            <w:proofErr w:type="spellStart"/>
            <w:r w:rsidRPr="00A117B2">
              <w:rPr>
                <w:rFonts w:ascii="Arial Narrow" w:eastAsia="Calibri" w:hAnsi="Arial Narrow"/>
                <w:b/>
                <w:sz w:val="20"/>
                <w:szCs w:val="20"/>
              </w:rPr>
              <w:t>Rpts</w:t>
            </w:r>
            <w:proofErr w:type="spellEnd"/>
          </w:p>
        </w:tc>
        <w:tc>
          <w:tcPr>
            <w:tcW w:w="1842" w:type="dxa"/>
          </w:tcPr>
          <w:p w14:paraId="0CA83314" w14:textId="77777777" w:rsidR="00360D5B" w:rsidRPr="00A117B2" w:rsidRDefault="00360D5B" w:rsidP="00560E48">
            <w:pPr>
              <w:keepNext/>
              <w:rPr>
                <w:rFonts w:ascii="Arial Narrow" w:eastAsia="Calibri" w:hAnsi="Arial Narrow"/>
                <w:b/>
                <w:sz w:val="20"/>
                <w:szCs w:val="20"/>
                <w:lang w:val="fr-FR"/>
              </w:rPr>
            </w:pPr>
            <w:r w:rsidRPr="00A117B2">
              <w:rPr>
                <w:rFonts w:ascii="Arial Narrow" w:eastAsia="Calibri" w:hAnsi="Arial Narrow"/>
                <w:b/>
                <w:sz w:val="20"/>
                <w:szCs w:val="20"/>
              </w:rPr>
              <w:t>Available brands</w:t>
            </w:r>
          </w:p>
        </w:tc>
      </w:tr>
      <w:tr w:rsidR="00360D5B" w:rsidRPr="008048B3" w14:paraId="44BA3389" w14:textId="77777777" w:rsidTr="00560E48">
        <w:trPr>
          <w:cantSplit/>
          <w:trHeight w:val="224"/>
        </w:trPr>
        <w:tc>
          <w:tcPr>
            <w:tcW w:w="9067" w:type="dxa"/>
            <w:gridSpan w:val="8"/>
          </w:tcPr>
          <w:p w14:paraId="6E8A24FF" w14:textId="77777777" w:rsidR="00360D5B" w:rsidRPr="00A117B2" w:rsidRDefault="00360D5B" w:rsidP="00560E48">
            <w:pPr>
              <w:keepNext/>
              <w:ind w:left="-57"/>
              <w:rPr>
                <w:rFonts w:ascii="Arial Narrow" w:eastAsia="Calibri" w:hAnsi="Arial Narrow"/>
                <w:sz w:val="20"/>
                <w:szCs w:val="20"/>
              </w:rPr>
            </w:pPr>
            <w:r w:rsidRPr="00A117B2">
              <w:rPr>
                <w:rFonts w:ascii="Arial Narrow" w:eastAsia="Calibri" w:hAnsi="Arial Narrow"/>
                <w:sz w:val="20"/>
                <w:szCs w:val="20"/>
              </w:rPr>
              <w:t>RISANKIZUMAB</w:t>
            </w:r>
          </w:p>
        </w:tc>
      </w:tr>
      <w:tr w:rsidR="00360D5B" w:rsidRPr="008048B3" w14:paraId="24C596F6" w14:textId="77777777" w:rsidTr="00560E48">
        <w:trPr>
          <w:cantSplit/>
          <w:trHeight w:val="339"/>
        </w:trPr>
        <w:tc>
          <w:tcPr>
            <w:tcW w:w="3397" w:type="dxa"/>
            <w:gridSpan w:val="3"/>
          </w:tcPr>
          <w:p w14:paraId="3657F400" w14:textId="77777777" w:rsidR="00360D5B" w:rsidRPr="00A117B2" w:rsidRDefault="00360D5B" w:rsidP="00560E48">
            <w:pPr>
              <w:keepNext/>
              <w:ind w:left="-57"/>
              <w:rPr>
                <w:rFonts w:ascii="Arial Narrow" w:eastAsia="Calibri" w:hAnsi="Arial Narrow"/>
                <w:sz w:val="20"/>
                <w:szCs w:val="20"/>
              </w:rPr>
            </w:pPr>
            <w:r w:rsidRPr="00A117B2">
              <w:rPr>
                <w:rFonts w:ascii="Arial Narrow" w:eastAsia="Calibri" w:hAnsi="Arial Narrow"/>
                <w:sz w:val="20"/>
                <w:szCs w:val="20"/>
              </w:rPr>
              <w:t>risankizumab 150 mg/1 mL injection, 1 x 1 mL syringe</w:t>
            </w:r>
          </w:p>
        </w:tc>
        <w:tc>
          <w:tcPr>
            <w:tcW w:w="1560" w:type="dxa"/>
          </w:tcPr>
          <w:p w14:paraId="673866AF" w14:textId="77777777" w:rsidR="00360D5B" w:rsidRPr="00A117B2" w:rsidRDefault="00360D5B" w:rsidP="00560E48">
            <w:pPr>
              <w:keepNext/>
              <w:jc w:val="center"/>
              <w:rPr>
                <w:rFonts w:ascii="Arial Narrow" w:eastAsia="Calibri" w:hAnsi="Arial Narrow"/>
                <w:sz w:val="20"/>
                <w:szCs w:val="20"/>
              </w:rPr>
            </w:pPr>
            <w:r w:rsidRPr="00A117B2">
              <w:rPr>
                <w:rFonts w:ascii="Arial Narrow" w:eastAsia="Calibri" w:hAnsi="Arial Narrow"/>
                <w:sz w:val="20"/>
                <w:szCs w:val="20"/>
              </w:rPr>
              <w:t>NEW</w:t>
            </w:r>
          </w:p>
        </w:tc>
        <w:tc>
          <w:tcPr>
            <w:tcW w:w="850" w:type="dxa"/>
          </w:tcPr>
          <w:p w14:paraId="79C83ABC" w14:textId="77777777" w:rsidR="00360D5B" w:rsidRPr="00A117B2" w:rsidRDefault="00360D5B" w:rsidP="00560E48">
            <w:pPr>
              <w:keepNext/>
              <w:jc w:val="center"/>
              <w:rPr>
                <w:rFonts w:ascii="Arial Narrow" w:eastAsia="Calibri" w:hAnsi="Arial Narrow"/>
                <w:sz w:val="20"/>
                <w:szCs w:val="20"/>
              </w:rPr>
            </w:pPr>
            <w:r w:rsidRPr="00A117B2">
              <w:rPr>
                <w:rFonts w:ascii="Arial Narrow" w:eastAsia="Calibri" w:hAnsi="Arial Narrow"/>
                <w:sz w:val="20"/>
                <w:szCs w:val="20"/>
              </w:rPr>
              <w:t>1</w:t>
            </w:r>
          </w:p>
        </w:tc>
        <w:tc>
          <w:tcPr>
            <w:tcW w:w="709" w:type="dxa"/>
          </w:tcPr>
          <w:p w14:paraId="11824578" w14:textId="77777777" w:rsidR="00360D5B" w:rsidRPr="00A117B2" w:rsidRDefault="00360D5B" w:rsidP="00560E48">
            <w:pPr>
              <w:keepNext/>
              <w:jc w:val="center"/>
              <w:rPr>
                <w:rFonts w:ascii="Arial Narrow" w:eastAsia="Calibri" w:hAnsi="Arial Narrow"/>
                <w:i/>
                <w:iCs/>
                <w:sz w:val="20"/>
                <w:szCs w:val="20"/>
              </w:rPr>
            </w:pPr>
            <w:r w:rsidRPr="00A117B2">
              <w:rPr>
                <w:rFonts w:ascii="Arial Narrow" w:eastAsia="Calibri" w:hAnsi="Arial Narrow"/>
                <w:sz w:val="20"/>
                <w:szCs w:val="20"/>
              </w:rPr>
              <w:t xml:space="preserve">1 </w:t>
            </w:r>
          </w:p>
        </w:tc>
        <w:tc>
          <w:tcPr>
            <w:tcW w:w="709" w:type="dxa"/>
          </w:tcPr>
          <w:p w14:paraId="4DAFDA25" w14:textId="77777777" w:rsidR="00360D5B" w:rsidRPr="00A117B2" w:rsidRDefault="00360D5B" w:rsidP="00560E48">
            <w:pPr>
              <w:keepNext/>
              <w:jc w:val="center"/>
              <w:rPr>
                <w:rFonts w:ascii="Arial Narrow" w:eastAsia="Calibri" w:hAnsi="Arial Narrow"/>
                <w:i/>
                <w:iCs/>
                <w:sz w:val="20"/>
                <w:szCs w:val="20"/>
              </w:rPr>
            </w:pPr>
            <w:r w:rsidRPr="00A117B2">
              <w:rPr>
                <w:rFonts w:ascii="Arial Narrow" w:eastAsia="Calibri" w:hAnsi="Arial Narrow"/>
                <w:sz w:val="20"/>
                <w:szCs w:val="20"/>
              </w:rPr>
              <w:t xml:space="preserve">2 </w:t>
            </w:r>
          </w:p>
        </w:tc>
        <w:tc>
          <w:tcPr>
            <w:tcW w:w="1842" w:type="dxa"/>
          </w:tcPr>
          <w:p w14:paraId="6E509734" w14:textId="77777777" w:rsidR="00360D5B" w:rsidRPr="00A117B2" w:rsidRDefault="00360D5B" w:rsidP="00560E48">
            <w:pPr>
              <w:keepNext/>
              <w:rPr>
                <w:rFonts w:ascii="Arial Narrow" w:eastAsia="Calibri" w:hAnsi="Arial Narrow"/>
                <w:sz w:val="20"/>
                <w:szCs w:val="20"/>
              </w:rPr>
            </w:pPr>
            <w:proofErr w:type="spellStart"/>
            <w:r w:rsidRPr="00A117B2">
              <w:rPr>
                <w:rFonts w:ascii="Arial Narrow" w:eastAsia="Calibri" w:hAnsi="Arial Narrow"/>
                <w:sz w:val="20"/>
                <w:szCs w:val="20"/>
              </w:rPr>
              <w:t>Skyrizi</w:t>
            </w:r>
            <w:proofErr w:type="spellEnd"/>
            <w:r w:rsidRPr="00A117B2">
              <w:rPr>
                <w:rFonts w:ascii="Arial Narrow" w:eastAsia="Calibri" w:hAnsi="Arial Narrow"/>
                <w:i/>
                <w:sz w:val="20"/>
                <w:szCs w:val="20"/>
              </w:rPr>
              <w:t xml:space="preserve"> </w:t>
            </w:r>
          </w:p>
        </w:tc>
      </w:tr>
      <w:bookmarkEnd w:id="33"/>
      <w:tr w:rsidR="00360D5B" w:rsidRPr="008048B3" w14:paraId="00FEFFAE"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4B3D1297" w14:textId="77777777" w:rsidR="00360D5B" w:rsidRPr="00A117B2" w:rsidRDefault="00360D5B" w:rsidP="00560E48">
            <w:pPr>
              <w:rPr>
                <w:rFonts w:ascii="Arial Narrow" w:eastAsia="Calibri" w:hAnsi="Arial Narrow"/>
                <w:sz w:val="20"/>
                <w:szCs w:val="20"/>
              </w:rPr>
            </w:pPr>
          </w:p>
        </w:tc>
      </w:tr>
      <w:tr w:rsidR="00360D5B" w:rsidRPr="008048B3" w14:paraId="02E6EFF6"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1A35B00" w14:textId="0F6BB0EC" w:rsidR="00360D5B" w:rsidRPr="00A117B2" w:rsidRDefault="00360D5B" w:rsidP="00560E48">
            <w:pPr>
              <w:rPr>
                <w:rFonts w:ascii="Arial Narrow" w:eastAsia="Calibri" w:hAnsi="Arial Narrow"/>
                <w:b/>
                <w:sz w:val="20"/>
                <w:szCs w:val="20"/>
              </w:rPr>
            </w:pPr>
            <w:r w:rsidRPr="00A117B2">
              <w:rPr>
                <w:rFonts w:ascii="Arial Narrow" w:eastAsia="Calibri" w:hAnsi="Arial Narrow" w:cs="Times New Roman"/>
                <w:b/>
                <w:sz w:val="20"/>
                <w:szCs w:val="20"/>
              </w:rPr>
              <w:t xml:space="preserve">Base listing on Restriction </w:t>
            </w:r>
            <w:proofErr w:type="gramStart"/>
            <w:r w:rsidRPr="00A117B2">
              <w:rPr>
                <w:rFonts w:ascii="Arial Narrow" w:eastAsia="Calibri" w:hAnsi="Arial Narrow" w:cs="Times New Roman"/>
                <w:b/>
                <w:sz w:val="20"/>
                <w:szCs w:val="20"/>
              </w:rPr>
              <w:t>Summary</w:t>
            </w:r>
            <w:r w:rsidRPr="00A117B2">
              <w:rPr>
                <w:rFonts w:ascii="Arial Narrow" w:eastAsia="Calibri" w:hAnsi="Arial Narrow" w:cs="Times New Roman"/>
                <w:b/>
                <w:i/>
                <w:iCs/>
                <w:sz w:val="20"/>
                <w:szCs w:val="20"/>
              </w:rPr>
              <w:t xml:space="preserve">  /</w:t>
            </w:r>
            <w:proofErr w:type="gramEnd"/>
            <w:r w:rsidRPr="00A117B2">
              <w:rPr>
                <w:rFonts w:ascii="Arial Narrow" w:eastAsia="Calibri" w:hAnsi="Arial Narrow" w:cs="Times New Roman"/>
                <w:b/>
                <w:sz w:val="20"/>
                <w:szCs w:val="20"/>
              </w:rPr>
              <w:t xml:space="preserve"> </w:t>
            </w:r>
            <w:proofErr w:type="spellStart"/>
            <w:r w:rsidRPr="00A117B2">
              <w:rPr>
                <w:rFonts w:ascii="Arial Narrow" w:eastAsia="Calibri" w:hAnsi="Arial Narrow" w:cs="Times New Roman"/>
                <w:b/>
                <w:sz w:val="20"/>
                <w:szCs w:val="20"/>
              </w:rPr>
              <w:t>ToC</w:t>
            </w:r>
            <w:proofErr w:type="spellEnd"/>
            <w:r w:rsidRPr="00A117B2">
              <w:rPr>
                <w:rFonts w:ascii="Arial Narrow" w:eastAsia="Calibri" w:hAnsi="Arial Narrow" w:cs="Times New Roman"/>
                <w:b/>
                <w:sz w:val="20"/>
                <w:szCs w:val="20"/>
              </w:rPr>
              <w:t xml:space="preserve">: </w:t>
            </w:r>
          </w:p>
        </w:tc>
      </w:tr>
      <w:tr w:rsidR="00360D5B" w:rsidRPr="008048B3" w14:paraId="06A53AA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val="restart"/>
            <w:tcBorders>
              <w:top w:val="single" w:sz="4" w:space="0" w:color="auto"/>
              <w:left w:val="single" w:sz="4" w:space="0" w:color="auto"/>
              <w:right w:val="single" w:sz="4" w:space="0" w:color="auto"/>
            </w:tcBorders>
          </w:tcPr>
          <w:p w14:paraId="704A3082" w14:textId="1CF9C3D5" w:rsidR="00360D5B" w:rsidRPr="00A117B2" w:rsidRDefault="00360D5B" w:rsidP="00560E48">
            <w:pPr>
              <w:jc w:val="center"/>
              <w:rPr>
                <w:rFonts w:ascii="Arial Narrow" w:eastAsia="Calibri" w:hAnsi="Arial Narrow"/>
                <w:b/>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6933E356" w14:textId="294F4310"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Category / Program: </w:t>
            </w:r>
            <w:r w:rsidRPr="00A117B2">
              <w:rPr>
                <w:rFonts w:ascii="Arial Narrow" w:eastAsia="Calibri" w:hAnsi="Arial Narrow"/>
                <w:sz w:val="20"/>
                <w:szCs w:val="20"/>
              </w:rPr>
              <w:t>GENERAL – General Schedule (Code GE)</w:t>
            </w:r>
            <w:r w:rsidRPr="00A117B2">
              <w:rPr>
                <w:rFonts w:ascii="Arial Narrow" w:eastAsia="Calibri" w:hAnsi="Arial Narrow"/>
                <w:color w:val="FF0000"/>
                <w:sz w:val="20"/>
                <w:szCs w:val="20"/>
              </w:rPr>
              <w:t xml:space="preserve"> </w:t>
            </w:r>
          </w:p>
        </w:tc>
      </w:tr>
      <w:tr w:rsidR="00360D5B" w:rsidRPr="008048B3" w14:paraId="13A239DB" w14:textId="77777777" w:rsidTr="00560E48">
        <w:tblPrEx>
          <w:tblCellMar>
            <w:top w:w="15" w:type="dxa"/>
            <w:left w:w="15" w:type="dxa"/>
            <w:bottom w:w="15" w:type="dxa"/>
            <w:right w:w="15" w:type="dxa"/>
          </w:tblCellMar>
          <w:tblLook w:val="04A0" w:firstRow="1" w:lastRow="0" w:firstColumn="1" w:lastColumn="0" w:noHBand="0" w:noVBand="1"/>
        </w:tblPrEx>
        <w:trPr>
          <w:trHeight w:val="240"/>
        </w:trPr>
        <w:tc>
          <w:tcPr>
            <w:tcW w:w="1413" w:type="dxa"/>
            <w:gridSpan w:val="2"/>
            <w:vMerge/>
            <w:tcBorders>
              <w:left w:val="single" w:sz="4" w:space="0" w:color="auto"/>
              <w:right w:val="single" w:sz="4" w:space="0" w:color="auto"/>
            </w:tcBorders>
          </w:tcPr>
          <w:p w14:paraId="0BC8CFEC"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31DD58BE" w14:textId="77777777" w:rsidR="00360D5B" w:rsidRPr="00A117B2" w:rsidRDefault="00360D5B" w:rsidP="00560E48">
            <w:pPr>
              <w:rPr>
                <w:rFonts w:ascii="Arial Narrow" w:eastAsia="Calibri" w:hAnsi="Arial Narrow"/>
                <w:b/>
                <w:sz w:val="20"/>
                <w:szCs w:val="20"/>
              </w:rPr>
            </w:pPr>
            <w:r w:rsidRPr="00A117B2">
              <w:rPr>
                <w:rFonts w:ascii="Arial Narrow" w:eastAsia="Calibri" w:hAnsi="Arial Narrow"/>
                <w:b/>
                <w:sz w:val="20"/>
                <w:szCs w:val="20"/>
              </w:rPr>
              <w:t xml:space="preserve">Prescriber type: </w:t>
            </w:r>
            <w:r w:rsidRPr="00A117B2">
              <w:rPr>
                <w:rFonts w:ascii="Arial Narrow" w:eastAsia="Calibri" w:hAnsi="Arial Narrow"/>
                <w:sz w:val="20"/>
                <w:szCs w:val="20"/>
              </w:rPr>
              <w:fldChar w:fldCharType="begin">
                <w:ffData>
                  <w:name w:val=""/>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Medical Practitioners</w:t>
            </w:r>
          </w:p>
        </w:tc>
      </w:tr>
      <w:tr w:rsidR="00360D5B" w:rsidRPr="008048B3" w14:paraId="26513BE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tcBorders>
              <w:left w:val="single" w:sz="4" w:space="0" w:color="auto"/>
              <w:bottom w:val="single" w:sz="4" w:space="0" w:color="auto"/>
              <w:right w:val="single" w:sz="4" w:space="0" w:color="auto"/>
            </w:tcBorders>
          </w:tcPr>
          <w:p w14:paraId="51924F50"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74F99836" w14:textId="77777777" w:rsidR="00360D5B" w:rsidRPr="00A117B2" w:rsidRDefault="00360D5B" w:rsidP="00560E48">
            <w:pPr>
              <w:rPr>
                <w:rFonts w:ascii="Arial Narrow" w:eastAsia="Calibri" w:hAnsi="Arial Narrow"/>
                <w:strike/>
                <w:sz w:val="20"/>
                <w:szCs w:val="20"/>
              </w:rPr>
            </w:pPr>
            <w:r w:rsidRPr="00A117B2">
              <w:rPr>
                <w:rFonts w:ascii="Arial Narrow" w:eastAsia="Calibri" w:hAnsi="Arial Narrow"/>
                <w:b/>
                <w:sz w:val="20"/>
                <w:szCs w:val="20"/>
              </w:rPr>
              <w:t xml:space="preserve">Restriction type: </w:t>
            </w:r>
            <w:r w:rsidRPr="00A117B2">
              <w:rPr>
                <w:rFonts w:ascii="Arial Narrow" w:eastAsia="Calibri" w:hAnsi="Arial Narrow"/>
                <w:sz w:val="20"/>
                <w:szCs w:val="20"/>
              </w:rPr>
              <w:fldChar w:fldCharType="begin">
                <w:ffData>
                  <w:name w:val=""/>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Authority Required (in-writing only via post/HPOS upload)</w:t>
            </w:r>
          </w:p>
        </w:tc>
      </w:tr>
      <w:tr w:rsidR="00360D5B" w:rsidRPr="008048B3" w14:paraId="671EF636"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15735F70" w14:textId="34DA7A47" w:rsidR="00360D5B" w:rsidRPr="00A117B2" w:rsidRDefault="00360D5B" w:rsidP="00560E48">
            <w:pPr>
              <w:ind w:left="113" w:right="113"/>
              <w:rPr>
                <w:rFonts w:ascii="Arial Narrow" w:eastAsia="Calibri" w:hAnsi="Arial Narrow"/>
                <w:sz w:val="20"/>
                <w:szCs w:val="20"/>
              </w:rPr>
            </w:pPr>
          </w:p>
        </w:tc>
        <w:tc>
          <w:tcPr>
            <w:tcW w:w="1134" w:type="dxa"/>
            <w:vAlign w:val="center"/>
          </w:tcPr>
          <w:p w14:paraId="06211BB7" w14:textId="3DFD2C5F" w:rsidR="00360D5B" w:rsidRPr="00A117B2" w:rsidRDefault="00360D5B" w:rsidP="00560E48">
            <w:pPr>
              <w:jc w:val="center"/>
              <w:rPr>
                <w:rFonts w:ascii="Arial Narrow" w:hAnsi="Arial Narrow" w:cs="Times New Roman"/>
                <w:i/>
                <w:iCs/>
                <w:color w:val="333333"/>
                <w:sz w:val="20"/>
                <w:szCs w:val="20"/>
              </w:rPr>
            </w:pPr>
          </w:p>
        </w:tc>
        <w:tc>
          <w:tcPr>
            <w:tcW w:w="7654" w:type="dxa"/>
            <w:gridSpan w:val="6"/>
            <w:vAlign w:val="center"/>
          </w:tcPr>
          <w:p w14:paraId="3F30EEA8"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Administrative Advice:</w:t>
            </w:r>
          </w:p>
          <w:p w14:paraId="53407F31"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TREATMENT OF ADULT PATIENTS WITH SEVERE ACTIVE PSORIATIC ARTHRITIS</w:t>
            </w:r>
          </w:p>
          <w:p w14:paraId="6C5C64AC"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The following information applies to the prescribing under the Pharmaceutical Benefits Scheme (PBS) of the biological </w:t>
            </w:r>
            <w:proofErr w:type="gramStart"/>
            <w:r w:rsidRPr="00A117B2">
              <w:rPr>
                <w:rFonts w:ascii="Arial Narrow" w:hAnsi="Arial Narrow" w:cs="Times New Roman"/>
                <w:color w:val="333333"/>
                <w:sz w:val="20"/>
                <w:szCs w:val="20"/>
              </w:rPr>
              <w:t>medicines</w:t>
            </w:r>
            <w:proofErr w:type="gramEnd"/>
            <w:r w:rsidRPr="00A117B2">
              <w:rPr>
                <w:rFonts w:ascii="Arial Narrow" w:hAnsi="Arial Narrow" w:cs="Times New Roman"/>
                <w:color w:val="333333"/>
                <w:sz w:val="20"/>
                <w:szCs w:val="20"/>
              </w:rPr>
              <w:t xml:space="preserve"> </w:t>
            </w:r>
            <w:bookmarkStart w:id="34" w:name="_Hlk90913401"/>
            <w:r w:rsidRPr="00A117B2">
              <w:rPr>
                <w:rFonts w:ascii="Arial Narrow" w:hAnsi="Arial Narrow" w:cs="Times New Roman"/>
                <w:color w:val="333333"/>
                <w:sz w:val="20"/>
                <w:szCs w:val="20"/>
              </w:rPr>
              <w:t xml:space="preserve">adalimumab, certolizumab pegol, etanercept, golimumab, </w:t>
            </w:r>
            <w:proofErr w:type="spellStart"/>
            <w:r w:rsidRPr="00A117B2">
              <w:rPr>
                <w:rFonts w:ascii="Arial Narrow" w:hAnsi="Arial Narrow" w:cs="Times New Roman"/>
                <w:color w:val="333333"/>
                <w:sz w:val="20"/>
                <w:szCs w:val="20"/>
              </w:rPr>
              <w:t>guselkumab</w:t>
            </w:r>
            <w:proofErr w:type="spellEnd"/>
            <w:r w:rsidRPr="00A117B2">
              <w:rPr>
                <w:rFonts w:ascii="Arial Narrow" w:hAnsi="Arial Narrow" w:cs="Times New Roman"/>
                <w:color w:val="333333"/>
                <w:sz w:val="20"/>
                <w:szCs w:val="20"/>
              </w:rPr>
              <w:t xml:space="preserve">, infliximab, </w:t>
            </w:r>
            <w:proofErr w:type="spellStart"/>
            <w:r w:rsidRPr="00A117B2">
              <w:rPr>
                <w:rFonts w:ascii="Arial Narrow" w:hAnsi="Arial Narrow" w:cs="Times New Roman"/>
                <w:color w:val="333333"/>
                <w:sz w:val="20"/>
                <w:szCs w:val="20"/>
              </w:rPr>
              <w:t>ixekizumab</w:t>
            </w:r>
            <w:proofErr w:type="spellEnd"/>
            <w:r w:rsidRPr="00A117B2">
              <w:rPr>
                <w:rFonts w:ascii="Arial Narrow" w:hAnsi="Arial Narrow" w:cs="Times New Roman"/>
                <w:color w:val="333333"/>
                <w:sz w:val="20"/>
                <w:szCs w:val="20"/>
              </w:rPr>
              <w:t xml:space="preserve">, </w:t>
            </w:r>
            <w:r w:rsidRPr="00A117B2">
              <w:rPr>
                <w:rFonts w:ascii="Arial Narrow" w:hAnsi="Arial Narrow" w:cs="Times New Roman"/>
                <w:i/>
                <w:iCs/>
                <w:color w:val="333333"/>
                <w:sz w:val="20"/>
                <w:szCs w:val="20"/>
              </w:rPr>
              <w:t>risankizumab,</w:t>
            </w:r>
            <w:r w:rsidRPr="00A117B2">
              <w:rPr>
                <w:rFonts w:ascii="Arial Narrow" w:hAnsi="Arial Narrow" w:cs="Times New Roman"/>
                <w:color w:val="333333"/>
                <w:sz w:val="20"/>
                <w:szCs w:val="20"/>
              </w:rPr>
              <w:t xml:space="preserve"> </w:t>
            </w:r>
            <w:proofErr w:type="spellStart"/>
            <w:r w:rsidRPr="00A117B2">
              <w:rPr>
                <w:rFonts w:ascii="Arial Narrow" w:hAnsi="Arial Narrow" w:cs="Times New Roman"/>
                <w:color w:val="333333"/>
                <w:sz w:val="20"/>
                <w:szCs w:val="20"/>
              </w:rPr>
              <w:t>secukinumab</w:t>
            </w:r>
            <w:proofErr w:type="spellEnd"/>
            <w:r w:rsidRPr="00A117B2">
              <w:rPr>
                <w:rFonts w:ascii="Arial Narrow" w:hAnsi="Arial Narrow" w:cs="Times New Roman"/>
                <w:color w:val="333333"/>
                <w:sz w:val="20"/>
                <w:szCs w:val="20"/>
              </w:rPr>
              <w:t xml:space="preserve">, tofacitinib, </w:t>
            </w:r>
            <w:proofErr w:type="spellStart"/>
            <w:r w:rsidRPr="00A117B2">
              <w:rPr>
                <w:rFonts w:ascii="Arial Narrow" w:hAnsi="Arial Narrow" w:cs="Times New Roman"/>
                <w:color w:val="333333"/>
                <w:sz w:val="20"/>
                <w:szCs w:val="20"/>
              </w:rPr>
              <w:t>upadacitinib</w:t>
            </w:r>
            <w:proofErr w:type="spellEnd"/>
            <w:r w:rsidRPr="00A117B2">
              <w:rPr>
                <w:rFonts w:ascii="Arial Narrow" w:hAnsi="Arial Narrow" w:cs="Times New Roman"/>
                <w:color w:val="333333"/>
                <w:sz w:val="20"/>
                <w:szCs w:val="20"/>
              </w:rPr>
              <w:t xml:space="preserve"> and </w:t>
            </w:r>
            <w:proofErr w:type="spellStart"/>
            <w:r w:rsidRPr="00A117B2">
              <w:rPr>
                <w:rFonts w:ascii="Arial Narrow" w:hAnsi="Arial Narrow" w:cs="Times New Roman"/>
                <w:color w:val="333333"/>
                <w:sz w:val="20"/>
                <w:szCs w:val="20"/>
              </w:rPr>
              <w:t>ustekinumab</w:t>
            </w:r>
            <w:proofErr w:type="spellEnd"/>
            <w:r w:rsidRPr="00A117B2">
              <w:rPr>
                <w:rFonts w:ascii="Arial Narrow" w:hAnsi="Arial Narrow" w:cs="Times New Roman"/>
                <w:color w:val="333333"/>
                <w:sz w:val="20"/>
                <w:szCs w:val="20"/>
              </w:rPr>
              <w:t xml:space="preserve"> </w:t>
            </w:r>
            <w:bookmarkEnd w:id="34"/>
            <w:r w:rsidRPr="00A117B2">
              <w:rPr>
                <w:rFonts w:ascii="Arial Narrow" w:hAnsi="Arial Narrow" w:cs="Times New Roman"/>
                <w:color w:val="333333"/>
                <w:sz w:val="20"/>
                <w:szCs w:val="20"/>
              </w:rPr>
              <w:t xml:space="preserve">for adult patients with severe active psoriatic arthritis. Therefore, where the term 'biological medicine' appears in notes and restrictions, it refers to adalimumab, certolizumab pegol, etanercept, golimumab, </w:t>
            </w:r>
            <w:proofErr w:type="spellStart"/>
            <w:r w:rsidRPr="00A117B2">
              <w:rPr>
                <w:rFonts w:ascii="Arial Narrow" w:hAnsi="Arial Narrow" w:cs="Times New Roman"/>
                <w:color w:val="333333"/>
                <w:sz w:val="20"/>
                <w:szCs w:val="20"/>
              </w:rPr>
              <w:t>guselkumab</w:t>
            </w:r>
            <w:proofErr w:type="spellEnd"/>
            <w:r w:rsidRPr="00A117B2">
              <w:rPr>
                <w:rFonts w:ascii="Arial Narrow" w:hAnsi="Arial Narrow" w:cs="Times New Roman"/>
                <w:color w:val="333333"/>
                <w:sz w:val="20"/>
                <w:szCs w:val="20"/>
              </w:rPr>
              <w:t xml:space="preserve">, infliximab, </w:t>
            </w:r>
            <w:proofErr w:type="spellStart"/>
            <w:r w:rsidRPr="00A117B2">
              <w:rPr>
                <w:rFonts w:ascii="Arial Narrow" w:hAnsi="Arial Narrow" w:cs="Times New Roman"/>
                <w:color w:val="333333"/>
                <w:sz w:val="20"/>
                <w:szCs w:val="20"/>
              </w:rPr>
              <w:t>ixekizumab</w:t>
            </w:r>
            <w:proofErr w:type="spellEnd"/>
            <w:r w:rsidRPr="00A117B2">
              <w:rPr>
                <w:rFonts w:ascii="Arial Narrow" w:hAnsi="Arial Narrow" w:cs="Times New Roman"/>
                <w:color w:val="333333"/>
                <w:sz w:val="20"/>
                <w:szCs w:val="20"/>
              </w:rPr>
              <w:t xml:space="preserve">, </w:t>
            </w:r>
            <w:r w:rsidRPr="00A117B2">
              <w:rPr>
                <w:rFonts w:ascii="Arial Narrow" w:hAnsi="Arial Narrow" w:cs="Times New Roman"/>
                <w:i/>
                <w:iCs/>
                <w:color w:val="333333"/>
                <w:sz w:val="20"/>
                <w:szCs w:val="20"/>
              </w:rPr>
              <w:t>risankizumab</w:t>
            </w:r>
            <w:r w:rsidRPr="00A117B2">
              <w:rPr>
                <w:rFonts w:ascii="Arial Narrow" w:hAnsi="Arial Narrow" w:cs="Times New Roman"/>
                <w:color w:val="333333"/>
                <w:sz w:val="20"/>
                <w:szCs w:val="20"/>
              </w:rPr>
              <w:t xml:space="preserve">, </w:t>
            </w:r>
            <w:proofErr w:type="spellStart"/>
            <w:r w:rsidRPr="00A117B2">
              <w:rPr>
                <w:rFonts w:ascii="Arial Narrow" w:hAnsi="Arial Narrow" w:cs="Times New Roman"/>
                <w:color w:val="333333"/>
                <w:sz w:val="20"/>
                <w:szCs w:val="20"/>
              </w:rPr>
              <w:t>secukinumab</w:t>
            </w:r>
            <w:proofErr w:type="spellEnd"/>
            <w:r w:rsidRPr="00A117B2">
              <w:rPr>
                <w:rFonts w:ascii="Arial Narrow" w:hAnsi="Arial Narrow" w:cs="Times New Roman"/>
                <w:color w:val="333333"/>
                <w:sz w:val="20"/>
                <w:szCs w:val="20"/>
              </w:rPr>
              <w:t xml:space="preserve">, tofacitinib, </w:t>
            </w:r>
            <w:proofErr w:type="spellStart"/>
            <w:r w:rsidRPr="00A117B2">
              <w:rPr>
                <w:rFonts w:ascii="Arial Narrow" w:hAnsi="Arial Narrow" w:cs="Times New Roman"/>
                <w:color w:val="333333"/>
                <w:sz w:val="20"/>
                <w:szCs w:val="20"/>
              </w:rPr>
              <w:t>upadacitinib</w:t>
            </w:r>
            <w:proofErr w:type="spellEnd"/>
            <w:r w:rsidRPr="00A117B2">
              <w:rPr>
                <w:rFonts w:ascii="Arial Narrow" w:hAnsi="Arial Narrow" w:cs="Times New Roman"/>
                <w:color w:val="333333"/>
                <w:sz w:val="20"/>
                <w:szCs w:val="20"/>
              </w:rPr>
              <w:t xml:space="preserve"> and </w:t>
            </w:r>
            <w:proofErr w:type="spellStart"/>
            <w:r w:rsidRPr="00A117B2">
              <w:rPr>
                <w:rFonts w:ascii="Arial Narrow" w:hAnsi="Arial Narrow" w:cs="Times New Roman"/>
                <w:color w:val="333333"/>
                <w:sz w:val="20"/>
                <w:szCs w:val="20"/>
              </w:rPr>
              <w:t>ustekinumab</w:t>
            </w:r>
            <w:proofErr w:type="spellEnd"/>
            <w:r w:rsidRPr="00A117B2">
              <w:rPr>
                <w:rFonts w:ascii="Arial Narrow" w:hAnsi="Arial Narrow" w:cs="Times New Roman"/>
                <w:color w:val="333333"/>
                <w:sz w:val="20"/>
                <w:szCs w:val="20"/>
              </w:rPr>
              <w:t xml:space="preserve"> only.</w:t>
            </w:r>
          </w:p>
          <w:p w14:paraId="2F8F0D93"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is eligible for PBS-subsidised treatment with only 1 of the above biological medicines at any 1 time.</w:t>
            </w:r>
          </w:p>
          <w:p w14:paraId="1E089A3E"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A patient receiving PBS-subsidised treatment for psoriatic arthritis </w:t>
            </w:r>
            <w:proofErr w:type="gramStart"/>
            <w:r w:rsidRPr="00A117B2">
              <w:rPr>
                <w:rFonts w:ascii="Arial Narrow" w:hAnsi="Arial Narrow" w:cs="Times New Roman"/>
                <w:color w:val="333333"/>
                <w:sz w:val="20"/>
                <w:szCs w:val="20"/>
              </w:rPr>
              <w:t>is able to</w:t>
            </w:r>
            <w:proofErr w:type="gramEnd"/>
            <w:r w:rsidRPr="00A117B2">
              <w:rPr>
                <w:rFonts w:ascii="Arial Narrow" w:hAnsi="Arial Narrow" w:cs="Times New Roman"/>
                <w:color w:val="333333"/>
                <w:sz w:val="20"/>
                <w:szCs w:val="20"/>
              </w:rPr>
              <w:t xml:space="preserve"> commence a treatment cycle where they may trial biological medicines without having to experience a disease flare when swapping to the alternate biological medicine. Under these arrangements, within a single cycle, a patient may receive long-term treatment with a biological medicine </w:t>
            </w:r>
            <w:proofErr w:type="gramStart"/>
            <w:r w:rsidRPr="00A117B2">
              <w:rPr>
                <w:rFonts w:ascii="Arial Narrow" w:hAnsi="Arial Narrow" w:cs="Times New Roman"/>
                <w:color w:val="333333"/>
                <w:sz w:val="20"/>
                <w:szCs w:val="20"/>
              </w:rPr>
              <w:t>as long as</w:t>
            </w:r>
            <w:proofErr w:type="gramEnd"/>
            <w:r w:rsidRPr="00A117B2">
              <w:rPr>
                <w:rFonts w:ascii="Arial Narrow" w:hAnsi="Arial Narrow" w:cs="Times New Roman"/>
                <w:color w:val="333333"/>
                <w:sz w:val="20"/>
                <w:szCs w:val="20"/>
              </w:rPr>
              <w:t xml:space="preserve"> they sustain a response to therapy.</w:t>
            </w:r>
          </w:p>
          <w:p w14:paraId="4B120E32"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A patient who received PBS-subsidised adalimumab, certolizumab pegol, etanercept, golimumab, </w:t>
            </w:r>
            <w:proofErr w:type="spellStart"/>
            <w:r w:rsidRPr="00A117B2">
              <w:rPr>
                <w:rFonts w:ascii="Arial Narrow" w:hAnsi="Arial Narrow" w:cs="Times New Roman"/>
                <w:color w:val="333333"/>
                <w:sz w:val="20"/>
                <w:szCs w:val="20"/>
              </w:rPr>
              <w:t>guselkumab</w:t>
            </w:r>
            <w:proofErr w:type="spellEnd"/>
            <w:r w:rsidRPr="00A117B2">
              <w:rPr>
                <w:rFonts w:ascii="Arial Narrow" w:hAnsi="Arial Narrow" w:cs="Times New Roman"/>
                <w:color w:val="333333"/>
                <w:sz w:val="20"/>
                <w:szCs w:val="20"/>
              </w:rPr>
              <w:t xml:space="preserve">, infliximab, </w:t>
            </w:r>
            <w:proofErr w:type="spellStart"/>
            <w:r w:rsidRPr="00A117B2">
              <w:rPr>
                <w:rFonts w:ascii="Arial Narrow" w:hAnsi="Arial Narrow" w:cs="Times New Roman"/>
                <w:color w:val="333333"/>
                <w:sz w:val="20"/>
                <w:szCs w:val="20"/>
              </w:rPr>
              <w:t>ixekizumab</w:t>
            </w:r>
            <w:proofErr w:type="spellEnd"/>
            <w:r w:rsidRPr="00A117B2">
              <w:rPr>
                <w:rFonts w:ascii="Arial Narrow" w:hAnsi="Arial Narrow" w:cs="Times New Roman"/>
                <w:color w:val="333333"/>
                <w:sz w:val="20"/>
                <w:szCs w:val="20"/>
              </w:rPr>
              <w:t xml:space="preserve">, </w:t>
            </w:r>
            <w:proofErr w:type="spellStart"/>
            <w:r w:rsidRPr="00A117B2">
              <w:rPr>
                <w:rFonts w:ascii="Arial Narrow" w:hAnsi="Arial Narrow" w:cs="Times New Roman"/>
                <w:color w:val="333333"/>
                <w:sz w:val="20"/>
                <w:szCs w:val="20"/>
              </w:rPr>
              <w:t>secukinumab</w:t>
            </w:r>
            <w:proofErr w:type="spellEnd"/>
            <w:r w:rsidRPr="00A117B2">
              <w:rPr>
                <w:rFonts w:ascii="Arial Narrow" w:hAnsi="Arial Narrow" w:cs="Times New Roman"/>
                <w:color w:val="333333"/>
                <w:sz w:val="20"/>
                <w:szCs w:val="20"/>
              </w:rPr>
              <w:t xml:space="preserve">, tofacitinib or </w:t>
            </w:r>
            <w:proofErr w:type="spellStart"/>
            <w:r w:rsidRPr="00A117B2">
              <w:rPr>
                <w:rFonts w:ascii="Arial Narrow" w:hAnsi="Arial Narrow" w:cs="Times New Roman"/>
                <w:color w:val="333333"/>
                <w:sz w:val="20"/>
                <w:szCs w:val="20"/>
              </w:rPr>
              <w:t>ustekinumab</w:t>
            </w:r>
            <w:proofErr w:type="spellEnd"/>
            <w:r w:rsidRPr="00A117B2">
              <w:rPr>
                <w:rFonts w:ascii="Arial Narrow" w:hAnsi="Arial Narrow" w:cs="Times New Roman"/>
                <w:color w:val="333333"/>
                <w:sz w:val="20"/>
                <w:szCs w:val="20"/>
              </w:rPr>
              <w:t xml:space="preserve"> treatment prior to 1 October 2021 is considered to start their first cycle as of 1 October 2021.</w:t>
            </w:r>
          </w:p>
          <w:p w14:paraId="0EB76D8F"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lastRenderedPageBreak/>
              <w:t>Within the same treatment cycle, a patient cannot trial and fail, or cease to respond to, the same PBS-subsidised biological medicine more than once. Therefore, once a patient fails to meet the response criteria for a PBS-subsidised biological medicine, they must change to an alternate biological medicine if they wish to continue PBS-subsidised biological treatment.</w:t>
            </w:r>
          </w:p>
          <w:p w14:paraId="2DF2AED0"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52292D50"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Once a patient has either failed or ceased to sustain a response to treatment 3 times, they are deemed to have completed a single cycle and they must have, at a minimum, a 5-year break in PBS-subsidised biological medicine therapy before they are eligible to commence another cycle [further details are under '(5) Recommencement of treatment after a 5-year break in PBS-subsidised therapy' below].</w:t>
            </w:r>
          </w:p>
          <w:p w14:paraId="10BC4868"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The duration of the break in therapy will be measured from the date the last prescription for PBS-subsidised treatment was approved in the most recent cycle to the date of the first application for initial treatment with a biological medicine under the new cycle.</w:t>
            </w:r>
          </w:p>
          <w:p w14:paraId="2232784D"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who has failed fewer than 3 biological medicines in a treatment cycle and who has a break in therapy of more than 5 years may commence a new treatment cycle under Initial 3 treatment restriction.</w:t>
            </w:r>
          </w:p>
          <w:p w14:paraId="053DF67F"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who has failed fewer than 3 biological medicines in a treatment cycle and who has a break in therapy of less than 5 years may commence a further course of treatment within the same treatment cycle under Initial 2 treatment restriction.</w:t>
            </w:r>
          </w:p>
          <w:p w14:paraId="3526156B"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There is no limit to the number of </w:t>
            </w:r>
            <w:proofErr w:type="gramStart"/>
            <w:r w:rsidRPr="00A117B2">
              <w:rPr>
                <w:rFonts w:ascii="Arial Narrow" w:hAnsi="Arial Narrow" w:cs="Times New Roman"/>
                <w:color w:val="333333"/>
                <w:sz w:val="20"/>
                <w:szCs w:val="20"/>
              </w:rPr>
              <w:t>treatment</w:t>
            </w:r>
            <w:proofErr w:type="gramEnd"/>
            <w:r w:rsidRPr="00A117B2">
              <w:rPr>
                <w:rFonts w:ascii="Arial Narrow" w:hAnsi="Arial Narrow" w:cs="Times New Roman"/>
                <w:color w:val="333333"/>
                <w:sz w:val="20"/>
                <w:szCs w:val="20"/>
              </w:rPr>
              <w:t xml:space="preserve"> cycles a patient may undertake in their lifetime.</w:t>
            </w:r>
          </w:p>
          <w:p w14:paraId="111074F4"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How to prescribe PBS-subsidised biological medicine treatment for severe active psoriatic arthritis.</w:t>
            </w:r>
          </w:p>
          <w:p w14:paraId="3F636844"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(1) Initial treatment.</w:t>
            </w:r>
          </w:p>
          <w:p w14:paraId="63A3D84F"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Applications for initial treatment should be made where:</w:t>
            </w:r>
          </w:p>
          <w:p w14:paraId="1FAE4636"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w:t>
            </w:r>
            <w:proofErr w:type="spellStart"/>
            <w:r w:rsidRPr="00A117B2">
              <w:rPr>
                <w:rFonts w:ascii="Arial Narrow" w:hAnsi="Arial Narrow" w:cs="Times New Roman"/>
                <w:color w:val="333333"/>
                <w:sz w:val="20"/>
                <w:szCs w:val="20"/>
              </w:rPr>
              <w:t>i</w:t>
            </w:r>
            <w:proofErr w:type="spellEnd"/>
            <w:r w:rsidRPr="00A117B2">
              <w:rPr>
                <w:rFonts w:ascii="Arial Narrow" w:hAnsi="Arial Narrow" w:cs="Times New Roman"/>
                <w:color w:val="333333"/>
                <w:sz w:val="20"/>
                <w:szCs w:val="20"/>
              </w:rPr>
              <w:t>) a patient has not received prior PBS-subsidised biological medicine treatment and wishes to commence such therapy (Initial 1 - New patient); or</w:t>
            </w:r>
          </w:p>
          <w:p w14:paraId="7BC85497"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(ii) a patient has received prior PBS-subsidised biological medicine therapy (initial or continuing) and wishes to trial an alternate medicine (Initial 2 - Change or Recommencement of treatment after a break in therapy of less than 5 years) [further details are under 'Swapping therapy' below]; or</w:t>
            </w:r>
          </w:p>
          <w:p w14:paraId="4F620FED"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(iii)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14:paraId="0009E6AC"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(iv) a patient wishes to recommence treatment with a biological medicine following a break in PBS-subsidised therapy of more than 5 years (Initial 3 - Recommencement of treatment after a break in biological medicine of more than 5 years) or</w:t>
            </w:r>
          </w:p>
          <w:p w14:paraId="16E2F35C"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An application for initial treatment will be limited to provide for a maximum of 16 weeks of therapy for adalimumab, etanercept, golimumab, </w:t>
            </w:r>
            <w:proofErr w:type="spellStart"/>
            <w:r w:rsidRPr="00A117B2">
              <w:rPr>
                <w:rFonts w:ascii="Arial Narrow" w:hAnsi="Arial Narrow" w:cs="Times New Roman"/>
                <w:color w:val="333333"/>
                <w:sz w:val="20"/>
                <w:szCs w:val="20"/>
              </w:rPr>
              <w:t>secukinumab</w:t>
            </w:r>
            <w:proofErr w:type="spellEnd"/>
            <w:r w:rsidRPr="00A117B2">
              <w:rPr>
                <w:rFonts w:ascii="Arial Narrow" w:hAnsi="Arial Narrow" w:cs="Times New Roman"/>
                <w:color w:val="333333"/>
                <w:sz w:val="20"/>
                <w:szCs w:val="20"/>
              </w:rPr>
              <w:t xml:space="preserve">, tofacitinib and </w:t>
            </w:r>
            <w:proofErr w:type="spellStart"/>
            <w:r w:rsidRPr="00A117B2">
              <w:rPr>
                <w:rFonts w:ascii="Arial Narrow" w:hAnsi="Arial Narrow" w:cs="Times New Roman"/>
                <w:color w:val="333333"/>
                <w:sz w:val="20"/>
                <w:szCs w:val="20"/>
              </w:rPr>
              <w:t>upadacitinib</w:t>
            </w:r>
            <w:proofErr w:type="spellEnd"/>
            <w:r w:rsidRPr="00A117B2">
              <w:rPr>
                <w:rFonts w:ascii="Arial Narrow" w:hAnsi="Arial Narrow" w:cs="Times New Roman"/>
                <w:color w:val="333333"/>
                <w:sz w:val="20"/>
                <w:szCs w:val="20"/>
              </w:rPr>
              <w:t xml:space="preserve">, 18 to 20 weeks of therapy for certolizumab pegol (depending upon the dosing regimen), 20 weeks of therapy for </w:t>
            </w:r>
            <w:proofErr w:type="spellStart"/>
            <w:r w:rsidRPr="00A117B2">
              <w:rPr>
                <w:rFonts w:ascii="Arial Narrow" w:hAnsi="Arial Narrow" w:cs="Times New Roman"/>
                <w:color w:val="333333"/>
                <w:sz w:val="20"/>
                <w:szCs w:val="20"/>
              </w:rPr>
              <w:t>guselkumab</w:t>
            </w:r>
            <w:proofErr w:type="spellEnd"/>
            <w:r w:rsidRPr="00A117B2">
              <w:rPr>
                <w:rFonts w:ascii="Arial Narrow" w:hAnsi="Arial Narrow" w:cs="Times New Roman"/>
                <w:color w:val="333333"/>
                <w:sz w:val="20"/>
                <w:szCs w:val="20"/>
              </w:rPr>
              <w:t xml:space="preserve"> or </w:t>
            </w:r>
            <w:proofErr w:type="spellStart"/>
            <w:r w:rsidRPr="00A117B2">
              <w:rPr>
                <w:rFonts w:ascii="Arial Narrow" w:hAnsi="Arial Narrow" w:cs="Times New Roman"/>
                <w:color w:val="333333"/>
                <w:sz w:val="20"/>
                <w:szCs w:val="20"/>
              </w:rPr>
              <w:t>ixekizumab</w:t>
            </w:r>
            <w:proofErr w:type="spellEnd"/>
            <w:r w:rsidRPr="00A117B2">
              <w:rPr>
                <w:rFonts w:ascii="Arial Narrow" w:hAnsi="Arial Narrow" w:cs="Times New Roman"/>
                <w:color w:val="333333"/>
                <w:sz w:val="20"/>
                <w:szCs w:val="20"/>
              </w:rPr>
              <w:t xml:space="preserve">, 22 weeks of therapy for infliximab, and 28 weeks of therapy for </w:t>
            </w:r>
            <w:r w:rsidRPr="00A117B2">
              <w:rPr>
                <w:rFonts w:ascii="Arial Narrow" w:hAnsi="Arial Narrow" w:cs="Times New Roman"/>
                <w:i/>
                <w:iCs/>
                <w:color w:val="333333"/>
                <w:sz w:val="20"/>
                <w:szCs w:val="20"/>
              </w:rPr>
              <w:t>risankizumab</w:t>
            </w:r>
            <w:r w:rsidRPr="00A117B2">
              <w:rPr>
                <w:rFonts w:ascii="Arial Narrow" w:hAnsi="Arial Narrow" w:cs="Times New Roman"/>
                <w:color w:val="333333"/>
                <w:sz w:val="20"/>
                <w:szCs w:val="20"/>
              </w:rPr>
              <w:t xml:space="preserve"> or </w:t>
            </w:r>
            <w:proofErr w:type="spellStart"/>
            <w:r w:rsidRPr="00A117B2">
              <w:rPr>
                <w:rFonts w:ascii="Arial Narrow" w:hAnsi="Arial Narrow" w:cs="Times New Roman"/>
                <w:color w:val="333333"/>
                <w:sz w:val="20"/>
                <w:szCs w:val="20"/>
              </w:rPr>
              <w:t>ustekinumab</w:t>
            </w:r>
            <w:proofErr w:type="spellEnd"/>
            <w:r w:rsidRPr="00A117B2">
              <w:rPr>
                <w:rFonts w:ascii="Arial Narrow" w:hAnsi="Arial Narrow" w:cs="Times New Roman"/>
                <w:color w:val="333333"/>
                <w:sz w:val="20"/>
                <w:szCs w:val="20"/>
              </w:rPr>
              <w:t>. It is recommended that a patient be reviewed in the 4 weeks prior to completing their course of initial treatment to ensure uninterrupted biological medicine supply.</w:t>
            </w:r>
          </w:p>
          <w:p w14:paraId="1B9EBD9C"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must be assessed for response to a course of PBS-subsidised initial treatment following a minimum of 12 weeks of therapy and conducted no later than 4 weeks from the cessation of the treatment course. If the response assessment is not conducted within these timeframes, the patient will be deemed to have failed this course of treatment.</w:t>
            </w:r>
          </w:p>
          <w:p w14:paraId="33DCB8BF"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(2) Continuing treatment.</w:t>
            </w:r>
          </w:p>
          <w:p w14:paraId="35A84C0F"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for response following a minimum of 12 weeks of therapy and no later than the 4 weeks from the completion of the most recent course of treatment.</w:t>
            </w:r>
          </w:p>
          <w:p w14:paraId="147A98AB"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A patient must be assessed for response to a course of continuing therapy, and the assessment must be submitted to Services Australia where applicable. Where a response assessment is not submitted where applicable, the patient will be deemed to have failed to respond to treatment with that biological medicine, </w:t>
            </w:r>
            <w:r w:rsidRPr="00A117B2">
              <w:rPr>
                <w:rFonts w:ascii="Arial Narrow" w:hAnsi="Arial Narrow" w:cs="Times New Roman"/>
                <w:color w:val="333333"/>
                <w:sz w:val="20"/>
                <w:szCs w:val="20"/>
              </w:rPr>
              <w:lastRenderedPageBreak/>
              <w:t>unless the patient has experienced a serious adverse reaction of a severity resulting in the necessity for permanent withdrawal of treatment.</w:t>
            </w:r>
          </w:p>
          <w:p w14:paraId="3E3F9AF5"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Infliximab, adalimumab and etanercept only:</w:t>
            </w:r>
          </w:p>
          <w:p w14:paraId="292883BE"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For the first continuing treatment course of PBS-subsidised biological medicine treatment, it is recommended that a patient is reviewed for response following a minimum of 12 weeks of therapy and no later than 4 weeks from the completion of the most recent course of treatment under the Initial 1, Initial 2 or Initial 3 treatment restrictions.</w:t>
            </w:r>
          </w:p>
          <w:p w14:paraId="1252E897"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For the second and subsequent continuing courses of PBS-subsidised biological medicine treatment, it is recommended that an assessment of a patient's response is conducted following a minimum of 12 weeks of therapy and no later than 4 weeks from the completion of the most recent course of treatment.</w:t>
            </w:r>
          </w:p>
          <w:p w14:paraId="11B1B729"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(3) Swapping therapy.</w:t>
            </w:r>
          </w:p>
          <w:p w14:paraId="69CC4C40"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Once initial treatment with the first PBS-subsidised biological medicine is approved, a patient may swap to an alternate biological medicine without having to re-qualify with respect to either the indices of disease severity (i.e. erythrocyte sedimentation rate (ESR) or C-reactive protein (CRP) level, and active joint count) or the prior non-biological therapy requirements, except if the patient has had a break in therapy of more than 5 years who would need to requalify under the Initial 3 treatment restriction with respect to the indices of disease severity.</w:t>
            </w:r>
          </w:p>
          <w:p w14:paraId="5D962178"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14:paraId="638ED9D9"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may trial an alternate biological medicine at any time, regardless of whether they are receiving therapy (initial or continuing) with a biological medicine at the time of the application.</w:t>
            </w:r>
          </w:p>
          <w:p w14:paraId="7A485131"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However, they cannot swap to a particular biological medicine if they have failed to respond to prior treatment with that drug within the same treatment cycle.</w:t>
            </w:r>
          </w:p>
          <w:p w14:paraId="435FAC34"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Within a treatment cycle a patient may alternate between therapy with any biological medicine of their choice (1 at a time) providing:</w:t>
            </w:r>
          </w:p>
          <w:p w14:paraId="485E13D8"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w:t>
            </w:r>
            <w:proofErr w:type="spellStart"/>
            <w:r w:rsidRPr="00A117B2">
              <w:rPr>
                <w:rFonts w:ascii="Arial Narrow" w:hAnsi="Arial Narrow" w:cs="Times New Roman"/>
                <w:color w:val="333333"/>
                <w:sz w:val="20"/>
                <w:szCs w:val="20"/>
              </w:rPr>
              <w:t>i</w:t>
            </w:r>
            <w:proofErr w:type="spellEnd"/>
            <w:r w:rsidRPr="00A117B2">
              <w:rPr>
                <w:rFonts w:ascii="Arial Narrow" w:hAnsi="Arial Narrow" w:cs="Times New Roman"/>
                <w:color w:val="333333"/>
                <w:sz w:val="20"/>
                <w:szCs w:val="20"/>
              </w:rPr>
              <w:t xml:space="preserve">) they have not received PBS-subsidised treatment with that </w:t>
            </w:r>
            <w:proofErr w:type="gramStart"/>
            <w:r w:rsidRPr="00A117B2">
              <w:rPr>
                <w:rFonts w:ascii="Arial Narrow" w:hAnsi="Arial Narrow" w:cs="Times New Roman"/>
                <w:color w:val="333333"/>
                <w:sz w:val="20"/>
                <w:szCs w:val="20"/>
              </w:rPr>
              <w:t>particular biological</w:t>
            </w:r>
            <w:proofErr w:type="gramEnd"/>
            <w:r w:rsidRPr="00A117B2">
              <w:rPr>
                <w:rFonts w:ascii="Arial Narrow" w:hAnsi="Arial Narrow" w:cs="Times New Roman"/>
                <w:color w:val="333333"/>
                <w:sz w:val="20"/>
                <w:szCs w:val="20"/>
              </w:rPr>
              <w:t xml:space="preserve"> medicine previously; or</w:t>
            </w:r>
          </w:p>
          <w:p w14:paraId="5C2C0DD9"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(ii) they have demonstrated an adequate response to that </w:t>
            </w:r>
            <w:proofErr w:type="gramStart"/>
            <w:r w:rsidRPr="00A117B2">
              <w:rPr>
                <w:rFonts w:ascii="Arial Narrow" w:hAnsi="Arial Narrow" w:cs="Times New Roman"/>
                <w:color w:val="333333"/>
                <w:sz w:val="20"/>
                <w:szCs w:val="20"/>
              </w:rPr>
              <w:t>particular biological</w:t>
            </w:r>
            <w:proofErr w:type="gramEnd"/>
            <w:r w:rsidRPr="00A117B2">
              <w:rPr>
                <w:rFonts w:ascii="Arial Narrow" w:hAnsi="Arial Narrow" w:cs="Times New Roman"/>
                <w:color w:val="333333"/>
                <w:sz w:val="20"/>
                <w:szCs w:val="20"/>
              </w:rPr>
              <w:t xml:space="preserve"> medicine if they have previously trialled it on the PBS; and</w:t>
            </w:r>
          </w:p>
          <w:p w14:paraId="211C2982"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(iii) they have not previously failed to respond to treatment 3 times in this treatment cycle with biological medicines.</w:t>
            </w:r>
          </w:p>
          <w:p w14:paraId="50711460"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To ensure a patient receives the maximum treatment opportunities allowed under these arrangements, it is important that they are assessed for response to every course of treatment.</w:t>
            </w:r>
          </w:p>
          <w:p w14:paraId="1D2790E7"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(4) Baseline measurements to determine response.</w:t>
            </w:r>
          </w:p>
          <w:p w14:paraId="11EEA239"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response to treatment is to be determined by comparison of current disease activity measurements relative to the baseline measurements of the indices of disease severity submitted with the first authority application for a biological medicine. However, prescribers may provide new baseline measurements any time that an initial or change or recommencement treatment application is submitted within a treatment cycle and these revised baseline measurements will be used to assess response to the PBS-subsidised treatment.</w:t>
            </w:r>
          </w:p>
          <w:p w14:paraId="0AD20FF2"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To ensure consistency in determining response, the same indices of disease severity used to establish baseline at the commencement of treatment with each initial treatment application must be used to determine response for all subsequent continuing treatments. Therefore, where only an ESR or CRP level is provided at baseline, an ESR or CRP level respectively must be used to determine response. Similarly, where the baseline active joint count is based on total active joints (</w:t>
            </w:r>
            <w:proofErr w:type="gramStart"/>
            <w:r w:rsidRPr="00A117B2">
              <w:rPr>
                <w:rFonts w:ascii="Arial Narrow" w:hAnsi="Arial Narrow" w:cs="Times New Roman"/>
                <w:color w:val="333333"/>
                <w:sz w:val="20"/>
                <w:szCs w:val="20"/>
              </w:rPr>
              <w:t>i.e.</w:t>
            </w:r>
            <w:proofErr w:type="gramEnd"/>
            <w:r w:rsidRPr="00A117B2">
              <w:rPr>
                <w:rFonts w:ascii="Arial Narrow" w:hAnsi="Arial Narrow" w:cs="Times New Roman"/>
                <w:color w:val="333333"/>
                <w:sz w:val="20"/>
                <w:szCs w:val="20"/>
              </w:rPr>
              <w:t xml:space="preserve"> 20 or more active joints), response will be determined according to a reduction in the total number of active joints.</w:t>
            </w:r>
          </w:p>
          <w:p w14:paraId="37BA62F9"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(5) Re-commencement of treatment after a 5-year break in PBS-subsidised therapy.</w:t>
            </w:r>
          </w:p>
          <w:p w14:paraId="0473BCCF"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who wishes to trial a second or subsequent course of treatment following a break in PBS-subsidised biological therapy of at least 5 years, must qualify under Initial 3 treatment restriction according to the criteria of the relevant restriction and index of disease severity. The application must include a joint count and ESR and/or CRP measurement that is no more than 4 weeks old at the time of application.</w:t>
            </w:r>
          </w:p>
        </w:tc>
      </w:tr>
      <w:tr w:rsidR="00360D5B" w:rsidRPr="008048B3" w14:paraId="70665CCB"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29D86B7B" w14:textId="77777777" w:rsidR="00360D5B" w:rsidRPr="00A117B2" w:rsidRDefault="00360D5B" w:rsidP="00560E48">
            <w:pPr>
              <w:rPr>
                <w:rFonts w:ascii="Arial Narrow" w:eastAsia="Calibri" w:hAnsi="Arial Narrow"/>
                <w:sz w:val="20"/>
                <w:szCs w:val="20"/>
              </w:rPr>
            </w:pPr>
          </w:p>
        </w:tc>
        <w:tc>
          <w:tcPr>
            <w:tcW w:w="1134" w:type="dxa"/>
            <w:vAlign w:val="center"/>
          </w:tcPr>
          <w:p w14:paraId="6EA01CCE" w14:textId="349C1CD7"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0F7E03D9"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quantity or number of units may be authorised.</w:t>
            </w:r>
          </w:p>
        </w:tc>
      </w:tr>
      <w:tr w:rsidR="00360D5B" w:rsidRPr="008048B3" w14:paraId="0CC81966"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2202C418" w14:textId="77777777" w:rsidR="00360D5B" w:rsidRPr="00A117B2" w:rsidRDefault="00360D5B" w:rsidP="00560E48">
            <w:pPr>
              <w:rPr>
                <w:rFonts w:ascii="Arial Narrow" w:eastAsia="Calibri" w:hAnsi="Arial Narrow"/>
                <w:sz w:val="20"/>
                <w:szCs w:val="20"/>
              </w:rPr>
            </w:pPr>
          </w:p>
        </w:tc>
        <w:tc>
          <w:tcPr>
            <w:tcW w:w="1134" w:type="dxa"/>
            <w:vAlign w:val="center"/>
          </w:tcPr>
          <w:p w14:paraId="5F29995E" w14:textId="640B4642"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59EDA462"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number of repeats may be authorised.</w:t>
            </w:r>
          </w:p>
        </w:tc>
      </w:tr>
      <w:tr w:rsidR="00360D5B" w:rsidRPr="008048B3" w14:paraId="2C4240E6" w14:textId="77777777" w:rsidTr="00560E48">
        <w:tblPrEx>
          <w:tblCellMar>
            <w:top w:w="15" w:type="dxa"/>
            <w:left w:w="15" w:type="dxa"/>
            <w:bottom w:w="15" w:type="dxa"/>
            <w:right w:w="15" w:type="dxa"/>
          </w:tblCellMar>
          <w:tblLook w:val="04A0" w:firstRow="1" w:lastRow="0" w:firstColumn="1" w:lastColumn="0" w:noHBand="0" w:noVBand="1"/>
        </w:tblPrEx>
        <w:tc>
          <w:tcPr>
            <w:tcW w:w="279" w:type="dxa"/>
            <w:tcBorders>
              <w:left w:val="single" w:sz="4" w:space="0" w:color="auto"/>
              <w:bottom w:val="single" w:sz="4" w:space="0" w:color="auto"/>
              <w:right w:val="single" w:sz="4" w:space="0" w:color="auto"/>
            </w:tcBorders>
          </w:tcPr>
          <w:p w14:paraId="738310B4" w14:textId="77777777" w:rsidR="00360D5B" w:rsidRPr="00A117B2" w:rsidRDefault="00360D5B" w:rsidP="00560E48">
            <w:pPr>
              <w:rPr>
                <w:rFonts w:ascii="Arial Narrow" w:eastAsia="Calibri" w:hAnsi="Arial Narrow"/>
                <w:sz w:val="20"/>
                <w:szCs w:val="20"/>
              </w:rPr>
            </w:pPr>
          </w:p>
        </w:tc>
        <w:tc>
          <w:tcPr>
            <w:tcW w:w="1134" w:type="dxa"/>
            <w:vAlign w:val="center"/>
          </w:tcPr>
          <w:p w14:paraId="0624C181" w14:textId="1F93503C"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4B202BEF"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Administrative Advice:</w:t>
            </w:r>
            <w:r w:rsidRPr="00A117B2">
              <w:rPr>
                <w:rFonts w:ascii="Arial Narrow" w:eastAsia="Calibri" w:hAnsi="Arial Narrow" w:cs="Times New Roman"/>
                <w:sz w:val="20"/>
                <w:szCs w:val="20"/>
              </w:rPr>
              <w:t xml:space="preserve"> </w:t>
            </w:r>
            <w:r w:rsidRPr="00A117B2">
              <w:rPr>
                <w:rFonts w:ascii="Arial Narrow" w:hAnsi="Arial Narrow" w:cs="Times New Roman"/>
                <w:color w:val="333333"/>
                <w:sz w:val="20"/>
                <w:szCs w:val="20"/>
              </w:rPr>
              <w:t>Special Pricing Arrangements apply.</w:t>
            </w:r>
          </w:p>
        </w:tc>
      </w:tr>
      <w:tr w:rsidR="00360D5B" w:rsidRPr="008048B3" w14:paraId="2A42D433" w14:textId="77777777" w:rsidTr="00C619FE">
        <w:tblPrEx>
          <w:tblCellMar>
            <w:top w:w="15" w:type="dxa"/>
            <w:left w:w="15" w:type="dxa"/>
            <w:bottom w:w="15" w:type="dxa"/>
            <w:right w:w="15" w:type="dxa"/>
          </w:tblCellMar>
        </w:tblPrEx>
        <w:tc>
          <w:tcPr>
            <w:tcW w:w="1413" w:type="dxa"/>
            <w:gridSpan w:val="2"/>
            <w:vAlign w:val="center"/>
          </w:tcPr>
          <w:p w14:paraId="04C07F91" w14:textId="7179C3BE" w:rsidR="00360D5B" w:rsidRPr="00A117B2" w:rsidRDefault="00360D5B" w:rsidP="00560E48">
            <w:pPr>
              <w:jc w:val="center"/>
              <w:rPr>
                <w:rFonts w:ascii="Arial Narrow" w:hAnsi="Arial Narrow" w:cs="Times New Roman"/>
                <w:sz w:val="20"/>
                <w:szCs w:val="20"/>
              </w:rPr>
            </w:pPr>
          </w:p>
        </w:tc>
        <w:tc>
          <w:tcPr>
            <w:tcW w:w="7654" w:type="dxa"/>
            <w:gridSpan w:val="6"/>
            <w:vAlign w:val="center"/>
            <w:hideMark/>
          </w:tcPr>
          <w:p w14:paraId="67EA8024"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Indication:</w:t>
            </w:r>
            <w:r w:rsidRPr="00A117B2">
              <w:rPr>
                <w:rFonts w:ascii="Arial Narrow" w:hAnsi="Arial Narrow" w:cs="Times New Roman"/>
                <w:sz w:val="20"/>
                <w:szCs w:val="20"/>
              </w:rPr>
              <w:t xml:space="preserve"> Severe psoriatic arthritis</w:t>
            </w:r>
          </w:p>
        </w:tc>
      </w:tr>
      <w:tr w:rsidR="00360D5B" w:rsidRPr="008048B3" w14:paraId="56FC87C6" w14:textId="77777777" w:rsidTr="00C619FE">
        <w:tblPrEx>
          <w:tblCellMar>
            <w:top w:w="15" w:type="dxa"/>
            <w:left w:w="15" w:type="dxa"/>
            <w:bottom w:w="15" w:type="dxa"/>
            <w:right w:w="15" w:type="dxa"/>
          </w:tblCellMar>
        </w:tblPrEx>
        <w:tc>
          <w:tcPr>
            <w:tcW w:w="1413" w:type="dxa"/>
            <w:gridSpan w:val="2"/>
            <w:vAlign w:val="center"/>
          </w:tcPr>
          <w:p w14:paraId="60D36A50"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hideMark/>
          </w:tcPr>
          <w:p w14:paraId="29A26B56"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Treatment Phase:</w:t>
            </w:r>
            <w:r w:rsidRPr="00A117B2">
              <w:rPr>
                <w:rFonts w:ascii="Arial Narrow" w:hAnsi="Arial Narrow" w:cs="Times New Roman"/>
                <w:sz w:val="20"/>
                <w:szCs w:val="20"/>
              </w:rPr>
              <w:t xml:space="preserve"> Initial treatment - Initial 1 (New patient)</w:t>
            </w:r>
          </w:p>
        </w:tc>
      </w:tr>
      <w:tr w:rsidR="00360D5B" w:rsidRPr="008048B3" w14:paraId="0692C91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0F1A659" w14:textId="675747D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18781FE"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Treatment criteria:</w:t>
            </w:r>
          </w:p>
        </w:tc>
      </w:tr>
      <w:tr w:rsidR="00360D5B" w:rsidRPr="008048B3" w14:paraId="7140EC7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83831D8" w14:textId="1A6BA14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EDD0CCD"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rheumatologist; or</w:t>
            </w:r>
          </w:p>
        </w:tc>
      </w:tr>
      <w:tr w:rsidR="00360D5B" w:rsidRPr="008048B3" w14:paraId="201F6DF7"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2BB67F7" w14:textId="2E17E888"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A90627F"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clinical immunologist with expertise in the management of psoriatic arthritis</w:t>
            </w:r>
          </w:p>
        </w:tc>
      </w:tr>
      <w:tr w:rsidR="00360D5B" w:rsidRPr="008048B3" w14:paraId="0DF561B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0CA6FAC"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12B1C9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AND</w:t>
            </w:r>
          </w:p>
        </w:tc>
      </w:tr>
      <w:tr w:rsidR="00360D5B" w:rsidRPr="008048B3" w14:paraId="22F3872F" w14:textId="77777777" w:rsidTr="00C619FE">
        <w:tblPrEx>
          <w:tblCellMar>
            <w:top w:w="15" w:type="dxa"/>
            <w:left w:w="15" w:type="dxa"/>
            <w:bottom w:w="15" w:type="dxa"/>
            <w:right w:w="15" w:type="dxa"/>
          </w:tblCellMar>
        </w:tblPrEx>
        <w:tc>
          <w:tcPr>
            <w:tcW w:w="1413" w:type="dxa"/>
            <w:gridSpan w:val="2"/>
            <w:vAlign w:val="center"/>
          </w:tcPr>
          <w:p w14:paraId="19B2898B" w14:textId="66406FE9" w:rsidR="00360D5B" w:rsidRPr="00A117B2" w:rsidRDefault="00360D5B" w:rsidP="00560E48">
            <w:pPr>
              <w:jc w:val="center"/>
              <w:rPr>
                <w:rFonts w:ascii="Arial Narrow" w:hAnsi="Arial Narrow" w:cs="Times New Roman"/>
                <w:sz w:val="20"/>
                <w:szCs w:val="20"/>
              </w:rPr>
            </w:pPr>
          </w:p>
        </w:tc>
        <w:tc>
          <w:tcPr>
            <w:tcW w:w="7654" w:type="dxa"/>
            <w:gridSpan w:val="6"/>
            <w:vAlign w:val="center"/>
            <w:hideMark/>
          </w:tcPr>
          <w:p w14:paraId="715347B9"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4CF3714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395DD07" w14:textId="51123AED"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74D5645"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not have received PBS-subsidised treatment with a biological medicine for this condition</w:t>
            </w:r>
          </w:p>
        </w:tc>
      </w:tr>
      <w:tr w:rsidR="00360D5B" w:rsidRPr="008048B3" w14:paraId="3855AC9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24E87D1"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9BD2589"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5AD561D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9CC1DE9" w14:textId="436B648C"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6A45ECB"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6046CB2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7177BFA" w14:textId="09FD2F8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AFBFDD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failed to achieve an adequate response to methotrexate at a dose of at least 20 mg weekly for a minimum period of 3 months</w:t>
            </w:r>
          </w:p>
        </w:tc>
      </w:tr>
      <w:tr w:rsidR="00360D5B" w:rsidRPr="008048B3" w14:paraId="3B05A99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6ED2058"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1FE7CC7"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51559CE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3481B1C" w14:textId="5114C0E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044FAC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Clinical criteria</w:t>
            </w:r>
            <w:r w:rsidRPr="00A117B2">
              <w:rPr>
                <w:rFonts w:ascii="Arial Narrow" w:hAnsi="Arial Narrow" w:cs="Times New Roman"/>
                <w:sz w:val="20"/>
                <w:szCs w:val="20"/>
              </w:rPr>
              <w:t>:</w:t>
            </w:r>
          </w:p>
        </w:tc>
      </w:tr>
      <w:tr w:rsidR="00360D5B" w:rsidRPr="008048B3" w14:paraId="10EE059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C721ADE" w14:textId="243A4C78"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07DB0A2"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failed to achieve an adequate response to sulfasalazine at a dose of at least 2 g per day for a minimum period of 3 months; or</w:t>
            </w:r>
          </w:p>
        </w:tc>
      </w:tr>
      <w:tr w:rsidR="00360D5B" w:rsidRPr="008048B3" w14:paraId="4DA2790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659BB1E" w14:textId="6B94618C"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B6C1D08"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failed to achieve an adequate response to leflunomide at a dose of up to 20 mg daily for a minimum period of 3 months</w:t>
            </w:r>
          </w:p>
        </w:tc>
      </w:tr>
      <w:tr w:rsidR="00360D5B" w:rsidRPr="008048B3" w14:paraId="509862D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D0AA397"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C32B6B7"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3D26FD2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113F20D" w14:textId="366F1C6A" w:rsidR="00360D5B" w:rsidRPr="00A117B2" w:rsidRDefault="00360D5B" w:rsidP="00560E48">
            <w:pPr>
              <w:jc w:val="center"/>
              <w:rPr>
                <w:rFonts w:ascii="Arial Narrow" w:hAnsi="Arial Narrow" w:cs="Times New Roman"/>
                <w:i/>
                <w:iCs/>
                <w:sz w:val="20"/>
                <w:szCs w:val="20"/>
              </w:rPr>
            </w:pPr>
          </w:p>
        </w:tc>
        <w:tc>
          <w:tcPr>
            <w:tcW w:w="7654" w:type="dxa"/>
            <w:gridSpan w:val="6"/>
            <w:vAlign w:val="center"/>
          </w:tcPr>
          <w:p w14:paraId="75399571"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0B8E245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BCA6BCE" w14:textId="5FA1DF5B" w:rsidR="00360D5B" w:rsidRPr="00A117B2" w:rsidRDefault="00360D5B" w:rsidP="00560E48">
            <w:pPr>
              <w:jc w:val="center"/>
              <w:rPr>
                <w:rFonts w:ascii="Arial Narrow" w:hAnsi="Arial Narrow" w:cs="Times New Roman"/>
                <w:i/>
                <w:iCs/>
                <w:sz w:val="20"/>
                <w:szCs w:val="20"/>
              </w:rPr>
            </w:pPr>
          </w:p>
        </w:tc>
        <w:tc>
          <w:tcPr>
            <w:tcW w:w="7654" w:type="dxa"/>
            <w:gridSpan w:val="6"/>
            <w:vAlign w:val="center"/>
          </w:tcPr>
          <w:p w14:paraId="3F967EE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not receive more than 28</w:t>
            </w:r>
            <w:r w:rsidRPr="00A117B2">
              <w:rPr>
                <w:rFonts w:ascii="Arial Narrow" w:hAnsi="Arial Narrow" w:cs="Times New Roman"/>
                <w:i/>
                <w:iCs/>
                <w:sz w:val="20"/>
                <w:szCs w:val="20"/>
              </w:rPr>
              <w:t xml:space="preserve"> </w:t>
            </w:r>
            <w:r w:rsidRPr="00A117B2">
              <w:rPr>
                <w:rFonts w:ascii="Arial Narrow" w:hAnsi="Arial Narrow" w:cs="Times New Roman"/>
                <w:sz w:val="20"/>
                <w:szCs w:val="20"/>
              </w:rPr>
              <w:t>weeks of treatment under this restriction</w:t>
            </w:r>
          </w:p>
        </w:tc>
      </w:tr>
      <w:tr w:rsidR="00360D5B" w:rsidRPr="008048B3" w14:paraId="137646C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71472E5"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688A6DE"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08546C0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B86EA22" w14:textId="60027F8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1D0F504"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Population criteria:</w:t>
            </w:r>
          </w:p>
        </w:tc>
      </w:tr>
      <w:tr w:rsidR="00360D5B" w:rsidRPr="008048B3" w14:paraId="6DB4A2C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9C20125" w14:textId="5AE30CDF"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2B2BAC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be aged 18 years or older</w:t>
            </w:r>
          </w:p>
        </w:tc>
      </w:tr>
      <w:tr w:rsidR="00360D5B" w:rsidRPr="008048B3" w14:paraId="669EA27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5D4E257" w14:textId="5371B501"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2FBF2CF"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6D0FA08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ECAF8E8" w14:textId="4C39DA14"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BBBC208"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Where treatment with methotrexate, sulfasalazine or leflunomide is contraindicated according to the relevant TGA-approved Product Information, details must be provided at the time of application.</w:t>
            </w:r>
          </w:p>
        </w:tc>
      </w:tr>
      <w:tr w:rsidR="00360D5B" w:rsidRPr="008048B3" w14:paraId="790224D7"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B8DF2A6" w14:textId="514E44A8"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FA2862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Prescribing Instructions:</w:t>
            </w:r>
          </w:p>
        </w:tc>
      </w:tr>
      <w:tr w:rsidR="00360D5B" w:rsidRPr="008048B3" w14:paraId="57F9902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24C4AA8" w14:textId="42ACC71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3D9074B"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tc>
      </w:tr>
      <w:tr w:rsidR="00360D5B" w:rsidRPr="008048B3" w14:paraId="2091B59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C1CF693" w14:textId="7A51B8E6"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E2C3248"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1464C06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0EF6B79" w14:textId="2C2F533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BFAB4BB"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following initiation criteria indicate failure to achieve an adequate response and must be demonstrated in all patients at the time of the initial application:</w:t>
            </w:r>
          </w:p>
          <w:p w14:paraId="6BF4577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an elevated erythrocyte sedimentation rate (ESR) greater than 25 mm per hour or a C-reactive protein (CRP) level greater than 15 mg per L; and</w:t>
            </w:r>
          </w:p>
          <w:p w14:paraId="17CCD29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either</w:t>
            </w:r>
          </w:p>
          <w:p w14:paraId="27B7BAA8"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 an active joint count of at least 20 active (swollen and tender) joints; or</w:t>
            </w:r>
          </w:p>
          <w:p w14:paraId="4E8083A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(b) at least 4 active joints from the following list of major joints:</w:t>
            </w:r>
          </w:p>
          <w:p w14:paraId="3347F949"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w:t>
            </w:r>
            <w:proofErr w:type="spellStart"/>
            <w:r w:rsidRPr="00A117B2">
              <w:rPr>
                <w:rFonts w:ascii="Arial Narrow" w:hAnsi="Arial Narrow" w:cs="Times New Roman"/>
                <w:sz w:val="20"/>
                <w:szCs w:val="20"/>
              </w:rPr>
              <w:t>i</w:t>
            </w:r>
            <w:proofErr w:type="spellEnd"/>
            <w:r w:rsidRPr="00A117B2">
              <w:rPr>
                <w:rFonts w:ascii="Arial Narrow" w:hAnsi="Arial Narrow" w:cs="Times New Roman"/>
                <w:sz w:val="20"/>
                <w:szCs w:val="20"/>
              </w:rPr>
              <w:t>) elbow, wrist, knee and/or ankle (assessed as swollen and tender); and/or</w:t>
            </w:r>
          </w:p>
          <w:p w14:paraId="6B3327E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(ii) shoulder and/or hip (assessed as pain in passive movement and restriction of passive movement, where pain and limitation of movement are due to active disease and not irreversible damage such as joint destruction or bony overgrowth).</w:t>
            </w:r>
          </w:p>
          <w:p w14:paraId="248EC693"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If the above requirement to demonstrate an elevated ESR or CRP cannot be met, the application must state the reasons why this criterion cannot be satisfied.</w:t>
            </w:r>
          </w:p>
        </w:tc>
      </w:tr>
      <w:tr w:rsidR="00894942" w:rsidRPr="008048B3" w14:paraId="21962B6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5E4EE68" w14:textId="797E7D41" w:rsidR="00894942" w:rsidRPr="00A117B2" w:rsidRDefault="00894942" w:rsidP="00560E48">
            <w:pPr>
              <w:jc w:val="center"/>
              <w:rPr>
                <w:rFonts w:ascii="Arial Narrow" w:hAnsi="Arial Narrow" w:cs="Times New Roman"/>
                <w:sz w:val="20"/>
                <w:szCs w:val="20"/>
              </w:rPr>
            </w:pPr>
          </w:p>
        </w:tc>
        <w:tc>
          <w:tcPr>
            <w:tcW w:w="7654" w:type="dxa"/>
            <w:gridSpan w:val="6"/>
            <w:vAlign w:val="center"/>
          </w:tcPr>
          <w:p w14:paraId="25A71981" w14:textId="77777777" w:rsidR="00894942" w:rsidRPr="00A117B2" w:rsidRDefault="00894942" w:rsidP="00894942">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p w14:paraId="7A9AD97B" w14:textId="28F1D08F" w:rsidR="00894942" w:rsidRPr="00A117B2" w:rsidRDefault="00894942" w:rsidP="00560E48">
            <w:pPr>
              <w:rPr>
                <w:rFonts w:ascii="Arial Narrow" w:hAnsi="Arial Narrow" w:cs="Times New Roman"/>
                <w:sz w:val="20"/>
                <w:szCs w:val="20"/>
              </w:rPr>
            </w:pPr>
            <w:r w:rsidRPr="00A117B2">
              <w:rPr>
                <w:rFonts w:ascii="Arial Narrow" w:hAnsi="Arial Narrow" w:cs="Times New Roman"/>
                <w:sz w:val="20"/>
                <w:szCs w:val="20"/>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tc>
      </w:tr>
      <w:tr w:rsidR="00360D5B" w:rsidRPr="008048B3" w14:paraId="2921AFB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83628CC" w14:textId="049820AD"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0C82434"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4F67F16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C5FBF21" w14:textId="5B2A3C4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03403D1"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authority application must be made in writing and must include:</w:t>
            </w:r>
          </w:p>
          <w:p w14:paraId="768356EB"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 a completed authority prescription form(s); and</w:t>
            </w:r>
          </w:p>
          <w:p w14:paraId="27AA6817"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sz w:val="20"/>
                <w:szCs w:val="20"/>
              </w:rPr>
              <w:t>(b) a completed authority application form relevant to the indication and treatment phase (the latest version is located on the website specified in the Administrative Advice).</w:t>
            </w:r>
          </w:p>
        </w:tc>
      </w:tr>
      <w:tr w:rsidR="00360D5B" w:rsidRPr="008048B3" w14:paraId="35E1527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1A5CFD7" w14:textId="23A9A97B"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12364DD"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Administrative Advice:</w:t>
            </w:r>
          </w:p>
        </w:tc>
      </w:tr>
      <w:tr w:rsidR="00360D5B" w:rsidRPr="008048B3" w14:paraId="3DC3597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0268E4E"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22E1AB6"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Services Australia website (www.servicesaustralia.gov.au) has details of the toxicities, including severity, which will be accepted where one is claimed.</w:t>
            </w:r>
          </w:p>
        </w:tc>
      </w:tr>
      <w:tr w:rsidR="00360D5B" w:rsidRPr="008048B3" w14:paraId="6AA3BCC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A4BD732" w14:textId="3ED7A2A9"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A8B3CAF"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Administrative Advice:</w:t>
            </w:r>
          </w:p>
        </w:tc>
      </w:tr>
      <w:tr w:rsidR="00360D5B" w:rsidRPr="008048B3" w14:paraId="5530EA7A"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68EB2EE" w14:textId="7187F21A"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B731F9D"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Any queries concerning the arrangements to prescribe may be directed to Services Australia on 1800 700 270 (hours of operation 8 a.m. to 5 p.m. EST Monday to Friday).</w:t>
            </w:r>
          </w:p>
          <w:p w14:paraId="1A90AAFF"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Prescribing information (including Authority Application forms and other relevant documentation as applicable) is available on the Services Australia website at www.servicesaustralia.gov.au</w:t>
            </w:r>
          </w:p>
          <w:p w14:paraId="3AFCADC3"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Applications for authority to prescribe should be submitted online using the form upload facility in Health Professional Online Services (HPOS) at www.servicesaustralia.gov.au/hpos</w:t>
            </w:r>
          </w:p>
          <w:p w14:paraId="0AA2E35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Or mailed to:</w:t>
            </w:r>
          </w:p>
          <w:p w14:paraId="25F9323D"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Services Australia</w:t>
            </w:r>
          </w:p>
          <w:p w14:paraId="640924A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Complex Drugs</w:t>
            </w:r>
          </w:p>
          <w:p w14:paraId="4DCEFF7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Reply Paid 9826</w:t>
            </w:r>
          </w:p>
          <w:p w14:paraId="192C57C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HOBART TAS 7001</w:t>
            </w:r>
          </w:p>
        </w:tc>
      </w:tr>
      <w:tr w:rsidR="00360D5B" w:rsidRPr="008048B3" w14:paraId="293C3A37"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0A01B18" w14:textId="77777777" w:rsidR="00360D5B" w:rsidRPr="00A117B2" w:rsidRDefault="00360D5B" w:rsidP="00560E48">
            <w:pPr>
              <w:rPr>
                <w:rFonts w:ascii="Arial Narrow" w:eastAsia="Calibri" w:hAnsi="Arial Narrow"/>
                <w:sz w:val="20"/>
                <w:szCs w:val="20"/>
              </w:rPr>
            </w:pPr>
            <w:bookmarkStart w:id="35" w:name="_Hlk78811496"/>
          </w:p>
        </w:tc>
      </w:tr>
      <w:tr w:rsidR="00360D5B" w:rsidRPr="008048B3" w14:paraId="30470FDE"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692294C" w14:textId="429154B1" w:rsidR="00360D5B" w:rsidRPr="00A117B2" w:rsidRDefault="00360D5B" w:rsidP="00560E48">
            <w:pPr>
              <w:rPr>
                <w:rFonts w:ascii="Arial Narrow" w:eastAsia="Calibri" w:hAnsi="Arial Narrow"/>
                <w:b/>
                <w:sz w:val="20"/>
                <w:szCs w:val="20"/>
              </w:rPr>
            </w:pPr>
            <w:bookmarkStart w:id="36" w:name="_Hlk90903221"/>
            <w:r w:rsidRPr="00A117B2">
              <w:rPr>
                <w:rFonts w:ascii="Arial Narrow" w:eastAsia="Calibri" w:hAnsi="Arial Narrow" w:cs="Times New Roman"/>
                <w:b/>
                <w:sz w:val="20"/>
                <w:szCs w:val="20"/>
              </w:rPr>
              <w:t>Base listing on Restriction Summary</w:t>
            </w:r>
            <w:r w:rsidRPr="00A117B2">
              <w:rPr>
                <w:rFonts w:ascii="Arial Narrow" w:eastAsia="Calibri" w:hAnsi="Arial Narrow" w:cs="Times New Roman"/>
                <w:b/>
                <w:i/>
                <w:iCs/>
                <w:sz w:val="20"/>
                <w:szCs w:val="20"/>
              </w:rPr>
              <w:t xml:space="preserve"> /</w:t>
            </w:r>
            <w:r w:rsidRPr="00A117B2">
              <w:rPr>
                <w:rFonts w:ascii="Arial Narrow" w:eastAsia="Calibri" w:hAnsi="Arial Narrow" w:cs="Times New Roman"/>
                <w:b/>
                <w:sz w:val="20"/>
                <w:szCs w:val="20"/>
              </w:rPr>
              <w:t xml:space="preserve"> </w:t>
            </w:r>
            <w:proofErr w:type="spellStart"/>
            <w:r w:rsidRPr="00A117B2">
              <w:rPr>
                <w:rFonts w:ascii="Arial Narrow" w:eastAsia="Calibri" w:hAnsi="Arial Narrow" w:cs="Times New Roman"/>
                <w:b/>
                <w:sz w:val="20"/>
                <w:szCs w:val="20"/>
              </w:rPr>
              <w:t>ToC</w:t>
            </w:r>
            <w:proofErr w:type="spellEnd"/>
            <w:r w:rsidRPr="00A117B2">
              <w:rPr>
                <w:rFonts w:ascii="Arial Narrow" w:eastAsia="Calibri" w:hAnsi="Arial Narrow" w:cs="Times New Roman"/>
                <w:b/>
                <w:sz w:val="20"/>
                <w:szCs w:val="20"/>
              </w:rPr>
              <w:t>:</w:t>
            </w:r>
          </w:p>
        </w:tc>
      </w:tr>
      <w:tr w:rsidR="00360D5B" w:rsidRPr="008048B3" w14:paraId="469C7CB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val="restart"/>
            <w:tcBorders>
              <w:top w:val="single" w:sz="4" w:space="0" w:color="auto"/>
              <w:left w:val="single" w:sz="4" w:space="0" w:color="auto"/>
              <w:right w:val="single" w:sz="4" w:space="0" w:color="auto"/>
            </w:tcBorders>
          </w:tcPr>
          <w:p w14:paraId="71560D8F" w14:textId="77777777" w:rsidR="00360D5B" w:rsidRPr="00A117B2" w:rsidRDefault="00360D5B" w:rsidP="00560E48">
            <w:pPr>
              <w:rPr>
                <w:rFonts w:ascii="Arial Narrow" w:eastAsia="Calibri" w:hAnsi="Arial Narrow"/>
                <w:b/>
                <w:sz w:val="20"/>
                <w:szCs w:val="20"/>
              </w:rPr>
            </w:pPr>
            <w:bookmarkStart w:id="37" w:name="_Hlk90903067"/>
          </w:p>
        </w:tc>
        <w:tc>
          <w:tcPr>
            <w:tcW w:w="7654" w:type="dxa"/>
            <w:gridSpan w:val="6"/>
            <w:tcBorders>
              <w:top w:val="single" w:sz="4" w:space="0" w:color="auto"/>
              <w:left w:val="single" w:sz="4" w:space="0" w:color="auto"/>
              <w:bottom w:val="single" w:sz="4" w:space="0" w:color="auto"/>
              <w:right w:val="single" w:sz="4" w:space="0" w:color="auto"/>
            </w:tcBorders>
          </w:tcPr>
          <w:p w14:paraId="0D531014" w14:textId="20721C3C"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Category / Program: </w:t>
            </w:r>
            <w:r w:rsidRPr="00A117B2">
              <w:rPr>
                <w:rFonts w:ascii="Arial Narrow" w:eastAsia="Calibri" w:hAnsi="Arial Narrow"/>
                <w:sz w:val="20"/>
                <w:szCs w:val="20"/>
              </w:rPr>
              <w:t>GENERAL – General Schedule (Code GE)</w:t>
            </w:r>
            <w:r w:rsidRPr="00A117B2">
              <w:rPr>
                <w:rFonts w:ascii="Arial Narrow" w:eastAsia="Calibri" w:hAnsi="Arial Narrow"/>
                <w:color w:val="FF0000"/>
                <w:sz w:val="20"/>
                <w:szCs w:val="20"/>
              </w:rPr>
              <w:t xml:space="preserve"> </w:t>
            </w:r>
          </w:p>
        </w:tc>
      </w:tr>
      <w:tr w:rsidR="00360D5B" w:rsidRPr="008048B3" w14:paraId="2021292B" w14:textId="77777777" w:rsidTr="00560E48">
        <w:tblPrEx>
          <w:tblCellMar>
            <w:top w:w="15" w:type="dxa"/>
            <w:left w:w="15" w:type="dxa"/>
            <w:bottom w:w="15" w:type="dxa"/>
            <w:right w:w="15" w:type="dxa"/>
          </w:tblCellMar>
          <w:tblLook w:val="04A0" w:firstRow="1" w:lastRow="0" w:firstColumn="1" w:lastColumn="0" w:noHBand="0" w:noVBand="1"/>
        </w:tblPrEx>
        <w:trPr>
          <w:trHeight w:val="240"/>
        </w:trPr>
        <w:tc>
          <w:tcPr>
            <w:tcW w:w="1413" w:type="dxa"/>
            <w:gridSpan w:val="2"/>
            <w:vMerge/>
            <w:tcBorders>
              <w:left w:val="single" w:sz="4" w:space="0" w:color="auto"/>
              <w:right w:val="single" w:sz="4" w:space="0" w:color="auto"/>
            </w:tcBorders>
          </w:tcPr>
          <w:p w14:paraId="7C6A8F0A"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1EFE62CE" w14:textId="77777777" w:rsidR="00360D5B" w:rsidRPr="00A117B2" w:rsidRDefault="00360D5B" w:rsidP="00560E48">
            <w:pPr>
              <w:rPr>
                <w:rFonts w:ascii="Arial Narrow" w:eastAsia="Calibri" w:hAnsi="Arial Narrow"/>
                <w:b/>
                <w:sz w:val="20"/>
                <w:szCs w:val="20"/>
              </w:rPr>
            </w:pPr>
            <w:r w:rsidRPr="00A117B2">
              <w:rPr>
                <w:rFonts w:ascii="Arial Narrow" w:eastAsia="Calibri" w:hAnsi="Arial Narrow"/>
                <w:b/>
                <w:sz w:val="20"/>
                <w:szCs w:val="20"/>
              </w:rPr>
              <w:t xml:space="preserve">Prescriber type: </w:t>
            </w:r>
            <w:r w:rsidRPr="00A117B2">
              <w:rPr>
                <w:rFonts w:ascii="Arial Narrow" w:eastAsia="Calibri" w:hAnsi="Arial Narrow"/>
                <w:sz w:val="20"/>
                <w:szCs w:val="20"/>
              </w:rPr>
              <w:fldChar w:fldCharType="begin">
                <w:ffData>
                  <w:name w:val=""/>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Medical Practitioners</w:t>
            </w:r>
          </w:p>
        </w:tc>
      </w:tr>
      <w:tr w:rsidR="00360D5B" w:rsidRPr="008048B3" w14:paraId="4FDA568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tcBorders>
              <w:left w:val="single" w:sz="4" w:space="0" w:color="auto"/>
              <w:bottom w:val="single" w:sz="4" w:space="0" w:color="auto"/>
              <w:right w:val="single" w:sz="4" w:space="0" w:color="auto"/>
            </w:tcBorders>
          </w:tcPr>
          <w:p w14:paraId="3335102B"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15BA0848" w14:textId="77777777"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Restriction type: </w:t>
            </w:r>
          </w:p>
          <w:p w14:paraId="1CDC70A6" w14:textId="77777777" w:rsidR="00360D5B" w:rsidRPr="00A117B2" w:rsidRDefault="00360D5B" w:rsidP="00560E48">
            <w:pPr>
              <w:rPr>
                <w:rFonts w:ascii="Arial Narrow" w:eastAsia="Calibri" w:hAnsi="Arial Narrow"/>
                <w:color w:val="FF00FF"/>
                <w:sz w:val="20"/>
                <w:szCs w:val="20"/>
              </w:rPr>
            </w:pPr>
            <w:r w:rsidRPr="00A117B2">
              <w:rPr>
                <w:rFonts w:ascii="Arial Narrow" w:eastAsia="Calibri" w:hAnsi="Arial Narrow"/>
                <w:sz w:val="20"/>
                <w:szCs w:val="20"/>
              </w:rPr>
              <w:fldChar w:fldCharType="begin">
                <w:ffData>
                  <w:name w:val="Check1"/>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 xml:space="preserve"> Authority Required (in-writing only via post/HPOS upload)</w:t>
            </w:r>
            <w:r w:rsidRPr="00A117B2" w:rsidDel="001F6DB9">
              <w:rPr>
                <w:rFonts w:ascii="Arial Narrow" w:eastAsia="Calibri" w:hAnsi="Arial Narrow"/>
                <w:i/>
                <w:iCs/>
                <w:sz w:val="20"/>
                <w:szCs w:val="20"/>
              </w:rPr>
              <w:t xml:space="preserve"> </w:t>
            </w:r>
          </w:p>
        </w:tc>
      </w:tr>
      <w:bookmarkEnd w:id="37"/>
      <w:tr w:rsidR="00360D5B" w:rsidRPr="008048B3" w14:paraId="7B115396"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0635C100" w14:textId="43C2C3C0" w:rsidR="00360D5B" w:rsidRPr="00A117B2" w:rsidRDefault="00360D5B" w:rsidP="00560E48">
            <w:pPr>
              <w:ind w:left="113" w:right="113"/>
              <w:rPr>
                <w:rFonts w:ascii="Arial Narrow" w:eastAsia="Calibri" w:hAnsi="Arial Narrow"/>
                <w:sz w:val="20"/>
                <w:szCs w:val="20"/>
              </w:rPr>
            </w:pPr>
          </w:p>
        </w:tc>
        <w:tc>
          <w:tcPr>
            <w:tcW w:w="1134" w:type="dxa"/>
            <w:vAlign w:val="center"/>
          </w:tcPr>
          <w:p w14:paraId="5739D592" w14:textId="21DC8534" w:rsidR="00360D5B" w:rsidRPr="00A117B2" w:rsidRDefault="00360D5B" w:rsidP="00560E48">
            <w:pPr>
              <w:jc w:val="center"/>
              <w:rPr>
                <w:rFonts w:ascii="Arial Narrow" w:hAnsi="Arial Narrow" w:cs="Times New Roman"/>
                <w:i/>
                <w:iCs/>
                <w:color w:val="333333"/>
                <w:sz w:val="20"/>
                <w:szCs w:val="20"/>
              </w:rPr>
            </w:pPr>
          </w:p>
        </w:tc>
        <w:tc>
          <w:tcPr>
            <w:tcW w:w="7654" w:type="dxa"/>
            <w:gridSpan w:val="6"/>
            <w:vAlign w:val="center"/>
          </w:tcPr>
          <w:p w14:paraId="60C32132"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Administrative Advice:</w:t>
            </w:r>
          </w:p>
          <w:p w14:paraId="38DD6F3B"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TREATMENT OF ADULT PATIENTS WITH SEVERE ACTIVE PSORIATIC ARTHRITIS</w:t>
            </w:r>
          </w:p>
          <w:p w14:paraId="2200EBC6" w14:textId="77777777" w:rsidR="00360D5B" w:rsidRPr="00A117B2" w:rsidRDefault="00360D5B" w:rsidP="00560E48">
            <w:pPr>
              <w:rPr>
                <w:rFonts w:ascii="Arial Narrow" w:hAnsi="Arial Narrow" w:cs="Times New Roman"/>
                <w:color w:val="333333"/>
                <w:sz w:val="20"/>
                <w:szCs w:val="20"/>
              </w:rPr>
            </w:pPr>
          </w:p>
          <w:p w14:paraId="1861CD65"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i/>
                <w:iCs/>
                <w:color w:val="333333"/>
                <w:sz w:val="20"/>
                <w:szCs w:val="20"/>
              </w:rPr>
              <w:t>As above (not shown here in full for brevity reasons)</w:t>
            </w:r>
            <w:r w:rsidRPr="00A117B2">
              <w:rPr>
                <w:rFonts w:ascii="Arial Narrow" w:hAnsi="Arial Narrow" w:cs="Times New Roman"/>
                <w:color w:val="333333"/>
                <w:sz w:val="20"/>
                <w:szCs w:val="20"/>
              </w:rPr>
              <w:t>.</w:t>
            </w:r>
          </w:p>
        </w:tc>
      </w:tr>
      <w:tr w:rsidR="00360D5B" w:rsidRPr="008048B3" w14:paraId="08884A78"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62C08EA9" w14:textId="77777777" w:rsidR="00360D5B" w:rsidRPr="00A117B2" w:rsidRDefault="00360D5B" w:rsidP="00560E48">
            <w:pPr>
              <w:rPr>
                <w:rFonts w:ascii="Arial Narrow" w:eastAsia="Calibri" w:hAnsi="Arial Narrow"/>
                <w:sz w:val="20"/>
                <w:szCs w:val="20"/>
              </w:rPr>
            </w:pPr>
          </w:p>
        </w:tc>
        <w:tc>
          <w:tcPr>
            <w:tcW w:w="1134" w:type="dxa"/>
            <w:vAlign w:val="center"/>
          </w:tcPr>
          <w:p w14:paraId="102DDC43" w14:textId="23EED750"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4A67BB46"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quantity or number of units may be authorised.</w:t>
            </w:r>
          </w:p>
        </w:tc>
      </w:tr>
      <w:tr w:rsidR="00360D5B" w:rsidRPr="008048B3" w14:paraId="422D6C91"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6F9D8F7E" w14:textId="77777777" w:rsidR="00360D5B" w:rsidRPr="00A117B2" w:rsidRDefault="00360D5B" w:rsidP="00560E48">
            <w:pPr>
              <w:rPr>
                <w:rFonts w:ascii="Arial Narrow" w:eastAsia="Calibri" w:hAnsi="Arial Narrow"/>
                <w:sz w:val="20"/>
                <w:szCs w:val="20"/>
              </w:rPr>
            </w:pPr>
          </w:p>
        </w:tc>
        <w:tc>
          <w:tcPr>
            <w:tcW w:w="1134" w:type="dxa"/>
            <w:vAlign w:val="center"/>
          </w:tcPr>
          <w:p w14:paraId="0A96D3EE" w14:textId="1CC6CD1D"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574D0E60"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number of repeats may be authorised.</w:t>
            </w:r>
          </w:p>
        </w:tc>
      </w:tr>
      <w:tr w:rsidR="00360D5B" w:rsidRPr="008048B3" w14:paraId="2CBEB568" w14:textId="77777777" w:rsidTr="00560E48">
        <w:tblPrEx>
          <w:tblCellMar>
            <w:top w:w="15" w:type="dxa"/>
            <w:left w:w="15" w:type="dxa"/>
            <w:bottom w:w="15" w:type="dxa"/>
            <w:right w:w="15" w:type="dxa"/>
          </w:tblCellMar>
          <w:tblLook w:val="04A0" w:firstRow="1" w:lastRow="0" w:firstColumn="1" w:lastColumn="0" w:noHBand="0" w:noVBand="1"/>
        </w:tblPrEx>
        <w:tc>
          <w:tcPr>
            <w:tcW w:w="279" w:type="dxa"/>
            <w:tcBorders>
              <w:left w:val="single" w:sz="4" w:space="0" w:color="auto"/>
              <w:bottom w:val="single" w:sz="4" w:space="0" w:color="auto"/>
              <w:right w:val="single" w:sz="4" w:space="0" w:color="auto"/>
            </w:tcBorders>
          </w:tcPr>
          <w:p w14:paraId="63AABB88" w14:textId="77777777" w:rsidR="00360D5B" w:rsidRPr="00A117B2" w:rsidRDefault="00360D5B" w:rsidP="00560E48">
            <w:pPr>
              <w:rPr>
                <w:rFonts w:ascii="Arial Narrow" w:eastAsia="Calibri" w:hAnsi="Arial Narrow"/>
                <w:sz w:val="20"/>
                <w:szCs w:val="20"/>
              </w:rPr>
            </w:pPr>
          </w:p>
        </w:tc>
        <w:tc>
          <w:tcPr>
            <w:tcW w:w="1134" w:type="dxa"/>
            <w:vAlign w:val="center"/>
          </w:tcPr>
          <w:p w14:paraId="27E94DD7" w14:textId="11B79C18"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3C5BE721"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Special Pricing Arrangements apply.</w:t>
            </w:r>
          </w:p>
        </w:tc>
      </w:tr>
      <w:tr w:rsidR="00360D5B" w:rsidRPr="008048B3" w14:paraId="16CE79E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B421725" w14:textId="4BEBEDE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17EC168"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Indication: </w:t>
            </w:r>
            <w:r w:rsidRPr="00A117B2">
              <w:rPr>
                <w:rFonts w:ascii="Arial Narrow" w:hAnsi="Arial Narrow" w:cs="Times New Roman"/>
                <w:sz w:val="20"/>
                <w:szCs w:val="20"/>
              </w:rPr>
              <w:t>Severe psoriatic arthritis</w:t>
            </w:r>
          </w:p>
        </w:tc>
      </w:tr>
      <w:tr w:rsidR="00360D5B" w:rsidRPr="008048B3" w14:paraId="4898E00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A26E1C5"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0AFF00D"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Treatment Phase: </w:t>
            </w:r>
            <w:r w:rsidRPr="00A117B2">
              <w:rPr>
                <w:rFonts w:ascii="Arial Narrow" w:hAnsi="Arial Narrow" w:cs="Times New Roman"/>
                <w:sz w:val="20"/>
                <w:szCs w:val="20"/>
              </w:rPr>
              <w:t>Initial treatment - Initial 2 (change or recommencement of treatment after a break in biological medicine of less than 5 years)</w:t>
            </w:r>
          </w:p>
        </w:tc>
      </w:tr>
      <w:tr w:rsidR="00360D5B" w:rsidRPr="008048B3" w14:paraId="48974D29" w14:textId="77777777" w:rsidTr="00C619FE">
        <w:tblPrEx>
          <w:tblCellMar>
            <w:top w:w="15" w:type="dxa"/>
            <w:left w:w="15" w:type="dxa"/>
            <w:bottom w:w="15" w:type="dxa"/>
            <w:right w:w="15" w:type="dxa"/>
          </w:tblCellMar>
        </w:tblPrEx>
        <w:tc>
          <w:tcPr>
            <w:tcW w:w="1413" w:type="dxa"/>
            <w:gridSpan w:val="2"/>
            <w:vAlign w:val="center"/>
          </w:tcPr>
          <w:p w14:paraId="2BD6C342" w14:textId="3513998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90D919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Treatment criteria:</w:t>
            </w:r>
          </w:p>
        </w:tc>
      </w:tr>
      <w:tr w:rsidR="00360D5B" w:rsidRPr="008048B3" w14:paraId="58E6B789" w14:textId="77777777" w:rsidTr="00C619FE">
        <w:tblPrEx>
          <w:tblCellMar>
            <w:top w:w="15" w:type="dxa"/>
            <w:left w:w="15" w:type="dxa"/>
            <w:bottom w:w="15" w:type="dxa"/>
            <w:right w:w="15" w:type="dxa"/>
          </w:tblCellMar>
        </w:tblPrEx>
        <w:tc>
          <w:tcPr>
            <w:tcW w:w="1413" w:type="dxa"/>
            <w:gridSpan w:val="2"/>
            <w:vAlign w:val="center"/>
          </w:tcPr>
          <w:p w14:paraId="6F77E8AC" w14:textId="4BF6AB1C" w:rsidR="00360D5B" w:rsidRPr="00A117B2" w:rsidRDefault="00360D5B" w:rsidP="00560E48">
            <w:pPr>
              <w:jc w:val="center"/>
              <w:rPr>
                <w:rFonts w:ascii="Arial Narrow" w:hAnsi="Arial Narrow" w:cs="Times New Roman"/>
                <w:sz w:val="20"/>
                <w:szCs w:val="20"/>
              </w:rPr>
            </w:pPr>
          </w:p>
        </w:tc>
        <w:tc>
          <w:tcPr>
            <w:tcW w:w="7654" w:type="dxa"/>
            <w:gridSpan w:val="6"/>
            <w:vAlign w:val="center"/>
            <w:hideMark/>
          </w:tcPr>
          <w:p w14:paraId="6625F2F6"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rheumatologist; or</w:t>
            </w:r>
          </w:p>
        </w:tc>
      </w:tr>
      <w:tr w:rsidR="00360D5B" w:rsidRPr="008048B3" w14:paraId="7224260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61BD963" w14:textId="510F38CC"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56F83E8"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clinical immunologist with expertise in the management of psoriatic arthritis</w:t>
            </w:r>
          </w:p>
        </w:tc>
      </w:tr>
      <w:tr w:rsidR="00360D5B" w:rsidRPr="008048B3" w14:paraId="0007646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FD4F1ED"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7520144"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7042BE6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6A3569A" w14:textId="5002CBF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33E189B"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bookmarkEnd w:id="36"/>
      <w:tr w:rsidR="00360D5B" w:rsidRPr="008048B3" w14:paraId="66C0731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B909725" w14:textId="1657A51D"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50332C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received prior PBS-subsidised treatment with a biological medicine for this condition in this treatment cycle</w:t>
            </w:r>
          </w:p>
        </w:tc>
      </w:tr>
      <w:tr w:rsidR="00360D5B" w:rsidRPr="008048B3" w14:paraId="4AC1531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00CB917"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3255883"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2AA53FE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59C5A27" w14:textId="3B660FF8"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A3B93E4"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235FF787"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0919C52" w14:textId="557F6D0B"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D26C4F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not have already failed, or ceased to respond to, PBS-subsidised treatment with 3 biological medicines for this condition within this treatment cycle</w:t>
            </w:r>
          </w:p>
        </w:tc>
      </w:tr>
      <w:tr w:rsidR="00360D5B" w:rsidRPr="008048B3" w14:paraId="29F621B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3A7B2D0"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38394F4"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5EFFF98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2794C57" w14:textId="14871192"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2728909"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5B911D9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F18E2C8"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8C0E80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not have already failed, or ceased to respond to, PBS-subsidised treatment with this drug for this condition during the current treatment cycle</w:t>
            </w:r>
          </w:p>
        </w:tc>
      </w:tr>
      <w:tr w:rsidR="00360D5B" w:rsidRPr="008048B3" w14:paraId="3EAA013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9282E26"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57F45EA"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09923D7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AFE7C32" w14:textId="1E38EB81"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FEF4762"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489FFB8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A4BCC6D" w14:textId="08AF841D"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8EE4A29"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not receive more than 28</w:t>
            </w:r>
            <w:r w:rsidRPr="00A117B2">
              <w:rPr>
                <w:rFonts w:ascii="Arial Narrow" w:hAnsi="Arial Narrow" w:cs="Times New Roman"/>
                <w:i/>
                <w:iCs/>
                <w:sz w:val="20"/>
                <w:szCs w:val="20"/>
              </w:rPr>
              <w:t xml:space="preserve"> </w:t>
            </w:r>
            <w:r w:rsidRPr="00A117B2">
              <w:rPr>
                <w:rFonts w:ascii="Arial Narrow" w:hAnsi="Arial Narrow" w:cs="Times New Roman"/>
                <w:sz w:val="20"/>
                <w:szCs w:val="20"/>
              </w:rPr>
              <w:t>weeks of treatment under this restriction</w:t>
            </w:r>
          </w:p>
        </w:tc>
      </w:tr>
      <w:tr w:rsidR="00360D5B" w:rsidRPr="008048B3" w14:paraId="508BA7D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C826FAC"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302E156"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374645A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8B39A6F" w14:textId="506C149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D38634D"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Population criteria:</w:t>
            </w:r>
          </w:p>
        </w:tc>
      </w:tr>
      <w:tr w:rsidR="00360D5B" w:rsidRPr="008048B3" w14:paraId="58DF287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DEC13B5" w14:textId="5D5FC132"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4BCC506"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be aged 18 years or older</w:t>
            </w:r>
          </w:p>
        </w:tc>
      </w:tr>
      <w:tr w:rsidR="00360D5B" w:rsidRPr="008048B3" w14:paraId="14AF3B0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420E475" w14:textId="3D83862A"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CE913F3"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0EE8073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177543B" w14:textId="79BEBB6B"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9E71E1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authority application must be made in writing and must include:</w:t>
            </w:r>
          </w:p>
          <w:p w14:paraId="327B581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 a completed authority prescription form(s); and</w:t>
            </w:r>
          </w:p>
          <w:p w14:paraId="40EE3EB2"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sz w:val="20"/>
                <w:szCs w:val="20"/>
              </w:rPr>
              <w:t>(b) a completed authority application form relevant to the indication and treatment phase (the latest version is located on the website specified in the Administrative Advice).</w:t>
            </w:r>
          </w:p>
        </w:tc>
      </w:tr>
      <w:tr w:rsidR="00360D5B" w:rsidRPr="008048B3" w14:paraId="5AA303D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6686BB7" w14:textId="2528E09F"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EF93CED"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5981664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AD86F8F"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C3C89DB"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tc>
      </w:tr>
      <w:tr w:rsidR="00360D5B" w:rsidRPr="008048B3" w14:paraId="6457D23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43DBC2F" w14:textId="2C3E0B34"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F6943B8"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59D68D5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8288929"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622A31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 xml:space="preserve">Where the most recent course of PBS-subsidised biological medicine treatment was approved under either Initial 1, Initial 2, Initial </w:t>
            </w:r>
            <w:proofErr w:type="gramStart"/>
            <w:r w:rsidRPr="00A117B2">
              <w:rPr>
                <w:rFonts w:ascii="Arial Narrow" w:hAnsi="Arial Narrow" w:cs="Times New Roman"/>
                <w:sz w:val="20"/>
                <w:szCs w:val="20"/>
              </w:rPr>
              <w:t>3</w:t>
            </w:r>
            <w:proofErr w:type="gramEnd"/>
            <w:r w:rsidRPr="00A117B2">
              <w:rPr>
                <w:rFonts w:ascii="Arial Narrow" w:hAnsi="Arial Narrow" w:cs="Times New Roman"/>
                <w:sz w:val="20"/>
                <w:szCs w:val="20"/>
              </w:rPr>
              <w:t xml:space="preserve"> or continuing treatment restrictions, an assessment of a patient's response must have been conducted following a minimum of 12 weeks of therapy.</w:t>
            </w:r>
          </w:p>
        </w:tc>
      </w:tr>
      <w:tr w:rsidR="00360D5B" w:rsidRPr="008048B3" w14:paraId="2B07F24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6F9AF28" w14:textId="6340A2C1"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3C155DF"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187EBD6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AE746D7"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595A243"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Where an assessment is not conducted within these timeframes, the patient will be deemed to have failed to respond, or to have failed to sustain a response to treatment with this drug.</w:t>
            </w:r>
          </w:p>
        </w:tc>
      </w:tr>
      <w:tr w:rsidR="00360D5B" w:rsidRPr="008048B3" w14:paraId="1C29C07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135FDAD" w14:textId="41B0B049"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F51B216"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31CF793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8C9AA91"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BA1308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 xml:space="preserve">If a patient fails to demonstrate a response to treatment with this </w:t>
            </w:r>
            <w:proofErr w:type="gramStart"/>
            <w:r w:rsidRPr="00A117B2">
              <w:rPr>
                <w:rFonts w:ascii="Arial Narrow" w:hAnsi="Arial Narrow" w:cs="Times New Roman"/>
                <w:sz w:val="20"/>
                <w:szCs w:val="20"/>
              </w:rPr>
              <w:t>drug</w:t>
            </w:r>
            <w:proofErr w:type="gramEnd"/>
            <w:r w:rsidRPr="00A117B2">
              <w:rPr>
                <w:rFonts w:ascii="Arial Narrow" w:hAnsi="Arial Narrow" w:cs="Times New Roman"/>
                <w:sz w:val="20"/>
                <w:szCs w:val="20"/>
              </w:rPr>
              <w:t xml:space="preserve"> they will not be eligible to receive further PBS-subsidised treatment with this drug for this condition. Serious adverse reaction of a severity resulting in the necessity for permanent withdrawal of treatment is not considered as a treatment failure.</w:t>
            </w:r>
          </w:p>
        </w:tc>
      </w:tr>
      <w:tr w:rsidR="00360D5B" w:rsidRPr="008048B3" w14:paraId="0AD0847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F6937F2" w14:textId="3267C91F"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2943561"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4C91F6D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C765B83"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3A1ADB5"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360D5B" w:rsidRPr="008048B3" w14:paraId="311CBAB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6B8244D" w14:textId="529B739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155514D"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Administrative Advice:</w:t>
            </w:r>
          </w:p>
        </w:tc>
      </w:tr>
      <w:tr w:rsidR="00360D5B" w:rsidRPr="008048B3" w14:paraId="5613A67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6339363" w14:textId="30AF4792"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3AA0A7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Any queries concerning the arrangements to prescribe may be directed to Services Australia on 1800 700 270 (hours of operation 8 a.m. to 5 p.m. EST Monday to Friday).</w:t>
            </w:r>
          </w:p>
          <w:p w14:paraId="5D5F63D8"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Prescribing information (including Authority Application forms and other relevant documentation as applicable) is available on the Services Australia website at www.servicesaustralia.gov.au</w:t>
            </w:r>
          </w:p>
          <w:p w14:paraId="2F864AB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Applications for authority to prescribe should be submitted online using the form upload facility in Health Professional Online Services (HPOS) at www.servicesaustralia.gov.au/hpos</w:t>
            </w:r>
          </w:p>
          <w:p w14:paraId="4DEDCC0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Or mailed to:</w:t>
            </w:r>
          </w:p>
          <w:p w14:paraId="36B968E3"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Services Australia</w:t>
            </w:r>
          </w:p>
          <w:p w14:paraId="01F98A5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Complex Drugs</w:t>
            </w:r>
          </w:p>
          <w:p w14:paraId="5D3DA03F"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Reply Paid 9826</w:t>
            </w:r>
          </w:p>
          <w:p w14:paraId="20396CE7"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sz w:val="20"/>
                <w:szCs w:val="20"/>
              </w:rPr>
              <w:t>HOBART TAS 7001</w:t>
            </w:r>
          </w:p>
        </w:tc>
      </w:tr>
      <w:tr w:rsidR="00360D5B" w:rsidRPr="008048B3" w14:paraId="2011B38D"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4AE7220A" w14:textId="77777777" w:rsidR="00360D5B" w:rsidRPr="00A117B2" w:rsidRDefault="00360D5B" w:rsidP="00560E48">
            <w:pPr>
              <w:rPr>
                <w:rFonts w:ascii="Arial Narrow" w:hAnsi="Arial Narrow" w:cs="Times New Roman"/>
                <w:b/>
                <w:bCs/>
                <w:sz w:val="20"/>
                <w:szCs w:val="20"/>
              </w:rPr>
            </w:pPr>
          </w:p>
        </w:tc>
      </w:tr>
      <w:tr w:rsidR="00360D5B" w:rsidRPr="008048B3" w14:paraId="47C835C5"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6221DA7F" w14:textId="47AA315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Base on Restriction Summary</w:t>
            </w:r>
            <w:r w:rsidRPr="00A117B2">
              <w:rPr>
                <w:rFonts w:ascii="Arial Narrow" w:hAnsi="Arial Narrow" w:cs="Times New Roman"/>
                <w:b/>
                <w:bCs/>
                <w:i/>
                <w:iCs/>
                <w:sz w:val="20"/>
                <w:szCs w:val="20"/>
              </w:rPr>
              <w:t xml:space="preserve"> /</w:t>
            </w:r>
            <w:r w:rsidRPr="00A117B2">
              <w:rPr>
                <w:rFonts w:ascii="Arial Narrow" w:hAnsi="Arial Narrow" w:cs="Times New Roman"/>
                <w:b/>
                <w:bCs/>
                <w:sz w:val="20"/>
                <w:szCs w:val="20"/>
              </w:rPr>
              <w:t xml:space="preserve"> </w:t>
            </w:r>
            <w:proofErr w:type="spellStart"/>
            <w:r w:rsidRPr="00A117B2">
              <w:rPr>
                <w:rFonts w:ascii="Arial Narrow" w:hAnsi="Arial Narrow" w:cs="Times New Roman"/>
                <w:b/>
                <w:bCs/>
                <w:sz w:val="20"/>
                <w:szCs w:val="20"/>
              </w:rPr>
              <w:t>ToC</w:t>
            </w:r>
            <w:proofErr w:type="spellEnd"/>
            <w:r w:rsidRPr="00A117B2">
              <w:rPr>
                <w:rFonts w:ascii="Arial Narrow" w:hAnsi="Arial Narrow" w:cs="Times New Roman"/>
                <w:b/>
                <w:bCs/>
                <w:sz w:val="20"/>
                <w:szCs w:val="20"/>
              </w:rPr>
              <w:t xml:space="preserve">: </w:t>
            </w:r>
          </w:p>
        </w:tc>
      </w:tr>
      <w:bookmarkEnd w:id="35"/>
      <w:tr w:rsidR="00360D5B" w:rsidRPr="008048B3" w14:paraId="5A58CA2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val="restart"/>
            <w:tcBorders>
              <w:top w:val="single" w:sz="4" w:space="0" w:color="auto"/>
              <w:left w:val="single" w:sz="4" w:space="0" w:color="auto"/>
              <w:right w:val="single" w:sz="4" w:space="0" w:color="auto"/>
            </w:tcBorders>
          </w:tcPr>
          <w:p w14:paraId="0B303AEF" w14:textId="77777777" w:rsidR="00360D5B" w:rsidRPr="00A117B2" w:rsidRDefault="00360D5B" w:rsidP="00560E48">
            <w:pPr>
              <w:rPr>
                <w:rFonts w:ascii="Arial Narrow" w:eastAsia="Calibri" w:hAnsi="Arial Narrow"/>
                <w:b/>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54519F4A" w14:textId="492BD973"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Category / Program: </w:t>
            </w:r>
            <w:r w:rsidRPr="00A117B2">
              <w:rPr>
                <w:rFonts w:ascii="Arial Narrow" w:eastAsia="Calibri" w:hAnsi="Arial Narrow"/>
                <w:sz w:val="20"/>
                <w:szCs w:val="20"/>
              </w:rPr>
              <w:t>GENERAL – General Schedule (Code GE)</w:t>
            </w:r>
            <w:r w:rsidRPr="00A117B2">
              <w:rPr>
                <w:rFonts w:ascii="Arial Narrow" w:eastAsia="Calibri" w:hAnsi="Arial Narrow"/>
                <w:color w:val="FF0000"/>
                <w:sz w:val="20"/>
                <w:szCs w:val="20"/>
              </w:rPr>
              <w:t xml:space="preserve"> </w:t>
            </w:r>
          </w:p>
        </w:tc>
      </w:tr>
      <w:tr w:rsidR="00360D5B" w:rsidRPr="008048B3" w14:paraId="0DEDF2D8" w14:textId="77777777" w:rsidTr="00560E48">
        <w:tblPrEx>
          <w:tblCellMar>
            <w:top w:w="15" w:type="dxa"/>
            <w:left w:w="15" w:type="dxa"/>
            <w:bottom w:w="15" w:type="dxa"/>
            <w:right w:w="15" w:type="dxa"/>
          </w:tblCellMar>
          <w:tblLook w:val="04A0" w:firstRow="1" w:lastRow="0" w:firstColumn="1" w:lastColumn="0" w:noHBand="0" w:noVBand="1"/>
        </w:tblPrEx>
        <w:trPr>
          <w:trHeight w:val="240"/>
        </w:trPr>
        <w:tc>
          <w:tcPr>
            <w:tcW w:w="1413" w:type="dxa"/>
            <w:gridSpan w:val="2"/>
            <w:vMerge/>
            <w:tcBorders>
              <w:left w:val="single" w:sz="4" w:space="0" w:color="auto"/>
              <w:right w:val="single" w:sz="4" w:space="0" w:color="auto"/>
            </w:tcBorders>
          </w:tcPr>
          <w:p w14:paraId="1B4F0B37"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426DEB70" w14:textId="77777777" w:rsidR="00360D5B" w:rsidRPr="00A117B2" w:rsidRDefault="00360D5B" w:rsidP="00560E48">
            <w:pPr>
              <w:rPr>
                <w:rFonts w:ascii="Arial Narrow" w:eastAsia="Calibri" w:hAnsi="Arial Narrow"/>
                <w:b/>
                <w:sz w:val="20"/>
                <w:szCs w:val="20"/>
              </w:rPr>
            </w:pPr>
            <w:r w:rsidRPr="00A117B2">
              <w:rPr>
                <w:rFonts w:ascii="Arial Narrow" w:eastAsia="Calibri" w:hAnsi="Arial Narrow"/>
                <w:b/>
                <w:sz w:val="20"/>
                <w:szCs w:val="20"/>
              </w:rPr>
              <w:t xml:space="preserve">Prescriber type: </w:t>
            </w:r>
            <w:r w:rsidRPr="00A117B2">
              <w:rPr>
                <w:rFonts w:ascii="Arial Narrow" w:eastAsia="Calibri" w:hAnsi="Arial Narrow"/>
                <w:sz w:val="20"/>
                <w:szCs w:val="20"/>
              </w:rPr>
              <w:fldChar w:fldCharType="begin">
                <w:ffData>
                  <w:name w:val=""/>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Medical Practitioners</w:t>
            </w:r>
          </w:p>
        </w:tc>
      </w:tr>
      <w:tr w:rsidR="00360D5B" w:rsidRPr="008048B3" w14:paraId="4B7EDA7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tcBorders>
              <w:left w:val="single" w:sz="4" w:space="0" w:color="auto"/>
              <w:bottom w:val="single" w:sz="4" w:space="0" w:color="auto"/>
              <w:right w:val="single" w:sz="4" w:space="0" w:color="auto"/>
            </w:tcBorders>
          </w:tcPr>
          <w:p w14:paraId="7C8A030F"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55A4584D" w14:textId="77777777"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Restriction type: </w:t>
            </w:r>
          </w:p>
          <w:p w14:paraId="1CDC5392" w14:textId="3241FEEC" w:rsidR="00360D5B" w:rsidRPr="00A117B2" w:rsidRDefault="00360D5B" w:rsidP="00560E48">
            <w:pPr>
              <w:rPr>
                <w:rFonts w:ascii="Arial Narrow" w:eastAsia="Calibri" w:hAnsi="Arial Narrow"/>
                <w:color w:val="FF00FF"/>
                <w:sz w:val="20"/>
                <w:szCs w:val="20"/>
              </w:rPr>
            </w:pPr>
            <w:r w:rsidRPr="00A117B2">
              <w:rPr>
                <w:rFonts w:ascii="Arial Narrow" w:eastAsia="Calibri" w:hAnsi="Arial Narrow"/>
                <w:sz w:val="20"/>
                <w:szCs w:val="20"/>
              </w:rPr>
              <w:fldChar w:fldCharType="begin">
                <w:ffData>
                  <w:name w:val="Check1"/>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 xml:space="preserve"> Authority Required (in-writing only via post/HPOS upload</w:t>
            </w:r>
          </w:p>
        </w:tc>
      </w:tr>
      <w:tr w:rsidR="00360D5B" w:rsidRPr="008048B3" w14:paraId="257D447A"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5C8FB336" w14:textId="3822D9A9" w:rsidR="00360D5B" w:rsidRPr="00A117B2" w:rsidRDefault="00360D5B" w:rsidP="00560E48">
            <w:pPr>
              <w:ind w:left="113" w:right="113"/>
              <w:rPr>
                <w:rFonts w:ascii="Arial Narrow" w:eastAsia="Calibri" w:hAnsi="Arial Narrow"/>
                <w:sz w:val="20"/>
                <w:szCs w:val="20"/>
              </w:rPr>
            </w:pPr>
          </w:p>
        </w:tc>
        <w:tc>
          <w:tcPr>
            <w:tcW w:w="1134" w:type="dxa"/>
            <w:vAlign w:val="center"/>
          </w:tcPr>
          <w:p w14:paraId="0FDB105D" w14:textId="2C04ECF5" w:rsidR="00360D5B" w:rsidRPr="00A117B2" w:rsidRDefault="00360D5B" w:rsidP="00560E48">
            <w:pPr>
              <w:jc w:val="center"/>
              <w:rPr>
                <w:rFonts w:ascii="Arial Narrow" w:hAnsi="Arial Narrow" w:cs="Times New Roman"/>
                <w:i/>
                <w:iCs/>
                <w:color w:val="333333"/>
                <w:sz w:val="20"/>
                <w:szCs w:val="20"/>
              </w:rPr>
            </w:pPr>
          </w:p>
        </w:tc>
        <w:tc>
          <w:tcPr>
            <w:tcW w:w="7654" w:type="dxa"/>
            <w:gridSpan w:val="6"/>
            <w:vAlign w:val="center"/>
          </w:tcPr>
          <w:p w14:paraId="620F68EB"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Administrative Advice:</w:t>
            </w:r>
          </w:p>
          <w:p w14:paraId="0438F4DD"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TREATMENT OF ADULT PATIENTS WITH SEVERE ACTIVE PSORIATIC ARTHRITIS</w:t>
            </w:r>
          </w:p>
          <w:p w14:paraId="18166E92" w14:textId="77777777" w:rsidR="00360D5B" w:rsidRPr="00A117B2" w:rsidRDefault="00360D5B" w:rsidP="00560E48">
            <w:pPr>
              <w:rPr>
                <w:rFonts w:ascii="Arial Narrow" w:hAnsi="Arial Narrow" w:cs="Times New Roman"/>
                <w:color w:val="333333"/>
                <w:sz w:val="20"/>
                <w:szCs w:val="20"/>
              </w:rPr>
            </w:pPr>
          </w:p>
          <w:p w14:paraId="2F9C97EE"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i/>
                <w:iCs/>
                <w:color w:val="333333"/>
                <w:sz w:val="20"/>
                <w:szCs w:val="20"/>
              </w:rPr>
              <w:t>As above (not shown here in full for brevity reasons)</w:t>
            </w:r>
            <w:r w:rsidRPr="00A117B2">
              <w:rPr>
                <w:rFonts w:ascii="Arial Narrow" w:hAnsi="Arial Narrow" w:cs="Times New Roman"/>
                <w:color w:val="333333"/>
                <w:sz w:val="20"/>
                <w:szCs w:val="20"/>
              </w:rPr>
              <w:t>.</w:t>
            </w:r>
          </w:p>
        </w:tc>
      </w:tr>
      <w:tr w:rsidR="00360D5B" w:rsidRPr="008048B3" w14:paraId="3039E976"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51B8CCF1" w14:textId="77777777" w:rsidR="00360D5B" w:rsidRPr="00A117B2" w:rsidRDefault="00360D5B" w:rsidP="00560E48">
            <w:pPr>
              <w:rPr>
                <w:rFonts w:ascii="Arial Narrow" w:eastAsia="Calibri" w:hAnsi="Arial Narrow"/>
                <w:sz w:val="20"/>
                <w:szCs w:val="20"/>
              </w:rPr>
            </w:pPr>
          </w:p>
        </w:tc>
        <w:tc>
          <w:tcPr>
            <w:tcW w:w="1134" w:type="dxa"/>
            <w:vAlign w:val="center"/>
          </w:tcPr>
          <w:p w14:paraId="399B2479" w14:textId="54032E32"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0FD31784"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quantity or number of units may be authorised.</w:t>
            </w:r>
          </w:p>
        </w:tc>
      </w:tr>
      <w:tr w:rsidR="00360D5B" w:rsidRPr="008048B3" w14:paraId="2D285061"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38BE2AC9" w14:textId="77777777" w:rsidR="00360D5B" w:rsidRPr="00A117B2" w:rsidRDefault="00360D5B" w:rsidP="00560E48">
            <w:pPr>
              <w:rPr>
                <w:rFonts w:ascii="Arial Narrow" w:eastAsia="Calibri" w:hAnsi="Arial Narrow"/>
                <w:sz w:val="20"/>
                <w:szCs w:val="20"/>
              </w:rPr>
            </w:pPr>
          </w:p>
        </w:tc>
        <w:tc>
          <w:tcPr>
            <w:tcW w:w="1134" w:type="dxa"/>
            <w:vAlign w:val="center"/>
          </w:tcPr>
          <w:p w14:paraId="727C2F77" w14:textId="1910210A"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2135EF41"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number of repeats may be authorised.</w:t>
            </w:r>
          </w:p>
        </w:tc>
      </w:tr>
      <w:tr w:rsidR="00360D5B" w:rsidRPr="008048B3" w14:paraId="2705FEDD" w14:textId="77777777" w:rsidTr="00560E48">
        <w:tblPrEx>
          <w:tblCellMar>
            <w:top w:w="15" w:type="dxa"/>
            <w:left w:w="15" w:type="dxa"/>
            <w:bottom w:w="15" w:type="dxa"/>
            <w:right w:w="15" w:type="dxa"/>
          </w:tblCellMar>
          <w:tblLook w:val="04A0" w:firstRow="1" w:lastRow="0" w:firstColumn="1" w:lastColumn="0" w:noHBand="0" w:noVBand="1"/>
        </w:tblPrEx>
        <w:tc>
          <w:tcPr>
            <w:tcW w:w="279" w:type="dxa"/>
            <w:tcBorders>
              <w:left w:val="single" w:sz="4" w:space="0" w:color="auto"/>
              <w:bottom w:val="single" w:sz="4" w:space="0" w:color="auto"/>
              <w:right w:val="single" w:sz="4" w:space="0" w:color="auto"/>
            </w:tcBorders>
          </w:tcPr>
          <w:p w14:paraId="7EA062D0" w14:textId="77777777" w:rsidR="00360D5B" w:rsidRPr="00A117B2" w:rsidRDefault="00360D5B" w:rsidP="00560E48">
            <w:pPr>
              <w:rPr>
                <w:rFonts w:ascii="Arial Narrow" w:eastAsia="Calibri" w:hAnsi="Arial Narrow"/>
                <w:sz w:val="20"/>
                <w:szCs w:val="20"/>
              </w:rPr>
            </w:pPr>
          </w:p>
        </w:tc>
        <w:tc>
          <w:tcPr>
            <w:tcW w:w="1134" w:type="dxa"/>
            <w:vAlign w:val="center"/>
          </w:tcPr>
          <w:p w14:paraId="69FBD400" w14:textId="1AD02D30"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7D00E960"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Special Pricing Arrangements apply.</w:t>
            </w:r>
          </w:p>
        </w:tc>
      </w:tr>
      <w:tr w:rsidR="00360D5B" w:rsidRPr="008048B3" w14:paraId="526C7B0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C0F28D9" w14:textId="3F6258E3" w:rsidR="00360D5B" w:rsidRPr="00A117B2" w:rsidRDefault="00360D5B" w:rsidP="00560E48">
            <w:pPr>
              <w:jc w:val="center"/>
              <w:rPr>
                <w:rFonts w:ascii="Arial Narrow" w:hAnsi="Arial Narrow" w:cs="Times New Roman"/>
                <w:sz w:val="20"/>
                <w:szCs w:val="20"/>
              </w:rPr>
            </w:pPr>
            <w:bookmarkStart w:id="38" w:name="_Hlk90905828"/>
          </w:p>
        </w:tc>
        <w:tc>
          <w:tcPr>
            <w:tcW w:w="7654" w:type="dxa"/>
            <w:gridSpan w:val="6"/>
            <w:vAlign w:val="center"/>
          </w:tcPr>
          <w:p w14:paraId="5C9EC806"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Indication: </w:t>
            </w:r>
            <w:r w:rsidRPr="00A117B2">
              <w:rPr>
                <w:rFonts w:ascii="Arial Narrow" w:hAnsi="Arial Narrow" w:cs="Times New Roman"/>
                <w:sz w:val="20"/>
                <w:szCs w:val="20"/>
              </w:rPr>
              <w:t>Severe psoriatic arthritis</w:t>
            </w:r>
          </w:p>
        </w:tc>
      </w:tr>
      <w:tr w:rsidR="00360D5B" w:rsidRPr="008048B3" w14:paraId="6165BF3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6B978A4"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455FA07"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Treatment Phase: </w:t>
            </w:r>
            <w:r w:rsidRPr="00A117B2">
              <w:rPr>
                <w:rFonts w:ascii="Arial Narrow" w:hAnsi="Arial Narrow" w:cs="Times New Roman"/>
                <w:sz w:val="20"/>
                <w:szCs w:val="20"/>
              </w:rPr>
              <w:t>Initial treatment - Initial 3 (recommencement of treatment after a break in biological medicine of more than 5 years)</w:t>
            </w:r>
          </w:p>
        </w:tc>
      </w:tr>
      <w:tr w:rsidR="00360D5B" w:rsidRPr="008048B3" w14:paraId="721CE7F7"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764ED82" w14:textId="3AF8DD1F"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5F84FDF"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Treatment criteria:</w:t>
            </w:r>
          </w:p>
        </w:tc>
      </w:tr>
      <w:tr w:rsidR="00360D5B" w:rsidRPr="008048B3" w14:paraId="77E1B79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9FBD348" w14:textId="7847D43C"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CE5685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rheumatologist; or</w:t>
            </w:r>
          </w:p>
        </w:tc>
      </w:tr>
      <w:tr w:rsidR="00360D5B" w:rsidRPr="008048B3" w14:paraId="765FCA6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94DD73B" w14:textId="76A60A2A"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A46BA24"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clinical immunologist with expertise in the management of psoriatic arthritis</w:t>
            </w:r>
          </w:p>
        </w:tc>
      </w:tr>
      <w:tr w:rsidR="00360D5B" w:rsidRPr="008048B3" w14:paraId="1808866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3E4844B"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0B417FA"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17512547"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A19A458" w14:textId="5AE0DD93"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4C29168"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283D671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F0FD289" w14:textId="7FA1350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D0C9F05"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previously received PBS-subsidised treatment with a biological medicine for this condition</w:t>
            </w:r>
          </w:p>
        </w:tc>
      </w:tr>
      <w:tr w:rsidR="00360D5B" w:rsidRPr="008048B3" w14:paraId="18AAD71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6A7F8BA"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4FDD396"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4CA5EA3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D097C24" w14:textId="667C4B92"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FEC7089"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0803EEF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bottom"/>
          </w:tcPr>
          <w:p w14:paraId="39EEF9DF" w14:textId="77777777" w:rsidR="00360D5B" w:rsidRPr="00A117B2" w:rsidRDefault="00360D5B" w:rsidP="00560E48">
            <w:pPr>
              <w:rPr>
                <w:rFonts w:ascii="Arial Narrow" w:hAnsi="Arial Narrow" w:cs="Times New Roman"/>
                <w:sz w:val="20"/>
                <w:szCs w:val="20"/>
              </w:rPr>
            </w:pPr>
          </w:p>
        </w:tc>
        <w:tc>
          <w:tcPr>
            <w:tcW w:w="7654" w:type="dxa"/>
            <w:gridSpan w:val="6"/>
            <w:vAlign w:val="center"/>
          </w:tcPr>
          <w:p w14:paraId="1FF4A8FF"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a break in treatment of 5 years or more from the most recently approved PBS-subsidised biological medicine for this condition</w:t>
            </w:r>
          </w:p>
        </w:tc>
      </w:tr>
      <w:bookmarkEnd w:id="38"/>
      <w:tr w:rsidR="00360D5B" w:rsidRPr="008048B3" w14:paraId="72C975A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9F359A4"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7C2AF3D"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5C99967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5B34DE0" w14:textId="14D7DB5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ABF6BDB"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065D103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B2E07E9" w14:textId="38064D48"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FF21D5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condition must have an elevated erythrocyte sedimentation rate (ESR) greater than 25 mm per hour; or</w:t>
            </w:r>
          </w:p>
        </w:tc>
      </w:tr>
      <w:tr w:rsidR="00360D5B" w:rsidRPr="008048B3" w14:paraId="7C95AEF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B44C875" w14:textId="64CF913B"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8CAF13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condition must have a C-reactive protein (CRP) level greater than 15 mg per L</w:t>
            </w:r>
          </w:p>
        </w:tc>
      </w:tr>
      <w:tr w:rsidR="00360D5B" w:rsidRPr="008048B3" w14:paraId="59CD13A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5661299"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7E43B8C"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6287941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B786E99" w14:textId="0A03689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637B780"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21EAFC6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CB78EB0"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8E9F1B8"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condition must have either (a) a total active joint count of at least 20 active (swollen and tender) joints; or (b) at least 4 active major joints</w:t>
            </w:r>
          </w:p>
        </w:tc>
      </w:tr>
      <w:tr w:rsidR="00360D5B" w:rsidRPr="008048B3" w14:paraId="08CD1B5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EE0FB97"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820AE58"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61799FE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F9DD8DA" w14:textId="554254BF"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59508A6"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41C7E83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1F7FAFF" w14:textId="6CB9FEF2"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164C434"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not receive more than 28</w:t>
            </w:r>
            <w:r w:rsidRPr="00A117B2">
              <w:rPr>
                <w:rFonts w:ascii="Arial Narrow" w:hAnsi="Arial Narrow" w:cs="Times New Roman"/>
                <w:i/>
                <w:iCs/>
                <w:sz w:val="20"/>
                <w:szCs w:val="20"/>
              </w:rPr>
              <w:t xml:space="preserve"> </w:t>
            </w:r>
            <w:r w:rsidRPr="00A117B2">
              <w:rPr>
                <w:rFonts w:ascii="Arial Narrow" w:hAnsi="Arial Narrow" w:cs="Times New Roman"/>
                <w:sz w:val="20"/>
                <w:szCs w:val="20"/>
              </w:rPr>
              <w:t>weeks of treatment under this restriction</w:t>
            </w:r>
          </w:p>
        </w:tc>
      </w:tr>
      <w:tr w:rsidR="00360D5B" w:rsidRPr="008048B3" w14:paraId="2DC93D0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D2554FC"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C3A25CF"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8048B3" w14:paraId="2C2A084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C364228" w14:textId="367688C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894B67F"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Population criteria:</w:t>
            </w:r>
          </w:p>
        </w:tc>
      </w:tr>
      <w:tr w:rsidR="00360D5B" w:rsidRPr="008048B3" w14:paraId="241F51F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38CFD23" w14:textId="7C69B4F8"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2D8040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be aged 18 years or older</w:t>
            </w:r>
          </w:p>
        </w:tc>
      </w:tr>
      <w:tr w:rsidR="00360D5B" w:rsidRPr="008048B3" w14:paraId="2EC978C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09941C2" w14:textId="7E509244"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27C8A10"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60286A8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22C4D62"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8A15435"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Major joints are defined as (</w:t>
            </w:r>
            <w:proofErr w:type="spellStart"/>
            <w:r w:rsidRPr="00A117B2">
              <w:rPr>
                <w:rFonts w:ascii="Arial Narrow" w:hAnsi="Arial Narrow" w:cs="Times New Roman"/>
                <w:sz w:val="20"/>
                <w:szCs w:val="20"/>
              </w:rPr>
              <w:t>i</w:t>
            </w:r>
            <w:proofErr w:type="spellEnd"/>
            <w:r w:rsidRPr="00A117B2">
              <w:rPr>
                <w:rFonts w:ascii="Arial Narrow" w:hAnsi="Arial Narrow" w:cs="Times New Roman"/>
                <w:sz w:val="20"/>
                <w:szCs w:val="20"/>
              </w:rPr>
              <w:t>)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tc>
      </w:tr>
      <w:tr w:rsidR="00360D5B" w:rsidRPr="008048B3" w14:paraId="7B152DB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98B4510" w14:textId="7408246D"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EE53AFF"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51CB367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687A097"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C28BC43"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All measures of joint count and ESR and/or CRP must be no more than one month old at the time of initial application.</w:t>
            </w:r>
          </w:p>
        </w:tc>
      </w:tr>
      <w:tr w:rsidR="00360D5B" w:rsidRPr="008048B3" w14:paraId="1FBD6D9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BF59B84" w14:textId="776A4ED3"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85C15CF"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55D179EA"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122B11E"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AF1B59F"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If the above requirement to demonstrate an elevated ESR or CRP cannot be met, the application must state the reasons why this criterion cannot be satisfied.</w:t>
            </w:r>
          </w:p>
        </w:tc>
      </w:tr>
      <w:tr w:rsidR="00360D5B" w:rsidRPr="008048B3" w14:paraId="512AD70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03EE83D" w14:textId="445EDDC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8604B04"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0F2FD28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387398C"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5B7973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Where the baseline active joint count is based on total active joints (</w:t>
            </w:r>
            <w:proofErr w:type="gramStart"/>
            <w:r w:rsidRPr="00A117B2">
              <w:rPr>
                <w:rFonts w:ascii="Arial Narrow" w:hAnsi="Arial Narrow" w:cs="Times New Roman"/>
                <w:sz w:val="20"/>
                <w:szCs w:val="20"/>
              </w:rPr>
              <w:t>i.e.</w:t>
            </w:r>
            <w:proofErr w:type="gramEnd"/>
            <w:r w:rsidRPr="00A117B2">
              <w:rPr>
                <w:rFonts w:ascii="Arial Narrow" w:hAnsi="Arial Narrow" w:cs="Times New Roman"/>
                <w:sz w:val="20"/>
                <w:szCs w:val="20"/>
              </w:rPr>
              <w:t xml:space="preserv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tc>
      </w:tr>
      <w:tr w:rsidR="00360D5B" w:rsidRPr="008048B3" w14:paraId="47D67D7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8AB259C" w14:textId="066EEF24"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8CE927D"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tc>
      </w:tr>
      <w:tr w:rsidR="00360D5B" w:rsidRPr="008048B3" w14:paraId="6D5B645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A97C640" w14:textId="68D8F55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B9D496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authority application must be made in writing and must include:</w:t>
            </w:r>
          </w:p>
          <w:p w14:paraId="5C170C6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 a completed authority prescription form(s); and</w:t>
            </w:r>
          </w:p>
          <w:p w14:paraId="7B43A69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(b) a completed authority application form relevant to the indication and treatment phase (the latest version is located on the website specified in the Administrative Advice).</w:t>
            </w:r>
          </w:p>
        </w:tc>
      </w:tr>
      <w:tr w:rsidR="00360D5B" w:rsidRPr="008048B3" w14:paraId="6A9DCC17"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62479B9" w14:textId="6D40F4F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05EA99E"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Administrative Advice:</w:t>
            </w:r>
          </w:p>
        </w:tc>
      </w:tr>
      <w:tr w:rsidR="00360D5B" w:rsidRPr="008048B3" w14:paraId="3376A67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2AB8950" w14:textId="70028C3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9BF9EA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Any queries concerning the arrangements to prescribe may be directed to Services Australia on 1800 700 270 (hours of operation 8 a.m. to 5 p.m. EST Monday to Friday).</w:t>
            </w:r>
          </w:p>
          <w:p w14:paraId="573719C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Prescribing information (including Authority Application forms and other relevant documentation as applicable) is available on the Services Australia website at www.servicesaustralia.gov.au</w:t>
            </w:r>
          </w:p>
          <w:p w14:paraId="77E5CE32"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Applications for authority to prescribe should be submitted online using the form upload facility in Health Professional Online Services (HPOS) at www.servicesaustralia.gov.au/hpos</w:t>
            </w:r>
          </w:p>
          <w:p w14:paraId="4624569D"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Or mailed to:</w:t>
            </w:r>
          </w:p>
          <w:p w14:paraId="7B1BA803"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Services Australia</w:t>
            </w:r>
          </w:p>
          <w:p w14:paraId="6F097944"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Complex Drugs</w:t>
            </w:r>
          </w:p>
          <w:p w14:paraId="597E2169"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Reply Paid 9826</w:t>
            </w:r>
          </w:p>
          <w:p w14:paraId="56D48EC9"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sz w:val="20"/>
                <w:szCs w:val="20"/>
              </w:rPr>
              <w:t>HOBART TAS 7001</w:t>
            </w:r>
          </w:p>
        </w:tc>
      </w:tr>
      <w:tr w:rsidR="00360D5B" w:rsidRPr="008048B3" w14:paraId="582B6F2A"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69DCD6DB" w14:textId="77777777" w:rsidR="00360D5B" w:rsidRPr="00A117B2" w:rsidRDefault="00360D5B" w:rsidP="00560E48">
            <w:pPr>
              <w:rPr>
                <w:rFonts w:ascii="Arial Narrow" w:hAnsi="Arial Narrow" w:cs="Times New Roman"/>
                <w:b/>
                <w:bCs/>
                <w:sz w:val="20"/>
                <w:szCs w:val="20"/>
              </w:rPr>
            </w:pPr>
          </w:p>
        </w:tc>
      </w:tr>
      <w:tr w:rsidR="00360D5B" w:rsidRPr="008048B3" w14:paraId="6902758A"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155495C5" w14:textId="7F5FB946" w:rsidR="00360D5B" w:rsidRPr="00A117B2" w:rsidRDefault="00360D5B" w:rsidP="00560E48">
            <w:pPr>
              <w:rPr>
                <w:rFonts w:ascii="Arial Narrow" w:hAnsi="Arial Narrow" w:cs="Times New Roman"/>
                <w:b/>
                <w:bCs/>
                <w:sz w:val="20"/>
                <w:szCs w:val="20"/>
              </w:rPr>
            </w:pPr>
            <w:bookmarkStart w:id="39" w:name="_Hlk90906673"/>
            <w:bookmarkStart w:id="40" w:name="_Hlk90906645"/>
            <w:r w:rsidRPr="00A117B2">
              <w:rPr>
                <w:rFonts w:ascii="Arial Narrow" w:hAnsi="Arial Narrow" w:cs="Times New Roman"/>
                <w:b/>
                <w:bCs/>
                <w:sz w:val="20"/>
                <w:szCs w:val="20"/>
              </w:rPr>
              <w:t>Restriction Summary</w:t>
            </w:r>
            <w:r w:rsidRPr="00A117B2">
              <w:rPr>
                <w:rFonts w:ascii="Arial Narrow" w:hAnsi="Arial Narrow" w:cs="Times New Roman"/>
                <w:b/>
                <w:bCs/>
                <w:i/>
                <w:iCs/>
                <w:sz w:val="20"/>
                <w:szCs w:val="20"/>
              </w:rPr>
              <w:t xml:space="preserve"> /</w:t>
            </w:r>
            <w:r w:rsidRPr="00A117B2">
              <w:rPr>
                <w:rFonts w:ascii="Arial Narrow" w:hAnsi="Arial Narrow" w:cs="Times New Roman"/>
                <w:b/>
                <w:bCs/>
                <w:sz w:val="20"/>
                <w:szCs w:val="20"/>
              </w:rPr>
              <w:t xml:space="preserve"> </w:t>
            </w:r>
            <w:proofErr w:type="spellStart"/>
            <w:r w:rsidRPr="00A117B2">
              <w:rPr>
                <w:rFonts w:ascii="Arial Narrow" w:hAnsi="Arial Narrow" w:cs="Times New Roman"/>
                <w:b/>
                <w:bCs/>
                <w:sz w:val="20"/>
                <w:szCs w:val="20"/>
              </w:rPr>
              <w:t>ToC</w:t>
            </w:r>
            <w:proofErr w:type="spellEnd"/>
            <w:r w:rsidRPr="00A117B2">
              <w:rPr>
                <w:rFonts w:ascii="Arial Narrow" w:hAnsi="Arial Narrow" w:cs="Times New Roman"/>
                <w:b/>
                <w:bCs/>
                <w:sz w:val="20"/>
                <w:szCs w:val="20"/>
              </w:rPr>
              <w:t>:</w:t>
            </w:r>
          </w:p>
        </w:tc>
      </w:tr>
      <w:tr w:rsidR="00360D5B" w:rsidRPr="008048B3" w14:paraId="17BD5B5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val="restart"/>
            <w:tcBorders>
              <w:top w:val="single" w:sz="4" w:space="0" w:color="auto"/>
              <w:left w:val="single" w:sz="4" w:space="0" w:color="auto"/>
              <w:right w:val="single" w:sz="4" w:space="0" w:color="auto"/>
            </w:tcBorders>
          </w:tcPr>
          <w:p w14:paraId="2F09903B" w14:textId="77777777" w:rsidR="00360D5B" w:rsidRPr="00A117B2" w:rsidRDefault="00360D5B" w:rsidP="00560E48">
            <w:pPr>
              <w:rPr>
                <w:rFonts w:ascii="Arial Narrow" w:eastAsia="Calibri" w:hAnsi="Arial Narrow"/>
                <w:b/>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1CEEFF1A" w14:textId="5438814C"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Category / Program: </w:t>
            </w:r>
            <w:r w:rsidRPr="00A117B2">
              <w:rPr>
                <w:rFonts w:ascii="Arial Narrow" w:eastAsia="Calibri" w:hAnsi="Arial Narrow"/>
                <w:sz w:val="20"/>
                <w:szCs w:val="20"/>
              </w:rPr>
              <w:t>GENERAL – General Schedule (Code GE)</w:t>
            </w:r>
            <w:r w:rsidRPr="00A117B2">
              <w:rPr>
                <w:rFonts w:ascii="Arial Narrow" w:eastAsia="Calibri" w:hAnsi="Arial Narrow"/>
                <w:color w:val="FF0000"/>
                <w:sz w:val="20"/>
                <w:szCs w:val="20"/>
              </w:rPr>
              <w:t xml:space="preserve"> </w:t>
            </w:r>
          </w:p>
        </w:tc>
      </w:tr>
      <w:tr w:rsidR="00360D5B" w:rsidRPr="008048B3" w14:paraId="3EC1344F" w14:textId="77777777" w:rsidTr="00560E48">
        <w:tblPrEx>
          <w:tblCellMar>
            <w:top w:w="15" w:type="dxa"/>
            <w:left w:w="15" w:type="dxa"/>
            <w:bottom w:w="15" w:type="dxa"/>
            <w:right w:w="15" w:type="dxa"/>
          </w:tblCellMar>
          <w:tblLook w:val="04A0" w:firstRow="1" w:lastRow="0" w:firstColumn="1" w:lastColumn="0" w:noHBand="0" w:noVBand="1"/>
        </w:tblPrEx>
        <w:trPr>
          <w:trHeight w:val="240"/>
        </w:trPr>
        <w:tc>
          <w:tcPr>
            <w:tcW w:w="1413" w:type="dxa"/>
            <w:gridSpan w:val="2"/>
            <w:vMerge/>
            <w:tcBorders>
              <w:left w:val="single" w:sz="4" w:space="0" w:color="auto"/>
              <w:right w:val="single" w:sz="4" w:space="0" w:color="auto"/>
            </w:tcBorders>
          </w:tcPr>
          <w:p w14:paraId="56667827"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341C5A4E" w14:textId="77777777" w:rsidR="00360D5B" w:rsidRPr="00A117B2" w:rsidRDefault="00360D5B" w:rsidP="00560E48">
            <w:pPr>
              <w:rPr>
                <w:rFonts w:ascii="Arial Narrow" w:eastAsia="Calibri" w:hAnsi="Arial Narrow"/>
                <w:b/>
                <w:sz w:val="20"/>
                <w:szCs w:val="20"/>
              </w:rPr>
            </w:pPr>
            <w:r w:rsidRPr="00A117B2">
              <w:rPr>
                <w:rFonts w:ascii="Arial Narrow" w:eastAsia="Calibri" w:hAnsi="Arial Narrow"/>
                <w:b/>
                <w:sz w:val="20"/>
                <w:szCs w:val="20"/>
              </w:rPr>
              <w:t xml:space="preserve">Prescriber type: </w:t>
            </w:r>
            <w:r w:rsidRPr="00A117B2">
              <w:rPr>
                <w:rFonts w:ascii="Arial Narrow" w:eastAsia="Calibri" w:hAnsi="Arial Narrow"/>
                <w:sz w:val="20"/>
                <w:szCs w:val="20"/>
              </w:rPr>
              <w:fldChar w:fldCharType="begin">
                <w:ffData>
                  <w:name w:val=""/>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Medical Practitioners</w:t>
            </w:r>
          </w:p>
        </w:tc>
      </w:tr>
      <w:tr w:rsidR="00360D5B" w:rsidRPr="008048B3" w14:paraId="377434B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tcBorders>
              <w:left w:val="single" w:sz="4" w:space="0" w:color="auto"/>
              <w:bottom w:val="single" w:sz="4" w:space="0" w:color="auto"/>
              <w:right w:val="single" w:sz="4" w:space="0" w:color="auto"/>
            </w:tcBorders>
          </w:tcPr>
          <w:p w14:paraId="1500899A"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50AB96AF" w14:textId="77777777"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Restriction type: </w:t>
            </w:r>
          </w:p>
          <w:p w14:paraId="61C0AB30" w14:textId="77777777" w:rsidR="00360D5B" w:rsidRPr="00A117B2" w:rsidRDefault="00360D5B" w:rsidP="00560E48">
            <w:pPr>
              <w:rPr>
                <w:rFonts w:ascii="Arial Narrow" w:eastAsia="Calibri" w:hAnsi="Arial Narrow"/>
                <w:color w:val="FF00FF"/>
                <w:sz w:val="20"/>
                <w:szCs w:val="20"/>
              </w:rPr>
            </w:pPr>
            <w:r w:rsidRPr="00A117B2">
              <w:rPr>
                <w:rFonts w:ascii="Arial Narrow" w:eastAsia="Calibri" w:hAnsi="Arial Narrow"/>
                <w:sz w:val="20"/>
                <w:szCs w:val="20"/>
              </w:rPr>
              <w:fldChar w:fldCharType="begin">
                <w:ffData>
                  <w:name w:val="Check1"/>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 xml:space="preserve"> Authority Required </w:t>
            </w:r>
            <w:r w:rsidRPr="00A117B2">
              <w:rPr>
                <w:rFonts w:ascii="Arial Narrow" w:eastAsia="Calibri" w:hAnsi="Arial Narrow"/>
                <w:i/>
                <w:iCs/>
                <w:sz w:val="20"/>
                <w:szCs w:val="20"/>
              </w:rPr>
              <w:t>(telephone/online PBS Authorities system)</w:t>
            </w:r>
          </w:p>
        </w:tc>
      </w:tr>
      <w:tr w:rsidR="00360D5B" w:rsidRPr="008048B3" w14:paraId="5F13C7A5"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0016457E" w14:textId="3CB76575" w:rsidR="00360D5B" w:rsidRPr="00A117B2" w:rsidRDefault="00360D5B" w:rsidP="00560E48">
            <w:pPr>
              <w:ind w:left="113" w:right="113"/>
              <w:rPr>
                <w:rFonts w:ascii="Arial Narrow" w:eastAsia="Calibri" w:hAnsi="Arial Narrow"/>
                <w:sz w:val="20"/>
                <w:szCs w:val="20"/>
              </w:rPr>
            </w:pPr>
          </w:p>
        </w:tc>
        <w:tc>
          <w:tcPr>
            <w:tcW w:w="1134" w:type="dxa"/>
            <w:vAlign w:val="center"/>
          </w:tcPr>
          <w:p w14:paraId="7174A86B" w14:textId="62BBFFB6" w:rsidR="00360D5B" w:rsidRPr="00A117B2" w:rsidRDefault="00360D5B" w:rsidP="00560E48">
            <w:pPr>
              <w:jc w:val="center"/>
              <w:rPr>
                <w:rFonts w:ascii="Arial Narrow" w:hAnsi="Arial Narrow" w:cs="Times New Roman"/>
                <w:i/>
                <w:iCs/>
                <w:color w:val="333333"/>
                <w:sz w:val="20"/>
                <w:szCs w:val="20"/>
              </w:rPr>
            </w:pPr>
          </w:p>
        </w:tc>
        <w:tc>
          <w:tcPr>
            <w:tcW w:w="7654" w:type="dxa"/>
            <w:gridSpan w:val="6"/>
            <w:vAlign w:val="center"/>
          </w:tcPr>
          <w:p w14:paraId="236E132D"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Administrative Advice:</w:t>
            </w:r>
          </w:p>
          <w:p w14:paraId="50E261AA"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TREATMENT OF ADULT PATIENTS WITH SEVERE ACTIVE PSORIATIC ARTHRITIS</w:t>
            </w:r>
          </w:p>
          <w:p w14:paraId="17C99911" w14:textId="77777777" w:rsidR="00360D5B" w:rsidRPr="00A117B2" w:rsidRDefault="00360D5B" w:rsidP="00560E48">
            <w:pPr>
              <w:rPr>
                <w:rFonts w:ascii="Arial Narrow" w:hAnsi="Arial Narrow" w:cs="Times New Roman"/>
                <w:color w:val="333333"/>
                <w:sz w:val="20"/>
                <w:szCs w:val="20"/>
              </w:rPr>
            </w:pPr>
          </w:p>
          <w:p w14:paraId="2C01E0A4"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i/>
                <w:iCs/>
                <w:color w:val="333333"/>
                <w:sz w:val="20"/>
                <w:szCs w:val="20"/>
              </w:rPr>
              <w:t>As above (not shown here in full for brevity reasons)</w:t>
            </w:r>
            <w:r w:rsidRPr="00A117B2">
              <w:rPr>
                <w:rFonts w:ascii="Arial Narrow" w:hAnsi="Arial Narrow" w:cs="Times New Roman"/>
                <w:color w:val="333333"/>
                <w:sz w:val="20"/>
                <w:szCs w:val="20"/>
              </w:rPr>
              <w:t>.</w:t>
            </w:r>
          </w:p>
        </w:tc>
      </w:tr>
      <w:tr w:rsidR="00360D5B" w:rsidRPr="008048B3" w14:paraId="23A448A5"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14DEFD81" w14:textId="77777777" w:rsidR="00360D5B" w:rsidRPr="00A117B2" w:rsidRDefault="00360D5B" w:rsidP="00560E48">
            <w:pPr>
              <w:rPr>
                <w:rFonts w:ascii="Arial Narrow" w:eastAsia="Calibri" w:hAnsi="Arial Narrow"/>
                <w:sz w:val="20"/>
                <w:szCs w:val="20"/>
              </w:rPr>
            </w:pPr>
          </w:p>
        </w:tc>
        <w:tc>
          <w:tcPr>
            <w:tcW w:w="1134" w:type="dxa"/>
            <w:vAlign w:val="center"/>
          </w:tcPr>
          <w:p w14:paraId="49AFFB4E" w14:textId="614DCA86"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7F48B713"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quantity or number of units may be authorised.</w:t>
            </w:r>
          </w:p>
        </w:tc>
      </w:tr>
      <w:tr w:rsidR="00360D5B" w:rsidRPr="008048B3" w14:paraId="00B17E70"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7083956A" w14:textId="77777777" w:rsidR="00360D5B" w:rsidRPr="00A117B2" w:rsidRDefault="00360D5B" w:rsidP="00560E48">
            <w:pPr>
              <w:rPr>
                <w:rFonts w:ascii="Arial Narrow" w:eastAsia="Calibri" w:hAnsi="Arial Narrow"/>
                <w:sz w:val="20"/>
                <w:szCs w:val="20"/>
              </w:rPr>
            </w:pPr>
          </w:p>
        </w:tc>
        <w:tc>
          <w:tcPr>
            <w:tcW w:w="1134" w:type="dxa"/>
            <w:vAlign w:val="center"/>
          </w:tcPr>
          <w:p w14:paraId="0307FB8C" w14:textId="005F559E"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6449DD09"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number of repeats may be authorised.</w:t>
            </w:r>
          </w:p>
        </w:tc>
      </w:tr>
      <w:tr w:rsidR="00360D5B" w:rsidRPr="008048B3" w14:paraId="0F61646F" w14:textId="77777777" w:rsidTr="00560E48">
        <w:tblPrEx>
          <w:tblCellMar>
            <w:top w:w="15" w:type="dxa"/>
            <w:left w:w="15" w:type="dxa"/>
            <w:bottom w:w="15" w:type="dxa"/>
            <w:right w:w="15" w:type="dxa"/>
          </w:tblCellMar>
          <w:tblLook w:val="04A0" w:firstRow="1" w:lastRow="0" w:firstColumn="1" w:lastColumn="0" w:noHBand="0" w:noVBand="1"/>
        </w:tblPrEx>
        <w:tc>
          <w:tcPr>
            <w:tcW w:w="279" w:type="dxa"/>
            <w:tcBorders>
              <w:left w:val="single" w:sz="4" w:space="0" w:color="auto"/>
              <w:bottom w:val="single" w:sz="4" w:space="0" w:color="auto"/>
              <w:right w:val="single" w:sz="4" w:space="0" w:color="auto"/>
            </w:tcBorders>
          </w:tcPr>
          <w:p w14:paraId="344C42D7" w14:textId="77777777" w:rsidR="00360D5B" w:rsidRPr="00A117B2" w:rsidRDefault="00360D5B" w:rsidP="00560E48">
            <w:pPr>
              <w:rPr>
                <w:rFonts w:ascii="Arial Narrow" w:eastAsia="Calibri" w:hAnsi="Arial Narrow"/>
                <w:sz w:val="20"/>
                <w:szCs w:val="20"/>
              </w:rPr>
            </w:pPr>
          </w:p>
        </w:tc>
        <w:tc>
          <w:tcPr>
            <w:tcW w:w="1134" w:type="dxa"/>
            <w:vAlign w:val="center"/>
          </w:tcPr>
          <w:p w14:paraId="6CACF5C4" w14:textId="64644731"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425D465E"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Special Pricing Arrangements apply.</w:t>
            </w:r>
          </w:p>
        </w:tc>
      </w:tr>
      <w:tr w:rsidR="00360D5B" w:rsidRPr="008048B3" w14:paraId="23ABAAF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656B976" w14:textId="760C16DD"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815B41D"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Indication: </w:t>
            </w:r>
            <w:r w:rsidRPr="00A117B2">
              <w:rPr>
                <w:rFonts w:ascii="Arial Narrow" w:hAnsi="Arial Narrow" w:cs="Times New Roman"/>
                <w:sz w:val="20"/>
                <w:szCs w:val="20"/>
              </w:rPr>
              <w:t>Severe psoriatic arthritis</w:t>
            </w:r>
          </w:p>
        </w:tc>
      </w:tr>
      <w:bookmarkEnd w:id="39"/>
      <w:tr w:rsidR="00360D5B" w:rsidRPr="008048B3" w14:paraId="121C533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BCB2EFC"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CD63E2F"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Treatment Phase: </w:t>
            </w:r>
            <w:r w:rsidRPr="00A117B2">
              <w:rPr>
                <w:rFonts w:ascii="Arial Narrow" w:hAnsi="Arial Narrow" w:cs="Times New Roman"/>
                <w:sz w:val="20"/>
                <w:szCs w:val="20"/>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360D5B" w:rsidRPr="00B21542" w14:paraId="68ED221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3B20D8B" w14:textId="48D6125F"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0BE8B27"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Treatment criteria:</w:t>
            </w:r>
          </w:p>
        </w:tc>
      </w:tr>
      <w:tr w:rsidR="00360D5B" w:rsidRPr="00FE1C80" w14:paraId="1D6C687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C41E522" w14:textId="578BAA8A"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7003134"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rheumatologist; or</w:t>
            </w:r>
          </w:p>
        </w:tc>
      </w:tr>
      <w:tr w:rsidR="00360D5B" w:rsidRPr="00FE1C80" w14:paraId="0A4FB31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2EF74A4" w14:textId="241A5CC8"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75A9D42"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clinical immunologist with expertise in the management of psoriatic arthritis</w:t>
            </w:r>
          </w:p>
        </w:tc>
      </w:tr>
      <w:bookmarkEnd w:id="40"/>
      <w:tr w:rsidR="00360D5B" w:rsidRPr="00A8542F" w14:paraId="23EC005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E97139D"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4D82AB9"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A8542F" w14:paraId="51B143E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FD6745B" w14:textId="7488D85B" w:rsidR="00360D5B" w:rsidRPr="00A117B2" w:rsidRDefault="00360D5B" w:rsidP="00560E48">
            <w:pPr>
              <w:jc w:val="center"/>
              <w:rPr>
                <w:rFonts w:ascii="Arial Narrow" w:hAnsi="Arial Narrow" w:cs="Times New Roman"/>
                <w:i/>
                <w:iCs/>
                <w:sz w:val="20"/>
                <w:szCs w:val="20"/>
              </w:rPr>
            </w:pPr>
          </w:p>
        </w:tc>
        <w:tc>
          <w:tcPr>
            <w:tcW w:w="7654" w:type="dxa"/>
            <w:gridSpan w:val="6"/>
            <w:vAlign w:val="center"/>
          </w:tcPr>
          <w:p w14:paraId="513AA3F8"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A8542F" w14:paraId="7980891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6D0E868"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770B29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received insufficient therapy with this drug for this condition under the Initial 1 (new patient) restriction to complete 28 weeks treatment; or</w:t>
            </w:r>
          </w:p>
        </w:tc>
      </w:tr>
      <w:tr w:rsidR="00360D5B" w:rsidRPr="00A8542F" w14:paraId="0E6A084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9E90C45"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C88928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received insufficient therapy with this drug for this condition under the Initial 2 (change or recommencement of treatment after a break in biological medicine of less than 5 years) restriction to complete 28 weeks treatment; or</w:t>
            </w:r>
          </w:p>
        </w:tc>
      </w:tr>
      <w:tr w:rsidR="00360D5B" w:rsidRPr="00A8542F" w14:paraId="42E661C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D80BB56"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E9FC8C8"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received insufficient therapy with this drug for this condition under the Initial 3 (recommencement of treatment after a break in biological medicine of more than 5 years) restriction to complete 28 weeks treatment</w:t>
            </w:r>
          </w:p>
        </w:tc>
      </w:tr>
      <w:tr w:rsidR="00360D5B" w:rsidRPr="00A8542F" w14:paraId="5EAE752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B41967D"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E36FDAC"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A8542F" w14:paraId="27177BA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5D1C99C" w14:textId="3F577550"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C306174"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A8542F" w14:paraId="0FA959E7"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7BFBD04"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1C2F7CD"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treatment must provide no more than the balance of up to 28</w:t>
            </w:r>
            <w:r w:rsidRPr="00A117B2">
              <w:rPr>
                <w:rFonts w:ascii="Arial Narrow" w:hAnsi="Arial Narrow" w:cs="Times New Roman"/>
                <w:i/>
                <w:iCs/>
                <w:sz w:val="20"/>
                <w:szCs w:val="20"/>
              </w:rPr>
              <w:t xml:space="preserve"> </w:t>
            </w:r>
            <w:r w:rsidRPr="00A117B2">
              <w:rPr>
                <w:rFonts w:ascii="Arial Narrow" w:hAnsi="Arial Narrow" w:cs="Times New Roman"/>
                <w:sz w:val="20"/>
                <w:szCs w:val="20"/>
              </w:rPr>
              <w:t>weeks treatment available under the above restrictions</w:t>
            </w:r>
          </w:p>
        </w:tc>
      </w:tr>
      <w:tr w:rsidR="00360D5B" w:rsidRPr="00A8542F" w14:paraId="0BE6E04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bottom w:val="single" w:sz="4" w:space="0" w:color="auto"/>
            </w:tcBorders>
            <w:vAlign w:val="center"/>
          </w:tcPr>
          <w:p w14:paraId="6EEAB201" w14:textId="3A167553" w:rsidR="00360D5B" w:rsidRPr="00A117B2" w:rsidRDefault="00360D5B" w:rsidP="00560E48">
            <w:pPr>
              <w:jc w:val="center"/>
              <w:rPr>
                <w:rFonts w:ascii="Arial Narrow" w:hAnsi="Arial Narrow" w:cs="Times New Roman"/>
                <w:sz w:val="20"/>
                <w:szCs w:val="20"/>
              </w:rPr>
            </w:pPr>
          </w:p>
        </w:tc>
        <w:tc>
          <w:tcPr>
            <w:tcW w:w="7654" w:type="dxa"/>
            <w:gridSpan w:val="6"/>
            <w:tcBorders>
              <w:bottom w:val="single" w:sz="4" w:space="0" w:color="auto"/>
            </w:tcBorders>
            <w:vAlign w:val="center"/>
          </w:tcPr>
          <w:p w14:paraId="3CBBCE51"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Administrative Advice:</w:t>
            </w:r>
          </w:p>
        </w:tc>
      </w:tr>
      <w:tr w:rsidR="00360D5B" w:rsidRPr="00A8542F" w14:paraId="76F2B47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bottom w:val="single" w:sz="4" w:space="0" w:color="auto"/>
            </w:tcBorders>
            <w:vAlign w:val="center"/>
          </w:tcPr>
          <w:p w14:paraId="75A6FF35" w14:textId="77777777" w:rsidR="00360D5B" w:rsidRPr="00A117B2" w:rsidRDefault="00360D5B" w:rsidP="00560E48">
            <w:pPr>
              <w:jc w:val="center"/>
              <w:rPr>
                <w:rFonts w:ascii="Arial Narrow" w:hAnsi="Arial Narrow" w:cs="Times New Roman"/>
                <w:sz w:val="20"/>
                <w:szCs w:val="20"/>
              </w:rPr>
            </w:pPr>
          </w:p>
        </w:tc>
        <w:tc>
          <w:tcPr>
            <w:tcW w:w="7654" w:type="dxa"/>
            <w:gridSpan w:val="6"/>
            <w:tcBorders>
              <w:bottom w:val="single" w:sz="4" w:space="0" w:color="auto"/>
            </w:tcBorders>
            <w:vAlign w:val="center"/>
          </w:tcPr>
          <w:p w14:paraId="22998792"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360D5B" w:rsidRPr="00A8542F" w14:paraId="4DEBA123"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tcBorders>
              <w:top w:val="nil"/>
            </w:tcBorders>
            <w:vAlign w:val="center"/>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560"/>
              <w:gridCol w:w="850"/>
              <w:gridCol w:w="709"/>
              <w:gridCol w:w="709"/>
              <w:gridCol w:w="1842"/>
            </w:tblGrid>
            <w:tr w:rsidR="00360D5B" w:rsidRPr="00A117B2" w14:paraId="08206E9D" w14:textId="77777777" w:rsidTr="00560E48">
              <w:trPr>
                <w:cantSplit/>
                <w:trHeight w:val="471"/>
              </w:trPr>
              <w:tc>
                <w:tcPr>
                  <w:tcW w:w="3397" w:type="dxa"/>
                  <w:tcBorders>
                    <w:left w:val="nil"/>
                  </w:tcBorders>
                </w:tcPr>
                <w:p w14:paraId="5803386A" w14:textId="77777777" w:rsidR="00360D5B" w:rsidRPr="00A117B2" w:rsidRDefault="00360D5B" w:rsidP="00560E48">
                  <w:pPr>
                    <w:keepNext/>
                    <w:tabs>
                      <w:tab w:val="left" w:pos="1920"/>
                    </w:tabs>
                    <w:ind w:left="-57"/>
                    <w:rPr>
                      <w:rFonts w:ascii="Arial Narrow" w:eastAsia="Calibri" w:hAnsi="Arial Narrow"/>
                      <w:b/>
                      <w:bCs/>
                      <w:sz w:val="20"/>
                      <w:szCs w:val="20"/>
                    </w:rPr>
                  </w:pPr>
                  <w:bookmarkStart w:id="41" w:name="_Hlk90908746"/>
                  <w:r w:rsidRPr="00A117B2">
                    <w:rPr>
                      <w:rFonts w:ascii="Arial Narrow" w:eastAsia="Calibri" w:hAnsi="Arial Narrow"/>
                      <w:b/>
                      <w:bCs/>
                      <w:sz w:val="20"/>
                      <w:szCs w:val="20"/>
                    </w:rPr>
                    <w:t>MEDICINAL PRODUCT</w:t>
                  </w:r>
                  <w:r w:rsidRPr="00A117B2">
                    <w:rPr>
                      <w:rFonts w:ascii="Arial Narrow" w:eastAsia="Calibri" w:hAnsi="Arial Narrow"/>
                      <w:b/>
                      <w:bCs/>
                      <w:sz w:val="20"/>
                      <w:szCs w:val="20"/>
                    </w:rPr>
                    <w:tab/>
                  </w:r>
                </w:p>
                <w:p w14:paraId="0E98110E" w14:textId="77777777" w:rsidR="00360D5B" w:rsidRPr="00A117B2" w:rsidRDefault="00360D5B" w:rsidP="00560E48">
                  <w:pPr>
                    <w:keepNext/>
                    <w:ind w:left="-57"/>
                    <w:rPr>
                      <w:rFonts w:ascii="Arial Narrow" w:eastAsia="Calibri" w:hAnsi="Arial Narrow"/>
                      <w:b/>
                      <w:sz w:val="20"/>
                      <w:szCs w:val="20"/>
                    </w:rPr>
                  </w:pPr>
                  <w:r w:rsidRPr="00A117B2">
                    <w:rPr>
                      <w:rFonts w:ascii="Arial Narrow" w:eastAsia="Calibri" w:hAnsi="Arial Narrow"/>
                      <w:b/>
                      <w:bCs/>
                      <w:sz w:val="20"/>
                      <w:szCs w:val="20"/>
                    </w:rPr>
                    <w:t>medicinal product pack</w:t>
                  </w:r>
                </w:p>
              </w:tc>
              <w:tc>
                <w:tcPr>
                  <w:tcW w:w="1560" w:type="dxa"/>
                </w:tcPr>
                <w:p w14:paraId="7AD2F1B1" w14:textId="77777777" w:rsidR="00360D5B" w:rsidRPr="00A117B2" w:rsidRDefault="00360D5B" w:rsidP="00560E48">
                  <w:pPr>
                    <w:keepNext/>
                    <w:ind w:left="-108"/>
                    <w:jc w:val="center"/>
                    <w:rPr>
                      <w:rFonts w:ascii="Arial Narrow" w:eastAsia="Calibri" w:hAnsi="Arial Narrow"/>
                      <w:b/>
                      <w:sz w:val="20"/>
                      <w:szCs w:val="20"/>
                    </w:rPr>
                  </w:pPr>
                  <w:r w:rsidRPr="00A117B2">
                    <w:rPr>
                      <w:rFonts w:ascii="Arial Narrow" w:eastAsia="Calibri" w:hAnsi="Arial Narrow"/>
                      <w:b/>
                      <w:sz w:val="20"/>
                      <w:szCs w:val="20"/>
                    </w:rPr>
                    <w:t>PBS item code</w:t>
                  </w:r>
                </w:p>
              </w:tc>
              <w:tc>
                <w:tcPr>
                  <w:tcW w:w="850" w:type="dxa"/>
                </w:tcPr>
                <w:p w14:paraId="098F0891" w14:textId="77777777" w:rsidR="00360D5B" w:rsidRPr="00A117B2" w:rsidRDefault="00360D5B" w:rsidP="00560E48">
                  <w:pPr>
                    <w:keepNext/>
                    <w:ind w:left="-108"/>
                    <w:jc w:val="center"/>
                    <w:rPr>
                      <w:rFonts w:ascii="Arial Narrow" w:eastAsia="Calibri" w:hAnsi="Arial Narrow"/>
                      <w:b/>
                      <w:sz w:val="20"/>
                      <w:szCs w:val="20"/>
                    </w:rPr>
                  </w:pPr>
                  <w:r w:rsidRPr="00A117B2">
                    <w:rPr>
                      <w:rFonts w:ascii="Arial Narrow" w:eastAsia="Calibri" w:hAnsi="Arial Narrow"/>
                      <w:b/>
                      <w:sz w:val="20"/>
                      <w:szCs w:val="20"/>
                    </w:rPr>
                    <w:t>Max. qty packs</w:t>
                  </w:r>
                </w:p>
              </w:tc>
              <w:tc>
                <w:tcPr>
                  <w:tcW w:w="709" w:type="dxa"/>
                </w:tcPr>
                <w:p w14:paraId="4F48607E" w14:textId="77777777" w:rsidR="00360D5B" w:rsidRPr="00A117B2" w:rsidRDefault="00360D5B" w:rsidP="00560E48">
                  <w:pPr>
                    <w:keepNext/>
                    <w:ind w:left="-108"/>
                    <w:jc w:val="center"/>
                    <w:rPr>
                      <w:rFonts w:ascii="Arial Narrow" w:eastAsia="Calibri" w:hAnsi="Arial Narrow"/>
                      <w:b/>
                      <w:sz w:val="20"/>
                      <w:szCs w:val="20"/>
                    </w:rPr>
                  </w:pPr>
                  <w:r w:rsidRPr="00A117B2">
                    <w:rPr>
                      <w:rFonts w:ascii="Arial Narrow" w:eastAsia="Calibri" w:hAnsi="Arial Narrow"/>
                      <w:b/>
                      <w:sz w:val="20"/>
                      <w:szCs w:val="20"/>
                    </w:rPr>
                    <w:t>Max. qty units</w:t>
                  </w:r>
                </w:p>
              </w:tc>
              <w:tc>
                <w:tcPr>
                  <w:tcW w:w="709" w:type="dxa"/>
                </w:tcPr>
                <w:p w14:paraId="26AA95FF" w14:textId="77777777" w:rsidR="00360D5B" w:rsidRPr="00A117B2" w:rsidRDefault="00360D5B" w:rsidP="00560E48">
                  <w:pPr>
                    <w:keepNext/>
                    <w:ind w:left="-108"/>
                    <w:jc w:val="center"/>
                    <w:rPr>
                      <w:rFonts w:ascii="Arial Narrow" w:eastAsia="Calibri" w:hAnsi="Arial Narrow"/>
                      <w:b/>
                      <w:sz w:val="20"/>
                      <w:szCs w:val="20"/>
                    </w:rPr>
                  </w:pPr>
                  <w:proofErr w:type="gramStart"/>
                  <w:r w:rsidRPr="00A117B2">
                    <w:rPr>
                      <w:rFonts w:ascii="Arial Narrow" w:eastAsia="Calibri" w:hAnsi="Arial Narrow"/>
                      <w:b/>
                      <w:sz w:val="20"/>
                      <w:szCs w:val="20"/>
                    </w:rPr>
                    <w:t>№.of</w:t>
                  </w:r>
                  <w:proofErr w:type="gramEnd"/>
                </w:p>
                <w:p w14:paraId="79491167" w14:textId="77777777" w:rsidR="00360D5B" w:rsidRPr="00A117B2" w:rsidRDefault="00360D5B" w:rsidP="00560E48">
                  <w:pPr>
                    <w:keepNext/>
                    <w:ind w:left="-108"/>
                    <w:jc w:val="center"/>
                    <w:rPr>
                      <w:rFonts w:ascii="Arial Narrow" w:eastAsia="Calibri" w:hAnsi="Arial Narrow"/>
                      <w:b/>
                      <w:sz w:val="20"/>
                      <w:szCs w:val="20"/>
                    </w:rPr>
                  </w:pPr>
                  <w:proofErr w:type="spellStart"/>
                  <w:r w:rsidRPr="00A117B2">
                    <w:rPr>
                      <w:rFonts w:ascii="Arial Narrow" w:eastAsia="Calibri" w:hAnsi="Arial Narrow"/>
                      <w:b/>
                      <w:sz w:val="20"/>
                      <w:szCs w:val="20"/>
                    </w:rPr>
                    <w:t>Rpts</w:t>
                  </w:r>
                  <w:proofErr w:type="spellEnd"/>
                </w:p>
              </w:tc>
              <w:tc>
                <w:tcPr>
                  <w:tcW w:w="1842" w:type="dxa"/>
                </w:tcPr>
                <w:p w14:paraId="032D9E59" w14:textId="77777777" w:rsidR="00360D5B" w:rsidRPr="00A117B2" w:rsidRDefault="00360D5B" w:rsidP="00560E48">
                  <w:pPr>
                    <w:keepNext/>
                    <w:rPr>
                      <w:rFonts w:ascii="Arial Narrow" w:eastAsia="Calibri" w:hAnsi="Arial Narrow"/>
                      <w:b/>
                      <w:sz w:val="20"/>
                      <w:szCs w:val="20"/>
                      <w:lang w:val="fr-FR"/>
                    </w:rPr>
                  </w:pPr>
                  <w:r w:rsidRPr="00A117B2">
                    <w:rPr>
                      <w:rFonts w:ascii="Arial Narrow" w:eastAsia="Calibri" w:hAnsi="Arial Narrow"/>
                      <w:b/>
                      <w:sz w:val="20"/>
                      <w:szCs w:val="20"/>
                    </w:rPr>
                    <w:t>Available brands</w:t>
                  </w:r>
                </w:p>
              </w:tc>
            </w:tr>
            <w:tr w:rsidR="00360D5B" w:rsidRPr="00A117B2" w14:paraId="3BE2A225" w14:textId="77777777" w:rsidTr="00560E48">
              <w:trPr>
                <w:cantSplit/>
                <w:trHeight w:val="224"/>
              </w:trPr>
              <w:tc>
                <w:tcPr>
                  <w:tcW w:w="9067" w:type="dxa"/>
                  <w:gridSpan w:val="6"/>
                  <w:tcBorders>
                    <w:left w:val="nil"/>
                    <w:bottom w:val="single" w:sz="4" w:space="0" w:color="auto"/>
                  </w:tcBorders>
                </w:tcPr>
                <w:p w14:paraId="5F402BF1" w14:textId="77777777" w:rsidR="00360D5B" w:rsidRPr="00A117B2" w:rsidRDefault="00360D5B" w:rsidP="00560E48">
                  <w:pPr>
                    <w:keepNext/>
                    <w:ind w:left="-57"/>
                    <w:rPr>
                      <w:rFonts w:ascii="Arial Narrow" w:eastAsia="Calibri" w:hAnsi="Arial Narrow"/>
                      <w:sz w:val="20"/>
                      <w:szCs w:val="20"/>
                    </w:rPr>
                  </w:pPr>
                  <w:r w:rsidRPr="00A117B2">
                    <w:rPr>
                      <w:rFonts w:ascii="Arial Narrow" w:eastAsia="Calibri" w:hAnsi="Arial Narrow"/>
                      <w:sz w:val="20"/>
                      <w:szCs w:val="20"/>
                    </w:rPr>
                    <w:t>RISANKIZUMAB</w:t>
                  </w:r>
                </w:p>
              </w:tc>
            </w:tr>
            <w:tr w:rsidR="00360D5B" w:rsidRPr="00A117B2" w14:paraId="7F9E9DF5" w14:textId="77777777" w:rsidTr="00560E48">
              <w:trPr>
                <w:cantSplit/>
                <w:trHeight w:val="339"/>
              </w:trPr>
              <w:tc>
                <w:tcPr>
                  <w:tcW w:w="3397" w:type="dxa"/>
                  <w:tcBorders>
                    <w:left w:val="nil"/>
                    <w:bottom w:val="nil"/>
                  </w:tcBorders>
                </w:tcPr>
                <w:p w14:paraId="00733BB0" w14:textId="77777777" w:rsidR="00360D5B" w:rsidRPr="00A117B2" w:rsidRDefault="00360D5B" w:rsidP="00560E48">
                  <w:pPr>
                    <w:keepNext/>
                    <w:ind w:left="-57"/>
                    <w:rPr>
                      <w:rFonts w:ascii="Arial Narrow" w:eastAsia="Calibri" w:hAnsi="Arial Narrow"/>
                      <w:sz w:val="20"/>
                      <w:szCs w:val="20"/>
                    </w:rPr>
                  </w:pPr>
                  <w:r w:rsidRPr="00A117B2">
                    <w:rPr>
                      <w:rFonts w:ascii="Arial Narrow" w:eastAsia="Calibri" w:hAnsi="Arial Narrow"/>
                      <w:sz w:val="20"/>
                      <w:szCs w:val="20"/>
                    </w:rPr>
                    <w:t>risankizumab 150 mg/1 mL injection, 1 x 1 mL syringe</w:t>
                  </w:r>
                </w:p>
              </w:tc>
              <w:tc>
                <w:tcPr>
                  <w:tcW w:w="1560" w:type="dxa"/>
                  <w:tcBorders>
                    <w:bottom w:val="nil"/>
                  </w:tcBorders>
                </w:tcPr>
                <w:p w14:paraId="5FC58509" w14:textId="77777777" w:rsidR="00360D5B" w:rsidRPr="00A117B2" w:rsidRDefault="00360D5B" w:rsidP="00560E48">
                  <w:pPr>
                    <w:keepNext/>
                    <w:jc w:val="center"/>
                    <w:rPr>
                      <w:rFonts w:ascii="Arial Narrow" w:eastAsia="Calibri" w:hAnsi="Arial Narrow"/>
                      <w:sz w:val="20"/>
                      <w:szCs w:val="20"/>
                    </w:rPr>
                  </w:pPr>
                  <w:r w:rsidRPr="00A117B2">
                    <w:rPr>
                      <w:rFonts w:ascii="Arial Narrow" w:eastAsia="Calibri" w:hAnsi="Arial Narrow"/>
                      <w:sz w:val="20"/>
                      <w:szCs w:val="20"/>
                    </w:rPr>
                    <w:t>NEW</w:t>
                  </w:r>
                </w:p>
              </w:tc>
              <w:tc>
                <w:tcPr>
                  <w:tcW w:w="850" w:type="dxa"/>
                  <w:tcBorders>
                    <w:bottom w:val="nil"/>
                  </w:tcBorders>
                </w:tcPr>
                <w:p w14:paraId="378D89A8" w14:textId="77777777" w:rsidR="00360D5B" w:rsidRPr="00A117B2" w:rsidRDefault="00360D5B" w:rsidP="00560E48">
                  <w:pPr>
                    <w:keepNext/>
                    <w:jc w:val="center"/>
                    <w:rPr>
                      <w:rFonts w:ascii="Arial Narrow" w:eastAsia="Calibri" w:hAnsi="Arial Narrow"/>
                      <w:sz w:val="20"/>
                      <w:szCs w:val="20"/>
                    </w:rPr>
                  </w:pPr>
                  <w:r w:rsidRPr="00A117B2">
                    <w:rPr>
                      <w:rFonts w:ascii="Arial Narrow" w:eastAsia="Calibri" w:hAnsi="Arial Narrow"/>
                      <w:sz w:val="20"/>
                      <w:szCs w:val="20"/>
                    </w:rPr>
                    <w:t>1</w:t>
                  </w:r>
                </w:p>
              </w:tc>
              <w:tc>
                <w:tcPr>
                  <w:tcW w:w="709" w:type="dxa"/>
                  <w:tcBorders>
                    <w:bottom w:val="nil"/>
                  </w:tcBorders>
                </w:tcPr>
                <w:p w14:paraId="4BE6B9BD" w14:textId="77777777" w:rsidR="00360D5B" w:rsidRPr="00A117B2" w:rsidRDefault="00360D5B" w:rsidP="00560E48">
                  <w:pPr>
                    <w:keepNext/>
                    <w:jc w:val="center"/>
                    <w:rPr>
                      <w:rFonts w:ascii="Arial Narrow" w:eastAsia="Calibri" w:hAnsi="Arial Narrow"/>
                      <w:i/>
                      <w:iCs/>
                      <w:sz w:val="20"/>
                      <w:szCs w:val="20"/>
                    </w:rPr>
                  </w:pPr>
                  <w:r w:rsidRPr="00A117B2">
                    <w:rPr>
                      <w:rFonts w:ascii="Arial Narrow" w:eastAsia="Calibri" w:hAnsi="Arial Narrow"/>
                      <w:sz w:val="20"/>
                      <w:szCs w:val="20"/>
                    </w:rPr>
                    <w:t xml:space="preserve">1 </w:t>
                  </w:r>
                </w:p>
              </w:tc>
              <w:tc>
                <w:tcPr>
                  <w:tcW w:w="709" w:type="dxa"/>
                  <w:tcBorders>
                    <w:bottom w:val="nil"/>
                  </w:tcBorders>
                </w:tcPr>
                <w:p w14:paraId="6D705AFA" w14:textId="77777777" w:rsidR="00360D5B" w:rsidRPr="00A117B2" w:rsidRDefault="00360D5B" w:rsidP="00560E48">
                  <w:pPr>
                    <w:keepNext/>
                    <w:jc w:val="center"/>
                    <w:rPr>
                      <w:rFonts w:ascii="Arial Narrow" w:eastAsia="Calibri" w:hAnsi="Arial Narrow"/>
                      <w:i/>
                      <w:iCs/>
                      <w:sz w:val="20"/>
                      <w:szCs w:val="20"/>
                    </w:rPr>
                  </w:pPr>
                  <w:r w:rsidRPr="00A117B2">
                    <w:rPr>
                      <w:rFonts w:ascii="Arial Narrow" w:eastAsia="Calibri" w:hAnsi="Arial Narrow"/>
                      <w:sz w:val="20"/>
                      <w:szCs w:val="20"/>
                    </w:rPr>
                    <w:t>1</w:t>
                  </w:r>
                </w:p>
              </w:tc>
              <w:tc>
                <w:tcPr>
                  <w:tcW w:w="1842" w:type="dxa"/>
                  <w:tcBorders>
                    <w:bottom w:val="nil"/>
                  </w:tcBorders>
                </w:tcPr>
                <w:p w14:paraId="0A5F286D" w14:textId="77777777" w:rsidR="00360D5B" w:rsidRPr="00A117B2" w:rsidRDefault="00360D5B" w:rsidP="00560E48">
                  <w:pPr>
                    <w:keepNext/>
                    <w:rPr>
                      <w:rFonts w:ascii="Arial Narrow" w:eastAsia="Calibri" w:hAnsi="Arial Narrow"/>
                      <w:sz w:val="20"/>
                      <w:szCs w:val="20"/>
                    </w:rPr>
                  </w:pPr>
                  <w:proofErr w:type="spellStart"/>
                  <w:r w:rsidRPr="00A117B2">
                    <w:rPr>
                      <w:rFonts w:ascii="Arial Narrow" w:eastAsia="Calibri" w:hAnsi="Arial Narrow"/>
                      <w:sz w:val="20"/>
                      <w:szCs w:val="20"/>
                    </w:rPr>
                    <w:t>Skyrizi</w:t>
                  </w:r>
                  <w:proofErr w:type="spellEnd"/>
                  <w:r w:rsidRPr="00A117B2">
                    <w:rPr>
                      <w:rFonts w:ascii="Arial Narrow" w:eastAsia="Calibri" w:hAnsi="Arial Narrow"/>
                      <w:i/>
                      <w:sz w:val="20"/>
                      <w:szCs w:val="20"/>
                    </w:rPr>
                    <w:t xml:space="preserve"> </w:t>
                  </w:r>
                </w:p>
              </w:tc>
            </w:tr>
          </w:tbl>
          <w:p w14:paraId="031EC156" w14:textId="77777777" w:rsidR="00360D5B" w:rsidRPr="00A117B2" w:rsidRDefault="00360D5B" w:rsidP="00560E48">
            <w:pPr>
              <w:rPr>
                <w:rFonts w:ascii="Arial Narrow" w:hAnsi="Arial Narrow" w:cs="Times New Roman"/>
                <w:b/>
                <w:bCs/>
                <w:sz w:val="20"/>
                <w:szCs w:val="20"/>
              </w:rPr>
            </w:pPr>
          </w:p>
        </w:tc>
      </w:tr>
      <w:tr w:rsidR="00360D5B" w:rsidRPr="00A8542F" w14:paraId="61A50276"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63918B97" w14:textId="77777777" w:rsidR="00360D5B" w:rsidRPr="00A117B2" w:rsidRDefault="00360D5B" w:rsidP="00560E48">
            <w:pPr>
              <w:rPr>
                <w:rFonts w:ascii="Arial Narrow" w:hAnsi="Arial Narrow" w:cs="Times New Roman"/>
                <w:b/>
                <w:bCs/>
                <w:sz w:val="20"/>
                <w:szCs w:val="20"/>
              </w:rPr>
            </w:pPr>
          </w:p>
        </w:tc>
      </w:tr>
      <w:tr w:rsidR="00360D5B" w:rsidRPr="008048B3" w14:paraId="78B168D6"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125C4435" w14:textId="33C0319A"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Restriction Summary</w:t>
            </w:r>
            <w:r w:rsidRPr="00A117B2">
              <w:rPr>
                <w:rFonts w:ascii="Arial Narrow" w:hAnsi="Arial Narrow" w:cs="Times New Roman"/>
                <w:b/>
                <w:bCs/>
                <w:i/>
                <w:iCs/>
                <w:sz w:val="20"/>
                <w:szCs w:val="20"/>
              </w:rPr>
              <w:t xml:space="preserve"> /</w:t>
            </w:r>
            <w:r w:rsidRPr="00A117B2">
              <w:rPr>
                <w:rFonts w:ascii="Arial Narrow" w:hAnsi="Arial Narrow" w:cs="Times New Roman"/>
                <w:b/>
                <w:bCs/>
                <w:sz w:val="20"/>
                <w:szCs w:val="20"/>
              </w:rPr>
              <w:t xml:space="preserve"> </w:t>
            </w:r>
            <w:proofErr w:type="spellStart"/>
            <w:r w:rsidRPr="00A117B2">
              <w:rPr>
                <w:rFonts w:ascii="Arial Narrow" w:hAnsi="Arial Narrow" w:cs="Times New Roman"/>
                <w:b/>
                <w:bCs/>
                <w:sz w:val="20"/>
                <w:szCs w:val="20"/>
              </w:rPr>
              <w:t>ToC</w:t>
            </w:r>
            <w:proofErr w:type="spellEnd"/>
            <w:r w:rsidRPr="00A117B2">
              <w:rPr>
                <w:rFonts w:ascii="Arial Narrow" w:hAnsi="Arial Narrow" w:cs="Times New Roman"/>
                <w:b/>
                <w:bCs/>
                <w:sz w:val="20"/>
                <w:szCs w:val="20"/>
              </w:rPr>
              <w:t xml:space="preserve">: </w:t>
            </w:r>
          </w:p>
        </w:tc>
      </w:tr>
      <w:tr w:rsidR="00360D5B" w:rsidRPr="008048B3" w14:paraId="71FCEF3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val="restart"/>
            <w:tcBorders>
              <w:top w:val="single" w:sz="4" w:space="0" w:color="auto"/>
              <w:left w:val="single" w:sz="4" w:space="0" w:color="auto"/>
              <w:right w:val="single" w:sz="4" w:space="0" w:color="auto"/>
            </w:tcBorders>
          </w:tcPr>
          <w:p w14:paraId="6A314AB7" w14:textId="77777777" w:rsidR="00360D5B" w:rsidRPr="00A117B2" w:rsidRDefault="00360D5B" w:rsidP="00560E48">
            <w:pPr>
              <w:rPr>
                <w:rFonts w:ascii="Arial Narrow" w:eastAsia="Calibri" w:hAnsi="Arial Narrow"/>
                <w:b/>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000C4698" w14:textId="248E68B1"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Category / Program: </w:t>
            </w:r>
            <w:r w:rsidRPr="00A117B2">
              <w:rPr>
                <w:rFonts w:ascii="Arial Narrow" w:eastAsia="Calibri" w:hAnsi="Arial Narrow"/>
                <w:sz w:val="20"/>
                <w:szCs w:val="20"/>
              </w:rPr>
              <w:t>GENERAL – General Schedule (Code GE)</w:t>
            </w:r>
            <w:r w:rsidRPr="00A117B2">
              <w:rPr>
                <w:rFonts w:ascii="Arial Narrow" w:eastAsia="Calibri" w:hAnsi="Arial Narrow"/>
                <w:color w:val="FF0000"/>
                <w:sz w:val="20"/>
                <w:szCs w:val="20"/>
              </w:rPr>
              <w:t xml:space="preserve"> </w:t>
            </w:r>
          </w:p>
        </w:tc>
      </w:tr>
      <w:tr w:rsidR="00360D5B" w:rsidRPr="008048B3" w14:paraId="699C210C" w14:textId="77777777" w:rsidTr="00560E48">
        <w:tblPrEx>
          <w:tblCellMar>
            <w:top w:w="15" w:type="dxa"/>
            <w:left w:w="15" w:type="dxa"/>
            <w:bottom w:w="15" w:type="dxa"/>
            <w:right w:w="15" w:type="dxa"/>
          </w:tblCellMar>
          <w:tblLook w:val="04A0" w:firstRow="1" w:lastRow="0" w:firstColumn="1" w:lastColumn="0" w:noHBand="0" w:noVBand="1"/>
        </w:tblPrEx>
        <w:trPr>
          <w:trHeight w:val="240"/>
        </w:trPr>
        <w:tc>
          <w:tcPr>
            <w:tcW w:w="1413" w:type="dxa"/>
            <w:gridSpan w:val="2"/>
            <w:vMerge/>
            <w:tcBorders>
              <w:left w:val="single" w:sz="4" w:space="0" w:color="auto"/>
              <w:right w:val="single" w:sz="4" w:space="0" w:color="auto"/>
            </w:tcBorders>
          </w:tcPr>
          <w:p w14:paraId="0F71DB17"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1DEEB4D5" w14:textId="77777777" w:rsidR="00360D5B" w:rsidRPr="00A117B2" w:rsidRDefault="00360D5B" w:rsidP="00560E48">
            <w:pPr>
              <w:rPr>
                <w:rFonts w:ascii="Arial Narrow" w:eastAsia="Calibri" w:hAnsi="Arial Narrow"/>
                <w:b/>
                <w:sz w:val="20"/>
                <w:szCs w:val="20"/>
              </w:rPr>
            </w:pPr>
            <w:r w:rsidRPr="00A117B2">
              <w:rPr>
                <w:rFonts w:ascii="Arial Narrow" w:eastAsia="Calibri" w:hAnsi="Arial Narrow"/>
                <w:b/>
                <w:sz w:val="20"/>
                <w:szCs w:val="20"/>
              </w:rPr>
              <w:t xml:space="preserve">Prescriber type: </w:t>
            </w:r>
            <w:r w:rsidRPr="00A117B2">
              <w:rPr>
                <w:rFonts w:ascii="Arial Narrow" w:eastAsia="Calibri" w:hAnsi="Arial Narrow"/>
                <w:sz w:val="20"/>
                <w:szCs w:val="20"/>
              </w:rPr>
              <w:fldChar w:fldCharType="begin">
                <w:ffData>
                  <w:name w:val=""/>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Medical Practitioners</w:t>
            </w:r>
          </w:p>
        </w:tc>
      </w:tr>
      <w:tr w:rsidR="00360D5B" w:rsidRPr="008048B3" w14:paraId="5DEBCA4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tcBorders>
              <w:left w:val="single" w:sz="4" w:space="0" w:color="auto"/>
              <w:bottom w:val="single" w:sz="4" w:space="0" w:color="auto"/>
              <w:right w:val="single" w:sz="4" w:space="0" w:color="auto"/>
            </w:tcBorders>
          </w:tcPr>
          <w:p w14:paraId="25ACC91D"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70AC2BC2" w14:textId="77777777"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Restriction type: </w:t>
            </w:r>
          </w:p>
          <w:p w14:paraId="1817A398" w14:textId="065304ED" w:rsidR="00360D5B" w:rsidRPr="00A117B2" w:rsidRDefault="00360D5B" w:rsidP="00560E48">
            <w:pPr>
              <w:rPr>
                <w:rFonts w:ascii="Arial Narrow" w:eastAsia="Calibri" w:hAnsi="Arial Narrow"/>
                <w:color w:val="FF00FF"/>
                <w:sz w:val="20"/>
                <w:szCs w:val="20"/>
              </w:rPr>
            </w:pPr>
            <w:r w:rsidRPr="00A117B2">
              <w:rPr>
                <w:rFonts w:ascii="Arial Narrow" w:eastAsia="Calibri" w:hAnsi="Arial Narrow"/>
                <w:sz w:val="20"/>
                <w:szCs w:val="20"/>
              </w:rPr>
              <w:fldChar w:fldCharType="begin">
                <w:ffData>
                  <w:name w:val="Check1"/>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 xml:space="preserve"> Authority Required</w:t>
            </w:r>
            <w:r w:rsidRPr="00A117B2">
              <w:rPr>
                <w:rFonts w:ascii="Arial Narrow" w:eastAsia="Calibri" w:hAnsi="Arial Narrow"/>
                <w:i/>
                <w:iCs/>
                <w:sz w:val="20"/>
                <w:szCs w:val="20"/>
              </w:rPr>
              <w:t xml:space="preserve"> </w:t>
            </w:r>
            <w:r w:rsidRPr="00A117B2">
              <w:rPr>
                <w:rFonts w:ascii="Arial Narrow" w:eastAsia="Calibri" w:hAnsi="Arial Narrow"/>
                <w:sz w:val="20"/>
                <w:szCs w:val="20"/>
              </w:rPr>
              <w:t>(in-writing only via post/HPOS upload</w:t>
            </w:r>
          </w:p>
        </w:tc>
      </w:tr>
      <w:tr w:rsidR="00360D5B" w:rsidRPr="008048B3" w14:paraId="7C98C61C"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39BBA0EB" w14:textId="554427D5" w:rsidR="00360D5B" w:rsidRPr="00A117B2" w:rsidRDefault="00360D5B" w:rsidP="00560E48">
            <w:pPr>
              <w:ind w:left="113" w:right="113"/>
              <w:rPr>
                <w:rFonts w:ascii="Arial Narrow" w:eastAsia="Calibri" w:hAnsi="Arial Narrow"/>
                <w:sz w:val="20"/>
                <w:szCs w:val="20"/>
              </w:rPr>
            </w:pPr>
          </w:p>
        </w:tc>
        <w:tc>
          <w:tcPr>
            <w:tcW w:w="1134" w:type="dxa"/>
            <w:vAlign w:val="center"/>
          </w:tcPr>
          <w:p w14:paraId="6E1927C4" w14:textId="32B8ECD9" w:rsidR="00360D5B" w:rsidRPr="00A117B2" w:rsidRDefault="00360D5B" w:rsidP="00560E48">
            <w:pPr>
              <w:jc w:val="center"/>
              <w:rPr>
                <w:rFonts w:ascii="Arial Narrow" w:hAnsi="Arial Narrow" w:cs="Times New Roman"/>
                <w:i/>
                <w:iCs/>
                <w:color w:val="333333"/>
                <w:sz w:val="20"/>
                <w:szCs w:val="20"/>
              </w:rPr>
            </w:pPr>
          </w:p>
        </w:tc>
        <w:tc>
          <w:tcPr>
            <w:tcW w:w="7654" w:type="dxa"/>
            <w:gridSpan w:val="6"/>
            <w:vAlign w:val="center"/>
          </w:tcPr>
          <w:p w14:paraId="56178695"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Administrative Advice:</w:t>
            </w:r>
          </w:p>
          <w:p w14:paraId="5F92F00C"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TREATMENT OF ADULT PATIENTS WITH SEVERE ACTIVE PSORIATIC ARTHRITIS</w:t>
            </w:r>
          </w:p>
          <w:p w14:paraId="230FE81C"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The following information applies to the prescribing under the Pharmaceutical Benefits Scheme (PBS) of the biological </w:t>
            </w:r>
            <w:proofErr w:type="gramStart"/>
            <w:r w:rsidRPr="00A117B2">
              <w:rPr>
                <w:rFonts w:ascii="Arial Narrow" w:hAnsi="Arial Narrow" w:cs="Times New Roman"/>
                <w:color w:val="333333"/>
                <w:sz w:val="20"/>
                <w:szCs w:val="20"/>
              </w:rPr>
              <w:t>medicines</w:t>
            </w:r>
            <w:proofErr w:type="gramEnd"/>
            <w:r w:rsidRPr="00A117B2">
              <w:rPr>
                <w:rFonts w:ascii="Arial Narrow" w:hAnsi="Arial Narrow" w:cs="Times New Roman"/>
                <w:color w:val="333333"/>
                <w:sz w:val="20"/>
                <w:szCs w:val="20"/>
              </w:rPr>
              <w:t xml:space="preserve"> adalimumab, certolizumab pegol, etanercept, golimumab, </w:t>
            </w:r>
            <w:proofErr w:type="spellStart"/>
            <w:r w:rsidRPr="00A117B2">
              <w:rPr>
                <w:rFonts w:ascii="Arial Narrow" w:hAnsi="Arial Narrow" w:cs="Times New Roman"/>
                <w:color w:val="333333"/>
                <w:sz w:val="20"/>
                <w:szCs w:val="20"/>
              </w:rPr>
              <w:t>guselkumab</w:t>
            </w:r>
            <w:proofErr w:type="spellEnd"/>
            <w:r w:rsidRPr="00A117B2">
              <w:rPr>
                <w:rFonts w:ascii="Arial Narrow" w:hAnsi="Arial Narrow" w:cs="Times New Roman"/>
                <w:color w:val="333333"/>
                <w:sz w:val="20"/>
                <w:szCs w:val="20"/>
              </w:rPr>
              <w:t xml:space="preserve">, infliximab, </w:t>
            </w:r>
            <w:proofErr w:type="spellStart"/>
            <w:r w:rsidRPr="00A117B2">
              <w:rPr>
                <w:rFonts w:ascii="Arial Narrow" w:hAnsi="Arial Narrow" w:cs="Times New Roman"/>
                <w:color w:val="333333"/>
                <w:sz w:val="20"/>
                <w:szCs w:val="20"/>
              </w:rPr>
              <w:t>ixekizumab</w:t>
            </w:r>
            <w:proofErr w:type="spellEnd"/>
            <w:r w:rsidRPr="00A117B2">
              <w:rPr>
                <w:rFonts w:ascii="Arial Narrow" w:hAnsi="Arial Narrow" w:cs="Times New Roman"/>
                <w:color w:val="333333"/>
                <w:sz w:val="20"/>
                <w:szCs w:val="20"/>
              </w:rPr>
              <w:t xml:space="preserve">, </w:t>
            </w:r>
            <w:r w:rsidRPr="00A117B2">
              <w:rPr>
                <w:rFonts w:ascii="Arial Narrow" w:hAnsi="Arial Narrow" w:cs="Times New Roman"/>
                <w:i/>
                <w:iCs/>
                <w:color w:val="333333"/>
                <w:sz w:val="20"/>
                <w:szCs w:val="20"/>
              </w:rPr>
              <w:t>risankizumab,</w:t>
            </w:r>
            <w:r w:rsidRPr="00A117B2">
              <w:rPr>
                <w:rFonts w:ascii="Arial Narrow" w:hAnsi="Arial Narrow" w:cs="Times New Roman"/>
                <w:color w:val="333333"/>
                <w:sz w:val="20"/>
                <w:szCs w:val="20"/>
              </w:rPr>
              <w:t xml:space="preserve"> </w:t>
            </w:r>
            <w:proofErr w:type="spellStart"/>
            <w:r w:rsidRPr="00A117B2">
              <w:rPr>
                <w:rFonts w:ascii="Arial Narrow" w:hAnsi="Arial Narrow" w:cs="Times New Roman"/>
                <w:color w:val="333333"/>
                <w:sz w:val="20"/>
                <w:szCs w:val="20"/>
              </w:rPr>
              <w:t>secukinumab</w:t>
            </w:r>
            <w:proofErr w:type="spellEnd"/>
            <w:r w:rsidRPr="00A117B2">
              <w:rPr>
                <w:rFonts w:ascii="Arial Narrow" w:hAnsi="Arial Narrow" w:cs="Times New Roman"/>
                <w:color w:val="333333"/>
                <w:sz w:val="20"/>
                <w:szCs w:val="20"/>
              </w:rPr>
              <w:t xml:space="preserve">, tofacitinib, </w:t>
            </w:r>
            <w:proofErr w:type="spellStart"/>
            <w:r w:rsidRPr="00A117B2">
              <w:rPr>
                <w:rFonts w:ascii="Arial Narrow" w:hAnsi="Arial Narrow" w:cs="Times New Roman"/>
                <w:color w:val="333333"/>
                <w:sz w:val="20"/>
                <w:szCs w:val="20"/>
              </w:rPr>
              <w:t>upadacitinib</w:t>
            </w:r>
            <w:proofErr w:type="spellEnd"/>
            <w:r w:rsidRPr="00A117B2">
              <w:rPr>
                <w:rFonts w:ascii="Arial Narrow" w:hAnsi="Arial Narrow" w:cs="Times New Roman"/>
                <w:color w:val="333333"/>
                <w:sz w:val="20"/>
                <w:szCs w:val="20"/>
              </w:rPr>
              <w:t xml:space="preserve"> and </w:t>
            </w:r>
            <w:proofErr w:type="spellStart"/>
            <w:r w:rsidRPr="00A117B2">
              <w:rPr>
                <w:rFonts w:ascii="Arial Narrow" w:hAnsi="Arial Narrow" w:cs="Times New Roman"/>
                <w:color w:val="333333"/>
                <w:sz w:val="20"/>
                <w:szCs w:val="20"/>
              </w:rPr>
              <w:t>ustekinumab</w:t>
            </w:r>
            <w:proofErr w:type="spellEnd"/>
            <w:r w:rsidRPr="00A117B2">
              <w:rPr>
                <w:rFonts w:ascii="Arial Narrow" w:hAnsi="Arial Narrow" w:cs="Times New Roman"/>
                <w:color w:val="333333"/>
                <w:sz w:val="20"/>
                <w:szCs w:val="20"/>
              </w:rPr>
              <w:t xml:space="preserve"> for adult patients with severe active psoriatic arthritis. Therefore, where the term 'biological medicine' appears in notes and restrictions, it refers to adalimumab, certolizumab pegol, etanercept, golimumab, </w:t>
            </w:r>
            <w:proofErr w:type="spellStart"/>
            <w:r w:rsidRPr="00A117B2">
              <w:rPr>
                <w:rFonts w:ascii="Arial Narrow" w:hAnsi="Arial Narrow" w:cs="Times New Roman"/>
                <w:color w:val="333333"/>
                <w:sz w:val="20"/>
                <w:szCs w:val="20"/>
              </w:rPr>
              <w:t>guselkumab</w:t>
            </w:r>
            <w:proofErr w:type="spellEnd"/>
            <w:r w:rsidRPr="00A117B2">
              <w:rPr>
                <w:rFonts w:ascii="Arial Narrow" w:hAnsi="Arial Narrow" w:cs="Times New Roman"/>
                <w:color w:val="333333"/>
                <w:sz w:val="20"/>
                <w:szCs w:val="20"/>
              </w:rPr>
              <w:t xml:space="preserve">, infliximab, </w:t>
            </w:r>
            <w:proofErr w:type="spellStart"/>
            <w:r w:rsidRPr="00A117B2">
              <w:rPr>
                <w:rFonts w:ascii="Arial Narrow" w:hAnsi="Arial Narrow" w:cs="Times New Roman"/>
                <w:color w:val="333333"/>
                <w:sz w:val="20"/>
                <w:szCs w:val="20"/>
              </w:rPr>
              <w:t>ixekizumab</w:t>
            </w:r>
            <w:proofErr w:type="spellEnd"/>
            <w:r w:rsidRPr="00A117B2">
              <w:rPr>
                <w:rFonts w:ascii="Arial Narrow" w:hAnsi="Arial Narrow" w:cs="Times New Roman"/>
                <w:color w:val="333333"/>
                <w:sz w:val="20"/>
                <w:szCs w:val="20"/>
              </w:rPr>
              <w:t xml:space="preserve">, </w:t>
            </w:r>
            <w:r w:rsidRPr="00A117B2">
              <w:rPr>
                <w:rFonts w:ascii="Arial Narrow" w:hAnsi="Arial Narrow" w:cs="Times New Roman"/>
                <w:i/>
                <w:iCs/>
                <w:color w:val="333333"/>
                <w:sz w:val="20"/>
                <w:szCs w:val="20"/>
              </w:rPr>
              <w:t>risankizumab</w:t>
            </w:r>
            <w:r w:rsidRPr="00A117B2">
              <w:rPr>
                <w:rFonts w:ascii="Arial Narrow" w:hAnsi="Arial Narrow" w:cs="Times New Roman"/>
                <w:color w:val="333333"/>
                <w:sz w:val="20"/>
                <w:szCs w:val="20"/>
              </w:rPr>
              <w:t xml:space="preserve">, </w:t>
            </w:r>
            <w:proofErr w:type="spellStart"/>
            <w:r w:rsidRPr="00A117B2">
              <w:rPr>
                <w:rFonts w:ascii="Arial Narrow" w:hAnsi="Arial Narrow" w:cs="Times New Roman"/>
                <w:color w:val="333333"/>
                <w:sz w:val="20"/>
                <w:szCs w:val="20"/>
              </w:rPr>
              <w:t>secukinumab</w:t>
            </w:r>
            <w:proofErr w:type="spellEnd"/>
            <w:r w:rsidRPr="00A117B2">
              <w:rPr>
                <w:rFonts w:ascii="Arial Narrow" w:hAnsi="Arial Narrow" w:cs="Times New Roman"/>
                <w:color w:val="333333"/>
                <w:sz w:val="20"/>
                <w:szCs w:val="20"/>
              </w:rPr>
              <w:t xml:space="preserve">, tofacitinib, </w:t>
            </w:r>
            <w:proofErr w:type="spellStart"/>
            <w:r w:rsidRPr="00A117B2">
              <w:rPr>
                <w:rFonts w:ascii="Arial Narrow" w:hAnsi="Arial Narrow" w:cs="Times New Roman"/>
                <w:color w:val="333333"/>
                <w:sz w:val="20"/>
                <w:szCs w:val="20"/>
              </w:rPr>
              <w:t>upadacitinib</w:t>
            </w:r>
            <w:proofErr w:type="spellEnd"/>
            <w:r w:rsidRPr="00A117B2">
              <w:rPr>
                <w:rFonts w:ascii="Arial Narrow" w:hAnsi="Arial Narrow" w:cs="Times New Roman"/>
                <w:color w:val="333333"/>
                <w:sz w:val="20"/>
                <w:szCs w:val="20"/>
              </w:rPr>
              <w:t xml:space="preserve"> and </w:t>
            </w:r>
            <w:proofErr w:type="spellStart"/>
            <w:r w:rsidRPr="00A117B2">
              <w:rPr>
                <w:rFonts w:ascii="Arial Narrow" w:hAnsi="Arial Narrow" w:cs="Times New Roman"/>
                <w:color w:val="333333"/>
                <w:sz w:val="20"/>
                <w:szCs w:val="20"/>
              </w:rPr>
              <w:t>ustekinumab</w:t>
            </w:r>
            <w:proofErr w:type="spellEnd"/>
            <w:r w:rsidRPr="00A117B2">
              <w:rPr>
                <w:rFonts w:ascii="Arial Narrow" w:hAnsi="Arial Narrow" w:cs="Times New Roman"/>
                <w:color w:val="333333"/>
                <w:sz w:val="20"/>
                <w:szCs w:val="20"/>
              </w:rPr>
              <w:t xml:space="preserve"> only.</w:t>
            </w:r>
          </w:p>
          <w:p w14:paraId="3448354B"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is eligible for PBS-subsidised treatment with only 1 of the above biological medicines at any 1 time.</w:t>
            </w:r>
          </w:p>
          <w:p w14:paraId="51313DC9"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A patient receiving PBS-subsidised treatment for psoriatic arthritis </w:t>
            </w:r>
            <w:proofErr w:type="gramStart"/>
            <w:r w:rsidRPr="00A117B2">
              <w:rPr>
                <w:rFonts w:ascii="Arial Narrow" w:hAnsi="Arial Narrow" w:cs="Times New Roman"/>
                <w:color w:val="333333"/>
                <w:sz w:val="20"/>
                <w:szCs w:val="20"/>
              </w:rPr>
              <w:t>is able to</w:t>
            </w:r>
            <w:proofErr w:type="gramEnd"/>
            <w:r w:rsidRPr="00A117B2">
              <w:rPr>
                <w:rFonts w:ascii="Arial Narrow" w:hAnsi="Arial Narrow" w:cs="Times New Roman"/>
                <w:color w:val="333333"/>
                <w:sz w:val="20"/>
                <w:szCs w:val="20"/>
              </w:rPr>
              <w:t xml:space="preserve"> commence a treatment cycle where they may trial biological medicines without having to experience a disease flare when swapping to the alternate biological medicine. Under these arrangements, within a single cycle, a patient may receive long-term treatment with a biological medicine </w:t>
            </w:r>
            <w:proofErr w:type="gramStart"/>
            <w:r w:rsidRPr="00A117B2">
              <w:rPr>
                <w:rFonts w:ascii="Arial Narrow" w:hAnsi="Arial Narrow" w:cs="Times New Roman"/>
                <w:color w:val="333333"/>
                <w:sz w:val="20"/>
                <w:szCs w:val="20"/>
              </w:rPr>
              <w:t>as long as</w:t>
            </w:r>
            <w:proofErr w:type="gramEnd"/>
            <w:r w:rsidRPr="00A117B2">
              <w:rPr>
                <w:rFonts w:ascii="Arial Narrow" w:hAnsi="Arial Narrow" w:cs="Times New Roman"/>
                <w:color w:val="333333"/>
                <w:sz w:val="20"/>
                <w:szCs w:val="20"/>
              </w:rPr>
              <w:t xml:space="preserve"> they sustain a response to therapy.</w:t>
            </w:r>
          </w:p>
          <w:p w14:paraId="691C230E"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A patient who received PBS-subsidised adalimumab, certolizumab pegol, etanercept, golimumab, </w:t>
            </w:r>
            <w:proofErr w:type="spellStart"/>
            <w:r w:rsidRPr="00A117B2">
              <w:rPr>
                <w:rFonts w:ascii="Arial Narrow" w:hAnsi="Arial Narrow" w:cs="Times New Roman"/>
                <w:color w:val="333333"/>
                <w:sz w:val="20"/>
                <w:szCs w:val="20"/>
              </w:rPr>
              <w:t>guselkumab</w:t>
            </w:r>
            <w:proofErr w:type="spellEnd"/>
            <w:r w:rsidRPr="00A117B2">
              <w:rPr>
                <w:rFonts w:ascii="Arial Narrow" w:hAnsi="Arial Narrow" w:cs="Times New Roman"/>
                <w:color w:val="333333"/>
                <w:sz w:val="20"/>
                <w:szCs w:val="20"/>
              </w:rPr>
              <w:t xml:space="preserve">, infliximab, </w:t>
            </w:r>
            <w:proofErr w:type="spellStart"/>
            <w:r w:rsidRPr="00A117B2">
              <w:rPr>
                <w:rFonts w:ascii="Arial Narrow" w:hAnsi="Arial Narrow" w:cs="Times New Roman"/>
                <w:color w:val="333333"/>
                <w:sz w:val="20"/>
                <w:szCs w:val="20"/>
              </w:rPr>
              <w:t>ixekizumab</w:t>
            </w:r>
            <w:proofErr w:type="spellEnd"/>
            <w:r w:rsidRPr="00A117B2">
              <w:rPr>
                <w:rFonts w:ascii="Arial Narrow" w:hAnsi="Arial Narrow" w:cs="Times New Roman"/>
                <w:color w:val="333333"/>
                <w:sz w:val="20"/>
                <w:szCs w:val="20"/>
              </w:rPr>
              <w:t xml:space="preserve">, </w:t>
            </w:r>
            <w:proofErr w:type="spellStart"/>
            <w:r w:rsidRPr="00A117B2">
              <w:rPr>
                <w:rFonts w:ascii="Arial Narrow" w:hAnsi="Arial Narrow" w:cs="Times New Roman"/>
                <w:color w:val="333333"/>
                <w:sz w:val="20"/>
                <w:szCs w:val="20"/>
              </w:rPr>
              <w:t>secukinumab</w:t>
            </w:r>
            <w:proofErr w:type="spellEnd"/>
            <w:r w:rsidRPr="00A117B2">
              <w:rPr>
                <w:rFonts w:ascii="Arial Narrow" w:hAnsi="Arial Narrow" w:cs="Times New Roman"/>
                <w:color w:val="333333"/>
                <w:sz w:val="20"/>
                <w:szCs w:val="20"/>
              </w:rPr>
              <w:t xml:space="preserve">, tofacitinib or </w:t>
            </w:r>
            <w:proofErr w:type="spellStart"/>
            <w:r w:rsidRPr="00A117B2">
              <w:rPr>
                <w:rFonts w:ascii="Arial Narrow" w:hAnsi="Arial Narrow" w:cs="Times New Roman"/>
                <w:color w:val="333333"/>
                <w:sz w:val="20"/>
                <w:szCs w:val="20"/>
              </w:rPr>
              <w:t>ustekinumab</w:t>
            </w:r>
            <w:proofErr w:type="spellEnd"/>
            <w:r w:rsidRPr="00A117B2">
              <w:rPr>
                <w:rFonts w:ascii="Arial Narrow" w:hAnsi="Arial Narrow" w:cs="Times New Roman"/>
                <w:color w:val="333333"/>
                <w:sz w:val="20"/>
                <w:szCs w:val="20"/>
              </w:rPr>
              <w:t xml:space="preserve"> treatment prior to 1 October 2021 is considered to start their first cycle as of 1 October 2021.</w:t>
            </w:r>
          </w:p>
          <w:p w14:paraId="7779C485"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Within the same treatment cycle, a patient cannot trial and fail, or cease to respond to, the same PBS-subsidised biological medicine more than once. Therefore, once a patient fails to meet the response criteria for a PBS-subsidised biological medicine, they must change to an alternate biological medicine if they wish to continue PBS-subsidised biological treatment.</w:t>
            </w:r>
          </w:p>
          <w:p w14:paraId="15752CDD"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4B46C837"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Once a patient has either failed or ceased to sustain a response to treatment 3 times, they are deemed to have completed a single cycle and they must have, at a minimum, a 5-year break in PBS-subsidised biological medicine therapy before they are eligible to commence another cycle [further details are under '(5) Recommencement of treatment after a 5-year break in PBS-subsidised therapy' below].</w:t>
            </w:r>
          </w:p>
          <w:p w14:paraId="757BCD14"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lastRenderedPageBreak/>
              <w:t>The duration of the break in therapy will be measured from the date the last prescription for PBS-subsidised treatment was approved in the most recent cycle to the date of the first application for initial treatment with a biological medicine under the new cycle.</w:t>
            </w:r>
          </w:p>
          <w:p w14:paraId="29777612"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who has failed fewer than 3 biological medicines in a treatment cycle and who has a break in therapy of more than 5 years may commence a new treatment cycle under Initial 3 treatment restriction.</w:t>
            </w:r>
          </w:p>
          <w:p w14:paraId="66F9697A"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who has failed fewer than 3 biological medicines in a treatment cycle and who has a break in therapy of less than 5 years may commence a further course of treatment within the same treatment cycle under Initial 2 treatment restriction.</w:t>
            </w:r>
          </w:p>
          <w:p w14:paraId="09505E77"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There is no limit to the number of </w:t>
            </w:r>
            <w:proofErr w:type="gramStart"/>
            <w:r w:rsidRPr="00A117B2">
              <w:rPr>
                <w:rFonts w:ascii="Arial Narrow" w:hAnsi="Arial Narrow" w:cs="Times New Roman"/>
                <w:color w:val="333333"/>
                <w:sz w:val="20"/>
                <w:szCs w:val="20"/>
              </w:rPr>
              <w:t>treatment</w:t>
            </w:r>
            <w:proofErr w:type="gramEnd"/>
            <w:r w:rsidRPr="00A117B2">
              <w:rPr>
                <w:rFonts w:ascii="Arial Narrow" w:hAnsi="Arial Narrow" w:cs="Times New Roman"/>
                <w:color w:val="333333"/>
                <w:sz w:val="20"/>
                <w:szCs w:val="20"/>
              </w:rPr>
              <w:t xml:space="preserve"> cycles a patient may undertake in their lifetime.</w:t>
            </w:r>
          </w:p>
          <w:p w14:paraId="6B44B958"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How to prescribe PBS-subsidised biological medicine treatment for severe active psoriatic arthritis.</w:t>
            </w:r>
          </w:p>
          <w:p w14:paraId="46875510"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(1) Initial treatment.</w:t>
            </w:r>
          </w:p>
          <w:p w14:paraId="50D71676"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Applications for initial treatment should be made where:</w:t>
            </w:r>
          </w:p>
          <w:p w14:paraId="668589ED"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w:t>
            </w:r>
            <w:proofErr w:type="spellStart"/>
            <w:r w:rsidRPr="00A117B2">
              <w:rPr>
                <w:rFonts w:ascii="Arial Narrow" w:hAnsi="Arial Narrow" w:cs="Times New Roman"/>
                <w:color w:val="333333"/>
                <w:sz w:val="20"/>
                <w:szCs w:val="20"/>
              </w:rPr>
              <w:t>i</w:t>
            </w:r>
            <w:proofErr w:type="spellEnd"/>
            <w:r w:rsidRPr="00A117B2">
              <w:rPr>
                <w:rFonts w:ascii="Arial Narrow" w:hAnsi="Arial Narrow" w:cs="Times New Roman"/>
                <w:color w:val="333333"/>
                <w:sz w:val="20"/>
                <w:szCs w:val="20"/>
              </w:rPr>
              <w:t>) a patient has not received prior PBS-subsidised biological medicine treatment and wishes to commence such therapy (Initial 1 - New patient); or</w:t>
            </w:r>
          </w:p>
          <w:p w14:paraId="2C0939DE"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(ii) a patient has received prior PBS-subsidised biological medicine therapy (initial or continuing) and wishes to trial an alternate medicine (Initial 2 - Change or Recommencement of treatment after a break in therapy of less than 5 years) [further details are under 'Swapping therapy' below]; or</w:t>
            </w:r>
          </w:p>
          <w:p w14:paraId="78FDBB48"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(iii)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14:paraId="3906BDDB"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(iv) a patient wishes to recommence treatment with a biological medicine following a break in PBS-subsidised therapy of more than 5 years (Initial 3 - Recommencement of treatment after a break in biological medicine of more than 5 years) or</w:t>
            </w:r>
          </w:p>
          <w:p w14:paraId="52AE4869"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An application for initial treatment will be limited to provide for a maximum of 16 weeks of therapy for adalimumab, etanercept, golimumab, </w:t>
            </w:r>
            <w:proofErr w:type="spellStart"/>
            <w:r w:rsidRPr="00A117B2">
              <w:rPr>
                <w:rFonts w:ascii="Arial Narrow" w:hAnsi="Arial Narrow" w:cs="Times New Roman"/>
                <w:color w:val="333333"/>
                <w:sz w:val="20"/>
                <w:szCs w:val="20"/>
              </w:rPr>
              <w:t>secukinumab</w:t>
            </w:r>
            <w:proofErr w:type="spellEnd"/>
            <w:r w:rsidRPr="00A117B2">
              <w:rPr>
                <w:rFonts w:ascii="Arial Narrow" w:hAnsi="Arial Narrow" w:cs="Times New Roman"/>
                <w:color w:val="333333"/>
                <w:sz w:val="20"/>
                <w:szCs w:val="20"/>
              </w:rPr>
              <w:t xml:space="preserve">, tofacitinib and </w:t>
            </w:r>
            <w:proofErr w:type="spellStart"/>
            <w:r w:rsidRPr="00A117B2">
              <w:rPr>
                <w:rFonts w:ascii="Arial Narrow" w:hAnsi="Arial Narrow" w:cs="Times New Roman"/>
                <w:color w:val="333333"/>
                <w:sz w:val="20"/>
                <w:szCs w:val="20"/>
              </w:rPr>
              <w:t>upadacitinib</w:t>
            </w:r>
            <w:proofErr w:type="spellEnd"/>
            <w:r w:rsidRPr="00A117B2">
              <w:rPr>
                <w:rFonts w:ascii="Arial Narrow" w:hAnsi="Arial Narrow" w:cs="Times New Roman"/>
                <w:color w:val="333333"/>
                <w:sz w:val="20"/>
                <w:szCs w:val="20"/>
              </w:rPr>
              <w:t xml:space="preserve">, 18 to 20 weeks of therapy for certolizumab pegol (depending upon the dosing regimen), 20 weeks of therapy for </w:t>
            </w:r>
            <w:proofErr w:type="spellStart"/>
            <w:r w:rsidRPr="00A117B2">
              <w:rPr>
                <w:rFonts w:ascii="Arial Narrow" w:hAnsi="Arial Narrow" w:cs="Times New Roman"/>
                <w:color w:val="333333"/>
                <w:sz w:val="20"/>
                <w:szCs w:val="20"/>
              </w:rPr>
              <w:t>guselkumab</w:t>
            </w:r>
            <w:proofErr w:type="spellEnd"/>
            <w:r w:rsidRPr="00A117B2">
              <w:rPr>
                <w:rFonts w:ascii="Arial Narrow" w:hAnsi="Arial Narrow" w:cs="Times New Roman"/>
                <w:color w:val="333333"/>
                <w:sz w:val="20"/>
                <w:szCs w:val="20"/>
              </w:rPr>
              <w:t xml:space="preserve"> or </w:t>
            </w:r>
            <w:proofErr w:type="spellStart"/>
            <w:r w:rsidRPr="00A117B2">
              <w:rPr>
                <w:rFonts w:ascii="Arial Narrow" w:hAnsi="Arial Narrow" w:cs="Times New Roman"/>
                <w:color w:val="333333"/>
                <w:sz w:val="20"/>
                <w:szCs w:val="20"/>
              </w:rPr>
              <w:t>ixekizumab</w:t>
            </w:r>
            <w:proofErr w:type="spellEnd"/>
            <w:r w:rsidRPr="00A117B2">
              <w:rPr>
                <w:rFonts w:ascii="Arial Narrow" w:hAnsi="Arial Narrow" w:cs="Times New Roman"/>
                <w:color w:val="333333"/>
                <w:sz w:val="20"/>
                <w:szCs w:val="20"/>
              </w:rPr>
              <w:t xml:space="preserve">, 22 weeks of therapy for infliximab, and 28 weeks of therapy for </w:t>
            </w:r>
            <w:r w:rsidRPr="00A117B2">
              <w:rPr>
                <w:rFonts w:ascii="Arial Narrow" w:hAnsi="Arial Narrow" w:cs="Times New Roman"/>
                <w:i/>
                <w:iCs/>
                <w:color w:val="333333"/>
                <w:sz w:val="20"/>
                <w:szCs w:val="20"/>
              </w:rPr>
              <w:t>risankizumab</w:t>
            </w:r>
            <w:r w:rsidRPr="00A117B2">
              <w:rPr>
                <w:rFonts w:ascii="Arial Narrow" w:hAnsi="Arial Narrow" w:cs="Times New Roman"/>
                <w:color w:val="333333"/>
                <w:sz w:val="20"/>
                <w:szCs w:val="20"/>
              </w:rPr>
              <w:t xml:space="preserve"> or </w:t>
            </w:r>
            <w:proofErr w:type="spellStart"/>
            <w:r w:rsidRPr="00A117B2">
              <w:rPr>
                <w:rFonts w:ascii="Arial Narrow" w:hAnsi="Arial Narrow" w:cs="Times New Roman"/>
                <w:color w:val="333333"/>
                <w:sz w:val="20"/>
                <w:szCs w:val="20"/>
              </w:rPr>
              <w:t>ustekinumab</w:t>
            </w:r>
            <w:proofErr w:type="spellEnd"/>
            <w:r w:rsidRPr="00A117B2">
              <w:rPr>
                <w:rFonts w:ascii="Arial Narrow" w:hAnsi="Arial Narrow" w:cs="Times New Roman"/>
                <w:color w:val="333333"/>
                <w:sz w:val="20"/>
                <w:szCs w:val="20"/>
              </w:rPr>
              <w:t>. It is recommended that a patient be reviewed in the 4 weeks prior to completing their course of initial treatment to ensure uninterrupted biological medicine supply.</w:t>
            </w:r>
          </w:p>
          <w:p w14:paraId="031CB36C"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must be assessed for response to a course of PBS-subsidised initial treatment following a minimum of 12 weeks of therapy and conducted no later than 4 weeks from the cessation of the treatment course. If the response assessment is not conducted within these timeframes, the patient will be deemed to have failed this course of treatment.</w:t>
            </w:r>
          </w:p>
          <w:p w14:paraId="7F1BF073"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(2) Continuing treatment.</w:t>
            </w:r>
          </w:p>
          <w:p w14:paraId="6DE47126"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for response following a minimum of 12 weeks of therapy and no later than the 4 weeks from the completion of the most recent course of treatment.</w:t>
            </w:r>
          </w:p>
          <w:p w14:paraId="6FD5BC02"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must be assessed for response to a course of continuing therapy, and the assessment must be submitted to Services Australia where applicable. Where a response assessment is not submitted where applicable, the patient will be deemed to have failed to respond to treatment with that biological medicine, unless the patient has experienced a serious adverse reaction of a severity resulting in the necessity for permanent withdrawal of treatment.</w:t>
            </w:r>
          </w:p>
          <w:p w14:paraId="759A86A5"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Infliximab, adalimumab and etanercept only:</w:t>
            </w:r>
          </w:p>
          <w:p w14:paraId="442C53C3"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For the first continuing treatment course of PBS-subsidised biological medicine treatment, it is recommended that a patient is reviewed for response following a minimum of 12 weeks of therapy and no later than 4 weeks from the completion of the most recent course of treatment under the Initial 1, Initial 2 or Initial 3 treatment restrictions.</w:t>
            </w:r>
          </w:p>
          <w:p w14:paraId="7396485D"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For the second and subsequent continuing courses of PBS-subsidised biological medicine treatment, it is recommended that an assessment of a patient's response is conducted following a minimum of 12 weeks of therapy and no later than 4 weeks from the completion of the most recent course of treatment.</w:t>
            </w:r>
          </w:p>
          <w:p w14:paraId="67630088"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(3) Swapping therapy.</w:t>
            </w:r>
          </w:p>
          <w:p w14:paraId="5C185F36"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lastRenderedPageBreak/>
              <w:t>Once initial treatment with the first PBS-subsidised biological medicine is approved, a patient may swap to an alternate biological medicine without having to re-qualify with respect to either the indices of disease severity (i.e. erythrocyte sedimentation rate (ESR) or C-reactive protein (CRP) level, and active joint count) or the prior non-biological therapy requirements, except if the patient has had a break in therapy of more than 5 years who would need to requalify under the Initial 3 treatment restriction with respect to the indices of disease severity.</w:t>
            </w:r>
          </w:p>
          <w:p w14:paraId="2E09737C"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14:paraId="3BA01FDC"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may trial an alternate biological medicine at any time, regardless of whether they are receiving therapy (initial or continuing) with a biological medicine at the time of the application.</w:t>
            </w:r>
          </w:p>
          <w:p w14:paraId="08F2FD2A"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However, they cannot swap to a particular biological medicine if they have failed to respond to prior treatment with that drug within the same treatment cycle.</w:t>
            </w:r>
          </w:p>
          <w:p w14:paraId="6CE6D73F"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Within a treatment cycle a patient may alternate between therapy with any biological medicine of their choice (1 at a time) providing:</w:t>
            </w:r>
          </w:p>
          <w:p w14:paraId="6EDC856B"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w:t>
            </w:r>
            <w:proofErr w:type="spellStart"/>
            <w:r w:rsidRPr="00A117B2">
              <w:rPr>
                <w:rFonts w:ascii="Arial Narrow" w:hAnsi="Arial Narrow" w:cs="Times New Roman"/>
                <w:color w:val="333333"/>
                <w:sz w:val="20"/>
                <w:szCs w:val="20"/>
              </w:rPr>
              <w:t>i</w:t>
            </w:r>
            <w:proofErr w:type="spellEnd"/>
            <w:r w:rsidRPr="00A117B2">
              <w:rPr>
                <w:rFonts w:ascii="Arial Narrow" w:hAnsi="Arial Narrow" w:cs="Times New Roman"/>
                <w:color w:val="333333"/>
                <w:sz w:val="20"/>
                <w:szCs w:val="20"/>
              </w:rPr>
              <w:t xml:space="preserve">) they have not received PBS-subsidised treatment with that </w:t>
            </w:r>
            <w:proofErr w:type="gramStart"/>
            <w:r w:rsidRPr="00A117B2">
              <w:rPr>
                <w:rFonts w:ascii="Arial Narrow" w:hAnsi="Arial Narrow" w:cs="Times New Roman"/>
                <w:color w:val="333333"/>
                <w:sz w:val="20"/>
                <w:szCs w:val="20"/>
              </w:rPr>
              <w:t>particular biological</w:t>
            </w:r>
            <w:proofErr w:type="gramEnd"/>
            <w:r w:rsidRPr="00A117B2">
              <w:rPr>
                <w:rFonts w:ascii="Arial Narrow" w:hAnsi="Arial Narrow" w:cs="Times New Roman"/>
                <w:color w:val="333333"/>
                <w:sz w:val="20"/>
                <w:szCs w:val="20"/>
              </w:rPr>
              <w:t xml:space="preserve"> medicine previously; or</w:t>
            </w:r>
          </w:p>
          <w:p w14:paraId="1CF74BB1"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 xml:space="preserve">(ii) they have demonstrated an adequate response to that </w:t>
            </w:r>
            <w:proofErr w:type="gramStart"/>
            <w:r w:rsidRPr="00A117B2">
              <w:rPr>
                <w:rFonts w:ascii="Arial Narrow" w:hAnsi="Arial Narrow" w:cs="Times New Roman"/>
                <w:color w:val="333333"/>
                <w:sz w:val="20"/>
                <w:szCs w:val="20"/>
              </w:rPr>
              <w:t>particular biological</w:t>
            </w:r>
            <w:proofErr w:type="gramEnd"/>
            <w:r w:rsidRPr="00A117B2">
              <w:rPr>
                <w:rFonts w:ascii="Arial Narrow" w:hAnsi="Arial Narrow" w:cs="Times New Roman"/>
                <w:color w:val="333333"/>
                <w:sz w:val="20"/>
                <w:szCs w:val="20"/>
              </w:rPr>
              <w:t xml:space="preserve"> medicine if they have previously trialled it on the PBS; and</w:t>
            </w:r>
          </w:p>
          <w:p w14:paraId="561F757B"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(iii) they have not previously failed to respond to treatment 3 times in this treatment cycle with biological medicines.</w:t>
            </w:r>
          </w:p>
          <w:p w14:paraId="0FEAC1A9"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To ensure a patient receives the maximum treatment opportunities allowed under these arrangements, it is important that they are assessed for response to every course of treatment.</w:t>
            </w:r>
          </w:p>
          <w:p w14:paraId="3C1418EE"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(4) Baseline measurements to determine response.</w:t>
            </w:r>
          </w:p>
          <w:p w14:paraId="6A0D4690"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response to treatment is to be determined by comparison of current disease activity measurements relative to the baseline measurements of the indices of disease severity submitted with the first authority application for a biological medicine. However, prescribers may provide new baseline measurements any time that an initial or change or recommencement treatment application is submitted within a treatment cycle and these revised baseline measurements will be used to assess response to the PBS-subsidised treatment.</w:t>
            </w:r>
          </w:p>
          <w:p w14:paraId="1A58F5EE"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To ensure consistency in determining response, the same indices of disease severity used to establish baseline at the commencement of treatment with each initial treatment application must be used to determine response for all subsequent continuing treatments. Therefore, where only an ESR or CRP level is provided at baseline, an ESR or CRP level respectively must be used to determine response. Similarly, where the baseline active joint count is based on total active joints (</w:t>
            </w:r>
            <w:proofErr w:type="gramStart"/>
            <w:r w:rsidRPr="00A117B2">
              <w:rPr>
                <w:rFonts w:ascii="Arial Narrow" w:hAnsi="Arial Narrow" w:cs="Times New Roman"/>
                <w:color w:val="333333"/>
                <w:sz w:val="20"/>
                <w:szCs w:val="20"/>
              </w:rPr>
              <w:t>i.e.</w:t>
            </w:r>
            <w:proofErr w:type="gramEnd"/>
            <w:r w:rsidRPr="00A117B2">
              <w:rPr>
                <w:rFonts w:ascii="Arial Narrow" w:hAnsi="Arial Narrow" w:cs="Times New Roman"/>
                <w:color w:val="333333"/>
                <w:sz w:val="20"/>
                <w:szCs w:val="20"/>
              </w:rPr>
              <w:t xml:space="preserve"> 20 or more active joints), response will be determined according to a reduction in the total number of active joints.</w:t>
            </w:r>
          </w:p>
          <w:p w14:paraId="61DF695A"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(5) Re-commencement of treatment after a 5-year break in PBS-subsidised therapy.</w:t>
            </w:r>
          </w:p>
          <w:p w14:paraId="52D97CE2"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color w:val="333333"/>
                <w:sz w:val="20"/>
                <w:szCs w:val="20"/>
              </w:rPr>
              <w:t>A patient who wishes to trial a second or subsequent course of treatment following a break in PBS-subsidised biological therapy of at least 5 years, must qualify under Initial 3 treatment restriction according to the criteria of the relevant restriction and index of disease severity. The application must include a joint count and ESR and/or CRP measurement that is no more than 4 weeks old at the time of application.</w:t>
            </w:r>
          </w:p>
        </w:tc>
      </w:tr>
      <w:tr w:rsidR="00360D5B" w:rsidRPr="008048B3" w14:paraId="0D010D0C"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0BF5227A" w14:textId="77777777" w:rsidR="00360D5B" w:rsidRPr="00A117B2" w:rsidRDefault="00360D5B" w:rsidP="00560E48">
            <w:pPr>
              <w:rPr>
                <w:rFonts w:ascii="Arial Narrow" w:eastAsia="Calibri" w:hAnsi="Arial Narrow"/>
                <w:sz w:val="20"/>
                <w:szCs w:val="20"/>
              </w:rPr>
            </w:pPr>
          </w:p>
        </w:tc>
        <w:tc>
          <w:tcPr>
            <w:tcW w:w="1134" w:type="dxa"/>
            <w:vAlign w:val="center"/>
          </w:tcPr>
          <w:p w14:paraId="56385100" w14:textId="7B630BD5"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49884D0F"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quantity or number of units may be authorised.</w:t>
            </w:r>
          </w:p>
        </w:tc>
      </w:tr>
      <w:tr w:rsidR="00360D5B" w:rsidRPr="008048B3" w14:paraId="3AD7FF27"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7C5E3B9B" w14:textId="77777777" w:rsidR="00360D5B" w:rsidRPr="00A117B2" w:rsidRDefault="00360D5B" w:rsidP="00560E48">
            <w:pPr>
              <w:rPr>
                <w:rFonts w:ascii="Arial Narrow" w:eastAsia="Calibri" w:hAnsi="Arial Narrow"/>
                <w:sz w:val="20"/>
                <w:szCs w:val="20"/>
              </w:rPr>
            </w:pPr>
          </w:p>
        </w:tc>
        <w:tc>
          <w:tcPr>
            <w:tcW w:w="1134" w:type="dxa"/>
            <w:vAlign w:val="center"/>
          </w:tcPr>
          <w:p w14:paraId="462196A1" w14:textId="21C9E3C4"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119C78EE"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number of repeats may be authorised.</w:t>
            </w:r>
          </w:p>
        </w:tc>
      </w:tr>
      <w:tr w:rsidR="00360D5B" w:rsidRPr="008048B3" w14:paraId="73DF2205" w14:textId="77777777" w:rsidTr="00560E48">
        <w:tblPrEx>
          <w:tblCellMar>
            <w:top w:w="15" w:type="dxa"/>
            <w:left w:w="15" w:type="dxa"/>
            <w:bottom w:w="15" w:type="dxa"/>
            <w:right w:w="15" w:type="dxa"/>
          </w:tblCellMar>
          <w:tblLook w:val="04A0" w:firstRow="1" w:lastRow="0" w:firstColumn="1" w:lastColumn="0" w:noHBand="0" w:noVBand="1"/>
        </w:tblPrEx>
        <w:tc>
          <w:tcPr>
            <w:tcW w:w="279" w:type="dxa"/>
            <w:tcBorders>
              <w:left w:val="single" w:sz="4" w:space="0" w:color="auto"/>
              <w:bottom w:val="single" w:sz="4" w:space="0" w:color="auto"/>
              <w:right w:val="single" w:sz="4" w:space="0" w:color="auto"/>
            </w:tcBorders>
          </w:tcPr>
          <w:p w14:paraId="0B6459F5" w14:textId="77777777" w:rsidR="00360D5B" w:rsidRPr="00A117B2" w:rsidRDefault="00360D5B" w:rsidP="00560E48">
            <w:pPr>
              <w:rPr>
                <w:rFonts w:ascii="Arial Narrow" w:eastAsia="Calibri" w:hAnsi="Arial Narrow"/>
                <w:sz w:val="20"/>
                <w:szCs w:val="20"/>
              </w:rPr>
            </w:pPr>
          </w:p>
        </w:tc>
        <w:tc>
          <w:tcPr>
            <w:tcW w:w="1134" w:type="dxa"/>
            <w:vAlign w:val="center"/>
          </w:tcPr>
          <w:p w14:paraId="23DBB6DD" w14:textId="59339391"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3F03123A"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Special Pricing Arrangements apply.</w:t>
            </w:r>
          </w:p>
        </w:tc>
      </w:tr>
      <w:tr w:rsidR="00360D5B" w:rsidRPr="008048B3" w14:paraId="4B175F8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22909AF" w14:textId="2AB118D0"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B655FC2"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Indication: </w:t>
            </w:r>
            <w:r w:rsidRPr="00A117B2">
              <w:rPr>
                <w:rFonts w:ascii="Arial Narrow" w:hAnsi="Arial Narrow" w:cs="Times New Roman"/>
                <w:sz w:val="20"/>
                <w:szCs w:val="20"/>
              </w:rPr>
              <w:t>Severe psoriatic arthritis</w:t>
            </w:r>
          </w:p>
        </w:tc>
      </w:tr>
      <w:tr w:rsidR="00360D5B" w:rsidRPr="008048B3" w14:paraId="7076956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AB7C362"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6CF798A"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Treatment Phase: </w:t>
            </w:r>
            <w:r w:rsidRPr="00A117B2">
              <w:rPr>
                <w:rFonts w:ascii="Arial Narrow" w:hAnsi="Arial Narrow" w:cs="Times New Roman"/>
                <w:sz w:val="20"/>
                <w:szCs w:val="20"/>
              </w:rPr>
              <w:t>Continuing treatment</w:t>
            </w:r>
          </w:p>
        </w:tc>
      </w:tr>
      <w:tr w:rsidR="00360D5B" w:rsidRPr="008048B3" w14:paraId="7A89569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04E43F9" w14:textId="6711B60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59259BC"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Treatment criteria:</w:t>
            </w:r>
          </w:p>
        </w:tc>
      </w:tr>
      <w:tr w:rsidR="00360D5B" w:rsidRPr="008048B3" w14:paraId="02BC1EC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1CAC748" w14:textId="2D8236C4"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B4BB719"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rheumatologist; or</w:t>
            </w:r>
          </w:p>
        </w:tc>
      </w:tr>
      <w:tr w:rsidR="00360D5B" w:rsidRPr="008048B3" w14:paraId="6B98800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5F5FAA9" w14:textId="777BC47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89DDF9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clinical immunologist with expertise in the management of psoriatic arthritis</w:t>
            </w:r>
          </w:p>
        </w:tc>
      </w:tr>
      <w:tr w:rsidR="00360D5B" w:rsidRPr="008048B3" w14:paraId="2E25C93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474CD68"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FF8FD9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AND</w:t>
            </w:r>
          </w:p>
        </w:tc>
      </w:tr>
      <w:tr w:rsidR="00360D5B" w:rsidRPr="008048B3" w14:paraId="6B6DC0D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AA56619" w14:textId="622CB2BD"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64AB77B"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304D4377"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5701B2C"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8CF35B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received this drug as their most recent course of PBS-subsidised biological medicine treatment for this condition</w:t>
            </w:r>
          </w:p>
        </w:tc>
      </w:tr>
      <w:tr w:rsidR="00360D5B" w:rsidRPr="008048B3" w14:paraId="4B809D5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F2201BA"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6A8F9B5"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AND</w:t>
            </w:r>
          </w:p>
        </w:tc>
      </w:tr>
      <w:tr w:rsidR="00360D5B" w:rsidRPr="008048B3" w14:paraId="65A80CF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0213E45" w14:textId="7BC21444"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65E95DD"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452BF87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B07073F" w14:textId="5F907BF2"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7ADE4B6"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demonstrated an adequate response to treatment with this drug</w:t>
            </w:r>
          </w:p>
        </w:tc>
      </w:tr>
      <w:tr w:rsidR="00360D5B" w:rsidRPr="008048B3" w14:paraId="5B72338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2E747EB"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DBECAAD"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AND</w:t>
            </w:r>
          </w:p>
        </w:tc>
      </w:tr>
      <w:tr w:rsidR="00360D5B" w:rsidRPr="008048B3" w14:paraId="767AF47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73086DB" w14:textId="44EFEDDF"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BB26936"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8048B3" w14:paraId="7538D7D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60052E3" w14:textId="438560A0"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578C561"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not receive more than 24 weeks of treatment under this restriction</w:t>
            </w:r>
          </w:p>
        </w:tc>
      </w:tr>
      <w:tr w:rsidR="00360D5B" w:rsidRPr="008048B3" w14:paraId="6016636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0BCC5B2"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4F903E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AND</w:t>
            </w:r>
          </w:p>
        </w:tc>
      </w:tr>
      <w:tr w:rsidR="00360D5B" w:rsidRPr="008048B3" w14:paraId="6828FB5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5F0DECE" w14:textId="6ED8A114"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4A063FF"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Population criteria:</w:t>
            </w:r>
          </w:p>
        </w:tc>
      </w:tr>
      <w:tr w:rsidR="00360D5B" w:rsidRPr="008048B3" w14:paraId="3814F02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73EF9F2" w14:textId="07A87CFF"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6077B61"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be aged 18 years or older</w:t>
            </w:r>
          </w:p>
        </w:tc>
      </w:tr>
      <w:tr w:rsidR="00360D5B" w:rsidRPr="008048B3" w14:paraId="65284A2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64D3586" w14:textId="65CFF882"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B0B221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Prescribing Instructions:</w:t>
            </w:r>
          </w:p>
        </w:tc>
      </w:tr>
      <w:tr w:rsidR="00360D5B" w:rsidRPr="008048B3" w14:paraId="764AF17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5B102DF"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02C7FCE8"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An adequate response to treatment is defined as:</w:t>
            </w:r>
          </w:p>
          <w:p w14:paraId="4D3E063B"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an erythrocyte sedimentation rate (ESR) no greater than 25 mm per hour or a C-reactive protein (CRP) level no greater than 15 mg per L or either marker reduced by at least 20% from baseline; and</w:t>
            </w:r>
          </w:p>
          <w:p w14:paraId="5F81D6E2"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either of the following:</w:t>
            </w:r>
          </w:p>
          <w:p w14:paraId="131D7798"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 a reduction in the total active (swollen and tender) joint count by at least 50% from baseline, where baseline is at least 20 active joints; or</w:t>
            </w:r>
          </w:p>
          <w:p w14:paraId="6C81AD6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(b) a reduction in the number of the following major active joints, from at least 4, by at least 50%:</w:t>
            </w:r>
          </w:p>
          <w:p w14:paraId="45E52DB1"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w:t>
            </w:r>
            <w:proofErr w:type="spellStart"/>
            <w:r w:rsidRPr="00A117B2">
              <w:rPr>
                <w:rFonts w:ascii="Arial Narrow" w:hAnsi="Arial Narrow" w:cs="Times New Roman"/>
                <w:sz w:val="20"/>
                <w:szCs w:val="20"/>
              </w:rPr>
              <w:t>i</w:t>
            </w:r>
            <w:proofErr w:type="spellEnd"/>
            <w:r w:rsidRPr="00A117B2">
              <w:rPr>
                <w:rFonts w:ascii="Arial Narrow" w:hAnsi="Arial Narrow" w:cs="Times New Roman"/>
                <w:sz w:val="20"/>
                <w:szCs w:val="20"/>
              </w:rPr>
              <w:t>) elbow, wrist, knee and/or ankle (assessed as swollen and tender); and/or</w:t>
            </w:r>
          </w:p>
          <w:p w14:paraId="0416B5D9"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360D5B" w:rsidRPr="008048B3" w14:paraId="0E3CCCBA"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41D4AF4" w14:textId="767D8411"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2D13074"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Prescribing Instructions:</w:t>
            </w:r>
          </w:p>
        </w:tc>
      </w:tr>
      <w:tr w:rsidR="00360D5B" w:rsidRPr="008048B3" w14:paraId="28DE981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D86B557"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3E7A62B"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same indices of disease severity used to establish baseline at the commencement of treatment with each initial treatment application must be used to determine response for all subsequent continuing treatments.</w:t>
            </w:r>
          </w:p>
        </w:tc>
      </w:tr>
      <w:tr w:rsidR="00360D5B" w:rsidRPr="008048B3" w14:paraId="534EC75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E7E57DD" w14:textId="48406F2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FFDB67D"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Prescribing Instructions:</w:t>
            </w:r>
          </w:p>
        </w:tc>
      </w:tr>
      <w:tr w:rsidR="00360D5B" w:rsidRPr="008048B3" w14:paraId="2968F22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041CD44" w14:textId="6AF4B8BA"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76C64D2"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authority application must be made in writing and must include:</w:t>
            </w:r>
          </w:p>
          <w:p w14:paraId="2464B232"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 a completed authority prescription form(s); and</w:t>
            </w:r>
          </w:p>
          <w:p w14:paraId="4614DCD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(b) a completed authority application form relevant to the indication and treatment phase (the latest version is located on the website specified in the Administrative Advice).</w:t>
            </w:r>
          </w:p>
        </w:tc>
      </w:tr>
      <w:tr w:rsidR="00360D5B" w:rsidRPr="008048B3" w14:paraId="4C48117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A1FB2E4" w14:textId="495FB30D"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D1EA90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Prescribing Instructions:</w:t>
            </w:r>
          </w:p>
        </w:tc>
      </w:tr>
      <w:tr w:rsidR="00360D5B" w:rsidRPr="008048B3" w14:paraId="3EAF068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3D3EA6A"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3D49D9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 xml:space="preserve">Where the most recent course of PBS-subsidised biological medicine treatment was approved under either Initial 1, Initial 2, Initial </w:t>
            </w:r>
            <w:proofErr w:type="gramStart"/>
            <w:r w:rsidRPr="00A117B2">
              <w:rPr>
                <w:rFonts w:ascii="Arial Narrow" w:hAnsi="Arial Narrow" w:cs="Times New Roman"/>
                <w:sz w:val="20"/>
                <w:szCs w:val="20"/>
              </w:rPr>
              <w:t>3</w:t>
            </w:r>
            <w:proofErr w:type="gramEnd"/>
            <w:r w:rsidRPr="00A117B2">
              <w:rPr>
                <w:rFonts w:ascii="Arial Narrow" w:hAnsi="Arial Narrow" w:cs="Times New Roman"/>
                <w:sz w:val="20"/>
                <w:szCs w:val="20"/>
              </w:rPr>
              <w:t xml:space="preserve"> or continuing treatment restrictions, an assessment of a patient's response must have been conducted following a minimum of 12 weeks of therapy.</w:t>
            </w:r>
          </w:p>
        </w:tc>
      </w:tr>
      <w:tr w:rsidR="00360D5B" w:rsidRPr="008048B3" w14:paraId="36F04A0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B99F39B" w14:textId="7764E0BF"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C23729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Prescribing Instructions:</w:t>
            </w:r>
          </w:p>
        </w:tc>
      </w:tr>
      <w:tr w:rsidR="00360D5B" w:rsidRPr="008048B3" w14:paraId="1545553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B53A37D"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2B3C2D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Where an assessment is not conducted within these timeframes, the patient will be deemed to have failed to respond, or to have failed to sustain a response to treatment with this drug.</w:t>
            </w:r>
          </w:p>
        </w:tc>
      </w:tr>
      <w:tr w:rsidR="00360D5B" w:rsidRPr="008048B3" w14:paraId="2121CE7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FE30CE7" w14:textId="740EF638"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472BF4D"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Prescribing Instructions:</w:t>
            </w:r>
          </w:p>
        </w:tc>
      </w:tr>
      <w:tr w:rsidR="00360D5B" w:rsidRPr="008048B3" w14:paraId="4D00925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8FA1E0B"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E5F6709"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 xml:space="preserve">If a patient fails to demonstrate a response to treatment with this </w:t>
            </w:r>
            <w:proofErr w:type="gramStart"/>
            <w:r w:rsidRPr="00A117B2">
              <w:rPr>
                <w:rFonts w:ascii="Arial Narrow" w:hAnsi="Arial Narrow" w:cs="Times New Roman"/>
                <w:sz w:val="20"/>
                <w:szCs w:val="20"/>
              </w:rPr>
              <w:t>drug</w:t>
            </w:r>
            <w:proofErr w:type="gramEnd"/>
            <w:r w:rsidRPr="00A117B2">
              <w:rPr>
                <w:rFonts w:ascii="Arial Narrow" w:hAnsi="Arial Narrow" w:cs="Times New Roman"/>
                <w:sz w:val="20"/>
                <w:szCs w:val="20"/>
              </w:rPr>
              <w:t xml:space="preserve"> they will not be eligible to receive further PBS-subsidised treatment with this drug for this condition. Serious adverse reaction of a severity resulting in the necessity for permanent withdrawal of treatment is not considered as a treatment failure.</w:t>
            </w:r>
          </w:p>
        </w:tc>
      </w:tr>
      <w:tr w:rsidR="00360D5B" w:rsidRPr="008048B3" w14:paraId="6DFD024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9FB1E26" w14:textId="549AC0EA"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1C06C0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Prescribing Instructions:</w:t>
            </w:r>
          </w:p>
        </w:tc>
      </w:tr>
      <w:tr w:rsidR="00360D5B" w:rsidRPr="008048B3" w14:paraId="2A31207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E4E92A1"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75BDCC4"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360D5B" w:rsidRPr="008048B3" w14:paraId="50F5707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9B7908F" w14:textId="4FE7BBE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231862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Administrative Advice:</w:t>
            </w:r>
          </w:p>
        </w:tc>
      </w:tr>
      <w:tr w:rsidR="00360D5B" w:rsidRPr="008048B3" w14:paraId="078C68F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2E7A82B" w14:textId="08217B0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C2B62E5"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Any queries concerning the arrangements to prescribe may be directed to Services Australia on 1800 700 270 (hours of operation 8 a.m. to 5 p.m. EST Monday to Friday).</w:t>
            </w:r>
          </w:p>
          <w:p w14:paraId="677DCCF9"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Prescribing information (including Authority Application forms and other relevant documentation as applicable) is available on the Services Australia website at www.servicesaustralia.gov.au</w:t>
            </w:r>
          </w:p>
          <w:p w14:paraId="602D47D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Applications for authority to prescribe should be submitted online using the form upload facility in Health Professional Online Services (HPOS) at www.servicesaustralia.gov.au/hpos</w:t>
            </w:r>
          </w:p>
          <w:p w14:paraId="442B0091"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lastRenderedPageBreak/>
              <w:t>Or mailed to:</w:t>
            </w:r>
          </w:p>
          <w:p w14:paraId="40C18A40"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Services Australia</w:t>
            </w:r>
          </w:p>
          <w:p w14:paraId="5BE18F57"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Complex Drugs</w:t>
            </w:r>
          </w:p>
          <w:p w14:paraId="7744F17E"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Reply Paid 9826</w:t>
            </w:r>
          </w:p>
          <w:p w14:paraId="2AF15667"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sz w:val="20"/>
                <w:szCs w:val="20"/>
              </w:rPr>
              <w:t>HOBART TAS 7001</w:t>
            </w:r>
          </w:p>
        </w:tc>
      </w:tr>
      <w:bookmarkEnd w:id="41"/>
      <w:tr w:rsidR="00360D5B" w:rsidRPr="00FE1C80" w14:paraId="30255DDE"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30A474E6" w14:textId="77777777" w:rsidR="00360D5B" w:rsidRPr="00A117B2" w:rsidRDefault="00360D5B" w:rsidP="00560E48">
            <w:pPr>
              <w:rPr>
                <w:rFonts w:ascii="Arial Narrow" w:hAnsi="Arial Narrow" w:cs="Times New Roman"/>
                <w:b/>
                <w:bCs/>
                <w:sz w:val="20"/>
                <w:szCs w:val="20"/>
              </w:rPr>
            </w:pPr>
          </w:p>
        </w:tc>
      </w:tr>
      <w:tr w:rsidR="00360D5B" w:rsidRPr="008048B3" w14:paraId="17E66882"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bottom w:val="single" w:sz="4" w:space="0" w:color="auto"/>
              <w:right w:val="single" w:sz="4" w:space="0" w:color="auto"/>
            </w:tcBorders>
            <w:vAlign w:val="center"/>
          </w:tcPr>
          <w:p w14:paraId="248EDDF9" w14:textId="5FC75DE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Base on Restriction Summary / </w:t>
            </w:r>
            <w:proofErr w:type="spellStart"/>
            <w:r w:rsidRPr="00A117B2">
              <w:rPr>
                <w:rFonts w:ascii="Arial Narrow" w:hAnsi="Arial Narrow" w:cs="Times New Roman"/>
                <w:b/>
                <w:bCs/>
                <w:sz w:val="20"/>
                <w:szCs w:val="20"/>
              </w:rPr>
              <w:t>ToC</w:t>
            </w:r>
            <w:proofErr w:type="spellEnd"/>
            <w:r w:rsidRPr="00A117B2">
              <w:rPr>
                <w:rFonts w:ascii="Arial Narrow" w:hAnsi="Arial Narrow" w:cs="Times New Roman"/>
                <w:b/>
                <w:bCs/>
                <w:sz w:val="20"/>
                <w:szCs w:val="20"/>
              </w:rPr>
              <w:t xml:space="preserve">: </w:t>
            </w:r>
          </w:p>
        </w:tc>
      </w:tr>
      <w:tr w:rsidR="00360D5B" w:rsidRPr="004E5F86" w14:paraId="18C949B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val="restart"/>
            <w:tcBorders>
              <w:top w:val="single" w:sz="4" w:space="0" w:color="auto"/>
              <w:left w:val="single" w:sz="4" w:space="0" w:color="auto"/>
              <w:right w:val="single" w:sz="4" w:space="0" w:color="auto"/>
            </w:tcBorders>
          </w:tcPr>
          <w:p w14:paraId="1477BEF7" w14:textId="77777777" w:rsidR="00360D5B" w:rsidRPr="00A117B2" w:rsidRDefault="00360D5B" w:rsidP="00560E48">
            <w:pPr>
              <w:rPr>
                <w:rFonts w:ascii="Arial Narrow" w:eastAsia="Calibri" w:hAnsi="Arial Narrow"/>
                <w:b/>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50E5BE7B" w14:textId="63573C87"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Category / Program: </w:t>
            </w:r>
            <w:r w:rsidRPr="00A117B2">
              <w:rPr>
                <w:rFonts w:ascii="Arial Narrow" w:eastAsia="Calibri" w:hAnsi="Arial Narrow"/>
                <w:sz w:val="20"/>
                <w:szCs w:val="20"/>
              </w:rPr>
              <w:t>GENERAL – General Schedule (Code GE)</w:t>
            </w:r>
            <w:r w:rsidRPr="00A117B2">
              <w:rPr>
                <w:rFonts w:ascii="Arial Narrow" w:eastAsia="Calibri" w:hAnsi="Arial Narrow"/>
                <w:color w:val="FF0000"/>
                <w:sz w:val="20"/>
                <w:szCs w:val="20"/>
              </w:rPr>
              <w:t xml:space="preserve"> </w:t>
            </w:r>
          </w:p>
        </w:tc>
      </w:tr>
      <w:tr w:rsidR="00360D5B" w:rsidRPr="004E5F86" w14:paraId="44D26751" w14:textId="77777777" w:rsidTr="00560E48">
        <w:tblPrEx>
          <w:tblCellMar>
            <w:top w:w="15" w:type="dxa"/>
            <w:left w:w="15" w:type="dxa"/>
            <w:bottom w:w="15" w:type="dxa"/>
            <w:right w:w="15" w:type="dxa"/>
          </w:tblCellMar>
          <w:tblLook w:val="04A0" w:firstRow="1" w:lastRow="0" w:firstColumn="1" w:lastColumn="0" w:noHBand="0" w:noVBand="1"/>
        </w:tblPrEx>
        <w:trPr>
          <w:trHeight w:val="240"/>
        </w:trPr>
        <w:tc>
          <w:tcPr>
            <w:tcW w:w="1413" w:type="dxa"/>
            <w:gridSpan w:val="2"/>
            <w:vMerge/>
            <w:tcBorders>
              <w:left w:val="single" w:sz="4" w:space="0" w:color="auto"/>
              <w:right w:val="single" w:sz="4" w:space="0" w:color="auto"/>
            </w:tcBorders>
          </w:tcPr>
          <w:p w14:paraId="7D1E44A0"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0D3BA916" w14:textId="77777777" w:rsidR="00360D5B" w:rsidRPr="00A117B2" w:rsidRDefault="00360D5B" w:rsidP="00560E48">
            <w:pPr>
              <w:rPr>
                <w:rFonts w:ascii="Arial Narrow" w:eastAsia="Calibri" w:hAnsi="Arial Narrow"/>
                <w:b/>
                <w:sz w:val="20"/>
                <w:szCs w:val="20"/>
              </w:rPr>
            </w:pPr>
            <w:r w:rsidRPr="00A117B2">
              <w:rPr>
                <w:rFonts w:ascii="Arial Narrow" w:eastAsia="Calibri" w:hAnsi="Arial Narrow"/>
                <w:b/>
                <w:sz w:val="20"/>
                <w:szCs w:val="20"/>
              </w:rPr>
              <w:t xml:space="preserve">Prescriber type: </w:t>
            </w:r>
            <w:r w:rsidRPr="00A117B2">
              <w:rPr>
                <w:rFonts w:ascii="Arial Narrow" w:eastAsia="Calibri" w:hAnsi="Arial Narrow"/>
                <w:sz w:val="20"/>
                <w:szCs w:val="20"/>
              </w:rPr>
              <w:fldChar w:fldCharType="begin">
                <w:ffData>
                  <w:name w:val=""/>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Medical Practitioners</w:t>
            </w:r>
          </w:p>
        </w:tc>
      </w:tr>
      <w:tr w:rsidR="00360D5B" w:rsidRPr="004E5F86" w14:paraId="7D6494A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tcBorders>
              <w:left w:val="single" w:sz="4" w:space="0" w:color="auto"/>
              <w:bottom w:val="single" w:sz="4" w:space="0" w:color="auto"/>
              <w:right w:val="single" w:sz="4" w:space="0" w:color="auto"/>
            </w:tcBorders>
          </w:tcPr>
          <w:p w14:paraId="56D25C5A"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5F2DBEF0" w14:textId="77777777"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Restriction type: </w:t>
            </w:r>
          </w:p>
          <w:p w14:paraId="7902D9A5" w14:textId="77777777" w:rsidR="00360D5B" w:rsidRPr="00A117B2" w:rsidRDefault="00360D5B" w:rsidP="00560E48">
            <w:pPr>
              <w:rPr>
                <w:rFonts w:ascii="Arial Narrow" w:eastAsia="Calibri" w:hAnsi="Arial Narrow"/>
                <w:color w:val="FF00FF"/>
                <w:sz w:val="20"/>
                <w:szCs w:val="20"/>
              </w:rPr>
            </w:pPr>
            <w:r w:rsidRPr="00A117B2">
              <w:rPr>
                <w:rFonts w:ascii="Arial Narrow" w:eastAsia="Calibri" w:hAnsi="Arial Narrow"/>
                <w:sz w:val="20"/>
                <w:szCs w:val="20"/>
              </w:rPr>
              <w:fldChar w:fldCharType="begin">
                <w:ffData>
                  <w:name w:val="Check1"/>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 xml:space="preserve"> Authority Required </w:t>
            </w:r>
            <w:proofErr w:type="gramStart"/>
            <w:r w:rsidRPr="00A117B2">
              <w:rPr>
                <w:rFonts w:ascii="Arial Narrow" w:eastAsia="Calibri" w:hAnsi="Arial Narrow"/>
                <w:sz w:val="20"/>
                <w:szCs w:val="20"/>
              </w:rPr>
              <w:t>( in</w:t>
            </w:r>
            <w:proofErr w:type="gramEnd"/>
            <w:r w:rsidRPr="00A117B2">
              <w:rPr>
                <w:rFonts w:ascii="Arial Narrow" w:eastAsia="Calibri" w:hAnsi="Arial Narrow"/>
                <w:sz w:val="20"/>
                <w:szCs w:val="20"/>
              </w:rPr>
              <w:t>-writing only via post/HPOS upload)</w:t>
            </w:r>
          </w:p>
        </w:tc>
      </w:tr>
      <w:tr w:rsidR="00360D5B" w:rsidRPr="008048B3" w14:paraId="0F25BFDB"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16A9069F" w14:textId="2BDE1292" w:rsidR="00360D5B" w:rsidRPr="00A117B2" w:rsidRDefault="00360D5B" w:rsidP="00560E48">
            <w:pPr>
              <w:ind w:left="113" w:right="113"/>
              <w:rPr>
                <w:rFonts w:ascii="Arial Narrow" w:eastAsia="Calibri" w:hAnsi="Arial Narrow"/>
                <w:sz w:val="20"/>
                <w:szCs w:val="20"/>
              </w:rPr>
            </w:pPr>
          </w:p>
        </w:tc>
        <w:tc>
          <w:tcPr>
            <w:tcW w:w="1134" w:type="dxa"/>
            <w:vAlign w:val="center"/>
          </w:tcPr>
          <w:p w14:paraId="6D6FBDC7" w14:textId="017B2AA8" w:rsidR="00360D5B" w:rsidRPr="00A117B2" w:rsidRDefault="00360D5B" w:rsidP="00560E48">
            <w:pPr>
              <w:jc w:val="center"/>
              <w:rPr>
                <w:rFonts w:ascii="Arial Narrow" w:hAnsi="Arial Narrow" w:cs="Times New Roman"/>
                <w:i/>
                <w:iCs/>
                <w:color w:val="333333"/>
                <w:sz w:val="20"/>
                <w:szCs w:val="20"/>
              </w:rPr>
            </w:pPr>
          </w:p>
        </w:tc>
        <w:tc>
          <w:tcPr>
            <w:tcW w:w="7654" w:type="dxa"/>
            <w:gridSpan w:val="6"/>
            <w:vAlign w:val="center"/>
          </w:tcPr>
          <w:p w14:paraId="72D06816"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Administrative Advice:</w:t>
            </w:r>
          </w:p>
          <w:p w14:paraId="40360A4E"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TREATMENT OF ADULT PATIENTS WITH SEVERE ACTIVE PSORIATIC ARTHRITIS</w:t>
            </w:r>
          </w:p>
          <w:p w14:paraId="743624FB" w14:textId="77777777" w:rsidR="00360D5B" w:rsidRPr="00A117B2" w:rsidRDefault="00360D5B" w:rsidP="00560E48">
            <w:pPr>
              <w:rPr>
                <w:rFonts w:ascii="Arial Narrow" w:hAnsi="Arial Narrow" w:cs="Times New Roman"/>
                <w:color w:val="333333"/>
                <w:sz w:val="20"/>
                <w:szCs w:val="20"/>
              </w:rPr>
            </w:pPr>
          </w:p>
          <w:p w14:paraId="5C35986F"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i/>
                <w:iCs/>
                <w:color w:val="333333"/>
                <w:sz w:val="20"/>
                <w:szCs w:val="20"/>
              </w:rPr>
              <w:t>As above (not shown here in full for brevity reasons)</w:t>
            </w:r>
            <w:r w:rsidRPr="00A117B2">
              <w:rPr>
                <w:rFonts w:ascii="Arial Narrow" w:hAnsi="Arial Narrow" w:cs="Times New Roman"/>
                <w:color w:val="333333"/>
                <w:sz w:val="20"/>
                <w:szCs w:val="20"/>
              </w:rPr>
              <w:t>.</w:t>
            </w:r>
          </w:p>
        </w:tc>
      </w:tr>
      <w:tr w:rsidR="00360D5B" w:rsidRPr="008048B3" w14:paraId="3DDC888D"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363DECC1" w14:textId="77777777" w:rsidR="00360D5B" w:rsidRPr="00A117B2" w:rsidRDefault="00360D5B" w:rsidP="00560E48">
            <w:pPr>
              <w:rPr>
                <w:rFonts w:ascii="Arial Narrow" w:eastAsia="Calibri" w:hAnsi="Arial Narrow"/>
                <w:sz w:val="20"/>
                <w:szCs w:val="20"/>
              </w:rPr>
            </w:pPr>
          </w:p>
        </w:tc>
        <w:tc>
          <w:tcPr>
            <w:tcW w:w="1134" w:type="dxa"/>
            <w:vAlign w:val="center"/>
          </w:tcPr>
          <w:p w14:paraId="00B08ACC" w14:textId="6D202AAC"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0FC9700E"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quantity or number of units may be authorised.</w:t>
            </w:r>
          </w:p>
        </w:tc>
      </w:tr>
      <w:tr w:rsidR="00360D5B" w:rsidRPr="008048B3" w14:paraId="59196D7A"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506F68CB" w14:textId="77777777" w:rsidR="00360D5B" w:rsidRPr="00A117B2" w:rsidRDefault="00360D5B" w:rsidP="00560E48">
            <w:pPr>
              <w:rPr>
                <w:rFonts w:ascii="Arial Narrow" w:eastAsia="Calibri" w:hAnsi="Arial Narrow"/>
                <w:sz w:val="20"/>
                <w:szCs w:val="20"/>
              </w:rPr>
            </w:pPr>
          </w:p>
        </w:tc>
        <w:tc>
          <w:tcPr>
            <w:tcW w:w="1134" w:type="dxa"/>
            <w:vAlign w:val="center"/>
          </w:tcPr>
          <w:p w14:paraId="5D14148D" w14:textId="0611F8CF"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66655922"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number of repeats may be authorised.</w:t>
            </w:r>
          </w:p>
        </w:tc>
      </w:tr>
      <w:tr w:rsidR="00360D5B" w:rsidRPr="008048B3" w14:paraId="5B4A0A42" w14:textId="77777777" w:rsidTr="00560E48">
        <w:tblPrEx>
          <w:tblCellMar>
            <w:top w:w="15" w:type="dxa"/>
            <w:left w:w="15" w:type="dxa"/>
            <w:bottom w:w="15" w:type="dxa"/>
            <w:right w:w="15" w:type="dxa"/>
          </w:tblCellMar>
          <w:tblLook w:val="04A0" w:firstRow="1" w:lastRow="0" w:firstColumn="1" w:lastColumn="0" w:noHBand="0" w:noVBand="1"/>
        </w:tblPrEx>
        <w:tc>
          <w:tcPr>
            <w:tcW w:w="279" w:type="dxa"/>
            <w:tcBorders>
              <w:left w:val="single" w:sz="4" w:space="0" w:color="auto"/>
              <w:bottom w:val="single" w:sz="4" w:space="0" w:color="auto"/>
              <w:right w:val="single" w:sz="4" w:space="0" w:color="auto"/>
            </w:tcBorders>
          </w:tcPr>
          <w:p w14:paraId="3F89D263" w14:textId="77777777" w:rsidR="00360D5B" w:rsidRPr="00A117B2" w:rsidRDefault="00360D5B" w:rsidP="00560E48">
            <w:pPr>
              <w:rPr>
                <w:rFonts w:ascii="Arial Narrow" w:eastAsia="Calibri" w:hAnsi="Arial Narrow"/>
                <w:sz w:val="20"/>
                <w:szCs w:val="20"/>
              </w:rPr>
            </w:pPr>
          </w:p>
        </w:tc>
        <w:tc>
          <w:tcPr>
            <w:tcW w:w="1134" w:type="dxa"/>
            <w:vAlign w:val="center"/>
          </w:tcPr>
          <w:p w14:paraId="2558FD7A" w14:textId="7A82C0A3"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6200FF2B"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Special Pricing Arrangements apply.</w:t>
            </w:r>
          </w:p>
        </w:tc>
      </w:tr>
      <w:tr w:rsidR="00360D5B" w:rsidRPr="008048B3" w14:paraId="3BC54F2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278668F" w14:textId="05252A33"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0035AF6"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Indication: </w:t>
            </w:r>
            <w:r w:rsidRPr="00A117B2">
              <w:rPr>
                <w:rFonts w:ascii="Arial Narrow" w:hAnsi="Arial Narrow" w:cs="Times New Roman"/>
                <w:sz w:val="20"/>
                <w:szCs w:val="20"/>
              </w:rPr>
              <w:t>Severe psoriatic arthritis</w:t>
            </w:r>
          </w:p>
        </w:tc>
      </w:tr>
      <w:tr w:rsidR="00360D5B" w:rsidRPr="00A8542F" w14:paraId="722BAB1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1B7994EF"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253568A"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Treatment Phase: </w:t>
            </w:r>
            <w:r w:rsidRPr="00A117B2">
              <w:rPr>
                <w:rFonts w:ascii="Arial Narrow" w:hAnsi="Arial Narrow" w:cs="Times New Roman"/>
                <w:sz w:val="20"/>
                <w:szCs w:val="20"/>
              </w:rPr>
              <w:t>Transitioning from non-PBS to PBS-subsidised supply - Grandfather arrangements</w:t>
            </w:r>
          </w:p>
        </w:tc>
      </w:tr>
      <w:tr w:rsidR="00360D5B" w:rsidRPr="006F5C03" w14:paraId="7BEC088A"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EC18F" w14:textId="7DD0991A"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6453B5"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Treatment criteria:</w:t>
            </w:r>
          </w:p>
        </w:tc>
      </w:tr>
      <w:tr w:rsidR="00360D5B" w:rsidRPr="006F5C03" w14:paraId="15DAED5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08268" w14:textId="468E6B96"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679563"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 xml:space="preserve"> Must be treated by a rheumatologist; or</w:t>
            </w:r>
          </w:p>
        </w:tc>
      </w:tr>
      <w:tr w:rsidR="00360D5B" w:rsidRPr="006F5C03" w14:paraId="60F19CE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06F3D" w14:textId="60C23E1F"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482CF5"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Must be treated by a clinical immunologist with expertise in the management of psoriatic arthritis</w:t>
            </w:r>
          </w:p>
        </w:tc>
      </w:tr>
      <w:tr w:rsidR="00360D5B" w:rsidRPr="006F5C03" w14:paraId="5707311A"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C308B"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7EFEF1"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AND</w:t>
            </w:r>
          </w:p>
        </w:tc>
      </w:tr>
      <w:tr w:rsidR="00360D5B" w:rsidRPr="006F5C03" w14:paraId="5DD02D4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38C36" w14:textId="16D602EE"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56BE53"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Clinical criteria:</w:t>
            </w:r>
          </w:p>
        </w:tc>
      </w:tr>
      <w:tr w:rsidR="00360D5B" w:rsidRPr="006F5C03" w14:paraId="49122DA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6B0D3"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9A5DEC"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Patient must have received treatment with this drug for this PBS indication prior to [DD-MM-YYYY]</w:t>
            </w:r>
          </w:p>
        </w:tc>
      </w:tr>
      <w:tr w:rsidR="00360D5B" w:rsidRPr="006F5C03" w14:paraId="60DE1A6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F4B4B"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A86958"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AND</w:t>
            </w:r>
          </w:p>
        </w:tc>
      </w:tr>
      <w:tr w:rsidR="00360D5B" w:rsidRPr="006F5C03" w14:paraId="169DA67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8B00C" w14:textId="2B3B2BDF"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769E24"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Clinical criteria:</w:t>
            </w:r>
          </w:p>
        </w:tc>
      </w:tr>
      <w:tr w:rsidR="00360D5B" w:rsidRPr="006F5C03" w14:paraId="270CA07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08FA54" w14:textId="180EC176"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783817"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 xml:space="preserve"> </w:t>
            </w:r>
            <w:r w:rsidRPr="00A117B2">
              <w:rPr>
                <w:rFonts w:ascii="Arial Narrow" w:hAnsi="Arial Narrow" w:cs="Times New Roman"/>
                <w:i/>
                <w:iCs/>
                <w:color w:val="333333"/>
                <w:sz w:val="20"/>
                <w:szCs w:val="20"/>
              </w:rPr>
              <w:t>Patient must be receiving treatment with this drug for this condition at the time of application</w:t>
            </w:r>
          </w:p>
        </w:tc>
      </w:tr>
      <w:tr w:rsidR="00360D5B" w:rsidRPr="006F5C03" w14:paraId="0201D67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42A4E"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87B399"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AND</w:t>
            </w:r>
          </w:p>
        </w:tc>
      </w:tr>
      <w:tr w:rsidR="00360D5B" w:rsidRPr="006F5C03" w14:paraId="6A07C5C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79DF9"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644068"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Clinical criteria:</w:t>
            </w:r>
          </w:p>
        </w:tc>
      </w:tr>
      <w:tr w:rsidR="00360D5B" w:rsidRPr="006F5C03" w14:paraId="1D9CADBB"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14359"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D19DB9"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Patient must have failed to achieve an adequate response to methotrexate at a dose of at least 20 mg weekly for a minimum period of 3 months prior to initiating non-PBS subsidised treatment with this drug for this condition</w:t>
            </w:r>
          </w:p>
        </w:tc>
      </w:tr>
      <w:tr w:rsidR="00360D5B" w:rsidRPr="006F5C03" w14:paraId="6AAA019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1AB96"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E06C5E"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AND</w:t>
            </w:r>
          </w:p>
        </w:tc>
      </w:tr>
      <w:tr w:rsidR="00360D5B" w:rsidRPr="006F5C03" w14:paraId="30AB6CC7"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B63C9" w14:textId="0B5431CB"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FFC168"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Clinical criteria:</w:t>
            </w:r>
          </w:p>
        </w:tc>
      </w:tr>
      <w:tr w:rsidR="00360D5B" w:rsidRPr="006F5C03" w14:paraId="30BF0C88"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8D866" w14:textId="3806E34E" w:rsidR="00360D5B" w:rsidRPr="00A117B2" w:rsidRDefault="00360D5B" w:rsidP="00560E48">
            <w:pPr>
              <w:jc w:val="center"/>
              <w:rPr>
                <w:rFonts w:ascii="Arial Narrow" w:hAnsi="Arial Narrow" w:cs="Times New Roman"/>
                <w:i/>
                <w:iCs/>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128D2F"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Patient must have failed to achieve an adequate response to sulfasalazine at a dose of at least 2 g per day for a minimum period of 3 months prior to initiating non-PBS subsidised treatment with this drug for this condition; or</w:t>
            </w:r>
          </w:p>
        </w:tc>
      </w:tr>
      <w:tr w:rsidR="00360D5B" w:rsidRPr="006F5C03" w14:paraId="3BFCF22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089AF" w14:textId="7B4B07C4"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BED4F8"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 xml:space="preserve"> </w:t>
            </w:r>
            <w:r w:rsidRPr="00A117B2">
              <w:rPr>
                <w:rFonts w:ascii="Arial Narrow" w:hAnsi="Arial Narrow" w:cs="Times New Roman"/>
                <w:i/>
                <w:iCs/>
                <w:color w:val="333333"/>
                <w:sz w:val="20"/>
                <w:szCs w:val="20"/>
              </w:rPr>
              <w:t>Patient must have failed to achieve an adequate response to leflunomide at a dose of up to 20 mg daily for a minimum period of 3 months prior to initiating non-PBS subsidised treatment with this drug for this condition</w:t>
            </w:r>
          </w:p>
        </w:tc>
      </w:tr>
      <w:tr w:rsidR="00360D5B" w:rsidRPr="006F5C03" w14:paraId="2E8EF06A"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1B321"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A1DC57"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AND</w:t>
            </w:r>
          </w:p>
        </w:tc>
      </w:tr>
      <w:tr w:rsidR="00360D5B" w:rsidRPr="006F5C03" w14:paraId="3D6E9BE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9E142" w14:textId="0875E1A4"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337725"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Clinical criteria:</w:t>
            </w:r>
          </w:p>
        </w:tc>
      </w:tr>
      <w:tr w:rsidR="00360D5B" w:rsidRPr="006F5C03" w14:paraId="329C713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10354" w14:textId="2D5E18BC"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C98FBF"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Patient must have demonstrated an adequate response following at least 12 weeks of non-PBS-subsidised treatment with this drug for this condition</w:t>
            </w:r>
          </w:p>
        </w:tc>
      </w:tr>
      <w:tr w:rsidR="00360D5B" w:rsidRPr="006F5C03" w14:paraId="508FA65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15614"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400F16"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AND</w:t>
            </w:r>
          </w:p>
        </w:tc>
      </w:tr>
      <w:tr w:rsidR="00360D5B" w:rsidRPr="006F5C03" w14:paraId="5D99044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C5DC6" w14:textId="0DE7BB11"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D6416E"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Clinical criteria:</w:t>
            </w:r>
          </w:p>
        </w:tc>
      </w:tr>
      <w:tr w:rsidR="00360D5B" w:rsidRPr="006F5C03" w14:paraId="634620D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53603" w14:textId="0E003BB1"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35E95B"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Patient must not receive more than 24 weeks of treatment under this restriction</w:t>
            </w:r>
          </w:p>
        </w:tc>
      </w:tr>
      <w:tr w:rsidR="00360D5B" w:rsidRPr="006F5C03" w14:paraId="1B6D324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7080A" w14:textId="77777777"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AC2DFD"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AND</w:t>
            </w:r>
          </w:p>
        </w:tc>
      </w:tr>
      <w:tr w:rsidR="00360D5B" w:rsidRPr="006F5C03" w14:paraId="0292B58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DBE4E" w14:textId="39FEB7D6"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EA963F"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Population criteria:</w:t>
            </w:r>
          </w:p>
        </w:tc>
      </w:tr>
      <w:tr w:rsidR="00360D5B" w:rsidRPr="006F5C03" w14:paraId="6CDA5A5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B7A59" w14:textId="7BDF71F8"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A194E8"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Patient must be aged 18 years or older</w:t>
            </w:r>
          </w:p>
        </w:tc>
      </w:tr>
      <w:tr w:rsidR="00360D5B" w:rsidRPr="006F5C03" w14:paraId="66DE267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275BD" w14:textId="72F1F864"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AB88DD" w14:textId="77777777" w:rsidR="00360D5B" w:rsidRPr="00A117B2" w:rsidRDefault="00360D5B" w:rsidP="00560E48">
            <w:pPr>
              <w:rPr>
                <w:rFonts w:ascii="Arial Narrow" w:hAnsi="Arial Narrow" w:cs="Times New Roman"/>
                <w:b/>
                <w:bCs/>
                <w:i/>
                <w:iCs/>
                <w:color w:val="333333"/>
                <w:sz w:val="20"/>
                <w:szCs w:val="20"/>
              </w:rPr>
            </w:pPr>
            <w:r w:rsidRPr="00A117B2">
              <w:rPr>
                <w:rFonts w:ascii="Arial Narrow" w:hAnsi="Arial Narrow" w:cs="Times New Roman"/>
                <w:b/>
                <w:bCs/>
                <w:i/>
                <w:iCs/>
                <w:color w:val="333333"/>
                <w:sz w:val="20"/>
                <w:szCs w:val="20"/>
              </w:rPr>
              <w:t>Prescribing Instructions:</w:t>
            </w:r>
          </w:p>
          <w:p w14:paraId="42AE386A"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The following initiation criteria indicate failure to achieve an adequate response and must be demonstrated in all patients at the time of the initial application:</w:t>
            </w:r>
          </w:p>
          <w:p w14:paraId="30B701D7"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an elevated erythrocyte sedimentation rate (ESR) greater than 25 mm per hour or a C-reactive protein (CRP) level greater than 15 mg per L; and</w:t>
            </w:r>
          </w:p>
          <w:p w14:paraId="77CE6BF2"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either</w:t>
            </w:r>
          </w:p>
          <w:p w14:paraId="451010C2"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(a) an active joint count of at least 20 active (swollen and tender) joints; or</w:t>
            </w:r>
          </w:p>
          <w:p w14:paraId="145FC768"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(b) at least 4 active joints from the following list of major joints:</w:t>
            </w:r>
          </w:p>
          <w:p w14:paraId="3971ADF5"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w:t>
            </w:r>
            <w:proofErr w:type="spellStart"/>
            <w:r w:rsidRPr="00A117B2">
              <w:rPr>
                <w:rFonts w:ascii="Arial Narrow" w:hAnsi="Arial Narrow" w:cs="Times New Roman"/>
                <w:i/>
                <w:iCs/>
                <w:color w:val="333333"/>
                <w:sz w:val="20"/>
                <w:szCs w:val="20"/>
              </w:rPr>
              <w:t>i</w:t>
            </w:r>
            <w:proofErr w:type="spellEnd"/>
            <w:r w:rsidRPr="00A117B2">
              <w:rPr>
                <w:rFonts w:ascii="Arial Narrow" w:hAnsi="Arial Narrow" w:cs="Times New Roman"/>
                <w:i/>
                <w:iCs/>
                <w:color w:val="333333"/>
                <w:sz w:val="20"/>
                <w:szCs w:val="20"/>
              </w:rPr>
              <w:t>) elbow, wrist, knee and/or ankle (assessed as swollen and tender); and/or</w:t>
            </w:r>
          </w:p>
          <w:p w14:paraId="592B6D4A"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(ii) shoulder and/or hip (assessed as pain in passive movement and restriction of passive movement, where pain and limitation of movement are due to active disease and not irreversible damage such as joint destruction or bony overgrowth).</w:t>
            </w:r>
          </w:p>
          <w:p w14:paraId="720C8F30"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If the above requirement to demonstrate an elevated ESR or CRP cannot be met, the application must state the reasons why this criterion cannot be satisfied.</w:t>
            </w:r>
          </w:p>
        </w:tc>
      </w:tr>
      <w:tr w:rsidR="00360D5B" w:rsidRPr="006F5C03" w14:paraId="4D14A3EE"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57638" w14:textId="4D86B6CB"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4532E2"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Prescribing Instructions:</w:t>
            </w:r>
          </w:p>
          <w:p w14:paraId="05BE01B7"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An adequate response to treatment is defined as:</w:t>
            </w:r>
          </w:p>
          <w:p w14:paraId="65547576"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an erythrocyte sedimentation rate (ESR) no greater than 25 mm per hour or a C-reactive protein (CRP) level no greater than 15 mg per L or either marker reduced by at least 20% from baseline; and</w:t>
            </w:r>
          </w:p>
          <w:p w14:paraId="742B219B"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either of the following:</w:t>
            </w:r>
          </w:p>
          <w:p w14:paraId="35B52D2C"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(a) a reduction in the total active (swollen and tender) joint count by at least 50% from baseline, where baseline is at least 20 active joints; or</w:t>
            </w:r>
          </w:p>
          <w:p w14:paraId="0292C030"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(b) a reduction in the number of the following major active joints, from at least 4, by at least 50%:</w:t>
            </w:r>
          </w:p>
          <w:p w14:paraId="52E3A4B0"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w:t>
            </w:r>
            <w:proofErr w:type="spellStart"/>
            <w:r w:rsidRPr="00A117B2">
              <w:rPr>
                <w:rFonts w:ascii="Arial Narrow" w:hAnsi="Arial Narrow" w:cs="Times New Roman"/>
                <w:i/>
                <w:iCs/>
                <w:color w:val="333333"/>
                <w:sz w:val="20"/>
                <w:szCs w:val="20"/>
              </w:rPr>
              <w:t>i</w:t>
            </w:r>
            <w:proofErr w:type="spellEnd"/>
            <w:r w:rsidRPr="00A117B2">
              <w:rPr>
                <w:rFonts w:ascii="Arial Narrow" w:hAnsi="Arial Narrow" w:cs="Times New Roman"/>
                <w:i/>
                <w:iCs/>
                <w:color w:val="333333"/>
                <w:sz w:val="20"/>
                <w:szCs w:val="20"/>
              </w:rPr>
              <w:t>) elbow, wrist, knee and/or ankle (assessed as swollen and tender); and/or</w:t>
            </w:r>
          </w:p>
          <w:p w14:paraId="0231D713"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360D5B" w:rsidRPr="006F5C03" w14:paraId="1FB3455A"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1CBDD" w14:textId="441F6529"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56A512"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Prescribing Instructions:</w:t>
            </w:r>
          </w:p>
          <w:p w14:paraId="67075776"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The same indices of disease severity used to establish baseline at the commencement of treatment with each initial treatment application must be used to determine response for all subsequent continuing treatments.</w:t>
            </w:r>
          </w:p>
        </w:tc>
      </w:tr>
      <w:tr w:rsidR="00360D5B" w:rsidRPr="006F5C03" w14:paraId="7E2C0525"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84E5C" w14:textId="0378A074"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62EFE6"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Prescribing Instructions:</w:t>
            </w:r>
          </w:p>
          <w:p w14:paraId="1B9A012E"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The assessment of the patient's response to this PBS-subsidised course of therapy must be conducted no later than 4 weeks from the cessation of the treatment course.</w:t>
            </w:r>
          </w:p>
        </w:tc>
      </w:tr>
      <w:tr w:rsidR="00360D5B" w:rsidRPr="006F5C03" w14:paraId="01FA465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E488F" w14:textId="45B02B5A"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C29A58"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Prescribing Instructions:</w:t>
            </w:r>
          </w:p>
          <w:p w14:paraId="39A820AC"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 xml:space="preserve">If a patient fails to demonstrate a response to treatment with this </w:t>
            </w:r>
            <w:proofErr w:type="gramStart"/>
            <w:r w:rsidRPr="00A117B2">
              <w:rPr>
                <w:rFonts w:ascii="Arial Narrow" w:hAnsi="Arial Narrow" w:cs="Times New Roman"/>
                <w:i/>
                <w:iCs/>
                <w:color w:val="333333"/>
                <w:sz w:val="20"/>
                <w:szCs w:val="20"/>
              </w:rPr>
              <w:t>drug</w:t>
            </w:r>
            <w:proofErr w:type="gramEnd"/>
            <w:r w:rsidRPr="00A117B2">
              <w:rPr>
                <w:rFonts w:ascii="Arial Narrow" w:hAnsi="Arial Narrow" w:cs="Times New Roman"/>
                <w:i/>
                <w:iCs/>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A117B2">
              <w:rPr>
                <w:rFonts w:ascii="Arial Narrow" w:hAnsi="Arial Narrow" w:cs="Times New Roman"/>
                <w:b/>
                <w:bCs/>
                <w:i/>
                <w:iCs/>
                <w:sz w:val="20"/>
                <w:szCs w:val="20"/>
              </w:rPr>
              <w:t>.</w:t>
            </w:r>
          </w:p>
        </w:tc>
      </w:tr>
      <w:tr w:rsidR="00360D5B" w:rsidRPr="006F5C03" w14:paraId="7F19FD4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8777A" w14:textId="127BF1CB"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BC6C4C"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Prescribing Instructions:</w:t>
            </w:r>
          </w:p>
          <w:p w14:paraId="52937C72"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A Grandfathered patient may qualify for PBS-subsidised treatment under this restriction once only. For continuing PBS-subsidised treatment, a Grandfathered patient must qualify under the continuing treatment criteria.</w:t>
            </w:r>
          </w:p>
        </w:tc>
      </w:tr>
      <w:tr w:rsidR="00360D5B" w:rsidRPr="006F5C03" w14:paraId="73C5D92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5FB09" w14:textId="31E4CBE9"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9C4138" w14:textId="77777777" w:rsidR="00360D5B" w:rsidRPr="00A117B2" w:rsidRDefault="00360D5B" w:rsidP="00560E48">
            <w:pPr>
              <w:rPr>
                <w:rFonts w:ascii="Arial Narrow" w:hAnsi="Arial Narrow" w:cs="Times New Roman"/>
                <w:b/>
                <w:bCs/>
                <w:i/>
                <w:iCs/>
                <w:color w:val="333333"/>
                <w:sz w:val="20"/>
                <w:szCs w:val="20"/>
              </w:rPr>
            </w:pPr>
            <w:r w:rsidRPr="00A117B2">
              <w:rPr>
                <w:rFonts w:ascii="Arial Narrow" w:hAnsi="Arial Narrow" w:cs="Times New Roman"/>
                <w:b/>
                <w:bCs/>
                <w:i/>
                <w:iCs/>
                <w:color w:val="333333"/>
                <w:sz w:val="20"/>
                <w:szCs w:val="20"/>
              </w:rPr>
              <w:t>Prescribing Instructions:</w:t>
            </w:r>
          </w:p>
          <w:p w14:paraId="1A7EB69F"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The authority application must be made in writing and must include:</w:t>
            </w:r>
          </w:p>
          <w:p w14:paraId="0A30AADC"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(1) a completed authority prescription form; and</w:t>
            </w:r>
          </w:p>
          <w:p w14:paraId="08177D23"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(2) a completed authority application form relevant to the indication and treatment phase (the latest version is located on the website specified in the Administrative Advice); and</w:t>
            </w:r>
          </w:p>
          <w:p w14:paraId="08285892"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(3) the date of commencement of this drug; and</w:t>
            </w:r>
          </w:p>
          <w:p w14:paraId="0EDA9D01"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(4) results of the baseline patient assessment prior to initiation of non-PBS subsidised therapy with this drug.</w:t>
            </w:r>
          </w:p>
        </w:tc>
      </w:tr>
      <w:tr w:rsidR="00360D5B" w:rsidRPr="006F5C03" w14:paraId="48C0E48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95477" w14:textId="638CCAE6"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9A06DD"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Administrative Advice:</w:t>
            </w:r>
          </w:p>
          <w:p w14:paraId="14061784"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This grandfather restriction will cease to operate from 12 months after the date specified in the clinical criteria.</w:t>
            </w:r>
          </w:p>
        </w:tc>
      </w:tr>
      <w:tr w:rsidR="00360D5B" w:rsidRPr="006F5C03" w14:paraId="2B1A7F3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3E2AF" w14:textId="56A7E5B1" w:rsidR="00360D5B" w:rsidRPr="00A117B2" w:rsidRDefault="00360D5B" w:rsidP="00560E48">
            <w:pPr>
              <w:jc w:val="center"/>
              <w:rPr>
                <w:rFonts w:ascii="Arial Narrow" w:hAnsi="Arial Narrow" w:cs="Times New Roman"/>
                <w:i/>
                <w:iCs/>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2C41DF"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b/>
                <w:bCs/>
                <w:i/>
                <w:iCs/>
                <w:sz w:val="20"/>
                <w:szCs w:val="20"/>
              </w:rPr>
              <w:t>Administrative Advice:</w:t>
            </w:r>
          </w:p>
          <w:p w14:paraId="4EE7C9E0"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Any queries concerning the arrangements to prescribe may be directed to Services Australia on 1800 700 270 (hours of operation 8 a.m. to 5 p.m. EST Monday to Friday).</w:t>
            </w:r>
          </w:p>
          <w:p w14:paraId="2D386341"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Prescribing information (including Authority Application forms and other relevant documentation as applicable) is available on the Services Australia website at www.servicesaustralia.gov.au</w:t>
            </w:r>
          </w:p>
          <w:p w14:paraId="67447606"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Applications for authority to prescribe should be submitted online using the form upload facility in Health Professional Online Services (HPOS) at www.servicesaustralia.gov.au/hpos</w:t>
            </w:r>
          </w:p>
          <w:p w14:paraId="4870B3F9"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Or mailed to:</w:t>
            </w:r>
          </w:p>
          <w:p w14:paraId="26B53199"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Services Australia</w:t>
            </w:r>
          </w:p>
          <w:p w14:paraId="103C81C4"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Complex Drugs</w:t>
            </w:r>
          </w:p>
          <w:p w14:paraId="7C4B051B" w14:textId="77777777" w:rsidR="00360D5B" w:rsidRPr="00A117B2" w:rsidRDefault="00360D5B" w:rsidP="00560E48">
            <w:pPr>
              <w:rPr>
                <w:rFonts w:ascii="Arial Narrow" w:hAnsi="Arial Narrow" w:cs="Times New Roman"/>
                <w:i/>
                <w:iCs/>
                <w:color w:val="333333"/>
                <w:sz w:val="20"/>
                <w:szCs w:val="20"/>
              </w:rPr>
            </w:pPr>
            <w:r w:rsidRPr="00A117B2">
              <w:rPr>
                <w:rFonts w:ascii="Arial Narrow" w:hAnsi="Arial Narrow" w:cs="Times New Roman"/>
                <w:i/>
                <w:iCs/>
                <w:color w:val="333333"/>
                <w:sz w:val="20"/>
                <w:szCs w:val="20"/>
              </w:rPr>
              <w:t>Reply Paid 9826</w:t>
            </w:r>
          </w:p>
          <w:p w14:paraId="650FD2E5" w14:textId="77777777" w:rsidR="00360D5B" w:rsidRPr="00A117B2" w:rsidRDefault="00360D5B" w:rsidP="00560E48">
            <w:pPr>
              <w:rPr>
                <w:rFonts w:ascii="Arial Narrow" w:hAnsi="Arial Narrow" w:cs="Times New Roman"/>
                <w:b/>
                <w:bCs/>
                <w:i/>
                <w:iCs/>
                <w:sz w:val="20"/>
                <w:szCs w:val="20"/>
              </w:rPr>
            </w:pPr>
            <w:r w:rsidRPr="00A117B2">
              <w:rPr>
                <w:rFonts w:ascii="Arial Narrow" w:hAnsi="Arial Narrow" w:cs="Times New Roman"/>
                <w:i/>
                <w:iCs/>
                <w:color w:val="333333"/>
                <w:sz w:val="20"/>
                <w:szCs w:val="20"/>
              </w:rPr>
              <w:t>HOBART TAS 7001</w:t>
            </w:r>
          </w:p>
        </w:tc>
      </w:tr>
      <w:tr w:rsidR="00360D5B" w:rsidRPr="00FE1C80" w14:paraId="44619949"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328F73FE" w14:textId="77777777" w:rsidR="00360D5B" w:rsidRPr="00A117B2" w:rsidRDefault="00360D5B" w:rsidP="00560E48">
            <w:pPr>
              <w:rPr>
                <w:rFonts w:ascii="Arial Narrow" w:hAnsi="Arial Narrow" w:cs="Times New Roman"/>
                <w:b/>
                <w:bCs/>
                <w:sz w:val="20"/>
                <w:szCs w:val="20"/>
              </w:rPr>
            </w:pPr>
          </w:p>
        </w:tc>
      </w:tr>
      <w:tr w:rsidR="00360D5B" w:rsidRPr="00FE1C80" w14:paraId="60767C69"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6F426054" w14:textId="77777777" w:rsidR="00360D5B" w:rsidRPr="00A117B2" w:rsidRDefault="00360D5B" w:rsidP="00560E48">
            <w:pPr>
              <w:rPr>
                <w:rFonts w:ascii="Arial Narrow" w:hAnsi="Arial Narrow" w:cs="Times New Roman"/>
                <w:b/>
                <w:bCs/>
                <w:sz w:val="20"/>
                <w:szCs w:val="20"/>
              </w:rPr>
            </w:pPr>
          </w:p>
        </w:tc>
      </w:tr>
      <w:tr w:rsidR="00360D5B" w:rsidRPr="008048B3" w14:paraId="70AFEAE7" w14:textId="77777777" w:rsidTr="00560E48">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3C8FB8C3" w14:textId="3B6E5AD4" w:rsidR="00360D5B" w:rsidRPr="00A117B2" w:rsidRDefault="00360D5B" w:rsidP="00560E48">
            <w:pPr>
              <w:rPr>
                <w:rFonts w:ascii="Arial Narrow" w:hAnsi="Arial Narrow" w:cs="Times New Roman"/>
                <w:b/>
                <w:bCs/>
                <w:sz w:val="20"/>
                <w:szCs w:val="20"/>
              </w:rPr>
            </w:pPr>
            <w:bookmarkStart w:id="42" w:name="_Hlk93061956"/>
            <w:r w:rsidRPr="00A117B2">
              <w:rPr>
                <w:rFonts w:ascii="Arial Narrow" w:hAnsi="Arial Narrow" w:cs="Times New Roman"/>
                <w:b/>
                <w:bCs/>
                <w:sz w:val="20"/>
                <w:szCs w:val="20"/>
              </w:rPr>
              <w:t xml:space="preserve">Restriction </w:t>
            </w:r>
            <w:proofErr w:type="gramStart"/>
            <w:r w:rsidRPr="00A117B2">
              <w:rPr>
                <w:rFonts w:ascii="Arial Narrow" w:hAnsi="Arial Narrow" w:cs="Times New Roman"/>
                <w:b/>
                <w:bCs/>
                <w:sz w:val="20"/>
                <w:szCs w:val="20"/>
              </w:rPr>
              <w:t>Summary</w:t>
            </w:r>
            <w:r w:rsidRPr="00A117B2">
              <w:rPr>
                <w:rFonts w:ascii="Arial Narrow" w:hAnsi="Arial Narrow" w:cs="Times New Roman"/>
                <w:b/>
                <w:bCs/>
                <w:i/>
                <w:iCs/>
                <w:sz w:val="20"/>
                <w:szCs w:val="20"/>
              </w:rPr>
              <w:t xml:space="preserve">  /</w:t>
            </w:r>
            <w:proofErr w:type="gramEnd"/>
            <w:r w:rsidRPr="00A117B2">
              <w:rPr>
                <w:rFonts w:ascii="Arial Narrow" w:hAnsi="Arial Narrow" w:cs="Times New Roman"/>
                <w:b/>
                <w:bCs/>
                <w:sz w:val="20"/>
                <w:szCs w:val="20"/>
              </w:rPr>
              <w:t xml:space="preserve"> </w:t>
            </w:r>
            <w:proofErr w:type="spellStart"/>
            <w:r w:rsidRPr="00A117B2">
              <w:rPr>
                <w:rFonts w:ascii="Arial Narrow" w:hAnsi="Arial Narrow" w:cs="Times New Roman"/>
                <w:b/>
                <w:bCs/>
                <w:sz w:val="20"/>
                <w:szCs w:val="20"/>
              </w:rPr>
              <w:t>ToC</w:t>
            </w:r>
            <w:proofErr w:type="spellEnd"/>
            <w:r w:rsidRPr="00A117B2">
              <w:rPr>
                <w:rFonts w:ascii="Arial Narrow" w:hAnsi="Arial Narrow" w:cs="Times New Roman"/>
                <w:b/>
                <w:bCs/>
                <w:sz w:val="20"/>
                <w:szCs w:val="20"/>
              </w:rPr>
              <w:t xml:space="preserve">: </w:t>
            </w:r>
          </w:p>
        </w:tc>
      </w:tr>
      <w:tr w:rsidR="00360D5B" w:rsidRPr="008048B3" w14:paraId="6D53190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val="restart"/>
            <w:tcBorders>
              <w:top w:val="single" w:sz="4" w:space="0" w:color="auto"/>
              <w:left w:val="single" w:sz="4" w:space="0" w:color="auto"/>
              <w:right w:val="single" w:sz="4" w:space="0" w:color="auto"/>
            </w:tcBorders>
          </w:tcPr>
          <w:p w14:paraId="1846917B" w14:textId="77777777" w:rsidR="00360D5B" w:rsidRPr="00A117B2" w:rsidRDefault="00360D5B" w:rsidP="00560E48">
            <w:pPr>
              <w:rPr>
                <w:rFonts w:ascii="Arial Narrow" w:eastAsia="Calibri" w:hAnsi="Arial Narrow"/>
                <w:b/>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6647D8C0" w14:textId="0A9328AA"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Category / Program: </w:t>
            </w:r>
            <w:r w:rsidRPr="00A117B2">
              <w:rPr>
                <w:rFonts w:ascii="Arial Narrow" w:eastAsia="Calibri" w:hAnsi="Arial Narrow"/>
                <w:sz w:val="20"/>
                <w:szCs w:val="20"/>
              </w:rPr>
              <w:t>GENERAL – General Schedule (Code GE)</w:t>
            </w:r>
            <w:r w:rsidRPr="00A117B2">
              <w:rPr>
                <w:rFonts w:ascii="Arial Narrow" w:eastAsia="Calibri" w:hAnsi="Arial Narrow"/>
                <w:color w:val="FF0000"/>
                <w:sz w:val="20"/>
                <w:szCs w:val="20"/>
              </w:rPr>
              <w:t xml:space="preserve"> </w:t>
            </w:r>
          </w:p>
        </w:tc>
      </w:tr>
      <w:tr w:rsidR="00360D5B" w:rsidRPr="008048B3" w14:paraId="275C7D46" w14:textId="77777777" w:rsidTr="00560E48">
        <w:tblPrEx>
          <w:tblCellMar>
            <w:top w:w="15" w:type="dxa"/>
            <w:left w:w="15" w:type="dxa"/>
            <w:bottom w:w="15" w:type="dxa"/>
            <w:right w:w="15" w:type="dxa"/>
          </w:tblCellMar>
          <w:tblLook w:val="04A0" w:firstRow="1" w:lastRow="0" w:firstColumn="1" w:lastColumn="0" w:noHBand="0" w:noVBand="1"/>
        </w:tblPrEx>
        <w:trPr>
          <w:trHeight w:val="240"/>
        </w:trPr>
        <w:tc>
          <w:tcPr>
            <w:tcW w:w="1413" w:type="dxa"/>
            <w:gridSpan w:val="2"/>
            <w:vMerge/>
            <w:tcBorders>
              <w:left w:val="single" w:sz="4" w:space="0" w:color="auto"/>
              <w:right w:val="single" w:sz="4" w:space="0" w:color="auto"/>
            </w:tcBorders>
          </w:tcPr>
          <w:p w14:paraId="27F36B12"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405F696E" w14:textId="77777777" w:rsidR="00360D5B" w:rsidRPr="00A117B2" w:rsidRDefault="00360D5B" w:rsidP="00560E48">
            <w:pPr>
              <w:rPr>
                <w:rFonts w:ascii="Arial Narrow" w:eastAsia="Calibri" w:hAnsi="Arial Narrow"/>
                <w:b/>
                <w:sz w:val="20"/>
                <w:szCs w:val="20"/>
              </w:rPr>
            </w:pPr>
            <w:r w:rsidRPr="00A117B2">
              <w:rPr>
                <w:rFonts w:ascii="Arial Narrow" w:eastAsia="Calibri" w:hAnsi="Arial Narrow"/>
                <w:b/>
                <w:sz w:val="20"/>
                <w:szCs w:val="20"/>
              </w:rPr>
              <w:t xml:space="preserve">Prescriber type: </w:t>
            </w:r>
            <w:r w:rsidRPr="00A117B2">
              <w:rPr>
                <w:rFonts w:ascii="Arial Narrow" w:eastAsia="Calibri" w:hAnsi="Arial Narrow"/>
                <w:sz w:val="20"/>
                <w:szCs w:val="20"/>
              </w:rPr>
              <w:fldChar w:fldCharType="begin">
                <w:ffData>
                  <w:name w:val=""/>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Medical Practitioners</w:t>
            </w:r>
          </w:p>
        </w:tc>
      </w:tr>
      <w:tr w:rsidR="00360D5B" w:rsidRPr="008048B3" w14:paraId="4B18CE3D"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Merge/>
            <w:tcBorders>
              <w:left w:val="single" w:sz="4" w:space="0" w:color="auto"/>
              <w:bottom w:val="single" w:sz="4" w:space="0" w:color="auto"/>
              <w:right w:val="single" w:sz="4" w:space="0" w:color="auto"/>
            </w:tcBorders>
          </w:tcPr>
          <w:p w14:paraId="223EB7E1" w14:textId="77777777" w:rsidR="00360D5B" w:rsidRPr="00A117B2" w:rsidRDefault="00360D5B" w:rsidP="00560E48">
            <w:pPr>
              <w:rPr>
                <w:rFonts w:ascii="Arial Narrow" w:eastAsia="Calibri"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5B20F739" w14:textId="77777777" w:rsidR="00360D5B" w:rsidRPr="00A117B2" w:rsidRDefault="00360D5B" w:rsidP="00560E48">
            <w:pPr>
              <w:rPr>
                <w:rFonts w:ascii="Arial Narrow" w:eastAsia="Calibri" w:hAnsi="Arial Narrow"/>
                <w:sz w:val="20"/>
                <w:szCs w:val="20"/>
              </w:rPr>
            </w:pPr>
            <w:r w:rsidRPr="00A117B2">
              <w:rPr>
                <w:rFonts w:ascii="Arial Narrow" w:eastAsia="Calibri" w:hAnsi="Arial Narrow"/>
                <w:b/>
                <w:sz w:val="20"/>
                <w:szCs w:val="20"/>
              </w:rPr>
              <w:t xml:space="preserve">Restriction type: </w:t>
            </w:r>
          </w:p>
          <w:p w14:paraId="1AB9204C" w14:textId="77777777" w:rsidR="00360D5B" w:rsidRPr="00A117B2" w:rsidRDefault="00360D5B" w:rsidP="00560E48">
            <w:pPr>
              <w:rPr>
                <w:rFonts w:ascii="Arial Narrow" w:eastAsia="Calibri" w:hAnsi="Arial Narrow"/>
                <w:color w:val="FF00FF"/>
                <w:sz w:val="20"/>
                <w:szCs w:val="20"/>
              </w:rPr>
            </w:pPr>
            <w:r w:rsidRPr="00A117B2">
              <w:rPr>
                <w:rFonts w:ascii="Arial Narrow" w:eastAsia="Calibri" w:hAnsi="Arial Narrow"/>
                <w:sz w:val="20"/>
                <w:szCs w:val="20"/>
              </w:rPr>
              <w:fldChar w:fldCharType="begin">
                <w:ffData>
                  <w:name w:val="Check1"/>
                  <w:enabled/>
                  <w:calcOnExit w:val="0"/>
                  <w:checkBox>
                    <w:sizeAuto/>
                    <w:default w:val="1"/>
                  </w:checkBox>
                </w:ffData>
              </w:fldChar>
            </w:r>
            <w:r w:rsidRPr="00A117B2">
              <w:rPr>
                <w:rFonts w:ascii="Arial Narrow" w:eastAsia="Calibri" w:hAnsi="Arial Narrow"/>
                <w:sz w:val="20"/>
                <w:szCs w:val="20"/>
              </w:rPr>
              <w:instrText xml:space="preserve"> FORMCHECKBOX </w:instrText>
            </w:r>
            <w:r w:rsidR="009D78CF">
              <w:rPr>
                <w:rFonts w:ascii="Arial Narrow" w:eastAsia="Calibri" w:hAnsi="Arial Narrow"/>
                <w:sz w:val="20"/>
                <w:szCs w:val="20"/>
              </w:rPr>
            </w:r>
            <w:r w:rsidR="009D78CF">
              <w:rPr>
                <w:rFonts w:ascii="Arial Narrow" w:eastAsia="Calibri" w:hAnsi="Arial Narrow"/>
                <w:sz w:val="20"/>
                <w:szCs w:val="20"/>
              </w:rPr>
              <w:fldChar w:fldCharType="separate"/>
            </w:r>
            <w:r w:rsidRPr="00A117B2">
              <w:rPr>
                <w:rFonts w:ascii="Arial Narrow" w:eastAsia="Calibri" w:hAnsi="Arial Narrow"/>
                <w:sz w:val="20"/>
                <w:szCs w:val="20"/>
              </w:rPr>
              <w:fldChar w:fldCharType="end"/>
            </w:r>
            <w:r w:rsidRPr="00A117B2">
              <w:rPr>
                <w:rFonts w:ascii="Arial Narrow" w:eastAsia="Calibri" w:hAnsi="Arial Narrow"/>
                <w:sz w:val="20"/>
                <w:szCs w:val="20"/>
              </w:rPr>
              <w:t xml:space="preserve"> Authority Required </w:t>
            </w:r>
            <w:r w:rsidRPr="00A117B2">
              <w:rPr>
                <w:rFonts w:ascii="Arial Narrow" w:eastAsia="Calibri" w:hAnsi="Arial Narrow"/>
                <w:i/>
                <w:iCs/>
                <w:sz w:val="20"/>
                <w:szCs w:val="20"/>
              </w:rPr>
              <w:t>(telephone/online PBS Authorities system)</w:t>
            </w:r>
          </w:p>
        </w:tc>
      </w:tr>
      <w:tr w:rsidR="00360D5B" w:rsidRPr="008048B3" w14:paraId="4E62B599"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11ACD0B5" w14:textId="32059582" w:rsidR="00360D5B" w:rsidRPr="00A117B2" w:rsidRDefault="00360D5B" w:rsidP="00560E48">
            <w:pPr>
              <w:ind w:left="113" w:right="113"/>
              <w:rPr>
                <w:rFonts w:ascii="Arial Narrow" w:eastAsia="Calibri" w:hAnsi="Arial Narrow"/>
                <w:sz w:val="20"/>
                <w:szCs w:val="20"/>
              </w:rPr>
            </w:pPr>
          </w:p>
        </w:tc>
        <w:tc>
          <w:tcPr>
            <w:tcW w:w="1134" w:type="dxa"/>
            <w:vAlign w:val="center"/>
          </w:tcPr>
          <w:p w14:paraId="2DCF5B5D" w14:textId="1B455F37" w:rsidR="00360D5B" w:rsidRPr="00A117B2" w:rsidRDefault="00360D5B" w:rsidP="00560E48">
            <w:pPr>
              <w:jc w:val="center"/>
              <w:rPr>
                <w:rFonts w:ascii="Arial Narrow" w:hAnsi="Arial Narrow" w:cs="Times New Roman"/>
                <w:i/>
                <w:iCs/>
                <w:color w:val="333333"/>
                <w:sz w:val="20"/>
                <w:szCs w:val="20"/>
              </w:rPr>
            </w:pPr>
          </w:p>
        </w:tc>
        <w:tc>
          <w:tcPr>
            <w:tcW w:w="7654" w:type="dxa"/>
            <w:gridSpan w:val="6"/>
            <w:vAlign w:val="center"/>
          </w:tcPr>
          <w:p w14:paraId="06F0CDB0"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Administrative Advice:</w:t>
            </w:r>
          </w:p>
          <w:p w14:paraId="5F0F96AD"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b/>
                <w:bCs/>
                <w:color w:val="333333"/>
                <w:sz w:val="20"/>
                <w:szCs w:val="20"/>
              </w:rPr>
              <w:t>TREATMENT OF ADULT PATIENTS WITH SEVERE ACTIVE PSORIATIC ARTHRITIS</w:t>
            </w:r>
          </w:p>
          <w:p w14:paraId="74145E76" w14:textId="77777777" w:rsidR="00360D5B" w:rsidRPr="00A117B2" w:rsidRDefault="00360D5B" w:rsidP="00560E48">
            <w:pPr>
              <w:rPr>
                <w:rFonts w:ascii="Arial Narrow" w:hAnsi="Arial Narrow" w:cs="Times New Roman"/>
                <w:color w:val="333333"/>
                <w:sz w:val="20"/>
                <w:szCs w:val="20"/>
              </w:rPr>
            </w:pPr>
          </w:p>
          <w:p w14:paraId="4C78B91F" w14:textId="77777777" w:rsidR="00360D5B" w:rsidRPr="00A117B2" w:rsidRDefault="00360D5B" w:rsidP="00560E48">
            <w:pPr>
              <w:rPr>
                <w:rFonts w:ascii="Arial Narrow" w:hAnsi="Arial Narrow" w:cs="Times New Roman"/>
                <w:color w:val="333333"/>
                <w:sz w:val="20"/>
                <w:szCs w:val="20"/>
              </w:rPr>
            </w:pPr>
            <w:r w:rsidRPr="00A117B2">
              <w:rPr>
                <w:rFonts w:ascii="Arial Narrow" w:hAnsi="Arial Narrow" w:cs="Times New Roman"/>
                <w:i/>
                <w:iCs/>
                <w:color w:val="333333"/>
                <w:sz w:val="20"/>
                <w:szCs w:val="20"/>
              </w:rPr>
              <w:t>As above (not shown here in full for brevity reasons)</w:t>
            </w:r>
            <w:r w:rsidRPr="00A117B2">
              <w:rPr>
                <w:rFonts w:ascii="Arial Narrow" w:hAnsi="Arial Narrow" w:cs="Times New Roman"/>
                <w:color w:val="333333"/>
                <w:sz w:val="20"/>
                <w:szCs w:val="20"/>
              </w:rPr>
              <w:t>.</w:t>
            </w:r>
          </w:p>
        </w:tc>
      </w:tr>
      <w:tr w:rsidR="00360D5B" w:rsidRPr="008048B3" w14:paraId="5A30A14E"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3BDD9888" w14:textId="77777777" w:rsidR="00360D5B" w:rsidRPr="00A117B2" w:rsidRDefault="00360D5B" w:rsidP="00560E48">
            <w:pPr>
              <w:rPr>
                <w:rFonts w:ascii="Arial Narrow" w:eastAsia="Calibri" w:hAnsi="Arial Narrow"/>
                <w:sz w:val="20"/>
                <w:szCs w:val="20"/>
              </w:rPr>
            </w:pPr>
          </w:p>
        </w:tc>
        <w:tc>
          <w:tcPr>
            <w:tcW w:w="1134" w:type="dxa"/>
            <w:vAlign w:val="center"/>
          </w:tcPr>
          <w:p w14:paraId="3F316D1A" w14:textId="4F62834B"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66335429"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quantity or number of units may be authorised.</w:t>
            </w:r>
          </w:p>
        </w:tc>
      </w:tr>
      <w:tr w:rsidR="00360D5B" w:rsidRPr="008048B3" w14:paraId="2C5FECBC" w14:textId="77777777" w:rsidTr="00560E48">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16A90335" w14:textId="77777777" w:rsidR="00360D5B" w:rsidRPr="00A117B2" w:rsidRDefault="00360D5B" w:rsidP="00560E48">
            <w:pPr>
              <w:rPr>
                <w:rFonts w:ascii="Arial Narrow" w:eastAsia="Calibri" w:hAnsi="Arial Narrow"/>
                <w:sz w:val="20"/>
                <w:szCs w:val="20"/>
              </w:rPr>
            </w:pPr>
          </w:p>
        </w:tc>
        <w:tc>
          <w:tcPr>
            <w:tcW w:w="1134" w:type="dxa"/>
            <w:vAlign w:val="center"/>
          </w:tcPr>
          <w:p w14:paraId="6CECC1DF" w14:textId="1153A493"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51D67C00"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No increase in the maximum number of repeats may be authorised.</w:t>
            </w:r>
          </w:p>
        </w:tc>
      </w:tr>
      <w:tr w:rsidR="00360D5B" w:rsidRPr="008048B3" w14:paraId="2048BA0C" w14:textId="77777777" w:rsidTr="00560E48">
        <w:tblPrEx>
          <w:tblCellMar>
            <w:top w:w="15" w:type="dxa"/>
            <w:left w:w="15" w:type="dxa"/>
            <w:bottom w:w="15" w:type="dxa"/>
            <w:right w:w="15" w:type="dxa"/>
          </w:tblCellMar>
          <w:tblLook w:val="04A0" w:firstRow="1" w:lastRow="0" w:firstColumn="1" w:lastColumn="0" w:noHBand="0" w:noVBand="1"/>
        </w:tblPrEx>
        <w:tc>
          <w:tcPr>
            <w:tcW w:w="279" w:type="dxa"/>
            <w:tcBorders>
              <w:left w:val="single" w:sz="4" w:space="0" w:color="auto"/>
              <w:bottom w:val="single" w:sz="4" w:space="0" w:color="auto"/>
              <w:right w:val="single" w:sz="4" w:space="0" w:color="auto"/>
            </w:tcBorders>
          </w:tcPr>
          <w:p w14:paraId="7709AEE0" w14:textId="77777777" w:rsidR="00360D5B" w:rsidRPr="00A117B2" w:rsidRDefault="00360D5B" w:rsidP="00560E48">
            <w:pPr>
              <w:rPr>
                <w:rFonts w:ascii="Arial Narrow" w:eastAsia="Calibri" w:hAnsi="Arial Narrow"/>
                <w:sz w:val="20"/>
                <w:szCs w:val="20"/>
              </w:rPr>
            </w:pPr>
          </w:p>
        </w:tc>
        <w:tc>
          <w:tcPr>
            <w:tcW w:w="1134" w:type="dxa"/>
            <w:vAlign w:val="center"/>
          </w:tcPr>
          <w:p w14:paraId="4986CBA0" w14:textId="50DD4416" w:rsidR="00360D5B" w:rsidRPr="00A117B2" w:rsidRDefault="00360D5B" w:rsidP="00560E48">
            <w:pPr>
              <w:jc w:val="center"/>
              <w:rPr>
                <w:rFonts w:ascii="Arial Narrow" w:hAnsi="Arial Narrow" w:cs="Times New Roman"/>
                <w:color w:val="333333"/>
                <w:sz w:val="20"/>
                <w:szCs w:val="20"/>
              </w:rPr>
            </w:pPr>
          </w:p>
        </w:tc>
        <w:tc>
          <w:tcPr>
            <w:tcW w:w="7654" w:type="dxa"/>
            <w:gridSpan w:val="6"/>
            <w:vAlign w:val="center"/>
          </w:tcPr>
          <w:p w14:paraId="533E8387" w14:textId="77777777" w:rsidR="00360D5B" w:rsidRPr="00A117B2" w:rsidRDefault="00360D5B" w:rsidP="00560E48">
            <w:pPr>
              <w:rPr>
                <w:rFonts w:ascii="Arial Narrow" w:hAnsi="Arial Narrow" w:cs="Times New Roman"/>
                <w:b/>
                <w:bCs/>
                <w:color w:val="333333"/>
                <w:sz w:val="20"/>
                <w:szCs w:val="20"/>
              </w:rPr>
            </w:pPr>
            <w:r w:rsidRPr="00A117B2">
              <w:rPr>
                <w:rFonts w:ascii="Arial Narrow" w:hAnsi="Arial Narrow" w:cs="Times New Roman"/>
                <w:b/>
                <w:bCs/>
                <w:color w:val="333333"/>
                <w:sz w:val="20"/>
                <w:szCs w:val="20"/>
              </w:rPr>
              <w:t xml:space="preserve">Administrative Advice: </w:t>
            </w:r>
            <w:r w:rsidRPr="00A117B2">
              <w:rPr>
                <w:rFonts w:ascii="Arial Narrow" w:hAnsi="Arial Narrow" w:cs="Times New Roman"/>
                <w:color w:val="333333"/>
                <w:sz w:val="20"/>
                <w:szCs w:val="20"/>
              </w:rPr>
              <w:t>Special Pricing Arrangements apply.</w:t>
            </w:r>
          </w:p>
        </w:tc>
      </w:tr>
      <w:tr w:rsidR="00360D5B" w:rsidRPr="008048B3" w14:paraId="707E5D5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1161655" w14:textId="5389F208"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76388A7"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Indication: </w:t>
            </w:r>
            <w:r w:rsidRPr="00A117B2">
              <w:rPr>
                <w:rFonts w:ascii="Arial Narrow" w:hAnsi="Arial Narrow" w:cs="Times New Roman"/>
                <w:sz w:val="20"/>
                <w:szCs w:val="20"/>
              </w:rPr>
              <w:t>Severe psoriatic arthritis</w:t>
            </w:r>
          </w:p>
        </w:tc>
      </w:tr>
      <w:tr w:rsidR="00360D5B" w:rsidRPr="00A8542F" w14:paraId="214F4E8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ACF90F2"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7F8728C"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 xml:space="preserve">Treatment Phase: </w:t>
            </w:r>
            <w:r w:rsidRPr="00A117B2">
              <w:rPr>
                <w:rFonts w:ascii="Arial Narrow" w:hAnsi="Arial Narrow" w:cs="Times New Roman"/>
                <w:sz w:val="20"/>
                <w:szCs w:val="20"/>
              </w:rPr>
              <w:t>Continuing treatment - balance of supply</w:t>
            </w:r>
          </w:p>
        </w:tc>
      </w:tr>
      <w:bookmarkEnd w:id="42"/>
      <w:tr w:rsidR="00360D5B" w:rsidRPr="00AC4214" w14:paraId="2F2467E2"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7A83AF68" w14:textId="59E51641"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8ED3559"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Treatment criteria:</w:t>
            </w:r>
          </w:p>
        </w:tc>
      </w:tr>
      <w:tr w:rsidR="00360D5B" w:rsidRPr="006A12EC" w14:paraId="789AF850"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2B206B2" w14:textId="449394C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2B799FB"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rheumatologist; or</w:t>
            </w:r>
          </w:p>
        </w:tc>
      </w:tr>
      <w:tr w:rsidR="00360D5B" w:rsidRPr="006A12EC" w14:paraId="2027A25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C3515DD" w14:textId="6CBF75F9"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4B94A26A"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Must be treated by a clinical immunologist with expertise in the management of psoriatic arthritis</w:t>
            </w:r>
          </w:p>
        </w:tc>
      </w:tr>
      <w:tr w:rsidR="00360D5B" w:rsidRPr="006A12EC" w14:paraId="0B75D3C9"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B8B9150"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24527C43"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b/>
                <w:bCs/>
                <w:sz w:val="20"/>
                <w:szCs w:val="20"/>
              </w:rPr>
              <w:t>AND</w:t>
            </w:r>
          </w:p>
        </w:tc>
      </w:tr>
      <w:tr w:rsidR="00360D5B" w:rsidRPr="006A12EC" w14:paraId="6F0E1FA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424A7766" w14:textId="081DCFF1"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3DD3526E"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6A12EC" w14:paraId="04861154"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3CC0A0C"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5AA6233"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Patient must have received insufficient therapy with this drug for this condition under the continuing treatment restriction to complete 24 weeks treatment</w:t>
            </w:r>
          </w:p>
        </w:tc>
      </w:tr>
      <w:tr w:rsidR="00360D5B" w:rsidRPr="006A12EC" w14:paraId="7749B25F"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26536BFB"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696232F4"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AND</w:t>
            </w:r>
          </w:p>
        </w:tc>
      </w:tr>
      <w:tr w:rsidR="00360D5B" w:rsidRPr="006A12EC" w14:paraId="6FF21AC6"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614CF0C1" w14:textId="0ACB6C15"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FBCFAE5"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Clinical criteria:</w:t>
            </w:r>
          </w:p>
        </w:tc>
      </w:tr>
      <w:tr w:rsidR="00360D5B" w:rsidRPr="006A12EC" w14:paraId="7C66819C"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56CD56D2"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1E88AD21"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The treatment must provide no more than the balance of up to 24 weeks treatment available under the above restriction</w:t>
            </w:r>
          </w:p>
        </w:tc>
      </w:tr>
      <w:tr w:rsidR="00360D5B" w:rsidRPr="006A12EC" w14:paraId="3194D471"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0387277A" w14:textId="0939DEEE"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730212B6" w14:textId="77777777" w:rsidR="00360D5B" w:rsidRPr="00A117B2" w:rsidRDefault="00360D5B" w:rsidP="00560E48">
            <w:pPr>
              <w:rPr>
                <w:rFonts w:ascii="Arial Narrow" w:hAnsi="Arial Narrow" w:cs="Times New Roman"/>
                <w:b/>
                <w:bCs/>
                <w:sz w:val="20"/>
                <w:szCs w:val="20"/>
              </w:rPr>
            </w:pPr>
            <w:r w:rsidRPr="00A117B2">
              <w:rPr>
                <w:rFonts w:ascii="Arial Narrow" w:hAnsi="Arial Narrow" w:cs="Times New Roman"/>
                <w:b/>
                <w:bCs/>
                <w:sz w:val="20"/>
                <w:szCs w:val="20"/>
              </w:rPr>
              <w:t>Administrative Advice:</w:t>
            </w:r>
          </w:p>
        </w:tc>
      </w:tr>
      <w:tr w:rsidR="00360D5B" w:rsidRPr="006A12EC" w14:paraId="2E5D6C23" w14:textId="77777777" w:rsidTr="00560E48">
        <w:tblPrEx>
          <w:tblCellMar>
            <w:top w:w="15" w:type="dxa"/>
            <w:left w:w="15" w:type="dxa"/>
            <w:bottom w:w="15" w:type="dxa"/>
            <w:right w:w="15" w:type="dxa"/>
          </w:tblCellMar>
          <w:tblLook w:val="04A0" w:firstRow="1" w:lastRow="0" w:firstColumn="1" w:lastColumn="0" w:noHBand="0" w:noVBand="1"/>
        </w:tblPrEx>
        <w:tc>
          <w:tcPr>
            <w:tcW w:w="1413" w:type="dxa"/>
            <w:gridSpan w:val="2"/>
            <w:vAlign w:val="center"/>
          </w:tcPr>
          <w:p w14:paraId="35A6C480" w14:textId="77777777" w:rsidR="00360D5B" w:rsidRPr="00A117B2" w:rsidRDefault="00360D5B" w:rsidP="00560E48">
            <w:pPr>
              <w:jc w:val="center"/>
              <w:rPr>
                <w:rFonts w:ascii="Arial Narrow" w:hAnsi="Arial Narrow" w:cs="Times New Roman"/>
                <w:sz w:val="20"/>
                <w:szCs w:val="20"/>
              </w:rPr>
            </w:pPr>
          </w:p>
        </w:tc>
        <w:tc>
          <w:tcPr>
            <w:tcW w:w="7654" w:type="dxa"/>
            <w:gridSpan w:val="6"/>
            <w:vAlign w:val="center"/>
          </w:tcPr>
          <w:p w14:paraId="59CD26FC" w14:textId="77777777" w:rsidR="00360D5B" w:rsidRPr="00A117B2" w:rsidRDefault="00360D5B" w:rsidP="00560E48">
            <w:pPr>
              <w:rPr>
                <w:rFonts w:ascii="Arial Narrow" w:hAnsi="Arial Narrow" w:cs="Times New Roman"/>
                <w:sz w:val="20"/>
                <w:szCs w:val="20"/>
              </w:rPr>
            </w:pPr>
            <w:r w:rsidRPr="00A117B2">
              <w:rPr>
                <w:rFonts w:ascii="Arial Narrow" w:hAnsi="Arial Narrow" w:cs="Times New Roman"/>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11E42D0D" w14:textId="04C12389" w:rsidR="008D58FE" w:rsidRDefault="008D58FE" w:rsidP="00360D5B">
      <w:pPr>
        <w:rPr>
          <w:b/>
          <w:bCs/>
        </w:rPr>
      </w:pPr>
    </w:p>
    <w:p w14:paraId="007D0282" w14:textId="56D5F07E" w:rsidR="004A3FF7" w:rsidRDefault="004A3FF7" w:rsidP="00360D5B">
      <w:pPr>
        <w:rPr>
          <w:b/>
          <w:bCs/>
        </w:rPr>
      </w:pPr>
    </w:p>
    <w:p w14:paraId="6878059D" w14:textId="5F7C364B" w:rsidR="004A3FF7" w:rsidRDefault="004A3FF7" w:rsidP="00360D5B">
      <w:pPr>
        <w:rPr>
          <w:b/>
          <w:bCs/>
        </w:rPr>
      </w:pPr>
    </w:p>
    <w:p w14:paraId="3B3BC86B" w14:textId="77777777" w:rsidR="004A3FF7" w:rsidRDefault="004A3FF7" w:rsidP="00360D5B">
      <w:pPr>
        <w:rPr>
          <w:b/>
          <w:bCs/>
        </w:rPr>
      </w:pPr>
    </w:p>
    <w:p w14:paraId="79B72483" w14:textId="79A103FE" w:rsidR="008D58FE" w:rsidRDefault="008D58FE" w:rsidP="00360D5B">
      <w:pPr>
        <w:rPr>
          <w:b/>
          <w:bCs/>
        </w:rPr>
      </w:pPr>
      <w:r w:rsidRPr="008D58FE">
        <w:rPr>
          <w:b/>
          <w:bCs/>
        </w:rPr>
        <w:lastRenderedPageBreak/>
        <w:t>Flow on changes</w:t>
      </w:r>
    </w:p>
    <w:p w14:paraId="448E427F" w14:textId="042DB9D8" w:rsidR="008D58FE" w:rsidRPr="008D58FE" w:rsidRDefault="008D58FE" w:rsidP="008D58FE">
      <w:pPr>
        <w:tabs>
          <w:tab w:val="left" w:pos="5501"/>
        </w:tabs>
        <w:rPr>
          <w:rFonts w:asciiTheme="minorHAnsi" w:hAnsiTheme="minorHAnsi"/>
          <w:bCs/>
          <w:iCs/>
          <w:szCs w:val="22"/>
        </w:rPr>
      </w:pPr>
      <w:r w:rsidRPr="008D58FE">
        <w:rPr>
          <w:rFonts w:asciiTheme="minorHAnsi" w:hAnsiTheme="minorHAnsi"/>
          <w:bCs/>
          <w:iCs/>
          <w:szCs w:val="22"/>
        </w:rPr>
        <w:t xml:space="preserve">Add the following Prescribing instruction to the initial 1 </w:t>
      </w:r>
      <w:proofErr w:type="gramStart"/>
      <w:r w:rsidRPr="008D58FE">
        <w:rPr>
          <w:rFonts w:asciiTheme="minorHAnsi" w:hAnsiTheme="minorHAnsi"/>
          <w:bCs/>
          <w:iCs/>
          <w:szCs w:val="22"/>
        </w:rPr>
        <w:t>listings</w:t>
      </w:r>
      <w:proofErr w:type="gramEnd"/>
      <w:r w:rsidRPr="008D58FE">
        <w:rPr>
          <w:rFonts w:asciiTheme="minorHAnsi" w:hAnsiTheme="minorHAnsi"/>
          <w:bCs/>
          <w:iCs/>
          <w:szCs w:val="22"/>
        </w:rPr>
        <w:t xml:space="preserve"> for certolizumab, etanercept, golimumab, </w:t>
      </w:r>
      <w:proofErr w:type="spellStart"/>
      <w:r w:rsidRPr="008D58FE">
        <w:rPr>
          <w:rFonts w:asciiTheme="minorHAnsi" w:hAnsiTheme="minorHAnsi"/>
          <w:bCs/>
          <w:iCs/>
          <w:szCs w:val="22"/>
        </w:rPr>
        <w:t>guselkumab</w:t>
      </w:r>
      <w:proofErr w:type="spellEnd"/>
      <w:r w:rsidRPr="008D58FE">
        <w:rPr>
          <w:rFonts w:asciiTheme="minorHAnsi" w:hAnsiTheme="minorHAnsi"/>
          <w:bCs/>
          <w:iCs/>
          <w:szCs w:val="22"/>
        </w:rPr>
        <w:t xml:space="preserve">, infliximab, </w:t>
      </w:r>
      <w:proofErr w:type="spellStart"/>
      <w:r w:rsidRPr="008D58FE">
        <w:rPr>
          <w:rFonts w:asciiTheme="minorHAnsi" w:hAnsiTheme="minorHAnsi"/>
          <w:bCs/>
          <w:iCs/>
          <w:szCs w:val="22"/>
        </w:rPr>
        <w:t>ixekizumab</w:t>
      </w:r>
      <w:proofErr w:type="spellEnd"/>
      <w:r w:rsidRPr="008D58FE">
        <w:rPr>
          <w:rFonts w:asciiTheme="minorHAnsi" w:hAnsiTheme="minorHAnsi"/>
          <w:bCs/>
          <w:iCs/>
          <w:szCs w:val="22"/>
        </w:rPr>
        <w:t xml:space="preserve">, </w:t>
      </w:r>
      <w:proofErr w:type="spellStart"/>
      <w:r w:rsidRPr="008D58FE">
        <w:rPr>
          <w:rFonts w:asciiTheme="minorHAnsi" w:hAnsiTheme="minorHAnsi"/>
          <w:bCs/>
          <w:iCs/>
          <w:szCs w:val="22"/>
        </w:rPr>
        <w:t>secukinumab</w:t>
      </w:r>
      <w:proofErr w:type="spellEnd"/>
      <w:r w:rsidRPr="008D58FE">
        <w:rPr>
          <w:rFonts w:asciiTheme="minorHAnsi" w:hAnsiTheme="minorHAnsi"/>
          <w:bCs/>
          <w:iCs/>
          <w:szCs w:val="22"/>
        </w:rPr>
        <w:t xml:space="preserve"> tofacitinib, </w:t>
      </w:r>
      <w:proofErr w:type="spellStart"/>
      <w:r w:rsidRPr="008D58FE">
        <w:rPr>
          <w:rFonts w:asciiTheme="minorHAnsi" w:hAnsiTheme="minorHAnsi"/>
          <w:bCs/>
          <w:iCs/>
          <w:szCs w:val="22"/>
        </w:rPr>
        <w:t>upadacitinib</w:t>
      </w:r>
      <w:proofErr w:type="spellEnd"/>
      <w:r w:rsidRPr="008D58FE">
        <w:rPr>
          <w:rFonts w:asciiTheme="minorHAnsi" w:hAnsiTheme="minorHAnsi"/>
          <w:bCs/>
          <w:iCs/>
          <w:szCs w:val="22"/>
        </w:rPr>
        <w:t xml:space="preserve">, and </w:t>
      </w:r>
      <w:proofErr w:type="spellStart"/>
      <w:r w:rsidRPr="008D58FE">
        <w:rPr>
          <w:rFonts w:asciiTheme="minorHAnsi" w:hAnsiTheme="minorHAnsi"/>
          <w:bCs/>
          <w:iCs/>
          <w:szCs w:val="22"/>
        </w:rPr>
        <w:t>ustekinumab</w:t>
      </w:r>
      <w:proofErr w:type="spellEnd"/>
      <w:r w:rsidRPr="008D58FE">
        <w:rPr>
          <w:rFonts w:asciiTheme="minorHAnsi" w:hAnsiTheme="minorHAnsi"/>
          <w:bCs/>
          <w:iCs/>
          <w:szCs w:val="22"/>
        </w:rPr>
        <w:t>, for this indication</w:t>
      </w:r>
    </w:p>
    <w:p w14:paraId="312310EC" w14:textId="2099DD8D" w:rsidR="008D58FE" w:rsidRDefault="008D58FE" w:rsidP="00360D5B">
      <w:pPr>
        <w:rPr>
          <w:b/>
          <w:bCs/>
        </w:rPr>
      </w:pPr>
    </w:p>
    <w:tbl>
      <w:tblPr>
        <w:tblW w:w="90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8"/>
        <w:gridCol w:w="7655"/>
      </w:tblGrid>
      <w:tr w:rsidR="008D58FE" w:rsidRPr="00894942" w14:paraId="176205E8" w14:textId="77777777" w:rsidTr="00A117B2">
        <w:tc>
          <w:tcPr>
            <w:tcW w:w="1418" w:type="dxa"/>
            <w:vAlign w:val="center"/>
          </w:tcPr>
          <w:p w14:paraId="208BDB6B" w14:textId="0C29FB66" w:rsidR="008D58FE" w:rsidRPr="00A117B2" w:rsidRDefault="008D58FE" w:rsidP="008D58FE">
            <w:pPr>
              <w:jc w:val="center"/>
              <w:rPr>
                <w:rFonts w:ascii="Arial Narrow" w:hAnsi="Arial Narrow" w:cs="Times New Roman"/>
                <w:sz w:val="20"/>
                <w:szCs w:val="20"/>
              </w:rPr>
            </w:pPr>
          </w:p>
        </w:tc>
        <w:tc>
          <w:tcPr>
            <w:tcW w:w="7655" w:type="dxa"/>
            <w:vAlign w:val="center"/>
          </w:tcPr>
          <w:p w14:paraId="306D5C95" w14:textId="77777777" w:rsidR="008D58FE" w:rsidRPr="00A117B2" w:rsidRDefault="008D58FE" w:rsidP="008D58FE">
            <w:pPr>
              <w:rPr>
                <w:rFonts w:ascii="Arial Narrow" w:hAnsi="Arial Narrow" w:cs="Times New Roman"/>
                <w:b/>
                <w:bCs/>
                <w:sz w:val="20"/>
                <w:szCs w:val="20"/>
              </w:rPr>
            </w:pPr>
            <w:r w:rsidRPr="00A117B2">
              <w:rPr>
                <w:rFonts w:ascii="Arial Narrow" w:hAnsi="Arial Narrow" w:cs="Times New Roman"/>
                <w:b/>
                <w:bCs/>
                <w:sz w:val="20"/>
                <w:szCs w:val="20"/>
              </w:rPr>
              <w:t>Prescribing Instructions:</w:t>
            </w:r>
          </w:p>
          <w:p w14:paraId="6E85A042" w14:textId="77777777" w:rsidR="008D58FE" w:rsidRPr="00A117B2" w:rsidRDefault="008D58FE" w:rsidP="008D58FE">
            <w:pPr>
              <w:rPr>
                <w:rFonts w:ascii="Arial Narrow" w:hAnsi="Arial Narrow" w:cs="Times New Roman"/>
                <w:sz w:val="20"/>
                <w:szCs w:val="20"/>
              </w:rPr>
            </w:pPr>
            <w:r w:rsidRPr="00A117B2">
              <w:rPr>
                <w:rFonts w:ascii="Arial Narrow" w:hAnsi="Arial Narrow" w:cs="Times New Roman"/>
                <w:sz w:val="20"/>
                <w:szCs w:val="20"/>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tc>
      </w:tr>
    </w:tbl>
    <w:p w14:paraId="02A57526" w14:textId="77777777" w:rsidR="008D58FE" w:rsidRPr="008D58FE" w:rsidRDefault="008D58FE" w:rsidP="00360D5B">
      <w:pPr>
        <w:rPr>
          <w:b/>
          <w:bCs/>
        </w:rPr>
      </w:pPr>
    </w:p>
    <w:p w14:paraId="5DD32CA2" w14:textId="38F1BA3D" w:rsidR="00A66F29" w:rsidRDefault="00A66F29" w:rsidP="00A66F29">
      <w:pPr>
        <w:tabs>
          <w:tab w:val="left" w:pos="5501"/>
        </w:tabs>
        <w:rPr>
          <w:rFonts w:asciiTheme="minorHAnsi" w:hAnsiTheme="minorHAnsi"/>
          <w:b/>
          <w:szCs w:val="22"/>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p>
    <w:p w14:paraId="1F374AC5" w14:textId="41CCABE8" w:rsidR="004A3FF7" w:rsidRPr="00C619FE" w:rsidRDefault="004A3FF7" w:rsidP="00C619FE">
      <w:pPr>
        <w:pStyle w:val="2-SectionHeading"/>
        <w:rPr>
          <w:bCs/>
          <w:lang w:val="en-GB"/>
        </w:rPr>
      </w:pPr>
      <w:r w:rsidRPr="00C619FE">
        <w:t>Context for Decision</w:t>
      </w:r>
    </w:p>
    <w:p w14:paraId="273C1B58" w14:textId="77777777" w:rsidR="004A3FF7" w:rsidRPr="00C619FE" w:rsidRDefault="004A3FF7" w:rsidP="00C619FE">
      <w:pPr>
        <w:pStyle w:val="3-BodyText"/>
        <w:ind w:firstLine="0"/>
        <w:rPr>
          <w:lang w:val="en-GB"/>
        </w:rPr>
      </w:pPr>
      <w:r w:rsidRPr="00C619FE">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7F1C627" w14:textId="50550B70" w:rsidR="004A3FF7" w:rsidRPr="00C619FE" w:rsidRDefault="004A3FF7" w:rsidP="00C619FE">
      <w:pPr>
        <w:pStyle w:val="2-SectionHeading"/>
        <w:rPr>
          <w:b w:val="0"/>
        </w:rPr>
      </w:pPr>
      <w:r w:rsidRPr="00C619FE">
        <w:t>Sponsor’s Comment</w:t>
      </w:r>
    </w:p>
    <w:p w14:paraId="6ABC9BA0" w14:textId="531FA327" w:rsidR="004A3FF7" w:rsidRPr="00C619FE" w:rsidRDefault="007D364B" w:rsidP="00C619FE">
      <w:pPr>
        <w:pStyle w:val="3-BodyText"/>
        <w:ind w:firstLine="0"/>
      </w:pPr>
      <w:r>
        <w:t xml:space="preserve">The </w:t>
      </w:r>
      <w:r w:rsidR="004A3FF7" w:rsidRPr="00C619FE">
        <w:t>sponsor had no comment.</w:t>
      </w:r>
    </w:p>
    <w:p w14:paraId="4BB0E85A" w14:textId="72E749FA" w:rsidR="002C5099" w:rsidRPr="00C619FE" w:rsidRDefault="002C5099" w:rsidP="007C3D14">
      <w:pPr>
        <w:jc w:val="left"/>
      </w:pPr>
    </w:p>
    <w:sectPr w:rsidR="002C5099" w:rsidRPr="00C619FE" w:rsidSect="00430606">
      <w:headerReference w:type="default" r:id="rId8"/>
      <w:footerReference w:type="default" r:id="rId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A1FE0" w14:textId="77777777" w:rsidR="009D78CF" w:rsidRDefault="009D78CF" w:rsidP="00124A51">
      <w:r>
        <w:separator/>
      </w:r>
    </w:p>
    <w:p w14:paraId="48A5C25F" w14:textId="77777777" w:rsidR="009D78CF" w:rsidRDefault="009D78CF"/>
  </w:endnote>
  <w:endnote w:type="continuationSeparator" w:id="0">
    <w:p w14:paraId="1F8F35A6" w14:textId="77777777" w:rsidR="009D78CF" w:rsidRDefault="009D78CF" w:rsidP="00124A51">
      <w:r>
        <w:continuationSeparator/>
      </w:r>
    </w:p>
    <w:p w14:paraId="5409E138" w14:textId="77777777" w:rsidR="009D78CF" w:rsidRDefault="009D7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CA9AE" w14:textId="405C14FD" w:rsidR="009D78CF" w:rsidRDefault="009D78CF">
    <w:pPr>
      <w:pStyle w:val="Footer"/>
    </w:pPr>
  </w:p>
  <w:bookmarkStart w:id="44" w:name="_Hlk76375156"/>
  <w:p w14:paraId="279DF64B" w14:textId="403A772E" w:rsidR="009D78CF" w:rsidRPr="0021587F" w:rsidRDefault="009D78CF" w:rsidP="0021587F">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noProof/>
      </w:rPr>
      <w:t>29</w:t>
    </w:r>
    <w:r w:rsidRPr="00836F75">
      <w:rPr>
        <w:b/>
        <w:noProof/>
      </w:rPr>
      <w:fldChar w:fldCharType="end"/>
    </w:r>
    <w:r>
      <w:rPr>
        <w:b/>
        <w:noProof/>
      </w:rPr>
      <w:t xml:space="preserve"> </w:t>
    </w:r>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B7638" w14:textId="77777777" w:rsidR="009D78CF" w:rsidRDefault="009D78CF" w:rsidP="00124A51">
      <w:r>
        <w:separator/>
      </w:r>
    </w:p>
    <w:p w14:paraId="1C334C5D" w14:textId="77777777" w:rsidR="009D78CF" w:rsidRDefault="009D78CF"/>
  </w:footnote>
  <w:footnote w:type="continuationSeparator" w:id="0">
    <w:p w14:paraId="22B71837" w14:textId="77777777" w:rsidR="009D78CF" w:rsidRDefault="009D78CF" w:rsidP="00124A51">
      <w:r>
        <w:continuationSeparator/>
      </w:r>
    </w:p>
    <w:p w14:paraId="6528C6D3" w14:textId="77777777" w:rsidR="009D78CF" w:rsidRDefault="009D7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7195" w14:textId="6A96B74C" w:rsidR="009D78CF" w:rsidRPr="00056684" w:rsidRDefault="009D78CF" w:rsidP="0021587F">
    <w:pPr>
      <w:pStyle w:val="Header"/>
      <w:keepNext/>
      <w:ind w:left="360"/>
      <w:jc w:val="center"/>
      <w:rPr>
        <w:rFonts w:asciiTheme="minorHAnsi" w:hAnsiTheme="minorHAnsi"/>
        <w:i/>
        <w:color w:val="808080"/>
      </w:rPr>
    </w:pPr>
    <w:bookmarkStart w:id="43"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2022</w:t>
    </w:r>
    <w:r w:rsidRPr="00056684">
      <w:rPr>
        <w:rFonts w:asciiTheme="minorHAnsi" w:hAnsiTheme="minorHAnsi"/>
        <w:i/>
        <w:color w:val="808080"/>
      </w:rPr>
      <w:t xml:space="preserve"> PBAC Meeting</w:t>
    </w:r>
  </w:p>
  <w:bookmarkEnd w:id="43"/>
  <w:p w14:paraId="2F2DF4AD" w14:textId="77777777" w:rsidR="009D78CF" w:rsidRDefault="009D78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751F53"/>
    <w:multiLevelType w:val="hybridMultilevel"/>
    <w:tmpl w:val="BFCED9DA"/>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8728A"/>
    <w:multiLevelType w:val="hybridMultilevel"/>
    <w:tmpl w:val="9692019E"/>
    <w:lvl w:ilvl="0" w:tplc="10803FF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C3B67"/>
    <w:multiLevelType w:val="hybridMultilevel"/>
    <w:tmpl w:val="7AF2F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5636A9"/>
    <w:multiLevelType w:val="hybridMultilevel"/>
    <w:tmpl w:val="747659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D9A61BE"/>
    <w:multiLevelType w:val="hybridMultilevel"/>
    <w:tmpl w:val="0554E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80FCA"/>
    <w:multiLevelType w:val="hybridMultilevel"/>
    <w:tmpl w:val="C846A2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FA4B11"/>
    <w:multiLevelType w:val="hybridMultilevel"/>
    <w:tmpl w:val="07AA7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9522AE"/>
    <w:multiLevelType w:val="hybridMultilevel"/>
    <w:tmpl w:val="3842CD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A297846"/>
    <w:multiLevelType w:val="hybridMultilevel"/>
    <w:tmpl w:val="CFA47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067EC"/>
    <w:multiLevelType w:val="hybridMultilevel"/>
    <w:tmpl w:val="1F4AB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FD56BB"/>
    <w:multiLevelType w:val="hybridMultilevel"/>
    <w:tmpl w:val="614E6072"/>
    <w:lvl w:ilvl="0" w:tplc="A4503638">
      <w:start w:val="1"/>
      <w:numFmt w:val="bullet"/>
      <w:lvlText w:val="-"/>
      <w:lvlJc w:val="left"/>
      <w:pPr>
        <w:ind w:left="410" w:hanging="360"/>
      </w:pPr>
      <w:rPr>
        <w:rFonts w:ascii="Arial Narrow" w:eastAsiaTheme="minorHAnsi" w:hAnsi="Arial Narrow" w:cs="Arial"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8" w15:restartNumberingAfterBreak="0">
    <w:nsid w:val="4FA8174D"/>
    <w:multiLevelType w:val="hybridMultilevel"/>
    <w:tmpl w:val="26E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D202F8"/>
    <w:multiLevelType w:val="hybridMultilevel"/>
    <w:tmpl w:val="7AAC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B5CA3"/>
    <w:multiLevelType w:val="hybridMultilevel"/>
    <w:tmpl w:val="55F61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14266CB"/>
    <w:multiLevelType w:val="hybridMultilevel"/>
    <w:tmpl w:val="83F4B4B0"/>
    <w:lvl w:ilvl="0" w:tplc="09CE77B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E2068"/>
    <w:multiLevelType w:val="hybridMultilevel"/>
    <w:tmpl w:val="DD3CCB76"/>
    <w:lvl w:ilvl="0" w:tplc="D102F2E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0073DE"/>
    <w:multiLevelType w:val="hybridMultilevel"/>
    <w:tmpl w:val="27F67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4D033C"/>
    <w:multiLevelType w:val="multilevel"/>
    <w:tmpl w:val="216EE96A"/>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5"/>
  </w:num>
  <w:num w:numId="3">
    <w:abstractNumId w:val="0"/>
  </w:num>
  <w:num w:numId="4">
    <w:abstractNumId w:val="2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18"/>
  </w:num>
  <w:num w:numId="9">
    <w:abstractNumId w:val="25"/>
  </w:num>
  <w:num w:numId="10">
    <w:abstractNumId w:val="4"/>
  </w:num>
  <w:num w:numId="11">
    <w:abstractNumId w:val="11"/>
  </w:num>
  <w:num w:numId="12">
    <w:abstractNumId w:val="13"/>
  </w:num>
  <w:num w:numId="13">
    <w:abstractNumId w:val="17"/>
  </w:num>
  <w:num w:numId="14">
    <w:abstractNumId w:val="6"/>
  </w:num>
  <w:num w:numId="15">
    <w:abstractNumId w:val="8"/>
  </w:num>
  <w:num w:numId="16">
    <w:abstractNumId w:val="2"/>
  </w:num>
  <w:num w:numId="17">
    <w:abstractNumId w:val="16"/>
  </w:num>
  <w:num w:numId="18">
    <w:abstractNumId w:val="22"/>
  </w:num>
  <w:num w:numId="19">
    <w:abstractNumId w:val="21"/>
  </w:num>
  <w:num w:numId="20">
    <w:abstractNumId w:val="24"/>
  </w:num>
  <w:num w:numId="21">
    <w:abstractNumId w:val="27"/>
  </w:num>
  <w:num w:numId="22">
    <w:abstractNumId w:val="5"/>
  </w:num>
  <w:num w:numId="23">
    <w:abstractNumId w:val="26"/>
  </w:num>
  <w:num w:numId="24">
    <w:abstractNumId w:val="19"/>
  </w:num>
  <w:num w:numId="25">
    <w:abstractNumId w:val="20"/>
  </w:num>
  <w:num w:numId="26">
    <w:abstractNumId w:val="3"/>
  </w:num>
  <w:num w:numId="27">
    <w:abstractNumId w:val="1"/>
  </w:num>
  <w:num w:numId="28">
    <w:abstractNumId w:val="10"/>
  </w:num>
  <w:num w:numId="29">
    <w:abstractNumId w:val="12"/>
  </w:num>
  <w:num w:numId="30">
    <w:abstractNumId w:val="9"/>
  </w:num>
  <w:num w:numId="3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9"/>
  </w:num>
  <w:num w:numId="34">
    <w:abstractNumId w:val="29"/>
  </w:num>
  <w:num w:numId="35">
    <w:abstractNumId w:val="29"/>
  </w:num>
  <w:num w:numId="36">
    <w:abstractNumId w:val="29"/>
    <w:lvlOverride w:ilvl="0">
      <w:startOverride w:val="10"/>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26B"/>
    <w:rsid w:val="0000066D"/>
    <w:rsid w:val="00000790"/>
    <w:rsid w:val="00000C17"/>
    <w:rsid w:val="0000110B"/>
    <w:rsid w:val="000015B6"/>
    <w:rsid w:val="00001652"/>
    <w:rsid w:val="00001D09"/>
    <w:rsid w:val="0000241F"/>
    <w:rsid w:val="00003499"/>
    <w:rsid w:val="000039B7"/>
    <w:rsid w:val="00003C38"/>
    <w:rsid w:val="000043FA"/>
    <w:rsid w:val="000052D6"/>
    <w:rsid w:val="0000639A"/>
    <w:rsid w:val="00006A39"/>
    <w:rsid w:val="00010C6C"/>
    <w:rsid w:val="00010DB5"/>
    <w:rsid w:val="000119CC"/>
    <w:rsid w:val="000125BC"/>
    <w:rsid w:val="00013247"/>
    <w:rsid w:val="00014907"/>
    <w:rsid w:val="00014A90"/>
    <w:rsid w:val="00015886"/>
    <w:rsid w:val="00015F29"/>
    <w:rsid w:val="00015FBE"/>
    <w:rsid w:val="00016011"/>
    <w:rsid w:val="000162EF"/>
    <w:rsid w:val="00017091"/>
    <w:rsid w:val="00017FBE"/>
    <w:rsid w:val="000207C9"/>
    <w:rsid w:val="000209E7"/>
    <w:rsid w:val="00021484"/>
    <w:rsid w:val="00021500"/>
    <w:rsid w:val="00021618"/>
    <w:rsid w:val="00021C5E"/>
    <w:rsid w:val="00021CA4"/>
    <w:rsid w:val="0002225F"/>
    <w:rsid w:val="00022538"/>
    <w:rsid w:val="00023352"/>
    <w:rsid w:val="0002357B"/>
    <w:rsid w:val="00023763"/>
    <w:rsid w:val="00023886"/>
    <w:rsid w:val="000239BB"/>
    <w:rsid w:val="00023D86"/>
    <w:rsid w:val="00026607"/>
    <w:rsid w:val="000274B8"/>
    <w:rsid w:val="000276F8"/>
    <w:rsid w:val="00027914"/>
    <w:rsid w:val="00027CA0"/>
    <w:rsid w:val="00031453"/>
    <w:rsid w:val="000316E6"/>
    <w:rsid w:val="0003174D"/>
    <w:rsid w:val="00031A0F"/>
    <w:rsid w:val="0003200E"/>
    <w:rsid w:val="00032881"/>
    <w:rsid w:val="00032EDE"/>
    <w:rsid w:val="00033863"/>
    <w:rsid w:val="00035DC0"/>
    <w:rsid w:val="00036829"/>
    <w:rsid w:val="00037490"/>
    <w:rsid w:val="000378BA"/>
    <w:rsid w:val="00040895"/>
    <w:rsid w:val="000420F0"/>
    <w:rsid w:val="000421A6"/>
    <w:rsid w:val="00042AE7"/>
    <w:rsid w:val="000435EE"/>
    <w:rsid w:val="00043C37"/>
    <w:rsid w:val="00043C55"/>
    <w:rsid w:val="0004443F"/>
    <w:rsid w:val="00045017"/>
    <w:rsid w:val="0004578E"/>
    <w:rsid w:val="00045A2B"/>
    <w:rsid w:val="0004698F"/>
    <w:rsid w:val="00046FE0"/>
    <w:rsid w:val="00047517"/>
    <w:rsid w:val="00051F61"/>
    <w:rsid w:val="00052113"/>
    <w:rsid w:val="00053694"/>
    <w:rsid w:val="000539D0"/>
    <w:rsid w:val="00053D45"/>
    <w:rsid w:val="00054621"/>
    <w:rsid w:val="000546D7"/>
    <w:rsid w:val="00054956"/>
    <w:rsid w:val="00054B1A"/>
    <w:rsid w:val="0005508E"/>
    <w:rsid w:val="00056ECF"/>
    <w:rsid w:val="000571C5"/>
    <w:rsid w:val="000578AF"/>
    <w:rsid w:val="00057B95"/>
    <w:rsid w:val="00057D29"/>
    <w:rsid w:val="000604DF"/>
    <w:rsid w:val="00060F17"/>
    <w:rsid w:val="000611C3"/>
    <w:rsid w:val="00061273"/>
    <w:rsid w:val="000618B9"/>
    <w:rsid w:val="00062EDD"/>
    <w:rsid w:val="00064DEF"/>
    <w:rsid w:val="00065379"/>
    <w:rsid w:val="000653B5"/>
    <w:rsid w:val="00065442"/>
    <w:rsid w:val="000655AD"/>
    <w:rsid w:val="000661B9"/>
    <w:rsid w:val="00066360"/>
    <w:rsid w:val="00066AF8"/>
    <w:rsid w:val="00067984"/>
    <w:rsid w:val="00067D6B"/>
    <w:rsid w:val="000702CC"/>
    <w:rsid w:val="000702D9"/>
    <w:rsid w:val="0007054A"/>
    <w:rsid w:val="00070665"/>
    <w:rsid w:val="00070787"/>
    <w:rsid w:val="00070B9B"/>
    <w:rsid w:val="00071248"/>
    <w:rsid w:val="00071D80"/>
    <w:rsid w:val="00071EDA"/>
    <w:rsid w:val="000720B9"/>
    <w:rsid w:val="00072158"/>
    <w:rsid w:val="000729F1"/>
    <w:rsid w:val="000733BB"/>
    <w:rsid w:val="000737F7"/>
    <w:rsid w:val="00074592"/>
    <w:rsid w:val="00074A9D"/>
    <w:rsid w:val="00075BF1"/>
    <w:rsid w:val="0007672F"/>
    <w:rsid w:val="00076B24"/>
    <w:rsid w:val="00076B54"/>
    <w:rsid w:val="00076E55"/>
    <w:rsid w:val="000774F0"/>
    <w:rsid w:val="00080566"/>
    <w:rsid w:val="00080909"/>
    <w:rsid w:val="000812CA"/>
    <w:rsid w:val="00081E63"/>
    <w:rsid w:val="0008234B"/>
    <w:rsid w:val="0008258D"/>
    <w:rsid w:val="00082631"/>
    <w:rsid w:val="00083AC7"/>
    <w:rsid w:val="00083E99"/>
    <w:rsid w:val="00084D61"/>
    <w:rsid w:val="00084D6F"/>
    <w:rsid w:val="00084FA8"/>
    <w:rsid w:val="000856C5"/>
    <w:rsid w:val="00085C31"/>
    <w:rsid w:val="00085F86"/>
    <w:rsid w:val="0008732D"/>
    <w:rsid w:val="000902D9"/>
    <w:rsid w:val="00090A8B"/>
    <w:rsid w:val="00090C7E"/>
    <w:rsid w:val="00091544"/>
    <w:rsid w:val="00092600"/>
    <w:rsid w:val="0009262B"/>
    <w:rsid w:val="00092CD0"/>
    <w:rsid w:val="000930B9"/>
    <w:rsid w:val="00093310"/>
    <w:rsid w:val="00093F8F"/>
    <w:rsid w:val="0009445C"/>
    <w:rsid w:val="00094B89"/>
    <w:rsid w:val="00095200"/>
    <w:rsid w:val="00095250"/>
    <w:rsid w:val="00095E9B"/>
    <w:rsid w:val="00095FE5"/>
    <w:rsid w:val="00096284"/>
    <w:rsid w:val="00097741"/>
    <w:rsid w:val="000A0F22"/>
    <w:rsid w:val="000A1BC0"/>
    <w:rsid w:val="000A2196"/>
    <w:rsid w:val="000A24A4"/>
    <w:rsid w:val="000A2B25"/>
    <w:rsid w:val="000A41DD"/>
    <w:rsid w:val="000A5C3F"/>
    <w:rsid w:val="000A6039"/>
    <w:rsid w:val="000A60D9"/>
    <w:rsid w:val="000A66FB"/>
    <w:rsid w:val="000A719E"/>
    <w:rsid w:val="000A7453"/>
    <w:rsid w:val="000A7C02"/>
    <w:rsid w:val="000A7D08"/>
    <w:rsid w:val="000A7F72"/>
    <w:rsid w:val="000B0121"/>
    <w:rsid w:val="000B0670"/>
    <w:rsid w:val="000B0E75"/>
    <w:rsid w:val="000B171A"/>
    <w:rsid w:val="000B25DA"/>
    <w:rsid w:val="000B2773"/>
    <w:rsid w:val="000B29AA"/>
    <w:rsid w:val="000B2DCB"/>
    <w:rsid w:val="000B3AA9"/>
    <w:rsid w:val="000B55D2"/>
    <w:rsid w:val="000B5C08"/>
    <w:rsid w:val="000B5CE0"/>
    <w:rsid w:val="000B5E5F"/>
    <w:rsid w:val="000B5F55"/>
    <w:rsid w:val="000B6CAC"/>
    <w:rsid w:val="000B7612"/>
    <w:rsid w:val="000B78AE"/>
    <w:rsid w:val="000B7F1C"/>
    <w:rsid w:val="000C0805"/>
    <w:rsid w:val="000C08FA"/>
    <w:rsid w:val="000C16E4"/>
    <w:rsid w:val="000C3DF9"/>
    <w:rsid w:val="000C4292"/>
    <w:rsid w:val="000C660A"/>
    <w:rsid w:val="000C6713"/>
    <w:rsid w:val="000C6BEB"/>
    <w:rsid w:val="000C6D82"/>
    <w:rsid w:val="000D160E"/>
    <w:rsid w:val="000D1BFC"/>
    <w:rsid w:val="000D1D5D"/>
    <w:rsid w:val="000D281A"/>
    <w:rsid w:val="000D2848"/>
    <w:rsid w:val="000D326A"/>
    <w:rsid w:val="000D3CFB"/>
    <w:rsid w:val="000D3D59"/>
    <w:rsid w:val="000D46F8"/>
    <w:rsid w:val="000D4D3F"/>
    <w:rsid w:val="000D51FB"/>
    <w:rsid w:val="000D54F3"/>
    <w:rsid w:val="000D5A0E"/>
    <w:rsid w:val="000D61AD"/>
    <w:rsid w:val="000E0640"/>
    <w:rsid w:val="000E0BA8"/>
    <w:rsid w:val="000E135D"/>
    <w:rsid w:val="000E2226"/>
    <w:rsid w:val="000E3AE5"/>
    <w:rsid w:val="000E42CA"/>
    <w:rsid w:val="000E5846"/>
    <w:rsid w:val="000E5A39"/>
    <w:rsid w:val="000E6190"/>
    <w:rsid w:val="000E670C"/>
    <w:rsid w:val="000F00BA"/>
    <w:rsid w:val="000F098C"/>
    <w:rsid w:val="000F192C"/>
    <w:rsid w:val="000F1FF8"/>
    <w:rsid w:val="000F22B0"/>
    <w:rsid w:val="000F265D"/>
    <w:rsid w:val="000F2EEC"/>
    <w:rsid w:val="000F316A"/>
    <w:rsid w:val="000F3BDA"/>
    <w:rsid w:val="000F3C74"/>
    <w:rsid w:val="000F4BB8"/>
    <w:rsid w:val="000F4BB9"/>
    <w:rsid w:val="000F4D2F"/>
    <w:rsid w:val="000F4FA9"/>
    <w:rsid w:val="000F53FB"/>
    <w:rsid w:val="000F5F68"/>
    <w:rsid w:val="000F7127"/>
    <w:rsid w:val="000F73E8"/>
    <w:rsid w:val="000F7B54"/>
    <w:rsid w:val="000F7C98"/>
    <w:rsid w:val="000F7FE7"/>
    <w:rsid w:val="00100F8A"/>
    <w:rsid w:val="001016F3"/>
    <w:rsid w:val="001020D0"/>
    <w:rsid w:val="0010219C"/>
    <w:rsid w:val="0010452E"/>
    <w:rsid w:val="00105AE2"/>
    <w:rsid w:val="00105D14"/>
    <w:rsid w:val="001060C6"/>
    <w:rsid w:val="00106B80"/>
    <w:rsid w:val="001071C0"/>
    <w:rsid w:val="00107900"/>
    <w:rsid w:val="00107D91"/>
    <w:rsid w:val="0011032E"/>
    <w:rsid w:val="0011162A"/>
    <w:rsid w:val="001121FB"/>
    <w:rsid w:val="00112B39"/>
    <w:rsid w:val="0011348B"/>
    <w:rsid w:val="00114A33"/>
    <w:rsid w:val="00115982"/>
    <w:rsid w:val="00115E4B"/>
    <w:rsid w:val="00115F8D"/>
    <w:rsid w:val="001166E3"/>
    <w:rsid w:val="00116C53"/>
    <w:rsid w:val="00121799"/>
    <w:rsid w:val="00122058"/>
    <w:rsid w:val="001222FC"/>
    <w:rsid w:val="00123618"/>
    <w:rsid w:val="00123902"/>
    <w:rsid w:val="001242EC"/>
    <w:rsid w:val="00124A51"/>
    <w:rsid w:val="001251D0"/>
    <w:rsid w:val="001256B6"/>
    <w:rsid w:val="00126621"/>
    <w:rsid w:val="00126B1D"/>
    <w:rsid w:val="00126BCA"/>
    <w:rsid w:val="00127265"/>
    <w:rsid w:val="0013006D"/>
    <w:rsid w:val="001301E9"/>
    <w:rsid w:val="001302B3"/>
    <w:rsid w:val="00130BDB"/>
    <w:rsid w:val="00131D82"/>
    <w:rsid w:val="00131EB5"/>
    <w:rsid w:val="0013200D"/>
    <w:rsid w:val="001322D3"/>
    <w:rsid w:val="00132B22"/>
    <w:rsid w:val="00133D36"/>
    <w:rsid w:val="00133FB7"/>
    <w:rsid w:val="001341E9"/>
    <w:rsid w:val="00134660"/>
    <w:rsid w:val="00134AFC"/>
    <w:rsid w:val="00135BFD"/>
    <w:rsid w:val="00135E86"/>
    <w:rsid w:val="001367B5"/>
    <w:rsid w:val="001372B6"/>
    <w:rsid w:val="00137645"/>
    <w:rsid w:val="00137F90"/>
    <w:rsid w:val="0014015A"/>
    <w:rsid w:val="00140E99"/>
    <w:rsid w:val="0014114B"/>
    <w:rsid w:val="00141CA3"/>
    <w:rsid w:val="00142ED9"/>
    <w:rsid w:val="00143F67"/>
    <w:rsid w:val="00143F99"/>
    <w:rsid w:val="0014463C"/>
    <w:rsid w:val="0014481C"/>
    <w:rsid w:val="001451D2"/>
    <w:rsid w:val="00145540"/>
    <w:rsid w:val="001456B0"/>
    <w:rsid w:val="0015072A"/>
    <w:rsid w:val="00151A53"/>
    <w:rsid w:val="00151CCB"/>
    <w:rsid w:val="00152878"/>
    <w:rsid w:val="0015369C"/>
    <w:rsid w:val="00153B9A"/>
    <w:rsid w:val="00153BB0"/>
    <w:rsid w:val="001549BB"/>
    <w:rsid w:val="00154CAC"/>
    <w:rsid w:val="00155224"/>
    <w:rsid w:val="00155532"/>
    <w:rsid w:val="001564A1"/>
    <w:rsid w:val="0015653F"/>
    <w:rsid w:val="00156B8B"/>
    <w:rsid w:val="00156E86"/>
    <w:rsid w:val="00156F8F"/>
    <w:rsid w:val="00157130"/>
    <w:rsid w:val="001576B1"/>
    <w:rsid w:val="00157850"/>
    <w:rsid w:val="001578C8"/>
    <w:rsid w:val="00157E2B"/>
    <w:rsid w:val="0016047B"/>
    <w:rsid w:val="00160A4C"/>
    <w:rsid w:val="001611C5"/>
    <w:rsid w:val="00161B51"/>
    <w:rsid w:val="00162913"/>
    <w:rsid w:val="00163C48"/>
    <w:rsid w:val="00163EFF"/>
    <w:rsid w:val="00163F66"/>
    <w:rsid w:val="001653A9"/>
    <w:rsid w:val="001661FB"/>
    <w:rsid w:val="00166589"/>
    <w:rsid w:val="00166C6F"/>
    <w:rsid w:val="001671A0"/>
    <w:rsid w:val="0016767F"/>
    <w:rsid w:val="001679AB"/>
    <w:rsid w:val="00167C26"/>
    <w:rsid w:val="001702BA"/>
    <w:rsid w:val="001704A3"/>
    <w:rsid w:val="00170A44"/>
    <w:rsid w:val="00171018"/>
    <w:rsid w:val="0017175D"/>
    <w:rsid w:val="0017182B"/>
    <w:rsid w:val="00171C23"/>
    <w:rsid w:val="00172ED2"/>
    <w:rsid w:val="00173565"/>
    <w:rsid w:val="00173B07"/>
    <w:rsid w:val="00173DCB"/>
    <w:rsid w:val="00174D55"/>
    <w:rsid w:val="00174DB1"/>
    <w:rsid w:val="001751FA"/>
    <w:rsid w:val="0017594E"/>
    <w:rsid w:val="00176067"/>
    <w:rsid w:val="00181C91"/>
    <w:rsid w:val="00181D9C"/>
    <w:rsid w:val="00182411"/>
    <w:rsid w:val="00182C3B"/>
    <w:rsid w:val="00184096"/>
    <w:rsid w:val="00184B0E"/>
    <w:rsid w:val="001870CF"/>
    <w:rsid w:val="0018752F"/>
    <w:rsid w:val="00190279"/>
    <w:rsid w:val="0019093E"/>
    <w:rsid w:val="001918E5"/>
    <w:rsid w:val="00191AC2"/>
    <w:rsid w:val="00193838"/>
    <w:rsid w:val="00194AD8"/>
    <w:rsid w:val="00195222"/>
    <w:rsid w:val="00195568"/>
    <w:rsid w:val="00195615"/>
    <w:rsid w:val="001975D8"/>
    <w:rsid w:val="00197989"/>
    <w:rsid w:val="001A09EF"/>
    <w:rsid w:val="001A0C95"/>
    <w:rsid w:val="001A178E"/>
    <w:rsid w:val="001A1910"/>
    <w:rsid w:val="001A1A01"/>
    <w:rsid w:val="001A1B0E"/>
    <w:rsid w:val="001A1DD8"/>
    <w:rsid w:val="001A1F84"/>
    <w:rsid w:val="001A43FA"/>
    <w:rsid w:val="001A47C5"/>
    <w:rsid w:val="001A48A7"/>
    <w:rsid w:val="001A48EC"/>
    <w:rsid w:val="001A4D23"/>
    <w:rsid w:val="001A59FB"/>
    <w:rsid w:val="001A5E9E"/>
    <w:rsid w:val="001A6354"/>
    <w:rsid w:val="001A6366"/>
    <w:rsid w:val="001A7146"/>
    <w:rsid w:val="001A7AE8"/>
    <w:rsid w:val="001B0375"/>
    <w:rsid w:val="001B11A3"/>
    <w:rsid w:val="001B204E"/>
    <w:rsid w:val="001B2372"/>
    <w:rsid w:val="001B2786"/>
    <w:rsid w:val="001B3443"/>
    <w:rsid w:val="001B4143"/>
    <w:rsid w:val="001B489D"/>
    <w:rsid w:val="001B4927"/>
    <w:rsid w:val="001B4D20"/>
    <w:rsid w:val="001B583B"/>
    <w:rsid w:val="001B5F38"/>
    <w:rsid w:val="001B675C"/>
    <w:rsid w:val="001B68F0"/>
    <w:rsid w:val="001B6DDD"/>
    <w:rsid w:val="001B7C45"/>
    <w:rsid w:val="001B7F74"/>
    <w:rsid w:val="001C0F8B"/>
    <w:rsid w:val="001C1543"/>
    <w:rsid w:val="001C1813"/>
    <w:rsid w:val="001C2346"/>
    <w:rsid w:val="001C287B"/>
    <w:rsid w:val="001C2A9B"/>
    <w:rsid w:val="001C36CA"/>
    <w:rsid w:val="001C37CF"/>
    <w:rsid w:val="001C40D2"/>
    <w:rsid w:val="001C4299"/>
    <w:rsid w:val="001C4874"/>
    <w:rsid w:val="001C5C93"/>
    <w:rsid w:val="001C5D6B"/>
    <w:rsid w:val="001C5F94"/>
    <w:rsid w:val="001C6B69"/>
    <w:rsid w:val="001C6E66"/>
    <w:rsid w:val="001C7757"/>
    <w:rsid w:val="001D0044"/>
    <w:rsid w:val="001D00E8"/>
    <w:rsid w:val="001D04A7"/>
    <w:rsid w:val="001D078A"/>
    <w:rsid w:val="001D0ABE"/>
    <w:rsid w:val="001D109F"/>
    <w:rsid w:val="001D1100"/>
    <w:rsid w:val="001D1391"/>
    <w:rsid w:val="001D2354"/>
    <w:rsid w:val="001D25D7"/>
    <w:rsid w:val="001D2859"/>
    <w:rsid w:val="001D2BEB"/>
    <w:rsid w:val="001D320F"/>
    <w:rsid w:val="001D34A5"/>
    <w:rsid w:val="001D41E6"/>
    <w:rsid w:val="001D50B2"/>
    <w:rsid w:val="001D5CCA"/>
    <w:rsid w:val="001D5CE4"/>
    <w:rsid w:val="001D6D51"/>
    <w:rsid w:val="001D7645"/>
    <w:rsid w:val="001E0C72"/>
    <w:rsid w:val="001E1441"/>
    <w:rsid w:val="001E1E86"/>
    <w:rsid w:val="001E238E"/>
    <w:rsid w:val="001E2483"/>
    <w:rsid w:val="001E2B1E"/>
    <w:rsid w:val="001E2CFF"/>
    <w:rsid w:val="001E2F24"/>
    <w:rsid w:val="001E30D4"/>
    <w:rsid w:val="001E3133"/>
    <w:rsid w:val="001E34DF"/>
    <w:rsid w:val="001E4A90"/>
    <w:rsid w:val="001E520D"/>
    <w:rsid w:val="001E52EB"/>
    <w:rsid w:val="001E61D2"/>
    <w:rsid w:val="001E718B"/>
    <w:rsid w:val="001E740C"/>
    <w:rsid w:val="001F0D99"/>
    <w:rsid w:val="001F0E8B"/>
    <w:rsid w:val="001F1235"/>
    <w:rsid w:val="001F1CB3"/>
    <w:rsid w:val="001F2767"/>
    <w:rsid w:val="001F370A"/>
    <w:rsid w:val="001F38B5"/>
    <w:rsid w:val="001F4081"/>
    <w:rsid w:val="001F526E"/>
    <w:rsid w:val="001F607D"/>
    <w:rsid w:val="001F6F0E"/>
    <w:rsid w:val="001F7361"/>
    <w:rsid w:val="002009BE"/>
    <w:rsid w:val="00200EF8"/>
    <w:rsid w:val="002011B0"/>
    <w:rsid w:val="00202905"/>
    <w:rsid w:val="00202DB9"/>
    <w:rsid w:val="00203181"/>
    <w:rsid w:val="00203783"/>
    <w:rsid w:val="0020385F"/>
    <w:rsid w:val="00203E64"/>
    <w:rsid w:val="00203FA5"/>
    <w:rsid w:val="00204F87"/>
    <w:rsid w:val="002068A0"/>
    <w:rsid w:val="00206D15"/>
    <w:rsid w:val="00207021"/>
    <w:rsid w:val="00207084"/>
    <w:rsid w:val="00207160"/>
    <w:rsid w:val="0020732F"/>
    <w:rsid w:val="002079E5"/>
    <w:rsid w:val="00207D00"/>
    <w:rsid w:val="002105C1"/>
    <w:rsid w:val="002108A1"/>
    <w:rsid w:val="00211960"/>
    <w:rsid w:val="00211FBB"/>
    <w:rsid w:val="002131F5"/>
    <w:rsid w:val="002135F5"/>
    <w:rsid w:val="00213EF5"/>
    <w:rsid w:val="0021509D"/>
    <w:rsid w:val="0021587F"/>
    <w:rsid w:val="00216909"/>
    <w:rsid w:val="00216BF5"/>
    <w:rsid w:val="00221687"/>
    <w:rsid w:val="00221C68"/>
    <w:rsid w:val="002222C1"/>
    <w:rsid w:val="0022267C"/>
    <w:rsid w:val="00223106"/>
    <w:rsid w:val="0022311F"/>
    <w:rsid w:val="0022391A"/>
    <w:rsid w:val="00223B49"/>
    <w:rsid w:val="00223D5A"/>
    <w:rsid w:val="00224DD4"/>
    <w:rsid w:val="00226307"/>
    <w:rsid w:val="002278A0"/>
    <w:rsid w:val="00227F12"/>
    <w:rsid w:val="002309CC"/>
    <w:rsid w:val="00230A8C"/>
    <w:rsid w:val="00230BE6"/>
    <w:rsid w:val="00230DB1"/>
    <w:rsid w:val="0023122A"/>
    <w:rsid w:val="00231C1E"/>
    <w:rsid w:val="00231C46"/>
    <w:rsid w:val="0023209F"/>
    <w:rsid w:val="002324F7"/>
    <w:rsid w:val="00233C01"/>
    <w:rsid w:val="0023413C"/>
    <w:rsid w:val="002343EE"/>
    <w:rsid w:val="002346F0"/>
    <w:rsid w:val="00234889"/>
    <w:rsid w:val="00234A22"/>
    <w:rsid w:val="00234E08"/>
    <w:rsid w:val="002350F3"/>
    <w:rsid w:val="00235537"/>
    <w:rsid w:val="0023629D"/>
    <w:rsid w:val="0023650C"/>
    <w:rsid w:val="002370F5"/>
    <w:rsid w:val="00237255"/>
    <w:rsid w:val="00241AB7"/>
    <w:rsid w:val="002424AF"/>
    <w:rsid w:val="0024256A"/>
    <w:rsid w:val="00242BA1"/>
    <w:rsid w:val="00243394"/>
    <w:rsid w:val="002439DC"/>
    <w:rsid w:val="002440CC"/>
    <w:rsid w:val="002441D2"/>
    <w:rsid w:val="002444B3"/>
    <w:rsid w:val="00244DC8"/>
    <w:rsid w:val="00244F91"/>
    <w:rsid w:val="00245564"/>
    <w:rsid w:val="002458BA"/>
    <w:rsid w:val="00245CE9"/>
    <w:rsid w:val="0024618A"/>
    <w:rsid w:val="0024636C"/>
    <w:rsid w:val="00246860"/>
    <w:rsid w:val="00246F27"/>
    <w:rsid w:val="00247925"/>
    <w:rsid w:val="00247C7D"/>
    <w:rsid w:val="0025013C"/>
    <w:rsid w:val="00250248"/>
    <w:rsid w:val="00250367"/>
    <w:rsid w:val="00251006"/>
    <w:rsid w:val="002524D5"/>
    <w:rsid w:val="002528F4"/>
    <w:rsid w:val="002536D7"/>
    <w:rsid w:val="00253B1D"/>
    <w:rsid w:val="00254B41"/>
    <w:rsid w:val="00254B6E"/>
    <w:rsid w:val="00254DCF"/>
    <w:rsid w:val="0025534B"/>
    <w:rsid w:val="002558DD"/>
    <w:rsid w:val="00255BB7"/>
    <w:rsid w:val="00256E72"/>
    <w:rsid w:val="00257532"/>
    <w:rsid w:val="00257541"/>
    <w:rsid w:val="00257A39"/>
    <w:rsid w:val="00257AC4"/>
    <w:rsid w:val="00260007"/>
    <w:rsid w:val="002602A4"/>
    <w:rsid w:val="0026114D"/>
    <w:rsid w:val="00261EEF"/>
    <w:rsid w:val="0026207F"/>
    <w:rsid w:val="00262201"/>
    <w:rsid w:val="00262A1A"/>
    <w:rsid w:val="00262A87"/>
    <w:rsid w:val="0026384C"/>
    <w:rsid w:val="0026480D"/>
    <w:rsid w:val="00264D26"/>
    <w:rsid w:val="002650BC"/>
    <w:rsid w:val="002657CC"/>
    <w:rsid w:val="00266D09"/>
    <w:rsid w:val="002670E8"/>
    <w:rsid w:val="00267642"/>
    <w:rsid w:val="00267686"/>
    <w:rsid w:val="002677AF"/>
    <w:rsid w:val="00267AEA"/>
    <w:rsid w:val="002700C3"/>
    <w:rsid w:val="002700E6"/>
    <w:rsid w:val="0027063C"/>
    <w:rsid w:val="0027087B"/>
    <w:rsid w:val="00270D4C"/>
    <w:rsid w:val="002713AD"/>
    <w:rsid w:val="00271EE9"/>
    <w:rsid w:val="00272410"/>
    <w:rsid w:val="00272439"/>
    <w:rsid w:val="002725E6"/>
    <w:rsid w:val="002727A4"/>
    <w:rsid w:val="002727C5"/>
    <w:rsid w:val="0027294B"/>
    <w:rsid w:val="002731FA"/>
    <w:rsid w:val="00273EB4"/>
    <w:rsid w:val="00274571"/>
    <w:rsid w:val="00274682"/>
    <w:rsid w:val="00274CA3"/>
    <w:rsid w:val="002758FB"/>
    <w:rsid w:val="0027599A"/>
    <w:rsid w:val="00275C5A"/>
    <w:rsid w:val="002771E9"/>
    <w:rsid w:val="002772B6"/>
    <w:rsid w:val="00277F9C"/>
    <w:rsid w:val="00281014"/>
    <w:rsid w:val="002816DF"/>
    <w:rsid w:val="00281C24"/>
    <w:rsid w:val="00283494"/>
    <w:rsid w:val="0028365B"/>
    <w:rsid w:val="002846E6"/>
    <w:rsid w:val="00284E20"/>
    <w:rsid w:val="0028575C"/>
    <w:rsid w:val="00285D94"/>
    <w:rsid w:val="0028665D"/>
    <w:rsid w:val="002870A0"/>
    <w:rsid w:val="002870F3"/>
    <w:rsid w:val="002873B3"/>
    <w:rsid w:val="00287732"/>
    <w:rsid w:val="00287B17"/>
    <w:rsid w:val="002915D4"/>
    <w:rsid w:val="00291736"/>
    <w:rsid w:val="00294576"/>
    <w:rsid w:val="00294AF7"/>
    <w:rsid w:val="00296E34"/>
    <w:rsid w:val="002979CE"/>
    <w:rsid w:val="002A14AB"/>
    <w:rsid w:val="002A1552"/>
    <w:rsid w:val="002A169F"/>
    <w:rsid w:val="002A1783"/>
    <w:rsid w:val="002A1983"/>
    <w:rsid w:val="002A2ADE"/>
    <w:rsid w:val="002A2F50"/>
    <w:rsid w:val="002A4446"/>
    <w:rsid w:val="002A44B2"/>
    <w:rsid w:val="002A49D3"/>
    <w:rsid w:val="002A5CE6"/>
    <w:rsid w:val="002A626E"/>
    <w:rsid w:val="002A70BB"/>
    <w:rsid w:val="002A716E"/>
    <w:rsid w:val="002A7BCF"/>
    <w:rsid w:val="002B0050"/>
    <w:rsid w:val="002B05A1"/>
    <w:rsid w:val="002B09A4"/>
    <w:rsid w:val="002B1908"/>
    <w:rsid w:val="002B1C1F"/>
    <w:rsid w:val="002B1D3C"/>
    <w:rsid w:val="002B3484"/>
    <w:rsid w:val="002B3C35"/>
    <w:rsid w:val="002B3E3F"/>
    <w:rsid w:val="002B432F"/>
    <w:rsid w:val="002B44EB"/>
    <w:rsid w:val="002B469B"/>
    <w:rsid w:val="002B4E07"/>
    <w:rsid w:val="002B5078"/>
    <w:rsid w:val="002B62B3"/>
    <w:rsid w:val="002B6754"/>
    <w:rsid w:val="002B6CCE"/>
    <w:rsid w:val="002B7482"/>
    <w:rsid w:val="002C06CB"/>
    <w:rsid w:val="002C1304"/>
    <w:rsid w:val="002C16E2"/>
    <w:rsid w:val="002C2510"/>
    <w:rsid w:val="002C2775"/>
    <w:rsid w:val="002C27C1"/>
    <w:rsid w:val="002C27E4"/>
    <w:rsid w:val="002C2BFF"/>
    <w:rsid w:val="002C502D"/>
    <w:rsid w:val="002C5099"/>
    <w:rsid w:val="002C56DE"/>
    <w:rsid w:val="002C5889"/>
    <w:rsid w:val="002C68CF"/>
    <w:rsid w:val="002C6AC0"/>
    <w:rsid w:val="002C6E37"/>
    <w:rsid w:val="002C71CE"/>
    <w:rsid w:val="002C790A"/>
    <w:rsid w:val="002C7C0F"/>
    <w:rsid w:val="002D08F8"/>
    <w:rsid w:val="002D24AA"/>
    <w:rsid w:val="002D3164"/>
    <w:rsid w:val="002D329B"/>
    <w:rsid w:val="002D339E"/>
    <w:rsid w:val="002D389A"/>
    <w:rsid w:val="002D41B2"/>
    <w:rsid w:val="002D4FE4"/>
    <w:rsid w:val="002D577C"/>
    <w:rsid w:val="002D66A6"/>
    <w:rsid w:val="002D68D6"/>
    <w:rsid w:val="002D77A2"/>
    <w:rsid w:val="002E0ABF"/>
    <w:rsid w:val="002E1071"/>
    <w:rsid w:val="002E11B0"/>
    <w:rsid w:val="002E15B9"/>
    <w:rsid w:val="002E2158"/>
    <w:rsid w:val="002E2DEA"/>
    <w:rsid w:val="002E47B4"/>
    <w:rsid w:val="002E4BA2"/>
    <w:rsid w:val="002E4CC9"/>
    <w:rsid w:val="002E4F02"/>
    <w:rsid w:val="002E531C"/>
    <w:rsid w:val="002E5F07"/>
    <w:rsid w:val="002E67D9"/>
    <w:rsid w:val="002E7722"/>
    <w:rsid w:val="002E7BDC"/>
    <w:rsid w:val="002F07BA"/>
    <w:rsid w:val="002F08A7"/>
    <w:rsid w:val="002F0DA9"/>
    <w:rsid w:val="002F1014"/>
    <w:rsid w:val="002F1456"/>
    <w:rsid w:val="002F21AA"/>
    <w:rsid w:val="002F3249"/>
    <w:rsid w:val="002F3801"/>
    <w:rsid w:val="002F39BA"/>
    <w:rsid w:val="002F49BF"/>
    <w:rsid w:val="002F4EA9"/>
    <w:rsid w:val="002F5196"/>
    <w:rsid w:val="002F5CDD"/>
    <w:rsid w:val="002F643C"/>
    <w:rsid w:val="002F67E5"/>
    <w:rsid w:val="002F714E"/>
    <w:rsid w:val="002F71C0"/>
    <w:rsid w:val="002F74F1"/>
    <w:rsid w:val="002F7A0F"/>
    <w:rsid w:val="003002D2"/>
    <w:rsid w:val="00301017"/>
    <w:rsid w:val="0030155F"/>
    <w:rsid w:val="00301F65"/>
    <w:rsid w:val="003044AE"/>
    <w:rsid w:val="00305525"/>
    <w:rsid w:val="0030587B"/>
    <w:rsid w:val="0030696E"/>
    <w:rsid w:val="00306D98"/>
    <w:rsid w:val="0030719B"/>
    <w:rsid w:val="0030748D"/>
    <w:rsid w:val="0030772F"/>
    <w:rsid w:val="0030786C"/>
    <w:rsid w:val="003078E2"/>
    <w:rsid w:val="00307FE8"/>
    <w:rsid w:val="0031031A"/>
    <w:rsid w:val="00310981"/>
    <w:rsid w:val="003113FE"/>
    <w:rsid w:val="00311F5A"/>
    <w:rsid w:val="00312012"/>
    <w:rsid w:val="003124D5"/>
    <w:rsid w:val="003124D9"/>
    <w:rsid w:val="00312594"/>
    <w:rsid w:val="003138C2"/>
    <w:rsid w:val="00313D68"/>
    <w:rsid w:val="00314242"/>
    <w:rsid w:val="00314A1B"/>
    <w:rsid w:val="00315498"/>
    <w:rsid w:val="00316036"/>
    <w:rsid w:val="00316474"/>
    <w:rsid w:val="00316E3A"/>
    <w:rsid w:val="00317503"/>
    <w:rsid w:val="003179A1"/>
    <w:rsid w:val="00317A29"/>
    <w:rsid w:val="003209BC"/>
    <w:rsid w:val="00320C88"/>
    <w:rsid w:val="00320EEF"/>
    <w:rsid w:val="00322107"/>
    <w:rsid w:val="00322355"/>
    <w:rsid w:val="00322638"/>
    <w:rsid w:val="00322846"/>
    <w:rsid w:val="003229C1"/>
    <w:rsid w:val="00322C1E"/>
    <w:rsid w:val="00323998"/>
    <w:rsid w:val="003239DA"/>
    <w:rsid w:val="00323D38"/>
    <w:rsid w:val="00325C28"/>
    <w:rsid w:val="00325C5B"/>
    <w:rsid w:val="0032619D"/>
    <w:rsid w:val="00326674"/>
    <w:rsid w:val="00326DA7"/>
    <w:rsid w:val="003270E4"/>
    <w:rsid w:val="0032722E"/>
    <w:rsid w:val="0033042A"/>
    <w:rsid w:val="0033064A"/>
    <w:rsid w:val="00330DAA"/>
    <w:rsid w:val="00330F5C"/>
    <w:rsid w:val="00331F1F"/>
    <w:rsid w:val="00332166"/>
    <w:rsid w:val="0033216E"/>
    <w:rsid w:val="00332181"/>
    <w:rsid w:val="003339B6"/>
    <w:rsid w:val="00333AA1"/>
    <w:rsid w:val="00333B51"/>
    <w:rsid w:val="003347ED"/>
    <w:rsid w:val="0033498C"/>
    <w:rsid w:val="00334FC1"/>
    <w:rsid w:val="003366C9"/>
    <w:rsid w:val="00336F7E"/>
    <w:rsid w:val="003371B0"/>
    <w:rsid w:val="003371CE"/>
    <w:rsid w:val="00337E43"/>
    <w:rsid w:val="0034067C"/>
    <w:rsid w:val="00340DF1"/>
    <w:rsid w:val="00341012"/>
    <w:rsid w:val="00341A79"/>
    <w:rsid w:val="00341FF6"/>
    <w:rsid w:val="0034239C"/>
    <w:rsid w:val="00342A22"/>
    <w:rsid w:val="00343F52"/>
    <w:rsid w:val="00345020"/>
    <w:rsid w:val="003450BC"/>
    <w:rsid w:val="00345392"/>
    <w:rsid w:val="0034708D"/>
    <w:rsid w:val="00347E6E"/>
    <w:rsid w:val="00350B39"/>
    <w:rsid w:val="00350D8E"/>
    <w:rsid w:val="00350FF8"/>
    <w:rsid w:val="003517F9"/>
    <w:rsid w:val="00351BA9"/>
    <w:rsid w:val="00353239"/>
    <w:rsid w:val="0035336F"/>
    <w:rsid w:val="00353B10"/>
    <w:rsid w:val="00354212"/>
    <w:rsid w:val="00354A3C"/>
    <w:rsid w:val="00354C25"/>
    <w:rsid w:val="00354C33"/>
    <w:rsid w:val="00354F64"/>
    <w:rsid w:val="0035620E"/>
    <w:rsid w:val="0035662D"/>
    <w:rsid w:val="0035678A"/>
    <w:rsid w:val="003567AD"/>
    <w:rsid w:val="0035699B"/>
    <w:rsid w:val="00357512"/>
    <w:rsid w:val="00357F52"/>
    <w:rsid w:val="00360345"/>
    <w:rsid w:val="00360D5B"/>
    <w:rsid w:val="0036195E"/>
    <w:rsid w:val="00361A05"/>
    <w:rsid w:val="00361E9A"/>
    <w:rsid w:val="003624C4"/>
    <w:rsid w:val="00363B00"/>
    <w:rsid w:val="0036485E"/>
    <w:rsid w:val="003648CB"/>
    <w:rsid w:val="00364FDD"/>
    <w:rsid w:val="003654AC"/>
    <w:rsid w:val="00365B1C"/>
    <w:rsid w:val="00366B1A"/>
    <w:rsid w:val="00366B52"/>
    <w:rsid w:val="00366C9F"/>
    <w:rsid w:val="00367FA9"/>
    <w:rsid w:val="003710CF"/>
    <w:rsid w:val="00371D8A"/>
    <w:rsid w:val="00371FD9"/>
    <w:rsid w:val="0037358A"/>
    <w:rsid w:val="003740A2"/>
    <w:rsid w:val="00374CE2"/>
    <w:rsid w:val="003750F6"/>
    <w:rsid w:val="003760FC"/>
    <w:rsid w:val="0037648F"/>
    <w:rsid w:val="003768C2"/>
    <w:rsid w:val="00376C24"/>
    <w:rsid w:val="00377A5B"/>
    <w:rsid w:val="00377ADF"/>
    <w:rsid w:val="00377AE8"/>
    <w:rsid w:val="00380B48"/>
    <w:rsid w:val="0038129B"/>
    <w:rsid w:val="00381738"/>
    <w:rsid w:val="00381DDE"/>
    <w:rsid w:val="0038365C"/>
    <w:rsid w:val="0038369B"/>
    <w:rsid w:val="00383B78"/>
    <w:rsid w:val="00383D4B"/>
    <w:rsid w:val="00384EE6"/>
    <w:rsid w:val="003851F5"/>
    <w:rsid w:val="00385A9D"/>
    <w:rsid w:val="00385C20"/>
    <w:rsid w:val="00385F9E"/>
    <w:rsid w:val="00386839"/>
    <w:rsid w:val="0038744C"/>
    <w:rsid w:val="00387BF7"/>
    <w:rsid w:val="00387C32"/>
    <w:rsid w:val="00387D13"/>
    <w:rsid w:val="003902B1"/>
    <w:rsid w:val="00390548"/>
    <w:rsid w:val="00391453"/>
    <w:rsid w:val="0039179C"/>
    <w:rsid w:val="0039187E"/>
    <w:rsid w:val="00391A43"/>
    <w:rsid w:val="00392753"/>
    <w:rsid w:val="003934A5"/>
    <w:rsid w:val="003944BA"/>
    <w:rsid w:val="003949BD"/>
    <w:rsid w:val="00394D52"/>
    <w:rsid w:val="00395EF5"/>
    <w:rsid w:val="00396294"/>
    <w:rsid w:val="00396896"/>
    <w:rsid w:val="00396FD0"/>
    <w:rsid w:val="003970A9"/>
    <w:rsid w:val="003974AA"/>
    <w:rsid w:val="003A0C0E"/>
    <w:rsid w:val="003A0C2F"/>
    <w:rsid w:val="003A12D2"/>
    <w:rsid w:val="003A1A7A"/>
    <w:rsid w:val="003A1C65"/>
    <w:rsid w:val="003A1F48"/>
    <w:rsid w:val="003A2392"/>
    <w:rsid w:val="003A2831"/>
    <w:rsid w:val="003A3CB6"/>
    <w:rsid w:val="003A3ED1"/>
    <w:rsid w:val="003A426A"/>
    <w:rsid w:val="003A44DB"/>
    <w:rsid w:val="003A4784"/>
    <w:rsid w:val="003A5228"/>
    <w:rsid w:val="003A6F51"/>
    <w:rsid w:val="003A7DCD"/>
    <w:rsid w:val="003B012A"/>
    <w:rsid w:val="003B08E7"/>
    <w:rsid w:val="003B1D29"/>
    <w:rsid w:val="003B1D7F"/>
    <w:rsid w:val="003B1DAA"/>
    <w:rsid w:val="003B2478"/>
    <w:rsid w:val="003B2E5E"/>
    <w:rsid w:val="003B3971"/>
    <w:rsid w:val="003B50D8"/>
    <w:rsid w:val="003B528F"/>
    <w:rsid w:val="003B55D1"/>
    <w:rsid w:val="003B5B61"/>
    <w:rsid w:val="003B617F"/>
    <w:rsid w:val="003B74C4"/>
    <w:rsid w:val="003B79DC"/>
    <w:rsid w:val="003B79F1"/>
    <w:rsid w:val="003B7DB3"/>
    <w:rsid w:val="003C1654"/>
    <w:rsid w:val="003C1C45"/>
    <w:rsid w:val="003C2F55"/>
    <w:rsid w:val="003C3140"/>
    <w:rsid w:val="003C4159"/>
    <w:rsid w:val="003C4567"/>
    <w:rsid w:val="003C5542"/>
    <w:rsid w:val="003C66B0"/>
    <w:rsid w:val="003C7D19"/>
    <w:rsid w:val="003C7D2F"/>
    <w:rsid w:val="003C7F19"/>
    <w:rsid w:val="003D0655"/>
    <w:rsid w:val="003D0C27"/>
    <w:rsid w:val="003D1828"/>
    <w:rsid w:val="003D1DE4"/>
    <w:rsid w:val="003D1E9A"/>
    <w:rsid w:val="003D2422"/>
    <w:rsid w:val="003D3060"/>
    <w:rsid w:val="003D39A1"/>
    <w:rsid w:val="003D39C8"/>
    <w:rsid w:val="003D3ACD"/>
    <w:rsid w:val="003D3FBF"/>
    <w:rsid w:val="003D4A30"/>
    <w:rsid w:val="003D5B55"/>
    <w:rsid w:val="003D5EEB"/>
    <w:rsid w:val="003D6301"/>
    <w:rsid w:val="003D71C0"/>
    <w:rsid w:val="003D7452"/>
    <w:rsid w:val="003D79BB"/>
    <w:rsid w:val="003D7C0C"/>
    <w:rsid w:val="003D7C98"/>
    <w:rsid w:val="003D7D9D"/>
    <w:rsid w:val="003E0543"/>
    <w:rsid w:val="003E06C8"/>
    <w:rsid w:val="003E10A1"/>
    <w:rsid w:val="003E11C0"/>
    <w:rsid w:val="003E2FBD"/>
    <w:rsid w:val="003E3C70"/>
    <w:rsid w:val="003E4454"/>
    <w:rsid w:val="003E5A0C"/>
    <w:rsid w:val="003E6E0A"/>
    <w:rsid w:val="003E749E"/>
    <w:rsid w:val="003E7558"/>
    <w:rsid w:val="003F0011"/>
    <w:rsid w:val="003F03C4"/>
    <w:rsid w:val="003F0564"/>
    <w:rsid w:val="003F0BB6"/>
    <w:rsid w:val="003F104F"/>
    <w:rsid w:val="003F1297"/>
    <w:rsid w:val="003F1592"/>
    <w:rsid w:val="003F2003"/>
    <w:rsid w:val="003F2929"/>
    <w:rsid w:val="003F3D5B"/>
    <w:rsid w:val="003F4156"/>
    <w:rsid w:val="003F483F"/>
    <w:rsid w:val="003F4FFD"/>
    <w:rsid w:val="003F5ADF"/>
    <w:rsid w:val="003F640B"/>
    <w:rsid w:val="003F6C27"/>
    <w:rsid w:val="004007F6"/>
    <w:rsid w:val="00400A8B"/>
    <w:rsid w:val="00400B29"/>
    <w:rsid w:val="004017F0"/>
    <w:rsid w:val="00402C78"/>
    <w:rsid w:val="00402FD0"/>
    <w:rsid w:val="00404174"/>
    <w:rsid w:val="0040425E"/>
    <w:rsid w:val="00404784"/>
    <w:rsid w:val="0040504B"/>
    <w:rsid w:val="004059F4"/>
    <w:rsid w:val="00405B4E"/>
    <w:rsid w:val="00406441"/>
    <w:rsid w:val="004067C8"/>
    <w:rsid w:val="00406C26"/>
    <w:rsid w:val="00407FE5"/>
    <w:rsid w:val="004101B0"/>
    <w:rsid w:val="00410326"/>
    <w:rsid w:val="00410708"/>
    <w:rsid w:val="00410EC7"/>
    <w:rsid w:val="004116E0"/>
    <w:rsid w:val="00411B39"/>
    <w:rsid w:val="00411BE4"/>
    <w:rsid w:val="00411E9A"/>
    <w:rsid w:val="0041276A"/>
    <w:rsid w:val="004127A7"/>
    <w:rsid w:val="00412B69"/>
    <w:rsid w:val="0041316D"/>
    <w:rsid w:val="004133B8"/>
    <w:rsid w:val="00413A1E"/>
    <w:rsid w:val="00414476"/>
    <w:rsid w:val="00414890"/>
    <w:rsid w:val="00414C2E"/>
    <w:rsid w:val="004151CF"/>
    <w:rsid w:val="004156D2"/>
    <w:rsid w:val="00416364"/>
    <w:rsid w:val="00416E38"/>
    <w:rsid w:val="00417242"/>
    <w:rsid w:val="0042047F"/>
    <w:rsid w:val="0042089A"/>
    <w:rsid w:val="00420AA6"/>
    <w:rsid w:val="00420B9F"/>
    <w:rsid w:val="00421450"/>
    <w:rsid w:val="0042192C"/>
    <w:rsid w:val="00421CC3"/>
    <w:rsid w:val="00422260"/>
    <w:rsid w:val="004231F0"/>
    <w:rsid w:val="004238CE"/>
    <w:rsid w:val="00423C7C"/>
    <w:rsid w:val="0042413F"/>
    <w:rsid w:val="0042430E"/>
    <w:rsid w:val="004263D6"/>
    <w:rsid w:val="00426922"/>
    <w:rsid w:val="00427C6B"/>
    <w:rsid w:val="00427DB3"/>
    <w:rsid w:val="00430606"/>
    <w:rsid w:val="004308F8"/>
    <w:rsid w:val="004317AE"/>
    <w:rsid w:val="004319F8"/>
    <w:rsid w:val="00431E55"/>
    <w:rsid w:val="004321F6"/>
    <w:rsid w:val="00433044"/>
    <w:rsid w:val="00434088"/>
    <w:rsid w:val="00434F7D"/>
    <w:rsid w:val="0043622F"/>
    <w:rsid w:val="004375B9"/>
    <w:rsid w:val="004377D0"/>
    <w:rsid w:val="00440243"/>
    <w:rsid w:val="004402EA"/>
    <w:rsid w:val="004406BB"/>
    <w:rsid w:val="00440B00"/>
    <w:rsid w:val="00440BD6"/>
    <w:rsid w:val="00440E75"/>
    <w:rsid w:val="0044206C"/>
    <w:rsid w:val="004421E5"/>
    <w:rsid w:val="0044283E"/>
    <w:rsid w:val="004428D0"/>
    <w:rsid w:val="004440FD"/>
    <w:rsid w:val="00444185"/>
    <w:rsid w:val="004443A7"/>
    <w:rsid w:val="0044442C"/>
    <w:rsid w:val="004446E1"/>
    <w:rsid w:val="00444BFB"/>
    <w:rsid w:val="00444ED3"/>
    <w:rsid w:val="00445941"/>
    <w:rsid w:val="00445E28"/>
    <w:rsid w:val="004464EB"/>
    <w:rsid w:val="0044711B"/>
    <w:rsid w:val="00447D26"/>
    <w:rsid w:val="00447DFC"/>
    <w:rsid w:val="00450B56"/>
    <w:rsid w:val="00452427"/>
    <w:rsid w:val="004530DF"/>
    <w:rsid w:val="00453B02"/>
    <w:rsid w:val="004544BA"/>
    <w:rsid w:val="00454A3D"/>
    <w:rsid w:val="004550F1"/>
    <w:rsid w:val="004558C8"/>
    <w:rsid w:val="00455D45"/>
    <w:rsid w:val="00456212"/>
    <w:rsid w:val="00457F3B"/>
    <w:rsid w:val="004609A0"/>
    <w:rsid w:val="00462BAC"/>
    <w:rsid w:val="004630FE"/>
    <w:rsid w:val="004640D6"/>
    <w:rsid w:val="00464595"/>
    <w:rsid w:val="004658B5"/>
    <w:rsid w:val="00465AF8"/>
    <w:rsid w:val="00467C28"/>
    <w:rsid w:val="004713AB"/>
    <w:rsid w:val="00471EA5"/>
    <w:rsid w:val="00472A79"/>
    <w:rsid w:val="00473F19"/>
    <w:rsid w:val="00474451"/>
    <w:rsid w:val="0047458A"/>
    <w:rsid w:val="00474E0D"/>
    <w:rsid w:val="00474FA2"/>
    <w:rsid w:val="00475E22"/>
    <w:rsid w:val="00476097"/>
    <w:rsid w:val="004804DB"/>
    <w:rsid w:val="0048088E"/>
    <w:rsid w:val="00480ACA"/>
    <w:rsid w:val="00480F2B"/>
    <w:rsid w:val="00482477"/>
    <w:rsid w:val="00482720"/>
    <w:rsid w:val="0048273B"/>
    <w:rsid w:val="00482C5C"/>
    <w:rsid w:val="0048310B"/>
    <w:rsid w:val="004835E7"/>
    <w:rsid w:val="00483D8E"/>
    <w:rsid w:val="004852DD"/>
    <w:rsid w:val="004853BB"/>
    <w:rsid w:val="0048569F"/>
    <w:rsid w:val="0048662D"/>
    <w:rsid w:val="004867E2"/>
    <w:rsid w:val="0048745C"/>
    <w:rsid w:val="00490B17"/>
    <w:rsid w:val="004913CE"/>
    <w:rsid w:val="00491B3A"/>
    <w:rsid w:val="004924F8"/>
    <w:rsid w:val="00492CFD"/>
    <w:rsid w:val="00492DE2"/>
    <w:rsid w:val="004931D0"/>
    <w:rsid w:val="00493717"/>
    <w:rsid w:val="00494207"/>
    <w:rsid w:val="00494DD5"/>
    <w:rsid w:val="004956A4"/>
    <w:rsid w:val="004962D2"/>
    <w:rsid w:val="00496FEA"/>
    <w:rsid w:val="00497B7A"/>
    <w:rsid w:val="00497D35"/>
    <w:rsid w:val="00497D44"/>
    <w:rsid w:val="00497DC3"/>
    <w:rsid w:val="004A0DA1"/>
    <w:rsid w:val="004A13D6"/>
    <w:rsid w:val="004A35C0"/>
    <w:rsid w:val="004A3E20"/>
    <w:rsid w:val="004A3FF7"/>
    <w:rsid w:val="004A52E9"/>
    <w:rsid w:val="004A57A5"/>
    <w:rsid w:val="004A6039"/>
    <w:rsid w:val="004A6040"/>
    <w:rsid w:val="004A6597"/>
    <w:rsid w:val="004A6CBE"/>
    <w:rsid w:val="004A7848"/>
    <w:rsid w:val="004B1319"/>
    <w:rsid w:val="004B1923"/>
    <w:rsid w:val="004B1CB4"/>
    <w:rsid w:val="004B2377"/>
    <w:rsid w:val="004B2F18"/>
    <w:rsid w:val="004B3835"/>
    <w:rsid w:val="004B3CE3"/>
    <w:rsid w:val="004B3DDB"/>
    <w:rsid w:val="004B44E9"/>
    <w:rsid w:val="004B44FD"/>
    <w:rsid w:val="004B5A19"/>
    <w:rsid w:val="004B5CFC"/>
    <w:rsid w:val="004B6C39"/>
    <w:rsid w:val="004B6F79"/>
    <w:rsid w:val="004B737C"/>
    <w:rsid w:val="004B774D"/>
    <w:rsid w:val="004C0C47"/>
    <w:rsid w:val="004C0D8B"/>
    <w:rsid w:val="004C183D"/>
    <w:rsid w:val="004C1E8C"/>
    <w:rsid w:val="004C310C"/>
    <w:rsid w:val="004C31D1"/>
    <w:rsid w:val="004C3DF1"/>
    <w:rsid w:val="004C4AED"/>
    <w:rsid w:val="004C5669"/>
    <w:rsid w:val="004C6FB6"/>
    <w:rsid w:val="004C7610"/>
    <w:rsid w:val="004D08E5"/>
    <w:rsid w:val="004D203A"/>
    <w:rsid w:val="004D25A3"/>
    <w:rsid w:val="004D28B8"/>
    <w:rsid w:val="004D2C2D"/>
    <w:rsid w:val="004D2E21"/>
    <w:rsid w:val="004D36D9"/>
    <w:rsid w:val="004D38DE"/>
    <w:rsid w:val="004D54A5"/>
    <w:rsid w:val="004D5657"/>
    <w:rsid w:val="004D5E24"/>
    <w:rsid w:val="004D5ED1"/>
    <w:rsid w:val="004D649C"/>
    <w:rsid w:val="004D69B5"/>
    <w:rsid w:val="004D7227"/>
    <w:rsid w:val="004E0E7F"/>
    <w:rsid w:val="004E0EB8"/>
    <w:rsid w:val="004E14B0"/>
    <w:rsid w:val="004E1534"/>
    <w:rsid w:val="004E18E9"/>
    <w:rsid w:val="004E2ADC"/>
    <w:rsid w:val="004E43B2"/>
    <w:rsid w:val="004E43BA"/>
    <w:rsid w:val="004E4480"/>
    <w:rsid w:val="004E4E06"/>
    <w:rsid w:val="004E58D0"/>
    <w:rsid w:val="004E63A4"/>
    <w:rsid w:val="004E71E8"/>
    <w:rsid w:val="004E752D"/>
    <w:rsid w:val="004F1D02"/>
    <w:rsid w:val="004F1E7B"/>
    <w:rsid w:val="004F1FFF"/>
    <w:rsid w:val="004F212B"/>
    <w:rsid w:val="004F2679"/>
    <w:rsid w:val="004F2B61"/>
    <w:rsid w:val="004F2F21"/>
    <w:rsid w:val="004F3DE5"/>
    <w:rsid w:val="004F4587"/>
    <w:rsid w:val="004F533D"/>
    <w:rsid w:val="004F5476"/>
    <w:rsid w:val="004F5DB1"/>
    <w:rsid w:val="004F6210"/>
    <w:rsid w:val="004F63D1"/>
    <w:rsid w:val="004F67CC"/>
    <w:rsid w:val="004F6913"/>
    <w:rsid w:val="004F6DC6"/>
    <w:rsid w:val="004F77FD"/>
    <w:rsid w:val="004F7865"/>
    <w:rsid w:val="0050023B"/>
    <w:rsid w:val="00500EF9"/>
    <w:rsid w:val="0050119E"/>
    <w:rsid w:val="005015FB"/>
    <w:rsid w:val="0050174E"/>
    <w:rsid w:val="00501854"/>
    <w:rsid w:val="00501C4B"/>
    <w:rsid w:val="005020CD"/>
    <w:rsid w:val="0050219B"/>
    <w:rsid w:val="00503F17"/>
    <w:rsid w:val="00504C2D"/>
    <w:rsid w:val="005057EF"/>
    <w:rsid w:val="005059B1"/>
    <w:rsid w:val="00506797"/>
    <w:rsid w:val="00506928"/>
    <w:rsid w:val="005077EF"/>
    <w:rsid w:val="00507F26"/>
    <w:rsid w:val="0051061D"/>
    <w:rsid w:val="0051093F"/>
    <w:rsid w:val="00510CBC"/>
    <w:rsid w:val="00511AD5"/>
    <w:rsid w:val="00511DC7"/>
    <w:rsid w:val="00512508"/>
    <w:rsid w:val="00512724"/>
    <w:rsid w:val="00512C1B"/>
    <w:rsid w:val="00512E8E"/>
    <w:rsid w:val="0051422E"/>
    <w:rsid w:val="005142C5"/>
    <w:rsid w:val="0051501B"/>
    <w:rsid w:val="005152B5"/>
    <w:rsid w:val="0051655B"/>
    <w:rsid w:val="0051691A"/>
    <w:rsid w:val="005171F7"/>
    <w:rsid w:val="00517C05"/>
    <w:rsid w:val="00520123"/>
    <w:rsid w:val="0052012B"/>
    <w:rsid w:val="00520C92"/>
    <w:rsid w:val="00520F19"/>
    <w:rsid w:val="00521082"/>
    <w:rsid w:val="0052123C"/>
    <w:rsid w:val="00521319"/>
    <w:rsid w:val="005227F1"/>
    <w:rsid w:val="00522BC8"/>
    <w:rsid w:val="00522C42"/>
    <w:rsid w:val="00523C28"/>
    <w:rsid w:val="00523EF8"/>
    <w:rsid w:val="005242C5"/>
    <w:rsid w:val="005245CC"/>
    <w:rsid w:val="00524F0D"/>
    <w:rsid w:val="00525A86"/>
    <w:rsid w:val="005263EB"/>
    <w:rsid w:val="005268FB"/>
    <w:rsid w:val="00526C5E"/>
    <w:rsid w:val="00530C49"/>
    <w:rsid w:val="0053176B"/>
    <w:rsid w:val="00531C9D"/>
    <w:rsid w:val="00532225"/>
    <w:rsid w:val="005327E4"/>
    <w:rsid w:val="00532D77"/>
    <w:rsid w:val="00533423"/>
    <w:rsid w:val="005336E4"/>
    <w:rsid w:val="005338F9"/>
    <w:rsid w:val="005339B4"/>
    <w:rsid w:val="00534197"/>
    <w:rsid w:val="00534CD1"/>
    <w:rsid w:val="00534E43"/>
    <w:rsid w:val="0053540D"/>
    <w:rsid w:val="00535668"/>
    <w:rsid w:val="00535DDC"/>
    <w:rsid w:val="0053633B"/>
    <w:rsid w:val="00536F42"/>
    <w:rsid w:val="00537182"/>
    <w:rsid w:val="00537EB4"/>
    <w:rsid w:val="0054032F"/>
    <w:rsid w:val="0054071B"/>
    <w:rsid w:val="00540925"/>
    <w:rsid w:val="00541EDD"/>
    <w:rsid w:val="00541F06"/>
    <w:rsid w:val="00542743"/>
    <w:rsid w:val="00542C2D"/>
    <w:rsid w:val="0054307B"/>
    <w:rsid w:val="0054423B"/>
    <w:rsid w:val="00544A98"/>
    <w:rsid w:val="00545313"/>
    <w:rsid w:val="005454B2"/>
    <w:rsid w:val="005478BD"/>
    <w:rsid w:val="005479E3"/>
    <w:rsid w:val="00547BAF"/>
    <w:rsid w:val="00550FDF"/>
    <w:rsid w:val="00551802"/>
    <w:rsid w:val="00551985"/>
    <w:rsid w:val="00552BD3"/>
    <w:rsid w:val="0055313A"/>
    <w:rsid w:val="005531FB"/>
    <w:rsid w:val="005532A0"/>
    <w:rsid w:val="00553BAC"/>
    <w:rsid w:val="00555109"/>
    <w:rsid w:val="00555467"/>
    <w:rsid w:val="005555DB"/>
    <w:rsid w:val="00556B35"/>
    <w:rsid w:val="0055741A"/>
    <w:rsid w:val="00557620"/>
    <w:rsid w:val="00560832"/>
    <w:rsid w:val="00560E48"/>
    <w:rsid w:val="005611B7"/>
    <w:rsid w:val="00561240"/>
    <w:rsid w:val="00561447"/>
    <w:rsid w:val="005618D4"/>
    <w:rsid w:val="00562840"/>
    <w:rsid w:val="005638FD"/>
    <w:rsid w:val="00563D4F"/>
    <w:rsid w:val="005640AB"/>
    <w:rsid w:val="00565A69"/>
    <w:rsid w:val="00565BC8"/>
    <w:rsid w:val="00565DF0"/>
    <w:rsid w:val="0056696F"/>
    <w:rsid w:val="00566A93"/>
    <w:rsid w:val="00566DAE"/>
    <w:rsid w:val="00567AFD"/>
    <w:rsid w:val="00570253"/>
    <w:rsid w:val="00570C5E"/>
    <w:rsid w:val="00571BB1"/>
    <w:rsid w:val="00571C13"/>
    <w:rsid w:val="00572269"/>
    <w:rsid w:val="005722C1"/>
    <w:rsid w:val="0057244A"/>
    <w:rsid w:val="0057250C"/>
    <w:rsid w:val="00572F26"/>
    <w:rsid w:val="00573212"/>
    <w:rsid w:val="00573BF1"/>
    <w:rsid w:val="00573FE6"/>
    <w:rsid w:val="005747A1"/>
    <w:rsid w:val="005750C5"/>
    <w:rsid w:val="005752DE"/>
    <w:rsid w:val="00575BC8"/>
    <w:rsid w:val="00575D8D"/>
    <w:rsid w:val="00576888"/>
    <w:rsid w:val="00576972"/>
    <w:rsid w:val="00577431"/>
    <w:rsid w:val="00577B53"/>
    <w:rsid w:val="005808AF"/>
    <w:rsid w:val="0058117B"/>
    <w:rsid w:val="005811C3"/>
    <w:rsid w:val="005816E9"/>
    <w:rsid w:val="005818A8"/>
    <w:rsid w:val="00582A40"/>
    <w:rsid w:val="00583699"/>
    <w:rsid w:val="00583765"/>
    <w:rsid w:val="00585BCE"/>
    <w:rsid w:val="00585CDD"/>
    <w:rsid w:val="00585CFF"/>
    <w:rsid w:val="00587058"/>
    <w:rsid w:val="00590054"/>
    <w:rsid w:val="005909A1"/>
    <w:rsid w:val="00590EFD"/>
    <w:rsid w:val="00591957"/>
    <w:rsid w:val="00591D98"/>
    <w:rsid w:val="00592C5A"/>
    <w:rsid w:val="00592DA1"/>
    <w:rsid w:val="0059398C"/>
    <w:rsid w:val="00594840"/>
    <w:rsid w:val="0059575A"/>
    <w:rsid w:val="00596511"/>
    <w:rsid w:val="00597B85"/>
    <w:rsid w:val="00597BF9"/>
    <w:rsid w:val="005A023C"/>
    <w:rsid w:val="005A03C3"/>
    <w:rsid w:val="005A0793"/>
    <w:rsid w:val="005A16E8"/>
    <w:rsid w:val="005A1B33"/>
    <w:rsid w:val="005A309A"/>
    <w:rsid w:val="005A373D"/>
    <w:rsid w:val="005A50F8"/>
    <w:rsid w:val="005A512D"/>
    <w:rsid w:val="005A591B"/>
    <w:rsid w:val="005A65FE"/>
    <w:rsid w:val="005A69AA"/>
    <w:rsid w:val="005A7968"/>
    <w:rsid w:val="005B0945"/>
    <w:rsid w:val="005B0B58"/>
    <w:rsid w:val="005B0DFB"/>
    <w:rsid w:val="005B1290"/>
    <w:rsid w:val="005B1EC5"/>
    <w:rsid w:val="005B3298"/>
    <w:rsid w:val="005B3787"/>
    <w:rsid w:val="005B3FDA"/>
    <w:rsid w:val="005B457B"/>
    <w:rsid w:val="005B4E53"/>
    <w:rsid w:val="005B53DA"/>
    <w:rsid w:val="005B5857"/>
    <w:rsid w:val="005B61AF"/>
    <w:rsid w:val="005B6F53"/>
    <w:rsid w:val="005B7690"/>
    <w:rsid w:val="005B785B"/>
    <w:rsid w:val="005C065F"/>
    <w:rsid w:val="005C107B"/>
    <w:rsid w:val="005C1B83"/>
    <w:rsid w:val="005C1BA7"/>
    <w:rsid w:val="005C25FF"/>
    <w:rsid w:val="005C2D55"/>
    <w:rsid w:val="005C346B"/>
    <w:rsid w:val="005C34AD"/>
    <w:rsid w:val="005C36BA"/>
    <w:rsid w:val="005C3782"/>
    <w:rsid w:val="005C3AE3"/>
    <w:rsid w:val="005C3DB9"/>
    <w:rsid w:val="005C3FA4"/>
    <w:rsid w:val="005C4DB9"/>
    <w:rsid w:val="005C78D5"/>
    <w:rsid w:val="005D044D"/>
    <w:rsid w:val="005D087D"/>
    <w:rsid w:val="005D0ABD"/>
    <w:rsid w:val="005D1425"/>
    <w:rsid w:val="005D18AD"/>
    <w:rsid w:val="005D26B4"/>
    <w:rsid w:val="005D270D"/>
    <w:rsid w:val="005D3288"/>
    <w:rsid w:val="005D3914"/>
    <w:rsid w:val="005D3A93"/>
    <w:rsid w:val="005D41CD"/>
    <w:rsid w:val="005D46AB"/>
    <w:rsid w:val="005D5061"/>
    <w:rsid w:val="005D525A"/>
    <w:rsid w:val="005D555D"/>
    <w:rsid w:val="005D6070"/>
    <w:rsid w:val="005D637F"/>
    <w:rsid w:val="005E1B0D"/>
    <w:rsid w:val="005E26BA"/>
    <w:rsid w:val="005E3B17"/>
    <w:rsid w:val="005E530B"/>
    <w:rsid w:val="005E61B5"/>
    <w:rsid w:val="005E6B35"/>
    <w:rsid w:val="005E6CBC"/>
    <w:rsid w:val="005E71FE"/>
    <w:rsid w:val="005E72FF"/>
    <w:rsid w:val="005E73C0"/>
    <w:rsid w:val="005E7730"/>
    <w:rsid w:val="005E779E"/>
    <w:rsid w:val="005F048E"/>
    <w:rsid w:val="005F0E20"/>
    <w:rsid w:val="005F1DED"/>
    <w:rsid w:val="005F2706"/>
    <w:rsid w:val="005F42D2"/>
    <w:rsid w:val="005F6328"/>
    <w:rsid w:val="005F6A8F"/>
    <w:rsid w:val="005F6BB7"/>
    <w:rsid w:val="005F7109"/>
    <w:rsid w:val="005F7588"/>
    <w:rsid w:val="006014CD"/>
    <w:rsid w:val="00601A7D"/>
    <w:rsid w:val="00601B86"/>
    <w:rsid w:val="006028EC"/>
    <w:rsid w:val="00602A71"/>
    <w:rsid w:val="006031B5"/>
    <w:rsid w:val="00603DB9"/>
    <w:rsid w:val="00604118"/>
    <w:rsid w:val="00604220"/>
    <w:rsid w:val="00605605"/>
    <w:rsid w:val="006057CC"/>
    <w:rsid w:val="006058B6"/>
    <w:rsid w:val="006060ED"/>
    <w:rsid w:val="006064A5"/>
    <w:rsid w:val="0060682A"/>
    <w:rsid w:val="00606B1E"/>
    <w:rsid w:val="00606FBA"/>
    <w:rsid w:val="00607037"/>
    <w:rsid w:val="0060748E"/>
    <w:rsid w:val="00607669"/>
    <w:rsid w:val="006076F4"/>
    <w:rsid w:val="00607AFD"/>
    <w:rsid w:val="00612F97"/>
    <w:rsid w:val="0061345D"/>
    <w:rsid w:val="00613958"/>
    <w:rsid w:val="0061549B"/>
    <w:rsid w:val="006155EE"/>
    <w:rsid w:val="0061607C"/>
    <w:rsid w:val="0061641A"/>
    <w:rsid w:val="00616802"/>
    <w:rsid w:val="00617E12"/>
    <w:rsid w:val="00620379"/>
    <w:rsid w:val="00620C25"/>
    <w:rsid w:val="006210C9"/>
    <w:rsid w:val="00621477"/>
    <w:rsid w:val="00621ADA"/>
    <w:rsid w:val="00622FB6"/>
    <w:rsid w:val="006231EB"/>
    <w:rsid w:val="00623CA3"/>
    <w:rsid w:val="00623F2A"/>
    <w:rsid w:val="00623F7B"/>
    <w:rsid w:val="00624C72"/>
    <w:rsid w:val="006251B4"/>
    <w:rsid w:val="0063158F"/>
    <w:rsid w:val="00631604"/>
    <w:rsid w:val="00631D6B"/>
    <w:rsid w:val="00632183"/>
    <w:rsid w:val="0063239F"/>
    <w:rsid w:val="006330A1"/>
    <w:rsid w:val="006332A3"/>
    <w:rsid w:val="0063365D"/>
    <w:rsid w:val="00633B80"/>
    <w:rsid w:val="00633D4E"/>
    <w:rsid w:val="0063479F"/>
    <w:rsid w:val="00634938"/>
    <w:rsid w:val="00634D7E"/>
    <w:rsid w:val="006353F0"/>
    <w:rsid w:val="006357B5"/>
    <w:rsid w:val="006358BA"/>
    <w:rsid w:val="00635A4F"/>
    <w:rsid w:val="00635EB7"/>
    <w:rsid w:val="0063611B"/>
    <w:rsid w:val="00636419"/>
    <w:rsid w:val="006364A1"/>
    <w:rsid w:val="006365E8"/>
    <w:rsid w:val="0063678E"/>
    <w:rsid w:val="006367B4"/>
    <w:rsid w:val="00636851"/>
    <w:rsid w:val="00636D9D"/>
    <w:rsid w:val="00637BFD"/>
    <w:rsid w:val="00637C0D"/>
    <w:rsid w:val="00640746"/>
    <w:rsid w:val="00641681"/>
    <w:rsid w:val="00641C4E"/>
    <w:rsid w:val="00641EBE"/>
    <w:rsid w:val="00641FB3"/>
    <w:rsid w:val="0064434C"/>
    <w:rsid w:val="0064482F"/>
    <w:rsid w:val="0064483D"/>
    <w:rsid w:val="00644F16"/>
    <w:rsid w:val="0064506A"/>
    <w:rsid w:val="006456B7"/>
    <w:rsid w:val="006457F8"/>
    <w:rsid w:val="006464CA"/>
    <w:rsid w:val="00646FF6"/>
    <w:rsid w:val="006471CC"/>
    <w:rsid w:val="00647A29"/>
    <w:rsid w:val="0065079F"/>
    <w:rsid w:val="00650F79"/>
    <w:rsid w:val="00651C16"/>
    <w:rsid w:val="00652A28"/>
    <w:rsid w:val="0065379F"/>
    <w:rsid w:val="00654942"/>
    <w:rsid w:val="00655324"/>
    <w:rsid w:val="00656188"/>
    <w:rsid w:val="00656839"/>
    <w:rsid w:val="0065715A"/>
    <w:rsid w:val="00657203"/>
    <w:rsid w:val="00657F2B"/>
    <w:rsid w:val="006601AE"/>
    <w:rsid w:val="006605AB"/>
    <w:rsid w:val="006610F1"/>
    <w:rsid w:val="00661A3A"/>
    <w:rsid w:val="00661C6B"/>
    <w:rsid w:val="006650A9"/>
    <w:rsid w:val="006655C0"/>
    <w:rsid w:val="00665D66"/>
    <w:rsid w:val="00665DB7"/>
    <w:rsid w:val="0066664B"/>
    <w:rsid w:val="00667072"/>
    <w:rsid w:val="00671004"/>
    <w:rsid w:val="00672646"/>
    <w:rsid w:val="00673396"/>
    <w:rsid w:val="006742C7"/>
    <w:rsid w:val="00674479"/>
    <w:rsid w:val="00674C36"/>
    <w:rsid w:val="00674E42"/>
    <w:rsid w:val="00675170"/>
    <w:rsid w:val="00675829"/>
    <w:rsid w:val="00675AF7"/>
    <w:rsid w:val="0067629F"/>
    <w:rsid w:val="00677127"/>
    <w:rsid w:val="006771FB"/>
    <w:rsid w:val="006806FF"/>
    <w:rsid w:val="00680E00"/>
    <w:rsid w:val="006813F5"/>
    <w:rsid w:val="006813F8"/>
    <w:rsid w:val="0068151B"/>
    <w:rsid w:val="0068195C"/>
    <w:rsid w:val="00681BEE"/>
    <w:rsid w:val="00682112"/>
    <w:rsid w:val="0068246E"/>
    <w:rsid w:val="00682917"/>
    <w:rsid w:val="00682BA6"/>
    <w:rsid w:val="00683F89"/>
    <w:rsid w:val="006847C4"/>
    <w:rsid w:val="00684ABE"/>
    <w:rsid w:val="0068558C"/>
    <w:rsid w:val="00686377"/>
    <w:rsid w:val="006868DA"/>
    <w:rsid w:val="00686957"/>
    <w:rsid w:val="00686C73"/>
    <w:rsid w:val="006872BA"/>
    <w:rsid w:val="006876FD"/>
    <w:rsid w:val="00690795"/>
    <w:rsid w:val="0069130A"/>
    <w:rsid w:val="00691648"/>
    <w:rsid w:val="006917D7"/>
    <w:rsid w:val="00691D53"/>
    <w:rsid w:val="0069387F"/>
    <w:rsid w:val="0069434C"/>
    <w:rsid w:val="00694AAC"/>
    <w:rsid w:val="00694F44"/>
    <w:rsid w:val="00695226"/>
    <w:rsid w:val="00695298"/>
    <w:rsid w:val="00695E9B"/>
    <w:rsid w:val="00696F51"/>
    <w:rsid w:val="0069703A"/>
    <w:rsid w:val="006979A5"/>
    <w:rsid w:val="00697BA0"/>
    <w:rsid w:val="006A089A"/>
    <w:rsid w:val="006A0FC8"/>
    <w:rsid w:val="006A3316"/>
    <w:rsid w:val="006A3AD4"/>
    <w:rsid w:val="006A5151"/>
    <w:rsid w:val="006A523B"/>
    <w:rsid w:val="006A6B99"/>
    <w:rsid w:val="006A6D00"/>
    <w:rsid w:val="006A6E74"/>
    <w:rsid w:val="006A7005"/>
    <w:rsid w:val="006A7E5F"/>
    <w:rsid w:val="006A7F3E"/>
    <w:rsid w:val="006B00B1"/>
    <w:rsid w:val="006B069A"/>
    <w:rsid w:val="006B0F2D"/>
    <w:rsid w:val="006B18B6"/>
    <w:rsid w:val="006B23DA"/>
    <w:rsid w:val="006B261B"/>
    <w:rsid w:val="006B2993"/>
    <w:rsid w:val="006B2C90"/>
    <w:rsid w:val="006B35E6"/>
    <w:rsid w:val="006B420B"/>
    <w:rsid w:val="006B44C7"/>
    <w:rsid w:val="006B465A"/>
    <w:rsid w:val="006B4F29"/>
    <w:rsid w:val="006B620F"/>
    <w:rsid w:val="006B6DD0"/>
    <w:rsid w:val="006C0399"/>
    <w:rsid w:val="006C19BA"/>
    <w:rsid w:val="006C1BEE"/>
    <w:rsid w:val="006C20B7"/>
    <w:rsid w:val="006C28D8"/>
    <w:rsid w:val="006C2A8E"/>
    <w:rsid w:val="006C2E8E"/>
    <w:rsid w:val="006C3255"/>
    <w:rsid w:val="006C3839"/>
    <w:rsid w:val="006C3F26"/>
    <w:rsid w:val="006C400F"/>
    <w:rsid w:val="006C413A"/>
    <w:rsid w:val="006C57CE"/>
    <w:rsid w:val="006C71D1"/>
    <w:rsid w:val="006C7640"/>
    <w:rsid w:val="006C77D8"/>
    <w:rsid w:val="006C7BE6"/>
    <w:rsid w:val="006D09C2"/>
    <w:rsid w:val="006D0D17"/>
    <w:rsid w:val="006D2257"/>
    <w:rsid w:val="006D3C7D"/>
    <w:rsid w:val="006D3E1D"/>
    <w:rsid w:val="006D4659"/>
    <w:rsid w:val="006D58C5"/>
    <w:rsid w:val="006D5D5F"/>
    <w:rsid w:val="006D68FB"/>
    <w:rsid w:val="006D7C35"/>
    <w:rsid w:val="006D7E18"/>
    <w:rsid w:val="006E0BC3"/>
    <w:rsid w:val="006E2868"/>
    <w:rsid w:val="006E3196"/>
    <w:rsid w:val="006E339D"/>
    <w:rsid w:val="006E4572"/>
    <w:rsid w:val="006E4B9C"/>
    <w:rsid w:val="006E5E8A"/>
    <w:rsid w:val="006E6240"/>
    <w:rsid w:val="006E645E"/>
    <w:rsid w:val="006E7BA3"/>
    <w:rsid w:val="006E7F63"/>
    <w:rsid w:val="006F05C9"/>
    <w:rsid w:val="006F1682"/>
    <w:rsid w:val="006F2320"/>
    <w:rsid w:val="006F28DD"/>
    <w:rsid w:val="006F306C"/>
    <w:rsid w:val="006F311B"/>
    <w:rsid w:val="006F33E1"/>
    <w:rsid w:val="006F4EB2"/>
    <w:rsid w:val="006F63A5"/>
    <w:rsid w:val="006F659C"/>
    <w:rsid w:val="006F6C81"/>
    <w:rsid w:val="006F717D"/>
    <w:rsid w:val="006F79B5"/>
    <w:rsid w:val="006F7C16"/>
    <w:rsid w:val="00700E7A"/>
    <w:rsid w:val="0070142B"/>
    <w:rsid w:val="0070276E"/>
    <w:rsid w:val="00702F8F"/>
    <w:rsid w:val="007032B3"/>
    <w:rsid w:val="00703782"/>
    <w:rsid w:val="007043D9"/>
    <w:rsid w:val="00704579"/>
    <w:rsid w:val="0070490F"/>
    <w:rsid w:val="007057C3"/>
    <w:rsid w:val="00705991"/>
    <w:rsid w:val="00705B9F"/>
    <w:rsid w:val="00705CBD"/>
    <w:rsid w:val="00705F34"/>
    <w:rsid w:val="00706003"/>
    <w:rsid w:val="00707058"/>
    <w:rsid w:val="007079FC"/>
    <w:rsid w:val="00711A36"/>
    <w:rsid w:val="00711CAE"/>
    <w:rsid w:val="00712153"/>
    <w:rsid w:val="007129EF"/>
    <w:rsid w:val="00712C34"/>
    <w:rsid w:val="007130CB"/>
    <w:rsid w:val="007133B1"/>
    <w:rsid w:val="007146B6"/>
    <w:rsid w:val="00714C26"/>
    <w:rsid w:val="00714FD7"/>
    <w:rsid w:val="0071529C"/>
    <w:rsid w:val="00715882"/>
    <w:rsid w:val="00716475"/>
    <w:rsid w:val="00716867"/>
    <w:rsid w:val="00716FA1"/>
    <w:rsid w:val="007170DA"/>
    <w:rsid w:val="007172AD"/>
    <w:rsid w:val="00717D32"/>
    <w:rsid w:val="007203A0"/>
    <w:rsid w:val="0072043F"/>
    <w:rsid w:val="00720801"/>
    <w:rsid w:val="00722B1B"/>
    <w:rsid w:val="00723C84"/>
    <w:rsid w:val="0072416F"/>
    <w:rsid w:val="00724F01"/>
    <w:rsid w:val="00725B5D"/>
    <w:rsid w:val="00725ECF"/>
    <w:rsid w:val="00727129"/>
    <w:rsid w:val="00727C94"/>
    <w:rsid w:val="00727EBE"/>
    <w:rsid w:val="007305B5"/>
    <w:rsid w:val="00731638"/>
    <w:rsid w:val="007316A7"/>
    <w:rsid w:val="00731B0A"/>
    <w:rsid w:val="00731EAE"/>
    <w:rsid w:val="00732050"/>
    <w:rsid w:val="0073285E"/>
    <w:rsid w:val="00732894"/>
    <w:rsid w:val="00733073"/>
    <w:rsid w:val="00735033"/>
    <w:rsid w:val="00735328"/>
    <w:rsid w:val="007355BA"/>
    <w:rsid w:val="00736173"/>
    <w:rsid w:val="007362E3"/>
    <w:rsid w:val="0073685B"/>
    <w:rsid w:val="00736F63"/>
    <w:rsid w:val="00737705"/>
    <w:rsid w:val="007378C7"/>
    <w:rsid w:val="00737BED"/>
    <w:rsid w:val="0074032F"/>
    <w:rsid w:val="00740F19"/>
    <w:rsid w:val="007422B1"/>
    <w:rsid w:val="0074444D"/>
    <w:rsid w:val="00744798"/>
    <w:rsid w:val="007449BF"/>
    <w:rsid w:val="00744CDA"/>
    <w:rsid w:val="0074639D"/>
    <w:rsid w:val="007464A1"/>
    <w:rsid w:val="0074678F"/>
    <w:rsid w:val="00746BC0"/>
    <w:rsid w:val="0075061A"/>
    <w:rsid w:val="007510B4"/>
    <w:rsid w:val="007518C9"/>
    <w:rsid w:val="00751964"/>
    <w:rsid w:val="00752142"/>
    <w:rsid w:val="007523F9"/>
    <w:rsid w:val="0075357E"/>
    <w:rsid w:val="00753F02"/>
    <w:rsid w:val="00754059"/>
    <w:rsid w:val="007544EB"/>
    <w:rsid w:val="00754B6F"/>
    <w:rsid w:val="00754E06"/>
    <w:rsid w:val="00755078"/>
    <w:rsid w:val="007560C1"/>
    <w:rsid w:val="00756B76"/>
    <w:rsid w:val="007573E8"/>
    <w:rsid w:val="00760C4E"/>
    <w:rsid w:val="00760F9E"/>
    <w:rsid w:val="00761809"/>
    <w:rsid w:val="007627BE"/>
    <w:rsid w:val="00762BAD"/>
    <w:rsid w:val="00763A5A"/>
    <w:rsid w:val="00763A74"/>
    <w:rsid w:val="00764128"/>
    <w:rsid w:val="007644AE"/>
    <w:rsid w:val="00764F03"/>
    <w:rsid w:val="007654B4"/>
    <w:rsid w:val="00765B1A"/>
    <w:rsid w:val="00765B84"/>
    <w:rsid w:val="007672C5"/>
    <w:rsid w:val="0077014C"/>
    <w:rsid w:val="00770AE3"/>
    <w:rsid w:val="00770BE4"/>
    <w:rsid w:val="00771588"/>
    <w:rsid w:val="00771BD1"/>
    <w:rsid w:val="00772DC2"/>
    <w:rsid w:val="00773CA4"/>
    <w:rsid w:val="00773F69"/>
    <w:rsid w:val="00774C90"/>
    <w:rsid w:val="007757E7"/>
    <w:rsid w:val="0077620D"/>
    <w:rsid w:val="00777335"/>
    <w:rsid w:val="00780922"/>
    <w:rsid w:val="00780C0E"/>
    <w:rsid w:val="00780E27"/>
    <w:rsid w:val="007821DA"/>
    <w:rsid w:val="0078243A"/>
    <w:rsid w:val="007843F2"/>
    <w:rsid w:val="0078466B"/>
    <w:rsid w:val="007855FE"/>
    <w:rsid w:val="007859DF"/>
    <w:rsid w:val="00785A9F"/>
    <w:rsid w:val="007925DF"/>
    <w:rsid w:val="00793177"/>
    <w:rsid w:val="0079581E"/>
    <w:rsid w:val="00795F4B"/>
    <w:rsid w:val="0079646A"/>
    <w:rsid w:val="00796A72"/>
    <w:rsid w:val="007979E5"/>
    <w:rsid w:val="007A009F"/>
    <w:rsid w:val="007A08AA"/>
    <w:rsid w:val="007A0A12"/>
    <w:rsid w:val="007A114C"/>
    <w:rsid w:val="007A132D"/>
    <w:rsid w:val="007A1345"/>
    <w:rsid w:val="007A17A8"/>
    <w:rsid w:val="007A25F1"/>
    <w:rsid w:val="007A2DDB"/>
    <w:rsid w:val="007A39BB"/>
    <w:rsid w:val="007A3C9A"/>
    <w:rsid w:val="007A4239"/>
    <w:rsid w:val="007A52F1"/>
    <w:rsid w:val="007A5484"/>
    <w:rsid w:val="007A6825"/>
    <w:rsid w:val="007A70BA"/>
    <w:rsid w:val="007A75F1"/>
    <w:rsid w:val="007B06FA"/>
    <w:rsid w:val="007B0BEC"/>
    <w:rsid w:val="007B0D68"/>
    <w:rsid w:val="007B1684"/>
    <w:rsid w:val="007B192F"/>
    <w:rsid w:val="007B251D"/>
    <w:rsid w:val="007B2766"/>
    <w:rsid w:val="007B2F07"/>
    <w:rsid w:val="007B36C1"/>
    <w:rsid w:val="007B3966"/>
    <w:rsid w:val="007B3992"/>
    <w:rsid w:val="007B3BA0"/>
    <w:rsid w:val="007B4F58"/>
    <w:rsid w:val="007B528D"/>
    <w:rsid w:val="007B63CA"/>
    <w:rsid w:val="007B77D1"/>
    <w:rsid w:val="007C018D"/>
    <w:rsid w:val="007C07C7"/>
    <w:rsid w:val="007C1CD9"/>
    <w:rsid w:val="007C1DD6"/>
    <w:rsid w:val="007C235D"/>
    <w:rsid w:val="007C2792"/>
    <w:rsid w:val="007C32EF"/>
    <w:rsid w:val="007C33F4"/>
    <w:rsid w:val="007C361D"/>
    <w:rsid w:val="007C3D14"/>
    <w:rsid w:val="007C41B8"/>
    <w:rsid w:val="007C4818"/>
    <w:rsid w:val="007C4B84"/>
    <w:rsid w:val="007C4E2E"/>
    <w:rsid w:val="007C51B7"/>
    <w:rsid w:val="007C5F75"/>
    <w:rsid w:val="007C64A5"/>
    <w:rsid w:val="007C64ED"/>
    <w:rsid w:val="007C6B27"/>
    <w:rsid w:val="007C70FF"/>
    <w:rsid w:val="007C774E"/>
    <w:rsid w:val="007C7C25"/>
    <w:rsid w:val="007D004F"/>
    <w:rsid w:val="007D0AAD"/>
    <w:rsid w:val="007D0B38"/>
    <w:rsid w:val="007D0E45"/>
    <w:rsid w:val="007D1E04"/>
    <w:rsid w:val="007D2929"/>
    <w:rsid w:val="007D2D4F"/>
    <w:rsid w:val="007D364B"/>
    <w:rsid w:val="007D382A"/>
    <w:rsid w:val="007D3AC6"/>
    <w:rsid w:val="007D41CE"/>
    <w:rsid w:val="007D5440"/>
    <w:rsid w:val="007D69EB"/>
    <w:rsid w:val="007D6E70"/>
    <w:rsid w:val="007E059D"/>
    <w:rsid w:val="007E0ED7"/>
    <w:rsid w:val="007E10B7"/>
    <w:rsid w:val="007E128F"/>
    <w:rsid w:val="007E20D6"/>
    <w:rsid w:val="007E2CBA"/>
    <w:rsid w:val="007E2D95"/>
    <w:rsid w:val="007E3820"/>
    <w:rsid w:val="007E4766"/>
    <w:rsid w:val="007E50C6"/>
    <w:rsid w:val="007E69E0"/>
    <w:rsid w:val="007E6A4F"/>
    <w:rsid w:val="007E7CB0"/>
    <w:rsid w:val="007F1017"/>
    <w:rsid w:val="007F1244"/>
    <w:rsid w:val="007F1608"/>
    <w:rsid w:val="007F40A0"/>
    <w:rsid w:val="007F4A3F"/>
    <w:rsid w:val="007F4A61"/>
    <w:rsid w:val="007F5255"/>
    <w:rsid w:val="007F56CC"/>
    <w:rsid w:val="007F5722"/>
    <w:rsid w:val="007F61C2"/>
    <w:rsid w:val="007F67EF"/>
    <w:rsid w:val="007F6B67"/>
    <w:rsid w:val="00800140"/>
    <w:rsid w:val="00800777"/>
    <w:rsid w:val="00800BFA"/>
    <w:rsid w:val="00801090"/>
    <w:rsid w:val="0080148B"/>
    <w:rsid w:val="008016BA"/>
    <w:rsid w:val="00802E8D"/>
    <w:rsid w:val="008038ED"/>
    <w:rsid w:val="00805142"/>
    <w:rsid w:val="008055D5"/>
    <w:rsid w:val="008059D2"/>
    <w:rsid w:val="00805CA7"/>
    <w:rsid w:val="00805FCE"/>
    <w:rsid w:val="008064DB"/>
    <w:rsid w:val="00806B02"/>
    <w:rsid w:val="00806BB3"/>
    <w:rsid w:val="0080717B"/>
    <w:rsid w:val="0080771F"/>
    <w:rsid w:val="00807A8B"/>
    <w:rsid w:val="00807F9D"/>
    <w:rsid w:val="00810481"/>
    <w:rsid w:val="0081118C"/>
    <w:rsid w:val="00811383"/>
    <w:rsid w:val="00811A0B"/>
    <w:rsid w:val="00812149"/>
    <w:rsid w:val="00812BBE"/>
    <w:rsid w:val="00812CAC"/>
    <w:rsid w:val="00813D24"/>
    <w:rsid w:val="00814411"/>
    <w:rsid w:val="00815380"/>
    <w:rsid w:val="00815803"/>
    <w:rsid w:val="00816361"/>
    <w:rsid w:val="008166EF"/>
    <w:rsid w:val="00816FEF"/>
    <w:rsid w:val="00817463"/>
    <w:rsid w:val="008178FE"/>
    <w:rsid w:val="00820A8C"/>
    <w:rsid w:val="00821142"/>
    <w:rsid w:val="008211DF"/>
    <w:rsid w:val="008215FB"/>
    <w:rsid w:val="00822DDD"/>
    <w:rsid w:val="00823081"/>
    <w:rsid w:val="00823174"/>
    <w:rsid w:val="00824664"/>
    <w:rsid w:val="00824E09"/>
    <w:rsid w:val="00824FCD"/>
    <w:rsid w:val="00825751"/>
    <w:rsid w:val="008264EB"/>
    <w:rsid w:val="00826DB1"/>
    <w:rsid w:val="00831285"/>
    <w:rsid w:val="00831648"/>
    <w:rsid w:val="00832C71"/>
    <w:rsid w:val="008338CC"/>
    <w:rsid w:val="00833B05"/>
    <w:rsid w:val="00835564"/>
    <w:rsid w:val="00835570"/>
    <w:rsid w:val="008362B4"/>
    <w:rsid w:val="0083706B"/>
    <w:rsid w:val="0084044E"/>
    <w:rsid w:val="00840A01"/>
    <w:rsid w:val="00840CA2"/>
    <w:rsid w:val="00841477"/>
    <w:rsid w:val="008420CC"/>
    <w:rsid w:val="00842D39"/>
    <w:rsid w:val="00843287"/>
    <w:rsid w:val="0084351A"/>
    <w:rsid w:val="0084374F"/>
    <w:rsid w:val="00843F17"/>
    <w:rsid w:val="00844087"/>
    <w:rsid w:val="0084463F"/>
    <w:rsid w:val="00844A22"/>
    <w:rsid w:val="0084637E"/>
    <w:rsid w:val="00847703"/>
    <w:rsid w:val="00847DF5"/>
    <w:rsid w:val="00850343"/>
    <w:rsid w:val="0085065E"/>
    <w:rsid w:val="00850686"/>
    <w:rsid w:val="0085152B"/>
    <w:rsid w:val="0085309D"/>
    <w:rsid w:val="0085398E"/>
    <w:rsid w:val="00854538"/>
    <w:rsid w:val="00855C10"/>
    <w:rsid w:val="00856427"/>
    <w:rsid w:val="00856554"/>
    <w:rsid w:val="00856897"/>
    <w:rsid w:val="00856E9A"/>
    <w:rsid w:val="00857BBF"/>
    <w:rsid w:val="0086075D"/>
    <w:rsid w:val="00860CDB"/>
    <w:rsid w:val="008615D8"/>
    <w:rsid w:val="0086180B"/>
    <w:rsid w:val="00861E5D"/>
    <w:rsid w:val="00861F05"/>
    <w:rsid w:val="008621F4"/>
    <w:rsid w:val="00862502"/>
    <w:rsid w:val="00862B80"/>
    <w:rsid w:val="00862CC1"/>
    <w:rsid w:val="008631BD"/>
    <w:rsid w:val="00863E1A"/>
    <w:rsid w:val="00863E59"/>
    <w:rsid w:val="00866005"/>
    <w:rsid w:val="008660D4"/>
    <w:rsid w:val="0086780D"/>
    <w:rsid w:val="00867DEE"/>
    <w:rsid w:val="00871454"/>
    <w:rsid w:val="00871FA9"/>
    <w:rsid w:val="00872617"/>
    <w:rsid w:val="008728E9"/>
    <w:rsid w:val="00873C1F"/>
    <w:rsid w:val="00875674"/>
    <w:rsid w:val="008769BF"/>
    <w:rsid w:val="00880B96"/>
    <w:rsid w:val="00881AED"/>
    <w:rsid w:val="008824CA"/>
    <w:rsid w:val="00882874"/>
    <w:rsid w:val="00882E3C"/>
    <w:rsid w:val="0088315F"/>
    <w:rsid w:val="00883787"/>
    <w:rsid w:val="00884718"/>
    <w:rsid w:val="00884C49"/>
    <w:rsid w:val="008855E4"/>
    <w:rsid w:val="00886317"/>
    <w:rsid w:val="0088640B"/>
    <w:rsid w:val="00886CD2"/>
    <w:rsid w:val="00887457"/>
    <w:rsid w:val="0089079F"/>
    <w:rsid w:val="0089086F"/>
    <w:rsid w:val="00890D29"/>
    <w:rsid w:val="0089122C"/>
    <w:rsid w:val="008915EB"/>
    <w:rsid w:val="00891C44"/>
    <w:rsid w:val="00891E6F"/>
    <w:rsid w:val="00892310"/>
    <w:rsid w:val="0089275D"/>
    <w:rsid w:val="00892A36"/>
    <w:rsid w:val="008931A0"/>
    <w:rsid w:val="00893239"/>
    <w:rsid w:val="008938BB"/>
    <w:rsid w:val="008938EE"/>
    <w:rsid w:val="00894489"/>
    <w:rsid w:val="0089479D"/>
    <w:rsid w:val="00894942"/>
    <w:rsid w:val="008949DC"/>
    <w:rsid w:val="00894A09"/>
    <w:rsid w:val="00894A88"/>
    <w:rsid w:val="008963A5"/>
    <w:rsid w:val="00896D3A"/>
    <w:rsid w:val="00896D5D"/>
    <w:rsid w:val="008974F8"/>
    <w:rsid w:val="00897FAA"/>
    <w:rsid w:val="008A0A8A"/>
    <w:rsid w:val="008A0CBE"/>
    <w:rsid w:val="008A0FEE"/>
    <w:rsid w:val="008A1925"/>
    <w:rsid w:val="008A32BA"/>
    <w:rsid w:val="008A32D7"/>
    <w:rsid w:val="008A3363"/>
    <w:rsid w:val="008A3371"/>
    <w:rsid w:val="008A3C3E"/>
    <w:rsid w:val="008A3FA9"/>
    <w:rsid w:val="008A48A1"/>
    <w:rsid w:val="008A6137"/>
    <w:rsid w:val="008A6A78"/>
    <w:rsid w:val="008A79D6"/>
    <w:rsid w:val="008A79DE"/>
    <w:rsid w:val="008B0DFF"/>
    <w:rsid w:val="008B1306"/>
    <w:rsid w:val="008B1720"/>
    <w:rsid w:val="008B1757"/>
    <w:rsid w:val="008B27C4"/>
    <w:rsid w:val="008B29D4"/>
    <w:rsid w:val="008B2EB2"/>
    <w:rsid w:val="008B6808"/>
    <w:rsid w:val="008B7086"/>
    <w:rsid w:val="008B7992"/>
    <w:rsid w:val="008B7D51"/>
    <w:rsid w:val="008B7D7E"/>
    <w:rsid w:val="008C06EE"/>
    <w:rsid w:val="008C1BE6"/>
    <w:rsid w:val="008C1C94"/>
    <w:rsid w:val="008C1FDE"/>
    <w:rsid w:val="008C258C"/>
    <w:rsid w:val="008C2662"/>
    <w:rsid w:val="008C2D5A"/>
    <w:rsid w:val="008C3314"/>
    <w:rsid w:val="008C3B9D"/>
    <w:rsid w:val="008C3DAA"/>
    <w:rsid w:val="008C5610"/>
    <w:rsid w:val="008C5634"/>
    <w:rsid w:val="008C5739"/>
    <w:rsid w:val="008C5D76"/>
    <w:rsid w:val="008C6938"/>
    <w:rsid w:val="008C6B24"/>
    <w:rsid w:val="008C77C4"/>
    <w:rsid w:val="008C7BFB"/>
    <w:rsid w:val="008C7ECB"/>
    <w:rsid w:val="008D0223"/>
    <w:rsid w:val="008D05D0"/>
    <w:rsid w:val="008D0A5E"/>
    <w:rsid w:val="008D0EB2"/>
    <w:rsid w:val="008D119A"/>
    <w:rsid w:val="008D1212"/>
    <w:rsid w:val="008D1423"/>
    <w:rsid w:val="008D2C83"/>
    <w:rsid w:val="008D3806"/>
    <w:rsid w:val="008D3B86"/>
    <w:rsid w:val="008D447A"/>
    <w:rsid w:val="008D4687"/>
    <w:rsid w:val="008D4755"/>
    <w:rsid w:val="008D4C3D"/>
    <w:rsid w:val="008D5527"/>
    <w:rsid w:val="008D58FE"/>
    <w:rsid w:val="008D743C"/>
    <w:rsid w:val="008D7569"/>
    <w:rsid w:val="008D7654"/>
    <w:rsid w:val="008D7A32"/>
    <w:rsid w:val="008E0D3C"/>
    <w:rsid w:val="008E1B9E"/>
    <w:rsid w:val="008E2EC6"/>
    <w:rsid w:val="008E2EEC"/>
    <w:rsid w:val="008E4B3A"/>
    <w:rsid w:val="008E5565"/>
    <w:rsid w:val="008E55AB"/>
    <w:rsid w:val="008E69A6"/>
    <w:rsid w:val="008E796B"/>
    <w:rsid w:val="008F08AA"/>
    <w:rsid w:val="008F120A"/>
    <w:rsid w:val="008F201D"/>
    <w:rsid w:val="008F27E0"/>
    <w:rsid w:val="008F2D00"/>
    <w:rsid w:val="008F30B2"/>
    <w:rsid w:val="008F3362"/>
    <w:rsid w:val="008F3678"/>
    <w:rsid w:val="008F3B3A"/>
    <w:rsid w:val="008F42B7"/>
    <w:rsid w:val="008F44C6"/>
    <w:rsid w:val="008F450A"/>
    <w:rsid w:val="008F48EB"/>
    <w:rsid w:val="008F4AC4"/>
    <w:rsid w:val="008F4F0B"/>
    <w:rsid w:val="008F5006"/>
    <w:rsid w:val="008F5138"/>
    <w:rsid w:val="008F5E9B"/>
    <w:rsid w:val="008F67B2"/>
    <w:rsid w:val="008F7E95"/>
    <w:rsid w:val="008F7F53"/>
    <w:rsid w:val="00900A46"/>
    <w:rsid w:val="00900EC5"/>
    <w:rsid w:val="00902BCA"/>
    <w:rsid w:val="009030A4"/>
    <w:rsid w:val="00903398"/>
    <w:rsid w:val="009046C4"/>
    <w:rsid w:val="009051AB"/>
    <w:rsid w:val="009062A5"/>
    <w:rsid w:val="009063D1"/>
    <w:rsid w:val="00907356"/>
    <w:rsid w:val="009077C4"/>
    <w:rsid w:val="009100E5"/>
    <w:rsid w:val="00910FA7"/>
    <w:rsid w:val="00911272"/>
    <w:rsid w:val="00911B07"/>
    <w:rsid w:val="00911F7D"/>
    <w:rsid w:val="009122F6"/>
    <w:rsid w:val="00912C6B"/>
    <w:rsid w:val="009135D6"/>
    <w:rsid w:val="00913CC5"/>
    <w:rsid w:val="0091454E"/>
    <w:rsid w:val="00914C77"/>
    <w:rsid w:val="00915224"/>
    <w:rsid w:val="0091620D"/>
    <w:rsid w:val="00916BD7"/>
    <w:rsid w:val="00917D2F"/>
    <w:rsid w:val="00921076"/>
    <w:rsid w:val="00921495"/>
    <w:rsid w:val="0092155A"/>
    <w:rsid w:val="00921ACB"/>
    <w:rsid w:val="00921CAB"/>
    <w:rsid w:val="00921FB8"/>
    <w:rsid w:val="00922255"/>
    <w:rsid w:val="00922778"/>
    <w:rsid w:val="009227EF"/>
    <w:rsid w:val="0092369B"/>
    <w:rsid w:val="00924370"/>
    <w:rsid w:val="009244DA"/>
    <w:rsid w:val="00925DDA"/>
    <w:rsid w:val="009263E6"/>
    <w:rsid w:val="00926AF9"/>
    <w:rsid w:val="009277C1"/>
    <w:rsid w:val="009278AD"/>
    <w:rsid w:val="00930631"/>
    <w:rsid w:val="009309C9"/>
    <w:rsid w:val="00930C7C"/>
    <w:rsid w:val="009325E0"/>
    <w:rsid w:val="00934682"/>
    <w:rsid w:val="00934988"/>
    <w:rsid w:val="00935A29"/>
    <w:rsid w:val="00935C27"/>
    <w:rsid w:val="00936427"/>
    <w:rsid w:val="00936D1B"/>
    <w:rsid w:val="00937089"/>
    <w:rsid w:val="00937545"/>
    <w:rsid w:val="009405D6"/>
    <w:rsid w:val="00940668"/>
    <w:rsid w:val="0094169C"/>
    <w:rsid w:val="00941B38"/>
    <w:rsid w:val="009424B1"/>
    <w:rsid w:val="00942847"/>
    <w:rsid w:val="009429EF"/>
    <w:rsid w:val="00942C0F"/>
    <w:rsid w:val="0094314E"/>
    <w:rsid w:val="00943C76"/>
    <w:rsid w:val="00944F6F"/>
    <w:rsid w:val="00944F8A"/>
    <w:rsid w:val="0094534B"/>
    <w:rsid w:val="00945674"/>
    <w:rsid w:val="0094722D"/>
    <w:rsid w:val="00950A9F"/>
    <w:rsid w:val="009510A2"/>
    <w:rsid w:val="0095275B"/>
    <w:rsid w:val="00953257"/>
    <w:rsid w:val="0095474C"/>
    <w:rsid w:val="00956F1E"/>
    <w:rsid w:val="009578B0"/>
    <w:rsid w:val="00957D21"/>
    <w:rsid w:val="00962CB9"/>
    <w:rsid w:val="00963236"/>
    <w:rsid w:val="009632CB"/>
    <w:rsid w:val="009639E5"/>
    <w:rsid w:val="00964312"/>
    <w:rsid w:val="0096465A"/>
    <w:rsid w:val="00965B8A"/>
    <w:rsid w:val="00967CF6"/>
    <w:rsid w:val="009703EB"/>
    <w:rsid w:val="0097071F"/>
    <w:rsid w:val="00971247"/>
    <w:rsid w:val="00971554"/>
    <w:rsid w:val="009717AC"/>
    <w:rsid w:val="00972386"/>
    <w:rsid w:val="00972894"/>
    <w:rsid w:val="009751C1"/>
    <w:rsid w:val="0097777A"/>
    <w:rsid w:val="0097788C"/>
    <w:rsid w:val="00977A64"/>
    <w:rsid w:val="00977CAB"/>
    <w:rsid w:val="00977F47"/>
    <w:rsid w:val="00980D38"/>
    <w:rsid w:val="009811F1"/>
    <w:rsid w:val="00981A87"/>
    <w:rsid w:val="00981C7D"/>
    <w:rsid w:val="009829F7"/>
    <w:rsid w:val="00983478"/>
    <w:rsid w:val="00983E57"/>
    <w:rsid w:val="009840D2"/>
    <w:rsid w:val="00984C20"/>
    <w:rsid w:val="00985DE2"/>
    <w:rsid w:val="0098675D"/>
    <w:rsid w:val="009867EC"/>
    <w:rsid w:val="0098736C"/>
    <w:rsid w:val="0098747E"/>
    <w:rsid w:val="00987FA2"/>
    <w:rsid w:val="00991D4F"/>
    <w:rsid w:val="009926E0"/>
    <w:rsid w:val="0099286E"/>
    <w:rsid w:val="0099383F"/>
    <w:rsid w:val="00993ED8"/>
    <w:rsid w:val="009940AD"/>
    <w:rsid w:val="0099451E"/>
    <w:rsid w:val="009945E2"/>
    <w:rsid w:val="00994AE0"/>
    <w:rsid w:val="0099669E"/>
    <w:rsid w:val="00996B1A"/>
    <w:rsid w:val="0099778B"/>
    <w:rsid w:val="00997BB7"/>
    <w:rsid w:val="00997C03"/>
    <w:rsid w:val="009A035B"/>
    <w:rsid w:val="009A189D"/>
    <w:rsid w:val="009A2A73"/>
    <w:rsid w:val="009A2DCC"/>
    <w:rsid w:val="009A5ABC"/>
    <w:rsid w:val="009A740C"/>
    <w:rsid w:val="009A7706"/>
    <w:rsid w:val="009A7876"/>
    <w:rsid w:val="009A7F10"/>
    <w:rsid w:val="009B006B"/>
    <w:rsid w:val="009B0AA3"/>
    <w:rsid w:val="009B18B6"/>
    <w:rsid w:val="009B3E26"/>
    <w:rsid w:val="009B4032"/>
    <w:rsid w:val="009B4C67"/>
    <w:rsid w:val="009B5EAC"/>
    <w:rsid w:val="009B6DCA"/>
    <w:rsid w:val="009B6F20"/>
    <w:rsid w:val="009B7303"/>
    <w:rsid w:val="009B777F"/>
    <w:rsid w:val="009C00C6"/>
    <w:rsid w:val="009C1277"/>
    <w:rsid w:val="009C24C3"/>
    <w:rsid w:val="009C26C3"/>
    <w:rsid w:val="009C2E54"/>
    <w:rsid w:val="009C306A"/>
    <w:rsid w:val="009C3706"/>
    <w:rsid w:val="009C370A"/>
    <w:rsid w:val="009C38A8"/>
    <w:rsid w:val="009C3A3A"/>
    <w:rsid w:val="009C405D"/>
    <w:rsid w:val="009C431A"/>
    <w:rsid w:val="009C471F"/>
    <w:rsid w:val="009C582B"/>
    <w:rsid w:val="009C6CEA"/>
    <w:rsid w:val="009C7691"/>
    <w:rsid w:val="009C7B85"/>
    <w:rsid w:val="009D00FC"/>
    <w:rsid w:val="009D0254"/>
    <w:rsid w:val="009D09EB"/>
    <w:rsid w:val="009D107C"/>
    <w:rsid w:val="009D166F"/>
    <w:rsid w:val="009D1A64"/>
    <w:rsid w:val="009D1B43"/>
    <w:rsid w:val="009D2812"/>
    <w:rsid w:val="009D2982"/>
    <w:rsid w:val="009D462F"/>
    <w:rsid w:val="009D49EE"/>
    <w:rsid w:val="009D4AEF"/>
    <w:rsid w:val="009D5323"/>
    <w:rsid w:val="009D5B91"/>
    <w:rsid w:val="009D5D8D"/>
    <w:rsid w:val="009D6A01"/>
    <w:rsid w:val="009D6EB7"/>
    <w:rsid w:val="009D76CC"/>
    <w:rsid w:val="009D78CF"/>
    <w:rsid w:val="009D792E"/>
    <w:rsid w:val="009D794D"/>
    <w:rsid w:val="009D7C06"/>
    <w:rsid w:val="009E0DFE"/>
    <w:rsid w:val="009E13E6"/>
    <w:rsid w:val="009E1C5F"/>
    <w:rsid w:val="009E246A"/>
    <w:rsid w:val="009E2E0B"/>
    <w:rsid w:val="009E31F6"/>
    <w:rsid w:val="009E35F6"/>
    <w:rsid w:val="009E4990"/>
    <w:rsid w:val="009E4C07"/>
    <w:rsid w:val="009E5C2C"/>
    <w:rsid w:val="009E64AF"/>
    <w:rsid w:val="009E658F"/>
    <w:rsid w:val="009E6CCD"/>
    <w:rsid w:val="009E6FD8"/>
    <w:rsid w:val="009E7B4C"/>
    <w:rsid w:val="009F0633"/>
    <w:rsid w:val="009F337E"/>
    <w:rsid w:val="009F4CF1"/>
    <w:rsid w:val="009F4E90"/>
    <w:rsid w:val="009F54C7"/>
    <w:rsid w:val="009F5A8E"/>
    <w:rsid w:val="009F6EC9"/>
    <w:rsid w:val="00A003D4"/>
    <w:rsid w:val="00A007BA"/>
    <w:rsid w:val="00A01184"/>
    <w:rsid w:val="00A01716"/>
    <w:rsid w:val="00A01AA9"/>
    <w:rsid w:val="00A03160"/>
    <w:rsid w:val="00A037C2"/>
    <w:rsid w:val="00A03D43"/>
    <w:rsid w:val="00A04380"/>
    <w:rsid w:val="00A0453D"/>
    <w:rsid w:val="00A04DF5"/>
    <w:rsid w:val="00A053A4"/>
    <w:rsid w:val="00A05472"/>
    <w:rsid w:val="00A059D2"/>
    <w:rsid w:val="00A05C32"/>
    <w:rsid w:val="00A06040"/>
    <w:rsid w:val="00A0653F"/>
    <w:rsid w:val="00A066A8"/>
    <w:rsid w:val="00A06AF9"/>
    <w:rsid w:val="00A0758E"/>
    <w:rsid w:val="00A1092C"/>
    <w:rsid w:val="00A117B2"/>
    <w:rsid w:val="00A11925"/>
    <w:rsid w:val="00A11BBB"/>
    <w:rsid w:val="00A11BEC"/>
    <w:rsid w:val="00A11CD0"/>
    <w:rsid w:val="00A11D0C"/>
    <w:rsid w:val="00A1235B"/>
    <w:rsid w:val="00A1280D"/>
    <w:rsid w:val="00A134C9"/>
    <w:rsid w:val="00A138AC"/>
    <w:rsid w:val="00A13948"/>
    <w:rsid w:val="00A14D5A"/>
    <w:rsid w:val="00A1555B"/>
    <w:rsid w:val="00A155C5"/>
    <w:rsid w:val="00A16AD8"/>
    <w:rsid w:val="00A20362"/>
    <w:rsid w:val="00A21C95"/>
    <w:rsid w:val="00A21CF3"/>
    <w:rsid w:val="00A2367E"/>
    <w:rsid w:val="00A24813"/>
    <w:rsid w:val="00A250A1"/>
    <w:rsid w:val="00A25268"/>
    <w:rsid w:val="00A25D88"/>
    <w:rsid w:val="00A26635"/>
    <w:rsid w:val="00A269BA"/>
    <w:rsid w:val="00A26BEB"/>
    <w:rsid w:val="00A27AEC"/>
    <w:rsid w:val="00A30596"/>
    <w:rsid w:val="00A309E3"/>
    <w:rsid w:val="00A314CD"/>
    <w:rsid w:val="00A318E5"/>
    <w:rsid w:val="00A320DB"/>
    <w:rsid w:val="00A3369F"/>
    <w:rsid w:val="00A350AD"/>
    <w:rsid w:val="00A35A22"/>
    <w:rsid w:val="00A35D16"/>
    <w:rsid w:val="00A35EA6"/>
    <w:rsid w:val="00A36B4D"/>
    <w:rsid w:val="00A36BC9"/>
    <w:rsid w:val="00A36EAD"/>
    <w:rsid w:val="00A36FD9"/>
    <w:rsid w:val="00A37BCD"/>
    <w:rsid w:val="00A402D9"/>
    <w:rsid w:val="00A41689"/>
    <w:rsid w:val="00A421DD"/>
    <w:rsid w:val="00A422BA"/>
    <w:rsid w:val="00A42592"/>
    <w:rsid w:val="00A42C5F"/>
    <w:rsid w:val="00A437F7"/>
    <w:rsid w:val="00A43C59"/>
    <w:rsid w:val="00A44500"/>
    <w:rsid w:val="00A451A6"/>
    <w:rsid w:val="00A453BB"/>
    <w:rsid w:val="00A45F22"/>
    <w:rsid w:val="00A4633F"/>
    <w:rsid w:val="00A50ECD"/>
    <w:rsid w:val="00A518F3"/>
    <w:rsid w:val="00A52729"/>
    <w:rsid w:val="00A527E9"/>
    <w:rsid w:val="00A53675"/>
    <w:rsid w:val="00A556E8"/>
    <w:rsid w:val="00A55836"/>
    <w:rsid w:val="00A560E7"/>
    <w:rsid w:val="00A564D7"/>
    <w:rsid w:val="00A56B6A"/>
    <w:rsid w:val="00A576AF"/>
    <w:rsid w:val="00A578DC"/>
    <w:rsid w:val="00A600D6"/>
    <w:rsid w:val="00A601AC"/>
    <w:rsid w:val="00A61472"/>
    <w:rsid w:val="00A62195"/>
    <w:rsid w:val="00A63988"/>
    <w:rsid w:val="00A640E2"/>
    <w:rsid w:val="00A6462B"/>
    <w:rsid w:val="00A64D65"/>
    <w:rsid w:val="00A65031"/>
    <w:rsid w:val="00A6591F"/>
    <w:rsid w:val="00A66617"/>
    <w:rsid w:val="00A66F29"/>
    <w:rsid w:val="00A6725B"/>
    <w:rsid w:val="00A67483"/>
    <w:rsid w:val="00A70605"/>
    <w:rsid w:val="00A73134"/>
    <w:rsid w:val="00A73CF9"/>
    <w:rsid w:val="00A755E4"/>
    <w:rsid w:val="00A76001"/>
    <w:rsid w:val="00A7653D"/>
    <w:rsid w:val="00A7753D"/>
    <w:rsid w:val="00A77646"/>
    <w:rsid w:val="00A777B2"/>
    <w:rsid w:val="00A77A3E"/>
    <w:rsid w:val="00A80098"/>
    <w:rsid w:val="00A80883"/>
    <w:rsid w:val="00A80F18"/>
    <w:rsid w:val="00A814E2"/>
    <w:rsid w:val="00A81A22"/>
    <w:rsid w:val="00A81C28"/>
    <w:rsid w:val="00A81CFB"/>
    <w:rsid w:val="00A81D5C"/>
    <w:rsid w:val="00A81F90"/>
    <w:rsid w:val="00A82521"/>
    <w:rsid w:val="00A825D4"/>
    <w:rsid w:val="00A828F6"/>
    <w:rsid w:val="00A82975"/>
    <w:rsid w:val="00A82B73"/>
    <w:rsid w:val="00A83092"/>
    <w:rsid w:val="00A83C83"/>
    <w:rsid w:val="00A842EE"/>
    <w:rsid w:val="00A8522E"/>
    <w:rsid w:val="00A85ADA"/>
    <w:rsid w:val="00A86E8B"/>
    <w:rsid w:val="00A87164"/>
    <w:rsid w:val="00A9021F"/>
    <w:rsid w:val="00A90426"/>
    <w:rsid w:val="00A9081A"/>
    <w:rsid w:val="00A91E6C"/>
    <w:rsid w:val="00A929D1"/>
    <w:rsid w:val="00A93072"/>
    <w:rsid w:val="00A938BD"/>
    <w:rsid w:val="00A93953"/>
    <w:rsid w:val="00A93E24"/>
    <w:rsid w:val="00A940EC"/>
    <w:rsid w:val="00A9423D"/>
    <w:rsid w:val="00A9495F"/>
    <w:rsid w:val="00A94CE9"/>
    <w:rsid w:val="00A94DE5"/>
    <w:rsid w:val="00A9586D"/>
    <w:rsid w:val="00A959D8"/>
    <w:rsid w:val="00A95ACF"/>
    <w:rsid w:val="00A95EF4"/>
    <w:rsid w:val="00A9670D"/>
    <w:rsid w:val="00A96EEA"/>
    <w:rsid w:val="00AA01CC"/>
    <w:rsid w:val="00AA061F"/>
    <w:rsid w:val="00AA0D3E"/>
    <w:rsid w:val="00AA0E44"/>
    <w:rsid w:val="00AA10D1"/>
    <w:rsid w:val="00AA113D"/>
    <w:rsid w:val="00AA1CB9"/>
    <w:rsid w:val="00AA31B6"/>
    <w:rsid w:val="00AA45AA"/>
    <w:rsid w:val="00AA49A4"/>
    <w:rsid w:val="00AA59F7"/>
    <w:rsid w:val="00AA6BD5"/>
    <w:rsid w:val="00AA6BD8"/>
    <w:rsid w:val="00AA6C7D"/>
    <w:rsid w:val="00AA7836"/>
    <w:rsid w:val="00AA7FD6"/>
    <w:rsid w:val="00AB042A"/>
    <w:rsid w:val="00AB19EF"/>
    <w:rsid w:val="00AB249A"/>
    <w:rsid w:val="00AB28E3"/>
    <w:rsid w:val="00AB2D34"/>
    <w:rsid w:val="00AB3430"/>
    <w:rsid w:val="00AB37B9"/>
    <w:rsid w:val="00AB3A83"/>
    <w:rsid w:val="00AB3BF5"/>
    <w:rsid w:val="00AB4735"/>
    <w:rsid w:val="00AB4AD1"/>
    <w:rsid w:val="00AB4AE4"/>
    <w:rsid w:val="00AB56C1"/>
    <w:rsid w:val="00AB5E07"/>
    <w:rsid w:val="00AB7769"/>
    <w:rsid w:val="00AB7CFA"/>
    <w:rsid w:val="00AC051D"/>
    <w:rsid w:val="00AC0F9E"/>
    <w:rsid w:val="00AC11B6"/>
    <w:rsid w:val="00AC12A3"/>
    <w:rsid w:val="00AC19F0"/>
    <w:rsid w:val="00AC1DCC"/>
    <w:rsid w:val="00AC1ECC"/>
    <w:rsid w:val="00AC5B48"/>
    <w:rsid w:val="00AC73B9"/>
    <w:rsid w:val="00AC73D5"/>
    <w:rsid w:val="00AD1450"/>
    <w:rsid w:val="00AD231A"/>
    <w:rsid w:val="00AD24AE"/>
    <w:rsid w:val="00AD2707"/>
    <w:rsid w:val="00AD3804"/>
    <w:rsid w:val="00AD3BF7"/>
    <w:rsid w:val="00AD3D6A"/>
    <w:rsid w:val="00AD4CB2"/>
    <w:rsid w:val="00AD55DC"/>
    <w:rsid w:val="00AD5951"/>
    <w:rsid w:val="00AD6502"/>
    <w:rsid w:val="00AD6DE3"/>
    <w:rsid w:val="00AD72EB"/>
    <w:rsid w:val="00AD7EDC"/>
    <w:rsid w:val="00AE0695"/>
    <w:rsid w:val="00AE1A13"/>
    <w:rsid w:val="00AE1FBE"/>
    <w:rsid w:val="00AE2C8F"/>
    <w:rsid w:val="00AE3E7E"/>
    <w:rsid w:val="00AE62EE"/>
    <w:rsid w:val="00AE73C0"/>
    <w:rsid w:val="00AF1315"/>
    <w:rsid w:val="00AF1754"/>
    <w:rsid w:val="00AF19BF"/>
    <w:rsid w:val="00AF19FE"/>
    <w:rsid w:val="00AF28AD"/>
    <w:rsid w:val="00AF2DC3"/>
    <w:rsid w:val="00AF2FC8"/>
    <w:rsid w:val="00AF3831"/>
    <w:rsid w:val="00AF3868"/>
    <w:rsid w:val="00AF5254"/>
    <w:rsid w:val="00AF67EC"/>
    <w:rsid w:val="00AF7E82"/>
    <w:rsid w:val="00B01883"/>
    <w:rsid w:val="00B02172"/>
    <w:rsid w:val="00B033E5"/>
    <w:rsid w:val="00B03662"/>
    <w:rsid w:val="00B03A63"/>
    <w:rsid w:val="00B042AF"/>
    <w:rsid w:val="00B10CD6"/>
    <w:rsid w:val="00B13504"/>
    <w:rsid w:val="00B13842"/>
    <w:rsid w:val="00B147D2"/>
    <w:rsid w:val="00B14AD5"/>
    <w:rsid w:val="00B150F4"/>
    <w:rsid w:val="00B15951"/>
    <w:rsid w:val="00B15B45"/>
    <w:rsid w:val="00B15FF4"/>
    <w:rsid w:val="00B1644E"/>
    <w:rsid w:val="00B17E8C"/>
    <w:rsid w:val="00B201A4"/>
    <w:rsid w:val="00B201D1"/>
    <w:rsid w:val="00B213A6"/>
    <w:rsid w:val="00B21714"/>
    <w:rsid w:val="00B21730"/>
    <w:rsid w:val="00B21D9D"/>
    <w:rsid w:val="00B2320D"/>
    <w:rsid w:val="00B234E1"/>
    <w:rsid w:val="00B235B0"/>
    <w:rsid w:val="00B23741"/>
    <w:rsid w:val="00B23916"/>
    <w:rsid w:val="00B239B0"/>
    <w:rsid w:val="00B24A46"/>
    <w:rsid w:val="00B24DF6"/>
    <w:rsid w:val="00B268A7"/>
    <w:rsid w:val="00B26A7D"/>
    <w:rsid w:val="00B27584"/>
    <w:rsid w:val="00B301B4"/>
    <w:rsid w:val="00B302ED"/>
    <w:rsid w:val="00B30A4B"/>
    <w:rsid w:val="00B311C1"/>
    <w:rsid w:val="00B340EE"/>
    <w:rsid w:val="00B3436D"/>
    <w:rsid w:val="00B34FE2"/>
    <w:rsid w:val="00B35166"/>
    <w:rsid w:val="00B357D8"/>
    <w:rsid w:val="00B35D5C"/>
    <w:rsid w:val="00B360F4"/>
    <w:rsid w:val="00B36A00"/>
    <w:rsid w:val="00B3785F"/>
    <w:rsid w:val="00B37BFC"/>
    <w:rsid w:val="00B40358"/>
    <w:rsid w:val="00B41614"/>
    <w:rsid w:val="00B41C4B"/>
    <w:rsid w:val="00B41EEE"/>
    <w:rsid w:val="00B425C6"/>
    <w:rsid w:val="00B42730"/>
    <w:rsid w:val="00B42851"/>
    <w:rsid w:val="00B42F80"/>
    <w:rsid w:val="00B43480"/>
    <w:rsid w:val="00B435CB"/>
    <w:rsid w:val="00B44162"/>
    <w:rsid w:val="00B448F4"/>
    <w:rsid w:val="00B451AF"/>
    <w:rsid w:val="00B45FEB"/>
    <w:rsid w:val="00B46577"/>
    <w:rsid w:val="00B46CFA"/>
    <w:rsid w:val="00B47096"/>
    <w:rsid w:val="00B4727B"/>
    <w:rsid w:val="00B50342"/>
    <w:rsid w:val="00B505C8"/>
    <w:rsid w:val="00B50DB8"/>
    <w:rsid w:val="00B51734"/>
    <w:rsid w:val="00B52401"/>
    <w:rsid w:val="00B52748"/>
    <w:rsid w:val="00B5294E"/>
    <w:rsid w:val="00B531C6"/>
    <w:rsid w:val="00B53654"/>
    <w:rsid w:val="00B53905"/>
    <w:rsid w:val="00B53CB0"/>
    <w:rsid w:val="00B54289"/>
    <w:rsid w:val="00B54B5B"/>
    <w:rsid w:val="00B54BCF"/>
    <w:rsid w:val="00B5509A"/>
    <w:rsid w:val="00B5562E"/>
    <w:rsid w:val="00B55917"/>
    <w:rsid w:val="00B55D65"/>
    <w:rsid w:val="00B56290"/>
    <w:rsid w:val="00B56B08"/>
    <w:rsid w:val="00B57000"/>
    <w:rsid w:val="00B57038"/>
    <w:rsid w:val="00B57493"/>
    <w:rsid w:val="00B575F9"/>
    <w:rsid w:val="00B57789"/>
    <w:rsid w:val="00B57E10"/>
    <w:rsid w:val="00B60080"/>
    <w:rsid w:val="00B60335"/>
    <w:rsid w:val="00B60574"/>
    <w:rsid w:val="00B606A0"/>
    <w:rsid w:val="00B60939"/>
    <w:rsid w:val="00B60AFD"/>
    <w:rsid w:val="00B61106"/>
    <w:rsid w:val="00B62715"/>
    <w:rsid w:val="00B62B38"/>
    <w:rsid w:val="00B63BBA"/>
    <w:rsid w:val="00B64BB7"/>
    <w:rsid w:val="00B65611"/>
    <w:rsid w:val="00B6617F"/>
    <w:rsid w:val="00B66A21"/>
    <w:rsid w:val="00B66A40"/>
    <w:rsid w:val="00B66A45"/>
    <w:rsid w:val="00B66D78"/>
    <w:rsid w:val="00B70E8E"/>
    <w:rsid w:val="00B72808"/>
    <w:rsid w:val="00B7292C"/>
    <w:rsid w:val="00B72AAE"/>
    <w:rsid w:val="00B73901"/>
    <w:rsid w:val="00B73DA6"/>
    <w:rsid w:val="00B73FFC"/>
    <w:rsid w:val="00B74295"/>
    <w:rsid w:val="00B74C64"/>
    <w:rsid w:val="00B76C92"/>
    <w:rsid w:val="00B77A17"/>
    <w:rsid w:val="00B77DE8"/>
    <w:rsid w:val="00B77EE7"/>
    <w:rsid w:val="00B81338"/>
    <w:rsid w:val="00B818A4"/>
    <w:rsid w:val="00B824F0"/>
    <w:rsid w:val="00B8268F"/>
    <w:rsid w:val="00B82782"/>
    <w:rsid w:val="00B82ED0"/>
    <w:rsid w:val="00B8325E"/>
    <w:rsid w:val="00B84041"/>
    <w:rsid w:val="00B84117"/>
    <w:rsid w:val="00B84366"/>
    <w:rsid w:val="00B84877"/>
    <w:rsid w:val="00B85271"/>
    <w:rsid w:val="00B856AA"/>
    <w:rsid w:val="00B858F0"/>
    <w:rsid w:val="00B85AA2"/>
    <w:rsid w:val="00B8649C"/>
    <w:rsid w:val="00B8695D"/>
    <w:rsid w:val="00B873E1"/>
    <w:rsid w:val="00B87F0A"/>
    <w:rsid w:val="00B909AA"/>
    <w:rsid w:val="00B91586"/>
    <w:rsid w:val="00B92930"/>
    <w:rsid w:val="00B92D0B"/>
    <w:rsid w:val="00B930D3"/>
    <w:rsid w:val="00B934C5"/>
    <w:rsid w:val="00B93B45"/>
    <w:rsid w:val="00B941E2"/>
    <w:rsid w:val="00B947B8"/>
    <w:rsid w:val="00B94945"/>
    <w:rsid w:val="00B94DD6"/>
    <w:rsid w:val="00B95C10"/>
    <w:rsid w:val="00B962ED"/>
    <w:rsid w:val="00B97329"/>
    <w:rsid w:val="00B97BBF"/>
    <w:rsid w:val="00BA18A6"/>
    <w:rsid w:val="00BA322D"/>
    <w:rsid w:val="00BA365F"/>
    <w:rsid w:val="00BA3782"/>
    <w:rsid w:val="00BA3B8D"/>
    <w:rsid w:val="00BA3D2E"/>
    <w:rsid w:val="00BA4F23"/>
    <w:rsid w:val="00BA51C1"/>
    <w:rsid w:val="00BA5FFD"/>
    <w:rsid w:val="00BA61CC"/>
    <w:rsid w:val="00BA63FA"/>
    <w:rsid w:val="00BA6FFD"/>
    <w:rsid w:val="00BA7BFE"/>
    <w:rsid w:val="00BA7E2E"/>
    <w:rsid w:val="00BB00B3"/>
    <w:rsid w:val="00BB0BDD"/>
    <w:rsid w:val="00BB176C"/>
    <w:rsid w:val="00BB1825"/>
    <w:rsid w:val="00BB2153"/>
    <w:rsid w:val="00BB218F"/>
    <w:rsid w:val="00BB2A73"/>
    <w:rsid w:val="00BB2AF8"/>
    <w:rsid w:val="00BB3092"/>
    <w:rsid w:val="00BB3A45"/>
    <w:rsid w:val="00BB3C0E"/>
    <w:rsid w:val="00BB4ACC"/>
    <w:rsid w:val="00BB513B"/>
    <w:rsid w:val="00BB572D"/>
    <w:rsid w:val="00BB5A91"/>
    <w:rsid w:val="00BB6C62"/>
    <w:rsid w:val="00BB703E"/>
    <w:rsid w:val="00BB732D"/>
    <w:rsid w:val="00BB7405"/>
    <w:rsid w:val="00BB7701"/>
    <w:rsid w:val="00BC16A6"/>
    <w:rsid w:val="00BC16AF"/>
    <w:rsid w:val="00BC1B73"/>
    <w:rsid w:val="00BC2249"/>
    <w:rsid w:val="00BC25CF"/>
    <w:rsid w:val="00BC3631"/>
    <w:rsid w:val="00BC4DB5"/>
    <w:rsid w:val="00BC5107"/>
    <w:rsid w:val="00BC591F"/>
    <w:rsid w:val="00BC6139"/>
    <w:rsid w:val="00BC745E"/>
    <w:rsid w:val="00BC7BFD"/>
    <w:rsid w:val="00BC7D6D"/>
    <w:rsid w:val="00BC7DF9"/>
    <w:rsid w:val="00BD0F9C"/>
    <w:rsid w:val="00BD1050"/>
    <w:rsid w:val="00BD1BA6"/>
    <w:rsid w:val="00BD2108"/>
    <w:rsid w:val="00BD2CB7"/>
    <w:rsid w:val="00BD2FBD"/>
    <w:rsid w:val="00BD5569"/>
    <w:rsid w:val="00BD5E21"/>
    <w:rsid w:val="00BD68A3"/>
    <w:rsid w:val="00BD6938"/>
    <w:rsid w:val="00BD6CF3"/>
    <w:rsid w:val="00BD7E93"/>
    <w:rsid w:val="00BE0423"/>
    <w:rsid w:val="00BE0B15"/>
    <w:rsid w:val="00BE0D23"/>
    <w:rsid w:val="00BE0ECA"/>
    <w:rsid w:val="00BE1D24"/>
    <w:rsid w:val="00BE1D48"/>
    <w:rsid w:val="00BE2180"/>
    <w:rsid w:val="00BE21F2"/>
    <w:rsid w:val="00BE2C75"/>
    <w:rsid w:val="00BE35F3"/>
    <w:rsid w:val="00BE4275"/>
    <w:rsid w:val="00BE4698"/>
    <w:rsid w:val="00BE55C0"/>
    <w:rsid w:val="00BE6F76"/>
    <w:rsid w:val="00BE7333"/>
    <w:rsid w:val="00BE7771"/>
    <w:rsid w:val="00BF00D1"/>
    <w:rsid w:val="00BF05E4"/>
    <w:rsid w:val="00BF06AE"/>
    <w:rsid w:val="00BF0F95"/>
    <w:rsid w:val="00BF14AE"/>
    <w:rsid w:val="00BF1DF0"/>
    <w:rsid w:val="00BF2433"/>
    <w:rsid w:val="00BF34C0"/>
    <w:rsid w:val="00BF41E7"/>
    <w:rsid w:val="00BF42A1"/>
    <w:rsid w:val="00BF43EE"/>
    <w:rsid w:val="00BF5881"/>
    <w:rsid w:val="00BF61C9"/>
    <w:rsid w:val="00BF6C94"/>
    <w:rsid w:val="00BF7733"/>
    <w:rsid w:val="00BF78D7"/>
    <w:rsid w:val="00BF798E"/>
    <w:rsid w:val="00BF7CCF"/>
    <w:rsid w:val="00C00424"/>
    <w:rsid w:val="00C0205C"/>
    <w:rsid w:val="00C02CCD"/>
    <w:rsid w:val="00C04DEB"/>
    <w:rsid w:val="00C06AB4"/>
    <w:rsid w:val="00C1082E"/>
    <w:rsid w:val="00C108D9"/>
    <w:rsid w:val="00C111BE"/>
    <w:rsid w:val="00C1179F"/>
    <w:rsid w:val="00C12115"/>
    <w:rsid w:val="00C122DD"/>
    <w:rsid w:val="00C12C14"/>
    <w:rsid w:val="00C14A4F"/>
    <w:rsid w:val="00C15BF1"/>
    <w:rsid w:val="00C15F04"/>
    <w:rsid w:val="00C160AE"/>
    <w:rsid w:val="00C176D4"/>
    <w:rsid w:val="00C179B3"/>
    <w:rsid w:val="00C17B5B"/>
    <w:rsid w:val="00C17E3F"/>
    <w:rsid w:val="00C20069"/>
    <w:rsid w:val="00C200AA"/>
    <w:rsid w:val="00C20846"/>
    <w:rsid w:val="00C22014"/>
    <w:rsid w:val="00C2341F"/>
    <w:rsid w:val="00C23649"/>
    <w:rsid w:val="00C237ED"/>
    <w:rsid w:val="00C24200"/>
    <w:rsid w:val="00C24632"/>
    <w:rsid w:val="00C247CC"/>
    <w:rsid w:val="00C25418"/>
    <w:rsid w:val="00C259F4"/>
    <w:rsid w:val="00C25B6F"/>
    <w:rsid w:val="00C25D9C"/>
    <w:rsid w:val="00C25F76"/>
    <w:rsid w:val="00C2778B"/>
    <w:rsid w:val="00C278EC"/>
    <w:rsid w:val="00C30145"/>
    <w:rsid w:val="00C31649"/>
    <w:rsid w:val="00C32737"/>
    <w:rsid w:val="00C33FD9"/>
    <w:rsid w:val="00C342B4"/>
    <w:rsid w:val="00C3434C"/>
    <w:rsid w:val="00C347BA"/>
    <w:rsid w:val="00C34BF6"/>
    <w:rsid w:val="00C350CF"/>
    <w:rsid w:val="00C352E4"/>
    <w:rsid w:val="00C372DA"/>
    <w:rsid w:val="00C37777"/>
    <w:rsid w:val="00C40385"/>
    <w:rsid w:val="00C406CE"/>
    <w:rsid w:val="00C41768"/>
    <w:rsid w:val="00C42DC5"/>
    <w:rsid w:val="00C4307C"/>
    <w:rsid w:val="00C43AD0"/>
    <w:rsid w:val="00C44362"/>
    <w:rsid w:val="00C44D79"/>
    <w:rsid w:val="00C44E5A"/>
    <w:rsid w:val="00C44E5F"/>
    <w:rsid w:val="00C45391"/>
    <w:rsid w:val="00C45E93"/>
    <w:rsid w:val="00C46699"/>
    <w:rsid w:val="00C46B50"/>
    <w:rsid w:val="00C46FB9"/>
    <w:rsid w:val="00C475AA"/>
    <w:rsid w:val="00C47F5C"/>
    <w:rsid w:val="00C5285C"/>
    <w:rsid w:val="00C52B69"/>
    <w:rsid w:val="00C53C98"/>
    <w:rsid w:val="00C53D33"/>
    <w:rsid w:val="00C547B3"/>
    <w:rsid w:val="00C554C4"/>
    <w:rsid w:val="00C5583E"/>
    <w:rsid w:val="00C55BFC"/>
    <w:rsid w:val="00C56FCF"/>
    <w:rsid w:val="00C57B6C"/>
    <w:rsid w:val="00C611E2"/>
    <w:rsid w:val="00C619FE"/>
    <w:rsid w:val="00C628A6"/>
    <w:rsid w:val="00C62B1B"/>
    <w:rsid w:val="00C64344"/>
    <w:rsid w:val="00C6450E"/>
    <w:rsid w:val="00C64753"/>
    <w:rsid w:val="00C65108"/>
    <w:rsid w:val="00C65576"/>
    <w:rsid w:val="00C657B5"/>
    <w:rsid w:val="00C65DE2"/>
    <w:rsid w:val="00C660D4"/>
    <w:rsid w:val="00C66165"/>
    <w:rsid w:val="00C662EF"/>
    <w:rsid w:val="00C670CC"/>
    <w:rsid w:val="00C67499"/>
    <w:rsid w:val="00C703D1"/>
    <w:rsid w:val="00C7060A"/>
    <w:rsid w:val="00C70FCF"/>
    <w:rsid w:val="00C7151A"/>
    <w:rsid w:val="00C717E3"/>
    <w:rsid w:val="00C71F60"/>
    <w:rsid w:val="00C72241"/>
    <w:rsid w:val="00C72F8D"/>
    <w:rsid w:val="00C74427"/>
    <w:rsid w:val="00C74824"/>
    <w:rsid w:val="00C74A97"/>
    <w:rsid w:val="00C750C8"/>
    <w:rsid w:val="00C7536C"/>
    <w:rsid w:val="00C7560F"/>
    <w:rsid w:val="00C75E6C"/>
    <w:rsid w:val="00C766E7"/>
    <w:rsid w:val="00C7692D"/>
    <w:rsid w:val="00C776BA"/>
    <w:rsid w:val="00C77B60"/>
    <w:rsid w:val="00C80A0E"/>
    <w:rsid w:val="00C8213F"/>
    <w:rsid w:val="00C821E7"/>
    <w:rsid w:val="00C82DD4"/>
    <w:rsid w:val="00C83587"/>
    <w:rsid w:val="00C84670"/>
    <w:rsid w:val="00C85154"/>
    <w:rsid w:val="00C86388"/>
    <w:rsid w:val="00C8797A"/>
    <w:rsid w:val="00C900B8"/>
    <w:rsid w:val="00C90C71"/>
    <w:rsid w:val="00C90ED1"/>
    <w:rsid w:val="00C910D6"/>
    <w:rsid w:val="00C9190C"/>
    <w:rsid w:val="00C91AFB"/>
    <w:rsid w:val="00C91FD1"/>
    <w:rsid w:val="00C931CF"/>
    <w:rsid w:val="00C938CF"/>
    <w:rsid w:val="00C94053"/>
    <w:rsid w:val="00C94BD0"/>
    <w:rsid w:val="00C9561D"/>
    <w:rsid w:val="00C95CD3"/>
    <w:rsid w:val="00C95E50"/>
    <w:rsid w:val="00C9624D"/>
    <w:rsid w:val="00C969DA"/>
    <w:rsid w:val="00C9734A"/>
    <w:rsid w:val="00C979FE"/>
    <w:rsid w:val="00CA01FA"/>
    <w:rsid w:val="00CA101A"/>
    <w:rsid w:val="00CA2411"/>
    <w:rsid w:val="00CA2AAA"/>
    <w:rsid w:val="00CA2C77"/>
    <w:rsid w:val="00CA444F"/>
    <w:rsid w:val="00CA5245"/>
    <w:rsid w:val="00CA5AF6"/>
    <w:rsid w:val="00CA5DE6"/>
    <w:rsid w:val="00CA71F4"/>
    <w:rsid w:val="00CA7B09"/>
    <w:rsid w:val="00CB098F"/>
    <w:rsid w:val="00CB0D8D"/>
    <w:rsid w:val="00CB12A5"/>
    <w:rsid w:val="00CB1537"/>
    <w:rsid w:val="00CB1CAC"/>
    <w:rsid w:val="00CB1F4A"/>
    <w:rsid w:val="00CB21EC"/>
    <w:rsid w:val="00CB22EC"/>
    <w:rsid w:val="00CB2B8B"/>
    <w:rsid w:val="00CB2F2A"/>
    <w:rsid w:val="00CB2F4E"/>
    <w:rsid w:val="00CB34FA"/>
    <w:rsid w:val="00CB5AEF"/>
    <w:rsid w:val="00CB5B1A"/>
    <w:rsid w:val="00CB5CB3"/>
    <w:rsid w:val="00CB6B22"/>
    <w:rsid w:val="00CB6F8C"/>
    <w:rsid w:val="00CB72A2"/>
    <w:rsid w:val="00CB7828"/>
    <w:rsid w:val="00CB7F5F"/>
    <w:rsid w:val="00CC0C89"/>
    <w:rsid w:val="00CC132D"/>
    <w:rsid w:val="00CC1B39"/>
    <w:rsid w:val="00CC2DBC"/>
    <w:rsid w:val="00CC3055"/>
    <w:rsid w:val="00CC35EA"/>
    <w:rsid w:val="00CC3848"/>
    <w:rsid w:val="00CC41A3"/>
    <w:rsid w:val="00CC5137"/>
    <w:rsid w:val="00CC6E66"/>
    <w:rsid w:val="00CD05EA"/>
    <w:rsid w:val="00CD3914"/>
    <w:rsid w:val="00CD39D0"/>
    <w:rsid w:val="00CD3F77"/>
    <w:rsid w:val="00CD4276"/>
    <w:rsid w:val="00CD4923"/>
    <w:rsid w:val="00CD4CD9"/>
    <w:rsid w:val="00CD584F"/>
    <w:rsid w:val="00CD587F"/>
    <w:rsid w:val="00CD6ADC"/>
    <w:rsid w:val="00CD6BEC"/>
    <w:rsid w:val="00CD7193"/>
    <w:rsid w:val="00CD7D47"/>
    <w:rsid w:val="00CE03B3"/>
    <w:rsid w:val="00CE0642"/>
    <w:rsid w:val="00CE0D98"/>
    <w:rsid w:val="00CE0FA2"/>
    <w:rsid w:val="00CE11AC"/>
    <w:rsid w:val="00CE1446"/>
    <w:rsid w:val="00CE19CE"/>
    <w:rsid w:val="00CE1F42"/>
    <w:rsid w:val="00CE1FEA"/>
    <w:rsid w:val="00CE2BA5"/>
    <w:rsid w:val="00CE3472"/>
    <w:rsid w:val="00CE3604"/>
    <w:rsid w:val="00CE38C8"/>
    <w:rsid w:val="00CE3CA7"/>
    <w:rsid w:val="00CE3D30"/>
    <w:rsid w:val="00CE504A"/>
    <w:rsid w:val="00CE6274"/>
    <w:rsid w:val="00CE77B6"/>
    <w:rsid w:val="00CF1EAD"/>
    <w:rsid w:val="00CF200B"/>
    <w:rsid w:val="00CF2B8D"/>
    <w:rsid w:val="00CF2BC9"/>
    <w:rsid w:val="00CF3259"/>
    <w:rsid w:val="00CF38E9"/>
    <w:rsid w:val="00CF456B"/>
    <w:rsid w:val="00CF487B"/>
    <w:rsid w:val="00CF502E"/>
    <w:rsid w:val="00CF54E8"/>
    <w:rsid w:val="00CF5A22"/>
    <w:rsid w:val="00CF6CDB"/>
    <w:rsid w:val="00CF7D56"/>
    <w:rsid w:val="00CF7E74"/>
    <w:rsid w:val="00D00246"/>
    <w:rsid w:val="00D008C6"/>
    <w:rsid w:val="00D00D57"/>
    <w:rsid w:val="00D0172A"/>
    <w:rsid w:val="00D01A09"/>
    <w:rsid w:val="00D023F3"/>
    <w:rsid w:val="00D0262E"/>
    <w:rsid w:val="00D026E6"/>
    <w:rsid w:val="00D03BC3"/>
    <w:rsid w:val="00D041BD"/>
    <w:rsid w:val="00D04FA7"/>
    <w:rsid w:val="00D05DFB"/>
    <w:rsid w:val="00D05E3D"/>
    <w:rsid w:val="00D06139"/>
    <w:rsid w:val="00D0617D"/>
    <w:rsid w:val="00D063C7"/>
    <w:rsid w:val="00D07D0F"/>
    <w:rsid w:val="00D07DEC"/>
    <w:rsid w:val="00D100CA"/>
    <w:rsid w:val="00D10BB8"/>
    <w:rsid w:val="00D110BD"/>
    <w:rsid w:val="00D13675"/>
    <w:rsid w:val="00D13A8D"/>
    <w:rsid w:val="00D1408A"/>
    <w:rsid w:val="00D141E1"/>
    <w:rsid w:val="00D14A1B"/>
    <w:rsid w:val="00D14B01"/>
    <w:rsid w:val="00D14BD8"/>
    <w:rsid w:val="00D14C44"/>
    <w:rsid w:val="00D15314"/>
    <w:rsid w:val="00D15786"/>
    <w:rsid w:val="00D15F05"/>
    <w:rsid w:val="00D16755"/>
    <w:rsid w:val="00D17B89"/>
    <w:rsid w:val="00D17D6C"/>
    <w:rsid w:val="00D201FD"/>
    <w:rsid w:val="00D20ABD"/>
    <w:rsid w:val="00D2155B"/>
    <w:rsid w:val="00D22529"/>
    <w:rsid w:val="00D2291B"/>
    <w:rsid w:val="00D23391"/>
    <w:rsid w:val="00D23523"/>
    <w:rsid w:val="00D23C3A"/>
    <w:rsid w:val="00D23D11"/>
    <w:rsid w:val="00D244B6"/>
    <w:rsid w:val="00D24FC7"/>
    <w:rsid w:val="00D253C1"/>
    <w:rsid w:val="00D26070"/>
    <w:rsid w:val="00D2754D"/>
    <w:rsid w:val="00D27B27"/>
    <w:rsid w:val="00D313D9"/>
    <w:rsid w:val="00D33BE9"/>
    <w:rsid w:val="00D33C6A"/>
    <w:rsid w:val="00D33F1B"/>
    <w:rsid w:val="00D33F93"/>
    <w:rsid w:val="00D3452D"/>
    <w:rsid w:val="00D3558C"/>
    <w:rsid w:val="00D357FF"/>
    <w:rsid w:val="00D3604A"/>
    <w:rsid w:val="00D405F8"/>
    <w:rsid w:val="00D40795"/>
    <w:rsid w:val="00D40810"/>
    <w:rsid w:val="00D422BC"/>
    <w:rsid w:val="00D424C7"/>
    <w:rsid w:val="00D439F4"/>
    <w:rsid w:val="00D43B2A"/>
    <w:rsid w:val="00D43D83"/>
    <w:rsid w:val="00D43DE6"/>
    <w:rsid w:val="00D44354"/>
    <w:rsid w:val="00D443FA"/>
    <w:rsid w:val="00D44DAC"/>
    <w:rsid w:val="00D45947"/>
    <w:rsid w:val="00D46B8A"/>
    <w:rsid w:val="00D47575"/>
    <w:rsid w:val="00D475D2"/>
    <w:rsid w:val="00D47B1D"/>
    <w:rsid w:val="00D51C5C"/>
    <w:rsid w:val="00D520B9"/>
    <w:rsid w:val="00D5243B"/>
    <w:rsid w:val="00D5268E"/>
    <w:rsid w:val="00D530E7"/>
    <w:rsid w:val="00D533EC"/>
    <w:rsid w:val="00D53649"/>
    <w:rsid w:val="00D543A5"/>
    <w:rsid w:val="00D55738"/>
    <w:rsid w:val="00D55C2A"/>
    <w:rsid w:val="00D56A95"/>
    <w:rsid w:val="00D6022A"/>
    <w:rsid w:val="00D61822"/>
    <w:rsid w:val="00D62E5E"/>
    <w:rsid w:val="00D631F4"/>
    <w:rsid w:val="00D63EF9"/>
    <w:rsid w:val="00D64613"/>
    <w:rsid w:val="00D64C06"/>
    <w:rsid w:val="00D6512E"/>
    <w:rsid w:val="00D66927"/>
    <w:rsid w:val="00D6738C"/>
    <w:rsid w:val="00D701F9"/>
    <w:rsid w:val="00D70F16"/>
    <w:rsid w:val="00D712CC"/>
    <w:rsid w:val="00D71300"/>
    <w:rsid w:val="00D716C9"/>
    <w:rsid w:val="00D719CE"/>
    <w:rsid w:val="00D71C1F"/>
    <w:rsid w:val="00D7248C"/>
    <w:rsid w:val="00D72BF9"/>
    <w:rsid w:val="00D72F57"/>
    <w:rsid w:val="00D72FFF"/>
    <w:rsid w:val="00D73B1E"/>
    <w:rsid w:val="00D73DD4"/>
    <w:rsid w:val="00D7484B"/>
    <w:rsid w:val="00D75007"/>
    <w:rsid w:val="00D754C0"/>
    <w:rsid w:val="00D75FF5"/>
    <w:rsid w:val="00D76A44"/>
    <w:rsid w:val="00D77732"/>
    <w:rsid w:val="00D8013D"/>
    <w:rsid w:val="00D805BE"/>
    <w:rsid w:val="00D807C4"/>
    <w:rsid w:val="00D815EF"/>
    <w:rsid w:val="00D81E3C"/>
    <w:rsid w:val="00D81F26"/>
    <w:rsid w:val="00D824D2"/>
    <w:rsid w:val="00D83B9A"/>
    <w:rsid w:val="00D8416E"/>
    <w:rsid w:val="00D857FE"/>
    <w:rsid w:val="00D85F87"/>
    <w:rsid w:val="00D861D4"/>
    <w:rsid w:val="00D86231"/>
    <w:rsid w:val="00D8785A"/>
    <w:rsid w:val="00D87A0E"/>
    <w:rsid w:val="00D900A6"/>
    <w:rsid w:val="00D90C32"/>
    <w:rsid w:val="00D910F2"/>
    <w:rsid w:val="00D91923"/>
    <w:rsid w:val="00D92133"/>
    <w:rsid w:val="00D92ABE"/>
    <w:rsid w:val="00D92BA2"/>
    <w:rsid w:val="00D93753"/>
    <w:rsid w:val="00D939C9"/>
    <w:rsid w:val="00D93B9A"/>
    <w:rsid w:val="00D950DB"/>
    <w:rsid w:val="00D96A9A"/>
    <w:rsid w:val="00D96FBB"/>
    <w:rsid w:val="00D97662"/>
    <w:rsid w:val="00DA0AA3"/>
    <w:rsid w:val="00DA0D81"/>
    <w:rsid w:val="00DA3167"/>
    <w:rsid w:val="00DA38A6"/>
    <w:rsid w:val="00DA3C9F"/>
    <w:rsid w:val="00DA4958"/>
    <w:rsid w:val="00DA4AE9"/>
    <w:rsid w:val="00DA4DC3"/>
    <w:rsid w:val="00DA5C97"/>
    <w:rsid w:val="00DA5E7B"/>
    <w:rsid w:val="00DA65D0"/>
    <w:rsid w:val="00DA6890"/>
    <w:rsid w:val="00DA6EDD"/>
    <w:rsid w:val="00DA77A5"/>
    <w:rsid w:val="00DB0E32"/>
    <w:rsid w:val="00DB3DBF"/>
    <w:rsid w:val="00DB40BF"/>
    <w:rsid w:val="00DB484F"/>
    <w:rsid w:val="00DB5EE7"/>
    <w:rsid w:val="00DB5F1A"/>
    <w:rsid w:val="00DB7913"/>
    <w:rsid w:val="00DC0151"/>
    <w:rsid w:val="00DC04F6"/>
    <w:rsid w:val="00DC0690"/>
    <w:rsid w:val="00DC14FA"/>
    <w:rsid w:val="00DC1D65"/>
    <w:rsid w:val="00DC3C57"/>
    <w:rsid w:val="00DC5501"/>
    <w:rsid w:val="00DC6145"/>
    <w:rsid w:val="00DC6A5E"/>
    <w:rsid w:val="00DC6F9E"/>
    <w:rsid w:val="00DC7154"/>
    <w:rsid w:val="00DC72DC"/>
    <w:rsid w:val="00DC7E8A"/>
    <w:rsid w:val="00DC7F2B"/>
    <w:rsid w:val="00DD0F78"/>
    <w:rsid w:val="00DD0FA7"/>
    <w:rsid w:val="00DD1790"/>
    <w:rsid w:val="00DD1B0A"/>
    <w:rsid w:val="00DD26F3"/>
    <w:rsid w:val="00DD273C"/>
    <w:rsid w:val="00DD291E"/>
    <w:rsid w:val="00DD3C41"/>
    <w:rsid w:val="00DD3F28"/>
    <w:rsid w:val="00DD4537"/>
    <w:rsid w:val="00DD478F"/>
    <w:rsid w:val="00DD4E15"/>
    <w:rsid w:val="00DD5866"/>
    <w:rsid w:val="00DD61EA"/>
    <w:rsid w:val="00DD6478"/>
    <w:rsid w:val="00DD7AB8"/>
    <w:rsid w:val="00DD7F97"/>
    <w:rsid w:val="00DE01F0"/>
    <w:rsid w:val="00DE15FE"/>
    <w:rsid w:val="00DE215A"/>
    <w:rsid w:val="00DE2304"/>
    <w:rsid w:val="00DE291B"/>
    <w:rsid w:val="00DE2F23"/>
    <w:rsid w:val="00DE3138"/>
    <w:rsid w:val="00DE36F2"/>
    <w:rsid w:val="00DE37AB"/>
    <w:rsid w:val="00DE37F8"/>
    <w:rsid w:val="00DE4070"/>
    <w:rsid w:val="00DE4FAE"/>
    <w:rsid w:val="00DE4FCB"/>
    <w:rsid w:val="00DE5D07"/>
    <w:rsid w:val="00DE5E76"/>
    <w:rsid w:val="00DE5EAC"/>
    <w:rsid w:val="00DE5F92"/>
    <w:rsid w:val="00DE61A8"/>
    <w:rsid w:val="00DE72A7"/>
    <w:rsid w:val="00DE7832"/>
    <w:rsid w:val="00DE7AA4"/>
    <w:rsid w:val="00DE7F1E"/>
    <w:rsid w:val="00DF00BC"/>
    <w:rsid w:val="00DF0D3E"/>
    <w:rsid w:val="00DF18FC"/>
    <w:rsid w:val="00DF1F80"/>
    <w:rsid w:val="00DF2D6B"/>
    <w:rsid w:val="00DF3A53"/>
    <w:rsid w:val="00DF3BAC"/>
    <w:rsid w:val="00DF5276"/>
    <w:rsid w:val="00DF533A"/>
    <w:rsid w:val="00DF584D"/>
    <w:rsid w:val="00DF5D2B"/>
    <w:rsid w:val="00DF7023"/>
    <w:rsid w:val="00DF707E"/>
    <w:rsid w:val="00DF791F"/>
    <w:rsid w:val="00E002EB"/>
    <w:rsid w:val="00E0065C"/>
    <w:rsid w:val="00E00E0F"/>
    <w:rsid w:val="00E00E8E"/>
    <w:rsid w:val="00E01538"/>
    <w:rsid w:val="00E0265C"/>
    <w:rsid w:val="00E037AC"/>
    <w:rsid w:val="00E04411"/>
    <w:rsid w:val="00E04951"/>
    <w:rsid w:val="00E05630"/>
    <w:rsid w:val="00E05B35"/>
    <w:rsid w:val="00E05D81"/>
    <w:rsid w:val="00E069EE"/>
    <w:rsid w:val="00E06A1B"/>
    <w:rsid w:val="00E06DBB"/>
    <w:rsid w:val="00E070D4"/>
    <w:rsid w:val="00E10149"/>
    <w:rsid w:val="00E1101C"/>
    <w:rsid w:val="00E11340"/>
    <w:rsid w:val="00E11A70"/>
    <w:rsid w:val="00E11CCD"/>
    <w:rsid w:val="00E122A1"/>
    <w:rsid w:val="00E13438"/>
    <w:rsid w:val="00E137C5"/>
    <w:rsid w:val="00E13B3D"/>
    <w:rsid w:val="00E13EF6"/>
    <w:rsid w:val="00E155A5"/>
    <w:rsid w:val="00E15731"/>
    <w:rsid w:val="00E16372"/>
    <w:rsid w:val="00E16766"/>
    <w:rsid w:val="00E169BA"/>
    <w:rsid w:val="00E16B9E"/>
    <w:rsid w:val="00E17C74"/>
    <w:rsid w:val="00E20DDF"/>
    <w:rsid w:val="00E20E4D"/>
    <w:rsid w:val="00E20ED6"/>
    <w:rsid w:val="00E21358"/>
    <w:rsid w:val="00E2171B"/>
    <w:rsid w:val="00E21926"/>
    <w:rsid w:val="00E2249B"/>
    <w:rsid w:val="00E22A0D"/>
    <w:rsid w:val="00E22FE3"/>
    <w:rsid w:val="00E23C9F"/>
    <w:rsid w:val="00E24151"/>
    <w:rsid w:val="00E24292"/>
    <w:rsid w:val="00E244F6"/>
    <w:rsid w:val="00E25916"/>
    <w:rsid w:val="00E25B15"/>
    <w:rsid w:val="00E26C23"/>
    <w:rsid w:val="00E2746F"/>
    <w:rsid w:val="00E2771E"/>
    <w:rsid w:val="00E27F33"/>
    <w:rsid w:val="00E27F9A"/>
    <w:rsid w:val="00E309C0"/>
    <w:rsid w:val="00E311EF"/>
    <w:rsid w:val="00E32180"/>
    <w:rsid w:val="00E33A83"/>
    <w:rsid w:val="00E34948"/>
    <w:rsid w:val="00E3494C"/>
    <w:rsid w:val="00E357AE"/>
    <w:rsid w:val="00E35B3B"/>
    <w:rsid w:val="00E36142"/>
    <w:rsid w:val="00E37569"/>
    <w:rsid w:val="00E401B2"/>
    <w:rsid w:val="00E406BC"/>
    <w:rsid w:val="00E40E88"/>
    <w:rsid w:val="00E4146D"/>
    <w:rsid w:val="00E41E30"/>
    <w:rsid w:val="00E42F73"/>
    <w:rsid w:val="00E43747"/>
    <w:rsid w:val="00E43D70"/>
    <w:rsid w:val="00E445CA"/>
    <w:rsid w:val="00E465A1"/>
    <w:rsid w:val="00E466F3"/>
    <w:rsid w:val="00E47B2C"/>
    <w:rsid w:val="00E50069"/>
    <w:rsid w:val="00E50DD4"/>
    <w:rsid w:val="00E51560"/>
    <w:rsid w:val="00E517A0"/>
    <w:rsid w:val="00E529EF"/>
    <w:rsid w:val="00E52A9C"/>
    <w:rsid w:val="00E5364B"/>
    <w:rsid w:val="00E53FC8"/>
    <w:rsid w:val="00E54347"/>
    <w:rsid w:val="00E549C9"/>
    <w:rsid w:val="00E55424"/>
    <w:rsid w:val="00E556A7"/>
    <w:rsid w:val="00E55915"/>
    <w:rsid w:val="00E55BB5"/>
    <w:rsid w:val="00E57D0C"/>
    <w:rsid w:val="00E603C5"/>
    <w:rsid w:val="00E60499"/>
    <w:rsid w:val="00E6074A"/>
    <w:rsid w:val="00E6112C"/>
    <w:rsid w:val="00E61321"/>
    <w:rsid w:val="00E61328"/>
    <w:rsid w:val="00E621BA"/>
    <w:rsid w:val="00E633D7"/>
    <w:rsid w:val="00E633F2"/>
    <w:rsid w:val="00E64C40"/>
    <w:rsid w:val="00E65B15"/>
    <w:rsid w:val="00E65E79"/>
    <w:rsid w:val="00E6653C"/>
    <w:rsid w:val="00E66BA2"/>
    <w:rsid w:val="00E67088"/>
    <w:rsid w:val="00E67416"/>
    <w:rsid w:val="00E674DD"/>
    <w:rsid w:val="00E67A4F"/>
    <w:rsid w:val="00E67C11"/>
    <w:rsid w:val="00E67F05"/>
    <w:rsid w:val="00E704B9"/>
    <w:rsid w:val="00E70E34"/>
    <w:rsid w:val="00E70E7B"/>
    <w:rsid w:val="00E718B6"/>
    <w:rsid w:val="00E71AF2"/>
    <w:rsid w:val="00E71E53"/>
    <w:rsid w:val="00E723BA"/>
    <w:rsid w:val="00E73474"/>
    <w:rsid w:val="00E73581"/>
    <w:rsid w:val="00E739BB"/>
    <w:rsid w:val="00E73FBC"/>
    <w:rsid w:val="00E754FD"/>
    <w:rsid w:val="00E75BE8"/>
    <w:rsid w:val="00E768DB"/>
    <w:rsid w:val="00E778B0"/>
    <w:rsid w:val="00E80F7E"/>
    <w:rsid w:val="00E82509"/>
    <w:rsid w:val="00E832EF"/>
    <w:rsid w:val="00E833F7"/>
    <w:rsid w:val="00E83BDF"/>
    <w:rsid w:val="00E84432"/>
    <w:rsid w:val="00E84671"/>
    <w:rsid w:val="00E847C9"/>
    <w:rsid w:val="00E8720E"/>
    <w:rsid w:val="00E87A1D"/>
    <w:rsid w:val="00E90893"/>
    <w:rsid w:val="00E9094A"/>
    <w:rsid w:val="00E91D35"/>
    <w:rsid w:val="00E926A5"/>
    <w:rsid w:val="00E934BD"/>
    <w:rsid w:val="00E93728"/>
    <w:rsid w:val="00E93934"/>
    <w:rsid w:val="00E95DDA"/>
    <w:rsid w:val="00E96024"/>
    <w:rsid w:val="00E96B39"/>
    <w:rsid w:val="00E97DC7"/>
    <w:rsid w:val="00EA17C3"/>
    <w:rsid w:val="00EA20D4"/>
    <w:rsid w:val="00EA2CAA"/>
    <w:rsid w:val="00EA352F"/>
    <w:rsid w:val="00EA3864"/>
    <w:rsid w:val="00EA4FA7"/>
    <w:rsid w:val="00EA7F1C"/>
    <w:rsid w:val="00EB01F9"/>
    <w:rsid w:val="00EB026A"/>
    <w:rsid w:val="00EB0C85"/>
    <w:rsid w:val="00EB13AA"/>
    <w:rsid w:val="00EB15B6"/>
    <w:rsid w:val="00EB1D08"/>
    <w:rsid w:val="00EB21AD"/>
    <w:rsid w:val="00EB313A"/>
    <w:rsid w:val="00EB320C"/>
    <w:rsid w:val="00EB38D8"/>
    <w:rsid w:val="00EB3BA0"/>
    <w:rsid w:val="00EB3D06"/>
    <w:rsid w:val="00EB4916"/>
    <w:rsid w:val="00EB5B8F"/>
    <w:rsid w:val="00EB67E3"/>
    <w:rsid w:val="00EB7BA2"/>
    <w:rsid w:val="00EC00C9"/>
    <w:rsid w:val="00EC0520"/>
    <w:rsid w:val="00EC0598"/>
    <w:rsid w:val="00EC06A2"/>
    <w:rsid w:val="00EC0DD9"/>
    <w:rsid w:val="00EC2649"/>
    <w:rsid w:val="00EC2AF4"/>
    <w:rsid w:val="00EC2F54"/>
    <w:rsid w:val="00EC2FE7"/>
    <w:rsid w:val="00EC30AD"/>
    <w:rsid w:val="00EC30E1"/>
    <w:rsid w:val="00EC31ED"/>
    <w:rsid w:val="00EC3595"/>
    <w:rsid w:val="00EC4AB0"/>
    <w:rsid w:val="00EC5836"/>
    <w:rsid w:val="00EC5BE4"/>
    <w:rsid w:val="00EC688C"/>
    <w:rsid w:val="00EC6EE8"/>
    <w:rsid w:val="00ED0458"/>
    <w:rsid w:val="00ED0D51"/>
    <w:rsid w:val="00ED40F8"/>
    <w:rsid w:val="00ED57EA"/>
    <w:rsid w:val="00ED5B36"/>
    <w:rsid w:val="00ED5BD4"/>
    <w:rsid w:val="00ED5EFA"/>
    <w:rsid w:val="00ED62DC"/>
    <w:rsid w:val="00ED71C2"/>
    <w:rsid w:val="00ED7835"/>
    <w:rsid w:val="00EE07D3"/>
    <w:rsid w:val="00EE173F"/>
    <w:rsid w:val="00EE1996"/>
    <w:rsid w:val="00EE1C01"/>
    <w:rsid w:val="00EE2077"/>
    <w:rsid w:val="00EE21C9"/>
    <w:rsid w:val="00EE22AF"/>
    <w:rsid w:val="00EE298B"/>
    <w:rsid w:val="00EE321C"/>
    <w:rsid w:val="00EE4261"/>
    <w:rsid w:val="00EE4DB9"/>
    <w:rsid w:val="00EE5511"/>
    <w:rsid w:val="00EE72C5"/>
    <w:rsid w:val="00EE7B80"/>
    <w:rsid w:val="00EF0171"/>
    <w:rsid w:val="00EF1B25"/>
    <w:rsid w:val="00EF1DA0"/>
    <w:rsid w:val="00EF21C4"/>
    <w:rsid w:val="00EF3E4A"/>
    <w:rsid w:val="00EF3FB3"/>
    <w:rsid w:val="00EF4747"/>
    <w:rsid w:val="00EF4BF8"/>
    <w:rsid w:val="00EF4FE4"/>
    <w:rsid w:val="00EF52CA"/>
    <w:rsid w:val="00EF569D"/>
    <w:rsid w:val="00EF56BF"/>
    <w:rsid w:val="00EF5D80"/>
    <w:rsid w:val="00EF5EB8"/>
    <w:rsid w:val="00EF7699"/>
    <w:rsid w:val="00EF7746"/>
    <w:rsid w:val="00EF7B69"/>
    <w:rsid w:val="00F01548"/>
    <w:rsid w:val="00F01B89"/>
    <w:rsid w:val="00F02253"/>
    <w:rsid w:val="00F02B3C"/>
    <w:rsid w:val="00F02D86"/>
    <w:rsid w:val="00F03A03"/>
    <w:rsid w:val="00F03C2E"/>
    <w:rsid w:val="00F043C9"/>
    <w:rsid w:val="00F04A66"/>
    <w:rsid w:val="00F04B4B"/>
    <w:rsid w:val="00F0516C"/>
    <w:rsid w:val="00F05AB4"/>
    <w:rsid w:val="00F05D89"/>
    <w:rsid w:val="00F067A2"/>
    <w:rsid w:val="00F06E91"/>
    <w:rsid w:val="00F07327"/>
    <w:rsid w:val="00F079E1"/>
    <w:rsid w:val="00F07B9E"/>
    <w:rsid w:val="00F07D55"/>
    <w:rsid w:val="00F1116F"/>
    <w:rsid w:val="00F11B20"/>
    <w:rsid w:val="00F1263A"/>
    <w:rsid w:val="00F13422"/>
    <w:rsid w:val="00F145C7"/>
    <w:rsid w:val="00F148AB"/>
    <w:rsid w:val="00F14985"/>
    <w:rsid w:val="00F14D0D"/>
    <w:rsid w:val="00F15B77"/>
    <w:rsid w:val="00F16BFB"/>
    <w:rsid w:val="00F2048D"/>
    <w:rsid w:val="00F239CA"/>
    <w:rsid w:val="00F24837"/>
    <w:rsid w:val="00F2575F"/>
    <w:rsid w:val="00F27565"/>
    <w:rsid w:val="00F27FEE"/>
    <w:rsid w:val="00F30D4C"/>
    <w:rsid w:val="00F3109F"/>
    <w:rsid w:val="00F310D4"/>
    <w:rsid w:val="00F312E2"/>
    <w:rsid w:val="00F313BB"/>
    <w:rsid w:val="00F31D5A"/>
    <w:rsid w:val="00F33975"/>
    <w:rsid w:val="00F33DE9"/>
    <w:rsid w:val="00F340F2"/>
    <w:rsid w:val="00F3499F"/>
    <w:rsid w:val="00F351D0"/>
    <w:rsid w:val="00F35805"/>
    <w:rsid w:val="00F35E6D"/>
    <w:rsid w:val="00F3619A"/>
    <w:rsid w:val="00F37938"/>
    <w:rsid w:val="00F379DD"/>
    <w:rsid w:val="00F40AAA"/>
    <w:rsid w:val="00F40BA7"/>
    <w:rsid w:val="00F40F9D"/>
    <w:rsid w:val="00F414EC"/>
    <w:rsid w:val="00F41516"/>
    <w:rsid w:val="00F41ACD"/>
    <w:rsid w:val="00F4248B"/>
    <w:rsid w:val="00F42830"/>
    <w:rsid w:val="00F43180"/>
    <w:rsid w:val="00F44EA8"/>
    <w:rsid w:val="00F45217"/>
    <w:rsid w:val="00F45908"/>
    <w:rsid w:val="00F46CB6"/>
    <w:rsid w:val="00F46F49"/>
    <w:rsid w:val="00F4756D"/>
    <w:rsid w:val="00F476E9"/>
    <w:rsid w:val="00F47DE8"/>
    <w:rsid w:val="00F47E25"/>
    <w:rsid w:val="00F542C1"/>
    <w:rsid w:val="00F54632"/>
    <w:rsid w:val="00F559E6"/>
    <w:rsid w:val="00F55B1C"/>
    <w:rsid w:val="00F55E73"/>
    <w:rsid w:val="00F55EDA"/>
    <w:rsid w:val="00F56609"/>
    <w:rsid w:val="00F56C80"/>
    <w:rsid w:val="00F60092"/>
    <w:rsid w:val="00F600E4"/>
    <w:rsid w:val="00F60964"/>
    <w:rsid w:val="00F60B3E"/>
    <w:rsid w:val="00F615BB"/>
    <w:rsid w:val="00F61C18"/>
    <w:rsid w:val="00F6302B"/>
    <w:rsid w:val="00F630D0"/>
    <w:rsid w:val="00F636E7"/>
    <w:rsid w:val="00F64AB6"/>
    <w:rsid w:val="00F65891"/>
    <w:rsid w:val="00F65F3A"/>
    <w:rsid w:val="00F65F4B"/>
    <w:rsid w:val="00F66254"/>
    <w:rsid w:val="00F665CE"/>
    <w:rsid w:val="00F6732E"/>
    <w:rsid w:val="00F67510"/>
    <w:rsid w:val="00F67A69"/>
    <w:rsid w:val="00F70BFF"/>
    <w:rsid w:val="00F70C9D"/>
    <w:rsid w:val="00F71811"/>
    <w:rsid w:val="00F72657"/>
    <w:rsid w:val="00F7307D"/>
    <w:rsid w:val="00F73FD1"/>
    <w:rsid w:val="00F747EC"/>
    <w:rsid w:val="00F74CD9"/>
    <w:rsid w:val="00F75FA1"/>
    <w:rsid w:val="00F77326"/>
    <w:rsid w:val="00F80A7B"/>
    <w:rsid w:val="00F80E5D"/>
    <w:rsid w:val="00F818DF"/>
    <w:rsid w:val="00F81E78"/>
    <w:rsid w:val="00F826FF"/>
    <w:rsid w:val="00F828B6"/>
    <w:rsid w:val="00F829BB"/>
    <w:rsid w:val="00F834B7"/>
    <w:rsid w:val="00F83EF0"/>
    <w:rsid w:val="00F840C2"/>
    <w:rsid w:val="00F846B6"/>
    <w:rsid w:val="00F8498B"/>
    <w:rsid w:val="00F849E5"/>
    <w:rsid w:val="00F851CE"/>
    <w:rsid w:val="00F85E1C"/>
    <w:rsid w:val="00F86E3F"/>
    <w:rsid w:val="00F86E41"/>
    <w:rsid w:val="00F900FD"/>
    <w:rsid w:val="00F91219"/>
    <w:rsid w:val="00F9150E"/>
    <w:rsid w:val="00F91F87"/>
    <w:rsid w:val="00F92444"/>
    <w:rsid w:val="00F92534"/>
    <w:rsid w:val="00F9393E"/>
    <w:rsid w:val="00F949DB"/>
    <w:rsid w:val="00F9508D"/>
    <w:rsid w:val="00F9694D"/>
    <w:rsid w:val="00F96E4E"/>
    <w:rsid w:val="00F96FD0"/>
    <w:rsid w:val="00F97A78"/>
    <w:rsid w:val="00F97B65"/>
    <w:rsid w:val="00FA03F9"/>
    <w:rsid w:val="00FA051A"/>
    <w:rsid w:val="00FA0B20"/>
    <w:rsid w:val="00FA1F76"/>
    <w:rsid w:val="00FA24E7"/>
    <w:rsid w:val="00FA2DB2"/>
    <w:rsid w:val="00FA3624"/>
    <w:rsid w:val="00FA544F"/>
    <w:rsid w:val="00FA5EE6"/>
    <w:rsid w:val="00FA6704"/>
    <w:rsid w:val="00FA7369"/>
    <w:rsid w:val="00FA766D"/>
    <w:rsid w:val="00FA7956"/>
    <w:rsid w:val="00FB01A6"/>
    <w:rsid w:val="00FB1DDB"/>
    <w:rsid w:val="00FB241F"/>
    <w:rsid w:val="00FB266D"/>
    <w:rsid w:val="00FB2FCB"/>
    <w:rsid w:val="00FB38DC"/>
    <w:rsid w:val="00FB568F"/>
    <w:rsid w:val="00FB6E3D"/>
    <w:rsid w:val="00FB7808"/>
    <w:rsid w:val="00FB7C55"/>
    <w:rsid w:val="00FB7F6F"/>
    <w:rsid w:val="00FC0346"/>
    <w:rsid w:val="00FC0A99"/>
    <w:rsid w:val="00FC1074"/>
    <w:rsid w:val="00FC1884"/>
    <w:rsid w:val="00FC2ABD"/>
    <w:rsid w:val="00FC3356"/>
    <w:rsid w:val="00FC371D"/>
    <w:rsid w:val="00FC3A28"/>
    <w:rsid w:val="00FC3A40"/>
    <w:rsid w:val="00FC3FD0"/>
    <w:rsid w:val="00FC4D52"/>
    <w:rsid w:val="00FC54EA"/>
    <w:rsid w:val="00FC5F0B"/>
    <w:rsid w:val="00FC7069"/>
    <w:rsid w:val="00FD0139"/>
    <w:rsid w:val="00FD20B2"/>
    <w:rsid w:val="00FD2100"/>
    <w:rsid w:val="00FD23C4"/>
    <w:rsid w:val="00FD2881"/>
    <w:rsid w:val="00FD2DF5"/>
    <w:rsid w:val="00FD3B9E"/>
    <w:rsid w:val="00FD436C"/>
    <w:rsid w:val="00FD446D"/>
    <w:rsid w:val="00FD4F2C"/>
    <w:rsid w:val="00FD5B92"/>
    <w:rsid w:val="00FD6394"/>
    <w:rsid w:val="00FE0DC9"/>
    <w:rsid w:val="00FE0E6C"/>
    <w:rsid w:val="00FE12A4"/>
    <w:rsid w:val="00FE1A04"/>
    <w:rsid w:val="00FE1CDC"/>
    <w:rsid w:val="00FE2B12"/>
    <w:rsid w:val="00FE2FD1"/>
    <w:rsid w:val="00FE3F94"/>
    <w:rsid w:val="00FE4B6D"/>
    <w:rsid w:val="00FE4CE0"/>
    <w:rsid w:val="00FE6054"/>
    <w:rsid w:val="00FE6A84"/>
    <w:rsid w:val="00FE70C3"/>
    <w:rsid w:val="00FF054B"/>
    <w:rsid w:val="00FF0661"/>
    <w:rsid w:val="00FF10D3"/>
    <w:rsid w:val="00FF1420"/>
    <w:rsid w:val="00FF147D"/>
    <w:rsid w:val="00FF17F0"/>
    <w:rsid w:val="00FF2121"/>
    <w:rsid w:val="00FF2AD9"/>
    <w:rsid w:val="00FF2FD1"/>
    <w:rsid w:val="00FF359F"/>
    <w:rsid w:val="00FF3DCF"/>
    <w:rsid w:val="00FF492C"/>
    <w:rsid w:val="00FF4A21"/>
    <w:rsid w:val="00FF4F53"/>
    <w:rsid w:val="00FF5AA3"/>
    <w:rsid w:val="00FF5AD8"/>
    <w:rsid w:val="00FF63C6"/>
    <w:rsid w:val="00FF76AF"/>
    <w:rsid w:val="00FF789A"/>
    <w:rsid w:val="00FF79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FD5B92"/>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FD5B92"/>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426922"/>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426922"/>
    <w:rPr>
      <w:rFonts w:ascii="Calibri" w:hAnsi="Calibri" w:cs="Arial"/>
      <w:sz w:val="24"/>
      <w:szCs w:val="24"/>
    </w:rPr>
  </w:style>
  <w:style w:type="paragraph" w:styleId="Footer">
    <w:name w:val="footer"/>
    <w:basedOn w:val="Normal"/>
    <w:link w:val="FooterChar"/>
    <w:uiPriority w:val="99"/>
    <w:unhideWhenUsed/>
    <w:rsid w:val="00426922"/>
    <w:pPr>
      <w:tabs>
        <w:tab w:val="center" w:pos="4513"/>
        <w:tab w:val="right" w:pos="9026"/>
      </w:tabs>
    </w:pPr>
  </w:style>
  <w:style w:type="character" w:customStyle="1" w:styleId="FooterChar">
    <w:name w:val="Footer Char"/>
    <w:basedOn w:val="DefaultParagraphFont"/>
    <w:link w:val="Footer"/>
    <w:uiPriority w:val="99"/>
    <w:rsid w:val="00426922"/>
    <w:rPr>
      <w:rFonts w:ascii="Calibri" w:hAnsi="Calibri" w:cs="Arial"/>
      <w:sz w:val="24"/>
      <w:szCs w:val="24"/>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basedOn w:val="Normal"/>
    <w:link w:val="ListParagraphChar"/>
    <w:uiPriority w:val="34"/>
    <w:qFormat/>
    <w:rsid w:val="002558DD"/>
    <w:pPr>
      <w:ind w:left="720"/>
      <w:contextualSpacing/>
    </w:pPr>
  </w:style>
  <w:style w:type="character" w:styleId="CommentReference">
    <w:name w:val="annotation reference"/>
    <w:aliases w:val="Table Title"/>
    <w:basedOn w:val="DefaultParagraphFont"/>
    <w:uiPriority w:val="99"/>
    <w:unhideWhenUsed/>
    <w:rsid w:val="00B73901"/>
    <w:rPr>
      <w:sz w:val="16"/>
      <w:szCs w:val="16"/>
    </w:rPr>
  </w:style>
  <w:style w:type="paragraph" w:styleId="CommentText">
    <w:name w:val="annotation text"/>
    <w:aliases w:val="Comment Text Char Char Char,Comment Text Char Char"/>
    <w:basedOn w:val="Normal"/>
    <w:link w:val="CommentTextChar"/>
    <w:uiPriority w:val="99"/>
    <w:unhideWhenUsed/>
    <w:rsid w:val="00B73901"/>
    <w:rPr>
      <w:sz w:val="20"/>
      <w:szCs w:val="20"/>
    </w:rPr>
  </w:style>
  <w:style w:type="character" w:customStyle="1" w:styleId="CommentTextChar">
    <w:name w:val="Comment Text Char"/>
    <w:aliases w:val="Comment Text Char Char Char Char,Comment Text Char Char Char1"/>
    <w:basedOn w:val="DefaultParagraphFont"/>
    <w:link w:val="CommentText"/>
    <w:uiPriority w:val="99"/>
    <w:rsid w:val="00B73901"/>
    <w:rPr>
      <w:rFonts w:ascii="Calibri" w:hAnsi="Calibri" w:cs="Arial"/>
    </w:rPr>
  </w:style>
  <w:style w:type="paragraph" w:styleId="CommentSubject">
    <w:name w:val="annotation subject"/>
    <w:basedOn w:val="CommentText"/>
    <w:next w:val="CommentText"/>
    <w:link w:val="CommentSubjectChar"/>
    <w:uiPriority w:val="99"/>
    <w:semiHidden/>
    <w:unhideWhenUsed/>
    <w:rsid w:val="00B73901"/>
    <w:rPr>
      <w:b/>
      <w:bCs/>
    </w:rPr>
  </w:style>
  <w:style w:type="character" w:customStyle="1" w:styleId="CommentSubjectChar">
    <w:name w:val="Comment Subject Char"/>
    <w:basedOn w:val="CommentTextChar"/>
    <w:link w:val="CommentSubject"/>
    <w:uiPriority w:val="99"/>
    <w:semiHidden/>
    <w:rsid w:val="00B73901"/>
    <w:rPr>
      <w:rFonts w:ascii="Calibri" w:hAnsi="Calibri" w:cs="Arial"/>
      <w:b/>
      <w:bCs/>
    </w:rPr>
  </w:style>
  <w:style w:type="paragraph" w:customStyle="1" w:styleId="TableFigureHeading">
    <w:name w:val="Table/Figure Heading"/>
    <w:next w:val="Normal"/>
    <w:link w:val="TableFigureHeadingChar"/>
    <w:qFormat/>
    <w:rsid w:val="00E20DDF"/>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20DDF"/>
    <w:rPr>
      <w:rFonts w:ascii="Arial Narrow" w:eastAsiaTheme="majorEastAsia" w:hAnsi="Arial Narrow" w:cstheme="majorBidi"/>
      <w:b/>
      <w:bCs/>
      <w:szCs w:val="24"/>
    </w:rPr>
  </w:style>
  <w:style w:type="paragraph" w:customStyle="1" w:styleId="TableHeading">
    <w:name w:val="Table Heading"/>
    <w:basedOn w:val="Normal"/>
    <w:link w:val="TableHeadingChar"/>
    <w:qFormat/>
    <w:rsid w:val="008F4AC4"/>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8F4AC4"/>
    <w:rPr>
      <w:rFonts w:ascii="Arial Narrow" w:eastAsiaTheme="minorHAnsi" w:hAnsi="Arial Narrow" w:cstheme="minorBidi"/>
      <w:b/>
      <w:szCs w:val="22"/>
      <w:lang w:eastAsia="en-US"/>
    </w:rPr>
  </w:style>
  <w:style w:type="paragraph" w:customStyle="1" w:styleId="TableFooter">
    <w:name w:val="Table Footer"/>
    <w:basedOn w:val="Normal"/>
    <w:link w:val="TableFooterChar"/>
    <w:qFormat/>
    <w:rsid w:val="0069703A"/>
    <w:pPr>
      <w:widowControl w:val="0"/>
    </w:pPr>
    <w:rPr>
      <w:rFonts w:ascii="Arial Narrow" w:hAnsi="Arial Narrow"/>
      <w:snapToGrid w:val="0"/>
      <w:sz w:val="18"/>
      <w:szCs w:val="22"/>
      <w:lang w:eastAsia="en-US"/>
    </w:rPr>
  </w:style>
  <w:style w:type="character" w:customStyle="1" w:styleId="TableFooterChar">
    <w:name w:val="Table Footer Char"/>
    <w:link w:val="TableFooter"/>
    <w:rsid w:val="0069703A"/>
    <w:rPr>
      <w:rFonts w:ascii="Arial Narrow" w:hAnsi="Arial Narrow" w:cs="Arial"/>
      <w:snapToGrid w:val="0"/>
      <w:sz w:val="18"/>
      <w:szCs w:val="22"/>
      <w:lang w:eastAsia="en-US"/>
    </w:rPr>
  </w:style>
  <w:style w:type="paragraph" w:customStyle="1" w:styleId="In-tableHeading">
    <w:name w:val="In-table Heading"/>
    <w:qFormat/>
    <w:rsid w:val="00636851"/>
    <w:pPr>
      <w:keepNext/>
    </w:pPr>
    <w:rPr>
      <w:rFonts w:ascii="Arial Narrow" w:eastAsiaTheme="majorEastAsia" w:hAnsi="Arial Narrow"/>
      <w:b/>
      <w:szCs w:val="24"/>
      <w:lang w:val="en-US"/>
    </w:rPr>
  </w:style>
  <w:style w:type="paragraph" w:customStyle="1" w:styleId="Default">
    <w:name w:val="Default"/>
    <w:rsid w:val="007B3992"/>
    <w:pPr>
      <w:autoSpaceDE w:val="0"/>
      <w:autoSpaceDN w:val="0"/>
      <w:adjustRightInd w:val="0"/>
    </w:pPr>
    <w:rPr>
      <w:rFonts w:ascii="Arial" w:hAnsi="Arial" w:cs="Arial"/>
      <w:color w:val="000000"/>
      <w:sz w:val="24"/>
      <w:szCs w:val="24"/>
    </w:rPr>
  </w:style>
  <w:style w:type="paragraph" w:customStyle="1" w:styleId="Table">
    <w:name w:val="Table"/>
    <w:basedOn w:val="Normal"/>
    <w:uiPriority w:val="99"/>
    <w:qFormat/>
    <w:rsid w:val="007654B4"/>
    <w:pPr>
      <w:jc w:val="left"/>
    </w:pPr>
    <w:rPr>
      <w:rFonts w:eastAsiaTheme="majorEastAsia" w:cstheme="majorBidi"/>
      <w:sz w:val="20"/>
      <w:szCs w:val="22"/>
      <w:lang w:eastAsia="en-US" w:bidi="en-US"/>
    </w:rPr>
  </w:style>
  <w:style w:type="paragraph" w:customStyle="1" w:styleId="Tablenotes">
    <w:name w:val="Table notes"/>
    <w:basedOn w:val="Normal"/>
    <w:link w:val="TablenotesCharChar"/>
    <w:uiPriority w:val="99"/>
    <w:qFormat/>
    <w:rsid w:val="00CE3604"/>
    <w:pPr>
      <w:spacing w:before="40" w:after="360"/>
      <w:contextualSpacing/>
      <w:jc w:val="left"/>
    </w:pPr>
    <w:rPr>
      <w:rFonts w:ascii="Arial Narrow" w:hAnsi="Arial Narrow" w:cs="Times New Roman"/>
      <w:sz w:val="16"/>
      <w:szCs w:val="22"/>
      <w:lang w:eastAsia="en-US"/>
    </w:rPr>
  </w:style>
  <w:style w:type="character" w:customStyle="1" w:styleId="TablenotesCharChar">
    <w:name w:val="Table notes Char Char"/>
    <w:link w:val="Tablenotes"/>
    <w:uiPriority w:val="99"/>
    <w:locked/>
    <w:rsid w:val="00CE3604"/>
    <w:rPr>
      <w:rFonts w:ascii="Arial Narrow" w:hAnsi="Arial Narrow"/>
      <w:sz w:val="16"/>
      <w:szCs w:val="22"/>
      <w:lang w:eastAsia="en-US"/>
    </w:rPr>
  </w:style>
  <w:style w:type="paragraph" w:styleId="Caption">
    <w:name w:val="caption"/>
    <w:basedOn w:val="TableFigureCaption"/>
    <w:next w:val="Normal"/>
    <w:unhideWhenUsed/>
    <w:rsid w:val="00042AE7"/>
  </w:style>
  <w:style w:type="paragraph" w:customStyle="1" w:styleId="Tabletext0">
    <w:name w:val="Table text"/>
    <w:basedOn w:val="Normal"/>
    <w:link w:val="TabletextChar0"/>
    <w:rsid w:val="003F0564"/>
    <w:pPr>
      <w:jc w:val="left"/>
    </w:pPr>
    <w:rPr>
      <w:rFonts w:ascii="Arial Narrow" w:hAnsi="Arial Narrow" w:cs="Times New Roman"/>
      <w:snapToGrid w:val="0"/>
      <w:sz w:val="20"/>
    </w:rPr>
  </w:style>
  <w:style w:type="character" w:customStyle="1" w:styleId="TabletextChar0">
    <w:name w:val="Table text Char"/>
    <w:link w:val="Tabletext0"/>
    <w:rsid w:val="003F0564"/>
    <w:rPr>
      <w:rFonts w:ascii="Arial Narrow" w:hAnsi="Arial Narrow"/>
      <w:snapToGrid w:val="0"/>
      <w:szCs w:val="24"/>
    </w:rPr>
  </w:style>
  <w:style w:type="paragraph" w:customStyle="1" w:styleId="Tabletextcentred">
    <w:name w:val="Table text centred"/>
    <w:basedOn w:val="Normal"/>
    <w:link w:val="TabletextcentredChar"/>
    <w:qFormat/>
    <w:rsid w:val="006E3196"/>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6E3196"/>
    <w:rPr>
      <w:rFonts w:ascii="Arial Narrow" w:hAnsi="Arial Narrow" w:cs="Arial Narrow"/>
      <w:lang w:eastAsia="en-US"/>
    </w:rPr>
  </w:style>
  <w:style w:type="table" w:styleId="TableGridLight">
    <w:name w:val="Grid Table Light"/>
    <w:basedOn w:val="TableNormal"/>
    <w:uiPriority w:val="40"/>
    <w:rsid w:val="006E3196"/>
    <w:rPr>
      <w:rFonts w:ascii="Calibri" w:eastAsia="Calibri" w:hAnsi="Calibri" w:cs="Arial"/>
      <w:lang w:val="en-US" w:eastAsia="en-US" w:bidi="he-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
    <w:name w:val="3-Body Text"/>
    <w:basedOn w:val="ListParagraph"/>
    <w:link w:val="3-BodyTextChar"/>
    <w:qFormat/>
    <w:rsid w:val="00591D98"/>
    <w:pPr>
      <w:spacing w:after="120"/>
      <w:ind w:hanging="720"/>
      <w:contextualSpacing w:val="0"/>
    </w:pPr>
    <w:rPr>
      <w:rFonts w:asciiTheme="minorHAnsi" w:hAnsiTheme="minorHAnsi"/>
      <w:snapToGrid w:val="0"/>
    </w:rPr>
  </w:style>
  <w:style w:type="character" w:customStyle="1" w:styleId="3-BodyTextChar">
    <w:name w:val="3-Body Text Char"/>
    <w:basedOn w:val="DefaultParagraphFont"/>
    <w:link w:val="3-BodyText"/>
    <w:rsid w:val="00591D98"/>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6F717D"/>
    <w:rPr>
      <w:rFonts w:ascii="Calibri" w:hAnsi="Calibri" w:cs="Arial"/>
      <w:sz w:val="24"/>
      <w:szCs w:val="24"/>
    </w:rPr>
  </w:style>
  <w:style w:type="paragraph" w:customStyle="1" w:styleId="PBACHeading1">
    <w:name w:val="PBAC Heading 1"/>
    <w:qFormat/>
    <w:rsid w:val="00AF28AD"/>
    <w:pPr>
      <w:ind w:left="720" w:hanging="720"/>
    </w:pPr>
    <w:rPr>
      <w:rFonts w:ascii="Calibri" w:hAnsi="Calibri" w:cs="Arial"/>
      <w:b/>
      <w:snapToGrid w:val="0"/>
      <w:sz w:val="32"/>
      <w:szCs w:val="22"/>
      <w:lang w:eastAsia="en-US"/>
    </w:rPr>
  </w:style>
  <w:style w:type="paragraph" w:styleId="NormalWeb">
    <w:name w:val="Normal (Web)"/>
    <w:basedOn w:val="Normal"/>
    <w:uiPriority w:val="99"/>
    <w:semiHidden/>
    <w:unhideWhenUsed/>
    <w:rsid w:val="001C7757"/>
    <w:pPr>
      <w:spacing w:after="160" w:line="259" w:lineRule="auto"/>
      <w:jc w:val="left"/>
    </w:pPr>
    <w:rPr>
      <w:rFonts w:ascii="Times New Roman" w:eastAsiaTheme="minorHAnsi" w:hAnsi="Times New Roman" w:cs="Times New Roman"/>
      <w:lang w:eastAsia="en-US"/>
    </w:rPr>
  </w:style>
  <w:style w:type="character" w:styleId="Strong">
    <w:name w:val="Strong"/>
    <w:basedOn w:val="DefaultParagraphFont"/>
    <w:uiPriority w:val="22"/>
    <w:qFormat/>
    <w:rsid w:val="001C7757"/>
    <w:rPr>
      <w:b/>
      <w:bCs/>
    </w:rPr>
  </w:style>
  <w:style w:type="paragraph" w:styleId="NoSpacing">
    <w:name w:val="No Spacing"/>
    <w:uiPriority w:val="1"/>
    <w:qFormat/>
    <w:rsid w:val="001D00E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9141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24496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16C59-7E26-4280-9C3A-D3B99E7A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15078</Words>
  <Characters>85949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2022-05-03T23:06:00Z</dcterms:created>
  <dcterms:modified xsi:type="dcterms:W3CDTF">2022-06-22T04:37:00Z</dcterms:modified>
</cp:coreProperties>
</file>